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C11C5" w14:textId="77777777" w:rsidR="008E23C1" w:rsidRPr="008E23C1" w:rsidRDefault="008E23C1" w:rsidP="008E23C1">
      <w:pPr>
        <w:widowControl w:val="0"/>
        <w:autoSpaceDE w:val="0"/>
        <w:autoSpaceDN w:val="0"/>
        <w:adjustRightInd w:val="0"/>
        <w:spacing w:before="240" w:after="240" w:line="240" w:lineRule="auto"/>
        <w:jc w:val="center"/>
        <w:outlineLvl w:val="0"/>
        <w:rPr>
          <w:rFonts w:ascii="Times New Roman" w:hAnsi="Times New Roman"/>
          <w:b/>
          <w:bCs/>
          <w:sz w:val="24"/>
          <w:szCs w:val="24"/>
          <w:lang w:eastAsia="en-AU"/>
        </w:rPr>
      </w:pPr>
      <w:bookmarkStart w:id="0" w:name="_GoBack"/>
      <w:bookmarkEnd w:id="0"/>
      <w:r w:rsidRPr="008E23C1">
        <w:rPr>
          <w:rFonts w:ascii="Times New Roman" w:hAnsi="Times New Roman"/>
          <w:b/>
          <w:bCs/>
          <w:sz w:val="24"/>
          <w:szCs w:val="24"/>
          <w:u w:val="single"/>
          <w:lang w:eastAsia="en-AU"/>
        </w:rPr>
        <w:t>EXPLANATORY STATEMENT</w:t>
      </w:r>
    </w:p>
    <w:p w14:paraId="265C11C6" w14:textId="77777777" w:rsidR="008E23C1" w:rsidRPr="008E23C1" w:rsidRDefault="008E23C1" w:rsidP="008E23C1">
      <w:pPr>
        <w:widowControl w:val="0"/>
        <w:autoSpaceDE w:val="0"/>
        <w:autoSpaceDN w:val="0"/>
        <w:adjustRightInd w:val="0"/>
        <w:spacing w:before="240" w:after="240" w:line="240" w:lineRule="auto"/>
        <w:jc w:val="center"/>
        <w:outlineLvl w:val="1"/>
        <w:rPr>
          <w:rFonts w:ascii="Times New Roman" w:hAnsi="Times New Roman"/>
          <w:sz w:val="24"/>
          <w:szCs w:val="24"/>
          <w:u w:val="single"/>
          <w:lang w:eastAsia="en-AU"/>
        </w:rPr>
      </w:pPr>
      <w:r w:rsidRPr="008E23C1">
        <w:rPr>
          <w:rFonts w:ascii="Times New Roman" w:hAnsi="Times New Roman"/>
          <w:sz w:val="24"/>
          <w:szCs w:val="24"/>
          <w:u w:val="single"/>
          <w:lang w:eastAsia="en-AU"/>
        </w:rPr>
        <w:t xml:space="preserve">Issued by the Authority of the Minister for the Environment </w:t>
      </w:r>
    </w:p>
    <w:p w14:paraId="265C11C7" w14:textId="77777777" w:rsidR="008E23C1" w:rsidRPr="008E23C1" w:rsidRDefault="008E23C1" w:rsidP="008E23C1">
      <w:pPr>
        <w:ind w:right="91"/>
        <w:jc w:val="center"/>
        <w:rPr>
          <w:rFonts w:ascii="Times New Roman" w:hAnsi="Times New Roman"/>
          <w:i/>
          <w:iCs/>
          <w:sz w:val="24"/>
          <w:szCs w:val="24"/>
        </w:rPr>
      </w:pPr>
      <w:r w:rsidRPr="008E23C1">
        <w:rPr>
          <w:rFonts w:ascii="Times New Roman" w:hAnsi="Times New Roman"/>
          <w:i/>
          <w:iCs/>
          <w:sz w:val="24"/>
          <w:szCs w:val="24"/>
        </w:rPr>
        <w:t xml:space="preserve">Income Tax Assessment Act 1997 </w:t>
      </w:r>
    </w:p>
    <w:p w14:paraId="265C11C8" w14:textId="77777777" w:rsidR="008E23C1" w:rsidRPr="008E23C1" w:rsidRDefault="008E23C1" w:rsidP="008E23C1">
      <w:pPr>
        <w:spacing w:before="240" w:after="0"/>
        <w:ind w:right="91"/>
        <w:jc w:val="center"/>
        <w:rPr>
          <w:rFonts w:ascii="Times New Roman" w:hAnsi="Times New Roman"/>
          <w:bCs/>
          <w:i/>
          <w:iCs/>
          <w:sz w:val="24"/>
          <w:szCs w:val="24"/>
        </w:rPr>
      </w:pPr>
      <w:r w:rsidRPr="008E23C1">
        <w:rPr>
          <w:rFonts w:ascii="Times New Roman" w:hAnsi="Times New Roman"/>
          <w:bCs/>
          <w:i/>
          <w:iCs/>
          <w:sz w:val="24"/>
          <w:szCs w:val="24"/>
        </w:rPr>
        <w:t>Income Tax Assessment (Environmental and Natural Resource Management in relation to the Establishment of Trees for the purposes of Carbon Sequestration) Guidelines 2018</w:t>
      </w:r>
    </w:p>
    <w:p w14:paraId="265C11C9" w14:textId="77777777" w:rsidR="008E23C1" w:rsidRPr="008E23C1" w:rsidRDefault="008E23C1" w:rsidP="008E23C1">
      <w:pPr>
        <w:spacing w:before="240" w:after="0"/>
        <w:ind w:right="91"/>
        <w:rPr>
          <w:rFonts w:ascii="Times New Roman" w:hAnsi="Times New Roman"/>
          <w:b/>
          <w:bCs/>
          <w:sz w:val="24"/>
          <w:szCs w:val="24"/>
        </w:rPr>
      </w:pPr>
      <w:r w:rsidRPr="008E23C1">
        <w:rPr>
          <w:rFonts w:ascii="Times New Roman" w:hAnsi="Times New Roman"/>
          <w:b/>
          <w:bCs/>
          <w:sz w:val="24"/>
          <w:szCs w:val="24"/>
        </w:rPr>
        <w:t>Purpose</w:t>
      </w:r>
    </w:p>
    <w:p w14:paraId="265C11CA"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Subdivision 40-J of the Income Tax Assessment Act 1997 (the Act) provides a deduction for capital expenditure for the establishment of trees in carbon sink forests.</w:t>
      </w:r>
    </w:p>
    <w:p w14:paraId="265C11CB"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 xml:space="preserve">Subparagraph 40-1010(1)(h)(i) of the Act provides that expenditure on establishing trees in carbon sink forests is covered if a taxpayer gives the Commissioner of Taxation a statement that sets out all information necessary to determine whether all of the conditions in subsection 40-1010(2) of the Act are satisfied. The conditions set out in subsection 40-1010(2) include a condition that the establishment of the trees meets the requirements of the guidelines in subsection 40-1010(3). </w:t>
      </w:r>
    </w:p>
    <w:p w14:paraId="265C11CC"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 xml:space="preserve">Subsection 40-1010(3) of the Act provides that the Minister must, by legislative instrument, make guidelines about environmental and natural resource management in relation to the establishment of trees for the purposes of carbon sequestration (the guidelines). </w:t>
      </w:r>
    </w:p>
    <w:p w14:paraId="265C11CD"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 xml:space="preserve">The purpose of this instrument is to make the guidelines for the purposes of subsection </w:t>
      </w:r>
      <w:r w:rsidRPr="008E23C1">
        <w:rPr>
          <w:rFonts w:ascii="Times New Roman" w:eastAsia="Times New Roman" w:hAnsi="Times New Roman"/>
          <w:sz w:val="24"/>
          <w:szCs w:val="24"/>
          <w:lang w:eastAsia="en-AU"/>
        </w:rPr>
        <w:br/>
        <w:t>40-1010(3) of the Act.</w:t>
      </w:r>
    </w:p>
    <w:p w14:paraId="265C11CE"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 xml:space="preserve">This instrument is a legislative instrument for the purposes of the </w:t>
      </w:r>
      <w:r w:rsidRPr="008E23C1">
        <w:rPr>
          <w:rFonts w:ascii="Times New Roman" w:eastAsia="Times New Roman" w:hAnsi="Times New Roman"/>
          <w:i/>
          <w:sz w:val="24"/>
          <w:szCs w:val="24"/>
          <w:lang w:eastAsia="en-AU"/>
        </w:rPr>
        <w:t>Legislation Act 2003</w:t>
      </w:r>
      <w:r w:rsidRPr="008E23C1">
        <w:rPr>
          <w:rFonts w:ascii="Times New Roman" w:eastAsia="Times New Roman" w:hAnsi="Times New Roman"/>
          <w:sz w:val="24"/>
          <w:szCs w:val="24"/>
          <w:lang w:eastAsia="en-AU"/>
        </w:rPr>
        <w:t>.</w:t>
      </w:r>
    </w:p>
    <w:p w14:paraId="265C11CF"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 xml:space="preserve">This legislative instrument repeals the previous guidelines made on 1 December 2008, but maintains the intent of those guidelines. Under this instrument eligible offset projects already declared eligible under the </w:t>
      </w:r>
      <w:r w:rsidRPr="008E23C1">
        <w:rPr>
          <w:rFonts w:ascii="Times New Roman" w:eastAsia="Times New Roman" w:hAnsi="Times New Roman"/>
          <w:i/>
          <w:sz w:val="24"/>
          <w:szCs w:val="24"/>
          <w:lang w:eastAsia="en-AU"/>
        </w:rPr>
        <w:t>Carbon Credits (Carbon Farming Initiative) Act 2011</w:t>
      </w:r>
      <w:r w:rsidRPr="008E23C1">
        <w:rPr>
          <w:rFonts w:ascii="Times New Roman" w:eastAsia="Times New Roman" w:hAnsi="Times New Roman"/>
          <w:sz w:val="24"/>
          <w:szCs w:val="24"/>
          <w:lang w:eastAsia="en-AU"/>
        </w:rPr>
        <w:t xml:space="preserve"> will automatically meet the requirements. This is because the issue of adverse environmental and natural resource management impacts is already addressed in the approval of such projects, including that the project is not an excluded offsets project within the meaning of that Act. Where the activity is not part of an eligible offsets projects, the criteria under the earlier guidelines will be applied as the relevant conditions set out in Schedule 1.</w:t>
      </w:r>
    </w:p>
    <w:p w14:paraId="265C11D0" w14:textId="77777777" w:rsidR="008E23C1" w:rsidRPr="008E23C1" w:rsidRDefault="008E23C1" w:rsidP="008E23C1">
      <w:pPr>
        <w:spacing w:before="240" w:after="0"/>
        <w:rPr>
          <w:rFonts w:ascii="Calibri" w:hAnsi="Calibri" w:cs="Calibri"/>
        </w:rPr>
      </w:pPr>
      <w:r w:rsidRPr="008E23C1">
        <w:rPr>
          <w:rFonts w:ascii="Times New Roman" w:hAnsi="Times New Roman"/>
          <w:b/>
          <w:bCs/>
          <w:sz w:val="24"/>
          <w:szCs w:val="24"/>
        </w:rPr>
        <w:t>Public consultation</w:t>
      </w:r>
    </w:p>
    <w:p w14:paraId="265C11D1"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The amendment incorporates the recommendation of an Agency Review conducted into the legislative instrument by the Department of the Environment and Energy in 2018 to streamline eligibility and reduce regulatory burden for Emissions Reduction Fund projects (</w:t>
      </w:r>
      <w:r w:rsidRPr="008E23C1">
        <w:rPr>
          <w:rFonts w:ascii="Times New Roman" w:eastAsia="Times New Roman" w:hAnsi="Times New Roman"/>
          <w:sz w:val="24"/>
          <w:szCs w:val="24"/>
          <w:u w:val="single"/>
          <w:lang w:eastAsia="en-AU"/>
        </w:rPr>
        <w:t>Attachment A</w:t>
      </w:r>
      <w:r w:rsidRPr="008E23C1">
        <w:rPr>
          <w:rFonts w:ascii="Times New Roman" w:eastAsia="Times New Roman" w:hAnsi="Times New Roman"/>
          <w:sz w:val="24"/>
          <w:szCs w:val="24"/>
          <w:lang w:eastAsia="en-AU"/>
        </w:rPr>
        <w:t>). Consultation on this amendment included a public consultation period inviting comment on a revised draft instrument, as well as direct invitations to comment to stakeholders. The first guidelines made in December 2008 were developed after extensive consultation with stakeholders and the arrangements in Schedule 1 for projects that are not under the Emissions Reductions Fund reflect those exi</w:t>
      </w:r>
      <w:r w:rsidR="007E47AA">
        <w:rPr>
          <w:rFonts w:ascii="Times New Roman" w:eastAsia="Times New Roman" w:hAnsi="Times New Roman"/>
          <w:sz w:val="24"/>
          <w:szCs w:val="24"/>
          <w:lang w:eastAsia="en-AU"/>
        </w:rPr>
        <w:t>s</w:t>
      </w:r>
      <w:r w:rsidRPr="008E23C1">
        <w:rPr>
          <w:rFonts w:ascii="Times New Roman" w:eastAsia="Times New Roman" w:hAnsi="Times New Roman"/>
          <w:sz w:val="24"/>
          <w:szCs w:val="24"/>
          <w:lang w:eastAsia="en-AU"/>
        </w:rPr>
        <w:t>ting arrangements.</w:t>
      </w:r>
    </w:p>
    <w:p w14:paraId="265C11D2" w14:textId="77777777" w:rsidR="008E23C1" w:rsidRPr="008E23C1" w:rsidRDefault="008E23C1" w:rsidP="008E23C1">
      <w:pPr>
        <w:spacing w:before="120" w:after="120" w:line="240" w:lineRule="auto"/>
        <w:rPr>
          <w:rFonts w:ascii="Times New Roman" w:eastAsia="Times New Roman" w:hAnsi="Times New Roman"/>
          <w:b/>
          <w:sz w:val="24"/>
          <w:szCs w:val="24"/>
          <w:lang w:eastAsia="en-AU"/>
        </w:rPr>
      </w:pPr>
      <w:r w:rsidRPr="008E23C1">
        <w:rPr>
          <w:rFonts w:ascii="Times New Roman" w:eastAsia="Times New Roman" w:hAnsi="Times New Roman"/>
          <w:b/>
          <w:sz w:val="24"/>
          <w:szCs w:val="24"/>
          <w:lang w:eastAsia="en-AU"/>
        </w:rPr>
        <w:t>Commencement</w:t>
      </w:r>
    </w:p>
    <w:p w14:paraId="265C11D3"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This instrument commenced the day after it was registered on the Federal Register of Legislation.</w:t>
      </w:r>
    </w:p>
    <w:p w14:paraId="265C11D4"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p>
    <w:p w14:paraId="265C11D5" w14:textId="77777777" w:rsidR="007C6F52" w:rsidRDefault="007C6F52">
      <w:pPr>
        <w:spacing w:after="0" w:line="240" w:lineRule="auto"/>
        <w:rPr>
          <w:rFonts w:ascii="Times New Roman" w:hAnsi="Times New Roman"/>
          <w:b/>
          <w:bCs/>
          <w:sz w:val="24"/>
          <w:szCs w:val="24"/>
        </w:rPr>
      </w:pPr>
      <w:r>
        <w:rPr>
          <w:rFonts w:ascii="Times New Roman" w:hAnsi="Times New Roman"/>
          <w:b/>
          <w:bCs/>
          <w:sz w:val="24"/>
          <w:szCs w:val="24"/>
        </w:rPr>
        <w:br w:type="page"/>
      </w:r>
    </w:p>
    <w:p w14:paraId="265C11D6" w14:textId="77777777" w:rsidR="008E23C1" w:rsidRPr="008E23C1" w:rsidRDefault="008E23C1" w:rsidP="008E23C1">
      <w:pPr>
        <w:spacing w:before="240" w:after="0"/>
        <w:rPr>
          <w:rFonts w:ascii="Times New Roman" w:hAnsi="Times New Roman"/>
          <w:b/>
          <w:bCs/>
          <w:sz w:val="24"/>
          <w:szCs w:val="24"/>
        </w:rPr>
      </w:pPr>
      <w:r w:rsidRPr="008E23C1">
        <w:rPr>
          <w:rFonts w:ascii="Times New Roman" w:hAnsi="Times New Roman"/>
          <w:b/>
          <w:bCs/>
          <w:sz w:val="24"/>
          <w:szCs w:val="24"/>
        </w:rPr>
        <w:lastRenderedPageBreak/>
        <w:t>Detailed description of the Amendment Rule</w:t>
      </w:r>
    </w:p>
    <w:p w14:paraId="265C11D7" w14:textId="77777777" w:rsidR="008E23C1" w:rsidRPr="008E23C1" w:rsidRDefault="008E23C1" w:rsidP="008E23C1">
      <w:pPr>
        <w:spacing w:before="120" w:after="120" w:line="240" w:lineRule="auto"/>
        <w:rPr>
          <w:rFonts w:ascii="Times New Roman" w:eastAsia="Times New Roman" w:hAnsi="Times New Roman"/>
          <w:lang w:eastAsia="en-AU"/>
        </w:rPr>
      </w:pPr>
      <w:r w:rsidRPr="008E23C1">
        <w:rPr>
          <w:rFonts w:ascii="Times New Roman" w:eastAsia="Times New Roman" w:hAnsi="Times New Roman"/>
          <w:sz w:val="24"/>
          <w:szCs w:val="24"/>
          <w:u w:val="single"/>
          <w:lang w:eastAsia="en-AU"/>
        </w:rPr>
        <w:t>Attachment B</w:t>
      </w:r>
      <w:r w:rsidRPr="008E23C1">
        <w:rPr>
          <w:rFonts w:ascii="Times New Roman" w:eastAsia="Times New Roman" w:hAnsi="Times New Roman"/>
          <w:sz w:val="24"/>
          <w:szCs w:val="24"/>
          <w:lang w:eastAsia="en-AU"/>
        </w:rPr>
        <w:t xml:space="preserve"> outlines and describes the sections in the Amendment Rule. </w:t>
      </w:r>
    </w:p>
    <w:p w14:paraId="265C11D8" w14:textId="77777777" w:rsidR="008E23C1" w:rsidRPr="008E23C1" w:rsidRDefault="008E23C1" w:rsidP="008E23C1">
      <w:pPr>
        <w:spacing w:before="240" w:after="0"/>
        <w:rPr>
          <w:rFonts w:ascii="Times New Roman" w:hAnsi="Times New Roman"/>
          <w:b/>
          <w:bCs/>
          <w:sz w:val="24"/>
          <w:szCs w:val="24"/>
        </w:rPr>
      </w:pPr>
      <w:r w:rsidRPr="008E23C1">
        <w:rPr>
          <w:rFonts w:ascii="Times New Roman" w:hAnsi="Times New Roman"/>
          <w:b/>
          <w:bCs/>
          <w:sz w:val="24"/>
          <w:szCs w:val="24"/>
        </w:rPr>
        <w:t>Regulatory impact</w:t>
      </w:r>
    </w:p>
    <w:p w14:paraId="265C11D9" w14:textId="77777777" w:rsidR="008E23C1" w:rsidRPr="008E23C1" w:rsidRDefault="008E23C1" w:rsidP="008E23C1">
      <w:pPr>
        <w:spacing w:before="120" w:after="120" w:line="240" w:lineRule="auto"/>
        <w:rPr>
          <w:rFonts w:ascii="Times New Roman" w:eastAsia="Times New Roman" w:hAnsi="Times New Roman"/>
          <w:b/>
          <w:i/>
          <w:sz w:val="24"/>
          <w:szCs w:val="24"/>
          <w:lang w:eastAsia="en-AU"/>
        </w:rPr>
      </w:pPr>
      <w:r w:rsidRPr="008E23C1">
        <w:rPr>
          <w:rFonts w:ascii="Times New Roman" w:eastAsia="Times New Roman" w:hAnsi="Times New Roman"/>
          <w:sz w:val="24"/>
          <w:szCs w:val="24"/>
          <w:lang w:eastAsia="en-AU"/>
        </w:rPr>
        <w:t>The Office of Best Practice Regulation has agreed that these amendments have a minor regulatory impact, and a Regulatory Impact Statement is not required.</w:t>
      </w:r>
    </w:p>
    <w:p w14:paraId="265C11DA" w14:textId="77777777" w:rsidR="008E23C1" w:rsidRPr="008E23C1" w:rsidRDefault="008E23C1" w:rsidP="008E23C1">
      <w:pPr>
        <w:keepNext/>
        <w:keepLines/>
        <w:spacing w:before="240" w:after="0"/>
        <w:rPr>
          <w:rFonts w:ascii="Times New Roman" w:hAnsi="Times New Roman"/>
          <w:b/>
          <w:bCs/>
          <w:sz w:val="24"/>
          <w:szCs w:val="24"/>
        </w:rPr>
      </w:pPr>
      <w:r w:rsidRPr="008E23C1">
        <w:rPr>
          <w:rFonts w:ascii="Times New Roman" w:hAnsi="Times New Roman"/>
          <w:b/>
          <w:bCs/>
          <w:sz w:val="24"/>
          <w:szCs w:val="24"/>
        </w:rPr>
        <w:t>Statement of compatibility with human rights</w:t>
      </w:r>
    </w:p>
    <w:p w14:paraId="265C11DB" w14:textId="77777777" w:rsidR="008E23C1" w:rsidRPr="008E23C1" w:rsidRDefault="008E23C1" w:rsidP="008E23C1">
      <w:pPr>
        <w:spacing w:before="120" w:after="120" w:line="240" w:lineRule="auto"/>
        <w:rPr>
          <w:rFonts w:ascii="Times New Roman" w:eastAsia="Times New Roman" w:hAnsi="Times New Roman"/>
          <w:sz w:val="24"/>
          <w:szCs w:val="24"/>
          <w:lang w:eastAsia="en-AU"/>
        </w:rPr>
      </w:pPr>
      <w:r w:rsidRPr="008E23C1">
        <w:rPr>
          <w:rFonts w:ascii="Times New Roman" w:eastAsia="Times New Roman" w:hAnsi="Times New Roman"/>
          <w:sz w:val="24"/>
          <w:szCs w:val="24"/>
          <w:lang w:eastAsia="en-AU"/>
        </w:rPr>
        <w:t xml:space="preserve">A statement of compatibility with human rights for the purposes of Part 3 of </w:t>
      </w:r>
      <w:r w:rsidRPr="008E23C1">
        <w:rPr>
          <w:rFonts w:ascii="Times New Roman" w:eastAsia="Times New Roman" w:hAnsi="Times New Roman"/>
          <w:i/>
          <w:sz w:val="24"/>
          <w:szCs w:val="24"/>
          <w:lang w:eastAsia="en-AU"/>
        </w:rPr>
        <w:t>the Human Rights (Parliamentary Scrutiny) Act 2011</w:t>
      </w:r>
      <w:r w:rsidRPr="008E23C1">
        <w:rPr>
          <w:rFonts w:ascii="Times New Roman" w:eastAsia="Times New Roman" w:hAnsi="Times New Roman"/>
          <w:sz w:val="24"/>
          <w:szCs w:val="24"/>
          <w:lang w:eastAsia="en-AU"/>
        </w:rPr>
        <w:t xml:space="preserve"> is set out at </w:t>
      </w:r>
      <w:r w:rsidRPr="008E23C1">
        <w:rPr>
          <w:rFonts w:ascii="Times New Roman" w:eastAsia="Times New Roman" w:hAnsi="Times New Roman"/>
          <w:sz w:val="24"/>
          <w:szCs w:val="24"/>
          <w:u w:val="single"/>
          <w:lang w:eastAsia="en-AU"/>
        </w:rPr>
        <w:t>Attachment C</w:t>
      </w:r>
      <w:r w:rsidRPr="008E23C1">
        <w:rPr>
          <w:rFonts w:ascii="Times New Roman" w:eastAsia="Times New Roman" w:hAnsi="Times New Roman"/>
          <w:sz w:val="24"/>
          <w:szCs w:val="24"/>
          <w:lang w:eastAsia="en-AU"/>
        </w:rPr>
        <w:t>.</w:t>
      </w:r>
    </w:p>
    <w:p w14:paraId="265C11DC" w14:textId="77777777" w:rsidR="007C6F52" w:rsidRPr="006378AA" w:rsidRDefault="008E23C1" w:rsidP="007C6F52">
      <w:pPr>
        <w:pStyle w:val="base-text-paragraphnonumbers"/>
        <w:ind w:left="0"/>
        <w:jc w:val="right"/>
        <w:rPr>
          <w:b/>
          <w:bCs/>
          <w:sz w:val="24"/>
          <w:szCs w:val="24"/>
          <w:u w:val="single"/>
        </w:rPr>
      </w:pPr>
      <w:r w:rsidRPr="008E23C1">
        <w:rPr>
          <w:rFonts w:ascii="Calibri" w:hAnsi="Calibri" w:cs="Calibri"/>
          <w:b/>
          <w:bCs/>
          <w:i/>
          <w:iCs/>
          <w:sz w:val="24"/>
          <w:szCs w:val="24"/>
        </w:rPr>
        <w:br w:type="page"/>
      </w:r>
    </w:p>
    <w:p w14:paraId="265C11DD" w14:textId="77777777" w:rsidR="00403E44" w:rsidRPr="00403E44" w:rsidRDefault="00403E44" w:rsidP="00403E44">
      <w:pPr>
        <w:spacing w:after="0" w:line="240" w:lineRule="auto"/>
        <w:rPr>
          <w:rFonts w:ascii="Calibri" w:hAnsi="Calibri" w:cs="Calibri"/>
          <w:b/>
          <w:bCs/>
          <w:iCs/>
          <w:sz w:val="24"/>
          <w:szCs w:val="24"/>
        </w:rPr>
        <w:sectPr w:rsidR="00403E44" w:rsidRPr="00403E44" w:rsidSect="00FA4CF0">
          <w:headerReference w:type="even" r:id="rId13"/>
          <w:headerReference w:type="default" r:id="rId14"/>
          <w:footerReference w:type="even" r:id="rId15"/>
          <w:footerReference w:type="default" r:id="rId16"/>
          <w:pgSz w:w="11906" w:h="16838"/>
          <w:pgMar w:top="1418" w:right="1276" w:bottom="567" w:left="1418" w:header="425" w:footer="425" w:gutter="0"/>
          <w:pgNumType w:start="1"/>
          <w:cols w:space="708"/>
          <w:titlePg/>
          <w:docGrid w:linePitch="360"/>
        </w:sectPr>
      </w:pPr>
    </w:p>
    <w:p w14:paraId="265C11DE" w14:textId="3F2F848E" w:rsidR="00403E44" w:rsidRDefault="00403E44" w:rsidP="00403E44">
      <w:pPr>
        <w:pStyle w:val="ReportTitle"/>
        <w:ind w:left="1361"/>
      </w:pPr>
      <w:r>
        <w:lastRenderedPageBreak/>
        <w:t>Agency Review</w:t>
      </w:r>
    </w:p>
    <w:p w14:paraId="265C11DF" w14:textId="77777777" w:rsidR="00403E44" w:rsidRPr="00814C46" w:rsidRDefault="00403E44" w:rsidP="00403E44">
      <w:pPr>
        <w:pStyle w:val="ReportTitle"/>
        <w:ind w:left="1361"/>
        <w:rPr>
          <w:sz w:val="36"/>
          <w:szCs w:val="36"/>
        </w:rPr>
      </w:pPr>
      <w:r w:rsidRPr="00814C46">
        <w:rPr>
          <w:sz w:val="36"/>
          <w:szCs w:val="36"/>
        </w:rPr>
        <w:t>Environmental and Natural Resource Management Guidelines in Relation to the Establishment of Trees for the Purposes of Carbon Sequestration</w:t>
      </w:r>
    </w:p>
    <w:p w14:paraId="265C11E0" w14:textId="77777777" w:rsidR="00403E44" w:rsidRDefault="00403E44" w:rsidP="00403E44">
      <w:pPr>
        <w:pStyle w:val="Reportsubtitle"/>
        <w:ind w:left="1361"/>
      </w:pPr>
      <w:r>
        <w:t>September 2018</w:t>
      </w:r>
    </w:p>
    <w:p w14:paraId="265C11E1" w14:textId="77777777" w:rsidR="00403E44" w:rsidRDefault="00403E44" w:rsidP="00403E44">
      <w:pPr>
        <w:pStyle w:val="Heading1"/>
      </w:pPr>
    </w:p>
    <w:p w14:paraId="265C11E2" w14:textId="77777777" w:rsidR="00403E44" w:rsidRDefault="00403E44" w:rsidP="00403E44"/>
    <w:p w14:paraId="265C11E3" w14:textId="77777777" w:rsidR="00403E44" w:rsidRPr="007A252C" w:rsidRDefault="00403E44" w:rsidP="00403E44"/>
    <w:p w14:paraId="265C11E4" w14:textId="77777777" w:rsidR="00403E44" w:rsidRDefault="00403E44" w:rsidP="00403E44">
      <w:pPr>
        <w:sectPr w:rsidR="00403E44" w:rsidSect="00855B88">
          <w:headerReference w:type="even" r:id="rId17"/>
          <w:footerReference w:type="default" r:id="rId18"/>
          <w:headerReference w:type="first" r:id="rId19"/>
          <w:footerReference w:type="first" r:id="rId20"/>
          <w:pgSz w:w="11906" w:h="16838" w:code="9"/>
          <w:pgMar w:top="3969"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EndPr/>
      <w:sdtContent>
        <w:p w14:paraId="265C11E5" w14:textId="77777777" w:rsidR="00403E44" w:rsidRDefault="00403E44" w:rsidP="00403E44">
          <w:pPr>
            <w:pStyle w:val="TOCHeading"/>
          </w:pPr>
          <w:r w:rsidRPr="005525F2">
            <w:t>Contents</w:t>
          </w:r>
        </w:p>
        <w:p w14:paraId="265C11E6" w14:textId="77777777" w:rsidR="00403E44" w:rsidRDefault="00403E44" w:rsidP="00403E44">
          <w:pPr>
            <w:pStyle w:val="TOC1"/>
            <w:tabs>
              <w:tab w:val="right" w:leader="dot" w:pos="9202"/>
            </w:tabs>
            <w:rPr>
              <w:rFonts w:asciiTheme="minorHAnsi" w:eastAsiaTheme="minorEastAsia" w:hAnsiTheme="minorHAnsi" w:cstheme="minorBidi"/>
              <w:b w:val="0"/>
              <w:noProof/>
              <w:lang w:eastAsia="en-AU"/>
            </w:rPr>
          </w:pPr>
          <w:r>
            <w:fldChar w:fldCharType="begin"/>
          </w:r>
          <w:r>
            <w:instrText xml:space="preserve"> TOC \o "1-3" \h \z \u </w:instrText>
          </w:r>
          <w:r>
            <w:fldChar w:fldCharType="separate"/>
          </w:r>
          <w:hyperlink w:anchor="_Toc525142264" w:history="1">
            <w:r w:rsidRPr="00B935B0">
              <w:rPr>
                <w:rStyle w:val="Hyperlink"/>
                <w:noProof/>
              </w:rPr>
              <w:t>Background</w:t>
            </w:r>
            <w:r>
              <w:rPr>
                <w:noProof/>
                <w:webHidden/>
              </w:rPr>
              <w:tab/>
            </w:r>
            <w:r>
              <w:rPr>
                <w:noProof/>
                <w:webHidden/>
              </w:rPr>
              <w:fldChar w:fldCharType="begin"/>
            </w:r>
            <w:r>
              <w:rPr>
                <w:noProof/>
                <w:webHidden/>
              </w:rPr>
              <w:instrText xml:space="preserve"> PAGEREF _Toc525142264 \h </w:instrText>
            </w:r>
            <w:r>
              <w:rPr>
                <w:noProof/>
                <w:webHidden/>
              </w:rPr>
            </w:r>
            <w:r>
              <w:rPr>
                <w:noProof/>
                <w:webHidden/>
              </w:rPr>
              <w:fldChar w:fldCharType="separate"/>
            </w:r>
            <w:r>
              <w:rPr>
                <w:noProof/>
                <w:webHidden/>
              </w:rPr>
              <w:t>3</w:t>
            </w:r>
            <w:r>
              <w:rPr>
                <w:noProof/>
                <w:webHidden/>
              </w:rPr>
              <w:fldChar w:fldCharType="end"/>
            </w:r>
          </w:hyperlink>
        </w:p>
        <w:p w14:paraId="265C11E7"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65" w:history="1">
            <w:r w:rsidR="00403E44" w:rsidRPr="00B935B0">
              <w:rPr>
                <w:rStyle w:val="Hyperlink"/>
                <w:noProof/>
              </w:rPr>
              <w:t>Purpose and Scope</w:t>
            </w:r>
            <w:r w:rsidR="00403E44">
              <w:rPr>
                <w:noProof/>
                <w:webHidden/>
              </w:rPr>
              <w:tab/>
            </w:r>
            <w:r w:rsidR="00403E44">
              <w:rPr>
                <w:noProof/>
                <w:webHidden/>
              </w:rPr>
              <w:fldChar w:fldCharType="begin"/>
            </w:r>
            <w:r w:rsidR="00403E44">
              <w:rPr>
                <w:noProof/>
                <w:webHidden/>
              </w:rPr>
              <w:instrText xml:space="preserve"> PAGEREF _Toc525142265 \h </w:instrText>
            </w:r>
            <w:r w:rsidR="00403E44">
              <w:rPr>
                <w:noProof/>
                <w:webHidden/>
              </w:rPr>
            </w:r>
            <w:r w:rsidR="00403E44">
              <w:rPr>
                <w:noProof/>
                <w:webHidden/>
              </w:rPr>
              <w:fldChar w:fldCharType="separate"/>
            </w:r>
            <w:r w:rsidR="00403E44">
              <w:rPr>
                <w:noProof/>
                <w:webHidden/>
              </w:rPr>
              <w:t>3</w:t>
            </w:r>
            <w:r w:rsidR="00403E44">
              <w:rPr>
                <w:noProof/>
                <w:webHidden/>
              </w:rPr>
              <w:fldChar w:fldCharType="end"/>
            </w:r>
          </w:hyperlink>
        </w:p>
        <w:p w14:paraId="265C11E8"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66" w:history="1">
            <w:r w:rsidR="00403E44" w:rsidRPr="00B935B0">
              <w:rPr>
                <w:rStyle w:val="Hyperlink"/>
                <w:noProof/>
              </w:rPr>
              <w:t>Structure of the Review</w:t>
            </w:r>
            <w:r w:rsidR="00403E44">
              <w:rPr>
                <w:noProof/>
                <w:webHidden/>
              </w:rPr>
              <w:tab/>
            </w:r>
            <w:r w:rsidR="00403E44">
              <w:rPr>
                <w:noProof/>
                <w:webHidden/>
              </w:rPr>
              <w:fldChar w:fldCharType="begin"/>
            </w:r>
            <w:r w:rsidR="00403E44">
              <w:rPr>
                <w:noProof/>
                <w:webHidden/>
              </w:rPr>
              <w:instrText xml:space="preserve"> PAGEREF _Toc525142266 \h </w:instrText>
            </w:r>
            <w:r w:rsidR="00403E44">
              <w:rPr>
                <w:noProof/>
                <w:webHidden/>
              </w:rPr>
            </w:r>
            <w:r w:rsidR="00403E44">
              <w:rPr>
                <w:noProof/>
                <w:webHidden/>
              </w:rPr>
              <w:fldChar w:fldCharType="separate"/>
            </w:r>
            <w:r w:rsidR="00403E44">
              <w:rPr>
                <w:noProof/>
                <w:webHidden/>
              </w:rPr>
              <w:t>3</w:t>
            </w:r>
            <w:r w:rsidR="00403E44">
              <w:rPr>
                <w:noProof/>
                <w:webHidden/>
              </w:rPr>
              <w:fldChar w:fldCharType="end"/>
            </w:r>
          </w:hyperlink>
        </w:p>
        <w:p w14:paraId="265C11E9"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67" w:history="1">
            <w:r w:rsidR="00403E44" w:rsidRPr="00B935B0">
              <w:rPr>
                <w:rStyle w:val="Hyperlink"/>
                <w:noProof/>
              </w:rPr>
              <w:t>Objective of the Instrument</w:t>
            </w:r>
            <w:r w:rsidR="00403E44">
              <w:rPr>
                <w:noProof/>
                <w:webHidden/>
              </w:rPr>
              <w:tab/>
            </w:r>
            <w:r w:rsidR="00403E44">
              <w:rPr>
                <w:noProof/>
                <w:webHidden/>
              </w:rPr>
              <w:fldChar w:fldCharType="begin"/>
            </w:r>
            <w:r w:rsidR="00403E44">
              <w:rPr>
                <w:noProof/>
                <w:webHidden/>
              </w:rPr>
              <w:instrText xml:space="preserve"> PAGEREF _Toc525142267 \h </w:instrText>
            </w:r>
            <w:r w:rsidR="00403E44">
              <w:rPr>
                <w:noProof/>
                <w:webHidden/>
              </w:rPr>
            </w:r>
            <w:r w:rsidR="00403E44">
              <w:rPr>
                <w:noProof/>
                <w:webHidden/>
              </w:rPr>
              <w:fldChar w:fldCharType="separate"/>
            </w:r>
            <w:r w:rsidR="00403E44">
              <w:rPr>
                <w:noProof/>
                <w:webHidden/>
              </w:rPr>
              <w:t>4</w:t>
            </w:r>
            <w:r w:rsidR="00403E44">
              <w:rPr>
                <w:noProof/>
                <w:webHidden/>
              </w:rPr>
              <w:fldChar w:fldCharType="end"/>
            </w:r>
          </w:hyperlink>
        </w:p>
        <w:p w14:paraId="265C11EA"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68" w:history="1">
            <w:r w:rsidR="00403E44" w:rsidRPr="00B935B0">
              <w:rPr>
                <w:rStyle w:val="Hyperlink"/>
                <w:noProof/>
              </w:rPr>
              <w:t>Regulatory Impact</w:t>
            </w:r>
            <w:r w:rsidR="00403E44">
              <w:rPr>
                <w:noProof/>
                <w:webHidden/>
              </w:rPr>
              <w:tab/>
            </w:r>
            <w:r w:rsidR="00403E44">
              <w:rPr>
                <w:noProof/>
                <w:webHidden/>
              </w:rPr>
              <w:fldChar w:fldCharType="begin"/>
            </w:r>
            <w:r w:rsidR="00403E44">
              <w:rPr>
                <w:noProof/>
                <w:webHidden/>
              </w:rPr>
              <w:instrText xml:space="preserve"> PAGEREF _Toc525142268 \h </w:instrText>
            </w:r>
            <w:r w:rsidR="00403E44">
              <w:rPr>
                <w:noProof/>
                <w:webHidden/>
              </w:rPr>
            </w:r>
            <w:r w:rsidR="00403E44">
              <w:rPr>
                <w:noProof/>
                <w:webHidden/>
              </w:rPr>
              <w:fldChar w:fldCharType="separate"/>
            </w:r>
            <w:r w:rsidR="00403E44">
              <w:rPr>
                <w:noProof/>
                <w:webHidden/>
              </w:rPr>
              <w:t>4</w:t>
            </w:r>
            <w:r w:rsidR="00403E44">
              <w:rPr>
                <w:noProof/>
                <w:webHidden/>
              </w:rPr>
              <w:fldChar w:fldCharType="end"/>
            </w:r>
          </w:hyperlink>
        </w:p>
        <w:p w14:paraId="265C11EB"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69" w:history="1">
            <w:r w:rsidR="00403E44" w:rsidRPr="00B935B0">
              <w:rPr>
                <w:rStyle w:val="Hyperlink"/>
                <w:noProof/>
              </w:rPr>
              <w:t>Broader Legal and Policy Context</w:t>
            </w:r>
            <w:r w:rsidR="00403E44">
              <w:rPr>
                <w:noProof/>
                <w:webHidden/>
              </w:rPr>
              <w:tab/>
            </w:r>
            <w:r w:rsidR="00403E44">
              <w:rPr>
                <w:noProof/>
                <w:webHidden/>
              </w:rPr>
              <w:fldChar w:fldCharType="begin"/>
            </w:r>
            <w:r w:rsidR="00403E44">
              <w:rPr>
                <w:noProof/>
                <w:webHidden/>
              </w:rPr>
              <w:instrText xml:space="preserve"> PAGEREF _Toc525142269 \h </w:instrText>
            </w:r>
            <w:r w:rsidR="00403E44">
              <w:rPr>
                <w:noProof/>
                <w:webHidden/>
              </w:rPr>
            </w:r>
            <w:r w:rsidR="00403E44">
              <w:rPr>
                <w:noProof/>
                <w:webHidden/>
              </w:rPr>
              <w:fldChar w:fldCharType="separate"/>
            </w:r>
            <w:r w:rsidR="00403E44">
              <w:rPr>
                <w:noProof/>
                <w:webHidden/>
              </w:rPr>
              <w:t>5</w:t>
            </w:r>
            <w:r w:rsidR="00403E44">
              <w:rPr>
                <w:noProof/>
                <w:webHidden/>
              </w:rPr>
              <w:fldChar w:fldCharType="end"/>
            </w:r>
          </w:hyperlink>
        </w:p>
        <w:p w14:paraId="265C11EC"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70" w:history="1">
            <w:r w:rsidR="00403E44" w:rsidRPr="00B935B0">
              <w:rPr>
                <w:rStyle w:val="Hyperlink"/>
                <w:noProof/>
              </w:rPr>
              <w:t>Clearer Laws</w:t>
            </w:r>
            <w:r w:rsidR="00403E44">
              <w:rPr>
                <w:noProof/>
                <w:webHidden/>
              </w:rPr>
              <w:tab/>
            </w:r>
            <w:r w:rsidR="00403E44">
              <w:rPr>
                <w:noProof/>
                <w:webHidden/>
              </w:rPr>
              <w:fldChar w:fldCharType="begin"/>
            </w:r>
            <w:r w:rsidR="00403E44">
              <w:rPr>
                <w:noProof/>
                <w:webHidden/>
              </w:rPr>
              <w:instrText xml:space="preserve"> PAGEREF _Toc525142270 \h </w:instrText>
            </w:r>
            <w:r w:rsidR="00403E44">
              <w:rPr>
                <w:noProof/>
                <w:webHidden/>
              </w:rPr>
            </w:r>
            <w:r w:rsidR="00403E44">
              <w:rPr>
                <w:noProof/>
                <w:webHidden/>
              </w:rPr>
              <w:fldChar w:fldCharType="separate"/>
            </w:r>
            <w:r w:rsidR="00403E44">
              <w:rPr>
                <w:noProof/>
                <w:webHidden/>
              </w:rPr>
              <w:t>5</w:t>
            </w:r>
            <w:r w:rsidR="00403E44">
              <w:rPr>
                <w:noProof/>
                <w:webHidden/>
              </w:rPr>
              <w:fldChar w:fldCharType="end"/>
            </w:r>
          </w:hyperlink>
        </w:p>
        <w:p w14:paraId="265C11ED"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71" w:history="1">
            <w:r w:rsidR="00403E44" w:rsidRPr="00B935B0">
              <w:rPr>
                <w:rStyle w:val="Hyperlink"/>
                <w:noProof/>
              </w:rPr>
              <w:t>Consultation</w:t>
            </w:r>
            <w:r w:rsidR="00403E44">
              <w:rPr>
                <w:noProof/>
                <w:webHidden/>
              </w:rPr>
              <w:tab/>
            </w:r>
            <w:r w:rsidR="00403E44">
              <w:rPr>
                <w:noProof/>
                <w:webHidden/>
              </w:rPr>
              <w:fldChar w:fldCharType="begin"/>
            </w:r>
            <w:r w:rsidR="00403E44">
              <w:rPr>
                <w:noProof/>
                <w:webHidden/>
              </w:rPr>
              <w:instrText xml:space="preserve"> PAGEREF _Toc525142271 \h </w:instrText>
            </w:r>
            <w:r w:rsidR="00403E44">
              <w:rPr>
                <w:noProof/>
                <w:webHidden/>
              </w:rPr>
            </w:r>
            <w:r w:rsidR="00403E44">
              <w:rPr>
                <w:noProof/>
                <w:webHidden/>
              </w:rPr>
              <w:fldChar w:fldCharType="separate"/>
            </w:r>
            <w:r w:rsidR="00403E44">
              <w:rPr>
                <w:noProof/>
                <w:webHidden/>
              </w:rPr>
              <w:t>5</w:t>
            </w:r>
            <w:r w:rsidR="00403E44">
              <w:rPr>
                <w:noProof/>
                <w:webHidden/>
              </w:rPr>
              <w:fldChar w:fldCharType="end"/>
            </w:r>
          </w:hyperlink>
        </w:p>
        <w:p w14:paraId="265C11EE" w14:textId="77777777" w:rsidR="00403E44" w:rsidRDefault="00B27099" w:rsidP="00403E44">
          <w:pPr>
            <w:pStyle w:val="TOC1"/>
            <w:tabs>
              <w:tab w:val="right" w:leader="dot" w:pos="9202"/>
            </w:tabs>
            <w:rPr>
              <w:rFonts w:asciiTheme="minorHAnsi" w:eastAsiaTheme="minorEastAsia" w:hAnsiTheme="minorHAnsi" w:cstheme="minorBidi"/>
              <w:b w:val="0"/>
              <w:noProof/>
              <w:lang w:eastAsia="en-AU"/>
            </w:rPr>
          </w:pPr>
          <w:hyperlink w:anchor="_Toc525142272" w:history="1">
            <w:r w:rsidR="00403E44" w:rsidRPr="00B935B0">
              <w:rPr>
                <w:rStyle w:val="Hyperlink"/>
                <w:noProof/>
              </w:rPr>
              <w:t>Conclusions and Recomendations</w:t>
            </w:r>
            <w:r w:rsidR="00403E44">
              <w:rPr>
                <w:noProof/>
                <w:webHidden/>
              </w:rPr>
              <w:tab/>
            </w:r>
            <w:r w:rsidR="00403E44">
              <w:rPr>
                <w:noProof/>
                <w:webHidden/>
              </w:rPr>
              <w:fldChar w:fldCharType="begin"/>
            </w:r>
            <w:r w:rsidR="00403E44">
              <w:rPr>
                <w:noProof/>
                <w:webHidden/>
              </w:rPr>
              <w:instrText xml:space="preserve"> PAGEREF _Toc525142272 \h </w:instrText>
            </w:r>
            <w:r w:rsidR="00403E44">
              <w:rPr>
                <w:noProof/>
                <w:webHidden/>
              </w:rPr>
            </w:r>
            <w:r w:rsidR="00403E44">
              <w:rPr>
                <w:noProof/>
                <w:webHidden/>
              </w:rPr>
              <w:fldChar w:fldCharType="separate"/>
            </w:r>
            <w:r w:rsidR="00403E44">
              <w:rPr>
                <w:noProof/>
                <w:webHidden/>
              </w:rPr>
              <w:t>6</w:t>
            </w:r>
            <w:r w:rsidR="00403E44">
              <w:rPr>
                <w:noProof/>
                <w:webHidden/>
              </w:rPr>
              <w:fldChar w:fldCharType="end"/>
            </w:r>
          </w:hyperlink>
        </w:p>
        <w:p w14:paraId="265C11EF" w14:textId="77777777" w:rsidR="00403E44" w:rsidRDefault="00403E44" w:rsidP="00403E44">
          <w:r>
            <w:fldChar w:fldCharType="end"/>
          </w:r>
        </w:p>
      </w:sdtContent>
    </w:sdt>
    <w:p w14:paraId="265C11F0" w14:textId="77777777" w:rsidR="00403E44" w:rsidRPr="007A252C" w:rsidRDefault="00403E44" w:rsidP="00403E44"/>
    <w:p w14:paraId="265C11F1" w14:textId="77777777" w:rsidR="00403E44" w:rsidRDefault="00403E44" w:rsidP="00403E44"/>
    <w:p w14:paraId="265C11F2" w14:textId="77777777" w:rsidR="007C6F52" w:rsidRDefault="007C6F52" w:rsidP="00403E44"/>
    <w:p w14:paraId="265C11F3" w14:textId="77777777" w:rsidR="007C6F52" w:rsidRPr="007C6F52" w:rsidRDefault="007C6F52" w:rsidP="007C6F52"/>
    <w:p w14:paraId="265C11F4" w14:textId="77777777" w:rsidR="007C6F52" w:rsidRPr="007C6F52" w:rsidRDefault="007C6F52" w:rsidP="007C6F52"/>
    <w:p w14:paraId="265C11F5" w14:textId="77777777" w:rsidR="007C6F52" w:rsidRDefault="007C6F52" w:rsidP="007C6F52">
      <w:pPr>
        <w:tabs>
          <w:tab w:val="left" w:pos="6063"/>
        </w:tabs>
      </w:pPr>
      <w:r>
        <w:tab/>
      </w:r>
    </w:p>
    <w:p w14:paraId="265C11F6" w14:textId="77777777" w:rsidR="00403E44" w:rsidRPr="007C6F52" w:rsidRDefault="007C6F52" w:rsidP="007C6F52">
      <w:pPr>
        <w:tabs>
          <w:tab w:val="left" w:pos="6063"/>
        </w:tabs>
        <w:sectPr w:rsidR="00403E44" w:rsidRPr="007C6F52" w:rsidSect="003A7D43">
          <w:headerReference w:type="first" r:id="rId21"/>
          <w:footerReference w:type="first" r:id="rId22"/>
          <w:pgSz w:w="11906" w:h="16838" w:code="9"/>
          <w:pgMar w:top="1418" w:right="1276" w:bottom="567" w:left="1418" w:header="425" w:footer="425" w:gutter="0"/>
          <w:cols w:space="708"/>
          <w:titlePg/>
          <w:docGrid w:linePitch="360"/>
        </w:sectPr>
      </w:pPr>
      <w:r>
        <w:tab/>
      </w:r>
    </w:p>
    <w:p w14:paraId="265C11F7" w14:textId="77777777" w:rsidR="00403E44" w:rsidRDefault="00403E44" w:rsidP="00403E44"/>
    <w:p w14:paraId="265C11F8" w14:textId="77777777" w:rsidR="00403E44" w:rsidRDefault="00403E44" w:rsidP="00403E44">
      <w:pPr>
        <w:pStyle w:val="Heading1"/>
      </w:pPr>
      <w:bookmarkStart w:id="1" w:name="_Toc525142264"/>
      <w:r>
        <w:t>Background</w:t>
      </w:r>
      <w:bookmarkEnd w:id="1"/>
    </w:p>
    <w:p w14:paraId="265C11F9" w14:textId="77777777" w:rsidR="00403E44" w:rsidRPr="004B691F" w:rsidRDefault="00403E44" w:rsidP="00403E44">
      <w:r w:rsidRPr="004B691F">
        <w:t>Subdivision 40-J of the</w:t>
      </w:r>
      <w:r w:rsidRPr="00C7073D">
        <w:rPr>
          <w:i/>
        </w:rPr>
        <w:t xml:space="preserve"> Income Tax Assessment Act 1997 </w:t>
      </w:r>
      <w:r w:rsidRPr="004B691F">
        <w:t>(ITAA) provides for tax deductions for the costs of establishing trees for the purpose of carbon sequestration (referred to in the ITAA as carbon sink forests).</w:t>
      </w:r>
    </w:p>
    <w:p w14:paraId="265C11FA" w14:textId="77777777" w:rsidR="00403E44" w:rsidRPr="004B691F" w:rsidRDefault="00403E44" w:rsidP="00403E44">
      <w:r w:rsidRPr="004B691F">
        <w:t>One of the conditions o</w:t>
      </w:r>
      <w:r>
        <w:t>f</w:t>
      </w:r>
      <w:r w:rsidRPr="004B691F">
        <w:t xml:space="preserve"> tax deductibility is that the establishment of the trees must meet </w:t>
      </w:r>
      <w:r w:rsidRPr="004B691F">
        <w:rPr>
          <w:i/>
        </w:rPr>
        <w:t>Environmental and Natural Resource Management Guidelines in relation to the establishment of trees for the purposes of carbon sequestration</w:t>
      </w:r>
      <w:r w:rsidRPr="004B691F">
        <w:t xml:space="preserve"> (the Guidelines). The Guidelines are a legislative instrument. The ITAA provides that the Department of the Environment and Energy </w:t>
      </w:r>
      <w:r>
        <w:t xml:space="preserve">(DoEE) </w:t>
      </w:r>
      <w:r w:rsidRPr="004B691F">
        <w:t>is responsible for assessing compliance with the Guidelines.</w:t>
      </w:r>
    </w:p>
    <w:p w14:paraId="265C11FB" w14:textId="77777777" w:rsidR="00403E44" w:rsidRPr="004B691F" w:rsidRDefault="00403E44" w:rsidP="00403E44">
      <w:r w:rsidRPr="004B691F">
        <w:t xml:space="preserve">The Guidelines were made on 1 December 2008 and are scheduled to sunset on 1 April 2019. Sunsetting is a process of automatic repeal of legislative instruments that occurs approximately </w:t>
      </w:r>
      <w:r>
        <w:t>ten</w:t>
      </w:r>
      <w:r w:rsidRPr="004B691F">
        <w:t xml:space="preserve"> years after their registration on the Federal Register of Legislation. If an instrument sunsets, it ceases to have any effect.</w:t>
      </w:r>
    </w:p>
    <w:p w14:paraId="265C11FC" w14:textId="77777777" w:rsidR="00403E44" w:rsidRDefault="00403E44" w:rsidP="00403E44">
      <w:pPr>
        <w:pStyle w:val="Heading1"/>
      </w:pPr>
    </w:p>
    <w:p w14:paraId="265C11FD" w14:textId="77777777" w:rsidR="00403E44" w:rsidRDefault="00403E44" w:rsidP="00403E44">
      <w:pPr>
        <w:pStyle w:val="Heading1"/>
      </w:pPr>
      <w:bookmarkStart w:id="2" w:name="_Toc525142265"/>
      <w:r>
        <w:t>Purpose and Scope</w:t>
      </w:r>
      <w:bookmarkEnd w:id="2"/>
    </w:p>
    <w:p w14:paraId="265C11FE" w14:textId="77777777" w:rsidR="00403E44" w:rsidRPr="004B691F" w:rsidRDefault="00403E44" w:rsidP="00403E44">
      <w:r w:rsidRPr="004B691F">
        <w:t>This paper reviews the fitness for purpose of the Guidelines, in preparation for their scheduled sunsetting. It does not review subdivision 40-J of the ITAA, or associated taxation policies.</w:t>
      </w:r>
    </w:p>
    <w:p w14:paraId="265C11FF" w14:textId="77777777" w:rsidR="00403E44" w:rsidRPr="004B691F" w:rsidRDefault="00403E44" w:rsidP="00403E44">
      <w:r w:rsidRPr="004B691F">
        <w:t>The review is an essential part of the sunsetting process. It informs the rule-maker’s decision about whether the instrument should be left to sunset, remade with amendment, remade without amendment or rolled over by the Parliament.</w:t>
      </w:r>
    </w:p>
    <w:p w14:paraId="265C1200" w14:textId="77777777" w:rsidR="00403E44" w:rsidRPr="00F65473" w:rsidRDefault="00403E44" w:rsidP="00403E44">
      <w:r w:rsidRPr="004D2D4B">
        <w:t xml:space="preserve">This review conducts an assessment of the effectiveness and efficiency </w:t>
      </w:r>
      <w:r>
        <w:t xml:space="preserve">of </w:t>
      </w:r>
      <w:r w:rsidRPr="004D2D4B">
        <w:t>the Guidelines</w:t>
      </w:r>
      <w:r>
        <w:t xml:space="preserve"> by means of a fit for purpose </w:t>
      </w:r>
      <w:r w:rsidRPr="002F3946">
        <w:t>test</w:t>
      </w:r>
      <w:r>
        <w:t>.</w:t>
      </w:r>
    </w:p>
    <w:p w14:paraId="265C1201" w14:textId="77777777" w:rsidR="00403E44" w:rsidRDefault="00403E44" w:rsidP="00403E44">
      <w:pPr>
        <w:pStyle w:val="Heading1"/>
      </w:pPr>
    </w:p>
    <w:p w14:paraId="265C1202" w14:textId="77777777" w:rsidR="00403E44" w:rsidRPr="004B691F" w:rsidRDefault="00403E44" w:rsidP="00403E44">
      <w:pPr>
        <w:pStyle w:val="Heading1"/>
      </w:pPr>
      <w:bookmarkStart w:id="3" w:name="_Toc525142266"/>
      <w:r w:rsidRPr="004B691F">
        <w:t>Structure of the Review</w:t>
      </w:r>
      <w:bookmarkEnd w:id="3"/>
    </w:p>
    <w:p w14:paraId="265C1203" w14:textId="77777777" w:rsidR="00403E44" w:rsidRPr="004B691F" w:rsidRDefault="00403E44" w:rsidP="00403E44">
      <w:r w:rsidRPr="004B691F">
        <w:t>This</w:t>
      </w:r>
      <w:r>
        <w:t xml:space="preserve"> review</w:t>
      </w:r>
      <w:r w:rsidRPr="004B691F">
        <w:t xml:space="preserve"> follows the approaches recommended for conducting a fit for purpose </w:t>
      </w:r>
      <w:r>
        <w:t>test</w:t>
      </w:r>
      <w:r w:rsidRPr="004B691F">
        <w:t xml:space="preserve"> outlined in the Attorney General’s Department’s Guide to managing sunsetting instruments</w:t>
      </w:r>
      <w:r w:rsidRPr="004D2D4B">
        <w:rPr>
          <w:vertAlign w:val="superscript"/>
        </w:rPr>
        <w:footnoteReference w:id="1"/>
      </w:r>
      <w:r>
        <w:t xml:space="preserve"> </w:t>
      </w:r>
      <w:r w:rsidRPr="004B691F">
        <w:t>and applies the principles outlined in the Office of Best Practice Regulation’s guidance note on sunsetting instruments</w:t>
      </w:r>
      <w:r w:rsidRPr="004D2D4B">
        <w:rPr>
          <w:vertAlign w:val="superscript"/>
        </w:rPr>
        <w:footnoteReference w:id="2"/>
      </w:r>
      <w:r w:rsidRPr="004B691F">
        <w:t>.This includes assessment of: the objective of the instrument; its regulatory impact; broader legal and policy context; compliance with clearer laws principles and outcomes from public consultation.</w:t>
      </w:r>
    </w:p>
    <w:p w14:paraId="265C1204" w14:textId="77777777" w:rsidR="00403E44" w:rsidRDefault="00403E44" w:rsidP="00403E44">
      <w:pPr>
        <w:pStyle w:val="Heading1"/>
      </w:pPr>
    </w:p>
    <w:p w14:paraId="265C1205" w14:textId="77777777" w:rsidR="00403E44" w:rsidRPr="004B691F" w:rsidRDefault="00403E44" w:rsidP="00403E44">
      <w:pPr>
        <w:pStyle w:val="Heading1"/>
      </w:pPr>
      <w:bookmarkStart w:id="4" w:name="_Toc525142267"/>
      <w:r w:rsidRPr="004B691F">
        <w:t>Objective of the Instrument</w:t>
      </w:r>
      <w:bookmarkEnd w:id="4"/>
    </w:p>
    <w:p w14:paraId="265C1206" w14:textId="77777777" w:rsidR="00403E44" w:rsidRPr="004B691F" w:rsidRDefault="00403E44" w:rsidP="00403E44">
      <w:r w:rsidRPr="004B691F">
        <w:t xml:space="preserve">Subsection 40-1010(3) of the ITAA provides that the Minister administering the </w:t>
      </w:r>
      <w:r w:rsidRPr="00195A3D">
        <w:rPr>
          <w:i/>
        </w:rPr>
        <w:t xml:space="preserve">National Greenhouse and Energy Reporting Act 2007 </w:t>
      </w:r>
      <w:r w:rsidRPr="004B691F">
        <w:t xml:space="preserve">must, by legislative instrument, make guidelines about environmental and natural resource management in relation to the establishment of trees for the purposes of carbon sequestration. </w:t>
      </w:r>
    </w:p>
    <w:p w14:paraId="265C1207" w14:textId="77777777" w:rsidR="00403E44" w:rsidRPr="004B691F" w:rsidRDefault="00403E44" w:rsidP="00403E44">
      <w:r w:rsidRPr="004B691F">
        <w:t>Taxpayers seeking the tax deduction must ensure their planting projects comply with the Guidelines to be eligible (</w:t>
      </w:r>
      <w:r>
        <w:t>paragraph</w:t>
      </w:r>
      <w:r w:rsidRPr="004B691F">
        <w:t xml:space="preserve"> 40-1010(2)</w:t>
      </w:r>
      <w:r>
        <w:t>(d))</w:t>
      </w:r>
      <w:r w:rsidRPr="004B691F">
        <w:t xml:space="preserve">. Subsection 40-1010(6) establishes </w:t>
      </w:r>
      <w:r>
        <w:t>the</w:t>
      </w:r>
      <w:r w:rsidRPr="004B691F">
        <w:t xml:space="preserve"> role </w:t>
      </w:r>
      <w:r>
        <w:t>of</w:t>
      </w:r>
      <w:r w:rsidRPr="004B691F">
        <w:t xml:space="preserve"> the Department </w:t>
      </w:r>
      <w:r>
        <w:t>to</w:t>
      </w:r>
      <w:r w:rsidRPr="004B691F">
        <w:t xml:space="preserve"> assess compliance with the Guidelines. Claims for the tax deduction also need to meet other conditions</w:t>
      </w:r>
      <w:r>
        <w:t xml:space="preserve"> not covered in this review</w:t>
      </w:r>
      <w:r w:rsidRPr="004B691F">
        <w:t>.</w:t>
      </w:r>
    </w:p>
    <w:p w14:paraId="265C1208" w14:textId="77777777" w:rsidR="00403E44" w:rsidRPr="004B691F" w:rsidRDefault="00403E44" w:rsidP="00403E44">
      <w:r w:rsidRPr="004B691F">
        <w:t xml:space="preserve">The Guidelines cover </w:t>
      </w:r>
      <w:r>
        <w:t>the following</w:t>
      </w:r>
      <w:r w:rsidRPr="004B691F">
        <w:t xml:space="preserve"> </w:t>
      </w:r>
      <w:r>
        <w:t xml:space="preserve">requirements that </w:t>
      </w:r>
      <w:r w:rsidRPr="004B691F">
        <w:t xml:space="preserve">carbon sink forest plantings seeking the tax deduction </w:t>
      </w:r>
      <w:r>
        <w:t xml:space="preserve">must </w:t>
      </w:r>
      <w:r w:rsidRPr="004B691F">
        <w:t xml:space="preserve">comply with: (1) adhering to best practice approaches for achieving water and land environmental benefits, (2) complying with applicable government </w:t>
      </w:r>
      <w:r>
        <w:t>regulatory requirements</w:t>
      </w:r>
      <w:r w:rsidRPr="004B691F">
        <w:t xml:space="preserve"> and being guided </w:t>
      </w:r>
      <w:r>
        <w:t xml:space="preserve">by </w:t>
      </w:r>
      <w:r w:rsidRPr="004B691F">
        <w:t>regional natural resource management plans, and (3) registering legal rights concerning carbon sequestration in carbon sink forests on the land title.</w:t>
      </w:r>
    </w:p>
    <w:p w14:paraId="265C1209" w14:textId="77777777" w:rsidR="00403E44" w:rsidRPr="004B691F" w:rsidRDefault="00403E44" w:rsidP="00403E44">
      <w:r w:rsidRPr="004B691F">
        <w:t xml:space="preserve">If the instrument </w:t>
      </w:r>
      <w:r>
        <w:t xml:space="preserve">is </w:t>
      </w:r>
      <w:r w:rsidRPr="004B691F">
        <w:t>allowed to sunset, taxpayers would not be able to meet one of the conditions for obtaining a tax deduction for the costs of establishing carbon sink forests, and therefore would not be able to claim a deduction.</w:t>
      </w:r>
      <w:r>
        <w:t xml:space="preserve"> </w:t>
      </w:r>
      <w:r w:rsidRPr="004B691F">
        <w:t>The Guidelines are required, to enable the tax deduction provision to continue to operate.</w:t>
      </w:r>
    </w:p>
    <w:p w14:paraId="265C120A" w14:textId="77777777" w:rsidR="00403E44" w:rsidRDefault="00403E44" w:rsidP="00403E44">
      <w:pPr>
        <w:pStyle w:val="Heading1"/>
      </w:pPr>
    </w:p>
    <w:p w14:paraId="265C120B" w14:textId="77777777" w:rsidR="00403E44" w:rsidRPr="004B691F" w:rsidRDefault="00403E44" w:rsidP="00403E44">
      <w:pPr>
        <w:pStyle w:val="Heading1"/>
      </w:pPr>
      <w:bookmarkStart w:id="5" w:name="_Toc525142268"/>
      <w:r w:rsidRPr="004B691F">
        <w:t>Regulatory Impact</w:t>
      </w:r>
      <w:bookmarkEnd w:id="5"/>
    </w:p>
    <w:p w14:paraId="265C120C" w14:textId="77777777" w:rsidR="00403E44" w:rsidRDefault="00403E44" w:rsidP="00403E44">
      <w:r w:rsidRPr="00D70E7D">
        <w:t>T</w:t>
      </w:r>
      <w:r w:rsidRPr="004B691F">
        <w:t xml:space="preserve">he primary regulatory impact of the Guidelines is the requirement for taxpayers to submit </w:t>
      </w:r>
      <w:r>
        <w:t xml:space="preserve">a carbon sink statement providing </w:t>
      </w:r>
      <w:r w:rsidRPr="004B691F">
        <w:t xml:space="preserve">information and evidence of meeting each of the requirements </w:t>
      </w:r>
      <w:r>
        <w:t xml:space="preserve">in </w:t>
      </w:r>
      <w:r w:rsidRPr="004B691F">
        <w:t xml:space="preserve">the Guidelines, </w:t>
      </w:r>
      <w:r>
        <w:t>when they submit</w:t>
      </w:r>
      <w:r w:rsidRPr="004B691F">
        <w:t xml:space="preserve"> a Notice of Assessment to the </w:t>
      </w:r>
      <w:r>
        <w:t>Australian Taxation Office (</w:t>
      </w:r>
      <w:r w:rsidRPr="004B691F">
        <w:t>ATO</w:t>
      </w:r>
      <w:r>
        <w:t>)</w:t>
      </w:r>
      <w:r w:rsidRPr="004B691F">
        <w:t xml:space="preserve">. </w:t>
      </w:r>
    </w:p>
    <w:p w14:paraId="265C120D" w14:textId="77777777" w:rsidR="00403E44" w:rsidRDefault="00403E44" w:rsidP="00403E44">
      <w:r w:rsidRPr="004B691F">
        <w:t>If a taxpayer has not provided sufficient information demonstrating the current environmental and natural resource management guidelines have been addressed</w:t>
      </w:r>
      <w:r>
        <w:t xml:space="preserve"> in the Notice of Assessment</w:t>
      </w:r>
      <w:r w:rsidRPr="004B691F">
        <w:t xml:space="preserve">, DoEE advises the ATO that further evidence is required. The ATO then advises the taxpayer that further evidence is required. DoEE considers any further evidence obtained from the taxpayer to determine compliance with the guidelines. If further evidence is not provided, or if evidence is provided showing that all components of the guidelines have been considered but the Notice of Assessment does not demonstrate that all components of the </w:t>
      </w:r>
      <w:r w:rsidRPr="009B3BA9">
        <w:t xml:space="preserve">Guidelines </w:t>
      </w:r>
      <w:r w:rsidRPr="004B691F">
        <w:t>have been adhered to, the claim is assessed as non-compliant and a non-compliance Notice is issued to the Commissioner.</w:t>
      </w:r>
    </w:p>
    <w:p w14:paraId="265C120E" w14:textId="77777777" w:rsidR="00403E44" w:rsidRDefault="00403E44" w:rsidP="00403E44">
      <w:r w:rsidRPr="009B3BA9">
        <w:t xml:space="preserve">In 2010, the former Department of Climate Change and Energy Efficiency (DCCEE) </w:t>
      </w:r>
      <w:r>
        <w:t xml:space="preserve">and ATO </w:t>
      </w:r>
      <w:r w:rsidRPr="009B3BA9">
        <w:t>identified that for most claims i</w:t>
      </w:r>
      <w:r>
        <w:t>t</w:t>
      </w:r>
      <w:r w:rsidRPr="009B3BA9">
        <w:t xml:space="preserve"> was necessary to seek further information from the taxpayer</w:t>
      </w:r>
      <w:r>
        <w:t>,</w:t>
      </w:r>
      <w:r w:rsidRPr="009B3BA9">
        <w:t xml:space="preserve"> as insufficient information was being supplied with the Notice of Assessment to demonstrate compliance with </w:t>
      </w:r>
      <w:r>
        <w:t>the Guidelines and other conditions for eligibility for the tax deduction</w:t>
      </w:r>
      <w:r w:rsidRPr="009B3BA9">
        <w:t>.</w:t>
      </w:r>
      <w:r>
        <w:t xml:space="preserve"> T</w:t>
      </w:r>
      <w:r w:rsidRPr="009B3BA9">
        <w:t xml:space="preserve">he ATO and DCCEE </w:t>
      </w:r>
      <w:r>
        <w:t>amended</w:t>
      </w:r>
      <w:r w:rsidRPr="009B3BA9">
        <w:t xml:space="preserve"> the application form and accompanying instructions for taxpayers to </w:t>
      </w:r>
      <w:r>
        <w:t xml:space="preserve">expand on and </w:t>
      </w:r>
      <w:r w:rsidRPr="009B3BA9">
        <w:t xml:space="preserve">clarify requirements around </w:t>
      </w:r>
      <w:r>
        <w:t xml:space="preserve">the </w:t>
      </w:r>
      <w:r w:rsidRPr="009B3BA9">
        <w:t xml:space="preserve">information required. This additional guidance </w:t>
      </w:r>
      <w:r>
        <w:t>proved</w:t>
      </w:r>
      <w:r w:rsidRPr="009B3BA9">
        <w:t xml:space="preserve"> effective</w:t>
      </w:r>
      <w:r>
        <w:t xml:space="preserve"> in reducing the regulatory burden of seeking a deduction, as all </w:t>
      </w:r>
      <w:r w:rsidRPr="009B3BA9">
        <w:t xml:space="preserve">subsequent Notices of Assessment </w:t>
      </w:r>
      <w:r>
        <w:t>have provided sufficient information</w:t>
      </w:r>
      <w:r w:rsidRPr="009B3BA9">
        <w:t>.</w:t>
      </w:r>
    </w:p>
    <w:p w14:paraId="265C120F" w14:textId="77777777" w:rsidR="00403E44" w:rsidRDefault="00403E44" w:rsidP="00403E44">
      <w:r w:rsidRPr="009B3BA9">
        <w:lastRenderedPageBreak/>
        <w:t xml:space="preserve">The Guidelines do not require any new regulatory arrangements at any level of government. They were developed to leverage existing state and regional frameworks for best practice land management, to avoid negative environmental outcomes, and provide realistic compliance and administration costs for government and taxpayers. </w:t>
      </w:r>
    </w:p>
    <w:p w14:paraId="265C1210" w14:textId="77777777" w:rsidR="00403E44" w:rsidRDefault="00403E44" w:rsidP="00403E44">
      <w:pPr>
        <w:tabs>
          <w:tab w:val="left" w:pos="4678"/>
        </w:tabs>
      </w:pPr>
      <w:r>
        <w:t xml:space="preserve">One area of potentially avoidable regulatory burden associated with the Guidelines is that there is some duplication of regulatory requirements in the case of projects participating in the </w:t>
      </w:r>
      <w:r w:rsidRPr="004B691F">
        <w:t xml:space="preserve">Australian Government’s </w:t>
      </w:r>
      <w:r>
        <w:t xml:space="preserve">Emissions Reduction Fund (ERF) under the </w:t>
      </w:r>
      <w:r w:rsidRPr="003263EB">
        <w:rPr>
          <w:i/>
        </w:rPr>
        <w:t>Carbon Credits</w:t>
      </w:r>
      <w:r>
        <w:t xml:space="preserve"> (</w:t>
      </w:r>
      <w:r w:rsidRPr="00E62676">
        <w:rPr>
          <w:i/>
        </w:rPr>
        <w:t>Carbon Farming Initiative</w:t>
      </w:r>
      <w:r>
        <w:rPr>
          <w:i/>
        </w:rPr>
        <w:t>)</w:t>
      </w:r>
      <w:r w:rsidRPr="00E62676">
        <w:rPr>
          <w:i/>
        </w:rPr>
        <w:t xml:space="preserve"> Act 2011</w:t>
      </w:r>
      <w:r>
        <w:rPr>
          <w:i/>
        </w:rPr>
        <w:t>.</w:t>
      </w:r>
    </w:p>
    <w:p w14:paraId="265C1211" w14:textId="77777777" w:rsidR="00403E44" w:rsidRDefault="00403E44" w:rsidP="00403E44">
      <w:pPr>
        <w:tabs>
          <w:tab w:val="left" w:pos="4678"/>
        </w:tabs>
      </w:pPr>
      <w:r w:rsidRPr="00C25715">
        <w:t xml:space="preserve">No concerns or complaints </w:t>
      </w:r>
      <w:r>
        <w:t xml:space="preserve">about regulatory burden or other aspects of the Guidelines </w:t>
      </w:r>
      <w:r w:rsidRPr="00C25715">
        <w:t xml:space="preserve">have been raised </w:t>
      </w:r>
      <w:r>
        <w:t xml:space="preserve">with DoEE </w:t>
      </w:r>
      <w:r w:rsidRPr="00C25715">
        <w:t>by taxpayers or the public since the Guidelines’ inception</w:t>
      </w:r>
      <w:r>
        <w:t>.</w:t>
      </w:r>
      <w:r w:rsidRPr="00C25715">
        <w:t xml:space="preserve"> </w:t>
      </w:r>
      <w:r>
        <w:t>DoEE did not receive any indications of concerns during consultation conducted as part of this review.</w:t>
      </w:r>
    </w:p>
    <w:p w14:paraId="265C1212" w14:textId="77777777" w:rsidR="00403E44" w:rsidRDefault="00403E44" w:rsidP="00403E44">
      <w:pPr>
        <w:tabs>
          <w:tab w:val="left" w:pos="4678"/>
        </w:tabs>
      </w:pPr>
    </w:p>
    <w:p w14:paraId="265C1213" w14:textId="77777777" w:rsidR="00403E44" w:rsidRDefault="00403E44" w:rsidP="00403E44">
      <w:pPr>
        <w:pStyle w:val="Heading1"/>
      </w:pPr>
      <w:bookmarkStart w:id="6" w:name="_Toc525142269"/>
      <w:r w:rsidRPr="004B691F">
        <w:t>Broader Legal and Policy Context</w:t>
      </w:r>
      <w:bookmarkEnd w:id="6"/>
    </w:p>
    <w:p w14:paraId="265C1214" w14:textId="77777777" w:rsidR="00403E44" w:rsidRDefault="00403E44" w:rsidP="00403E44">
      <w:r>
        <w:t xml:space="preserve">The Guidelines form part of Australian taxation law. They do not touch on any legal or policy issues identified for consideration in the Office of Best Practice Regulation’s guidance (Australia’s obligations under international law, constitutional law, criminal law, administrative law, privacy law and deregulation). </w:t>
      </w:r>
    </w:p>
    <w:p w14:paraId="265C1215" w14:textId="77777777" w:rsidR="00403E44" w:rsidRDefault="00403E44" w:rsidP="00403E44">
      <w:r>
        <w:t>The Guidelines are of relevance to the broader legal framework around carbon sink forest establishment in Australia. In particular, t</w:t>
      </w:r>
      <w:r w:rsidRPr="004B691F">
        <w:t xml:space="preserve">he </w:t>
      </w:r>
      <w:r>
        <w:t xml:space="preserve">ERF </w:t>
      </w:r>
      <w:r w:rsidRPr="004B691F">
        <w:t xml:space="preserve">provides an incentive to establish forests for the purpose of sequestering carbon, to generate carbon credits. The </w:t>
      </w:r>
      <w:r>
        <w:t xml:space="preserve">ERF </w:t>
      </w:r>
      <w:r w:rsidRPr="004B691F">
        <w:t xml:space="preserve">requires </w:t>
      </w:r>
      <w:r>
        <w:t xml:space="preserve">these </w:t>
      </w:r>
      <w:r w:rsidRPr="004B691F">
        <w:t xml:space="preserve">projects to comply with </w:t>
      </w:r>
      <w:r>
        <w:t xml:space="preserve">rigorous eligibility requirements, several of which are similar to </w:t>
      </w:r>
      <w:r w:rsidRPr="004B691F">
        <w:t>those specified in the Guidelines.</w:t>
      </w:r>
      <w:r>
        <w:t xml:space="preserve"> </w:t>
      </w:r>
    </w:p>
    <w:p w14:paraId="265C1216" w14:textId="77777777" w:rsidR="00403E44" w:rsidRDefault="00403E44" w:rsidP="00403E44">
      <w:pPr>
        <w:spacing w:after="0" w:line="240" w:lineRule="auto"/>
        <w:rPr>
          <w:rFonts w:cs="Arial"/>
          <w:b/>
          <w:caps/>
        </w:rPr>
      </w:pPr>
    </w:p>
    <w:p w14:paraId="265C1217" w14:textId="77777777" w:rsidR="00403E44" w:rsidRPr="004B691F" w:rsidRDefault="00403E44" w:rsidP="00403E44">
      <w:pPr>
        <w:pStyle w:val="Heading1"/>
      </w:pPr>
      <w:bookmarkStart w:id="7" w:name="_Toc525142270"/>
      <w:r w:rsidRPr="004B691F">
        <w:t>Clearer Laws</w:t>
      </w:r>
      <w:bookmarkEnd w:id="7"/>
    </w:p>
    <w:p w14:paraId="265C1218" w14:textId="77777777" w:rsidR="00403E44" w:rsidRDefault="00403E44" w:rsidP="00403E44">
      <w:r w:rsidRPr="004B691F">
        <w:t>Reducing complexity of legislation including regulations is a core clearer laws principle</w:t>
      </w:r>
      <w:r w:rsidRPr="006145E5">
        <w:rPr>
          <w:vertAlign w:val="superscript"/>
        </w:rPr>
        <w:footnoteReference w:id="3"/>
      </w:r>
      <w:r w:rsidRPr="004B691F">
        <w:t xml:space="preserve">. </w:t>
      </w:r>
      <w:r>
        <w:t>This review finds the Guidelines are clear and concise. The level of specificity is appropriate to the objectives of the guidelines, and the terminology and references to other regulation can be readily understood by those intending to claim a tax deduction.</w:t>
      </w:r>
    </w:p>
    <w:p w14:paraId="265C1219" w14:textId="77777777" w:rsidR="00403E44" w:rsidRDefault="00403E44" w:rsidP="00403E44">
      <w:r>
        <w:t xml:space="preserve">Minor reformatting of the Guidelines and updating would be required to be consistent with </w:t>
      </w:r>
      <w:r w:rsidRPr="004B691F">
        <w:t xml:space="preserve">other instruments and current drafting standards. </w:t>
      </w:r>
    </w:p>
    <w:p w14:paraId="265C121A" w14:textId="77777777" w:rsidR="00403E44" w:rsidRDefault="00403E44" w:rsidP="00403E44"/>
    <w:p w14:paraId="265C121B" w14:textId="77777777" w:rsidR="00403E44" w:rsidRPr="004B691F" w:rsidRDefault="00403E44" w:rsidP="00403E44">
      <w:pPr>
        <w:pStyle w:val="Heading1"/>
      </w:pPr>
      <w:bookmarkStart w:id="8" w:name="_Toc525142271"/>
      <w:r w:rsidRPr="004B691F">
        <w:t>Consultation</w:t>
      </w:r>
      <w:bookmarkEnd w:id="8"/>
    </w:p>
    <w:p w14:paraId="265C121C" w14:textId="77777777" w:rsidR="00403E44" w:rsidRDefault="00403E44" w:rsidP="00403E44">
      <w:r>
        <w:t>DoEE conducted p</w:t>
      </w:r>
      <w:r w:rsidRPr="004B691F">
        <w:t>ublic consultation between 31 August and 14 September 2018</w:t>
      </w:r>
      <w:r>
        <w:t xml:space="preserve"> to inform this review</w:t>
      </w:r>
      <w:r w:rsidRPr="004B691F">
        <w:t>.</w:t>
      </w:r>
      <w:r>
        <w:t xml:space="preserve"> This included publication of a </w:t>
      </w:r>
      <w:r w:rsidRPr="004B691F">
        <w:t>proposed amendment</w:t>
      </w:r>
      <w:r>
        <w:t xml:space="preserve"> to the Guidelines to update them and reduce regulatory burden for ERF projects. The proposed amendment was in response to draft conclusions of this sunsetting review. </w:t>
      </w:r>
    </w:p>
    <w:p w14:paraId="265C121D" w14:textId="77777777" w:rsidR="00403E44" w:rsidRDefault="00403E44" w:rsidP="00403E44">
      <w:r>
        <w:lastRenderedPageBreak/>
        <w:t>DoEE published the proposed amendment on its website and forwarded it to stakeholders including carbon sink forest growers who have previously claimed the tax deduction and participated in the ERF, the Treasury, the Australian Taxation Office and NRM Regions Australia. DoEE did not receive any responses.</w:t>
      </w:r>
    </w:p>
    <w:p w14:paraId="265C121E" w14:textId="77777777" w:rsidR="00403E44" w:rsidRDefault="00403E44" w:rsidP="00403E44">
      <w:r>
        <w:t>The Office of Best Practice Regulation reviewed the proposed amendment to the Guidelines, concluding that due to its minor nature a Regulatory Impact Statement is not required.</w:t>
      </w:r>
    </w:p>
    <w:p w14:paraId="265C121F" w14:textId="77777777" w:rsidR="00403E44" w:rsidRDefault="00403E44" w:rsidP="00403E44">
      <w:pPr>
        <w:pStyle w:val="Heading1"/>
      </w:pPr>
    </w:p>
    <w:p w14:paraId="265C1220" w14:textId="77777777" w:rsidR="00403E44" w:rsidRPr="004B691F" w:rsidRDefault="00403E44" w:rsidP="00403E44">
      <w:pPr>
        <w:pStyle w:val="Heading1"/>
      </w:pPr>
      <w:bookmarkStart w:id="9" w:name="_Toc525142272"/>
      <w:r w:rsidRPr="004B691F">
        <w:t>Conclusions</w:t>
      </w:r>
      <w:r>
        <w:t xml:space="preserve"> and RecoMmendations</w:t>
      </w:r>
      <w:bookmarkEnd w:id="9"/>
    </w:p>
    <w:p w14:paraId="265C1221" w14:textId="77777777" w:rsidR="00403E44" w:rsidRDefault="00403E44" w:rsidP="00403E44">
      <w:r>
        <w:t>A review of th</w:t>
      </w:r>
      <w:r w:rsidRPr="004B691F">
        <w:t xml:space="preserve">e Guidelines </w:t>
      </w:r>
      <w:r>
        <w:t xml:space="preserve">has found they have </w:t>
      </w:r>
      <w:r w:rsidRPr="004B691F">
        <w:t>been operating effectively and efficiently.</w:t>
      </w:r>
      <w:r>
        <w:t xml:space="preserve"> </w:t>
      </w:r>
    </w:p>
    <w:p w14:paraId="265C1222" w14:textId="77777777" w:rsidR="00403E44" w:rsidRPr="004B691F" w:rsidRDefault="00403E44" w:rsidP="00403E44">
      <w:r>
        <w:t xml:space="preserve">This finding is supported by the Guidelines operating since inception without complaints or concerns being raised by taxpayers or the public, and a public consultation process concluding without any concerns being raised over the operation of Guidelines. </w:t>
      </w:r>
    </w:p>
    <w:p w14:paraId="265C1223" w14:textId="77777777" w:rsidR="00403E44" w:rsidRDefault="00403E44" w:rsidP="00403E44">
      <w:r w:rsidRPr="004B691F">
        <w:t xml:space="preserve">If </w:t>
      </w:r>
      <w:r>
        <w:t xml:space="preserve">the Guidelines instrument is </w:t>
      </w:r>
      <w:r w:rsidRPr="004B691F">
        <w:t>allowed to sunset, taxpayers would not be able to meet one of the conditions for obtaining a tax deduction for the costs of establishing carbon sink forests, and therefore would not be able to claim a deduction.</w:t>
      </w:r>
      <w:r>
        <w:t xml:space="preserve"> </w:t>
      </w:r>
      <w:r w:rsidRPr="004B691F">
        <w:t xml:space="preserve">The Guidelines are </w:t>
      </w:r>
      <w:r>
        <w:t xml:space="preserve">thus </w:t>
      </w:r>
      <w:r w:rsidRPr="004B691F">
        <w:t xml:space="preserve">required </w:t>
      </w:r>
      <w:r>
        <w:t xml:space="preserve">in order </w:t>
      </w:r>
      <w:r w:rsidRPr="004B691F">
        <w:t>to enable the tax deduction provision to continue to operate.</w:t>
      </w:r>
    </w:p>
    <w:p w14:paraId="265C1224" w14:textId="77777777" w:rsidR="00403E44" w:rsidRDefault="00403E44" w:rsidP="00403E44">
      <w:r>
        <w:t xml:space="preserve">The review identified some duplication between the requirements of the Guidelines </w:t>
      </w:r>
      <w:r w:rsidRPr="000107B4">
        <w:t xml:space="preserve">and the requirements </w:t>
      </w:r>
      <w:r>
        <w:t>for</w:t>
      </w:r>
      <w:r w:rsidRPr="000107B4">
        <w:t xml:space="preserve"> ERF projects</w:t>
      </w:r>
      <w:r>
        <w:t>. The review recommends a</w:t>
      </w:r>
      <w:r w:rsidRPr="004B691F">
        <w:t xml:space="preserve"> minor amendment to </w:t>
      </w:r>
      <w:r>
        <w:t xml:space="preserve">respond to this issue and </w:t>
      </w:r>
      <w:r w:rsidRPr="004B691F">
        <w:t>update the Guidelines for the current policy environment</w:t>
      </w:r>
      <w:r>
        <w:t xml:space="preserve">. </w:t>
      </w:r>
    </w:p>
    <w:p w14:paraId="265C1225" w14:textId="77777777" w:rsidR="00403E44" w:rsidRDefault="00403E44" w:rsidP="00403E44">
      <w:pPr>
        <w:pStyle w:val="ListBullet"/>
      </w:pPr>
      <w:r w:rsidRPr="000107B4">
        <w:t xml:space="preserve">The Guidelines could be </w:t>
      </w:r>
      <w:r w:rsidRPr="00403E44">
        <w:t xml:space="preserve">amended to </w:t>
      </w:r>
      <w:r w:rsidRPr="00403E44">
        <w:rPr>
          <w:rStyle w:val="Advisorytext"/>
          <w:color w:val="auto"/>
        </w:rPr>
        <w:t>allow projects that seek a tax deduction and are already an ERF project to automatically qualify for the deduction without separate assessment against the Guidelines.</w:t>
      </w:r>
      <w:r w:rsidRPr="000107B4">
        <w:rPr>
          <w:rStyle w:val="Advisorytext"/>
        </w:rPr>
        <w:t xml:space="preserve"> </w:t>
      </w:r>
      <w:r w:rsidRPr="000107B4">
        <w:t>This would streamline access to the tax deduction for eligible offsets projects involving establishing carbon sink forest</w:t>
      </w:r>
      <w:r>
        <w:t>s</w:t>
      </w:r>
      <w:r w:rsidRPr="000107B4">
        <w:t xml:space="preserve"> under the ERF, reduce duplicative regulatory burden and ensure the instrument continues to operate effectively and efficiently. </w:t>
      </w:r>
    </w:p>
    <w:p w14:paraId="265C1226" w14:textId="77777777" w:rsidR="00403E44" w:rsidRDefault="00403E44" w:rsidP="00403E44">
      <w:pPr>
        <w:pStyle w:val="ListBullet"/>
      </w:pPr>
      <w:r>
        <w:t>The Guidelines could be amended to be consistent with current drafting standards and support clearer laws.</w:t>
      </w:r>
    </w:p>
    <w:p w14:paraId="265C1227" w14:textId="77777777" w:rsidR="007C6F52" w:rsidRDefault="007C6F52">
      <w:pPr>
        <w:spacing w:after="0" w:line="240" w:lineRule="auto"/>
      </w:pPr>
      <w:r>
        <w:br w:type="page"/>
      </w:r>
    </w:p>
    <w:p w14:paraId="265C1228" w14:textId="77777777" w:rsidR="007C6F52" w:rsidRDefault="007C6F52" w:rsidP="007C6F52">
      <w:pPr>
        <w:spacing w:after="0" w:line="240" w:lineRule="auto"/>
        <w:sectPr w:rsidR="007C6F52" w:rsidSect="003A7D43">
          <w:headerReference w:type="even" r:id="rId23"/>
          <w:headerReference w:type="default" r:id="rId24"/>
          <w:footerReference w:type="even" r:id="rId25"/>
          <w:footerReference w:type="default" r:id="rId26"/>
          <w:footerReference w:type="first" r:id="rId27"/>
          <w:pgSz w:w="11906" w:h="16838" w:code="9"/>
          <w:pgMar w:top="1418" w:right="1276" w:bottom="567" w:left="1418" w:header="425" w:footer="425" w:gutter="0"/>
          <w:cols w:space="708"/>
          <w:titlePg/>
          <w:docGrid w:linePitch="360"/>
        </w:sectPr>
      </w:pPr>
    </w:p>
    <w:p w14:paraId="265C1229" w14:textId="77777777" w:rsidR="007C6F52" w:rsidRPr="006378AA" w:rsidRDefault="007C6F52" w:rsidP="007C6F52">
      <w:pPr>
        <w:pStyle w:val="base-text-paragraphnonumbers"/>
        <w:ind w:left="0"/>
        <w:jc w:val="right"/>
        <w:rPr>
          <w:b/>
          <w:bCs/>
          <w:sz w:val="24"/>
          <w:szCs w:val="24"/>
          <w:u w:val="single"/>
        </w:rPr>
      </w:pPr>
      <w:r w:rsidRPr="006378AA">
        <w:rPr>
          <w:b/>
          <w:bCs/>
          <w:sz w:val="24"/>
          <w:szCs w:val="24"/>
          <w:u w:val="single"/>
        </w:rPr>
        <w:lastRenderedPageBreak/>
        <w:t xml:space="preserve">ATTACHMENT </w:t>
      </w:r>
      <w:r>
        <w:rPr>
          <w:b/>
          <w:bCs/>
          <w:sz w:val="24"/>
          <w:szCs w:val="24"/>
          <w:u w:val="single"/>
        </w:rPr>
        <w:t>B</w:t>
      </w:r>
    </w:p>
    <w:p w14:paraId="265C122A" w14:textId="77777777" w:rsidR="007C6F52" w:rsidRPr="006378AA" w:rsidRDefault="007C6F52" w:rsidP="007C6F52">
      <w:pPr>
        <w:pStyle w:val="base-text-paragraphnonumbers"/>
        <w:ind w:left="0"/>
        <w:rPr>
          <w:b/>
          <w:bCs/>
          <w:i/>
          <w:iCs/>
          <w:sz w:val="24"/>
          <w:szCs w:val="24"/>
        </w:rPr>
      </w:pPr>
    </w:p>
    <w:p w14:paraId="265C122B" w14:textId="77777777" w:rsidR="007C6F52" w:rsidRPr="006378AA" w:rsidRDefault="007C6F52" w:rsidP="007C6F52">
      <w:pPr>
        <w:rPr>
          <w:rFonts w:ascii="Times New Roman" w:hAnsi="Times New Roman"/>
          <w:b/>
          <w:bCs/>
          <w:i/>
          <w:iCs/>
          <w:sz w:val="24"/>
          <w:szCs w:val="24"/>
          <w:u w:val="single"/>
        </w:rPr>
      </w:pPr>
      <w:r w:rsidRPr="006378AA">
        <w:rPr>
          <w:rFonts w:ascii="Times New Roman" w:hAnsi="Times New Roman"/>
          <w:b/>
          <w:bCs/>
          <w:sz w:val="24"/>
          <w:szCs w:val="24"/>
          <w:u w:val="single"/>
        </w:rPr>
        <w:t xml:space="preserve">Details of the sections in the </w:t>
      </w:r>
      <w:r w:rsidRPr="00C434AF">
        <w:rPr>
          <w:rFonts w:ascii="Times New Roman" w:hAnsi="Times New Roman"/>
          <w:b/>
          <w:bCs/>
          <w:i/>
          <w:sz w:val="24"/>
          <w:szCs w:val="24"/>
          <w:u w:val="single"/>
        </w:rPr>
        <w:t>Income Tax Assessment (Environmental and Natural Resource Management in relation to the Establishment of Trees for the purposes of Carbon Sequestration) Guidelines 2018</w:t>
      </w:r>
    </w:p>
    <w:p w14:paraId="265C122C" w14:textId="77777777" w:rsidR="007C6F52" w:rsidRPr="006378AA" w:rsidRDefault="007C6F52" w:rsidP="007C6F52">
      <w:pPr>
        <w:spacing w:before="120" w:after="120" w:line="240" w:lineRule="auto"/>
        <w:rPr>
          <w:rFonts w:ascii="Times New Roman" w:hAnsi="Times New Roman"/>
          <w:sz w:val="24"/>
          <w:szCs w:val="24"/>
          <w:u w:val="single"/>
        </w:rPr>
      </w:pPr>
      <w:r w:rsidRPr="006378AA">
        <w:rPr>
          <w:rFonts w:ascii="Times New Roman" w:hAnsi="Times New Roman"/>
          <w:sz w:val="24"/>
          <w:szCs w:val="24"/>
          <w:u w:val="single"/>
        </w:rPr>
        <w:t xml:space="preserve">1.  Name </w:t>
      </w:r>
    </w:p>
    <w:p w14:paraId="265C122D" w14:textId="77777777" w:rsidR="007C6F52" w:rsidRPr="006378AA" w:rsidRDefault="007C6F52" w:rsidP="007C6F52">
      <w:pPr>
        <w:spacing w:before="120" w:after="120" w:line="240" w:lineRule="auto"/>
        <w:rPr>
          <w:rFonts w:ascii="Times New Roman" w:hAnsi="Times New Roman"/>
          <w:sz w:val="24"/>
          <w:szCs w:val="24"/>
        </w:rPr>
      </w:pPr>
      <w:r w:rsidRPr="006378AA">
        <w:rPr>
          <w:rFonts w:ascii="Times New Roman" w:hAnsi="Times New Roman"/>
          <w:sz w:val="24"/>
          <w:szCs w:val="24"/>
        </w:rPr>
        <w:t>Section 1 provides that the name of the</w:t>
      </w:r>
      <w:r>
        <w:rPr>
          <w:rFonts w:ascii="Times New Roman" w:hAnsi="Times New Roman"/>
          <w:sz w:val="24"/>
          <w:szCs w:val="24"/>
        </w:rPr>
        <w:t xml:space="preserve"> instrument is the</w:t>
      </w:r>
      <w:r w:rsidRPr="006378AA">
        <w:rPr>
          <w:rFonts w:ascii="Times New Roman" w:hAnsi="Times New Roman"/>
          <w:sz w:val="24"/>
          <w:szCs w:val="24"/>
        </w:rPr>
        <w:t xml:space="preserve"> </w:t>
      </w:r>
      <w:r w:rsidRPr="00C434AF">
        <w:rPr>
          <w:rFonts w:ascii="Times New Roman" w:hAnsi="Times New Roman"/>
          <w:i/>
          <w:sz w:val="24"/>
          <w:szCs w:val="24"/>
        </w:rPr>
        <w:t>Income Tax Assessment (Environmental and Natural Resource Management in relation to the Establishment of Trees for the purposes of Carbon Sequestration) Guidelines 2018</w:t>
      </w:r>
      <w:r w:rsidRPr="006378AA">
        <w:rPr>
          <w:rFonts w:ascii="Times New Roman" w:hAnsi="Times New Roman"/>
          <w:sz w:val="24"/>
          <w:szCs w:val="24"/>
        </w:rPr>
        <w:t>.</w:t>
      </w:r>
    </w:p>
    <w:p w14:paraId="265C122E" w14:textId="77777777" w:rsidR="007C6F52" w:rsidRPr="006378AA" w:rsidRDefault="007C6F52" w:rsidP="007C6F52">
      <w:pPr>
        <w:spacing w:before="120" w:after="120" w:line="240" w:lineRule="auto"/>
        <w:rPr>
          <w:rFonts w:ascii="Times New Roman" w:hAnsi="Times New Roman"/>
          <w:sz w:val="24"/>
          <w:szCs w:val="24"/>
          <w:u w:val="single"/>
        </w:rPr>
      </w:pPr>
      <w:r w:rsidRPr="006378AA">
        <w:rPr>
          <w:rFonts w:ascii="Times New Roman" w:hAnsi="Times New Roman"/>
          <w:sz w:val="24"/>
          <w:szCs w:val="24"/>
          <w:u w:val="single"/>
        </w:rPr>
        <w:t>2.  Commencement</w:t>
      </w:r>
    </w:p>
    <w:p w14:paraId="265C122F" w14:textId="77777777" w:rsidR="007C6F52" w:rsidRPr="006378AA" w:rsidRDefault="007C6F52" w:rsidP="007C6F52">
      <w:pPr>
        <w:spacing w:before="120" w:after="120" w:line="240" w:lineRule="auto"/>
        <w:rPr>
          <w:rFonts w:ascii="Times New Roman" w:hAnsi="Times New Roman"/>
          <w:sz w:val="24"/>
          <w:szCs w:val="24"/>
        </w:rPr>
      </w:pPr>
      <w:r w:rsidRPr="006378AA">
        <w:rPr>
          <w:rFonts w:ascii="Times New Roman" w:hAnsi="Times New Roman"/>
          <w:sz w:val="24"/>
          <w:szCs w:val="24"/>
        </w:rPr>
        <w:t xml:space="preserve">Section 2 provides that the </w:t>
      </w:r>
      <w:r>
        <w:rPr>
          <w:rFonts w:ascii="Times New Roman" w:hAnsi="Times New Roman"/>
          <w:sz w:val="24"/>
          <w:szCs w:val="24"/>
        </w:rPr>
        <w:t>instrument</w:t>
      </w:r>
      <w:r w:rsidRPr="006378AA">
        <w:rPr>
          <w:rFonts w:ascii="Times New Roman" w:hAnsi="Times New Roman"/>
          <w:sz w:val="24"/>
          <w:szCs w:val="24"/>
        </w:rPr>
        <w:t xml:space="preserve"> would commence on the day after it is registered.</w:t>
      </w:r>
    </w:p>
    <w:p w14:paraId="265C1230" w14:textId="77777777" w:rsidR="007C6F52" w:rsidRPr="006378AA" w:rsidRDefault="007C6F52" w:rsidP="007C6F52">
      <w:pPr>
        <w:spacing w:before="120" w:after="120" w:line="240" w:lineRule="auto"/>
        <w:rPr>
          <w:rFonts w:ascii="Times New Roman" w:hAnsi="Times New Roman"/>
          <w:sz w:val="24"/>
          <w:szCs w:val="24"/>
          <w:u w:val="single"/>
        </w:rPr>
      </w:pPr>
      <w:r w:rsidRPr="006378AA">
        <w:rPr>
          <w:rFonts w:ascii="Times New Roman" w:hAnsi="Times New Roman"/>
          <w:sz w:val="24"/>
          <w:szCs w:val="24"/>
          <w:u w:val="single"/>
        </w:rPr>
        <w:t>3.  Authority</w:t>
      </w:r>
    </w:p>
    <w:p w14:paraId="265C1231" w14:textId="77777777" w:rsidR="007C6F52" w:rsidRPr="006378AA" w:rsidRDefault="007C6F52" w:rsidP="007C6F52">
      <w:pPr>
        <w:spacing w:before="120" w:after="120" w:line="240" w:lineRule="auto"/>
        <w:rPr>
          <w:rFonts w:ascii="Times New Roman" w:hAnsi="Times New Roman"/>
          <w:sz w:val="24"/>
          <w:szCs w:val="24"/>
        </w:rPr>
      </w:pPr>
      <w:r w:rsidRPr="006378AA">
        <w:rPr>
          <w:rFonts w:ascii="Times New Roman" w:hAnsi="Times New Roman"/>
          <w:sz w:val="24"/>
          <w:szCs w:val="24"/>
        </w:rPr>
        <w:t>Section 3 provides that the</w:t>
      </w:r>
      <w:r>
        <w:rPr>
          <w:rFonts w:ascii="Times New Roman" w:hAnsi="Times New Roman"/>
          <w:sz w:val="24"/>
          <w:szCs w:val="24"/>
        </w:rPr>
        <w:t xml:space="preserve"> instrument is made under</w:t>
      </w:r>
      <w:r w:rsidRPr="006378AA">
        <w:rPr>
          <w:rFonts w:ascii="Times New Roman" w:hAnsi="Times New Roman"/>
          <w:sz w:val="24"/>
          <w:szCs w:val="24"/>
        </w:rPr>
        <w:t xml:space="preserve"> </w:t>
      </w:r>
      <w:r w:rsidRPr="006D698A">
        <w:rPr>
          <w:rFonts w:ascii="Times New Roman" w:hAnsi="Times New Roman"/>
          <w:sz w:val="24"/>
          <w:szCs w:val="24"/>
        </w:rPr>
        <w:t xml:space="preserve">subsection 40-1010(3) of the </w:t>
      </w:r>
      <w:r w:rsidRPr="00C434AF">
        <w:rPr>
          <w:rFonts w:ascii="Times New Roman" w:hAnsi="Times New Roman"/>
          <w:i/>
          <w:sz w:val="24"/>
          <w:szCs w:val="24"/>
        </w:rPr>
        <w:t>Income Tax Assessment Act 1997</w:t>
      </w:r>
      <w:r w:rsidRPr="006D698A">
        <w:rPr>
          <w:rFonts w:ascii="Times New Roman" w:hAnsi="Times New Roman"/>
          <w:sz w:val="24"/>
          <w:szCs w:val="24"/>
        </w:rPr>
        <w:t>.</w:t>
      </w:r>
    </w:p>
    <w:p w14:paraId="265C1232" w14:textId="77777777" w:rsidR="007C6F52" w:rsidRPr="006378AA" w:rsidRDefault="007C6F52" w:rsidP="007C6F52">
      <w:pPr>
        <w:spacing w:before="120" w:after="120" w:line="240" w:lineRule="auto"/>
        <w:rPr>
          <w:rFonts w:ascii="Times New Roman" w:hAnsi="Times New Roman"/>
          <w:sz w:val="24"/>
          <w:szCs w:val="24"/>
          <w:u w:val="single"/>
        </w:rPr>
      </w:pPr>
      <w:r w:rsidRPr="006378AA">
        <w:rPr>
          <w:rFonts w:ascii="Times New Roman" w:hAnsi="Times New Roman"/>
          <w:sz w:val="24"/>
          <w:szCs w:val="24"/>
          <w:u w:val="single"/>
        </w:rPr>
        <w:t xml:space="preserve">4.  </w:t>
      </w:r>
      <w:r>
        <w:rPr>
          <w:rFonts w:ascii="Times New Roman" w:hAnsi="Times New Roman"/>
          <w:sz w:val="24"/>
          <w:szCs w:val="24"/>
          <w:u w:val="single"/>
        </w:rPr>
        <w:t>Requirements</w:t>
      </w:r>
    </w:p>
    <w:p w14:paraId="265C1233" w14:textId="77777777" w:rsidR="007C6F52" w:rsidRDefault="007C6F52" w:rsidP="007C6F52">
      <w:pPr>
        <w:spacing w:before="120" w:after="120" w:line="240" w:lineRule="auto"/>
        <w:rPr>
          <w:rFonts w:ascii="Times New Roman" w:hAnsi="Times New Roman"/>
          <w:sz w:val="24"/>
          <w:szCs w:val="24"/>
        </w:rPr>
      </w:pPr>
      <w:r w:rsidRPr="006378AA">
        <w:rPr>
          <w:rFonts w:ascii="Times New Roman" w:hAnsi="Times New Roman"/>
          <w:sz w:val="24"/>
          <w:szCs w:val="24"/>
        </w:rPr>
        <w:t>Section 4 provides</w:t>
      </w:r>
      <w:r>
        <w:rPr>
          <w:rFonts w:ascii="Times New Roman" w:hAnsi="Times New Roman"/>
          <w:sz w:val="24"/>
          <w:szCs w:val="24"/>
        </w:rPr>
        <w:t xml:space="preserve"> two pathways for the establishment of trees to meet the requirements of </w:t>
      </w:r>
      <w:r w:rsidRPr="007C755C">
        <w:rPr>
          <w:rFonts w:ascii="Times New Roman" w:hAnsi="Times New Roman"/>
          <w:sz w:val="24"/>
          <w:szCs w:val="24"/>
        </w:rPr>
        <w:t>paragraph 40</w:t>
      </w:r>
      <w:r>
        <w:rPr>
          <w:rFonts w:ascii="Times New Roman" w:hAnsi="Times New Roman"/>
          <w:sz w:val="24"/>
          <w:szCs w:val="24"/>
        </w:rPr>
        <w:t>-</w:t>
      </w:r>
      <w:r w:rsidRPr="007C755C">
        <w:rPr>
          <w:rFonts w:ascii="Times New Roman" w:hAnsi="Times New Roman"/>
          <w:sz w:val="24"/>
          <w:szCs w:val="24"/>
        </w:rPr>
        <w:t xml:space="preserve">1010(2)(d) of the </w:t>
      </w:r>
      <w:r w:rsidRPr="00C434AF">
        <w:rPr>
          <w:rFonts w:ascii="Times New Roman" w:hAnsi="Times New Roman"/>
          <w:i/>
          <w:sz w:val="24"/>
          <w:szCs w:val="24"/>
        </w:rPr>
        <w:t>Income Tax Assessment Act 1997</w:t>
      </w:r>
      <w:r>
        <w:rPr>
          <w:rFonts w:ascii="Times New Roman" w:hAnsi="Times New Roman"/>
          <w:sz w:val="24"/>
          <w:szCs w:val="24"/>
        </w:rPr>
        <w:t>.</w:t>
      </w:r>
    </w:p>
    <w:p w14:paraId="265C1234" w14:textId="77777777" w:rsidR="007C6F52" w:rsidRPr="006D698A" w:rsidRDefault="007C6F52" w:rsidP="007C6F52">
      <w:pPr>
        <w:spacing w:before="120" w:after="120" w:line="240" w:lineRule="auto"/>
        <w:rPr>
          <w:rFonts w:ascii="Times New Roman" w:hAnsi="Times New Roman"/>
          <w:sz w:val="24"/>
          <w:szCs w:val="24"/>
        </w:rPr>
      </w:pPr>
      <w:r>
        <w:rPr>
          <w:rFonts w:ascii="Times New Roman" w:hAnsi="Times New Roman"/>
          <w:sz w:val="24"/>
          <w:szCs w:val="24"/>
        </w:rPr>
        <w:t xml:space="preserve">The first pathway is if </w:t>
      </w:r>
      <w:r w:rsidRPr="006D698A">
        <w:rPr>
          <w:rFonts w:ascii="Times New Roman" w:hAnsi="Times New Roman"/>
          <w:sz w:val="24"/>
          <w:szCs w:val="24"/>
        </w:rPr>
        <w:t xml:space="preserve">the trees are established as part of an eligible offsets project within the meaning of the </w:t>
      </w:r>
      <w:r w:rsidRPr="00C434AF">
        <w:rPr>
          <w:rFonts w:ascii="Times New Roman" w:hAnsi="Times New Roman"/>
          <w:i/>
          <w:sz w:val="24"/>
          <w:szCs w:val="24"/>
        </w:rPr>
        <w:t>Carbon Credits (Carbon Farming Initiative) Act 2011</w:t>
      </w:r>
      <w:r>
        <w:rPr>
          <w:rFonts w:ascii="Times New Roman" w:hAnsi="Times New Roman"/>
          <w:sz w:val="24"/>
          <w:szCs w:val="24"/>
        </w:rPr>
        <w:t>. That Act provides for the crediting and purchasing of carbon abatement, through projects such as the establishment of trees to sequester carbon. All eligible offsets projects must be assessed by the Clean Energy Regulator and meet a number of criteria in the Act, rules, regulations and methodology determinations. This includes a requirement that the project is not an ‘excluded offsets project’ which may have adverse environmental or natural resource management impacts. Having satisfied these criteria, further requirements are unnecessary.</w:t>
      </w:r>
    </w:p>
    <w:p w14:paraId="265C1235" w14:textId="77777777" w:rsidR="007C6F52" w:rsidRPr="006378AA" w:rsidRDefault="007C6F52" w:rsidP="007C6F52">
      <w:pPr>
        <w:spacing w:before="120" w:after="120" w:line="240" w:lineRule="auto"/>
        <w:rPr>
          <w:rFonts w:ascii="Times New Roman" w:hAnsi="Times New Roman"/>
          <w:sz w:val="24"/>
          <w:szCs w:val="24"/>
        </w:rPr>
      </w:pPr>
      <w:r>
        <w:rPr>
          <w:rFonts w:ascii="Times New Roman" w:hAnsi="Times New Roman"/>
          <w:sz w:val="24"/>
          <w:szCs w:val="24"/>
        </w:rPr>
        <w:t xml:space="preserve">The second pathway is that </w:t>
      </w:r>
      <w:r w:rsidRPr="006D698A">
        <w:rPr>
          <w:rFonts w:ascii="Times New Roman" w:hAnsi="Times New Roman"/>
          <w:sz w:val="24"/>
          <w:szCs w:val="24"/>
        </w:rPr>
        <w:t>the establishment of the trees complies with the guidelines set out in Schedule 1.</w:t>
      </w:r>
      <w:r>
        <w:rPr>
          <w:rFonts w:ascii="Times New Roman" w:hAnsi="Times New Roman"/>
          <w:sz w:val="24"/>
          <w:szCs w:val="24"/>
        </w:rPr>
        <w:t xml:space="preserve"> These reflect the requirements set out in the existing guidelines.</w:t>
      </w:r>
    </w:p>
    <w:p w14:paraId="265C1236" w14:textId="77777777" w:rsidR="007C6F52" w:rsidRDefault="007C6F52" w:rsidP="007C6F52">
      <w:pPr>
        <w:spacing w:before="240"/>
        <w:rPr>
          <w:rFonts w:ascii="Times New Roman" w:hAnsi="Times New Roman"/>
          <w:sz w:val="24"/>
          <w:szCs w:val="24"/>
          <w:u w:val="single"/>
        </w:rPr>
      </w:pPr>
      <w:r>
        <w:rPr>
          <w:rFonts w:ascii="Times New Roman" w:hAnsi="Times New Roman"/>
          <w:sz w:val="24"/>
          <w:szCs w:val="24"/>
          <w:u w:val="single"/>
        </w:rPr>
        <w:t>5. Repeal</w:t>
      </w:r>
    </w:p>
    <w:p w14:paraId="265C1237" w14:textId="77777777" w:rsidR="007C6F52" w:rsidRPr="00C434AF" w:rsidRDefault="007C6F52" w:rsidP="007C6F52">
      <w:pPr>
        <w:spacing w:before="120" w:after="120" w:line="240" w:lineRule="auto"/>
        <w:rPr>
          <w:rFonts w:ascii="Times New Roman" w:hAnsi="Times New Roman"/>
          <w:sz w:val="24"/>
          <w:szCs w:val="24"/>
        </w:rPr>
      </w:pPr>
      <w:r w:rsidRPr="00C434AF">
        <w:rPr>
          <w:rFonts w:ascii="Times New Roman" w:hAnsi="Times New Roman"/>
          <w:sz w:val="24"/>
          <w:szCs w:val="24"/>
        </w:rPr>
        <w:t xml:space="preserve">Section 5 repeals the existing guidelines, the </w:t>
      </w:r>
      <w:r w:rsidRPr="00C434AF">
        <w:rPr>
          <w:rFonts w:ascii="Times New Roman" w:hAnsi="Times New Roman"/>
          <w:i/>
          <w:sz w:val="24"/>
          <w:szCs w:val="24"/>
        </w:rPr>
        <w:t>Environmental and Natural Resource Management Guidelines in relation to the establishment of trees for the purposes of carbon sequestration</w:t>
      </w:r>
      <w:r w:rsidRPr="00C434AF">
        <w:rPr>
          <w:rFonts w:ascii="Times New Roman" w:hAnsi="Times New Roman"/>
          <w:sz w:val="24"/>
          <w:szCs w:val="24"/>
        </w:rPr>
        <w:t xml:space="preserve"> made under subsection 40-1010(3) of the </w:t>
      </w:r>
      <w:r w:rsidRPr="00C434AF">
        <w:rPr>
          <w:rFonts w:ascii="Times New Roman" w:hAnsi="Times New Roman"/>
          <w:i/>
          <w:sz w:val="24"/>
          <w:szCs w:val="24"/>
        </w:rPr>
        <w:t>Income Tax Assessment Act 1997</w:t>
      </w:r>
      <w:r w:rsidRPr="00C434AF">
        <w:rPr>
          <w:rFonts w:ascii="Times New Roman" w:hAnsi="Times New Roman"/>
          <w:sz w:val="24"/>
          <w:szCs w:val="24"/>
        </w:rPr>
        <w:t xml:space="preserve"> on 1 December 2008</w:t>
      </w:r>
      <w:r>
        <w:rPr>
          <w:rFonts w:ascii="Times New Roman" w:hAnsi="Times New Roman"/>
          <w:sz w:val="24"/>
          <w:szCs w:val="24"/>
        </w:rPr>
        <w:t>.</w:t>
      </w:r>
    </w:p>
    <w:p w14:paraId="265C1238" w14:textId="77777777" w:rsidR="007C6F52" w:rsidRDefault="007C6F52" w:rsidP="007C6F52">
      <w:pPr>
        <w:spacing w:before="240"/>
        <w:rPr>
          <w:rFonts w:ascii="Times New Roman" w:hAnsi="Times New Roman"/>
          <w:sz w:val="24"/>
          <w:szCs w:val="24"/>
          <w:u w:val="single"/>
        </w:rPr>
      </w:pPr>
      <w:r>
        <w:rPr>
          <w:rFonts w:ascii="Times New Roman" w:hAnsi="Times New Roman"/>
          <w:sz w:val="24"/>
          <w:szCs w:val="24"/>
          <w:u w:val="single"/>
        </w:rPr>
        <w:t>Schedule 1–Guidelines</w:t>
      </w:r>
    </w:p>
    <w:p w14:paraId="265C1239" w14:textId="77777777" w:rsidR="007C6F52" w:rsidRDefault="007C6F52" w:rsidP="007C6F52">
      <w:pPr>
        <w:autoSpaceDE w:val="0"/>
        <w:autoSpaceDN w:val="0"/>
        <w:adjustRightInd w:val="0"/>
        <w:spacing w:line="240" w:lineRule="auto"/>
        <w:rPr>
          <w:rFonts w:ascii="Times New Roman" w:hAnsi="Times New Roman"/>
          <w:sz w:val="24"/>
          <w:szCs w:val="24"/>
        </w:rPr>
      </w:pPr>
      <w:r w:rsidRPr="00C434AF">
        <w:rPr>
          <w:rFonts w:ascii="Times New Roman" w:hAnsi="Times New Roman"/>
          <w:sz w:val="24"/>
          <w:szCs w:val="24"/>
        </w:rPr>
        <w:t xml:space="preserve">This </w:t>
      </w:r>
      <w:r>
        <w:rPr>
          <w:rFonts w:ascii="Times New Roman" w:hAnsi="Times New Roman"/>
          <w:sz w:val="24"/>
          <w:szCs w:val="24"/>
        </w:rPr>
        <w:t xml:space="preserve">Schedule sets out the guidelines for projects which are not eligible offsets projects under the </w:t>
      </w:r>
      <w:r w:rsidRPr="00C60F7B">
        <w:rPr>
          <w:rFonts w:ascii="Times New Roman" w:hAnsi="Times New Roman"/>
          <w:i/>
          <w:sz w:val="24"/>
          <w:szCs w:val="24"/>
        </w:rPr>
        <w:t>Carbon Credits (Carbon Farming Initiative) Act 2011</w:t>
      </w:r>
      <w:r>
        <w:rPr>
          <w:rFonts w:ascii="Times New Roman" w:hAnsi="Times New Roman"/>
          <w:sz w:val="24"/>
          <w:szCs w:val="24"/>
        </w:rPr>
        <w:t>. There are four central requirements:</w:t>
      </w:r>
    </w:p>
    <w:p w14:paraId="265C123A" w14:textId="77777777" w:rsidR="007C6F52" w:rsidRPr="007C755C" w:rsidRDefault="007C6F52" w:rsidP="007C6F52">
      <w:pPr>
        <w:autoSpaceDE w:val="0"/>
        <w:autoSpaceDN w:val="0"/>
        <w:adjustRightInd w:val="0"/>
        <w:spacing w:line="240" w:lineRule="auto"/>
        <w:rPr>
          <w:rFonts w:ascii="Times New Roman" w:hAnsi="Times New Roman"/>
          <w:sz w:val="24"/>
          <w:szCs w:val="24"/>
        </w:rPr>
      </w:pPr>
      <w:r w:rsidRPr="007C755C">
        <w:rPr>
          <w:rFonts w:ascii="Times New Roman" w:hAnsi="Times New Roman"/>
          <w:sz w:val="24"/>
          <w:szCs w:val="24"/>
        </w:rPr>
        <w:t>[1]</w:t>
      </w:r>
      <w:r w:rsidRPr="007C755C">
        <w:rPr>
          <w:rFonts w:ascii="Times New Roman" w:hAnsi="Times New Roman"/>
          <w:sz w:val="24"/>
          <w:szCs w:val="24"/>
        </w:rPr>
        <w:tab/>
        <w:t>Carbon sink forest establishment should be based on regionally applicable best practice approaches for achieving multiple land and water environmental benefits.</w:t>
      </w:r>
    </w:p>
    <w:p w14:paraId="265C123B" w14:textId="77777777" w:rsidR="007C6F52" w:rsidRPr="007C755C" w:rsidRDefault="007C6F52" w:rsidP="007C6F52">
      <w:pPr>
        <w:autoSpaceDE w:val="0"/>
        <w:autoSpaceDN w:val="0"/>
        <w:adjustRightInd w:val="0"/>
        <w:spacing w:line="240" w:lineRule="auto"/>
        <w:rPr>
          <w:rFonts w:ascii="Times New Roman" w:hAnsi="Times New Roman"/>
          <w:sz w:val="24"/>
          <w:szCs w:val="24"/>
        </w:rPr>
      </w:pPr>
      <w:r w:rsidRPr="007C755C">
        <w:rPr>
          <w:rFonts w:ascii="Times New Roman" w:hAnsi="Times New Roman"/>
          <w:sz w:val="24"/>
          <w:szCs w:val="24"/>
        </w:rPr>
        <w:lastRenderedPageBreak/>
        <w:t>[2]</w:t>
      </w:r>
      <w:r w:rsidRPr="007C755C">
        <w:rPr>
          <w:rFonts w:ascii="Times New Roman" w:hAnsi="Times New Roman"/>
          <w:sz w:val="24"/>
          <w:szCs w:val="24"/>
        </w:rPr>
        <w:tab/>
        <w:t>Carbon sink forest establishment activities should be guided by regional natural resource management plans and water sharing plans, and environmental impacts at a catchment scale should be considered.</w:t>
      </w:r>
    </w:p>
    <w:p w14:paraId="265C123C" w14:textId="77777777" w:rsidR="007C6F52" w:rsidRPr="007C755C" w:rsidRDefault="007C6F52" w:rsidP="007C6F52">
      <w:pPr>
        <w:autoSpaceDE w:val="0"/>
        <w:autoSpaceDN w:val="0"/>
        <w:adjustRightInd w:val="0"/>
        <w:spacing w:line="240" w:lineRule="auto"/>
        <w:rPr>
          <w:rFonts w:ascii="Times New Roman" w:hAnsi="Times New Roman"/>
          <w:sz w:val="24"/>
          <w:szCs w:val="24"/>
        </w:rPr>
      </w:pPr>
      <w:r w:rsidRPr="007C755C">
        <w:rPr>
          <w:rFonts w:ascii="Times New Roman" w:hAnsi="Times New Roman"/>
          <w:sz w:val="24"/>
          <w:szCs w:val="24"/>
        </w:rPr>
        <w:t>[3]</w:t>
      </w:r>
      <w:r w:rsidRPr="007C755C">
        <w:rPr>
          <w:rFonts w:ascii="Times New Roman" w:hAnsi="Times New Roman"/>
          <w:sz w:val="24"/>
          <w:szCs w:val="24"/>
        </w:rPr>
        <w:tab/>
        <w:t>Carbon sink forest establishment activities should recognise and adhere to all government regulatory requirements.</w:t>
      </w:r>
    </w:p>
    <w:p w14:paraId="265C123D" w14:textId="77777777" w:rsidR="007C6F52" w:rsidRPr="00C434AF" w:rsidRDefault="007C6F52" w:rsidP="007C6F52">
      <w:pPr>
        <w:autoSpaceDE w:val="0"/>
        <w:autoSpaceDN w:val="0"/>
        <w:adjustRightInd w:val="0"/>
        <w:spacing w:line="240" w:lineRule="auto"/>
        <w:rPr>
          <w:rFonts w:ascii="Times New Roman" w:hAnsi="Times New Roman"/>
          <w:sz w:val="24"/>
          <w:szCs w:val="24"/>
        </w:rPr>
      </w:pPr>
      <w:r w:rsidRPr="007C755C">
        <w:rPr>
          <w:rFonts w:ascii="Times New Roman" w:hAnsi="Times New Roman"/>
          <w:sz w:val="24"/>
          <w:szCs w:val="24"/>
        </w:rPr>
        <w:t>[4]</w:t>
      </w:r>
      <w:r w:rsidRPr="007C755C">
        <w:rPr>
          <w:rFonts w:ascii="Times New Roman" w:hAnsi="Times New Roman"/>
          <w:sz w:val="24"/>
          <w:szCs w:val="24"/>
        </w:rPr>
        <w:tab/>
        <w:t>Legal rights concerning carbon sequestration in carbon sink forests should be registered on the land title in accordance with state and territory government legislation.</w:t>
      </w:r>
    </w:p>
    <w:p w14:paraId="265C123E" w14:textId="77777777" w:rsidR="007C6F52" w:rsidRDefault="007C6F52" w:rsidP="007C6F52">
      <w:pPr>
        <w:spacing w:after="0" w:line="240" w:lineRule="auto"/>
        <w:rPr>
          <w:rFonts w:ascii="Times New Roman" w:hAnsi="Times New Roman"/>
          <w:sz w:val="24"/>
          <w:szCs w:val="24"/>
          <w:u w:val="single"/>
        </w:rPr>
      </w:pPr>
      <w:r>
        <w:rPr>
          <w:rFonts w:ascii="Times New Roman" w:hAnsi="Times New Roman"/>
          <w:sz w:val="24"/>
          <w:szCs w:val="24"/>
          <w:u w:val="single"/>
        </w:rPr>
        <w:br w:type="page"/>
      </w:r>
    </w:p>
    <w:p w14:paraId="265C123F" w14:textId="77777777" w:rsidR="007C6F52" w:rsidRPr="00403AEE" w:rsidRDefault="007C6F52" w:rsidP="007C6F52">
      <w:pPr>
        <w:jc w:val="right"/>
        <w:rPr>
          <w:rFonts w:ascii="Times New Roman" w:hAnsi="Times New Roman"/>
          <w:b/>
          <w:bCs/>
          <w:sz w:val="24"/>
          <w:szCs w:val="24"/>
          <w:u w:val="single"/>
        </w:rPr>
      </w:pPr>
      <w:r w:rsidRPr="00403AEE">
        <w:rPr>
          <w:rFonts w:ascii="Times New Roman" w:hAnsi="Times New Roman"/>
          <w:b/>
          <w:bCs/>
          <w:sz w:val="24"/>
          <w:szCs w:val="24"/>
          <w:u w:val="single"/>
        </w:rPr>
        <w:lastRenderedPageBreak/>
        <w:t xml:space="preserve">ATTACHMENT </w:t>
      </w:r>
      <w:r>
        <w:rPr>
          <w:rFonts w:ascii="Times New Roman" w:hAnsi="Times New Roman"/>
          <w:b/>
          <w:bCs/>
          <w:sz w:val="24"/>
          <w:szCs w:val="24"/>
          <w:u w:val="single"/>
        </w:rPr>
        <w:t>C</w:t>
      </w:r>
    </w:p>
    <w:p w14:paraId="265C1240" w14:textId="77777777" w:rsidR="007C6F52" w:rsidRPr="00403AEE" w:rsidRDefault="007C6F52" w:rsidP="007C6F52">
      <w:pPr>
        <w:ind w:right="91"/>
        <w:jc w:val="center"/>
        <w:rPr>
          <w:sz w:val="24"/>
          <w:szCs w:val="24"/>
          <w:u w:val="single"/>
        </w:rPr>
      </w:pPr>
      <w:r w:rsidRPr="00403AEE">
        <w:rPr>
          <w:rFonts w:ascii="Times New Roman" w:hAnsi="Times New Roman"/>
          <w:b/>
          <w:bCs/>
          <w:sz w:val="24"/>
          <w:szCs w:val="24"/>
          <w:u w:val="single"/>
        </w:rPr>
        <w:t>Statement of Compatibility with Human Rights</w:t>
      </w:r>
    </w:p>
    <w:p w14:paraId="265C1241" w14:textId="77777777" w:rsidR="007C6F52" w:rsidRPr="00403AEE" w:rsidRDefault="007C6F52" w:rsidP="007C6F52">
      <w:pPr>
        <w:spacing w:before="120" w:after="120"/>
        <w:jc w:val="center"/>
        <w:rPr>
          <w:rFonts w:ascii="Times New Roman" w:hAnsi="Times New Roman"/>
          <w:sz w:val="24"/>
          <w:szCs w:val="24"/>
        </w:rPr>
      </w:pPr>
      <w:r w:rsidRPr="00403AEE">
        <w:rPr>
          <w:rFonts w:ascii="Times New Roman" w:hAnsi="Times New Roman"/>
          <w:i/>
          <w:iCs/>
          <w:sz w:val="24"/>
          <w:szCs w:val="24"/>
        </w:rPr>
        <w:t>Prepared in accordance with Part 3 of the Human Rights (Parliamentary Scrutiny) Act 2011</w:t>
      </w:r>
    </w:p>
    <w:p w14:paraId="265C1242" w14:textId="77777777" w:rsidR="007C6F52" w:rsidRPr="00403AEE" w:rsidRDefault="007C6F52" w:rsidP="007C6F52">
      <w:pPr>
        <w:spacing w:before="100" w:beforeAutospacing="1" w:after="100" w:afterAutospacing="1"/>
        <w:jc w:val="center"/>
        <w:rPr>
          <w:rFonts w:ascii="Times New Roman" w:eastAsia="Times New Roman" w:hAnsi="Times New Roman"/>
          <w:b/>
          <w:bCs/>
          <w:i/>
          <w:sz w:val="24"/>
          <w:szCs w:val="24"/>
          <w:lang w:eastAsia="en-AU"/>
        </w:rPr>
      </w:pPr>
      <w:r w:rsidRPr="00D43FF3">
        <w:rPr>
          <w:rFonts w:ascii="Times New Roman" w:eastAsia="Times New Roman" w:hAnsi="Times New Roman"/>
          <w:b/>
          <w:bCs/>
          <w:i/>
          <w:sz w:val="24"/>
          <w:szCs w:val="24"/>
          <w:lang w:eastAsia="en-AU"/>
        </w:rPr>
        <w:t>Income Tax Assessment (Environmental and Natural Resource Management in relation to the Establishment of Trees for the purposes of Carbon Sequestration) Guidelines 2018</w:t>
      </w:r>
      <w:r w:rsidRPr="00403AEE">
        <w:rPr>
          <w:rFonts w:ascii="Times New Roman" w:eastAsia="Times New Roman" w:hAnsi="Times New Roman"/>
          <w:b/>
          <w:bCs/>
          <w:i/>
          <w:sz w:val="24"/>
          <w:szCs w:val="24"/>
          <w:lang w:eastAsia="en-AU"/>
        </w:rPr>
        <w:t xml:space="preserve"> </w:t>
      </w:r>
    </w:p>
    <w:p w14:paraId="265C1243" w14:textId="77777777" w:rsidR="007C6F52" w:rsidRPr="00403AEE" w:rsidRDefault="007C6F52" w:rsidP="007C6F52">
      <w:pPr>
        <w:pStyle w:val="base-text-paragraphnonumbers"/>
        <w:spacing w:before="0" w:after="200"/>
        <w:ind w:left="0"/>
        <w:rPr>
          <w:sz w:val="24"/>
          <w:szCs w:val="24"/>
        </w:rPr>
      </w:pPr>
      <w:r w:rsidRPr="00403AEE">
        <w:rPr>
          <w:sz w:val="24"/>
          <w:szCs w:val="24"/>
        </w:rPr>
        <w:t xml:space="preserve">The </w:t>
      </w:r>
      <w:r w:rsidRPr="00D43FF3">
        <w:rPr>
          <w:i/>
          <w:sz w:val="24"/>
          <w:szCs w:val="24"/>
        </w:rPr>
        <w:t>Income Tax Assessment (Environmental and Natural Resource Management in relation to the Establishment of Trees for the purposes of Carbon Sequestration) Guidelines 2018</w:t>
      </w:r>
      <w:r w:rsidRPr="00403AEE">
        <w:rPr>
          <w:i/>
          <w:sz w:val="24"/>
          <w:szCs w:val="24"/>
        </w:rPr>
        <w:t xml:space="preserve"> </w:t>
      </w:r>
      <w:r w:rsidRPr="00403AEE">
        <w:rPr>
          <w:sz w:val="24"/>
          <w:szCs w:val="24"/>
        </w:rPr>
        <w:t xml:space="preserve"> (the </w:t>
      </w:r>
      <w:r>
        <w:rPr>
          <w:b/>
          <w:i/>
          <w:sz w:val="24"/>
          <w:szCs w:val="24"/>
        </w:rPr>
        <w:t>Guidelines</w:t>
      </w:r>
      <w:r w:rsidRPr="00403AEE">
        <w:rPr>
          <w:sz w:val="24"/>
          <w:szCs w:val="24"/>
        </w:rPr>
        <w:t xml:space="preserve">) is compatible with the human rights and freedoms recognised or declared in the international instruments listed in section 3 of the </w:t>
      </w:r>
      <w:r w:rsidRPr="00403AEE">
        <w:rPr>
          <w:i/>
          <w:sz w:val="24"/>
          <w:szCs w:val="24"/>
        </w:rPr>
        <w:t>Human Rights (Parliamentary Scrutiny) Act 2011</w:t>
      </w:r>
      <w:r w:rsidRPr="00403AEE">
        <w:rPr>
          <w:sz w:val="24"/>
          <w:szCs w:val="24"/>
        </w:rPr>
        <w:t>.</w:t>
      </w:r>
    </w:p>
    <w:p w14:paraId="265C1244" w14:textId="77777777" w:rsidR="007C6F52" w:rsidRPr="00403AEE" w:rsidRDefault="007C6F52" w:rsidP="007C6F52">
      <w:pPr>
        <w:pStyle w:val="Heading2"/>
        <w:ind w:left="855" w:hanging="855"/>
        <w:rPr>
          <w:b w:val="0"/>
          <w:bCs/>
        </w:rPr>
      </w:pPr>
      <w:r w:rsidRPr="00403AEE">
        <w:rPr>
          <w:bCs/>
        </w:rPr>
        <w:t>Overview of the Legislative Instrument</w:t>
      </w:r>
    </w:p>
    <w:p w14:paraId="265C1245" w14:textId="77777777" w:rsidR="007C6F52" w:rsidRPr="00D1205D" w:rsidRDefault="007C6F52" w:rsidP="007C6F52">
      <w:pPr>
        <w:pStyle w:val="base-text-paragraphnonumbers"/>
        <w:ind w:left="0"/>
        <w:rPr>
          <w:sz w:val="24"/>
          <w:szCs w:val="24"/>
        </w:rPr>
      </w:pPr>
      <w:r w:rsidRPr="00D1205D">
        <w:rPr>
          <w:sz w:val="24"/>
          <w:szCs w:val="24"/>
        </w:rPr>
        <w:t>Subdivision 40-J of the Income Tax Assessment Act 1997 (the Act) provides a deduction for capital expenditure for the establishment of trees in carbon sink forests.</w:t>
      </w:r>
    </w:p>
    <w:p w14:paraId="265C1246" w14:textId="77777777" w:rsidR="007C6F52" w:rsidRPr="00D1205D" w:rsidRDefault="007C6F52" w:rsidP="007C6F52">
      <w:pPr>
        <w:pStyle w:val="base-text-paragraphnonumbers"/>
        <w:ind w:left="0"/>
        <w:rPr>
          <w:sz w:val="24"/>
          <w:szCs w:val="24"/>
        </w:rPr>
      </w:pPr>
      <w:r w:rsidRPr="00D1205D">
        <w:rPr>
          <w:sz w:val="24"/>
          <w:szCs w:val="24"/>
        </w:rPr>
        <w:t>Subparagraph 40-1010(1)(h)(i) of the Act provides that expenditure on establishing trees in carbon sink forests is covered if a taxpayer gives the Commissioner of Taxation a statement that sets out all information necessary to determine whether all of the conditions in subsection 40-1010(2) of the Act are satisfied. The conditions set out in subsection 40-1010(2) include a condition that the establishment of the trees meets the requirements of the guidel</w:t>
      </w:r>
      <w:r>
        <w:rPr>
          <w:sz w:val="24"/>
          <w:szCs w:val="24"/>
        </w:rPr>
        <w:t xml:space="preserve">ines in subsection 40-1010(3). </w:t>
      </w:r>
    </w:p>
    <w:p w14:paraId="265C1247" w14:textId="77777777" w:rsidR="007C6F52" w:rsidRPr="00D1205D" w:rsidRDefault="007C6F52" w:rsidP="007C6F52">
      <w:pPr>
        <w:pStyle w:val="base-text-paragraphnonumbers"/>
        <w:ind w:left="0"/>
        <w:rPr>
          <w:sz w:val="24"/>
          <w:szCs w:val="24"/>
        </w:rPr>
      </w:pPr>
      <w:r w:rsidRPr="00D1205D">
        <w:rPr>
          <w:sz w:val="24"/>
          <w:szCs w:val="24"/>
        </w:rPr>
        <w:t>Subsection 40-1010(3) of the Act provides that the Minister must, by legislative instrument, make guidelines about environmental and natural resource management in relation to the establishment of trees for the purposes of carbon s</w:t>
      </w:r>
      <w:r>
        <w:rPr>
          <w:sz w:val="24"/>
          <w:szCs w:val="24"/>
        </w:rPr>
        <w:t xml:space="preserve">equestration (the guidelines). </w:t>
      </w:r>
    </w:p>
    <w:p w14:paraId="265C1248" w14:textId="77777777" w:rsidR="007C6F52" w:rsidRPr="00D1205D" w:rsidRDefault="007C6F52" w:rsidP="007C6F52">
      <w:pPr>
        <w:pStyle w:val="base-text-paragraphnonumbers"/>
        <w:ind w:left="0"/>
        <w:rPr>
          <w:sz w:val="24"/>
          <w:szCs w:val="24"/>
        </w:rPr>
      </w:pPr>
      <w:r>
        <w:rPr>
          <w:sz w:val="24"/>
          <w:szCs w:val="24"/>
        </w:rPr>
        <w:t>The Guidelines are the relevant legislative instrument</w:t>
      </w:r>
      <w:r w:rsidRPr="00D1205D">
        <w:rPr>
          <w:sz w:val="24"/>
          <w:szCs w:val="24"/>
        </w:rPr>
        <w:t xml:space="preserve"> for the purposes of subsect</w:t>
      </w:r>
      <w:r>
        <w:rPr>
          <w:sz w:val="24"/>
          <w:szCs w:val="24"/>
        </w:rPr>
        <w:t xml:space="preserve">ion </w:t>
      </w:r>
      <w:r>
        <w:rPr>
          <w:sz w:val="24"/>
          <w:szCs w:val="24"/>
        </w:rPr>
        <w:br/>
        <w:t xml:space="preserve">40-1010(3) of the Act. The requirement are that such projects are either eligible offsets projects under the </w:t>
      </w:r>
      <w:r w:rsidRPr="00C60F7B">
        <w:rPr>
          <w:i/>
          <w:sz w:val="24"/>
          <w:szCs w:val="24"/>
        </w:rPr>
        <w:t>Carbon Credits (Carbon Farming Initiative) Act 2011</w:t>
      </w:r>
      <w:r>
        <w:rPr>
          <w:sz w:val="24"/>
          <w:szCs w:val="24"/>
        </w:rPr>
        <w:t xml:space="preserve"> or that the projects meet a number of criteria set out in the Schedule to the instrument.</w:t>
      </w:r>
    </w:p>
    <w:p w14:paraId="265C1249" w14:textId="77777777" w:rsidR="007C6F52" w:rsidRPr="00403AEE" w:rsidRDefault="007C6F52" w:rsidP="007C6F52">
      <w:pPr>
        <w:pStyle w:val="Heading2"/>
        <w:ind w:left="855" w:hanging="855"/>
        <w:rPr>
          <w:b w:val="0"/>
          <w:bCs/>
        </w:rPr>
      </w:pPr>
      <w:r w:rsidRPr="00403AEE">
        <w:rPr>
          <w:bCs/>
        </w:rPr>
        <w:t>Human rights implications</w:t>
      </w:r>
    </w:p>
    <w:p w14:paraId="265C124A" w14:textId="77777777" w:rsidR="007C6F52" w:rsidRPr="00403AEE" w:rsidRDefault="007C6F52" w:rsidP="007C6F52">
      <w:pPr>
        <w:spacing w:line="240" w:lineRule="auto"/>
        <w:rPr>
          <w:rFonts w:ascii="Times New Roman" w:hAnsi="Times New Roman"/>
          <w:sz w:val="24"/>
          <w:szCs w:val="24"/>
        </w:rPr>
      </w:pPr>
      <w:r w:rsidRPr="00403AEE">
        <w:rPr>
          <w:rFonts w:ascii="Times New Roman" w:hAnsi="Times New Roman"/>
          <w:sz w:val="24"/>
          <w:szCs w:val="24"/>
        </w:rPr>
        <w:t xml:space="preserve">The </w:t>
      </w:r>
      <w:r>
        <w:rPr>
          <w:rFonts w:ascii="Times New Roman" w:hAnsi="Times New Roman"/>
          <w:sz w:val="24"/>
          <w:szCs w:val="24"/>
        </w:rPr>
        <w:t>Guidelines</w:t>
      </w:r>
      <w:r w:rsidRPr="00403AEE">
        <w:rPr>
          <w:rFonts w:ascii="Times New Roman" w:hAnsi="Times New Roman"/>
          <w:sz w:val="24"/>
          <w:szCs w:val="24"/>
        </w:rPr>
        <w:t xml:space="preserve"> do not engage any of the applicable rights or freedoms.</w:t>
      </w:r>
    </w:p>
    <w:p w14:paraId="265C124B" w14:textId="77777777" w:rsidR="007C6F52" w:rsidRPr="000D52A5" w:rsidRDefault="007C6F52" w:rsidP="007C6F52">
      <w:pPr>
        <w:pStyle w:val="base-text-paragraphnonumbers"/>
        <w:spacing w:after="200"/>
        <w:ind w:left="0"/>
        <w:rPr>
          <w:b/>
          <w:sz w:val="24"/>
          <w:szCs w:val="24"/>
        </w:rPr>
      </w:pPr>
      <w:r w:rsidRPr="000D52A5">
        <w:rPr>
          <w:b/>
          <w:sz w:val="24"/>
          <w:szCs w:val="24"/>
        </w:rPr>
        <w:t xml:space="preserve">Conclusion </w:t>
      </w:r>
    </w:p>
    <w:p w14:paraId="265C124C" w14:textId="77777777" w:rsidR="007C6F52" w:rsidRPr="00D55583" w:rsidRDefault="007C6F52" w:rsidP="007C6F52">
      <w:pPr>
        <w:pStyle w:val="base-text-paragraphnonumbers"/>
        <w:spacing w:after="200"/>
        <w:ind w:left="0"/>
        <w:rPr>
          <w:sz w:val="24"/>
          <w:szCs w:val="24"/>
        </w:rPr>
      </w:pPr>
      <w:r w:rsidRPr="00403AEE">
        <w:rPr>
          <w:sz w:val="24"/>
          <w:szCs w:val="24"/>
        </w:rPr>
        <w:t xml:space="preserve">The </w:t>
      </w:r>
      <w:r>
        <w:rPr>
          <w:sz w:val="24"/>
          <w:szCs w:val="24"/>
        </w:rPr>
        <w:t>Guidelines are</w:t>
      </w:r>
      <w:r w:rsidRPr="00403AEE">
        <w:rPr>
          <w:sz w:val="24"/>
          <w:szCs w:val="24"/>
        </w:rPr>
        <w:t xml:space="preserve"> compatible with human rights because </w:t>
      </w:r>
      <w:r>
        <w:rPr>
          <w:sz w:val="24"/>
          <w:szCs w:val="24"/>
        </w:rPr>
        <w:t>they</w:t>
      </w:r>
      <w:r w:rsidRPr="00403AEE">
        <w:rPr>
          <w:sz w:val="24"/>
          <w:szCs w:val="24"/>
        </w:rPr>
        <w:t xml:space="preserve"> do not limit any human rights and freedoms recognised or declared in the international instruments listed in section 3 of the </w:t>
      </w:r>
      <w:r w:rsidRPr="00403AEE">
        <w:rPr>
          <w:i/>
          <w:sz w:val="24"/>
          <w:szCs w:val="24"/>
        </w:rPr>
        <w:t>Human Rights (Parliamentary Scrutiny) Act 2011</w:t>
      </w:r>
      <w:r w:rsidRPr="00403AEE">
        <w:rPr>
          <w:sz w:val="24"/>
          <w:szCs w:val="24"/>
        </w:rPr>
        <w:t>.</w:t>
      </w:r>
    </w:p>
    <w:p w14:paraId="265C124D" w14:textId="77777777" w:rsidR="007C6F52" w:rsidRDefault="007C6F52" w:rsidP="007C6F52"/>
    <w:p w14:paraId="265C124E" w14:textId="77777777" w:rsidR="006B14DB" w:rsidRPr="00EF53FF" w:rsidRDefault="006B14DB" w:rsidP="007C6F52">
      <w:pPr>
        <w:spacing w:after="0" w:line="240" w:lineRule="auto"/>
      </w:pPr>
    </w:p>
    <w:sectPr w:rsidR="006B14DB" w:rsidRPr="00EF53FF" w:rsidSect="00627F0B">
      <w:footerReference w:type="defaul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C1253" w14:textId="77777777" w:rsidR="008E23C1" w:rsidRDefault="008E23C1" w:rsidP="00A60185">
      <w:pPr>
        <w:spacing w:after="0" w:line="240" w:lineRule="auto"/>
      </w:pPr>
      <w:r>
        <w:separator/>
      </w:r>
    </w:p>
  </w:endnote>
  <w:endnote w:type="continuationSeparator" w:id="0">
    <w:p w14:paraId="265C1254" w14:textId="77777777" w:rsidR="008E23C1" w:rsidRDefault="008E23C1"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5B" w14:textId="77777777" w:rsidR="00100BEF" w:rsidRDefault="00100BEF">
    <w:pPr>
      <w:pStyle w:val="Footer"/>
    </w:pPr>
  </w:p>
  <w:p w14:paraId="265C125C" w14:textId="77777777" w:rsidR="00F10DA4" w:rsidRDefault="00F10DA4"/>
  <w:p w14:paraId="265C125D" w14:textId="77777777" w:rsidR="00F10DA4" w:rsidRDefault="00F10D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5E" w14:textId="77777777" w:rsidR="00100BEF" w:rsidRDefault="00100BEF">
    <w:pPr>
      <w:pStyle w:val="Footer"/>
      <w:jc w:val="center"/>
    </w:pPr>
  </w:p>
  <w:p w14:paraId="265C125F" w14:textId="77777777" w:rsidR="00F10DA4" w:rsidRDefault="00F10DA4"/>
  <w:p w14:paraId="265C1260" w14:textId="77777777" w:rsidR="00F10DA4" w:rsidRDefault="00F10DA4" w:rsidP="00D77C6A">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29299"/>
      <w:docPartObj>
        <w:docPartGallery w:val="Page Numbers (Bottom of Page)"/>
        <w:docPartUnique/>
      </w:docPartObj>
    </w:sdtPr>
    <w:sdtEndPr/>
    <w:sdtContent>
      <w:p w14:paraId="265C1262" w14:textId="77777777" w:rsidR="00403E44" w:rsidRDefault="00403E44">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68" w14:textId="77777777" w:rsidR="00403E44" w:rsidRDefault="00403E44">
    <w:pPr>
      <w:pStyle w:val="Footer"/>
    </w:pPr>
    <w:r w:rsidRPr="001E3C58">
      <w:rPr>
        <w:noProof/>
        <w:lang w:eastAsia="en-AU"/>
      </w:rPr>
      <w:drawing>
        <wp:anchor distT="0" distB="0" distL="114300" distR="114300" simplePos="0" relativeHeight="251659264" behindDoc="0" locked="0" layoutInCell="1" allowOverlap="1" wp14:anchorId="265C1280" wp14:editId="265C1281">
          <wp:simplePos x="0" y="0"/>
          <wp:positionH relativeFrom="page">
            <wp:posOffset>-2092</wp:posOffset>
          </wp:positionH>
          <wp:positionV relativeFrom="page">
            <wp:posOffset>9889262</wp:posOffset>
          </wp:positionV>
          <wp:extent cx="7591936" cy="37310"/>
          <wp:effectExtent l="19050" t="0" r="9014" b="0"/>
          <wp:wrapNone/>
          <wp:docPr id="15"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94681"/>
      <w:docPartObj>
        <w:docPartGallery w:val="Page Numbers (Bottom of Page)"/>
        <w:docPartUnique/>
      </w:docPartObj>
    </w:sdtPr>
    <w:sdtEndPr/>
    <w:sdtContent>
      <w:p w14:paraId="265C126A" w14:textId="77777777" w:rsidR="00403E44" w:rsidRDefault="00B27099" w:rsidP="003A7D43">
        <w:pPr>
          <w:pStyle w:val="Footer"/>
          <w:jc w:val="center"/>
        </w:pPr>
        <w:sdt>
          <w:sdtPr>
            <w:id w:val="-313267695"/>
            <w:docPartObj>
              <w:docPartGallery w:val="Page Numbers (Bottom of Page)"/>
              <w:docPartUnique/>
            </w:docPartObj>
          </w:sdtPr>
          <w:sdtEndPr/>
          <w:sdtContent>
            <w:r w:rsidR="00403E44">
              <w:fldChar w:fldCharType="begin"/>
            </w:r>
            <w:r w:rsidR="00403E44">
              <w:instrText xml:space="preserve"> PAGE   \* MERGEFORMAT </w:instrText>
            </w:r>
            <w:r w:rsidR="00403E44">
              <w:fldChar w:fldCharType="separate"/>
            </w:r>
            <w:r>
              <w:rPr>
                <w:noProof/>
              </w:rPr>
              <w:t>2</w:t>
            </w:r>
            <w:r w:rsidR="00403E44">
              <w:rPr>
                <w:noProof/>
              </w:rPr>
              <w:fldChar w:fldCharType="end"/>
            </w:r>
          </w:sdtContent>
        </w:sdt>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71" w14:textId="77777777" w:rsidR="00AF6838" w:rsidRPr="00E51C73" w:rsidRDefault="00B27099" w:rsidP="004A1107">
    <w:pPr>
      <w:pBdr>
        <w:top w:val="single" w:sz="6" w:space="1" w:color="auto"/>
      </w:pBdr>
      <w:spacing w:before="120" w:line="0" w:lineRule="atLeast"/>
      <w:rPr>
        <w:i/>
        <w:sz w:val="18"/>
        <w:szCs w:val="16"/>
      </w:rPr>
    </w:pPr>
  </w:p>
  <w:tbl>
    <w:tblPr>
      <w:tblStyle w:val="TableGrid"/>
      <w:tblW w:w="0" w:type="auto"/>
      <w:tblLayout w:type="fixed"/>
      <w:tblLook w:val="04A0" w:firstRow="1" w:lastRow="0" w:firstColumn="1" w:lastColumn="0" w:noHBand="0" w:noVBand="1"/>
    </w:tblPr>
    <w:tblGrid>
      <w:gridCol w:w="709"/>
      <w:gridCol w:w="6379"/>
      <w:gridCol w:w="1384"/>
    </w:tblGrid>
    <w:tr w:rsidR="00AF6838" w:rsidRPr="00E51C73" w14:paraId="265C1275" w14:textId="77777777" w:rsidTr="004A1107">
      <w:trPr>
        <w:cnfStyle w:val="100000000000" w:firstRow="1" w:lastRow="0" w:firstColumn="0" w:lastColumn="0" w:oddVBand="0" w:evenVBand="0" w:oddHBand="0" w:evenHBand="0" w:firstRowFirstColumn="0" w:firstRowLastColumn="0" w:lastRowFirstColumn="0" w:lastRowLastColumn="0"/>
      </w:trPr>
      <w:tc>
        <w:tcPr>
          <w:tcW w:w="709" w:type="dxa"/>
          <w:tcBorders>
            <w:top w:val="nil"/>
            <w:left w:val="nil"/>
            <w:bottom w:val="nil"/>
            <w:right w:val="nil"/>
          </w:tcBorders>
        </w:tcPr>
        <w:p w14:paraId="265C1272" w14:textId="77777777" w:rsidR="00AF6838" w:rsidRPr="00E51C73" w:rsidRDefault="00F70F81" w:rsidP="004A1107">
          <w:pPr>
            <w:spacing w:line="0" w:lineRule="atLeast"/>
            <w:rPr>
              <w:i/>
              <w:sz w:val="18"/>
            </w:rPr>
          </w:pPr>
          <w:r w:rsidRPr="00E51C73">
            <w:rPr>
              <w:i/>
              <w:sz w:val="18"/>
            </w:rPr>
            <w:fldChar w:fldCharType="begin"/>
          </w:r>
          <w:r w:rsidRPr="00E51C73">
            <w:rPr>
              <w:i/>
              <w:sz w:val="18"/>
            </w:rPr>
            <w:instrText xml:space="preserve"> PAGE </w:instrText>
          </w:r>
          <w:r w:rsidRPr="00E51C73">
            <w:rPr>
              <w:i/>
              <w:sz w:val="18"/>
            </w:rPr>
            <w:fldChar w:fldCharType="separate"/>
          </w:r>
          <w:r>
            <w:rPr>
              <w:i/>
              <w:noProof/>
              <w:sz w:val="18"/>
            </w:rPr>
            <w:t>8</w:t>
          </w:r>
          <w:r w:rsidRPr="00E51C73">
            <w:rPr>
              <w:i/>
              <w:sz w:val="18"/>
            </w:rPr>
            <w:fldChar w:fldCharType="end"/>
          </w:r>
        </w:p>
      </w:tc>
      <w:tc>
        <w:tcPr>
          <w:tcW w:w="6379" w:type="dxa"/>
          <w:tcBorders>
            <w:top w:val="nil"/>
            <w:left w:val="nil"/>
            <w:bottom w:val="nil"/>
            <w:right w:val="nil"/>
          </w:tcBorders>
        </w:tcPr>
        <w:p w14:paraId="265C1273" w14:textId="77777777" w:rsidR="00AF6838" w:rsidRPr="00E51C73" w:rsidRDefault="00F70F81" w:rsidP="004A1107">
          <w:pPr>
            <w:spacing w:line="0" w:lineRule="atLeast"/>
            <w:jc w:val="center"/>
            <w:rPr>
              <w:i/>
              <w:sz w:val="18"/>
            </w:rPr>
          </w:pPr>
          <w:r w:rsidRPr="00E51C73">
            <w:rPr>
              <w:i/>
              <w:sz w:val="18"/>
            </w:rPr>
            <w:fldChar w:fldCharType="begin"/>
          </w:r>
          <w:r w:rsidRPr="00E51C73">
            <w:rPr>
              <w:i/>
              <w:sz w:val="18"/>
            </w:rPr>
            <w:instrText xml:space="preserve"> DOCPROPERTY ShortT </w:instrText>
          </w:r>
          <w:r w:rsidRPr="00E51C73">
            <w:rPr>
              <w:i/>
              <w:sz w:val="18"/>
            </w:rPr>
            <w:fldChar w:fldCharType="separate"/>
          </w:r>
          <w:r>
            <w:rPr>
              <w:b/>
              <w:bCs/>
              <w:i/>
              <w:sz w:val="18"/>
              <w:lang w:val="en-US"/>
            </w:rPr>
            <w:t>Error! Unknown document property name.</w:t>
          </w:r>
          <w:r w:rsidRPr="00E51C73">
            <w:rPr>
              <w:i/>
              <w:sz w:val="18"/>
            </w:rPr>
            <w:fldChar w:fldCharType="end"/>
          </w:r>
        </w:p>
      </w:tc>
      <w:tc>
        <w:tcPr>
          <w:tcW w:w="1384" w:type="dxa"/>
          <w:tcBorders>
            <w:top w:val="nil"/>
            <w:left w:val="nil"/>
            <w:bottom w:val="nil"/>
            <w:right w:val="nil"/>
          </w:tcBorders>
        </w:tcPr>
        <w:p w14:paraId="265C1274" w14:textId="77777777" w:rsidR="00AF6838" w:rsidRPr="00E51C73" w:rsidRDefault="00B27099" w:rsidP="004A1107">
          <w:pPr>
            <w:spacing w:line="0" w:lineRule="atLeast"/>
            <w:jc w:val="right"/>
            <w:rPr>
              <w:i/>
              <w:sz w:val="18"/>
            </w:rPr>
          </w:pPr>
        </w:p>
      </w:tc>
    </w:tr>
  </w:tbl>
  <w:p w14:paraId="265C1276" w14:textId="77777777" w:rsidR="00AF6838" w:rsidRPr="00E51C73" w:rsidRDefault="00F70F81" w:rsidP="004A1107">
    <w:pPr>
      <w:rPr>
        <w:i/>
        <w:sz w:val="18"/>
      </w:rPr>
    </w:pPr>
    <w:r w:rsidRPr="00E51C73">
      <w:rPr>
        <w:i/>
        <w:sz w:val="18"/>
      </w:rPr>
      <w:t>OPC60651 - 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98438"/>
      <w:docPartObj>
        <w:docPartGallery w:val="Page Numbers (Bottom of Page)"/>
        <w:docPartUnique/>
      </w:docPartObj>
    </w:sdtPr>
    <w:sdtEndPr>
      <w:rPr>
        <w:noProof/>
      </w:rPr>
    </w:sdtEndPr>
    <w:sdtContent>
      <w:p w14:paraId="265C1277" w14:textId="77777777" w:rsidR="00AF6838" w:rsidRDefault="00F70F81">
        <w:pPr>
          <w:pStyle w:val="Footer"/>
          <w:jc w:val="center"/>
        </w:pPr>
        <w:r>
          <w:fldChar w:fldCharType="begin"/>
        </w:r>
        <w:r>
          <w:instrText xml:space="preserve"> PAGE   \* MERGEFORMAT </w:instrText>
        </w:r>
        <w:r>
          <w:fldChar w:fldCharType="separate"/>
        </w:r>
        <w:r w:rsidR="00B27099">
          <w:rPr>
            <w:noProof/>
          </w:rPr>
          <w:t>6</w:t>
        </w:r>
        <w:r>
          <w:rPr>
            <w:noProof/>
          </w:rPr>
          <w:fldChar w:fldCharType="end"/>
        </w:r>
      </w:p>
    </w:sdtContent>
  </w:sdt>
  <w:p w14:paraId="265C1278" w14:textId="77777777" w:rsidR="00AF6838" w:rsidRDefault="00B2709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803310"/>
      <w:docPartObj>
        <w:docPartGallery w:val="Page Numbers (Bottom of Page)"/>
        <w:docPartUnique/>
      </w:docPartObj>
    </w:sdtPr>
    <w:sdtEndPr>
      <w:rPr>
        <w:noProof/>
      </w:rPr>
    </w:sdtEndPr>
    <w:sdtContent>
      <w:p w14:paraId="265C1279" w14:textId="77777777" w:rsidR="00F70F81" w:rsidRDefault="00B27099">
        <w:pPr>
          <w:pStyle w:val="Footer"/>
          <w:jc w:val="center"/>
        </w:pPr>
      </w:p>
    </w:sdtContent>
  </w:sdt>
  <w:p w14:paraId="265C127A" w14:textId="77777777" w:rsidR="00AF6838" w:rsidRPr="00ED79B6" w:rsidRDefault="00B27099" w:rsidP="004A1107">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7B" w14:textId="77777777" w:rsidR="00D77C6A" w:rsidRDefault="00D77C6A" w:rsidP="00D77C6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C1251" w14:textId="77777777" w:rsidR="008E23C1" w:rsidRDefault="008E23C1" w:rsidP="00A60185">
      <w:pPr>
        <w:spacing w:after="0" w:line="240" w:lineRule="auto"/>
      </w:pPr>
      <w:r>
        <w:separator/>
      </w:r>
    </w:p>
  </w:footnote>
  <w:footnote w:type="continuationSeparator" w:id="0">
    <w:p w14:paraId="265C1252" w14:textId="77777777" w:rsidR="008E23C1" w:rsidRDefault="008E23C1" w:rsidP="00A60185">
      <w:pPr>
        <w:spacing w:after="0" w:line="240" w:lineRule="auto"/>
      </w:pPr>
      <w:r>
        <w:continuationSeparator/>
      </w:r>
    </w:p>
  </w:footnote>
  <w:footnote w:id="1">
    <w:p w14:paraId="265C1282" w14:textId="77777777" w:rsidR="00403E44" w:rsidRDefault="00403E44" w:rsidP="00403E44">
      <w:pPr>
        <w:pStyle w:val="FootnoteText"/>
      </w:pPr>
      <w:r>
        <w:rPr>
          <w:rStyle w:val="FootnoteReference"/>
        </w:rPr>
        <w:footnoteRef/>
      </w:r>
      <w:r>
        <w:t xml:space="preserve"> Attorney General’s Department. Guide to Managing Sunsetting of Legislative Instruments. 2016. Available online at:</w:t>
      </w:r>
      <w:r w:rsidRPr="00F9200C">
        <w:t xml:space="preserve"> </w:t>
      </w:r>
      <w:hyperlink r:id="rId1" w:history="1">
        <w:r w:rsidRPr="00D70846">
          <w:rPr>
            <w:rStyle w:val="Hyperlink"/>
          </w:rPr>
          <w:t>https://www.ag.gov.au/LegalSystem/AdministrativeLaw/Documents/guide-to-managing-sunsetting-of-legislative-instruments-december-2016.pdf</w:t>
        </w:r>
      </w:hyperlink>
    </w:p>
    <w:p w14:paraId="265C1283" w14:textId="77777777" w:rsidR="00403E44" w:rsidRDefault="00403E44" w:rsidP="00403E44">
      <w:pPr>
        <w:pStyle w:val="FootnoteText"/>
      </w:pPr>
    </w:p>
  </w:footnote>
  <w:footnote w:id="2">
    <w:p w14:paraId="265C1284" w14:textId="77777777" w:rsidR="00403E44" w:rsidRDefault="00403E44" w:rsidP="00403E44">
      <w:pPr>
        <w:pStyle w:val="FootnoteText"/>
      </w:pPr>
      <w:r>
        <w:rPr>
          <w:rStyle w:val="FootnoteReference"/>
        </w:rPr>
        <w:footnoteRef/>
      </w:r>
      <w:r>
        <w:t xml:space="preserve">Office of Best Practice Regulation. Sunsetting legislative instruments guidance note. 2016. Available online at: </w:t>
      </w:r>
      <w:hyperlink r:id="rId2" w:history="1">
        <w:r w:rsidRPr="00E24F99">
          <w:rPr>
            <w:rStyle w:val="Hyperlink"/>
          </w:rPr>
          <w:t>https://www.pmc.gov.au/resource-centre/regulation/sunsetting-legislative-instruments-guidance-note</w:t>
        </w:r>
      </w:hyperlink>
    </w:p>
    <w:p w14:paraId="265C1285" w14:textId="77777777" w:rsidR="00403E44" w:rsidRDefault="00403E44" w:rsidP="00403E44">
      <w:pPr>
        <w:pStyle w:val="FootnoteText"/>
      </w:pPr>
    </w:p>
  </w:footnote>
  <w:footnote w:id="3">
    <w:p w14:paraId="265C1286" w14:textId="77777777" w:rsidR="00403E44" w:rsidRDefault="00403E44" w:rsidP="00403E44">
      <w:pPr>
        <w:pStyle w:val="FootnoteText"/>
      </w:pPr>
      <w:r>
        <w:rPr>
          <w:rStyle w:val="FootnoteReference"/>
        </w:rPr>
        <w:footnoteRef/>
      </w:r>
      <w:r>
        <w:t>Developing Clearer Laws. Attorney General’s Quick Reference Guide. Available online at:</w:t>
      </w:r>
    </w:p>
    <w:p w14:paraId="265C1287" w14:textId="77777777" w:rsidR="00403E44" w:rsidRDefault="00B27099" w:rsidP="00403E44">
      <w:pPr>
        <w:pStyle w:val="FootnoteText"/>
      </w:pPr>
      <w:hyperlink r:id="rId3" w:history="1">
        <w:r w:rsidR="00403E44" w:rsidRPr="00E24F99">
          <w:rPr>
            <w:rStyle w:val="Hyperlink"/>
          </w:rPr>
          <w:t>https://www.ag.gov.au/LegalSystem/ReducingTheComplexityOfLegislation/Documents/ClearerLawsQuickReferenceGuide.pdf</w:t>
        </w:r>
      </w:hyperlink>
    </w:p>
    <w:p w14:paraId="265C1288" w14:textId="77777777" w:rsidR="00403E44" w:rsidRDefault="00403E44" w:rsidP="00403E4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55" w14:textId="77777777" w:rsidR="00100BEF" w:rsidRPr="009A6DB7" w:rsidRDefault="00100BEF" w:rsidP="009A6DB7">
    <w:pPr>
      <w:pStyle w:val="Header"/>
    </w:pPr>
  </w:p>
  <w:p w14:paraId="265C1256" w14:textId="77777777" w:rsidR="00F10DA4" w:rsidRDefault="00F10DA4"/>
  <w:p w14:paraId="265C1257" w14:textId="77777777" w:rsidR="00F10DA4" w:rsidRDefault="00F10DA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58" w14:textId="77777777" w:rsidR="00100BEF" w:rsidRDefault="00100BEF">
    <w:pPr>
      <w:pStyle w:val="Header"/>
    </w:pPr>
  </w:p>
  <w:p w14:paraId="265C1259" w14:textId="77777777" w:rsidR="00F10DA4" w:rsidRDefault="00F10DA4"/>
  <w:p w14:paraId="265C125A" w14:textId="77777777" w:rsidR="00F10DA4" w:rsidRDefault="00F10DA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61" w14:textId="77777777" w:rsidR="00403E44" w:rsidRDefault="00403E44"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63" w14:textId="0AFE0B91" w:rsidR="00403E44" w:rsidRDefault="00403E44">
    <w:pPr>
      <w:pStyle w:val="Header"/>
    </w:pPr>
  </w:p>
  <w:p w14:paraId="265C1264" w14:textId="7B77D213" w:rsidR="00403E44" w:rsidRDefault="00855B88">
    <w:pPr>
      <w:pStyle w:val="Header"/>
    </w:pPr>
    <w:r>
      <w:rPr>
        <w:noProof/>
        <w:lang w:eastAsia="en-AU"/>
      </w:rPr>
      <mc:AlternateContent>
        <mc:Choice Requires="wps">
          <w:drawing>
            <wp:anchor distT="45720" distB="45720" distL="114300" distR="114300" simplePos="0" relativeHeight="251663360" behindDoc="0" locked="0" layoutInCell="1" allowOverlap="1" wp14:anchorId="292315A5" wp14:editId="30842C09">
              <wp:simplePos x="0" y="0"/>
              <wp:positionH relativeFrom="column">
                <wp:posOffset>3954310</wp:posOffset>
              </wp:positionH>
              <wp:positionV relativeFrom="paragraph">
                <wp:posOffset>5936</wp:posOffset>
              </wp:positionV>
              <wp:extent cx="2332355" cy="730885"/>
              <wp:effectExtent l="381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730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74318" w14:textId="77777777" w:rsidR="00855B88" w:rsidRPr="006378AA" w:rsidRDefault="00855B88" w:rsidP="00855B88">
                          <w:pPr>
                            <w:pStyle w:val="base-text-paragraphnonumbers"/>
                            <w:ind w:left="0"/>
                            <w:jc w:val="right"/>
                            <w:rPr>
                              <w:b/>
                              <w:bCs/>
                              <w:sz w:val="24"/>
                              <w:szCs w:val="24"/>
                              <w:u w:val="single"/>
                            </w:rPr>
                          </w:pPr>
                          <w:r w:rsidRPr="006378AA">
                            <w:rPr>
                              <w:b/>
                              <w:bCs/>
                              <w:sz w:val="24"/>
                              <w:szCs w:val="24"/>
                              <w:u w:val="single"/>
                            </w:rPr>
                            <w:t xml:space="preserve">ATTACHMENT </w:t>
                          </w:r>
                          <w:r>
                            <w:rPr>
                              <w:b/>
                              <w:bCs/>
                              <w:sz w:val="24"/>
                              <w:szCs w:val="24"/>
                              <w:u w:val="single"/>
                            </w:rPr>
                            <w:t>A</w:t>
                          </w:r>
                        </w:p>
                        <w:p w14:paraId="0FF5D04E" w14:textId="77777777" w:rsidR="00855B88" w:rsidRDefault="00855B88" w:rsidP="00855B8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92315A5" id="_x0000_t202" coordsize="21600,21600" o:spt="202" path="m,l,21600r21600,l21600,xe">
              <v:stroke joinstyle="miter"/>
              <v:path gradientshapeok="t" o:connecttype="rect"/>
            </v:shapetype>
            <v:shape id="Text Box 2" o:spid="_x0000_s1026" type="#_x0000_t202" style="position:absolute;margin-left:311.35pt;margin-top:.45pt;width:183.65pt;height:57.5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" stroked="f">
              <v:textbox style="mso-fit-shape-to-text:t">
                <w:txbxContent>
                  <w:p w14:paraId="52974318" w14:textId="77777777" w:rsidR="00855B88" w:rsidRPr="006378AA" w:rsidRDefault="00855B88" w:rsidP="00855B88">
                    <w:pPr>
                      <w:pStyle w:val="base-text-paragraphnonumbers"/>
                      <w:ind w:left="0"/>
                      <w:jc w:val="right"/>
                      <w:rPr>
                        <w:b/>
                        <w:bCs/>
                        <w:sz w:val="24"/>
                        <w:szCs w:val="24"/>
                        <w:u w:val="single"/>
                      </w:rPr>
                    </w:pPr>
                    <w:r w:rsidRPr="006378AA">
                      <w:rPr>
                        <w:b/>
                        <w:bCs/>
                        <w:sz w:val="24"/>
                        <w:szCs w:val="24"/>
                        <w:u w:val="single"/>
                      </w:rPr>
                      <w:t xml:space="preserve">ATTACHMENT </w:t>
                    </w:r>
                    <w:r>
                      <w:rPr>
                        <w:b/>
                        <w:bCs/>
                        <w:sz w:val="24"/>
                        <w:szCs w:val="24"/>
                        <w:u w:val="single"/>
                      </w:rPr>
                      <w:t>A</w:t>
                    </w:r>
                  </w:p>
                  <w:p w14:paraId="0FF5D04E" w14:textId="77777777" w:rsidR="00855B88" w:rsidRDefault="00855B88" w:rsidP="00855B88"/>
                </w:txbxContent>
              </v:textbox>
              <w10:wrap type="square"/>
            </v:shape>
          </w:pict>
        </mc:Fallback>
      </mc:AlternateContent>
    </w:r>
  </w:p>
  <w:p w14:paraId="265C1265" w14:textId="77777777" w:rsidR="00403E44" w:rsidRDefault="00403E44">
    <w:pPr>
      <w:pStyle w:val="Header"/>
    </w:pPr>
  </w:p>
  <w:p w14:paraId="265C1266" w14:textId="72D549A9" w:rsidR="00403E44" w:rsidRDefault="00403E44">
    <w:pPr>
      <w:pStyle w:val="Header"/>
    </w:pPr>
  </w:p>
  <w:p w14:paraId="265C1267" w14:textId="5A78A8D5" w:rsidR="00403E44" w:rsidRDefault="00403E44">
    <w:pPr>
      <w:pStyle w:val="Header"/>
    </w:pPr>
    <w:r>
      <w:rPr>
        <w:noProof/>
        <w:lang w:eastAsia="en-AU"/>
      </w:rPr>
      <w:drawing>
        <wp:anchor distT="0" distB="0" distL="114300" distR="114300" simplePos="0" relativeHeight="251661312" behindDoc="0" locked="0" layoutInCell="1" allowOverlap="1" wp14:anchorId="265C127C" wp14:editId="265C127D">
          <wp:simplePos x="0" y="0"/>
          <wp:positionH relativeFrom="column">
            <wp:posOffset>-156761</wp:posOffset>
          </wp:positionH>
          <wp:positionV relativeFrom="paragraph">
            <wp:posOffset>70916</wp:posOffset>
          </wp:positionV>
          <wp:extent cx="3957457" cy="687600"/>
          <wp:effectExtent l="19050" t="0" r="4943" b="0"/>
          <wp:wrapNone/>
          <wp:docPr id="1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957457" cy="687600"/>
                  </a:xfrm>
                  <a:prstGeom prst="rect">
                    <a:avLst/>
                  </a:prstGeom>
                </pic:spPr>
              </pic:pic>
            </a:graphicData>
          </a:graphic>
        </wp:anchor>
      </w:drawing>
    </w:r>
    <w:r>
      <w:rPr>
        <w:noProof/>
        <w:lang w:eastAsia="en-AU"/>
      </w:rPr>
      <w:drawing>
        <wp:anchor distT="0" distB="0" distL="114300" distR="114300" simplePos="0" relativeHeight="251660288" behindDoc="1" locked="0" layoutInCell="1" allowOverlap="1" wp14:anchorId="265C127E" wp14:editId="265C127F">
          <wp:simplePos x="0" y="0"/>
          <wp:positionH relativeFrom="page">
            <wp:posOffset>-2092</wp:posOffset>
          </wp:positionH>
          <wp:positionV relativeFrom="page">
            <wp:posOffset>5940957</wp:posOffset>
          </wp:positionV>
          <wp:extent cx="7596000" cy="3918788"/>
          <wp:effectExtent l="19050" t="0" r="4950" b="0"/>
          <wp:wrapNone/>
          <wp:docPr id="14"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69" w14:textId="77777777" w:rsidR="00403E44" w:rsidRDefault="00403E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6B" w14:textId="77777777" w:rsidR="00AF6838" w:rsidRDefault="00F70F81" w:rsidP="004A110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Pr>
        <w:bCs/>
        <w:noProof/>
        <w:sz w:val="20"/>
        <w:lang w:val="en-US"/>
      </w:rPr>
      <w:t>Error! No text of specified style in document.</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Pr>
        <w:b/>
        <w:bCs/>
        <w:noProof/>
        <w:sz w:val="20"/>
        <w:lang w:val="en-US"/>
      </w:rPr>
      <w:t>Error! No text of specified style in document.</w:t>
    </w:r>
    <w:r>
      <w:rPr>
        <w:sz w:val="20"/>
      </w:rPr>
      <w:fldChar w:fldCharType="end"/>
    </w:r>
  </w:p>
  <w:p w14:paraId="265C126C" w14:textId="77777777" w:rsidR="00AF6838" w:rsidRDefault="00F70F81" w:rsidP="004A110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Pr>
        <w:bCs/>
        <w:noProof/>
        <w:sz w:val="20"/>
        <w:lang w:val="en-US"/>
      </w:rPr>
      <w:t>Error! Use the Home tab to apply CharPartNo to the text that you want to appear here.</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Pr>
        <w:b/>
        <w:bCs/>
        <w:noProof/>
        <w:sz w:val="20"/>
        <w:lang w:val="en-US"/>
      </w:rPr>
      <w:t>Error! Use the Home tab to apply CharPartText to the text that you want to appear here.</w:t>
    </w:r>
    <w:r>
      <w:rPr>
        <w:sz w:val="20"/>
      </w:rPr>
      <w:fldChar w:fldCharType="end"/>
    </w:r>
  </w:p>
  <w:p w14:paraId="265C126D" w14:textId="77777777" w:rsidR="00AF6838" w:rsidRPr="007A1328" w:rsidRDefault="00F70F81" w:rsidP="004A1107">
    <w:pPr>
      <w:rPr>
        <w:sz w:val="20"/>
      </w:rPr>
    </w:pPr>
    <w:r>
      <w:rPr>
        <w:b/>
        <w:sz w:val="20"/>
      </w:rPr>
      <w:fldChar w:fldCharType="begin"/>
    </w:r>
    <w:r>
      <w:rPr>
        <w:b/>
        <w:sz w:val="20"/>
      </w:rPr>
      <w:instrText xml:space="preserve"> STYLEREF CharDivNo </w:instrText>
    </w:r>
    <w:r>
      <w:rPr>
        <w:b/>
        <w:sz w:val="20"/>
      </w:rPr>
      <w:fldChar w:fldCharType="separate"/>
    </w:r>
    <w:r>
      <w:rPr>
        <w:bCs/>
        <w:noProof/>
        <w:sz w:val="20"/>
        <w:lang w:val="en-US"/>
      </w:rPr>
      <w:t>Error! Use the Home tab to apply CharDivNo to the text that you want to appear here.</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Pr>
        <w:b/>
        <w:bCs/>
        <w:noProof/>
        <w:sz w:val="20"/>
        <w:lang w:val="en-US"/>
      </w:rPr>
      <w:t>Error! Use the Home tab to apply CharDivText to the text that you want to appear here.</w:t>
    </w:r>
    <w:r>
      <w:rPr>
        <w:sz w:val="20"/>
      </w:rPr>
      <w:fldChar w:fldCharType="end"/>
    </w:r>
  </w:p>
  <w:p w14:paraId="265C126E" w14:textId="77777777" w:rsidR="00AF6838" w:rsidRPr="007A1328" w:rsidRDefault="00B27099" w:rsidP="004A1107">
    <w:pPr>
      <w:rPr>
        <w:b/>
        <w:sz w:val="24"/>
      </w:rPr>
    </w:pPr>
  </w:p>
  <w:p w14:paraId="265C126F" w14:textId="77777777" w:rsidR="00AF6838" w:rsidRPr="007A1328" w:rsidRDefault="00F70F81" w:rsidP="004A1107">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Pr>
        <w:b/>
        <w:bCs/>
        <w:sz w:val="24"/>
        <w:lang w:val="en-US"/>
      </w:rPr>
      <w:t>Error! Unknown document property name.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Pr>
        <w:b/>
        <w:bCs/>
        <w:noProof/>
        <w:sz w:val="24"/>
        <w:lang w:val="en-US"/>
      </w:rPr>
      <w:t>Error! No text of specified style in document.</w:t>
    </w:r>
    <w:r w:rsidRPr="007A1328">
      <w:rPr>
        <w:sz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C1270" w14:textId="77777777" w:rsidR="00AF6838" w:rsidRPr="00F65473" w:rsidRDefault="00B27099" w:rsidP="00F654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6A4D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90A8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462B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B874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D689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5EC64B3"/>
    <w:multiLevelType w:val="multilevel"/>
    <w:tmpl w:val="E5E89F92"/>
    <w:numStyleLink w:val="BulletList"/>
  </w:abstractNum>
  <w:abstractNum w:abstractNumId="12" w15:restartNumberingAfterBreak="0">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15:restartNumberingAfterBreak="0">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B21CC"/>
    <w:multiLevelType w:val="multilevel"/>
    <w:tmpl w:val="E898CC72"/>
    <w:numStyleLink w:val="KeyPoints"/>
  </w:abstractNum>
  <w:abstractNum w:abstractNumId="15" w15:restartNumberingAfterBreak="0">
    <w:nsid w:val="1784511A"/>
    <w:multiLevelType w:val="multilevel"/>
    <w:tmpl w:val="E898CC72"/>
    <w:numStyleLink w:val="KeyPoints"/>
  </w:abstractNum>
  <w:abstractNum w:abstractNumId="16" w15:restartNumberingAfterBreak="0">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291970"/>
    <w:multiLevelType w:val="multilevel"/>
    <w:tmpl w:val="E898CC72"/>
    <w:numStyleLink w:val="KeyPoints"/>
  </w:abstractNum>
  <w:abstractNum w:abstractNumId="18" w15:restartNumberingAfterBreak="0">
    <w:nsid w:val="1F745BC2"/>
    <w:multiLevelType w:val="multilevel"/>
    <w:tmpl w:val="E5E89F92"/>
    <w:numStyleLink w:val="BulletList"/>
  </w:abstractNum>
  <w:abstractNum w:abstractNumId="19" w15:restartNumberingAfterBreak="0">
    <w:nsid w:val="29253B4A"/>
    <w:multiLevelType w:val="multilevel"/>
    <w:tmpl w:val="E898CC72"/>
    <w:numStyleLink w:val="KeyPoints"/>
  </w:abstractNum>
  <w:abstractNum w:abstractNumId="20" w15:restartNumberingAfterBreak="0">
    <w:nsid w:val="2C1B4F6C"/>
    <w:multiLevelType w:val="multilevel"/>
    <w:tmpl w:val="E898CC72"/>
    <w:numStyleLink w:val="KeyPoints"/>
  </w:abstractNum>
  <w:abstractNum w:abstractNumId="21" w15:restartNumberingAfterBreak="0">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816F9C"/>
    <w:multiLevelType w:val="multilevel"/>
    <w:tmpl w:val="E5E89F92"/>
    <w:numStyleLink w:val="BulletList"/>
  </w:abstractNum>
  <w:abstractNum w:abstractNumId="25" w15:restartNumberingAfterBreak="0">
    <w:nsid w:val="3B351B82"/>
    <w:multiLevelType w:val="multilevel"/>
    <w:tmpl w:val="E5E89F92"/>
    <w:numStyleLink w:val="BulletList"/>
  </w:abstractNum>
  <w:abstractNum w:abstractNumId="26" w15:restartNumberingAfterBreak="0">
    <w:nsid w:val="48B871CF"/>
    <w:multiLevelType w:val="multilevel"/>
    <w:tmpl w:val="E5E89F92"/>
    <w:numStyleLink w:val="BulletList"/>
  </w:abstractNum>
  <w:abstractNum w:abstractNumId="27" w15:restartNumberingAfterBreak="0">
    <w:nsid w:val="49016841"/>
    <w:multiLevelType w:val="multilevel"/>
    <w:tmpl w:val="E5E89F92"/>
    <w:numStyleLink w:val="BulletList"/>
  </w:abstractNum>
  <w:abstractNum w:abstractNumId="28" w15:restartNumberingAfterBreak="0">
    <w:nsid w:val="51A44175"/>
    <w:multiLevelType w:val="multilevel"/>
    <w:tmpl w:val="E5E89F92"/>
    <w:numStyleLink w:val="BulletList"/>
  </w:abstractNum>
  <w:abstractNum w:abstractNumId="29" w15:restartNumberingAfterBreak="0">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456429"/>
    <w:multiLevelType w:val="multilevel"/>
    <w:tmpl w:val="E898CC72"/>
    <w:numStyleLink w:val="KeyPoints"/>
  </w:abstractNum>
  <w:abstractNum w:abstractNumId="31" w15:restartNumberingAfterBreak="0">
    <w:nsid w:val="672E0C2A"/>
    <w:multiLevelType w:val="multilevel"/>
    <w:tmpl w:val="E5E89F92"/>
    <w:numStyleLink w:val="BulletList"/>
  </w:abstractNum>
  <w:abstractNum w:abstractNumId="32" w15:restartNumberingAfterBreak="0">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823B13"/>
    <w:multiLevelType w:val="multilevel"/>
    <w:tmpl w:val="E5E89F92"/>
    <w:numStyleLink w:val="BulletList"/>
  </w:abstractNum>
  <w:abstractNum w:abstractNumId="35" w15:restartNumberingAfterBreak="0">
    <w:nsid w:val="6DF2198A"/>
    <w:multiLevelType w:val="multilevel"/>
    <w:tmpl w:val="E5E89F92"/>
    <w:numStyleLink w:val="BulletList"/>
  </w:abstractNum>
  <w:abstractNum w:abstractNumId="36" w15:restartNumberingAfterBreak="0">
    <w:nsid w:val="6F032444"/>
    <w:multiLevelType w:val="multilevel"/>
    <w:tmpl w:val="E5E89F92"/>
    <w:numStyleLink w:val="BulletList"/>
  </w:abstractNum>
  <w:abstractNum w:abstractNumId="37" w15:restartNumberingAfterBreak="0">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C700E0"/>
    <w:multiLevelType w:val="multilevel"/>
    <w:tmpl w:val="E898CC72"/>
    <w:numStyleLink w:val="KeyPoints"/>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88260C9"/>
    <w:multiLevelType w:val="multilevel"/>
    <w:tmpl w:val="E898CC72"/>
    <w:numStyleLink w:val="KeyPoints"/>
  </w:abstractNum>
  <w:abstractNum w:abstractNumId="42" w15:restartNumberingAfterBreak="0">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708B3"/>
    <w:multiLevelType w:val="multilevel"/>
    <w:tmpl w:val="E5E89F92"/>
    <w:numStyleLink w:val="BulletList"/>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8E23C1"/>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831E4"/>
    <w:rsid w:val="00394D7E"/>
    <w:rsid w:val="003975FD"/>
    <w:rsid w:val="003B057D"/>
    <w:rsid w:val="003B60CC"/>
    <w:rsid w:val="003B6945"/>
    <w:rsid w:val="003C1B25"/>
    <w:rsid w:val="003C2443"/>
    <w:rsid w:val="003C5DA3"/>
    <w:rsid w:val="003D4BCD"/>
    <w:rsid w:val="003D6C2B"/>
    <w:rsid w:val="003E01D8"/>
    <w:rsid w:val="003E2100"/>
    <w:rsid w:val="003F6F5B"/>
    <w:rsid w:val="0040342D"/>
    <w:rsid w:val="00403E44"/>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F7169"/>
    <w:rsid w:val="00500D66"/>
    <w:rsid w:val="00514C8E"/>
    <w:rsid w:val="00531DBF"/>
    <w:rsid w:val="00545759"/>
    <w:rsid w:val="00545BE0"/>
    <w:rsid w:val="00546930"/>
    <w:rsid w:val="00554C6A"/>
    <w:rsid w:val="00562E85"/>
    <w:rsid w:val="0056332F"/>
    <w:rsid w:val="005719B3"/>
    <w:rsid w:val="0057295E"/>
    <w:rsid w:val="00581C39"/>
    <w:rsid w:val="005903B6"/>
    <w:rsid w:val="005A0247"/>
    <w:rsid w:val="005A126E"/>
    <w:rsid w:val="005A36B8"/>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C6F52"/>
    <w:rsid w:val="007D14B4"/>
    <w:rsid w:val="007D3AD7"/>
    <w:rsid w:val="007E24F6"/>
    <w:rsid w:val="007E47AA"/>
    <w:rsid w:val="00800F64"/>
    <w:rsid w:val="00801050"/>
    <w:rsid w:val="00802F0B"/>
    <w:rsid w:val="00806460"/>
    <w:rsid w:val="00810A67"/>
    <w:rsid w:val="00833CF7"/>
    <w:rsid w:val="00834CDE"/>
    <w:rsid w:val="00842464"/>
    <w:rsid w:val="00845601"/>
    <w:rsid w:val="00855B88"/>
    <w:rsid w:val="00855C5C"/>
    <w:rsid w:val="008A3C96"/>
    <w:rsid w:val="008B4019"/>
    <w:rsid w:val="008B65C9"/>
    <w:rsid w:val="008C2D4A"/>
    <w:rsid w:val="008D3900"/>
    <w:rsid w:val="008D6E1D"/>
    <w:rsid w:val="008E23C1"/>
    <w:rsid w:val="008F39B4"/>
    <w:rsid w:val="008F4162"/>
    <w:rsid w:val="00903E02"/>
    <w:rsid w:val="00913175"/>
    <w:rsid w:val="00916EDB"/>
    <w:rsid w:val="00920861"/>
    <w:rsid w:val="00922B13"/>
    <w:rsid w:val="009242EF"/>
    <w:rsid w:val="00932291"/>
    <w:rsid w:val="00932861"/>
    <w:rsid w:val="0093408E"/>
    <w:rsid w:val="00952DDF"/>
    <w:rsid w:val="009610A3"/>
    <w:rsid w:val="00963B6A"/>
    <w:rsid w:val="00970950"/>
    <w:rsid w:val="00971D6E"/>
    <w:rsid w:val="009812D4"/>
    <w:rsid w:val="009920D8"/>
    <w:rsid w:val="009952F5"/>
    <w:rsid w:val="009A6DB7"/>
    <w:rsid w:val="009B38BE"/>
    <w:rsid w:val="009C277A"/>
    <w:rsid w:val="009C3D0F"/>
    <w:rsid w:val="009E1B19"/>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27099"/>
    <w:rsid w:val="00B32F8F"/>
    <w:rsid w:val="00B3492A"/>
    <w:rsid w:val="00B54DE9"/>
    <w:rsid w:val="00B553EC"/>
    <w:rsid w:val="00B55E3F"/>
    <w:rsid w:val="00B63C1E"/>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4365"/>
    <w:rsid w:val="00CD11B0"/>
    <w:rsid w:val="00CE71C2"/>
    <w:rsid w:val="00CF34E9"/>
    <w:rsid w:val="00CF42D5"/>
    <w:rsid w:val="00CF4EDA"/>
    <w:rsid w:val="00D021CB"/>
    <w:rsid w:val="00D10F1A"/>
    <w:rsid w:val="00D116F8"/>
    <w:rsid w:val="00D17596"/>
    <w:rsid w:val="00D21D54"/>
    <w:rsid w:val="00D22640"/>
    <w:rsid w:val="00D26D3A"/>
    <w:rsid w:val="00D45EE3"/>
    <w:rsid w:val="00D50618"/>
    <w:rsid w:val="00D509E9"/>
    <w:rsid w:val="00D53B1C"/>
    <w:rsid w:val="00D77C6A"/>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10DA4"/>
    <w:rsid w:val="00F23756"/>
    <w:rsid w:val="00F2523A"/>
    <w:rsid w:val="00F25FFA"/>
    <w:rsid w:val="00F310D2"/>
    <w:rsid w:val="00F36F3D"/>
    <w:rsid w:val="00F477BD"/>
    <w:rsid w:val="00F53491"/>
    <w:rsid w:val="00F65A1C"/>
    <w:rsid w:val="00F66F50"/>
    <w:rsid w:val="00F70F81"/>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5C11C5"/>
  <w15:chartTrackingRefBased/>
  <w15:docId w15:val="{3ADDE389-EAEB-478F-8323-2324CAA5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semiHidden/>
    <w:unhideWhenUsed/>
    <w:rsid w:val="00403E44"/>
    <w:pPr>
      <w:spacing w:after="0" w:line="240" w:lineRule="auto"/>
    </w:pPr>
    <w:rPr>
      <w:sz w:val="20"/>
      <w:szCs w:val="20"/>
    </w:rPr>
  </w:style>
  <w:style w:type="character" w:customStyle="1" w:styleId="FootnoteTextChar">
    <w:name w:val="Footnote Text Char"/>
    <w:basedOn w:val="DefaultParagraphFont"/>
    <w:link w:val="FootnoteText"/>
    <w:semiHidden/>
    <w:rsid w:val="00403E44"/>
    <w:rPr>
      <w:lang w:eastAsia="en-US"/>
    </w:rPr>
  </w:style>
  <w:style w:type="character" w:styleId="FootnoteReference">
    <w:name w:val="footnote reference"/>
    <w:basedOn w:val="DefaultParagraphFont"/>
    <w:semiHidden/>
    <w:unhideWhenUsed/>
    <w:rsid w:val="00403E44"/>
    <w:rPr>
      <w:vertAlign w:val="superscript"/>
    </w:rPr>
  </w:style>
  <w:style w:type="paragraph" w:customStyle="1" w:styleId="ReportTitle">
    <w:name w:val="Report Title"/>
    <w:basedOn w:val="Normal"/>
    <w:uiPriority w:val="11"/>
    <w:qFormat/>
    <w:rsid w:val="00403E44"/>
    <w:rPr>
      <w:b/>
      <w:color w:val="17365D" w:themeColor="text2" w:themeShade="BF"/>
      <w:sz w:val="52"/>
    </w:rPr>
  </w:style>
  <w:style w:type="paragraph" w:customStyle="1" w:styleId="Reportsubtitle">
    <w:name w:val="Report sub title"/>
    <w:basedOn w:val="ReportTitle"/>
    <w:uiPriority w:val="11"/>
    <w:qFormat/>
    <w:rsid w:val="00403E44"/>
    <w:rPr>
      <w:b w:val="0"/>
      <w:color w:val="auto"/>
      <w:sz w:val="32"/>
    </w:rPr>
  </w:style>
  <w:style w:type="paragraph" w:styleId="TOCHeading">
    <w:name w:val="TOC Heading"/>
    <w:basedOn w:val="Heading1"/>
    <w:next w:val="Normal"/>
    <w:uiPriority w:val="39"/>
    <w:unhideWhenUsed/>
    <w:qFormat/>
    <w:rsid w:val="00403E44"/>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403E44"/>
    <w:pPr>
      <w:spacing w:after="100"/>
    </w:pPr>
    <w:rPr>
      <w:b/>
    </w:rPr>
  </w:style>
  <w:style w:type="character" w:styleId="Hyperlink">
    <w:name w:val="Hyperlink"/>
    <w:basedOn w:val="DefaultParagraphFont"/>
    <w:uiPriority w:val="99"/>
    <w:unhideWhenUsed/>
    <w:rsid w:val="00403E44"/>
    <w:rPr>
      <w:color w:val="0000FF" w:themeColor="hyperlink"/>
      <w:u w:val="single"/>
    </w:rPr>
  </w:style>
  <w:style w:type="character" w:customStyle="1" w:styleId="Advisorytext">
    <w:name w:val="Advisory text"/>
    <w:basedOn w:val="DefaultParagraphFont"/>
    <w:uiPriority w:val="99"/>
    <w:rsid w:val="00403E44"/>
    <w:rPr>
      <w:color w:val="FF0000"/>
    </w:rPr>
  </w:style>
  <w:style w:type="paragraph" w:customStyle="1" w:styleId="base-text-paragraphnonumbers">
    <w:name w:val="base-text-paragraph no numbers"/>
    <w:basedOn w:val="Normal"/>
    <w:uiPriority w:val="99"/>
    <w:rsid w:val="007C6F52"/>
    <w:pPr>
      <w:spacing w:before="120" w:after="120" w:line="240" w:lineRule="auto"/>
      <w:ind w:left="1134"/>
    </w:pPr>
    <w:rPr>
      <w:rFonts w:ascii="Times New Roman" w:eastAsia="Times New Roman" w:hAnsi="Times New Roman"/>
      <w:lang w:eastAsia="en-AU"/>
    </w:rPr>
  </w:style>
  <w:style w:type="paragraph" w:styleId="TOC2">
    <w:name w:val="toc 2"/>
    <w:basedOn w:val="Normal"/>
    <w:next w:val="Normal"/>
    <w:autoRedefine/>
    <w:uiPriority w:val="39"/>
    <w:unhideWhenUsed/>
    <w:rsid w:val="007C6F5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ag.gov.au/LegalSystem/ReducingTheComplexityOfLegislation/Documents/ClearerLawsQuickReferenceGuide.pdf" TargetMode="External"/><Relationship Id="rId2" Type="http://schemas.openxmlformats.org/officeDocument/2006/relationships/hyperlink" Target="https://www.pmc.gov.au/resource-centre/regulation/sunsetting-legislative-instruments-guidance-note" TargetMode="External"/><Relationship Id="rId1" Type="http://schemas.openxmlformats.org/officeDocument/2006/relationships/hyperlink" Target="https://www.ag.gov.au/LegalSystem/AdministrativeLaw/Documents/guide-to-managing-sunsetting-of-legislative-instruments-december-2016.pdf"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RecordNumber xmlns="d8430d0f-47e2-4fb7-b3bb-dd4f7c79b414">002478881</RecordNumber>
    <IconOverlay xmlns="http://schemas.microsoft.com/sharepoint/v4" xsi:nil="true"/>
    <Approval xmlns="d8430d0f-47e2-4fb7-b3bb-dd4f7c79b414" xsi:nil="true"/>
    <Function xmlns="d8430d0f-47e2-4fb7-b3bb-dd4f7c79b414" xsi:nil="true"/>
    <DocumentDescription xmlns="d8430d0f-47e2-4fb7-b3bb-dd4f7c79b4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PIRE Document" ma:contentTypeID="0x01010053158623521E02459344FD72CDD99ED600B436484F26BB9D4B896D3C62FBF20279" ma:contentTypeVersion="5" ma:contentTypeDescription="SPIRE Document" ma:contentTypeScope="" ma:versionID="dde8184d6cbf7f7fa6ad8aafad1e5aec">
  <xsd:schema xmlns:xsd="http://www.w3.org/2001/XMLSchema" xmlns:xs="http://www.w3.org/2001/XMLSchema" xmlns:p="http://schemas.microsoft.com/office/2006/metadata/properties" xmlns:ns2="d8430d0f-47e2-4fb7-b3bb-dd4f7c79b414" xmlns:ns3="http://schemas.microsoft.com/sharepoint/v4" targetNamespace="http://schemas.microsoft.com/office/2006/metadata/properties" ma:root="true" ma:fieldsID="ee8aa7ae0f54bfa02f0e90901ac4df53" ns2:_="" ns3:_="">
    <xsd:import namespace="d8430d0f-47e2-4fb7-b3bb-dd4f7c79b41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0d0f-47e2-4fb7-b3bb-dd4f7c79b41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file>

<file path=customXml/itemProps2.xml><?xml version="1.0" encoding="utf-8"?>
<ds:datastoreItem xmlns:ds="http://schemas.openxmlformats.org/officeDocument/2006/customXml" ds:itemID="{9BAD3DB7-147D-407B-B034-A63C38F3EB9D}"/>
</file>

<file path=customXml/itemProps3.xml><?xml version="1.0" encoding="utf-8"?>
<ds:datastoreItem xmlns:ds="http://schemas.openxmlformats.org/officeDocument/2006/customXml" ds:itemID="{5C7953CA-8BCA-4FD8-BC4D-A4744719DF33}"/>
</file>

<file path=customXml/itemProps4.xml><?xml version="1.0" encoding="utf-8"?>
<ds:datastoreItem xmlns:ds="http://schemas.openxmlformats.org/officeDocument/2006/customXml" ds:itemID="{2F5EA3E2-4221-4AA1-AF64-785E74437C22}"/>
</file>

<file path=customXml/itemProps5.xml><?xml version="1.0" encoding="utf-8"?>
<ds:datastoreItem xmlns:ds="http://schemas.openxmlformats.org/officeDocument/2006/customXml" ds:itemID="{91CEDF09-AF01-4B96-96E4-6628CBD9BC34}"/>
</file>

<file path=customXml/itemProps6.xml><?xml version="1.0" encoding="utf-8"?>
<ds:datastoreItem xmlns:ds="http://schemas.openxmlformats.org/officeDocument/2006/customXml" ds:itemID="{64DA0551-197E-47BF-9815-7BA54AE91286}"/>
</file>

<file path=docProps/app.xml><?xml version="1.0" encoding="utf-8"?>
<Properties xmlns="http://schemas.openxmlformats.org/officeDocument/2006/extended-properties" xmlns:vt="http://schemas.openxmlformats.org/officeDocument/2006/docPropsVTypes">
  <Template>59FBC432</Template>
  <TotalTime>0</TotalTime>
  <Pages>11</Pages>
  <Words>2910</Words>
  <Characters>16589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Blank document</vt:lpstr>
    </vt:vector>
  </TitlesOfParts>
  <Company/>
  <LinksUpToDate>false</LinksUpToDate>
  <CharactersWithSpaces>19461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Sunsetting - Min Brief - Attachment B - Amended ES</dc:title>
  <dc:subject/>
  <dc:creator>Scott Stephens</dc:creator>
  <cp:keywords/>
  <dc:description/>
  <cp:lastModifiedBy>Scott Stephens</cp:lastModifiedBy>
  <cp:revision>2</cp:revision>
  <dcterms:created xsi:type="dcterms:W3CDTF">2018-10-11T23:50:00Z</dcterms:created>
  <dcterms:modified xsi:type="dcterms:W3CDTF">2018-10-11T23:50:00Z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0x01010053158623521E02459344FD72CDD99ED600B436484F26BB9D4B896D3C62FBF20279</vt:lpwstr>
  </property>
  <property fmtid="{D5CDD505-2E9C-101B-9397-08002B2CF9AE}" pid="3" name="RecordPoint_WorkflowType">
    <vt:lpwstr>ActiveSubmitStub</vt:lpwstr>
  </property>
  <property fmtid="{D5CDD505-2E9C-101B-9397-08002B2CF9AE}" pid="4" name="RecordPoint_ActiveItemSiteId">
    <vt:lpwstr>{65a9c67d-8621-4daf-8c18-51b91f4b20f6}</vt:lpwstr>
  </property>
  <property fmtid="{D5CDD505-2E9C-101B-9397-08002B2CF9AE}" pid="5" name="RecordPoint_ActiveItemListId">
    <vt:lpwstr>{09daa575-84a2-47c5-865c-0600b8d5e91c}</vt:lpwstr>
  </property>
  <property fmtid="{D5CDD505-2E9C-101B-9397-08002B2CF9AE}" pid="6" name="RecordPoint_ActiveItemUniqueId">
    <vt:lpwstr>{f6ec974d-9578-4a3f-8695-25c9ad749f67}</vt:lpwstr>
  </property>
  <property fmtid="{D5CDD505-2E9C-101B-9397-08002B2CF9AE}" pid="7" name="RecordPoint_ActiveItemWebId">
    <vt:lpwstr>{95896362-88ff-4a5a-baa5-b7ccbdc85523}</vt:lpwstr>
  </property>
  <property fmtid="{D5CDD505-2E9C-101B-9397-08002B2CF9AE}" pid="8" name="RecordPoint_RecordNumberSubmitted">
    <vt:lpwstr>002478881</vt:lpwstr>
  </property>
  <property fmtid="{D5CDD505-2E9C-101B-9397-08002B2CF9AE}" pid="9" name="RecordPoint_SubmissionCompleted">
    <vt:lpwstr>2018-10-27T19:47:18.6849374+11:00</vt:lpwstr>
  </property>
</Properties>
</file>