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15245" w14:textId="723EACE5" w:rsidR="00D75DFA" w:rsidRDefault="0036622A" w:rsidP="00D75DFA">
      <w:pPr>
        <w:spacing w:after="0"/>
        <w:jc w:val="center"/>
        <w:rPr>
          <w:b/>
          <w:color w:val="000000"/>
          <w:spacing w:val="-1"/>
          <w:sz w:val="28"/>
        </w:rPr>
      </w:pPr>
      <w:bookmarkStart w:id="0" w:name="_GoBack"/>
      <w:bookmarkEnd w:id="0"/>
      <w:r>
        <w:rPr>
          <w:b/>
          <w:color w:val="000000"/>
          <w:sz w:val="28"/>
        </w:rPr>
        <w:t>EXPLANATORY</w:t>
      </w:r>
      <w:r>
        <w:rPr>
          <w:b/>
          <w:color w:val="000000"/>
          <w:spacing w:val="-39"/>
          <w:sz w:val="28"/>
        </w:rPr>
        <w:t xml:space="preserve"> </w:t>
      </w:r>
      <w:r>
        <w:rPr>
          <w:b/>
          <w:color w:val="000000"/>
          <w:spacing w:val="-1"/>
          <w:sz w:val="28"/>
        </w:rPr>
        <w:t xml:space="preserve">STATEMENT </w:t>
      </w:r>
    </w:p>
    <w:p w14:paraId="78512BB0" w14:textId="1A026AD4" w:rsidR="0036622A" w:rsidRPr="00D75DFA" w:rsidRDefault="0036622A" w:rsidP="00D75DFA">
      <w:pPr>
        <w:spacing w:after="0"/>
        <w:jc w:val="center"/>
        <w:rPr>
          <w:i/>
          <w:sz w:val="28"/>
          <w:szCs w:val="28"/>
        </w:rPr>
      </w:pPr>
      <w:r>
        <w:rPr>
          <w:b/>
          <w:color w:val="000000"/>
          <w:spacing w:val="-1"/>
          <w:sz w:val="28"/>
        </w:rPr>
        <w:br/>
      </w:r>
      <w:r w:rsidR="00FC30B6" w:rsidRPr="00D75DFA">
        <w:rPr>
          <w:b/>
          <w:i/>
          <w:color w:val="000000"/>
          <w:spacing w:val="-1"/>
          <w:sz w:val="28"/>
        </w:rPr>
        <w:t>ASIC (Supervisory Cost Recovery Levy—</w:t>
      </w:r>
      <w:r w:rsidR="00D66962">
        <w:rPr>
          <w:b/>
          <w:i/>
          <w:color w:val="000000"/>
          <w:spacing w:val="-1"/>
          <w:sz w:val="28"/>
        </w:rPr>
        <w:t>Annual Determination</w:t>
      </w:r>
      <w:r w:rsidR="00FC30B6" w:rsidRPr="00D75DFA">
        <w:rPr>
          <w:b/>
          <w:i/>
          <w:color w:val="000000"/>
          <w:spacing w:val="-1"/>
          <w:sz w:val="28"/>
        </w:rPr>
        <w:t>) Instrument</w:t>
      </w:r>
      <w:r w:rsidR="00D75DFA" w:rsidRPr="00D75DFA">
        <w:rPr>
          <w:b/>
          <w:i/>
          <w:color w:val="000000"/>
          <w:spacing w:val="-1"/>
          <w:sz w:val="28"/>
        </w:rPr>
        <w:t> </w:t>
      </w:r>
      <w:r w:rsidR="00FC30B6" w:rsidRPr="00D75DFA">
        <w:rPr>
          <w:b/>
          <w:i/>
          <w:color w:val="000000"/>
          <w:spacing w:val="-1"/>
          <w:sz w:val="28"/>
        </w:rPr>
        <w:t>2018/</w:t>
      </w:r>
      <w:r w:rsidR="00455BB3">
        <w:rPr>
          <w:b/>
          <w:i/>
          <w:color w:val="000000"/>
          <w:spacing w:val="-1"/>
          <w:sz w:val="28"/>
        </w:rPr>
        <w:t>1063</w:t>
      </w:r>
      <w:r w:rsidRPr="00D75DFA">
        <w:rPr>
          <w:b/>
          <w:i/>
          <w:color w:val="000000"/>
          <w:spacing w:val="-1"/>
          <w:sz w:val="28"/>
        </w:rPr>
        <w:t xml:space="preserve"> </w:t>
      </w:r>
    </w:p>
    <w:p w14:paraId="5D05FA45" w14:textId="77777777" w:rsidR="0036622A" w:rsidRDefault="0036622A" w:rsidP="0036622A">
      <w:pPr>
        <w:pStyle w:val="BodyText"/>
        <w:numPr>
          <w:ilvl w:val="0"/>
          <w:numId w:val="0"/>
        </w:numPr>
        <w:jc w:val="center"/>
      </w:pPr>
      <w:r>
        <w:t>Prepared by the Australian Securities and Investments Commission</w:t>
      </w:r>
    </w:p>
    <w:p w14:paraId="495F024E" w14:textId="77777777" w:rsidR="0036622A" w:rsidRDefault="0036622A" w:rsidP="0036622A">
      <w:pPr>
        <w:spacing w:before="4" w:line="220" w:lineRule="exact"/>
        <w:jc w:val="center"/>
      </w:pPr>
    </w:p>
    <w:p w14:paraId="5CE850FC" w14:textId="714E4B33" w:rsidR="00FC30B6" w:rsidRDefault="0036622A" w:rsidP="00F84FB7">
      <w:pPr>
        <w:pStyle w:val="BodyText"/>
        <w:numPr>
          <w:ilvl w:val="0"/>
          <w:numId w:val="0"/>
        </w:numPr>
        <w:spacing w:before="0" w:line="240" w:lineRule="auto"/>
        <w:rPr>
          <w:color w:val="000000"/>
          <w:spacing w:val="-1"/>
        </w:rPr>
      </w:pPr>
      <w:r>
        <w:t xml:space="preserve">The Australian Securities and </w:t>
      </w:r>
      <w:r>
        <w:rPr>
          <w:spacing w:val="-1"/>
        </w:rPr>
        <w:t>Investments</w:t>
      </w:r>
      <w:r>
        <w:t xml:space="preserve"> </w:t>
      </w:r>
      <w:r>
        <w:rPr>
          <w:spacing w:val="-1"/>
        </w:rPr>
        <w:t>Commission</w:t>
      </w:r>
      <w:r>
        <w:t xml:space="preserve"> (</w:t>
      </w:r>
      <w:r w:rsidRPr="00F84FB7">
        <w:rPr>
          <w:b/>
          <w:i/>
        </w:rPr>
        <w:t>ASIC</w:t>
      </w:r>
      <w:r>
        <w:t xml:space="preserve">) </w:t>
      </w:r>
      <w:r>
        <w:rPr>
          <w:spacing w:val="-1"/>
        </w:rPr>
        <w:t>makes</w:t>
      </w:r>
      <w:r>
        <w:t xml:space="preserve"> </w:t>
      </w:r>
      <w:r w:rsidR="00FC30B6">
        <w:t xml:space="preserve">the </w:t>
      </w:r>
      <w:r w:rsidR="00FC30B6" w:rsidRPr="00515FF4">
        <w:rPr>
          <w:i/>
        </w:rPr>
        <w:t>ASIC (Supervisory Cost Recovery Levy—</w:t>
      </w:r>
      <w:r w:rsidR="00D66962">
        <w:rPr>
          <w:i/>
        </w:rPr>
        <w:t>Annual Determination</w:t>
      </w:r>
      <w:r w:rsidR="00FC30B6" w:rsidRPr="00515FF4">
        <w:rPr>
          <w:i/>
        </w:rPr>
        <w:t>) Instrument 2018/</w:t>
      </w:r>
      <w:r w:rsidR="00455BB3">
        <w:rPr>
          <w:i/>
        </w:rPr>
        <w:t>1063</w:t>
      </w:r>
      <w:r w:rsidR="00FC30B6">
        <w:t xml:space="preserve"> </w:t>
      </w:r>
      <w:r>
        <w:rPr>
          <w:color w:val="000000"/>
          <w:spacing w:val="-1"/>
        </w:rPr>
        <w:t xml:space="preserve">under </w:t>
      </w:r>
      <w:r w:rsidR="00254327">
        <w:rPr>
          <w:color w:val="000000"/>
          <w:spacing w:val="-1"/>
        </w:rPr>
        <w:t xml:space="preserve">section </w:t>
      </w:r>
      <w:r w:rsidR="00D66962">
        <w:rPr>
          <w:color w:val="000000"/>
          <w:spacing w:val="-1"/>
        </w:rPr>
        <w:t xml:space="preserve">73 of the </w:t>
      </w:r>
      <w:r w:rsidR="00D66962" w:rsidRPr="00D66962">
        <w:rPr>
          <w:i/>
          <w:color w:val="000000"/>
          <w:spacing w:val="-1"/>
        </w:rPr>
        <w:t>ASIC Supervisory Cost Recovery Levy Regulations 2017</w:t>
      </w:r>
      <w:r w:rsidR="00D66962">
        <w:rPr>
          <w:color w:val="000000"/>
          <w:spacing w:val="-1"/>
        </w:rPr>
        <w:t xml:space="preserve"> </w:t>
      </w:r>
      <w:r w:rsidR="00D66962" w:rsidRPr="00D66962">
        <w:rPr>
          <w:color w:val="000000"/>
          <w:spacing w:val="-1"/>
        </w:rPr>
        <w:t xml:space="preserve">(the </w:t>
      </w:r>
      <w:r w:rsidR="00D66962" w:rsidRPr="00D66962">
        <w:rPr>
          <w:b/>
          <w:i/>
          <w:color w:val="000000"/>
          <w:spacing w:val="-1"/>
        </w:rPr>
        <w:t>Cost Recovery Regulations</w:t>
      </w:r>
      <w:r w:rsidR="00D66962" w:rsidRPr="00D66962">
        <w:rPr>
          <w:color w:val="000000"/>
          <w:spacing w:val="-1"/>
        </w:rPr>
        <w:t>)</w:t>
      </w:r>
      <w:r w:rsidR="00D66962">
        <w:rPr>
          <w:color w:val="000000"/>
          <w:spacing w:val="-1"/>
        </w:rPr>
        <w:t>.</w:t>
      </w:r>
    </w:p>
    <w:p w14:paraId="150029F3" w14:textId="77777777" w:rsidR="000B25AB" w:rsidRPr="002F6068" w:rsidRDefault="000B25AB" w:rsidP="004A48B6">
      <w:pPr>
        <w:pStyle w:val="BodyText"/>
        <w:numPr>
          <w:ilvl w:val="0"/>
          <w:numId w:val="0"/>
        </w:numPr>
        <w:spacing w:before="0" w:line="240" w:lineRule="auto"/>
        <w:rPr>
          <w:color w:val="000000"/>
          <w:spacing w:val="-1"/>
        </w:rPr>
      </w:pPr>
    </w:p>
    <w:p w14:paraId="42561C3B" w14:textId="433C3CDA" w:rsidR="0036622A" w:rsidRDefault="004A48B6" w:rsidP="004A48B6">
      <w:pPr>
        <w:widowControl w:val="0"/>
        <w:spacing w:after="0"/>
        <w:ind w:left="567" w:hanging="567"/>
        <w:rPr>
          <w:rFonts w:ascii="Arial" w:eastAsia="Arial" w:hAnsi="Arial" w:cs="Arial"/>
          <w:sz w:val="24"/>
          <w:szCs w:val="24"/>
        </w:rPr>
      </w:pPr>
      <w:bookmarkStart w:id="1" w:name="1._Background"/>
      <w:bookmarkEnd w:id="1"/>
      <w:r>
        <w:rPr>
          <w:rFonts w:ascii="Arial"/>
          <w:b/>
          <w:spacing w:val="-1"/>
          <w:sz w:val="24"/>
        </w:rPr>
        <w:t>1.</w:t>
      </w:r>
      <w:r>
        <w:rPr>
          <w:rFonts w:ascii="Arial"/>
          <w:b/>
          <w:spacing w:val="-1"/>
          <w:sz w:val="24"/>
        </w:rPr>
        <w:tab/>
      </w:r>
      <w:r w:rsidR="0036622A">
        <w:rPr>
          <w:rFonts w:ascii="Arial"/>
          <w:b/>
          <w:spacing w:val="-1"/>
          <w:sz w:val="24"/>
        </w:rPr>
        <w:t>Background</w:t>
      </w:r>
    </w:p>
    <w:p w14:paraId="7C85CBD0" w14:textId="77777777" w:rsidR="0036622A" w:rsidRDefault="0036622A" w:rsidP="004A48B6">
      <w:pPr>
        <w:spacing w:after="0"/>
      </w:pPr>
    </w:p>
    <w:p w14:paraId="33E8D63C" w14:textId="501C3AFB" w:rsidR="00931DB6" w:rsidRDefault="004A48B6" w:rsidP="004A48B6">
      <w:pPr>
        <w:pStyle w:val="BodyText"/>
        <w:numPr>
          <w:ilvl w:val="0"/>
          <w:numId w:val="0"/>
        </w:numPr>
        <w:spacing w:before="0" w:line="240" w:lineRule="auto"/>
        <w:ind w:left="567" w:hanging="567"/>
      </w:pPr>
      <w:r>
        <w:t>1.1</w:t>
      </w:r>
      <w:r>
        <w:tab/>
      </w:r>
      <w:r w:rsidR="00931DB6">
        <w:t>On 20 April 2016, the Government accepted a recommendation of the Financial System Inquiry to introduce an industry funding model for ASIC.</w:t>
      </w:r>
    </w:p>
    <w:p w14:paraId="40FE2E30" w14:textId="77777777" w:rsidR="004A48B6" w:rsidRDefault="004A48B6" w:rsidP="004A48B6">
      <w:pPr>
        <w:pStyle w:val="BodyText"/>
        <w:numPr>
          <w:ilvl w:val="0"/>
          <w:numId w:val="0"/>
        </w:numPr>
        <w:spacing w:before="0" w:line="240" w:lineRule="auto"/>
        <w:ind w:left="567" w:hanging="567"/>
      </w:pPr>
    </w:p>
    <w:p w14:paraId="3D96A1D0" w14:textId="1119EFFF" w:rsidR="00931DB6" w:rsidRDefault="004A48B6" w:rsidP="0087748D">
      <w:pPr>
        <w:pStyle w:val="BodyText"/>
        <w:numPr>
          <w:ilvl w:val="0"/>
          <w:numId w:val="0"/>
        </w:numPr>
        <w:spacing w:before="0" w:line="240" w:lineRule="auto"/>
        <w:ind w:left="567" w:hanging="567"/>
      </w:pPr>
      <w:r>
        <w:t>1.2</w:t>
      </w:r>
      <w:r>
        <w:tab/>
      </w:r>
      <w:r w:rsidR="00E27D8A">
        <w:t xml:space="preserve">The </w:t>
      </w:r>
      <w:r w:rsidR="0087748D">
        <w:t xml:space="preserve">benefits </w:t>
      </w:r>
      <w:r w:rsidR="00E27D8A">
        <w:t xml:space="preserve">of an industry funding model </w:t>
      </w:r>
      <w:r w:rsidR="0087748D">
        <w:t xml:space="preserve">include </w:t>
      </w:r>
      <w:r>
        <w:t>i</w:t>
      </w:r>
      <w:r w:rsidR="00931DB6">
        <w:t>mproving equity, as only those entities that are regulated by ASIC and create the need for regulation will bear its costs, rather than ordinary taxpayers</w:t>
      </w:r>
      <w:r w:rsidR="0087748D">
        <w:t xml:space="preserve">. It also </w:t>
      </w:r>
      <w:r>
        <w:t>e</w:t>
      </w:r>
      <w:r w:rsidR="00931DB6">
        <w:t>ncourag</w:t>
      </w:r>
      <w:r w:rsidR="0087748D">
        <w:t>es</w:t>
      </w:r>
      <w:r w:rsidR="00931DB6">
        <w:t xml:space="preserve"> regulatory compliance as good conduct will reduce supervisory levies</w:t>
      </w:r>
      <w:r w:rsidR="0087748D">
        <w:t xml:space="preserve">. Further, it </w:t>
      </w:r>
      <w:r>
        <w:t>i</w:t>
      </w:r>
      <w:r w:rsidR="00931DB6">
        <w:t>mprov</w:t>
      </w:r>
      <w:r w:rsidR="0087748D">
        <w:t>es</w:t>
      </w:r>
      <w:r w:rsidR="00931DB6">
        <w:t xml:space="preserve"> ASIC’s resource allocation, by providing ASIC with richer data to better identify emerging risks</w:t>
      </w:r>
      <w:r w:rsidR="0087748D">
        <w:t xml:space="preserve">, </w:t>
      </w:r>
      <w:r w:rsidR="00931DB6">
        <w:t>enhancing ASIC’s transparency and accountability.</w:t>
      </w:r>
    </w:p>
    <w:p w14:paraId="41BA9131" w14:textId="77777777" w:rsidR="004A48B6" w:rsidRDefault="004A48B6" w:rsidP="004A48B6">
      <w:pPr>
        <w:pStyle w:val="BodyText"/>
        <w:numPr>
          <w:ilvl w:val="0"/>
          <w:numId w:val="0"/>
        </w:numPr>
        <w:spacing w:before="0" w:line="240" w:lineRule="auto"/>
        <w:ind w:left="567" w:hanging="567"/>
      </w:pPr>
    </w:p>
    <w:p w14:paraId="56CA8E77" w14:textId="0B42C610" w:rsidR="008B339C" w:rsidRDefault="004A48B6" w:rsidP="00261ED6">
      <w:pPr>
        <w:pStyle w:val="BodyText"/>
        <w:numPr>
          <w:ilvl w:val="0"/>
          <w:numId w:val="0"/>
        </w:numPr>
        <w:spacing w:before="0" w:line="240" w:lineRule="auto"/>
        <w:ind w:left="567" w:hanging="567"/>
      </w:pPr>
      <w:r>
        <w:t>1.3</w:t>
      </w:r>
      <w:r>
        <w:tab/>
      </w:r>
      <w:r w:rsidR="00931DB6">
        <w:t>On 1 July 2017, the first phase of the ASIC</w:t>
      </w:r>
      <w:r w:rsidR="001131DD">
        <w:t xml:space="preserve"> </w:t>
      </w:r>
      <w:r w:rsidR="00931DB6">
        <w:t>industry funding model commenced with the introduction of industry levies to recover the costs of ASIC’s regulatory activities.</w:t>
      </w:r>
      <w:r w:rsidR="001131DD">
        <w:t xml:space="preserve">  The first</w:t>
      </w:r>
      <w:r w:rsidR="005106C6">
        <w:t> </w:t>
      </w:r>
      <w:r w:rsidR="001131DD">
        <w:t>phase is reflected in</w:t>
      </w:r>
      <w:r w:rsidR="00261ED6">
        <w:t xml:space="preserve"> </w:t>
      </w:r>
      <w:r w:rsidR="001131DD">
        <w:t xml:space="preserve">the </w:t>
      </w:r>
      <w:r w:rsidR="00D66962" w:rsidRPr="00D66962">
        <w:rPr>
          <w:i/>
        </w:rPr>
        <w:t>ASIC Supervisory Cost Recovery Levy Act 2017</w:t>
      </w:r>
      <w:r w:rsidR="005106C6">
        <w:rPr>
          <w:i/>
        </w:rPr>
        <w:t xml:space="preserve"> </w:t>
      </w:r>
      <w:r w:rsidR="005106C6">
        <w:t xml:space="preserve">(the </w:t>
      </w:r>
      <w:r w:rsidR="005106C6" w:rsidRPr="005106C6">
        <w:rPr>
          <w:b/>
          <w:i/>
        </w:rPr>
        <w:t>Cost</w:t>
      </w:r>
      <w:r w:rsidR="005106C6">
        <w:rPr>
          <w:b/>
          <w:i/>
        </w:rPr>
        <w:t xml:space="preserve"> </w:t>
      </w:r>
      <w:r w:rsidR="005106C6" w:rsidRPr="005106C6">
        <w:rPr>
          <w:b/>
          <w:i/>
        </w:rPr>
        <w:t>Recovery Act</w:t>
      </w:r>
      <w:r w:rsidR="005106C6">
        <w:t>)</w:t>
      </w:r>
      <w:r w:rsidR="00D66962">
        <w:rPr>
          <w:i/>
        </w:rPr>
        <w:t xml:space="preserve">, </w:t>
      </w:r>
      <w:r w:rsidR="00D66962" w:rsidRPr="00D66962">
        <w:t>t</w:t>
      </w:r>
      <w:r w:rsidR="00261ED6">
        <w:t xml:space="preserve">he </w:t>
      </w:r>
      <w:r w:rsidR="008B339C" w:rsidRPr="00D66962">
        <w:t>Cost Recovery Regulations</w:t>
      </w:r>
      <w:r w:rsidR="008B339C">
        <w:t xml:space="preserve">, </w:t>
      </w:r>
      <w:r w:rsidR="00D66962">
        <w:t xml:space="preserve">the </w:t>
      </w:r>
      <w:r w:rsidR="001131DD" w:rsidRPr="00E83F24">
        <w:rPr>
          <w:i/>
        </w:rPr>
        <w:t>A</w:t>
      </w:r>
      <w:r w:rsidR="001131DD" w:rsidRPr="00D25CE1">
        <w:rPr>
          <w:i/>
        </w:rPr>
        <w:t>SIC Supervisory Cost Recovery Levy (Collection) Act 2017</w:t>
      </w:r>
      <w:r w:rsidR="001131DD">
        <w:t xml:space="preserve"> </w:t>
      </w:r>
      <w:r w:rsidR="00660C0F">
        <w:t xml:space="preserve">(the </w:t>
      </w:r>
      <w:r w:rsidR="00660C0F" w:rsidRPr="00660C0F">
        <w:rPr>
          <w:b/>
          <w:i/>
        </w:rPr>
        <w:t>Collection Act</w:t>
      </w:r>
      <w:r w:rsidR="00660C0F">
        <w:t xml:space="preserve">) </w:t>
      </w:r>
      <w:r w:rsidR="001131DD">
        <w:t xml:space="preserve">and </w:t>
      </w:r>
      <w:r w:rsidR="00181230">
        <w:t xml:space="preserve">other </w:t>
      </w:r>
      <w:r w:rsidR="001131DD">
        <w:t>related</w:t>
      </w:r>
      <w:r w:rsidR="00D66962">
        <w:t> </w:t>
      </w:r>
      <w:r w:rsidR="001131DD">
        <w:t>regulations.</w:t>
      </w:r>
      <w:r w:rsidR="00AA06EC">
        <w:t xml:space="preserve"> </w:t>
      </w:r>
    </w:p>
    <w:p w14:paraId="1055D639" w14:textId="77777777" w:rsidR="004A48B6" w:rsidRDefault="004A48B6" w:rsidP="004A48B6">
      <w:pPr>
        <w:pStyle w:val="BodyText"/>
        <w:numPr>
          <w:ilvl w:val="0"/>
          <w:numId w:val="0"/>
        </w:numPr>
        <w:spacing w:before="0" w:line="240" w:lineRule="auto"/>
        <w:ind w:left="567" w:hanging="567"/>
      </w:pPr>
    </w:p>
    <w:p w14:paraId="33C84645" w14:textId="2B18C043" w:rsidR="008B339C" w:rsidRDefault="004A48B6" w:rsidP="004A48B6">
      <w:pPr>
        <w:pStyle w:val="BodyText"/>
        <w:numPr>
          <w:ilvl w:val="0"/>
          <w:numId w:val="0"/>
        </w:numPr>
        <w:spacing w:before="0" w:line="240" w:lineRule="auto"/>
        <w:ind w:left="567" w:hanging="567"/>
      </w:pPr>
      <w:r>
        <w:t>1.4</w:t>
      </w:r>
      <w:r>
        <w:tab/>
      </w:r>
      <w:r w:rsidR="008B339C">
        <w:t xml:space="preserve">The Government has also committed that ASIC’s costs for specific regulatory activities requested by an entity should be fully recovered from that entity. This is referred to as ‘fees for service’ and is the second and final phase of the ASIC industry funding model.  The second phase is reflected in the reforms made on or about 28 and 29 June 2018, including by the </w:t>
      </w:r>
      <w:r w:rsidR="008B339C" w:rsidRPr="008B339C">
        <w:rPr>
          <w:i/>
        </w:rPr>
        <w:t>Corporations (Fees) Amendment (ASIC Fees) Act 2018</w:t>
      </w:r>
      <w:r w:rsidR="008B339C">
        <w:t xml:space="preserve"> and the </w:t>
      </w:r>
      <w:r w:rsidR="008B339C" w:rsidRPr="008B339C">
        <w:rPr>
          <w:i/>
        </w:rPr>
        <w:t>Treasury Laws Amendment (ASIC Fees) Regulations 2018</w:t>
      </w:r>
      <w:r w:rsidR="008B339C">
        <w:t xml:space="preserve">. </w:t>
      </w:r>
    </w:p>
    <w:p w14:paraId="6F948DC6" w14:textId="77777777" w:rsidR="00E27D8A" w:rsidRDefault="00E27D8A" w:rsidP="004A48B6">
      <w:pPr>
        <w:pStyle w:val="BodyText"/>
        <w:numPr>
          <w:ilvl w:val="0"/>
          <w:numId w:val="0"/>
        </w:numPr>
        <w:spacing w:before="0" w:line="240" w:lineRule="auto"/>
        <w:ind w:left="567" w:hanging="567"/>
      </w:pPr>
    </w:p>
    <w:p w14:paraId="4AD7E487" w14:textId="1866C1F7" w:rsidR="00D66962" w:rsidRDefault="004A48B6" w:rsidP="004A48B6">
      <w:pPr>
        <w:pStyle w:val="BodyText"/>
        <w:numPr>
          <w:ilvl w:val="0"/>
          <w:numId w:val="0"/>
        </w:numPr>
        <w:spacing w:before="0" w:line="240" w:lineRule="auto"/>
        <w:ind w:left="567" w:hanging="567"/>
      </w:pPr>
      <w:r>
        <w:t>1.5</w:t>
      </w:r>
      <w:r>
        <w:tab/>
      </w:r>
      <w:r w:rsidR="00207E3F" w:rsidRPr="00823DB0">
        <w:t>The instrument</w:t>
      </w:r>
      <w:r w:rsidR="00AB31DF" w:rsidRPr="00823DB0">
        <w:t xml:space="preserve"> relates to </w:t>
      </w:r>
      <w:r w:rsidR="00AA06EC" w:rsidRPr="00823DB0">
        <w:t>industry levies</w:t>
      </w:r>
      <w:r>
        <w:t xml:space="preserve">. </w:t>
      </w:r>
      <w:r w:rsidR="00125FFA" w:rsidRPr="00823DB0">
        <w:t>Industry levies are imposed on</w:t>
      </w:r>
      <w:r w:rsidR="00125FFA">
        <w:t xml:space="preserve"> the industry on</w:t>
      </w:r>
      <w:r w:rsidR="00125FFA" w:rsidRPr="00823DB0">
        <w:t xml:space="preserve"> an annual basis</w:t>
      </w:r>
      <w:r>
        <w:t xml:space="preserve">. The annual levies </w:t>
      </w:r>
      <w:r w:rsidR="00125FFA" w:rsidRPr="00823DB0">
        <w:t>are aimed at recovering ASIC’s regulatory costs for the previous financial</w:t>
      </w:r>
      <w:r>
        <w:t> </w:t>
      </w:r>
      <w:r w:rsidR="00125FFA" w:rsidRPr="00823DB0">
        <w:t>year.</w:t>
      </w:r>
      <w:r>
        <w:t xml:space="preserve"> </w:t>
      </w:r>
    </w:p>
    <w:p w14:paraId="1B586A74" w14:textId="29F895BF" w:rsidR="00C670E8" w:rsidRDefault="00C670E8" w:rsidP="004A48B6">
      <w:pPr>
        <w:pStyle w:val="BodyText"/>
        <w:numPr>
          <w:ilvl w:val="0"/>
          <w:numId w:val="0"/>
        </w:numPr>
        <w:spacing w:before="0" w:line="240" w:lineRule="auto"/>
        <w:ind w:left="567" w:hanging="567"/>
      </w:pPr>
    </w:p>
    <w:p w14:paraId="22B95B30" w14:textId="22BE0982" w:rsidR="007C0ED2" w:rsidRDefault="007C0ED2" w:rsidP="007C0ED2">
      <w:pPr>
        <w:pStyle w:val="BodyText"/>
        <w:numPr>
          <w:ilvl w:val="0"/>
          <w:numId w:val="0"/>
        </w:numPr>
        <w:spacing w:before="0" w:line="240" w:lineRule="auto"/>
        <w:ind w:left="567" w:hanging="567"/>
      </w:pPr>
      <w:r>
        <w:t>1.6</w:t>
      </w:r>
      <w:r>
        <w:tab/>
        <w:t>The Cost Recovery Regulations prescribe 6 sectors and 48 sub-sectors</w:t>
      </w:r>
      <w:r w:rsidR="00467729">
        <w:t xml:space="preserve"> for the 2017 – 2018 financial year as follows</w:t>
      </w:r>
      <w:r>
        <w:t>:</w:t>
      </w:r>
    </w:p>
    <w:p w14:paraId="3BEBF4D0" w14:textId="77777777" w:rsidR="007C0ED2" w:rsidRDefault="007C0ED2" w:rsidP="007C0ED2">
      <w:pPr>
        <w:pStyle w:val="BodyText"/>
        <w:numPr>
          <w:ilvl w:val="0"/>
          <w:numId w:val="0"/>
        </w:numPr>
        <w:spacing w:before="0" w:line="240" w:lineRule="auto"/>
        <w:ind w:left="567" w:hanging="567"/>
      </w:pPr>
    </w:p>
    <w:p w14:paraId="661BA820" w14:textId="28D2FCDA" w:rsidR="007C0ED2" w:rsidRDefault="007C0ED2" w:rsidP="007C0ED2">
      <w:pPr>
        <w:pStyle w:val="BodyText"/>
        <w:numPr>
          <w:ilvl w:val="0"/>
          <w:numId w:val="0"/>
        </w:numPr>
        <w:spacing w:before="0" w:line="240" w:lineRule="auto"/>
        <w:ind w:left="1134" w:hanging="567"/>
      </w:pPr>
      <w:r>
        <w:t>(a)</w:t>
      </w:r>
      <w:r>
        <w:tab/>
        <w:t xml:space="preserve">the </w:t>
      </w:r>
      <w:r w:rsidRPr="00C670E8">
        <w:rPr>
          <w:b/>
          <w:i/>
        </w:rPr>
        <w:t>corporate sector</w:t>
      </w:r>
      <w:r>
        <w:rPr>
          <w:b/>
          <w:i/>
        </w:rPr>
        <w:t xml:space="preserve"> </w:t>
      </w:r>
      <w:r>
        <w:t>(comprising 6 sub-sectors);</w:t>
      </w:r>
    </w:p>
    <w:p w14:paraId="4E0DC84A" w14:textId="77777777" w:rsidR="007C0ED2" w:rsidRDefault="007C0ED2" w:rsidP="007C0ED2">
      <w:pPr>
        <w:pStyle w:val="BodyText"/>
        <w:numPr>
          <w:ilvl w:val="0"/>
          <w:numId w:val="0"/>
        </w:numPr>
        <w:spacing w:before="0" w:line="240" w:lineRule="auto"/>
        <w:ind w:left="1134" w:hanging="567"/>
      </w:pPr>
    </w:p>
    <w:p w14:paraId="01C9919C" w14:textId="76476FDD" w:rsidR="007C0ED2" w:rsidRPr="007C0ED2" w:rsidRDefault="007C0ED2" w:rsidP="007C0ED2">
      <w:pPr>
        <w:pStyle w:val="BodyText"/>
        <w:numPr>
          <w:ilvl w:val="0"/>
          <w:numId w:val="0"/>
        </w:numPr>
        <w:spacing w:before="0" w:line="240" w:lineRule="auto"/>
        <w:ind w:left="1134" w:hanging="567"/>
      </w:pPr>
      <w:r>
        <w:t>(b)</w:t>
      </w:r>
      <w:r>
        <w:tab/>
        <w:t xml:space="preserve">the </w:t>
      </w:r>
      <w:r>
        <w:rPr>
          <w:b/>
          <w:i/>
        </w:rPr>
        <w:t xml:space="preserve">deposit-taking and credit sector </w:t>
      </w:r>
      <w:r>
        <w:t>(comprising 6 sub-sectors)</w:t>
      </w:r>
      <w:r w:rsidR="004D0AF8">
        <w:t>;</w:t>
      </w:r>
    </w:p>
    <w:p w14:paraId="2CE3AF2B" w14:textId="77777777" w:rsidR="007C0ED2" w:rsidRDefault="007C0ED2" w:rsidP="007C0ED2">
      <w:pPr>
        <w:pStyle w:val="BodyText"/>
        <w:numPr>
          <w:ilvl w:val="0"/>
          <w:numId w:val="0"/>
        </w:numPr>
        <w:spacing w:before="0" w:line="240" w:lineRule="auto"/>
        <w:ind w:left="1134" w:hanging="567"/>
      </w:pPr>
    </w:p>
    <w:p w14:paraId="35C3BF85" w14:textId="413AFE14" w:rsidR="007C0ED2" w:rsidRDefault="007C0ED2" w:rsidP="007C0ED2">
      <w:pPr>
        <w:pStyle w:val="BodyText"/>
        <w:numPr>
          <w:ilvl w:val="0"/>
          <w:numId w:val="0"/>
        </w:numPr>
        <w:spacing w:before="0" w:line="240" w:lineRule="auto"/>
        <w:ind w:left="1134" w:hanging="567"/>
      </w:pPr>
      <w:r>
        <w:t>(c)</w:t>
      </w:r>
      <w:r>
        <w:tab/>
        <w:t xml:space="preserve">the </w:t>
      </w:r>
      <w:r w:rsidRPr="00C670E8">
        <w:rPr>
          <w:b/>
          <w:i/>
        </w:rPr>
        <w:t>investment management, superannuation and related services sector</w:t>
      </w:r>
      <w:r>
        <w:t xml:space="preserve"> (comprising 7 sub-sectors)</w:t>
      </w:r>
      <w:r w:rsidR="004D0AF8">
        <w:t>;</w:t>
      </w:r>
    </w:p>
    <w:p w14:paraId="319712F4" w14:textId="77777777" w:rsidR="007C0ED2" w:rsidRDefault="007C0ED2" w:rsidP="007C0ED2">
      <w:pPr>
        <w:pStyle w:val="BodyText"/>
        <w:numPr>
          <w:ilvl w:val="0"/>
          <w:numId w:val="0"/>
        </w:numPr>
        <w:spacing w:before="0" w:line="240" w:lineRule="auto"/>
        <w:ind w:left="1134" w:hanging="567"/>
      </w:pPr>
    </w:p>
    <w:p w14:paraId="0BBEF8FB" w14:textId="77777777" w:rsidR="007C0ED2" w:rsidRDefault="007C0ED2" w:rsidP="007C0ED2">
      <w:pPr>
        <w:pStyle w:val="BodyText"/>
        <w:numPr>
          <w:ilvl w:val="0"/>
          <w:numId w:val="0"/>
        </w:numPr>
        <w:spacing w:before="0" w:line="240" w:lineRule="auto"/>
        <w:ind w:left="1134" w:hanging="567"/>
      </w:pPr>
      <w:r>
        <w:t>(d)</w:t>
      </w:r>
      <w:r>
        <w:tab/>
        <w:t xml:space="preserve">the </w:t>
      </w:r>
      <w:r w:rsidRPr="00C670E8">
        <w:rPr>
          <w:b/>
          <w:i/>
        </w:rPr>
        <w:t>financial advice sector</w:t>
      </w:r>
      <w:r w:rsidRPr="007C0ED2">
        <w:t xml:space="preserve"> </w:t>
      </w:r>
      <w:r>
        <w:t>(comprising 4 sub-sectors);</w:t>
      </w:r>
    </w:p>
    <w:p w14:paraId="38625C99" w14:textId="77777777" w:rsidR="007C0ED2" w:rsidRDefault="007C0ED2" w:rsidP="007C0ED2">
      <w:pPr>
        <w:pStyle w:val="BodyText"/>
        <w:numPr>
          <w:ilvl w:val="0"/>
          <w:numId w:val="0"/>
        </w:numPr>
        <w:spacing w:before="0" w:line="240" w:lineRule="auto"/>
        <w:ind w:left="1134" w:hanging="567"/>
      </w:pPr>
    </w:p>
    <w:p w14:paraId="308721E4" w14:textId="1EBCBD9F" w:rsidR="007C0ED2" w:rsidRDefault="007C0ED2" w:rsidP="007C0ED2">
      <w:pPr>
        <w:pStyle w:val="BodyText"/>
        <w:numPr>
          <w:ilvl w:val="0"/>
          <w:numId w:val="0"/>
        </w:numPr>
        <w:spacing w:before="0" w:line="240" w:lineRule="auto"/>
        <w:ind w:left="1134" w:hanging="567"/>
      </w:pPr>
      <w:r>
        <w:t>(e)</w:t>
      </w:r>
      <w:r>
        <w:tab/>
        <w:t xml:space="preserve">the </w:t>
      </w:r>
      <w:r w:rsidRPr="00C670E8">
        <w:rPr>
          <w:b/>
          <w:i/>
        </w:rPr>
        <w:t>market infrastructure and intermediaries sector</w:t>
      </w:r>
      <w:r>
        <w:t xml:space="preserve"> (comprising 22 </w:t>
      </w:r>
      <w:r w:rsidR="00DD69FF">
        <w:t>sub-</w:t>
      </w:r>
      <w:r>
        <w:t>sectors);</w:t>
      </w:r>
    </w:p>
    <w:p w14:paraId="4B2BE62B" w14:textId="77777777" w:rsidR="007C0ED2" w:rsidRDefault="007C0ED2" w:rsidP="007C0ED2">
      <w:pPr>
        <w:pStyle w:val="BodyText"/>
        <w:numPr>
          <w:ilvl w:val="0"/>
          <w:numId w:val="0"/>
        </w:numPr>
        <w:spacing w:before="0" w:line="240" w:lineRule="auto"/>
        <w:ind w:left="1134" w:hanging="567"/>
      </w:pPr>
    </w:p>
    <w:p w14:paraId="6E29DE41" w14:textId="40805862" w:rsidR="007C0ED2" w:rsidRDefault="007C0ED2" w:rsidP="007C0ED2">
      <w:pPr>
        <w:pStyle w:val="BodyText"/>
        <w:numPr>
          <w:ilvl w:val="0"/>
          <w:numId w:val="0"/>
        </w:numPr>
        <w:spacing w:before="0" w:line="240" w:lineRule="auto"/>
        <w:ind w:left="1134" w:hanging="567"/>
      </w:pPr>
      <w:r>
        <w:lastRenderedPageBreak/>
        <w:t>(f)</w:t>
      </w:r>
      <w:r>
        <w:tab/>
        <w:t xml:space="preserve">the </w:t>
      </w:r>
      <w:r w:rsidRPr="00C670E8">
        <w:rPr>
          <w:b/>
          <w:i/>
        </w:rPr>
        <w:t>insurance sector</w:t>
      </w:r>
      <w:r>
        <w:t xml:space="preserve"> (comprising 3 sub-sectors).</w:t>
      </w:r>
    </w:p>
    <w:p w14:paraId="57404D43" w14:textId="523261A7" w:rsidR="007C0ED2" w:rsidRDefault="007C0ED2" w:rsidP="004D0AF8">
      <w:pPr>
        <w:pStyle w:val="BodyText"/>
        <w:numPr>
          <w:ilvl w:val="0"/>
          <w:numId w:val="0"/>
        </w:numPr>
        <w:spacing w:before="0" w:line="240" w:lineRule="auto"/>
      </w:pPr>
    </w:p>
    <w:p w14:paraId="4BD0B6F1" w14:textId="5CDE897C" w:rsidR="00BD691E" w:rsidRPr="00BD691E" w:rsidRDefault="00C670E8" w:rsidP="00BD691E">
      <w:pPr>
        <w:pStyle w:val="BodyText"/>
        <w:numPr>
          <w:ilvl w:val="0"/>
          <w:numId w:val="0"/>
        </w:numPr>
        <w:spacing w:before="0" w:line="240" w:lineRule="auto"/>
        <w:ind w:left="567" w:hanging="567"/>
      </w:pPr>
      <w:r>
        <w:t>1.</w:t>
      </w:r>
      <w:r w:rsidR="007C0ED2">
        <w:t>7</w:t>
      </w:r>
      <w:r>
        <w:tab/>
      </w:r>
      <w:r w:rsidR="004D0AF8">
        <w:t>E</w:t>
      </w:r>
      <w:r w:rsidR="000D352F">
        <w:t xml:space="preserve">ither a </w:t>
      </w:r>
      <w:r w:rsidR="007C0ED2" w:rsidRPr="000D352F">
        <w:rPr>
          <w:b/>
          <w:i/>
        </w:rPr>
        <w:t>basic levy component</w:t>
      </w:r>
      <w:r w:rsidR="007C0ED2">
        <w:t xml:space="preserve"> </w:t>
      </w:r>
      <w:r w:rsidR="000D352F">
        <w:t xml:space="preserve">or a </w:t>
      </w:r>
      <w:r w:rsidR="000D352F" w:rsidRPr="000D352F">
        <w:rPr>
          <w:b/>
          <w:i/>
        </w:rPr>
        <w:t>graduated levy component</w:t>
      </w:r>
      <w:r w:rsidR="004D0AF8">
        <w:rPr>
          <w:b/>
          <w:i/>
        </w:rPr>
        <w:t xml:space="preserve"> </w:t>
      </w:r>
      <w:r w:rsidR="004D0AF8">
        <w:t xml:space="preserve">is applied to each sub-sector. </w:t>
      </w:r>
      <w:r w:rsidR="000D352F">
        <w:t>A leviable entity may form part of 2 or more sub</w:t>
      </w:r>
      <w:r w:rsidR="00635DB9" w:rsidRPr="00C72DE0">
        <w:t>-</w:t>
      </w:r>
      <w:r w:rsidR="000D352F">
        <w:t>sectors in a sector</w:t>
      </w:r>
      <w:r w:rsidR="00A31875">
        <w:t>.</w:t>
      </w:r>
      <w:r w:rsidR="00BD691E" w:rsidRPr="00BD691E">
        <w:t xml:space="preserve"> The amount of levy payable by a leviable entity is the sum of each levy component the entity has for the financial</w:t>
      </w:r>
      <w:r w:rsidR="00CB545F">
        <w:t> </w:t>
      </w:r>
      <w:r w:rsidR="00BD691E" w:rsidRPr="00BD691E">
        <w:t xml:space="preserve">year. </w:t>
      </w:r>
    </w:p>
    <w:p w14:paraId="182E348F" w14:textId="3FA30919" w:rsidR="004D0AF8" w:rsidRDefault="004D0AF8" w:rsidP="004A48B6">
      <w:pPr>
        <w:pStyle w:val="BodyText"/>
        <w:numPr>
          <w:ilvl w:val="0"/>
          <w:numId w:val="0"/>
        </w:numPr>
        <w:spacing w:before="0" w:line="240" w:lineRule="auto"/>
        <w:ind w:left="567" w:hanging="567"/>
      </w:pPr>
    </w:p>
    <w:p w14:paraId="40957D4E" w14:textId="4FB13DB4" w:rsidR="00C670E8" w:rsidRDefault="004D0AF8" w:rsidP="004A48B6">
      <w:pPr>
        <w:pStyle w:val="BodyText"/>
        <w:numPr>
          <w:ilvl w:val="0"/>
          <w:numId w:val="0"/>
        </w:numPr>
        <w:spacing w:before="0" w:line="240" w:lineRule="auto"/>
        <w:ind w:left="567" w:hanging="567"/>
      </w:pPr>
      <w:r>
        <w:t>1.8</w:t>
      </w:r>
      <w:r>
        <w:tab/>
        <w:t xml:space="preserve">The </w:t>
      </w:r>
      <w:r w:rsidRPr="004D0AF8">
        <w:rPr>
          <w:b/>
          <w:i/>
        </w:rPr>
        <w:t>basic levy component</w:t>
      </w:r>
      <w:r w:rsidRPr="004D0AF8">
        <w:t xml:space="preserve"> </w:t>
      </w:r>
      <w:r>
        <w:t xml:space="preserve">and the </w:t>
      </w:r>
      <w:r w:rsidRPr="004D0AF8">
        <w:rPr>
          <w:b/>
          <w:i/>
        </w:rPr>
        <w:t>graduated levy component</w:t>
      </w:r>
      <w:r>
        <w:t>, for a leviable entity for a sub-sector for a financial year, is worked out according to formula</w:t>
      </w:r>
      <w:r w:rsidR="00BD691E">
        <w:t>e</w:t>
      </w:r>
      <w:r>
        <w:t xml:space="preserve"> specified in </w:t>
      </w:r>
      <w:r w:rsidR="00BD691E">
        <w:t>t</w:t>
      </w:r>
      <w:r>
        <w:t xml:space="preserve">he Cost Recovery Regulations. </w:t>
      </w:r>
      <w:r w:rsidR="00A31875">
        <w:tab/>
        <w:t xml:space="preserve"> </w:t>
      </w:r>
    </w:p>
    <w:p w14:paraId="0C9FD6F8" w14:textId="77777777" w:rsidR="00E27D8A" w:rsidRDefault="00E27D8A" w:rsidP="0087748D">
      <w:pPr>
        <w:pStyle w:val="BodyText"/>
        <w:numPr>
          <w:ilvl w:val="0"/>
          <w:numId w:val="0"/>
        </w:numPr>
        <w:spacing w:before="0" w:line="240" w:lineRule="auto"/>
        <w:ind w:left="567" w:hanging="567"/>
        <w:rPr>
          <w:rFonts w:ascii="Arial" w:hAnsi="Arial" w:cs="Arial"/>
          <w:b/>
          <w:sz w:val="24"/>
          <w:szCs w:val="24"/>
        </w:rPr>
      </w:pPr>
    </w:p>
    <w:p w14:paraId="606D01ED" w14:textId="762F38B8" w:rsidR="0036622A" w:rsidRPr="0087748D" w:rsidRDefault="0087748D" w:rsidP="0087748D">
      <w:pPr>
        <w:pStyle w:val="BodyText"/>
        <w:numPr>
          <w:ilvl w:val="0"/>
          <w:numId w:val="0"/>
        </w:numPr>
        <w:spacing w:before="0" w:line="240" w:lineRule="auto"/>
        <w:ind w:left="567" w:hanging="567"/>
        <w:rPr>
          <w:rFonts w:ascii="Arial" w:hAnsi="Arial" w:cs="Arial"/>
          <w:b/>
          <w:spacing w:val="-1"/>
          <w:sz w:val="24"/>
          <w:szCs w:val="24"/>
        </w:rPr>
      </w:pPr>
      <w:r>
        <w:rPr>
          <w:rFonts w:ascii="Arial" w:hAnsi="Arial" w:cs="Arial"/>
          <w:b/>
          <w:sz w:val="24"/>
          <w:szCs w:val="24"/>
        </w:rPr>
        <w:t>2</w:t>
      </w:r>
      <w:bookmarkStart w:id="2" w:name="2._Purpose_of_the_class_order_"/>
      <w:bookmarkEnd w:id="2"/>
      <w:r>
        <w:rPr>
          <w:rFonts w:ascii="Arial" w:hAnsi="Arial" w:cs="Arial"/>
          <w:b/>
          <w:sz w:val="24"/>
          <w:szCs w:val="24"/>
        </w:rPr>
        <w:t>.</w:t>
      </w:r>
      <w:r>
        <w:rPr>
          <w:rFonts w:ascii="Arial" w:hAnsi="Arial" w:cs="Arial"/>
          <w:b/>
          <w:sz w:val="24"/>
          <w:szCs w:val="24"/>
        </w:rPr>
        <w:tab/>
      </w:r>
      <w:r w:rsidR="0036622A" w:rsidRPr="0087748D">
        <w:rPr>
          <w:rFonts w:ascii="Arial" w:hAnsi="Arial" w:cs="Arial"/>
          <w:b/>
          <w:spacing w:val="-1"/>
          <w:sz w:val="24"/>
          <w:szCs w:val="24"/>
        </w:rPr>
        <w:t>Purpose</w:t>
      </w:r>
      <w:r w:rsidR="0036622A" w:rsidRPr="0087748D">
        <w:rPr>
          <w:rFonts w:ascii="Arial" w:hAnsi="Arial" w:cs="Arial"/>
          <w:b/>
          <w:sz w:val="24"/>
          <w:szCs w:val="24"/>
        </w:rPr>
        <w:t xml:space="preserve"> of </w:t>
      </w:r>
      <w:r w:rsidR="0036622A" w:rsidRPr="0087748D">
        <w:rPr>
          <w:rFonts w:ascii="Arial" w:hAnsi="Arial" w:cs="Arial"/>
          <w:b/>
          <w:spacing w:val="-1"/>
          <w:sz w:val="24"/>
          <w:szCs w:val="24"/>
        </w:rPr>
        <w:t>the</w:t>
      </w:r>
      <w:r w:rsidR="0036622A" w:rsidRPr="0087748D">
        <w:rPr>
          <w:rFonts w:ascii="Arial" w:hAnsi="Arial" w:cs="Arial"/>
          <w:b/>
          <w:sz w:val="24"/>
          <w:szCs w:val="24"/>
        </w:rPr>
        <w:t xml:space="preserve"> </w:t>
      </w:r>
      <w:r w:rsidR="0036622A" w:rsidRPr="0087748D">
        <w:rPr>
          <w:rFonts w:ascii="Arial" w:hAnsi="Arial" w:cs="Arial"/>
          <w:b/>
          <w:spacing w:val="-1"/>
          <w:sz w:val="24"/>
          <w:szCs w:val="24"/>
        </w:rPr>
        <w:t>instrument</w:t>
      </w:r>
    </w:p>
    <w:p w14:paraId="5CDC0821" w14:textId="77777777" w:rsidR="0087748D" w:rsidRDefault="0087748D" w:rsidP="0087748D">
      <w:pPr>
        <w:pStyle w:val="BodyText"/>
        <w:numPr>
          <w:ilvl w:val="0"/>
          <w:numId w:val="0"/>
        </w:numPr>
        <w:spacing w:before="0" w:line="240" w:lineRule="auto"/>
        <w:ind w:left="567" w:hanging="567"/>
      </w:pPr>
    </w:p>
    <w:p w14:paraId="19A4BF22" w14:textId="143A3505" w:rsidR="005106C6" w:rsidRDefault="0087748D" w:rsidP="00653F7D">
      <w:pPr>
        <w:pStyle w:val="BodyText"/>
        <w:numPr>
          <w:ilvl w:val="0"/>
          <w:numId w:val="0"/>
        </w:numPr>
        <w:spacing w:before="0" w:line="240" w:lineRule="auto"/>
        <w:ind w:left="567" w:hanging="567"/>
      </w:pPr>
      <w:bookmarkStart w:id="3" w:name="_Hlk524510412"/>
      <w:r>
        <w:t>2.1</w:t>
      </w:r>
      <w:r>
        <w:tab/>
      </w:r>
      <w:bookmarkStart w:id="4" w:name="_Hlk524424794"/>
      <w:r w:rsidR="00207E3F" w:rsidRPr="00207E3F">
        <w:t xml:space="preserve">The purpose of the instrument is to </w:t>
      </w:r>
      <w:r w:rsidR="00E27D8A">
        <w:t xml:space="preserve">specify </w:t>
      </w:r>
      <w:r w:rsidR="00D66962">
        <w:t xml:space="preserve">certain matters for the </w:t>
      </w:r>
      <w:r>
        <w:t xml:space="preserve">2017 – 2018 </w:t>
      </w:r>
      <w:r w:rsidR="008B4E74">
        <w:t>financial year</w:t>
      </w:r>
      <w:r w:rsidR="00E27D8A">
        <w:t xml:space="preserve">. </w:t>
      </w:r>
      <w:bookmarkEnd w:id="4"/>
      <w:r w:rsidR="00BD691E">
        <w:t xml:space="preserve">These matters are numbers, amounts or percentages that are used </w:t>
      </w:r>
      <w:r w:rsidR="005B58C5" w:rsidRPr="00C72DE0">
        <w:t>in the formulae specified in the Cost Recovery Regulations</w:t>
      </w:r>
      <w:r w:rsidR="005B58C5">
        <w:t xml:space="preserve"> </w:t>
      </w:r>
      <w:r w:rsidR="00BD691E">
        <w:t xml:space="preserve">to work out the </w:t>
      </w:r>
      <w:r w:rsidR="00BD691E" w:rsidRPr="00BD691E">
        <w:rPr>
          <w:b/>
          <w:i/>
        </w:rPr>
        <w:t>basic levy component</w:t>
      </w:r>
      <w:r w:rsidR="00BD691E">
        <w:t xml:space="preserve"> and the </w:t>
      </w:r>
      <w:r w:rsidR="00BD691E" w:rsidRPr="00BD691E">
        <w:rPr>
          <w:b/>
          <w:i/>
        </w:rPr>
        <w:t>graduated levy component</w:t>
      </w:r>
      <w:r w:rsidR="00467729">
        <w:t xml:space="preserve">, and a leviable entity’s </w:t>
      </w:r>
      <w:r w:rsidR="00467729" w:rsidRPr="00467729">
        <w:rPr>
          <w:b/>
          <w:i/>
        </w:rPr>
        <w:t>levy component</w:t>
      </w:r>
      <w:r w:rsidR="00467729">
        <w:t xml:space="preserve">.   </w:t>
      </w:r>
    </w:p>
    <w:p w14:paraId="59F9E2FD" w14:textId="77777777" w:rsidR="005106C6" w:rsidRDefault="005106C6" w:rsidP="00653F7D">
      <w:pPr>
        <w:pStyle w:val="BodyText"/>
        <w:numPr>
          <w:ilvl w:val="0"/>
          <w:numId w:val="0"/>
        </w:numPr>
        <w:spacing w:before="0" w:line="240" w:lineRule="auto"/>
        <w:ind w:left="567" w:hanging="567"/>
      </w:pPr>
    </w:p>
    <w:p w14:paraId="108D5483" w14:textId="4F2F6ADB" w:rsidR="00D66962" w:rsidRDefault="005106C6" w:rsidP="00653F7D">
      <w:pPr>
        <w:pStyle w:val="BodyText"/>
        <w:numPr>
          <w:ilvl w:val="0"/>
          <w:numId w:val="0"/>
        </w:numPr>
        <w:spacing w:before="0" w:line="240" w:lineRule="auto"/>
        <w:ind w:left="567" w:hanging="567"/>
      </w:pPr>
      <w:r>
        <w:t>2.2</w:t>
      </w:r>
      <w:r>
        <w:tab/>
      </w:r>
      <w:r w:rsidR="00D66962">
        <w:t xml:space="preserve">These matters are: </w:t>
      </w:r>
    </w:p>
    <w:p w14:paraId="4735D284" w14:textId="77777777" w:rsidR="00D66962" w:rsidRDefault="00D66962" w:rsidP="00653F7D">
      <w:pPr>
        <w:pStyle w:val="BodyText"/>
        <w:numPr>
          <w:ilvl w:val="0"/>
          <w:numId w:val="0"/>
        </w:numPr>
        <w:spacing w:before="0" w:line="240" w:lineRule="auto"/>
        <w:ind w:left="567" w:hanging="567"/>
      </w:pPr>
    </w:p>
    <w:p w14:paraId="471D0FF7" w14:textId="49BC1AD9" w:rsidR="00C624EC" w:rsidRDefault="00D66962" w:rsidP="00D66962">
      <w:pPr>
        <w:pStyle w:val="BodyText"/>
        <w:numPr>
          <w:ilvl w:val="0"/>
          <w:numId w:val="0"/>
        </w:numPr>
        <w:spacing w:before="0" w:line="240" w:lineRule="auto"/>
        <w:ind w:left="1134" w:hanging="567"/>
      </w:pPr>
      <w:r>
        <w:t>(a)</w:t>
      </w:r>
      <w:r w:rsidR="00C624EC">
        <w:tab/>
        <w:t xml:space="preserve">the </w:t>
      </w:r>
      <w:r w:rsidR="00C624EC" w:rsidRPr="00C624EC">
        <w:rPr>
          <w:b/>
          <w:i/>
        </w:rPr>
        <w:t>sub-sector population</w:t>
      </w:r>
      <w:r w:rsidR="00C624EC">
        <w:t>;</w:t>
      </w:r>
    </w:p>
    <w:p w14:paraId="505ED936" w14:textId="77777777" w:rsidR="00C624EC" w:rsidRDefault="00C624EC" w:rsidP="00D66962">
      <w:pPr>
        <w:pStyle w:val="BodyText"/>
        <w:numPr>
          <w:ilvl w:val="0"/>
          <w:numId w:val="0"/>
        </w:numPr>
        <w:spacing w:before="0" w:line="240" w:lineRule="auto"/>
        <w:ind w:left="1134" w:hanging="567"/>
      </w:pPr>
    </w:p>
    <w:p w14:paraId="272AEDBA" w14:textId="67C5CCFA" w:rsidR="00C624EC" w:rsidRDefault="00C624EC" w:rsidP="00C624EC">
      <w:pPr>
        <w:pStyle w:val="BodyText"/>
        <w:numPr>
          <w:ilvl w:val="0"/>
          <w:numId w:val="0"/>
        </w:numPr>
        <w:spacing w:before="0" w:line="240" w:lineRule="auto"/>
        <w:ind w:left="1134" w:hanging="567"/>
      </w:pPr>
      <w:r>
        <w:t>(b)</w:t>
      </w:r>
      <w:r>
        <w:tab/>
        <w:t xml:space="preserve">the </w:t>
      </w:r>
      <w:r w:rsidRPr="00C624EC">
        <w:rPr>
          <w:b/>
          <w:i/>
        </w:rPr>
        <w:t>sub-sector metric</w:t>
      </w:r>
      <w:r w:rsidR="00183FFE">
        <w:rPr>
          <w:b/>
          <w:i/>
        </w:rPr>
        <w:t>s</w:t>
      </w:r>
      <w:r>
        <w:t xml:space="preserve"> in relation to the </w:t>
      </w:r>
      <w:r w:rsidRPr="00C624EC">
        <w:rPr>
          <w:b/>
          <w:i/>
        </w:rPr>
        <w:t>basic levy component</w:t>
      </w:r>
      <w:r w:rsidR="00183FFE">
        <w:t xml:space="preserve"> and the </w:t>
      </w:r>
      <w:r w:rsidRPr="00C624EC">
        <w:rPr>
          <w:b/>
          <w:i/>
        </w:rPr>
        <w:t>graduated</w:t>
      </w:r>
      <w:r w:rsidR="00183FFE">
        <w:rPr>
          <w:b/>
          <w:i/>
        </w:rPr>
        <w:t> </w:t>
      </w:r>
      <w:r w:rsidRPr="00C624EC">
        <w:rPr>
          <w:b/>
          <w:i/>
        </w:rPr>
        <w:t>levy</w:t>
      </w:r>
      <w:r w:rsidR="00183FFE">
        <w:rPr>
          <w:b/>
          <w:i/>
        </w:rPr>
        <w:t> </w:t>
      </w:r>
      <w:r w:rsidRPr="00C624EC">
        <w:rPr>
          <w:b/>
          <w:i/>
        </w:rPr>
        <w:t>component</w:t>
      </w:r>
      <w:r w:rsidRPr="00C624EC">
        <w:t>;</w:t>
      </w:r>
    </w:p>
    <w:p w14:paraId="62D1C72F" w14:textId="77777777" w:rsidR="00C624EC" w:rsidRDefault="00C624EC" w:rsidP="00C624EC">
      <w:pPr>
        <w:pStyle w:val="BodyText"/>
        <w:numPr>
          <w:ilvl w:val="0"/>
          <w:numId w:val="0"/>
        </w:numPr>
        <w:spacing w:before="0" w:line="240" w:lineRule="auto"/>
        <w:ind w:left="1134" w:hanging="567"/>
      </w:pPr>
    </w:p>
    <w:p w14:paraId="513F5629" w14:textId="39490C64" w:rsidR="00C624EC" w:rsidRDefault="00C624EC" w:rsidP="00C624EC">
      <w:pPr>
        <w:pStyle w:val="BodyText"/>
        <w:numPr>
          <w:ilvl w:val="0"/>
          <w:numId w:val="0"/>
        </w:numPr>
        <w:spacing w:before="0" w:line="240" w:lineRule="auto"/>
        <w:ind w:left="1134" w:hanging="567"/>
      </w:pPr>
      <w:r>
        <w:t>(</w:t>
      </w:r>
      <w:r w:rsidR="00183FFE">
        <w:t>c</w:t>
      </w:r>
      <w:r>
        <w:t>)</w:t>
      </w:r>
      <w:r>
        <w:tab/>
        <w:t xml:space="preserve">the </w:t>
      </w:r>
      <w:r w:rsidRPr="00C624EC">
        <w:rPr>
          <w:b/>
          <w:i/>
        </w:rPr>
        <w:t>IT percentage</w:t>
      </w:r>
      <w:r>
        <w:t xml:space="preserve"> of sub-sector regulatory costs in relation to the </w:t>
      </w:r>
      <w:r w:rsidRPr="00C624EC">
        <w:rPr>
          <w:b/>
          <w:i/>
        </w:rPr>
        <w:t>large</w:t>
      </w:r>
      <w:r w:rsidR="006934B1">
        <w:rPr>
          <w:b/>
          <w:i/>
        </w:rPr>
        <w:t> </w:t>
      </w:r>
      <w:r w:rsidRPr="00C624EC">
        <w:rPr>
          <w:b/>
          <w:i/>
        </w:rPr>
        <w:t>futures</w:t>
      </w:r>
      <w:r w:rsidR="006934B1">
        <w:rPr>
          <w:b/>
          <w:i/>
        </w:rPr>
        <w:t> </w:t>
      </w:r>
      <w:r w:rsidRPr="00C624EC">
        <w:rPr>
          <w:b/>
          <w:i/>
        </w:rPr>
        <w:t>exchange participants</w:t>
      </w:r>
      <w:r>
        <w:t xml:space="preserve"> sub-sector; and</w:t>
      </w:r>
    </w:p>
    <w:p w14:paraId="7C3AB01A" w14:textId="77777777" w:rsidR="00C624EC" w:rsidRDefault="00C624EC" w:rsidP="00C624EC">
      <w:pPr>
        <w:pStyle w:val="BodyText"/>
        <w:numPr>
          <w:ilvl w:val="0"/>
          <w:numId w:val="0"/>
        </w:numPr>
        <w:spacing w:before="0" w:line="240" w:lineRule="auto"/>
        <w:ind w:left="1134" w:hanging="567"/>
      </w:pPr>
    </w:p>
    <w:p w14:paraId="47C69D37" w14:textId="6F7E4C12" w:rsidR="00C624EC" w:rsidRPr="00C624EC" w:rsidRDefault="00C624EC" w:rsidP="00C624EC">
      <w:pPr>
        <w:pStyle w:val="BodyText"/>
        <w:numPr>
          <w:ilvl w:val="0"/>
          <w:numId w:val="0"/>
        </w:numPr>
        <w:spacing w:before="0" w:line="240" w:lineRule="auto"/>
        <w:ind w:left="1134" w:hanging="567"/>
      </w:pPr>
      <w:r>
        <w:t>(</w:t>
      </w:r>
      <w:r w:rsidR="00183FFE">
        <w:t>d</w:t>
      </w:r>
      <w:r>
        <w:t>)</w:t>
      </w:r>
      <w:r>
        <w:tab/>
      </w:r>
      <w:r w:rsidRPr="00C624EC">
        <w:t xml:space="preserve">the </w:t>
      </w:r>
      <w:r w:rsidRPr="00C624EC">
        <w:rPr>
          <w:b/>
          <w:i/>
        </w:rPr>
        <w:t>IT percentage</w:t>
      </w:r>
      <w:r w:rsidRPr="00C624EC">
        <w:t xml:space="preserve"> of sub-sector regulatory costs in relation to the </w:t>
      </w:r>
      <w:r w:rsidRPr="00C624EC">
        <w:rPr>
          <w:b/>
          <w:i/>
        </w:rPr>
        <w:t>large</w:t>
      </w:r>
      <w:r w:rsidR="006934B1">
        <w:rPr>
          <w:b/>
          <w:i/>
        </w:rPr>
        <w:t> </w:t>
      </w:r>
      <w:r>
        <w:rPr>
          <w:b/>
          <w:i/>
        </w:rPr>
        <w:t>securities</w:t>
      </w:r>
      <w:r w:rsidR="006934B1">
        <w:rPr>
          <w:b/>
          <w:i/>
        </w:rPr>
        <w:t> </w:t>
      </w:r>
      <w:r>
        <w:rPr>
          <w:b/>
          <w:i/>
        </w:rPr>
        <w:t>e</w:t>
      </w:r>
      <w:r w:rsidRPr="00C624EC">
        <w:rPr>
          <w:b/>
          <w:i/>
        </w:rPr>
        <w:t>xchange participants</w:t>
      </w:r>
      <w:r w:rsidRPr="00C624EC">
        <w:t xml:space="preserve"> sub-sector</w:t>
      </w:r>
      <w:r>
        <w:t>.</w:t>
      </w:r>
      <w:bookmarkEnd w:id="3"/>
    </w:p>
    <w:p w14:paraId="7DE737A4" w14:textId="76BF44B4" w:rsidR="00D66962" w:rsidRDefault="00D66962" w:rsidP="00D66962">
      <w:pPr>
        <w:pStyle w:val="BodyText"/>
        <w:numPr>
          <w:ilvl w:val="0"/>
          <w:numId w:val="0"/>
        </w:numPr>
        <w:spacing w:before="0" w:line="240" w:lineRule="auto"/>
        <w:ind w:left="1134" w:hanging="567"/>
      </w:pPr>
    </w:p>
    <w:p w14:paraId="26CE22DA" w14:textId="435F5973" w:rsidR="00BD691E" w:rsidRDefault="00C624EC" w:rsidP="00653F7D">
      <w:pPr>
        <w:pStyle w:val="BodyText"/>
        <w:numPr>
          <w:ilvl w:val="0"/>
          <w:numId w:val="0"/>
        </w:numPr>
        <w:spacing w:before="0" w:line="240" w:lineRule="auto"/>
        <w:ind w:left="567" w:hanging="567"/>
      </w:pPr>
      <w:r>
        <w:t>2.2</w:t>
      </w:r>
      <w:r>
        <w:tab/>
      </w:r>
      <w:r w:rsidR="008B4E74">
        <w:t xml:space="preserve">The instrument is to be read in conjunction with the </w:t>
      </w:r>
      <w:r w:rsidR="001653BF" w:rsidRPr="001653BF">
        <w:rPr>
          <w:i/>
        </w:rPr>
        <w:t>ASIC (Supervisory Cost Recovery Levy—</w:t>
      </w:r>
      <w:r w:rsidR="00D66962">
        <w:rPr>
          <w:i/>
        </w:rPr>
        <w:t>Regulatory Costs</w:t>
      </w:r>
      <w:r w:rsidR="001653BF" w:rsidRPr="001653BF">
        <w:rPr>
          <w:i/>
        </w:rPr>
        <w:t>)</w:t>
      </w:r>
      <w:r w:rsidR="008B4E74" w:rsidRPr="001653BF">
        <w:rPr>
          <w:i/>
        </w:rPr>
        <w:t xml:space="preserve"> Instrument</w:t>
      </w:r>
      <w:r w:rsidR="001653BF" w:rsidRPr="001653BF">
        <w:rPr>
          <w:i/>
        </w:rPr>
        <w:t xml:space="preserve"> 2018/</w:t>
      </w:r>
      <w:r w:rsidR="00455BB3">
        <w:rPr>
          <w:i/>
        </w:rPr>
        <w:t>1062</w:t>
      </w:r>
      <w:r w:rsidR="008B4E74">
        <w:t>.</w:t>
      </w:r>
      <w:r w:rsidR="001653BF">
        <w:t xml:space="preserve"> </w:t>
      </w:r>
      <w:r w:rsidR="009E1532" w:rsidRPr="009E1532">
        <w:t>Th</w:t>
      </w:r>
      <w:r w:rsidR="009E1532">
        <w:t xml:space="preserve">at instrument </w:t>
      </w:r>
      <w:r w:rsidR="009E1532" w:rsidRPr="009E1532">
        <w:t>specif</w:t>
      </w:r>
      <w:r w:rsidR="009E1532">
        <w:t>ies</w:t>
      </w:r>
      <w:r w:rsidR="009E1532" w:rsidRPr="009E1532">
        <w:t xml:space="preserve"> ASIC’s </w:t>
      </w:r>
      <w:r w:rsidR="009E1532" w:rsidRPr="001816EA">
        <w:rPr>
          <w:b/>
          <w:i/>
        </w:rPr>
        <w:t>regulatory costs</w:t>
      </w:r>
      <w:r w:rsidR="009E1532" w:rsidRPr="009E1532">
        <w:t xml:space="preserve"> and the</w:t>
      </w:r>
      <w:r w:rsidR="001816EA" w:rsidRPr="001816EA">
        <w:rPr>
          <w:b/>
          <w:i/>
          <w:szCs w:val="20"/>
        </w:rPr>
        <w:t xml:space="preserve"> </w:t>
      </w:r>
      <w:r w:rsidR="001816EA" w:rsidRPr="001816EA">
        <w:rPr>
          <w:b/>
          <w:i/>
        </w:rPr>
        <w:t>sub-sector regulatory costs</w:t>
      </w:r>
      <w:r w:rsidR="001816EA">
        <w:t xml:space="preserve"> </w:t>
      </w:r>
      <w:r w:rsidR="009E1532" w:rsidRPr="009E1532">
        <w:t xml:space="preserve">for the 2017 – 2018 financial year. </w:t>
      </w:r>
      <w:r w:rsidR="00BD691E">
        <w:t xml:space="preserve">The </w:t>
      </w:r>
      <w:bookmarkStart w:id="5" w:name="_Hlk524505808"/>
      <w:r w:rsidR="00BD691E" w:rsidRPr="00BD691E">
        <w:rPr>
          <w:b/>
          <w:i/>
        </w:rPr>
        <w:t>sub-sector regulatory costs</w:t>
      </w:r>
      <w:bookmarkEnd w:id="5"/>
      <w:r w:rsidR="001816EA">
        <w:rPr>
          <w:b/>
          <w:i/>
        </w:rPr>
        <w:t xml:space="preserve"> </w:t>
      </w:r>
      <w:r w:rsidR="00455BB3">
        <w:t>are</w:t>
      </w:r>
      <w:r w:rsidR="00BD691E">
        <w:t xml:space="preserve"> also used in the formulae for working out the </w:t>
      </w:r>
      <w:r w:rsidR="00BD691E" w:rsidRPr="00BD691E">
        <w:rPr>
          <w:b/>
          <w:i/>
        </w:rPr>
        <w:t>basic levy component</w:t>
      </w:r>
      <w:r w:rsidR="00BD691E" w:rsidRPr="00BD691E">
        <w:t xml:space="preserve"> and the </w:t>
      </w:r>
      <w:r w:rsidR="00BD691E" w:rsidRPr="00BD691E">
        <w:rPr>
          <w:b/>
          <w:i/>
        </w:rPr>
        <w:t>graduated levy component</w:t>
      </w:r>
      <w:r w:rsidR="00BD691E" w:rsidRPr="00BD691E">
        <w:t xml:space="preserve">, for a leviable entity for a sub-sector for </w:t>
      </w:r>
      <w:r w:rsidR="00BD691E">
        <w:t>the</w:t>
      </w:r>
      <w:r w:rsidR="00BD691E" w:rsidRPr="00BD691E">
        <w:t xml:space="preserve"> financial year</w:t>
      </w:r>
      <w:r w:rsidR="00BD691E">
        <w:t>.</w:t>
      </w:r>
    </w:p>
    <w:p w14:paraId="3CADA2F7" w14:textId="77777777" w:rsidR="00BD691E" w:rsidRDefault="00BD691E" w:rsidP="00653F7D">
      <w:pPr>
        <w:pStyle w:val="BodyText"/>
        <w:numPr>
          <w:ilvl w:val="0"/>
          <w:numId w:val="0"/>
        </w:numPr>
        <w:spacing w:before="0" w:line="240" w:lineRule="auto"/>
        <w:ind w:left="567" w:hanging="567"/>
      </w:pPr>
    </w:p>
    <w:p w14:paraId="69C771BF" w14:textId="040436DB" w:rsidR="008B4E74" w:rsidRDefault="00BD691E" w:rsidP="00653F7D">
      <w:pPr>
        <w:pStyle w:val="BodyText"/>
        <w:numPr>
          <w:ilvl w:val="0"/>
          <w:numId w:val="0"/>
        </w:numPr>
        <w:spacing w:before="0" w:line="240" w:lineRule="auto"/>
        <w:ind w:left="567" w:hanging="567"/>
      </w:pPr>
      <w:r>
        <w:t>2.3</w:t>
      </w:r>
      <w:r>
        <w:tab/>
      </w:r>
      <w:r w:rsidR="008B4E74">
        <w:t>Together</w:t>
      </w:r>
      <w:r w:rsidR="00785614">
        <w:t>,</w:t>
      </w:r>
      <w:r w:rsidR="008B4E74">
        <w:t xml:space="preserve"> these instruments provide ASIC with the</w:t>
      </w:r>
      <w:r w:rsidR="00785614">
        <w:t xml:space="preserve"> necessary</w:t>
      </w:r>
      <w:r w:rsidR="008B4E74">
        <w:t xml:space="preserve"> figures to </w:t>
      </w:r>
      <w:r w:rsidR="00785614">
        <w:t xml:space="preserve">enable it to </w:t>
      </w:r>
      <w:r w:rsidR="008B4E74">
        <w:t xml:space="preserve">calculate </w:t>
      </w:r>
      <w:r w:rsidR="00785614">
        <w:t>the levies</w:t>
      </w:r>
      <w:r w:rsidR="008B4E74">
        <w:t xml:space="preserve"> payable by </w:t>
      </w:r>
      <w:r w:rsidR="00785614">
        <w:t xml:space="preserve">each </w:t>
      </w:r>
      <w:r w:rsidR="008B4E74">
        <w:t>leviable entity for the financial year.</w:t>
      </w:r>
      <w:r w:rsidR="001653BF" w:rsidRPr="001653BF">
        <w:rPr>
          <w:szCs w:val="20"/>
        </w:rPr>
        <w:t xml:space="preserve"> </w:t>
      </w:r>
      <w:r w:rsidR="001653BF" w:rsidRPr="001653BF">
        <w:t xml:space="preserve">ASIC will use the figures in these instruments in preparing </w:t>
      </w:r>
      <w:r>
        <w:t xml:space="preserve">and sending </w:t>
      </w:r>
      <w:r w:rsidR="001653BF" w:rsidRPr="001653BF">
        <w:t xml:space="preserve">the </w:t>
      </w:r>
      <w:r>
        <w:t xml:space="preserve">levy </w:t>
      </w:r>
      <w:r w:rsidR="001653BF" w:rsidRPr="001653BF">
        <w:t>invoices in January 2019.</w:t>
      </w:r>
    </w:p>
    <w:p w14:paraId="0394EAD6" w14:textId="0301D156" w:rsidR="009E1532" w:rsidRDefault="009E1532" w:rsidP="00653F7D">
      <w:pPr>
        <w:pStyle w:val="BodyText"/>
        <w:numPr>
          <w:ilvl w:val="0"/>
          <w:numId w:val="0"/>
        </w:numPr>
        <w:spacing w:before="0" w:line="240" w:lineRule="auto"/>
        <w:ind w:left="567" w:hanging="567"/>
      </w:pPr>
    </w:p>
    <w:p w14:paraId="243281DF" w14:textId="2F184DE5" w:rsidR="009E1532" w:rsidRDefault="009E1532" w:rsidP="00653F7D">
      <w:pPr>
        <w:pStyle w:val="BodyText"/>
        <w:numPr>
          <w:ilvl w:val="0"/>
          <w:numId w:val="0"/>
        </w:numPr>
        <w:spacing w:before="0" w:line="240" w:lineRule="auto"/>
        <w:ind w:left="567" w:hanging="567"/>
      </w:pPr>
      <w:r>
        <w:t>2.</w:t>
      </w:r>
      <w:r w:rsidR="001816EA">
        <w:t>4</w:t>
      </w:r>
      <w:r>
        <w:tab/>
        <w:t>The objectives</w:t>
      </w:r>
      <w:r w:rsidR="005106C6">
        <w:t xml:space="preserve">, as set out in subsection 9(2) of the Cost Recovery Act, </w:t>
      </w:r>
      <w:r>
        <w:t>are:</w:t>
      </w:r>
    </w:p>
    <w:p w14:paraId="492725D6" w14:textId="77777777" w:rsidR="009E1532" w:rsidRDefault="009E1532" w:rsidP="00653F7D">
      <w:pPr>
        <w:pStyle w:val="BodyText"/>
        <w:numPr>
          <w:ilvl w:val="0"/>
          <w:numId w:val="0"/>
        </w:numPr>
        <w:spacing w:before="0" w:line="240" w:lineRule="auto"/>
        <w:ind w:left="567" w:hanging="567"/>
      </w:pPr>
    </w:p>
    <w:p w14:paraId="402D4ABA" w14:textId="4E32C012" w:rsidR="009E1532" w:rsidRDefault="009E1532" w:rsidP="009E1532">
      <w:pPr>
        <w:pStyle w:val="BodyText"/>
        <w:numPr>
          <w:ilvl w:val="0"/>
          <w:numId w:val="0"/>
        </w:numPr>
        <w:spacing w:before="0" w:line="240" w:lineRule="auto"/>
        <w:ind w:left="1134" w:hanging="567"/>
      </w:pPr>
      <w:r>
        <w:t>(a)</w:t>
      </w:r>
      <w:r>
        <w:tab/>
        <w:t>that the total amount of levy payable by all leviable entities in relation to the financial year equals the amount of ASIC’s regulatory costs for the financial year; and</w:t>
      </w:r>
    </w:p>
    <w:p w14:paraId="0B4FF6AF" w14:textId="77777777" w:rsidR="009E1532" w:rsidRDefault="009E1532" w:rsidP="009E1532">
      <w:pPr>
        <w:pStyle w:val="BodyText"/>
        <w:numPr>
          <w:ilvl w:val="0"/>
          <w:numId w:val="0"/>
        </w:numPr>
        <w:spacing w:before="0" w:line="240" w:lineRule="auto"/>
        <w:ind w:left="1134" w:hanging="567"/>
      </w:pPr>
    </w:p>
    <w:p w14:paraId="264143D3" w14:textId="14CC659B" w:rsidR="001816EA" w:rsidRDefault="009E1532" w:rsidP="009E1532">
      <w:pPr>
        <w:pStyle w:val="BodyText"/>
        <w:numPr>
          <w:ilvl w:val="0"/>
          <w:numId w:val="0"/>
        </w:numPr>
        <w:spacing w:before="0" w:line="240" w:lineRule="auto"/>
        <w:ind w:left="1134" w:hanging="567"/>
      </w:pPr>
      <w:r>
        <w:t>(b)</w:t>
      </w:r>
      <w:r>
        <w:tab/>
        <w:t xml:space="preserve">that </w:t>
      </w:r>
      <w:r w:rsidRPr="009E1532">
        <w:t xml:space="preserve">the total amount of levy payable by all leviable entities in </w:t>
      </w:r>
      <w:r>
        <w:t xml:space="preserve">a </w:t>
      </w:r>
      <w:proofErr w:type="gramStart"/>
      <w:r>
        <w:t>particular sector</w:t>
      </w:r>
      <w:proofErr w:type="gramEnd"/>
      <w:r>
        <w:t xml:space="preserve"> or sub-sector in a financial </w:t>
      </w:r>
      <w:r w:rsidRPr="009E1532">
        <w:t>year equals the amount of ASIC’s regulator</w:t>
      </w:r>
      <w:r>
        <w:t>y</w:t>
      </w:r>
      <w:r w:rsidRPr="009E1532">
        <w:t xml:space="preserve"> costs </w:t>
      </w:r>
      <w:r>
        <w:t xml:space="preserve">relating to that sector or sub-sector </w:t>
      </w:r>
      <w:r w:rsidRPr="009E1532">
        <w:t>for th</w:t>
      </w:r>
      <w:r>
        <w:t>at</w:t>
      </w:r>
      <w:r w:rsidRPr="009E1532">
        <w:t xml:space="preserve"> financial year</w:t>
      </w:r>
      <w:r>
        <w:t>.</w:t>
      </w:r>
    </w:p>
    <w:p w14:paraId="006299D8" w14:textId="77777777" w:rsidR="001816EA" w:rsidRDefault="001816EA">
      <w:pPr>
        <w:spacing w:after="160" w:line="259" w:lineRule="auto"/>
        <w:rPr>
          <w:szCs w:val="22"/>
        </w:rPr>
      </w:pPr>
      <w:r>
        <w:br w:type="page"/>
      </w:r>
    </w:p>
    <w:p w14:paraId="41907226" w14:textId="77777777" w:rsidR="008B4E74" w:rsidRPr="008B4E74" w:rsidRDefault="008B4E74" w:rsidP="005106C6">
      <w:pPr>
        <w:pStyle w:val="BodyText"/>
        <w:numPr>
          <w:ilvl w:val="0"/>
          <w:numId w:val="0"/>
        </w:numPr>
        <w:spacing w:before="0" w:line="240" w:lineRule="auto"/>
      </w:pPr>
    </w:p>
    <w:p w14:paraId="5D77F57E" w14:textId="5FE975B9" w:rsidR="0036622A" w:rsidRDefault="0087748D" w:rsidP="0087748D">
      <w:pPr>
        <w:pStyle w:val="Heading3"/>
        <w:keepNext w:val="0"/>
        <w:widowControl w:val="0"/>
        <w:spacing w:before="0" w:line="240" w:lineRule="auto"/>
        <w:ind w:left="567" w:hanging="567"/>
      </w:pPr>
      <w:bookmarkStart w:id="6" w:name="3._Operation_of_the_class_order_"/>
      <w:bookmarkEnd w:id="6"/>
      <w:r>
        <w:rPr>
          <w:spacing w:val="-1"/>
        </w:rPr>
        <w:t>3.</w:t>
      </w:r>
      <w:r>
        <w:rPr>
          <w:spacing w:val="-1"/>
        </w:rPr>
        <w:tab/>
      </w:r>
      <w:r w:rsidR="0036622A">
        <w:rPr>
          <w:spacing w:val="-1"/>
        </w:rPr>
        <w:t>Operation</w:t>
      </w:r>
      <w:r w:rsidR="0036622A">
        <w:t xml:space="preserve"> </w:t>
      </w:r>
      <w:r w:rsidR="0036622A">
        <w:rPr>
          <w:spacing w:val="-1"/>
        </w:rPr>
        <w:t>of</w:t>
      </w:r>
      <w:r w:rsidR="0036622A">
        <w:t xml:space="preserve"> </w:t>
      </w:r>
      <w:r w:rsidR="0036622A">
        <w:rPr>
          <w:spacing w:val="-1"/>
        </w:rPr>
        <w:t>the</w:t>
      </w:r>
      <w:r w:rsidR="0036622A">
        <w:t xml:space="preserve"> instrument</w:t>
      </w:r>
    </w:p>
    <w:p w14:paraId="06E4B969" w14:textId="26E76308" w:rsidR="001212D2" w:rsidRDefault="001212D2" w:rsidP="001212D2">
      <w:pPr>
        <w:pStyle w:val="BodyText"/>
        <w:numPr>
          <w:ilvl w:val="0"/>
          <w:numId w:val="0"/>
        </w:numPr>
        <w:ind w:left="567" w:hanging="567"/>
      </w:pPr>
      <w:r>
        <w:t>3.1</w:t>
      </w:r>
      <w:r>
        <w:tab/>
      </w:r>
      <w:r w:rsidRPr="001212D2">
        <w:t xml:space="preserve">The legislative instrument applies in relation to the </w:t>
      </w:r>
      <w:r w:rsidRPr="001212D2">
        <w:rPr>
          <w:b/>
        </w:rPr>
        <w:t>2017 – 2018 financial year</w:t>
      </w:r>
      <w:r w:rsidRPr="001212D2">
        <w:t>.</w:t>
      </w:r>
    </w:p>
    <w:p w14:paraId="447B9385" w14:textId="77777777" w:rsidR="005106C6" w:rsidRDefault="005106C6" w:rsidP="005106C6">
      <w:pPr>
        <w:pStyle w:val="BodyText"/>
        <w:numPr>
          <w:ilvl w:val="0"/>
          <w:numId w:val="0"/>
        </w:numPr>
        <w:spacing w:before="0" w:line="240" w:lineRule="auto"/>
        <w:ind w:left="567" w:hanging="567"/>
      </w:pPr>
    </w:p>
    <w:p w14:paraId="1811D902" w14:textId="470CA961" w:rsidR="005106C6" w:rsidRDefault="005106C6" w:rsidP="005106C6">
      <w:pPr>
        <w:pStyle w:val="BodyText"/>
        <w:numPr>
          <w:ilvl w:val="0"/>
          <w:numId w:val="0"/>
        </w:numPr>
        <w:spacing w:before="0" w:line="240" w:lineRule="auto"/>
        <w:ind w:left="567" w:hanging="567"/>
      </w:pPr>
      <w:r>
        <w:t>3.2</w:t>
      </w:r>
      <w:r>
        <w:tab/>
        <w:t>ASIC confirms that:</w:t>
      </w:r>
    </w:p>
    <w:p w14:paraId="5B2D8DB6" w14:textId="77777777" w:rsidR="005106C6" w:rsidRDefault="005106C6" w:rsidP="005106C6">
      <w:pPr>
        <w:pStyle w:val="BodyText"/>
        <w:numPr>
          <w:ilvl w:val="0"/>
          <w:numId w:val="0"/>
        </w:numPr>
        <w:spacing w:before="0" w:line="240" w:lineRule="auto"/>
        <w:ind w:left="567" w:hanging="567"/>
      </w:pPr>
    </w:p>
    <w:p w14:paraId="0B56C36D" w14:textId="77777777" w:rsidR="005106C6" w:rsidRDefault="005106C6" w:rsidP="005106C6">
      <w:pPr>
        <w:pStyle w:val="BodyText"/>
        <w:numPr>
          <w:ilvl w:val="0"/>
          <w:numId w:val="0"/>
        </w:numPr>
        <w:spacing w:before="0" w:line="240" w:lineRule="auto"/>
        <w:ind w:left="1134" w:hanging="567"/>
      </w:pPr>
      <w:r>
        <w:t>(a)</w:t>
      </w:r>
      <w:r>
        <w:tab/>
        <w:t>before ASIC made this instrument for the financial year, it was satisfied, having regard to information provided to ASIC, that the instrument is consistent with the objectives stated in subsection 9(2) of the Cost Recovery Act; and</w:t>
      </w:r>
    </w:p>
    <w:p w14:paraId="364FE758" w14:textId="77777777" w:rsidR="005106C6" w:rsidRDefault="005106C6" w:rsidP="005106C6">
      <w:pPr>
        <w:pStyle w:val="BodyText"/>
        <w:numPr>
          <w:ilvl w:val="0"/>
          <w:numId w:val="0"/>
        </w:numPr>
        <w:spacing w:before="0" w:line="240" w:lineRule="auto"/>
        <w:ind w:left="1134" w:hanging="567"/>
      </w:pPr>
    </w:p>
    <w:p w14:paraId="65D50FE0" w14:textId="73636453" w:rsidR="00C670E8" w:rsidRDefault="005106C6" w:rsidP="005106C6">
      <w:pPr>
        <w:pStyle w:val="BodyText"/>
        <w:numPr>
          <w:ilvl w:val="0"/>
          <w:numId w:val="0"/>
        </w:numPr>
        <w:spacing w:before="0" w:line="240" w:lineRule="auto"/>
        <w:ind w:left="1134" w:hanging="567"/>
      </w:pPr>
      <w:r>
        <w:t>(b)</w:t>
      </w:r>
      <w:r>
        <w:tab/>
        <w:t>this instrument was made after the last day by which returns relating to the financial year must be lodged with AS</w:t>
      </w:r>
      <w:r w:rsidR="00660C0F">
        <w:t>I</w:t>
      </w:r>
      <w:r>
        <w:t>C</w:t>
      </w:r>
      <w:r w:rsidR="00660C0F">
        <w:t xml:space="preserve"> under section 11 of the Collection Act. </w:t>
      </w:r>
      <w:r w:rsidR="00601E56">
        <w:t>ASIC determined that day to be 27 September 2018.</w:t>
      </w:r>
    </w:p>
    <w:p w14:paraId="5074B28C" w14:textId="77777777" w:rsidR="00C670E8" w:rsidRDefault="00C670E8" w:rsidP="005106C6">
      <w:pPr>
        <w:pStyle w:val="BodyText"/>
        <w:numPr>
          <w:ilvl w:val="0"/>
          <w:numId w:val="0"/>
        </w:numPr>
        <w:spacing w:before="0" w:line="240" w:lineRule="auto"/>
        <w:ind w:left="1134" w:hanging="567"/>
      </w:pPr>
    </w:p>
    <w:p w14:paraId="79101244" w14:textId="3C787F07" w:rsidR="00E24D45" w:rsidRPr="00E24D45" w:rsidRDefault="00E24D45" w:rsidP="00E24D45">
      <w:pPr>
        <w:pStyle w:val="BodyText"/>
        <w:numPr>
          <w:ilvl w:val="0"/>
          <w:numId w:val="0"/>
        </w:numPr>
        <w:spacing w:before="0" w:line="240" w:lineRule="auto"/>
        <w:ind w:left="567"/>
        <w:rPr>
          <w:u w:val="single"/>
        </w:rPr>
      </w:pPr>
      <w:r>
        <w:rPr>
          <w:b/>
          <w:i/>
          <w:u w:val="single"/>
        </w:rPr>
        <w:t>S</w:t>
      </w:r>
      <w:r w:rsidRPr="00E24D45">
        <w:rPr>
          <w:b/>
          <w:i/>
          <w:u w:val="single"/>
        </w:rPr>
        <w:t>ub-sector population</w:t>
      </w:r>
    </w:p>
    <w:p w14:paraId="38DB73B0" w14:textId="77777777" w:rsidR="00E24D45" w:rsidRDefault="00E24D45" w:rsidP="0087748D">
      <w:pPr>
        <w:pStyle w:val="BodyText"/>
        <w:numPr>
          <w:ilvl w:val="0"/>
          <w:numId w:val="0"/>
        </w:numPr>
        <w:spacing w:before="0" w:line="240" w:lineRule="auto"/>
        <w:ind w:left="567" w:hanging="567"/>
      </w:pPr>
    </w:p>
    <w:p w14:paraId="1B4DCE25" w14:textId="508641EE" w:rsidR="00601E56" w:rsidRDefault="0087748D" w:rsidP="0087748D">
      <w:pPr>
        <w:pStyle w:val="BodyText"/>
        <w:numPr>
          <w:ilvl w:val="0"/>
          <w:numId w:val="0"/>
        </w:numPr>
        <w:spacing w:before="0" w:line="240" w:lineRule="auto"/>
        <w:ind w:left="567" w:hanging="567"/>
      </w:pPr>
      <w:r>
        <w:t>3.</w:t>
      </w:r>
      <w:r w:rsidR="00601E56">
        <w:t>3</w:t>
      </w:r>
      <w:r>
        <w:tab/>
      </w:r>
      <w:r w:rsidR="00917814">
        <w:t>Section 6</w:t>
      </w:r>
      <w:r w:rsidR="00842E11" w:rsidRPr="00842E11">
        <w:t xml:space="preserve"> of the instrument </w:t>
      </w:r>
      <w:r w:rsidR="00842E11">
        <w:t xml:space="preserve">specifies the </w:t>
      </w:r>
      <w:r w:rsidR="00601E56" w:rsidRPr="00601E56">
        <w:rPr>
          <w:b/>
          <w:i/>
        </w:rPr>
        <w:t>sub-sector population</w:t>
      </w:r>
      <w:r w:rsidR="00601E56">
        <w:t xml:space="preserve"> for the financial year. The sub</w:t>
      </w:r>
      <w:r w:rsidR="00535635" w:rsidRPr="00C72DE0">
        <w:t>-</w:t>
      </w:r>
      <w:r w:rsidR="00601E56">
        <w:t>sector population, in relation to a sub</w:t>
      </w:r>
      <w:r w:rsidR="00535635" w:rsidRPr="00C72DE0">
        <w:t>-</w:t>
      </w:r>
      <w:r w:rsidR="00601E56">
        <w:t>sector, for a financial year, means the number of entities that form part of the sub-sector at any time in the financial year</w:t>
      </w:r>
      <w:r w:rsidR="00842E11">
        <w:t>.</w:t>
      </w:r>
      <w:r w:rsidR="00601E56">
        <w:t xml:space="preserve"> </w:t>
      </w:r>
    </w:p>
    <w:p w14:paraId="3C3C49FF" w14:textId="77777777" w:rsidR="00601E56" w:rsidRDefault="00601E56" w:rsidP="0087748D">
      <w:pPr>
        <w:pStyle w:val="BodyText"/>
        <w:numPr>
          <w:ilvl w:val="0"/>
          <w:numId w:val="0"/>
        </w:numPr>
        <w:spacing w:before="0" w:line="240" w:lineRule="auto"/>
        <w:ind w:left="567" w:hanging="567"/>
      </w:pPr>
    </w:p>
    <w:p w14:paraId="25E8637D" w14:textId="7BA13C3A" w:rsidR="00601E56" w:rsidRDefault="00601E56" w:rsidP="0087748D">
      <w:pPr>
        <w:pStyle w:val="BodyText"/>
        <w:numPr>
          <w:ilvl w:val="0"/>
          <w:numId w:val="0"/>
        </w:numPr>
        <w:spacing w:before="0" w:line="240" w:lineRule="auto"/>
        <w:ind w:left="567" w:hanging="567"/>
      </w:pPr>
      <w:r>
        <w:t>3.4</w:t>
      </w:r>
      <w:r>
        <w:tab/>
      </w:r>
      <w:r w:rsidR="00FB37B6" w:rsidRPr="00FB37B6">
        <w:t xml:space="preserve">ASIC </w:t>
      </w:r>
      <w:r>
        <w:t xml:space="preserve">worked out the </w:t>
      </w:r>
      <w:r w:rsidRPr="00601E56">
        <w:t>number of entities that form part of the sub-sector at any time in the financial year</w:t>
      </w:r>
      <w:r>
        <w:t xml:space="preserve"> </w:t>
      </w:r>
      <w:bookmarkStart w:id="7" w:name="_Hlk524506078"/>
      <w:r>
        <w:t>based on the information contained in the returns lodged with ASIC under section 11 of the Collection Act</w:t>
      </w:r>
      <w:r w:rsidRPr="00601E56">
        <w:t>.</w:t>
      </w:r>
      <w:bookmarkEnd w:id="7"/>
    </w:p>
    <w:p w14:paraId="4F9D0A9D" w14:textId="56ACF769" w:rsidR="00601E56" w:rsidRDefault="00601E56" w:rsidP="0087748D">
      <w:pPr>
        <w:pStyle w:val="BodyText"/>
        <w:numPr>
          <w:ilvl w:val="0"/>
          <w:numId w:val="0"/>
        </w:numPr>
        <w:spacing w:before="0" w:line="240" w:lineRule="auto"/>
        <w:ind w:left="567" w:hanging="567"/>
      </w:pPr>
    </w:p>
    <w:p w14:paraId="449C50D5" w14:textId="25ED62F3" w:rsidR="00601E56" w:rsidRPr="00601E56" w:rsidRDefault="00601E56" w:rsidP="00601E56">
      <w:pPr>
        <w:pStyle w:val="BodyText"/>
        <w:numPr>
          <w:ilvl w:val="0"/>
          <w:numId w:val="0"/>
        </w:numPr>
        <w:spacing w:before="0" w:line="240" w:lineRule="auto"/>
        <w:ind w:left="567"/>
        <w:rPr>
          <w:u w:val="single"/>
        </w:rPr>
      </w:pPr>
      <w:bookmarkStart w:id="8" w:name="_Hlk524506220"/>
      <w:r w:rsidRPr="00601E56">
        <w:rPr>
          <w:b/>
          <w:i/>
          <w:u w:val="single"/>
        </w:rPr>
        <w:t>Sub-sector metric</w:t>
      </w:r>
      <w:r w:rsidR="00183FFE">
        <w:rPr>
          <w:b/>
          <w:i/>
          <w:u w:val="single"/>
        </w:rPr>
        <w:t>s</w:t>
      </w:r>
      <w:r w:rsidRPr="00601E56">
        <w:rPr>
          <w:u w:val="single"/>
        </w:rPr>
        <w:t xml:space="preserve"> in relation to the </w:t>
      </w:r>
      <w:r w:rsidRPr="00601E56">
        <w:rPr>
          <w:b/>
          <w:i/>
          <w:u w:val="single"/>
        </w:rPr>
        <w:t>basic levy component</w:t>
      </w:r>
      <w:r w:rsidR="00183FFE" w:rsidRPr="00183FFE">
        <w:rPr>
          <w:u w:val="single"/>
        </w:rPr>
        <w:t xml:space="preserve"> and</w:t>
      </w:r>
      <w:r w:rsidR="00183FFE">
        <w:rPr>
          <w:u w:val="single"/>
        </w:rPr>
        <w:t xml:space="preserve"> the </w:t>
      </w:r>
      <w:r w:rsidR="00183FFE" w:rsidRPr="00183FFE">
        <w:rPr>
          <w:b/>
          <w:i/>
          <w:u w:val="single"/>
        </w:rPr>
        <w:t>graduated levy component</w:t>
      </w:r>
    </w:p>
    <w:p w14:paraId="559B101E" w14:textId="7390874F" w:rsidR="00601E56" w:rsidRDefault="00601E56" w:rsidP="0087748D">
      <w:pPr>
        <w:pStyle w:val="BodyText"/>
        <w:numPr>
          <w:ilvl w:val="0"/>
          <w:numId w:val="0"/>
        </w:numPr>
        <w:spacing w:before="0" w:line="240" w:lineRule="auto"/>
        <w:ind w:left="567" w:hanging="567"/>
      </w:pPr>
    </w:p>
    <w:p w14:paraId="719D59E0" w14:textId="77777777" w:rsidR="00183FFE" w:rsidRDefault="00601E56" w:rsidP="0087748D">
      <w:pPr>
        <w:pStyle w:val="BodyText"/>
        <w:numPr>
          <w:ilvl w:val="0"/>
          <w:numId w:val="0"/>
        </w:numPr>
        <w:spacing w:before="0" w:line="240" w:lineRule="auto"/>
        <w:ind w:left="567" w:hanging="567"/>
      </w:pPr>
      <w:r>
        <w:t>3.5</w:t>
      </w:r>
      <w:r>
        <w:tab/>
      </w:r>
      <w:r w:rsidRPr="00601E56">
        <w:t xml:space="preserve">Section </w:t>
      </w:r>
      <w:r>
        <w:t>7</w:t>
      </w:r>
      <w:r w:rsidRPr="00601E56">
        <w:t xml:space="preserve"> of the instrument specifies the </w:t>
      </w:r>
      <w:r w:rsidRPr="00601E56">
        <w:rPr>
          <w:b/>
          <w:i/>
        </w:rPr>
        <w:t xml:space="preserve">sub-sector </w:t>
      </w:r>
      <w:r>
        <w:rPr>
          <w:b/>
          <w:i/>
        </w:rPr>
        <w:t xml:space="preserve">metric </w:t>
      </w:r>
      <w:r w:rsidRPr="008C2936">
        <w:t>in</w:t>
      </w:r>
      <w:r>
        <w:rPr>
          <w:b/>
          <w:i/>
        </w:rPr>
        <w:t xml:space="preserve"> </w:t>
      </w:r>
      <w:r w:rsidRPr="00601E56">
        <w:t>re</w:t>
      </w:r>
      <w:r w:rsidR="008C2936">
        <w:t xml:space="preserve">lation to the </w:t>
      </w:r>
      <w:r w:rsidR="008C2936" w:rsidRPr="008C2936">
        <w:rPr>
          <w:b/>
          <w:i/>
        </w:rPr>
        <w:t>basic levy component</w:t>
      </w:r>
      <w:r w:rsidR="008C2936">
        <w:t xml:space="preserve"> </w:t>
      </w:r>
      <w:r w:rsidR="00183FFE">
        <w:t xml:space="preserve">and the </w:t>
      </w:r>
      <w:r w:rsidR="00183FFE" w:rsidRPr="00183FFE">
        <w:rPr>
          <w:b/>
          <w:i/>
        </w:rPr>
        <w:t>graduated levy component</w:t>
      </w:r>
      <w:r w:rsidR="00183FFE">
        <w:t xml:space="preserve"> </w:t>
      </w:r>
      <w:r w:rsidRPr="00601E56">
        <w:t>for the financial year.</w:t>
      </w:r>
      <w:r w:rsidR="008C2936">
        <w:t xml:space="preserve"> </w:t>
      </w:r>
    </w:p>
    <w:p w14:paraId="2A10164F" w14:textId="77777777" w:rsidR="00183FFE" w:rsidRDefault="00183FFE" w:rsidP="0087748D">
      <w:pPr>
        <w:pStyle w:val="BodyText"/>
        <w:numPr>
          <w:ilvl w:val="0"/>
          <w:numId w:val="0"/>
        </w:numPr>
        <w:spacing w:before="0" w:line="240" w:lineRule="auto"/>
        <w:ind w:left="567" w:hanging="567"/>
      </w:pPr>
    </w:p>
    <w:p w14:paraId="6F761CBA" w14:textId="72EB7B5F" w:rsidR="00183FFE" w:rsidRDefault="00183FFE" w:rsidP="0087748D">
      <w:pPr>
        <w:pStyle w:val="BodyText"/>
        <w:numPr>
          <w:ilvl w:val="0"/>
          <w:numId w:val="0"/>
        </w:numPr>
        <w:spacing w:before="0" w:line="240" w:lineRule="auto"/>
        <w:ind w:left="567" w:hanging="567"/>
      </w:pPr>
      <w:bookmarkStart w:id="9" w:name="_Hlk530153138"/>
      <w:r>
        <w:t>3.6</w:t>
      </w:r>
      <w:r>
        <w:tab/>
      </w:r>
      <w:r w:rsidR="008C2936">
        <w:t xml:space="preserve">The </w:t>
      </w:r>
      <w:r w:rsidR="008C2936" w:rsidRPr="008C2936">
        <w:rPr>
          <w:b/>
          <w:i/>
        </w:rPr>
        <w:t>sub-sector metric</w:t>
      </w:r>
      <w:r w:rsidR="008C2936">
        <w:t xml:space="preserve"> </w:t>
      </w:r>
      <w:r>
        <w:t xml:space="preserve">in relation to the </w:t>
      </w:r>
      <w:r w:rsidRPr="00183FFE">
        <w:rPr>
          <w:b/>
          <w:i/>
        </w:rPr>
        <w:t>basic levy component</w:t>
      </w:r>
      <w:r>
        <w:t xml:space="preserve"> </w:t>
      </w:r>
      <w:r w:rsidR="0005212D" w:rsidRPr="00C72DE0">
        <w:t xml:space="preserve">is </w:t>
      </w:r>
      <w:r w:rsidR="008C2936">
        <w:t xml:space="preserve">the sum of the amounts of the </w:t>
      </w:r>
      <w:r w:rsidR="008C2936" w:rsidRPr="008C2936">
        <w:rPr>
          <w:b/>
          <w:i/>
        </w:rPr>
        <w:t>basic rate entity metric</w:t>
      </w:r>
      <w:r w:rsidR="008C2936">
        <w:t xml:space="preserve"> </w:t>
      </w:r>
      <w:r w:rsidR="008C2936" w:rsidRPr="00C72DE0">
        <w:t xml:space="preserve">for </w:t>
      </w:r>
      <w:r w:rsidR="00DF625B" w:rsidRPr="00C72DE0">
        <w:t xml:space="preserve">each </w:t>
      </w:r>
      <w:r w:rsidR="008C2936" w:rsidRPr="00C72DE0">
        <w:t xml:space="preserve">leviable </w:t>
      </w:r>
      <w:r w:rsidR="00DF625B" w:rsidRPr="00C72DE0">
        <w:t xml:space="preserve">entity </w:t>
      </w:r>
      <w:r w:rsidR="008C2936" w:rsidRPr="00C72DE0">
        <w:t>that form</w:t>
      </w:r>
      <w:r w:rsidR="00DF625B" w:rsidRPr="00C72DE0">
        <w:t>s</w:t>
      </w:r>
      <w:r w:rsidR="008C2936" w:rsidRPr="00C72DE0">
        <w:t xml:space="preserve"> part of the sub-sector for the financial year. The </w:t>
      </w:r>
      <w:r w:rsidR="008C2936" w:rsidRPr="00C72DE0">
        <w:rPr>
          <w:b/>
          <w:i/>
        </w:rPr>
        <w:t xml:space="preserve">basic </w:t>
      </w:r>
      <w:r w:rsidR="00A31875" w:rsidRPr="00C72DE0">
        <w:rPr>
          <w:b/>
          <w:i/>
        </w:rPr>
        <w:t>rate entity metric</w:t>
      </w:r>
      <w:r w:rsidR="00A31875" w:rsidRPr="00C72DE0">
        <w:t xml:space="preserve"> </w:t>
      </w:r>
      <w:r w:rsidR="0005212D" w:rsidRPr="00C72DE0">
        <w:t xml:space="preserve">for each leviable entity for each sub-sector is </w:t>
      </w:r>
      <w:r w:rsidR="00E645EF" w:rsidRPr="00C72DE0">
        <w:t xml:space="preserve">the entity’s </w:t>
      </w:r>
      <w:r w:rsidR="00E645EF" w:rsidRPr="00C72DE0">
        <w:rPr>
          <w:b/>
          <w:i/>
        </w:rPr>
        <w:t>entity metric</w:t>
      </w:r>
      <w:r w:rsidR="00E645EF" w:rsidRPr="00C72DE0">
        <w:t xml:space="preserve"> for </w:t>
      </w:r>
      <w:r w:rsidR="00DF625B" w:rsidRPr="00C72DE0">
        <w:t>that</w:t>
      </w:r>
      <w:r w:rsidR="00E645EF" w:rsidRPr="00C72DE0">
        <w:t xml:space="preserve"> sub-sector for the financial year</w:t>
      </w:r>
      <w:r w:rsidR="00587CFF" w:rsidRPr="00C72DE0">
        <w:t xml:space="preserve">.  However, not all sub-sectors have an </w:t>
      </w:r>
      <w:r w:rsidR="00587CFF" w:rsidRPr="00C72DE0">
        <w:rPr>
          <w:b/>
          <w:i/>
        </w:rPr>
        <w:t>entity metric</w:t>
      </w:r>
      <w:r w:rsidR="00587CFF" w:rsidRPr="00C72DE0">
        <w:t>.</w:t>
      </w:r>
      <w:r w:rsidR="00587CFF" w:rsidRPr="00C72DE0">
        <w:rPr>
          <w:b/>
          <w:i/>
        </w:rPr>
        <w:t xml:space="preserve">  </w:t>
      </w:r>
      <w:r w:rsidR="00587CFF" w:rsidRPr="00C72DE0">
        <w:t>In t</w:t>
      </w:r>
      <w:r w:rsidR="0005212D" w:rsidRPr="00C72DE0">
        <w:t>hose</w:t>
      </w:r>
      <w:r w:rsidR="00587CFF" w:rsidRPr="00C72DE0">
        <w:t xml:space="preserve"> case</w:t>
      </w:r>
      <w:r w:rsidR="0005212D" w:rsidRPr="00C72DE0">
        <w:t>s</w:t>
      </w:r>
      <w:r w:rsidR="00587CFF" w:rsidRPr="00C72DE0">
        <w:t xml:space="preserve">, the </w:t>
      </w:r>
      <w:r w:rsidR="00587CFF" w:rsidRPr="00C72DE0">
        <w:rPr>
          <w:b/>
          <w:i/>
        </w:rPr>
        <w:t xml:space="preserve">basic rate entity metric </w:t>
      </w:r>
      <w:r w:rsidR="00490EF2" w:rsidRPr="00C72DE0">
        <w:t xml:space="preserve">for </w:t>
      </w:r>
      <w:r w:rsidR="00DF625B" w:rsidRPr="00C72DE0">
        <w:t xml:space="preserve">each leviable entity for that </w:t>
      </w:r>
      <w:r w:rsidR="00490EF2" w:rsidRPr="00C72DE0">
        <w:t xml:space="preserve">sub-sector </w:t>
      </w:r>
      <w:r w:rsidR="00587CFF" w:rsidRPr="00C72DE0">
        <w:t>will be 1</w:t>
      </w:r>
      <w:r w:rsidRPr="00C72DE0">
        <w:t>.</w:t>
      </w:r>
    </w:p>
    <w:bookmarkEnd w:id="9"/>
    <w:p w14:paraId="20CE0769" w14:textId="77777777" w:rsidR="00183FFE" w:rsidRDefault="00183FFE" w:rsidP="0087748D">
      <w:pPr>
        <w:pStyle w:val="BodyText"/>
        <w:numPr>
          <w:ilvl w:val="0"/>
          <w:numId w:val="0"/>
        </w:numPr>
        <w:spacing w:before="0" w:line="240" w:lineRule="auto"/>
        <w:ind w:left="567" w:hanging="567"/>
      </w:pPr>
    </w:p>
    <w:p w14:paraId="6335029F" w14:textId="77777777" w:rsidR="00911B3E" w:rsidRDefault="00183FFE" w:rsidP="00183FFE">
      <w:pPr>
        <w:pStyle w:val="BodyText"/>
        <w:numPr>
          <w:ilvl w:val="0"/>
          <w:numId w:val="0"/>
        </w:numPr>
        <w:spacing w:before="0" w:line="240" w:lineRule="auto"/>
        <w:ind w:left="567" w:hanging="567"/>
      </w:pPr>
      <w:r>
        <w:t>3.7</w:t>
      </w:r>
      <w:r>
        <w:tab/>
        <w:t xml:space="preserve">The </w:t>
      </w:r>
      <w:r w:rsidRPr="008C2936">
        <w:rPr>
          <w:b/>
          <w:i/>
        </w:rPr>
        <w:t>sub-sector metric</w:t>
      </w:r>
      <w:r>
        <w:t xml:space="preserve"> in relation to the </w:t>
      </w:r>
      <w:r w:rsidRPr="00183FFE">
        <w:rPr>
          <w:b/>
          <w:i/>
        </w:rPr>
        <w:t>graduated levy component</w:t>
      </w:r>
      <w:r>
        <w:t xml:space="preserve"> means a number that is the sum of the amounts of the </w:t>
      </w:r>
      <w:r w:rsidRPr="00965AFB">
        <w:rPr>
          <w:b/>
          <w:i/>
        </w:rPr>
        <w:t>graduated</w:t>
      </w:r>
      <w:r>
        <w:t xml:space="preserve"> </w:t>
      </w:r>
      <w:r w:rsidRPr="008C2936">
        <w:rPr>
          <w:b/>
          <w:i/>
        </w:rPr>
        <w:t>entity metric</w:t>
      </w:r>
      <w:r>
        <w:t xml:space="preserve"> for all leviable entities that form part of the sub-sector for the financial year. The </w:t>
      </w:r>
      <w:r w:rsidRPr="00965AFB">
        <w:rPr>
          <w:b/>
          <w:i/>
        </w:rPr>
        <w:t>graduated</w:t>
      </w:r>
      <w:r>
        <w:t xml:space="preserve"> </w:t>
      </w:r>
      <w:r w:rsidRPr="00980EFB">
        <w:rPr>
          <w:b/>
          <w:i/>
        </w:rPr>
        <w:t>entity metric</w:t>
      </w:r>
      <w:r>
        <w:t xml:space="preserve"> means the entity’s </w:t>
      </w:r>
      <w:r w:rsidRPr="00E645EF">
        <w:rPr>
          <w:b/>
          <w:i/>
        </w:rPr>
        <w:t>entity metric</w:t>
      </w:r>
      <w:r>
        <w:t xml:space="preserve"> for the sub-sector for the financial year.</w:t>
      </w:r>
    </w:p>
    <w:p w14:paraId="712E6EBB" w14:textId="77777777" w:rsidR="00911B3E" w:rsidRDefault="00911B3E" w:rsidP="00183FFE">
      <w:pPr>
        <w:pStyle w:val="BodyText"/>
        <w:numPr>
          <w:ilvl w:val="0"/>
          <w:numId w:val="0"/>
        </w:numPr>
        <w:spacing w:before="0" w:line="240" w:lineRule="auto"/>
        <w:ind w:left="567" w:hanging="567"/>
      </w:pPr>
    </w:p>
    <w:p w14:paraId="67A02706" w14:textId="37CE5E14" w:rsidR="007154F8" w:rsidRPr="00C72DE0" w:rsidRDefault="00DA53B6" w:rsidP="007154F8">
      <w:pPr>
        <w:pStyle w:val="BodyText"/>
        <w:numPr>
          <w:ilvl w:val="0"/>
          <w:numId w:val="0"/>
        </w:numPr>
        <w:spacing w:before="0" w:line="240" w:lineRule="auto"/>
        <w:ind w:left="567" w:hanging="567"/>
      </w:pPr>
      <w:r w:rsidRPr="0049385E">
        <w:t>3.</w:t>
      </w:r>
      <w:r w:rsidR="0049385E" w:rsidRPr="0049385E">
        <w:t>8</w:t>
      </w:r>
      <w:r w:rsidRPr="00DA53B6">
        <w:t xml:space="preserve"> </w:t>
      </w:r>
      <w:r w:rsidRPr="00DA53B6">
        <w:tab/>
      </w:r>
      <w:r w:rsidR="007154F8" w:rsidRPr="00C72DE0">
        <w:t xml:space="preserve">The following table gives a brief description of the </w:t>
      </w:r>
      <w:r w:rsidR="00751D67" w:rsidRPr="00C72DE0">
        <w:rPr>
          <w:b/>
          <w:i/>
        </w:rPr>
        <w:t xml:space="preserve">entity </w:t>
      </w:r>
      <w:r w:rsidR="007154F8" w:rsidRPr="00C72DE0">
        <w:rPr>
          <w:b/>
          <w:i/>
        </w:rPr>
        <w:t>metric</w:t>
      </w:r>
      <w:r w:rsidR="007154F8" w:rsidRPr="00C72DE0">
        <w:t xml:space="preserve"> to which the numbers specified in the table in section 7 of the instrument relate.</w:t>
      </w:r>
      <w:r w:rsidR="00605634" w:rsidRPr="00C72DE0">
        <w:t xml:space="preserve"> </w:t>
      </w:r>
      <w:r w:rsidR="00751D67" w:rsidRPr="00C72DE0">
        <w:t xml:space="preserve">If </w:t>
      </w:r>
      <w:r w:rsidR="00605634" w:rsidRPr="00C72DE0">
        <w:t>Part 3 of the Cost Recovery Regulations do</w:t>
      </w:r>
      <w:r w:rsidR="00751D67" w:rsidRPr="00C72DE0">
        <w:t>es</w:t>
      </w:r>
      <w:r w:rsidR="00605634" w:rsidRPr="00C72DE0">
        <w:t xml:space="preserve"> not </w:t>
      </w:r>
      <w:r w:rsidR="00751D67" w:rsidRPr="00C72DE0">
        <w:t xml:space="preserve">make provision for an </w:t>
      </w:r>
      <w:r w:rsidR="00605634" w:rsidRPr="00C72DE0">
        <w:t xml:space="preserve">amount to be the </w:t>
      </w:r>
      <w:r w:rsidR="00605634" w:rsidRPr="00C72DE0">
        <w:rPr>
          <w:b/>
          <w:i/>
        </w:rPr>
        <w:t>entity</w:t>
      </w:r>
      <w:r w:rsidR="00751D67" w:rsidRPr="00C72DE0">
        <w:rPr>
          <w:b/>
          <w:i/>
        </w:rPr>
        <w:t> </w:t>
      </w:r>
      <w:r w:rsidR="00605634" w:rsidRPr="00C72DE0">
        <w:rPr>
          <w:b/>
          <w:i/>
        </w:rPr>
        <w:t>metric</w:t>
      </w:r>
      <w:r w:rsidR="00605634" w:rsidRPr="00C72DE0">
        <w:t xml:space="preserve"> for </w:t>
      </w:r>
      <w:r w:rsidR="00751D67" w:rsidRPr="00C72DE0">
        <w:t>a</w:t>
      </w:r>
      <w:r w:rsidR="00605634" w:rsidRPr="00C72DE0">
        <w:t xml:space="preserve"> sub</w:t>
      </w:r>
      <w:r w:rsidR="00605634" w:rsidRPr="00C72DE0">
        <w:noBreakHyphen/>
        <w:t>sector</w:t>
      </w:r>
      <w:r w:rsidR="00751D67" w:rsidRPr="00C72DE0">
        <w:t xml:space="preserve">, then the </w:t>
      </w:r>
      <w:r w:rsidR="00E553E8" w:rsidRPr="00C72DE0">
        <w:t xml:space="preserve">following table </w:t>
      </w:r>
      <w:r w:rsidR="00126620" w:rsidRPr="00C72DE0">
        <w:t>describe</w:t>
      </w:r>
      <w:r w:rsidR="00853A83" w:rsidRPr="00C72DE0">
        <w:t>s</w:t>
      </w:r>
      <w:r w:rsidR="00542140" w:rsidRPr="00C72DE0">
        <w:t xml:space="preserve"> the </w:t>
      </w:r>
      <w:r w:rsidR="00542140" w:rsidRPr="00C72DE0">
        <w:rPr>
          <w:b/>
          <w:i/>
        </w:rPr>
        <w:t xml:space="preserve">entity metric </w:t>
      </w:r>
      <w:r w:rsidR="00542140" w:rsidRPr="00C72DE0">
        <w:t>as “not applicable”</w:t>
      </w:r>
      <w:r w:rsidR="00E553E8" w:rsidRPr="00C72DE0">
        <w:t>.</w:t>
      </w:r>
      <w:r w:rsidR="00751D67" w:rsidRPr="00C72DE0">
        <w:t xml:space="preserve">  </w:t>
      </w:r>
    </w:p>
    <w:p w14:paraId="250ABFE0" w14:textId="77777777" w:rsidR="007154F8" w:rsidRPr="00C72DE0" w:rsidRDefault="007154F8" w:rsidP="007154F8">
      <w:pPr>
        <w:pStyle w:val="BodyText"/>
        <w:numPr>
          <w:ilvl w:val="0"/>
          <w:numId w:val="0"/>
        </w:numPr>
        <w:spacing w:before="0" w:line="240" w:lineRule="auto"/>
        <w:ind w:left="567" w:hanging="567"/>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2026"/>
        <w:gridCol w:w="2254"/>
      </w:tblGrid>
      <w:tr w:rsidR="00C72DE0" w:rsidRPr="00C72DE0" w14:paraId="7EB6E0DF" w14:textId="77777777" w:rsidTr="00BC3C8A">
        <w:trPr>
          <w:tblHeader/>
        </w:trPr>
        <w:tc>
          <w:tcPr>
            <w:tcW w:w="993" w:type="dxa"/>
            <w:shd w:val="clear" w:color="auto" w:fill="auto"/>
          </w:tcPr>
          <w:p w14:paraId="06060ADE" w14:textId="77777777" w:rsidR="007154F8" w:rsidRPr="00C72DE0" w:rsidRDefault="007154F8" w:rsidP="007154F8">
            <w:pPr>
              <w:spacing w:after="0"/>
              <w:rPr>
                <w:b/>
                <w:sz w:val="18"/>
                <w:szCs w:val="18"/>
              </w:rPr>
            </w:pPr>
            <w:r w:rsidRPr="00C72DE0">
              <w:rPr>
                <w:b/>
                <w:sz w:val="18"/>
                <w:szCs w:val="18"/>
              </w:rPr>
              <w:t>Column 1</w:t>
            </w:r>
          </w:p>
        </w:tc>
        <w:tc>
          <w:tcPr>
            <w:tcW w:w="2268" w:type="dxa"/>
            <w:shd w:val="clear" w:color="auto" w:fill="auto"/>
          </w:tcPr>
          <w:p w14:paraId="30DB9987" w14:textId="77777777" w:rsidR="007154F8" w:rsidRPr="00C72DE0" w:rsidRDefault="007154F8" w:rsidP="007154F8">
            <w:pPr>
              <w:spacing w:after="0"/>
              <w:rPr>
                <w:b/>
                <w:sz w:val="18"/>
                <w:szCs w:val="18"/>
              </w:rPr>
            </w:pPr>
            <w:r w:rsidRPr="00C72DE0">
              <w:rPr>
                <w:b/>
                <w:sz w:val="18"/>
                <w:szCs w:val="18"/>
              </w:rPr>
              <w:t>Column 2</w:t>
            </w:r>
          </w:p>
        </w:tc>
        <w:tc>
          <w:tcPr>
            <w:tcW w:w="4238" w:type="dxa"/>
            <w:gridSpan w:val="2"/>
            <w:shd w:val="clear" w:color="auto" w:fill="auto"/>
          </w:tcPr>
          <w:p w14:paraId="739D9054" w14:textId="77777777" w:rsidR="007154F8" w:rsidRPr="00C72DE0" w:rsidRDefault="007154F8" w:rsidP="007154F8">
            <w:pPr>
              <w:spacing w:after="0" w:line="260" w:lineRule="atLeast"/>
              <w:jc w:val="center"/>
              <w:rPr>
                <w:rFonts w:eastAsia="Calibri"/>
                <w:b/>
                <w:sz w:val="18"/>
                <w:szCs w:val="18"/>
                <w:lang w:eastAsia="en-US"/>
              </w:rPr>
            </w:pPr>
            <w:r w:rsidRPr="00C72DE0">
              <w:rPr>
                <w:rFonts w:eastAsia="Calibri"/>
                <w:b/>
                <w:sz w:val="18"/>
                <w:szCs w:val="18"/>
                <w:lang w:eastAsia="en-US"/>
              </w:rPr>
              <w:t>Column 3</w:t>
            </w:r>
          </w:p>
        </w:tc>
      </w:tr>
      <w:tr w:rsidR="00C72DE0" w:rsidRPr="00C72DE0" w14:paraId="0A0BCE3B" w14:textId="77777777" w:rsidTr="00BC3C8A">
        <w:trPr>
          <w:tblHeader/>
        </w:trPr>
        <w:tc>
          <w:tcPr>
            <w:tcW w:w="993" w:type="dxa"/>
            <w:shd w:val="clear" w:color="auto" w:fill="auto"/>
          </w:tcPr>
          <w:p w14:paraId="48DDBCAD" w14:textId="77777777" w:rsidR="007154F8" w:rsidRPr="00C72DE0" w:rsidRDefault="007154F8" w:rsidP="007154F8">
            <w:pPr>
              <w:spacing w:after="0"/>
              <w:rPr>
                <w:b/>
                <w:sz w:val="20"/>
              </w:rPr>
            </w:pPr>
            <w:r w:rsidRPr="00C72DE0">
              <w:rPr>
                <w:b/>
                <w:sz w:val="20"/>
              </w:rPr>
              <w:t>Item</w:t>
            </w:r>
          </w:p>
        </w:tc>
        <w:tc>
          <w:tcPr>
            <w:tcW w:w="2268" w:type="dxa"/>
            <w:shd w:val="clear" w:color="auto" w:fill="auto"/>
          </w:tcPr>
          <w:p w14:paraId="7D9C27D0" w14:textId="77777777" w:rsidR="007154F8" w:rsidRPr="00C72DE0" w:rsidRDefault="007154F8" w:rsidP="007154F8">
            <w:pPr>
              <w:spacing w:after="0"/>
              <w:rPr>
                <w:b/>
                <w:sz w:val="20"/>
              </w:rPr>
            </w:pPr>
            <w:r w:rsidRPr="00C72DE0">
              <w:rPr>
                <w:b/>
                <w:sz w:val="20"/>
              </w:rPr>
              <w:t>Sub-sectors</w:t>
            </w:r>
          </w:p>
        </w:tc>
        <w:tc>
          <w:tcPr>
            <w:tcW w:w="4238" w:type="dxa"/>
            <w:gridSpan w:val="2"/>
            <w:shd w:val="clear" w:color="auto" w:fill="auto"/>
          </w:tcPr>
          <w:p w14:paraId="6AB05723" w14:textId="2D90A22A" w:rsidR="007154F8" w:rsidRPr="00C72DE0" w:rsidRDefault="003E3B60" w:rsidP="007154F8">
            <w:pPr>
              <w:spacing w:after="0" w:line="260" w:lineRule="atLeast"/>
              <w:jc w:val="center"/>
              <w:rPr>
                <w:rFonts w:eastAsia="Calibri"/>
                <w:b/>
                <w:sz w:val="20"/>
                <w:lang w:eastAsia="en-US"/>
              </w:rPr>
            </w:pPr>
            <w:r w:rsidRPr="00C72DE0">
              <w:rPr>
                <w:rFonts w:eastAsia="Calibri"/>
                <w:b/>
                <w:sz w:val="20"/>
                <w:lang w:eastAsia="en-US"/>
              </w:rPr>
              <w:t xml:space="preserve">Description of </w:t>
            </w:r>
            <w:r w:rsidR="00751D67" w:rsidRPr="00C72DE0">
              <w:rPr>
                <w:rFonts w:eastAsia="Calibri"/>
                <w:b/>
                <w:sz w:val="20"/>
                <w:lang w:eastAsia="en-US"/>
              </w:rPr>
              <w:t xml:space="preserve">entity </w:t>
            </w:r>
            <w:r w:rsidR="007154F8" w:rsidRPr="00C72DE0">
              <w:rPr>
                <w:rFonts w:eastAsia="Calibri"/>
                <w:b/>
                <w:sz w:val="20"/>
                <w:lang w:eastAsia="en-US"/>
              </w:rPr>
              <w:t>metric</w:t>
            </w:r>
          </w:p>
        </w:tc>
      </w:tr>
      <w:tr w:rsidR="00C72DE0" w:rsidRPr="00C72DE0" w14:paraId="27EBB122" w14:textId="77777777" w:rsidTr="00BC3C8A">
        <w:trPr>
          <w:tblHeader/>
        </w:trPr>
        <w:tc>
          <w:tcPr>
            <w:tcW w:w="993" w:type="dxa"/>
            <w:shd w:val="clear" w:color="auto" w:fill="auto"/>
          </w:tcPr>
          <w:p w14:paraId="01F37239" w14:textId="77777777" w:rsidR="007154F8" w:rsidRPr="00C72DE0" w:rsidRDefault="007154F8" w:rsidP="007154F8">
            <w:pPr>
              <w:spacing w:after="0"/>
              <w:rPr>
                <w:sz w:val="18"/>
                <w:szCs w:val="18"/>
              </w:rPr>
            </w:pPr>
          </w:p>
        </w:tc>
        <w:tc>
          <w:tcPr>
            <w:tcW w:w="2268" w:type="dxa"/>
            <w:shd w:val="clear" w:color="auto" w:fill="auto"/>
          </w:tcPr>
          <w:p w14:paraId="73719E70" w14:textId="77777777" w:rsidR="007154F8" w:rsidRPr="00C72DE0" w:rsidRDefault="007154F8" w:rsidP="007154F8">
            <w:pPr>
              <w:spacing w:after="0"/>
              <w:rPr>
                <w:sz w:val="18"/>
                <w:szCs w:val="18"/>
              </w:rPr>
            </w:pPr>
          </w:p>
        </w:tc>
        <w:tc>
          <w:tcPr>
            <w:tcW w:w="1984" w:type="dxa"/>
            <w:shd w:val="clear" w:color="auto" w:fill="auto"/>
          </w:tcPr>
          <w:p w14:paraId="68D8358F" w14:textId="77777777" w:rsidR="007154F8" w:rsidRPr="00C72DE0" w:rsidRDefault="007154F8" w:rsidP="007154F8">
            <w:pPr>
              <w:spacing w:after="0" w:line="260" w:lineRule="atLeast"/>
              <w:jc w:val="center"/>
              <w:rPr>
                <w:rFonts w:eastAsia="Calibri"/>
                <w:i/>
                <w:sz w:val="18"/>
                <w:szCs w:val="18"/>
                <w:lang w:eastAsia="en-US"/>
              </w:rPr>
            </w:pPr>
            <w:r w:rsidRPr="00C72DE0">
              <w:rPr>
                <w:rFonts w:eastAsia="Calibri"/>
                <w:i/>
                <w:sz w:val="18"/>
                <w:szCs w:val="18"/>
                <w:lang w:eastAsia="en-US"/>
              </w:rPr>
              <w:t>Basic levy component</w:t>
            </w:r>
          </w:p>
          <w:p w14:paraId="498B9E11" w14:textId="77777777" w:rsidR="007154F8" w:rsidRPr="00C72DE0" w:rsidRDefault="007154F8" w:rsidP="007154F8">
            <w:pPr>
              <w:spacing w:after="0" w:line="260" w:lineRule="atLeast"/>
              <w:jc w:val="center"/>
              <w:rPr>
                <w:rFonts w:eastAsia="Calibri"/>
                <w:i/>
                <w:sz w:val="18"/>
                <w:szCs w:val="18"/>
                <w:lang w:eastAsia="en-US"/>
              </w:rPr>
            </w:pPr>
            <w:r w:rsidRPr="00C72DE0">
              <w:rPr>
                <w:rFonts w:eastAsia="Calibri"/>
                <w:i/>
                <w:sz w:val="18"/>
                <w:szCs w:val="18"/>
                <w:lang w:eastAsia="en-US"/>
              </w:rPr>
              <w:t>(as applicable)</w:t>
            </w:r>
          </w:p>
        </w:tc>
        <w:tc>
          <w:tcPr>
            <w:tcW w:w="2254" w:type="dxa"/>
            <w:shd w:val="clear" w:color="auto" w:fill="auto"/>
          </w:tcPr>
          <w:p w14:paraId="0C3BDA54" w14:textId="77777777" w:rsidR="007154F8" w:rsidRPr="00C72DE0" w:rsidRDefault="007154F8" w:rsidP="007154F8">
            <w:pPr>
              <w:spacing w:after="0" w:line="260" w:lineRule="atLeast"/>
              <w:jc w:val="center"/>
              <w:rPr>
                <w:rFonts w:eastAsia="Calibri"/>
                <w:i/>
                <w:sz w:val="18"/>
                <w:szCs w:val="18"/>
                <w:lang w:eastAsia="en-US"/>
              </w:rPr>
            </w:pPr>
            <w:r w:rsidRPr="00C72DE0">
              <w:rPr>
                <w:rFonts w:eastAsia="Calibri"/>
                <w:i/>
                <w:sz w:val="18"/>
                <w:szCs w:val="18"/>
                <w:lang w:eastAsia="en-US"/>
              </w:rPr>
              <w:t>Graduated levy component</w:t>
            </w:r>
          </w:p>
          <w:p w14:paraId="6F338E6C" w14:textId="77777777" w:rsidR="007154F8" w:rsidRPr="00C72DE0" w:rsidRDefault="007154F8" w:rsidP="007154F8">
            <w:pPr>
              <w:spacing w:after="0" w:line="260" w:lineRule="atLeast"/>
              <w:jc w:val="center"/>
              <w:rPr>
                <w:rFonts w:eastAsia="Calibri"/>
                <w:i/>
                <w:sz w:val="18"/>
                <w:szCs w:val="18"/>
                <w:lang w:eastAsia="en-US"/>
              </w:rPr>
            </w:pPr>
            <w:r w:rsidRPr="00C72DE0">
              <w:rPr>
                <w:rFonts w:eastAsia="Calibri"/>
                <w:i/>
                <w:sz w:val="18"/>
                <w:szCs w:val="18"/>
                <w:lang w:eastAsia="en-US"/>
              </w:rPr>
              <w:t>(as applicable)</w:t>
            </w:r>
          </w:p>
        </w:tc>
      </w:tr>
      <w:tr w:rsidR="00C72DE0" w:rsidRPr="00C72DE0" w14:paraId="757F3582" w14:textId="77777777" w:rsidTr="00BC3C8A">
        <w:tc>
          <w:tcPr>
            <w:tcW w:w="993" w:type="dxa"/>
            <w:shd w:val="clear" w:color="auto" w:fill="auto"/>
          </w:tcPr>
          <w:p w14:paraId="17F72E69" w14:textId="77777777" w:rsidR="007154F8" w:rsidRPr="00C72DE0" w:rsidRDefault="007154F8" w:rsidP="007154F8">
            <w:pPr>
              <w:spacing w:after="0"/>
              <w:rPr>
                <w:sz w:val="18"/>
                <w:szCs w:val="18"/>
              </w:rPr>
            </w:pPr>
            <w:r w:rsidRPr="00C72DE0">
              <w:rPr>
                <w:sz w:val="18"/>
                <w:szCs w:val="18"/>
              </w:rPr>
              <w:t>1</w:t>
            </w:r>
          </w:p>
        </w:tc>
        <w:tc>
          <w:tcPr>
            <w:tcW w:w="2268" w:type="dxa"/>
            <w:shd w:val="clear" w:color="auto" w:fill="auto"/>
          </w:tcPr>
          <w:p w14:paraId="00BC2972" w14:textId="77777777" w:rsidR="007154F8" w:rsidRPr="00C72DE0" w:rsidRDefault="007154F8" w:rsidP="007154F8">
            <w:pPr>
              <w:spacing w:after="0"/>
              <w:rPr>
                <w:sz w:val="18"/>
                <w:szCs w:val="18"/>
              </w:rPr>
            </w:pPr>
            <w:r w:rsidRPr="00C72DE0">
              <w:rPr>
                <w:sz w:val="18"/>
                <w:szCs w:val="18"/>
              </w:rPr>
              <w:t>Auditors of disclosing entities</w:t>
            </w:r>
          </w:p>
        </w:tc>
        <w:tc>
          <w:tcPr>
            <w:tcW w:w="1984" w:type="dxa"/>
            <w:shd w:val="clear" w:color="auto" w:fill="auto"/>
          </w:tcPr>
          <w:p w14:paraId="4D8EAFD6" w14:textId="35547051" w:rsidR="007154F8" w:rsidRPr="00C72DE0" w:rsidRDefault="007154F8" w:rsidP="007154F8">
            <w:pPr>
              <w:spacing w:after="0" w:line="260" w:lineRule="atLeast"/>
              <w:rPr>
                <w:rFonts w:eastAsia="Calibri"/>
                <w:sz w:val="18"/>
                <w:szCs w:val="18"/>
                <w:lang w:eastAsia="en-US"/>
              </w:rPr>
            </w:pPr>
            <w:r w:rsidRPr="00C72DE0">
              <w:rPr>
                <w:sz w:val="18"/>
                <w:szCs w:val="18"/>
              </w:rPr>
              <w:t xml:space="preserve">Total of the fees paid or payable to the entity for </w:t>
            </w:r>
            <w:r w:rsidRPr="00C72DE0">
              <w:rPr>
                <w:sz w:val="18"/>
                <w:szCs w:val="18"/>
              </w:rPr>
              <w:lastRenderedPageBreak/>
              <w:t>the auditing and review of financial reports</w:t>
            </w:r>
          </w:p>
        </w:tc>
        <w:tc>
          <w:tcPr>
            <w:tcW w:w="2254" w:type="dxa"/>
            <w:shd w:val="clear" w:color="auto" w:fill="auto"/>
          </w:tcPr>
          <w:p w14:paraId="75FC9223"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1C5569BE" w14:textId="77777777" w:rsidTr="00BC3C8A">
        <w:tc>
          <w:tcPr>
            <w:tcW w:w="993" w:type="dxa"/>
            <w:shd w:val="clear" w:color="auto" w:fill="auto"/>
          </w:tcPr>
          <w:p w14:paraId="2C34B28A" w14:textId="77777777" w:rsidR="007154F8" w:rsidRPr="00C72DE0" w:rsidRDefault="007154F8" w:rsidP="007154F8">
            <w:pPr>
              <w:spacing w:after="0"/>
              <w:rPr>
                <w:sz w:val="18"/>
                <w:szCs w:val="18"/>
              </w:rPr>
            </w:pPr>
            <w:r w:rsidRPr="00C72DE0">
              <w:rPr>
                <w:sz w:val="18"/>
                <w:szCs w:val="18"/>
              </w:rPr>
              <w:t>2</w:t>
            </w:r>
          </w:p>
        </w:tc>
        <w:tc>
          <w:tcPr>
            <w:tcW w:w="2268" w:type="dxa"/>
            <w:shd w:val="clear" w:color="auto" w:fill="auto"/>
          </w:tcPr>
          <w:p w14:paraId="7CB22AC6" w14:textId="77777777" w:rsidR="007154F8" w:rsidRPr="00C72DE0" w:rsidRDefault="007154F8" w:rsidP="007154F8">
            <w:pPr>
              <w:spacing w:after="0"/>
              <w:rPr>
                <w:sz w:val="18"/>
                <w:szCs w:val="18"/>
              </w:rPr>
            </w:pPr>
            <w:r w:rsidRPr="00C72DE0">
              <w:rPr>
                <w:sz w:val="18"/>
                <w:szCs w:val="18"/>
              </w:rPr>
              <w:t xml:space="preserve">Australian derivative trade repository operators </w:t>
            </w:r>
          </w:p>
        </w:tc>
        <w:tc>
          <w:tcPr>
            <w:tcW w:w="1984" w:type="dxa"/>
            <w:shd w:val="clear" w:color="auto" w:fill="auto"/>
          </w:tcPr>
          <w:p w14:paraId="5A1FFB8B" w14:textId="01B691E4" w:rsidR="007154F8" w:rsidRPr="00C72DE0" w:rsidRDefault="00A454B2"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repository was operated</w:t>
            </w:r>
          </w:p>
        </w:tc>
        <w:tc>
          <w:tcPr>
            <w:tcW w:w="2254" w:type="dxa"/>
            <w:shd w:val="clear" w:color="auto" w:fill="auto"/>
          </w:tcPr>
          <w:p w14:paraId="1801E907"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0E2A9DBE" w14:textId="77777777" w:rsidTr="00BC3C8A">
        <w:tc>
          <w:tcPr>
            <w:tcW w:w="993" w:type="dxa"/>
            <w:shd w:val="clear" w:color="auto" w:fill="auto"/>
          </w:tcPr>
          <w:p w14:paraId="13C65A58" w14:textId="77777777" w:rsidR="007154F8" w:rsidRPr="00C72DE0" w:rsidRDefault="007154F8" w:rsidP="007154F8">
            <w:pPr>
              <w:spacing w:after="0"/>
              <w:rPr>
                <w:sz w:val="18"/>
                <w:szCs w:val="18"/>
              </w:rPr>
            </w:pPr>
            <w:r w:rsidRPr="00C72DE0">
              <w:rPr>
                <w:sz w:val="18"/>
                <w:szCs w:val="18"/>
              </w:rPr>
              <w:t>3</w:t>
            </w:r>
          </w:p>
        </w:tc>
        <w:tc>
          <w:tcPr>
            <w:tcW w:w="2268" w:type="dxa"/>
            <w:shd w:val="clear" w:color="auto" w:fill="auto"/>
          </w:tcPr>
          <w:p w14:paraId="3B849DE9" w14:textId="77777777" w:rsidR="007154F8" w:rsidRPr="00C72DE0" w:rsidRDefault="007154F8" w:rsidP="007154F8">
            <w:pPr>
              <w:spacing w:after="0"/>
              <w:rPr>
                <w:sz w:val="18"/>
                <w:szCs w:val="18"/>
              </w:rPr>
            </w:pPr>
            <w:r w:rsidRPr="00C72DE0">
              <w:rPr>
                <w:sz w:val="18"/>
                <w:szCs w:val="18"/>
              </w:rPr>
              <w:t>Corporate advisors</w:t>
            </w:r>
          </w:p>
        </w:tc>
        <w:tc>
          <w:tcPr>
            <w:tcW w:w="1984" w:type="dxa"/>
            <w:shd w:val="clear" w:color="auto" w:fill="auto"/>
          </w:tcPr>
          <w:p w14:paraId="69AAD978"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5A65CB06" w14:textId="1F5D810B" w:rsidR="007154F8" w:rsidRPr="00C72DE0" w:rsidRDefault="00A454B2" w:rsidP="007154F8">
            <w:pPr>
              <w:spacing w:after="0" w:line="260" w:lineRule="atLeast"/>
              <w:jc w:val="right"/>
              <w:rPr>
                <w:rFonts w:eastAsia="Calibri"/>
                <w:sz w:val="18"/>
                <w:szCs w:val="18"/>
                <w:lang w:eastAsia="en-US"/>
              </w:rPr>
            </w:pPr>
            <w:r w:rsidRPr="00C72DE0">
              <w:rPr>
                <w:rFonts w:eastAsia="Calibri"/>
                <w:sz w:val="18"/>
                <w:szCs w:val="18"/>
                <w:lang w:eastAsia="en-US"/>
              </w:rPr>
              <w:t>Gross revenue</w:t>
            </w:r>
          </w:p>
        </w:tc>
      </w:tr>
      <w:tr w:rsidR="00C72DE0" w:rsidRPr="00C72DE0" w14:paraId="3E286046" w14:textId="77777777" w:rsidTr="00BC3C8A">
        <w:tc>
          <w:tcPr>
            <w:tcW w:w="993" w:type="dxa"/>
            <w:shd w:val="clear" w:color="auto" w:fill="auto"/>
          </w:tcPr>
          <w:p w14:paraId="13F23F78" w14:textId="77777777" w:rsidR="007154F8" w:rsidRPr="00C72DE0" w:rsidRDefault="007154F8" w:rsidP="007154F8">
            <w:pPr>
              <w:spacing w:after="0"/>
              <w:rPr>
                <w:sz w:val="18"/>
                <w:szCs w:val="18"/>
              </w:rPr>
            </w:pPr>
            <w:r w:rsidRPr="00C72DE0">
              <w:rPr>
                <w:sz w:val="18"/>
                <w:szCs w:val="18"/>
              </w:rPr>
              <w:t>4</w:t>
            </w:r>
          </w:p>
        </w:tc>
        <w:tc>
          <w:tcPr>
            <w:tcW w:w="2268" w:type="dxa"/>
            <w:shd w:val="clear" w:color="auto" w:fill="auto"/>
          </w:tcPr>
          <w:p w14:paraId="4F798FF9" w14:textId="77777777" w:rsidR="007154F8" w:rsidRPr="00C72DE0" w:rsidRDefault="007154F8" w:rsidP="007154F8">
            <w:pPr>
              <w:spacing w:after="0"/>
              <w:rPr>
                <w:sz w:val="18"/>
                <w:szCs w:val="18"/>
              </w:rPr>
            </w:pPr>
            <w:r w:rsidRPr="00C72DE0">
              <w:rPr>
                <w:sz w:val="18"/>
                <w:szCs w:val="18"/>
              </w:rPr>
              <w:t>Credit intermediaries</w:t>
            </w:r>
          </w:p>
        </w:tc>
        <w:tc>
          <w:tcPr>
            <w:tcW w:w="1984" w:type="dxa"/>
            <w:shd w:val="clear" w:color="auto" w:fill="auto"/>
          </w:tcPr>
          <w:p w14:paraId="059511D6"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42D9F211" w14:textId="4BCD5C44" w:rsidR="007154F8" w:rsidRPr="00C72DE0" w:rsidRDefault="00E553E8" w:rsidP="007154F8">
            <w:pPr>
              <w:spacing w:after="0" w:line="260" w:lineRule="atLeast"/>
              <w:jc w:val="right"/>
              <w:rPr>
                <w:rFonts w:eastAsia="Calibri"/>
                <w:sz w:val="18"/>
                <w:szCs w:val="18"/>
                <w:lang w:eastAsia="en-US"/>
              </w:rPr>
            </w:pPr>
            <w:r w:rsidRPr="00C72DE0">
              <w:rPr>
                <w:rFonts w:eastAsia="Calibri"/>
                <w:sz w:val="18"/>
                <w:szCs w:val="18"/>
                <w:lang w:eastAsia="en-US"/>
              </w:rPr>
              <w:t xml:space="preserve">Number of credit representatives </w:t>
            </w:r>
          </w:p>
        </w:tc>
      </w:tr>
      <w:tr w:rsidR="00C72DE0" w:rsidRPr="00C72DE0" w14:paraId="48D7AF68" w14:textId="77777777" w:rsidTr="00BC3C8A">
        <w:tc>
          <w:tcPr>
            <w:tcW w:w="993" w:type="dxa"/>
            <w:shd w:val="clear" w:color="auto" w:fill="auto"/>
          </w:tcPr>
          <w:p w14:paraId="2E023F10" w14:textId="77777777" w:rsidR="007154F8" w:rsidRPr="00C72DE0" w:rsidRDefault="007154F8" w:rsidP="007154F8">
            <w:pPr>
              <w:spacing w:after="0"/>
              <w:rPr>
                <w:sz w:val="18"/>
                <w:szCs w:val="18"/>
              </w:rPr>
            </w:pPr>
            <w:r w:rsidRPr="00C72DE0">
              <w:rPr>
                <w:sz w:val="18"/>
                <w:szCs w:val="18"/>
              </w:rPr>
              <w:t>5</w:t>
            </w:r>
          </w:p>
        </w:tc>
        <w:tc>
          <w:tcPr>
            <w:tcW w:w="2268" w:type="dxa"/>
            <w:shd w:val="clear" w:color="auto" w:fill="auto"/>
          </w:tcPr>
          <w:p w14:paraId="273A164A" w14:textId="77777777" w:rsidR="007154F8" w:rsidRPr="00C72DE0" w:rsidRDefault="007154F8" w:rsidP="007154F8">
            <w:pPr>
              <w:spacing w:after="0"/>
              <w:rPr>
                <w:sz w:val="18"/>
                <w:szCs w:val="18"/>
              </w:rPr>
            </w:pPr>
            <w:r w:rsidRPr="00C72DE0">
              <w:rPr>
                <w:sz w:val="18"/>
                <w:szCs w:val="18"/>
              </w:rPr>
              <w:t>Credit providers</w:t>
            </w:r>
          </w:p>
        </w:tc>
        <w:tc>
          <w:tcPr>
            <w:tcW w:w="1984" w:type="dxa"/>
            <w:shd w:val="clear" w:color="auto" w:fill="auto"/>
          </w:tcPr>
          <w:p w14:paraId="7A75E7AD"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1845CD0A" w14:textId="7A067632" w:rsidR="007154F8" w:rsidRPr="00C72DE0" w:rsidRDefault="00E553E8" w:rsidP="007154F8">
            <w:pPr>
              <w:spacing w:after="0" w:line="260" w:lineRule="atLeast"/>
              <w:jc w:val="right"/>
              <w:rPr>
                <w:rFonts w:eastAsia="Calibri"/>
                <w:sz w:val="18"/>
                <w:szCs w:val="18"/>
                <w:lang w:eastAsia="en-US"/>
              </w:rPr>
            </w:pPr>
            <w:r w:rsidRPr="00C72DE0">
              <w:rPr>
                <w:rFonts w:eastAsia="Calibri"/>
                <w:sz w:val="18"/>
                <w:szCs w:val="18"/>
                <w:lang w:eastAsia="en-US"/>
              </w:rPr>
              <w:t>Gross amount of credit provided</w:t>
            </w:r>
          </w:p>
        </w:tc>
      </w:tr>
      <w:tr w:rsidR="00C72DE0" w:rsidRPr="00C72DE0" w14:paraId="38065AE3" w14:textId="77777777" w:rsidTr="00BC3C8A">
        <w:tc>
          <w:tcPr>
            <w:tcW w:w="993" w:type="dxa"/>
            <w:shd w:val="clear" w:color="auto" w:fill="auto"/>
          </w:tcPr>
          <w:p w14:paraId="1570FA28" w14:textId="77777777" w:rsidR="007154F8" w:rsidRPr="00C72DE0" w:rsidRDefault="007154F8" w:rsidP="007154F8">
            <w:pPr>
              <w:spacing w:after="0"/>
              <w:rPr>
                <w:sz w:val="18"/>
                <w:szCs w:val="18"/>
              </w:rPr>
            </w:pPr>
            <w:r w:rsidRPr="00C72DE0">
              <w:rPr>
                <w:sz w:val="18"/>
                <w:szCs w:val="18"/>
              </w:rPr>
              <w:t>6</w:t>
            </w:r>
          </w:p>
        </w:tc>
        <w:tc>
          <w:tcPr>
            <w:tcW w:w="2268" w:type="dxa"/>
            <w:shd w:val="clear" w:color="auto" w:fill="auto"/>
          </w:tcPr>
          <w:p w14:paraId="2A398E0D" w14:textId="77777777" w:rsidR="007154F8" w:rsidRPr="00C72DE0" w:rsidRDefault="007154F8" w:rsidP="007154F8">
            <w:pPr>
              <w:spacing w:after="0"/>
              <w:rPr>
                <w:sz w:val="18"/>
                <w:szCs w:val="18"/>
              </w:rPr>
            </w:pPr>
            <w:r w:rsidRPr="00C72DE0">
              <w:rPr>
                <w:sz w:val="18"/>
                <w:szCs w:val="18"/>
              </w:rPr>
              <w:t>Credit rating agencies</w:t>
            </w:r>
          </w:p>
        </w:tc>
        <w:tc>
          <w:tcPr>
            <w:tcW w:w="1984" w:type="dxa"/>
            <w:shd w:val="clear" w:color="auto" w:fill="auto"/>
          </w:tcPr>
          <w:p w14:paraId="7D0B4111"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33CC19CB" w14:textId="79FEBCB9" w:rsidR="007154F8" w:rsidRPr="00C72DE0" w:rsidRDefault="00770C0B"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licence was held</w:t>
            </w:r>
          </w:p>
        </w:tc>
      </w:tr>
      <w:tr w:rsidR="00C72DE0" w:rsidRPr="00C72DE0" w14:paraId="2F510580" w14:textId="77777777" w:rsidTr="00BC3C8A">
        <w:tc>
          <w:tcPr>
            <w:tcW w:w="993" w:type="dxa"/>
            <w:shd w:val="clear" w:color="auto" w:fill="auto"/>
          </w:tcPr>
          <w:p w14:paraId="66D97DA5" w14:textId="77777777" w:rsidR="007154F8" w:rsidRPr="00C72DE0" w:rsidRDefault="007154F8" w:rsidP="007154F8">
            <w:pPr>
              <w:spacing w:after="0"/>
              <w:rPr>
                <w:sz w:val="18"/>
                <w:szCs w:val="18"/>
              </w:rPr>
            </w:pPr>
            <w:r w:rsidRPr="00C72DE0">
              <w:rPr>
                <w:sz w:val="18"/>
                <w:szCs w:val="18"/>
              </w:rPr>
              <w:t>7</w:t>
            </w:r>
          </w:p>
        </w:tc>
        <w:tc>
          <w:tcPr>
            <w:tcW w:w="2268" w:type="dxa"/>
            <w:shd w:val="clear" w:color="auto" w:fill="auto"/>
          </w:tcPr>
          <w:p w14:paraId="40B61236" w14:textId="77777777" w:rsidR="007154F8" w:rsidRPr="00C72DE0" w:rsidRDefault="007154F8" w:rsidP="007154F8">
            <w:pPr>
              <w:spacing w:after="0"/>
              <w:rPr>
                <w:sz w:val="18"/>
                <w:szCs w:val="18"/>
              </w:rPr>
            </w:pPr>
            <w:r w:rsidRPr="00C72DE0">
              <w:rPr>
                <w:sz w:val="18"/>
                <w:szCs w:val="18"/>
              </w:rPr>
              <w:t>Custodians</w:t>
            </w:r>
          </w:p>
        </w:tc>
        <w:tc>
          <w:tcPr>
            <w:tcW w:w="1984" w:type="dxa"/>
            <w:shd w:val="clear" w:color="auto" w:fill="auto"/>
          </w:tcPr>
          <w:p w14:paraId="23E57158" w14:textId="5D1BA061" w:rsidR="007154F8" w:rsidRPr="00C72DE0" w:rsidRDefault="00542140" w:rsidP="007154F8">
            <w:pPr>
              <w:spacing w:after="0" w:line="260" w:lineRule="atLeast"/>
              <w:jc w:val="right"/>
              <w:rPr>
                <w:rFonts w:eastAsia="Calibri"/>
                <w:sz w:val="18"/>
                <w:szCs w:val="18"/>
                <w:highlight w:val="yellow"/>
                <w:lang w:eastAsia="en-US"/>
              </w:rPr>
            </w:pPr>
            <w:r w:rsidRPr="00C72DE0">
              <w:rPr>
                <w:rFonts w:eastAsia="Calibri"/>
                <w:sz w:val="18"/>
                <w:szCs w:val="18"/>
                <w:lang w:eastAsia="en-US"/>
              </w:rPr>
              <w:t>“Not applicable”</w:t>
            </w:r>
          </w:p>
        </w:tc>
        <w:tc>
          <w:tcPr>
            <w:tcW w:w="2254" w:type="dxa"/>
            <w:shd w:val="clear" w:color="auto" w:fill="auto"/>
          </w:tcPr>
          <w:p w14:paraId="3439FAA3"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7F183862" w14:textId="77777777" w:rsidTr="00BC3C8A">
        <w:tc>
          <w:tcPr>
            <w:tcW w:w="993" w:type="dxa"/>
            <w:shd w:val="clear" w:color="auto" w:fill="auto"/>
          </w:tcPr>
          <w:p w14:paraId="524CC183" w14:textId="77777777" w:rsidR="007154F8" w:rsidRPr="00C72DE0" w:rsidRDefault="007154F8" w:rsidP="007154F8">
            <w:pPr>
              <w:spacing w:after="0"/>
              <w:rPr>
                <w:sz w:val="18"/>
                <w:szCs w:val="18"/>
              </w:rPr>
            </w:pPr>
            <w:r w:rsidRPr="00C72DE0">
              <w:rPr>
                <w:sz w:val="18"/>
                <w:szCs w:val="18"/>
              </w:rPr>
              <w:t>8</w:t>
            </w:r>
          </w:p>
        </w:tc>
        <w:tc>
          <w:tcPr>
            <w:tcW w:w="2268" w:type="dxa"/>
            <w:shd w:val="clear" w:color="auto" w:fill="auto"/>
          </w:tcPr>
          <w:p w14:paraId="65A89967" w14:textId="77777777" w:rsidR="007154F8" w:rsidRPr="00C72DE0" w:rsidRDefault="007154F8" w:rsidP="007154F8">
            <w:pPr>
              <w:spacing w:after="0"/>
              <w:rPr>
                <w:sz w:val="18"/>
                <w:szCs w:val="18"/>
              </w:rPr>
            </w:pPr>
            <w:r w:rsidRPr="00C72DE0">
              <w:rPr>
                <w:sz w:val="18"/>
                <w:szCs w:val="18"/>
              </w:rPr>
              <w:t xml:space="preserve">Deposit product providers </w:t>
            </w:r>
          </w:p>
        </w:tc>
        <w:tc>
          <w:tcPr>
            <w:tcW w:w="1984" w:type="dxa"/>
            <w:shd w:val="clear" w:color="auto" w:fill="auto"/>
          </w:tcPr>
          <w:p w14:paraId="1011E3F4"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1962D1D3" w14:textId="3141EEB8" w:rsidR="007154F8" w:rsidRPr="00C72DE0" w:rsidRDefault="00694205" w:rsidP="007154F8">
            <w:pPr>
              <w:spacing w:after="0" w:line="260" w:lineRule="atLeast"/>
              <w:jc w:val="right"/>
              <w:rPr>
                <w:rFonts w:eastAsia="Calibri"/>
                <w:sz w:val="18"/>
                <w:szCs w:val="18"/>
                <w:lang w:eastAsia="en-US"/>
              </w:rPr>
            </w:pPr>
            <w:r w:rsidRPr="00C72DE0">
              <w:rPr>
                <w:rFonts w:eastAsia="Calibri"/>
                <w:sz w:val="18"/>
                <w:szCs w:val="18"/>
                <w:lang w:eastAsia="en-US"/>
              </w:rPr>
              <w:t>V</w:t>
            </w:r>
            <w:r w:rsidR="00E553E8" w:rsidRPr="00C72DE0">
              <w:rPr>
                <w:rFonts w:eastAsia="Calibri"/>
                <w:sz w:val="18"/>
                <w:szCs w:val="18"/>
                <w:lang w:eastAsia="en-US"/>
              </w:rPr>
              <w:t>alue of deposits</w:t>
            </w:r>
          </w:p>
        </w:tc>
      </w:tr>
      <w:tr w:rsidR="00C72DE0" w:rsidRPr="00C72DE0" w14:paraId="2AA52B5D" w14:textId="77777777" w:rsidTr="00BC3C8A">
        <w:tc>
          <w:tcPr>
            <w:tcW w:w="993" w:type="dxa"/>
            <w:shd w:val="clear" w:color="auto" w:fill="auto"/>
          </w:tcPr>
          <w:p w14:paraId="5F37F24C" w14:textId="77777777" w:rsidR="007154F8" w:rsidRPr="00C72DE0" w:rsidRDefault="007154F8" w:rsidP="007154F8">
            <w:pPr>
              <w:spacing w:after="0"/>
              <w:rPr>
                <w:sz w:val="18"/>
                <w:szCs w:val="18"/>
              </w:rPr>
            </w:pPr>
            <w:r w:rsidRPr="00C72DE0">
              <w:rPr>
                <w:sz w:val="18"/>
                <w:szCs w:val="18"/>
              </w:rPr>
              <w:t>9</w:t>
            </w:r>
          </w:p>
        </w:tc>
        <w:tc>
          <w:tcPr>
            <w:tcW w:w="2268" w:type="dxa"/>
            <w:shd w:val="clear" w:color="auto" w:fill="auto"/>
          </w:tcPr>
          <w:p w14:paraId="005740A1" w14:textId="77777777" w:rsidR="007154F8" w:rsidRPr="00C72DE0" w:rsidRDefault="007154F8" w:rsidP="007154F8">
            <w:pPr>
              <w:spacing w:after="0"/>
              <w:rPr>
                <w:sz w:val="18"/>
                <w:szCs w:val="18"/>
              </w:rPr>
            </w:pPr>
            <w:r w:rsidRPr="00C72DE0">
              <w:rPr>
                <w:sz w:val="18"/>
                <w:szCs w:val="18"/>
              </w:rPr>
              <w:t>Exempt CS facility operators</w:t>
            </w:r>
          </w:p>
        </w:tc>
        <w:tc>
          <w:tcPr>
            <w:tcW w:w="1984" w:type="dxa"/>
            <w:shd w:val="clear" w:color="auto" w:fill="auto"/>
          </w:tcPr>
          <w:p w14:paraId="2E570CFF" w14:textId="59F190B5" w:rsidR="007154F8" w:rsidRPr="00C72DE0" w:rsidRDefault="00A454B2"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facility was operated</w:t>
            </w:r>
          </w:p>
        </w:tc>
        <w:tc>
          <w:tcPr>
            <w:tcW w:w="2254" w:type="dxa"/>
            <w:shd w:val="clear" w:color="auto" w:fill="auto"/>
          </w:tcPr>
          <w:p w14:paraId="5C9A686E"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18C145BB" w14:textId="77777777" w:rsidTr="00BC3C8A">
        <w:tc>
          <w:tcPr>
            <w:tcW w:w="993" w:type="dxa"/>
            <w:shd w:val="clear" w:color="auto" w:fill="auto"/>
          </w:tcPr>
          <w:p w14:paraId="1D7D5BBD" w14:textId="77777777" w:rsidR="007154F8" w:rsidRPr="00C72DE0" w:rsidRDefault="007154F8" w:rsidP="007154F8">
            <w:pPr>
              <w:spacing w:after="0"/>
              <w:rPr>
                <w:sz w:val="18"/>
                <w:szCs w:val="18"/>
              </w:rPr>
            </w:pPr>
            <w:r w:rsidRPr="00C72DE0">
              <w:rPr>
                <w:sz w:val="18"/>
                <w:szCs w:val="18"/>
              </w:rPr>
              <w:t>10</w:t>
            </w:r>
          </w:p>
        </w:tc>
        <w:tc>
          <w:tcPr>
            <w:tcW w:w="2268" w:type="dxa"/>
            <w:shd w:val="clear" w:color="auto" w:fill="auto"/>
          </w:tcPr>
          <w:p w14:paraId="6D352A0A" w14:textId="77777777" w:rsidR="007154F8" w:rsidRPr="00C72DE0" w:rsidRDefault="007154F8" w:rsidP="007154F8">
            <w:pPr>
              <w:spacing w:after="0"/>
              <w:rPr>
                <w:sz w:val="18"/>
                <w:szCs w:val="18"/>
              </w:rPr>
            </w:pPr>
            <w:r w:rsidRPr="00C72DE0">
              <w:rPr>
                <w:sz w:val="18"/>
                <w:szCs w:val="18"/>
              </w:rPr>
              <w:t>Exempt market operators</w:t>
            </w:r>
          </w:p>
        </w:tc>
        <w:tc>
          <w:tcPr>
            <w:tcW w:w="1984" w:type="dxa"/>
            <w:shd w:val="clear" w:color="auto" w:fill="auto"/>
          </w:tcPr>
          <w:p w14:paraId="2B9AAD4E" w14:textId="0883E929" w:rsidR="007154F8" w:rsidRPr="00C72DE0" w:rsidRDefault="00960A7E"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market was operated</w:t>
            </w:r>
          </w:p>
        </w:tc>
        <w:tc>
          <w:tcPr>
            <w:tcW w:w="2254" w:type="dxa"/>
            <w:shd w:val="clear" w:color="auto" w:fill="auto"/>
          </w:tcPr>
          <w:p w14:paraId="67F763EC"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04C0C931" w14:textId="77777777" w:rsidTr="00BC3C8A">
        <w:tc>
          <w:tcPr>
            <w:tcW w:w="993" w:type="dxa"/>
            <w:shd w:val="clear" w:color="auto" w:fill="auto"/>
          </w:tcPr>
          <w:p w14:paraId="499CC71D" w14:textId="77777777" w:rsidR="007154F8" w:rsidRPr="00C72DE0" w:rsidRDefault="007154F8" w:rsidP="007154F8">
            <w:pPr>
              <w:spacing w:after="0"/>
              <w:rPr>
                <w:sz w:val="18"/>
                <w:szCs w:val="18"/>
              </w:rPr>
            </w:pPr>
            <w:r w:rsidRPr="00C72DE0">
              <w:rPr>
                <w:sz w:val="18"/>
                <w:szCs w:val="18"/>
              </w:rPr>
              <w:t>11</w:t>
            </w:r>
          </w:p>
        </w:tc>
        <w:tc>
          <w:tcPr>
            <w:tcW w:w="2268" w:type="dxa"/>
            <w:shd w:val="clear" w:color="auto" w:fill="auto"/>
          </w:tcPr>
          <w:p w14:paraId="1E8F7582" w14:textId="77777777" w:rsidR="007154F8" w:rsidRPr="00C72DE0" w:rsidRDefault="007154F8" w:rsidP="007154F8">
            <w:pPr>
              <w:spacing w:after="0"/>
              <w:rPr>
                <w:sz w:val="18"/>
                <w:szCs w:val="18"/>
              </w:rPr>
            </w:pPr>
            <w:r w:rsidRPr="00C72DE0">
              <w:rPr>
                <w:sz w:val="18"/>
                <w:szCs w:val="18"/>
              </w:rPr>
              <w:t>Insurance product distributors</w:t>
            </w:r>
          </w:p>
        </w:tc>
        <w:tc>
          <w:tcPr>
            <w:tcW w:w="1984" w:type="dxa"/>
            <w:shd w:val="clear" w:color="auto" w:fill="auto"/>
          </w:tcPr>
          <w:p w14:paraId="009BCB21" w14:textId="52A7585B" w:rsidR="007154F8" w:rsidRPr="00C72DE0" w:rsidRDefault="00542140" w:rsidP="007154F8">
            <w:pPr>
              <w:spacing w:after="0" w:line="260" w:lineRule="atLeast"/>
              <w:jc w:val="right"/>
              <w:rPr>
                <w:rFonts w:eastAsia="Calibri"/>
                <w:sz w:val="18"/>
                <w:szCs w:val="18"/>
                <w:highlight w:val="yellow"/>
                <w:lang w:eastAsia="en-US"/>
              </w:rPr>
            </w:pPr>
            <w:r w:rsidRPr="00C72DE0">
              <w:rPr>
                <w:rFonts w:eastAsia="Calibri"/>
                <w:sz w:val="18"/>
                <w:szCs w:val="18"/>
                <w:lang w:eastAsia="en-US"/>
              </w:rPr>
              <w:t>“Not applicable”</w:t>
            </w:r>
          </w:p>
        </w:tc>
        <w:tc>
          <w:tcPr>
            <w:tcW w:w="2254" w:type="dxa"/>
            <w:shd w:val="clear" w:color="auto" w:fill="auto"/>
          </w:tcPr>
          <w:p w14:paraId="73CC6EBA"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73BCA317" w14:textId="77777777" w:rsidTr="00BC3C8A">
        <w:tc>
          <w:tcPr>
            <w:tcW w:w="993" w:type="dxa"/>
            <w:shd w:val="clear" w:color="auto" w:fill="auto"/>
          </w:tcPr>
          <w:p w14:paraId="72F2FFF0" w14:textId="77777777" w:rsidR="007154F8" w:rsidRPr="00C72DE0" w:rsidRDefault="007154F8" w:rsidP="007154F8">
            <w:pPr>
              <w:spacing w:after="0"/>
              <w:rPr>
                <w:sz w:val="18"/>
                <w:szCs w:val="18"/>
              </w:rPr>
            </w:pPr>
            <w:r w:rsidRPr="00C72DE0">
              <w:rPr>
                <w:sz w:val="18"/>
                <w:szCs w:val="18"/>
              </w:rPr>
              <w:t>12</w:t>
            </w:r>
          </w:p>
        </w:tc>
        <w:tc>
          <w:tcPr>
            <w:tcW w:w="2268" w:type="dxa"/>
            <w:shd w:val="clear" w:color="auto" w:fill="auto"/>
          </w:tcPr>
          <w:p w14:paraId="6F51A1A8" w14:textId="77777777" w:rsidR="007154F8" w:rsidRPr="00C72DE0" w:rsidRDefault="007154F8" w:rsidP="007154F8">
            <w:pPr>
              <w:spacing w:after="0"/>
              <w:rPr>
                <w:sz w:val="18"/>
                <w:szCs w:val="18"/>
              </w:rPr>
            </w:pPr>
            <w:r w:rsidRPr="00C72DE0">
              <w:rPr>
                <w:sz w:val="18"/>
                <w:szCs w:val="18"/>
              </w:rPr>
              <w:t>Insurance product providers</w:t>
            </w:r>
          </w:p>
        </w:tc>
        <w:tc>
          <w:tcPr>
            <w:tcW w:w="1984" w:type="dxa"/>
            <w:shd w:val="clear" w:color="auto" w:fill="auto"/>
          </w:tcPr>
          <w:p w14:paraId="29B39375"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692CB8DB" w14:textId="4FA36DC3" w:rsidR="007154F8" w:rsidRPr="00C72DE0" w:rsidRDefault="00A454B2" w:rsidP="007154F8">
            <w:pPr>
              <w:spacing w:after="0" w:line="260" w:lineRule="atLeast"/>
              <w:jc w:val="right"/>
              <w:rPr>
                <w:rFonts w:eastAsia="Calibri"/>
                <w:sz w:val="18"/>
                <w:szCs w:val="18"/>
                <w:lang w:eastAsia="en-US"/>
              </w:rPr>
            </w:pPr>
            <w:r w:rsidRPr="00C72DE0">
              <w:rPr>
                <w:rFonts w:eastAsia="Calibri"/>
                <w:sz w:val="18"/>
                <w:szCs w:val="18"/>
                <w:lang w:eastAsia="en-US"/>
              </w:rPr>
              <w:t>Gross</w:t>
            </w:r>
            <w:r w:rsidR="00770C0B" w:rsidRPr="00C72DE0">
              <w:rPr>
                <w:rFonts w:eastAsia="Calibri"/>
                <w:sz w:val="18"/>
                <w:szCs w:val="18"/>
                <w:lang w:eastAsia="en-US"/>
              </w:rPr>
              <w:t xml:space="preserve"> </w:t>
            </w:r>
            <w:r w:rsidRPr="00C72DE0">
              <w:rPr>
                <w:rFonts w:eastAsia="Calibri"/>
                <w:sz w:val="18"/>
                <w:szCs w:val="18"/>
                <w:lang w:eastAsia="en-US"/>
              </w:rPr>
              <w:t>amount of premiums</w:t>
            </w:r>
            <w:r w:rsidR="00770C0B" w:rsidRPr="00C72DE0">
              <w:rPr>
                <w:rFonts w:eastAsia="Calibri"/>
                <w:sz w:val="18"/>
                <w:szCs w:val="18"/>
                <w:lang w:eastAsia="en-US"/>
              </w:rPr>
              <w:t xml:space="preserve"> and other revenue</w:t>
            </w:r>
          </w:p>
        </w:tc>
      </w:tr>
      <w:tr w:rsidR="00C72DE0" w:rsidRPr="00C72DE0" w14:paraId="4CF96010" w14:textId="77777777" w:rsidTr="00BC3C8A">
        <w:tc>
          <w:tcPr>
            <w:tcW w:w="993" w:type="dxa"/>
            <w:shd w:val="clear" w:color="auto" w:fill="auto"/>
          </w:tcPr>
          <w:p w14:paraId="26C99B06" w14:textId="77777777" w:rsidR="007154F8" w:rsidRPr="00C72DE0" w:rsidRDefault="007154F8" w:rsidP="007154F8">
            <w:pPr>
              <w:spacing w:after="0"/>
              <w:rPr>
                <w:sz w:val="18"/>
                <w:szCs w:val="18"/>
              </w:rPr>
            </w:pPr>
            <w:r w:rsidRPr="00C72DE0">
              <w:rPr>
                <w:sz w:val="18"/>
                <w:szCs w:val="18"/>
              </w:rPr>
              <w:t>13</w:t>
            </w:r>
          </w:p>
        </w:tc>
        <w:tc>
          <w:tcPr>
            <w:tcW w:w="2268" w:type="dxa"/>
            <w:shd w:val="clear" w:color="auto" w:fill="auto"/>
          </w:tcPr>
          <w:p w14:paraId="1F4CFDCA" w14:textId="77777777" w:rsidR="007154F8" w:rsidRPr="00C72DE0" w:rsidRDefault="007154F8" w:rsidP="007154F8">
            <w:pPr>
              <w:spacing w:after="0"/>
              <w:rPr>
                <w:sz w:val="18"/>
                <w:szCs w:val="18"/>
              </w:rPr>
            </w:pPr>
            <w:r w:rsidRPr="00C72DE0">
              <w:rPr>
                <w:sz w:val="18"/>
                <w:szCs w:val="18"/>
              </w:rPr>
              <w:t>Large futures exchange operators</w:t>
            </w:r>
          </w:p>
        </w:tc>
        <w:tc>
          <w:tcPr>
            <w:tcW w:w="1984" w:type="dxa"/>
            <w:shd w:val="clear" w:color="auto" w:fill="auto"/>
          </w:tcPr>
          <w:p w14:paraId="67B0E23B" w14:textId="293ED9E1" w:rsidR="007154F8" w:rsidRPr="00C72DE0" w:rsidRDefault="00960A7E"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exchange was operated</w:t>
            </w:r>
          </w:p>
        </w:tc>
        <w:tc>
          <w:tcPr>
            <w:tcW w:w="2254" w:type="dxa"/>
            <w:shd w:val="clear" w:color="auto" w:fill="auto"/>
          </w:tcPr>
          <w:p w14:paraId="07E3E5F3"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0626ECC7" w14:textId="77777777" w:rsidTr="00BC3C8A">
        <w:tc>
          <w:tcPr>
            <w:tcW w:w="993" w:type="dxa"/>
            <w:shd w:val="clear" w:color="auto" w:fill="auto"/>
          </w:tcPr>
          <w:p w14:paraId="15E715EA" w14:textId="77777777" w:rsidR="007154F8" w:rsidRPr="00C72DE0" w:rsidRDefault="007154F8" w:rsidP="007154F8">
            <w:pPr>
              <w:spacing w:after="0"/>
              <w:rPr>
                <w:sz w:val="18"/>
                <w:szCs w:val="18"/>
              </w:rPr>
            </w:pPr>
            <w:r w:rsidRPr="00C72DE0">
              <w:rPr>
                <w:sz w:val="18"/>
                <w:szCs w:val="18"/>
              </w:rPr>
              <w:t>14</w:t>
            </w:r>
          </w:p>
        </w:tc>
        <w:tc>
          <w:tcPr>
            <w:tcW w:w="2268" w:type="dxa"/>
            <w:shd w:val="clear" w:color="auto" w:fill="auto"/>
          </w:tcPr>
          <w:p w14:paraId="5D406C27" w14:textId="77777777" w:rsidR="007154F8" w:rsidRPr="00C72DE0" w:rsidRDefault="007154F8" w:rsidP="007154F8">
            <w:pPr>
              <w:spacing w:after="0"/>
              <w:rPr>
                <w:sz w:val="18"/>
                <w:szCs w:val="18"/>
              </w:rPr>
            </w:pPr>
            <w:r w:rsidRPr="00C72DE0">
              <w:rPr>
                <w:sz w:val="18"/>
                <w:szCs w:val="18"/>
              </w:rPr>
              <w:t xml:space="preserve">Large futures exchange participants </w:t>
            </w:r>
          </w:p>
        </w:tc>
        <w:tc>
          <w:tcPr>
            <w:tcW w:w="1984" w:type="dxa"/>
            <w:shd w:val="clear" w:color="auto" w:fill="auto"/>
          </w:tcPr>
          <w:p w14:paraId="0B81EC36"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124F9781" w14:textId="653EE7BA" w:rsidR="00A454B2" w:rsidRPr="00C72DE0" w:rsidRDefault="00A454B2" w:rsidP="00A454B2">
            <w:pPr>
              <w:spacing w:after="0" w:line="260" w:lineRule="atLeast"/>
              <w:jc w:val="right"/>
              <w:rPr>
                <w:rFonts w:eastAsia="Calibri"/>
                <w:sz w:val="18"/>
                <w:szCs w:val="18"/>
                <w:lang w:eastAsia="en-US"/>
              </w:rPr>
            </w:pPr>
            <w:r w:rsidRPr="00C72DE0">
              <w:rPr>
                <w:rFonts w:eastAsia="Calibri"/>
                <w:sz w:val="18"/>
                <w:szCs w:val="18"/>
                <w:lang w:eastAsia="en-US"/>
              </w:rPr>
              <w:t>M</w:t>
            </w:r>
            <w:r w:rsidR="007154F8" w:rsidRPr="00C72DE0">
              <w:rPr>
                <w:rFonts w:eastAsia="Calibri"/>
                <w:sz w:val="18"/>
                <w:szCs w:val="18"/>
                <w:lang w:eastAsia="en-US"/>
              </w:rPr>
              <w:t>essages</w:t>
            </w:r>
            <w:r w:rsidRPr="00C72DE0">
              <w:rPr>
                <w:rFonts w:eastAsia="Calibri"/>
                <w:sz w:val="18"/>
                <w:szCs w:val="18"/>
                <w:lang w:eastAsia="en-US"/>
              </w:rPr>
              <w:t xml:space="preserve"> and transactions</w:t>
            </w:r>
          </w:p>
          <w:p w14:paraId="1273F912" w14:textId="4C9A0AE9" w:rsidR="007154F8" w:rsidRPr="00C72DE0" w:rsidRDefault="007154F8" w:rsidP="007154F8">
            <w:pPr>
              <w:spacing w:after="0" w:line="260" w:lineRule="atLeast"/>
              <w:jc w:val="right"/>
              <w:rPr>
                <w:rFonts w:eastAsia="Calibri"/>
                <w:sz w:val="18"/>
                <w:szCs w:val="18"/>
                <w:lang w:eastAsia="en-US"/>
              </w:rPr>
            </w:pPr>
          </w:p>
        </w:tc>
      </w:tr>
      <w:tr w:rsidR="00C72DE0" w:rsidRPr="00C72DE0" w14:paraId="7F927867" w14:textId="77777777" w:rsidTr="00BC3C8A">
        <w:tc>
          <w:tcPr>
            <w:tcW w:w="993" w:type="dxa"/>
            <w:shd w:val="clear" w:color="auto" w:fill="auto"/>
          </w:tcPr>
          <w:p w14:paraId="1E563B7A" w14:textId="77777777" w:rsidR="007154F8" w:rsidRPr="00C72DE0" w:rsidRDefault="007154F8" w:rsidP="007154F8">
            <w:pPr>
              <w:spacing w:after="0"/>
              <w:rPr>
                <w:sz w:val="18"/>
                <w:szCs w:val="18"/>
              </w:rPr>
            </w:pPr>
            <w:r w:rsidRPr="00C72DE0">
              <w:rPr>
                <w:sz w:val="18"/>
                <w:szCs w:val="18"/>
              </w:rPr>
              <w:t>15</w:t>
            </w:r>
          </w:p>
        </w:tc>
        <w:tc>
          <w:tcPr>
            <w:tcW w:w="2268" w:type="dxa"/>
            <w:shd w:val="clear" w:color="auto" w:fill="auto"/>
          </w:tcPr>
          <w:p w14:paraId="6D347F19" w14:textId="77777777" w:rsidR="007154F8" w:rsidRPr="00C72DE0" w:rsidRDefault="007154F8" w:rsidP="007154F8">
            <w:pPr>
              <w:spacing w:after="0"/>
              <w:rPr>
                <w:sz w:val="18"/>
                <w:szCs w:val="18"/>
              </w:rPr>
            </w:pPr>
            <w:r w:rsidRPr="00C72DE0">
              <w:rPr>
                <w:sz w:val="18"/>
                <w:szCs w:val="18"/>
              </w:rPr>
              <w:t>Large proprietary companies</w:t>
            </w:r>
          </w:p>
        </w:tc>
        <w:tc>
          <w:tcPr>
            <w:tcW w:w="1984" w:type="dxa"/>
            <w:shd w:val="clear" w:color="auto" w:fill="auto"/>
          </w:tcPr>
          <w:p w14:paraId="11FCE2BD" w14:textId="04B9BA65" w:rsidR="007154F8" w:rsidRPr="00C72DE0" w:rsidRDefault="00542140" w:rsidP="007154F8">
            <w:pPr>
              <w:spacing w:after="0" w:line="260" w:lineRule="atLeast"/>
              <w:jc w:val="right"/>
              <w:rPr>
                <w:rFonts w:eastAsia="Calibri"/>
                <w:sz w:val="18"/>
                <w:szCs w:val="18"/>
                <w:highlight w:val="yellow"/>
                <w:lang w:eastAsia="en-US"/>
              </w:rPr>
            </w:pPr>
            <w:r w:rsidRPr="00C72DE0">
              <w:rPr>
                <w:rFonts w:eastAsia="Calibri"/>
                <w:sz w:val="18"/>
                <w:szCs w:val="18"/>
                <w:lang w:eastAsia="en-US"/>
              </w:rPr>
              <w:t>“Not applicable”</w:t>
            </w:r>
          </w:p>
        </w:tc>
        <w:tc>
          <w:tcPr>
            <w:tcW w:w="2254" w:type="dxa"/>
            <w:shd w:val="clear" w:color="auto" w:fill="auto"/>
          </w:tcPr>
          <w:p w14:paraId="2D931B7E"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73C82207" w14:textId="77777777" w:rsidTr="00BC3C8A">
        <w:tc>
          <w:tcPr>
            <w:tcW w:w="993" w:type="dxa"/>
            <w:shd w:val="clear" w:color="auto" w:fill="auto"/>
          </w:tcPr>
          <w:p w14:paraId="3121FA22" w14:textId="77777777" w:rsidR="007154F8" w:rsidRPr="00C72DE0" w:rsidRDefault="007154F8" w:rsidP="007154F8">
            <w:pPr>
              <w:spacing w:after="0"/>
              <w:rPr>
                <w:sz w:val="18"/>
                <w:szCs w:val="18"/>
              </w:rPr>
            </w:pPr>
            <w:r w:rsidRPr="00C72DE0">
              <w:rPr>
                <w:sz w:val="18"/>
                <w:szCs w:val="18"/>
              </w:rPr>
              <w:t>16</w:t>
            </w:r>
          </w:p>
        </w:tc>
        <w:tc>
          <w:tcPr>
            <w:tcW w:w="2268" w:type="dxa"/>
            <w:shd w:val="clear" w:color="auto" w:fill="auto"/>
          </w:tcPr>
          <w:p w14:paraId="7F85C7C9" w14:textId="77777777" w:rsidR="007154F8" w:rsidRPr="00C72DE0" w:rsidRDefault="007154F8" w:rsidP="007154F8">
            <w:pPr>
              <w:spacing w:after="0"/>
              <w:rPr>
                <w:sz w:val="18"/>
                <w:szCs w:val="18"/>
              </w:rPr>
            </w:pPr>
            <w:r w:rsidRPr="00C72DE0">
              <w:rPr>
                <w:sz w:val="18"/>
                <w:szCs w:val="18"/>
              </w:rPr>
              <w:t>Large securities exchange operators</w:t>
            </w:r>
          </w:p>
        </w:tc>
        <w:tc>
          <w:tcPr>
            <w:tcW w:w="1984" w:type="dxa"/>
            <w:shd w:val="clear" w:color="auto" w:fill="auto"/>
          </w:tcPr>
          <w:p w14:paraId="4A4E5744" w14:textId="7CF81BF3" w:rsidR="007154F8" w:rsidRPr="00C72DE0" w:rsidRDefault="00960A7E" w:rsidP="007154F8">
            <w:pPr>
              <w:spacing w:after="0" w:line="260" w:lineRule="atLeast"/>
              <w:jc w:val="right"/>
              <w:rPr>
                <w:rFonts w:eastAsia="Calibri"/>
                <w:sz w:val="18"/>
                <w:szCs w:val="18"/>
                <w:lang w:eastAsia="en-US"/>
              </w:rPr>
            </w:pPr>
            <w:r w:rsidRPr="00C72DE0">
              <w:rPr>
                <w:rFonts w:eastAsia="Calibri"/>
                <w:sz w:val="18"/>
                <w:szCs w:val="18"/>
                <w:lang w:eastAsia="en-US"/>
              </w:rPr>
              <w:t>Value of all transactions on exchange</w:t>
            </w:r>
          </w:p>
        </w:tc>
        <w:tc>
          <w:tcPr>
            <w:tcW w:w="2254" w:type="dxa"/>
            <w:shd w:val="clear" w:color="auto" w:fill="auto"/>
          </w:tcPr>
          <w:p w14:paraId="3A769F40"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30BDC0A3" w14:textId="77777777" w:rsidTr="00BC3C8A">
        <w:tc>
          <w:tcPr>
            <w:tcW w:w="993" w:type="dxa"/>
            <w:shd w:val="clear" w:color="auto" w:fill="auto"/>
          </w:tcPr>
          <w:p w14:paraId="5FCE6731" w14:textId="77777777" w:rsidR="007154F8" w:rsidRPr="00C72DE0" w:rsidRDefault="007154F8" w:rsidP="007154F8">
            <w:pPr>
              <w:spacing w:after="0"/>
              <w:rPr>
                <w:sz w:val="18"/>
                <w:szCs w:val="18"/>
              </w:rPr>
            </w:pPr>
            <w:r w:rsidRPr="00C72DE0">
              <w:rPr>
                <w:sz w:val="18"/>
                <w:szCs w:val="18"/>
              </w:rPr>
              <w:t>17</w:t>
            </w:r>
          </w:p>
        </w:tc>
        <w:tc>
          <w:tcPr>
            <w:tcW w:w="2268" w:type="dxa"/>
            <w:shd w:val="clear" w:color="auto" w:fill="auto"/>
          </w:tcPr>
          <w:p w14:paraId="0C59BE5C" w14:textId="77777777" w:rsidR="007154F8" w:rsidRPr="00C72DE0" w:rsidRDefault="007154F8" w:rsidP="007154F8">
            <w:pPr>
              <w:spacing w:after="0"/>
              <w:rPr>
                <w:sz w:val="18"/>
                <w:szCs w:val="18"/>
              </w:rPr>
            </w:pPr>
            <w:r w:rsidRPr="00C72DE0">
              <w:rPr>
                <w:sz w:val="18"/>
                <w:szCs w:val="18"/>
              </w:rPr>
              <w:t>Large securities exchange participants</w:t>
            </w:r>
          </w:p>
        </w:tc>
        <w:tc>
          <w:tcPr>
            <w:tcW w:w="1984" w:type="dxa"/>
            <w:shd w:val="clear" w:color="auto" w:fill="auto"/>
          </w:tcPr>
          <w:p w14:paraId="69E8970D"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2D9E660D" w14:textId="19B15260" w:rsidR="007154F8" w:rsidRPr="00C72DE0" w:rsidRDefault="00A454B2" w:rsidP="00A454B2">
            <w:pPr>
              <w:spacing w:after="0" w:line="260" w:lineRule="atLeast"/>
              <w:jc w:val="right"/>
              <w:rPr>
                <w:rFonts w:eastAsia="Calibri"/>
                <w:sz w:val="18"/>
                <w:szCs w:val="18"/>
                <w:lang w:eastAsia="en-US"/>
              </w:rPr>
            </w:pPr>
            <w:r w:rsidRPr="00C72DE0">
              <w:rPr>
                <w:rFonts w:eastAsia="Calibri"/>
                <w:sz w:val="18"/>
                <w:szCs w:val="18"/>
                <w:lang w:eastAsia="en-US"/>
              </w:rPr>
              <w:t>M</w:t>
            </w:r>
            <w:r w:rsidR="007154F8" w:rsidRPr="00C72DE0">
              <w:rPr>
                <w:rFonts w:eastAsia="Calibri"/>
                <w:sz w:val="18"/>
                <w:szCs w:val="18"/>
                <w:lang w:eastAsia="en-US"/>
              </w:rPr>
              <w:t>essages</w:t>
            </w:r>
            <w:r w:rsidRPr="00C72DE0">
              <w:rPr>
                <w:rFonts w:eastAsia="Calibri"/>
                <w:sz w:val="18"/>
                <w:szCs w:val="18"/>
                <w:lang w:eastAsia="en-US"/>
              </w:rPr>
              <w:t xml:space="preserve"> and </w:t>
            </w:r>
            <w:r w:rsidR="007154F8" w:rsidRPr="00C72DE0">
              <w:rPr>
                <w:rFonts w:eastAsia="Calibri"/>
                <w:sz w:val="18"/>
                <w:szCs w:val="18"/>
                <w:lang w:eastAsia="en-US"/>
              </w:rPr>
              <w:t>transactions</w:t>
            </w:r>
          </w:p>
        </w:tc>
      </w:tr>
      <w:tr w:rsidR="00C72DE0" w:rsidRPr="00C72DE0" w14:paraId="1B910895" w14:textId="77777777" w:rsidTr="00BC3C8A">
        <w:tc>
          <w:tcPr>
            <w:tcW w:w="993" w:type="dxa"/>
            <w:shd w:val="clear" w:color="auto" w:fill="auto"/>
          </w:tcPr>
          <w:p w14:paraId="7A9404BA" w14:textId="77777777" w:rsidR="007154F8" w:rsidRPr="00C72DE0" w:rsidRDefault="007154F8" w:rsidP="007154F8">
            <w:pPr>
              <w:spacing w:after="0"/>
              <w:rPr>
                <w:sz w:val="18"/>
                <w:szCs w:val="18"/>
              </w:rPr>
            </w:pPr>
            <w:r w:rsidRPr="00C72DE0">
              <w:rPr>
                <w:sz w:val="18"/>
                <w:szCs w:val="18"/>
              </w:rPr>
              <w:t>18</w:t>
            </w:r>
          </w:p>
        </w:tc>
        <w:tc>
          <w:tcPr>
            <w:tcW w:w="2268" w:type="dxa"/>
            <w:shd w:val="clear" w:color="auto" w:fill="auto"/>
          </w:tcPr>
          <w:p w14:paraId="1B8659C5" w14:textId="77777777" w:rsidR="007154F8" w:rsidRPr="00C72DE0" w:rsidRDefault="007154F8" w:rsidP="007154F8">
            <w:pPr>
              <w:spacing w:after="0"/>
              <w:rPr>
                <w:sz w:val="18"/>
                <w:szCs w:val="18"/>
              </w:rPr>
            </w:pPr>
            <w:r w:rsidRPr="00C72DE0">
              <w:rPr>
                <w:sz w:val="18"/>
                <w:szCs w:val="18"/>
              </w:rPr>
              <w:t xml:space="preserve">Licensees that provide only general advice to retail clients or wholesale clients  </w:t>
            </w:r>
          </w:p>
        </w:tc>
        <w:tc>
          <w:tcPr>
            <w:tcW w:w="1984" w:type="dxa"/>
            <w:shd w:val="clear" w:color="auto" w:fill="auto"/>
          </w:tcPr>
          <w:p w14:paraId="0C2E9A55" w14:textId="725931FD" w:rsidR="007154F8" w:rsidRPr="00C72DE0" w:rsidRDefault="00542140" w:rsidP="007154F8">
            <w:pPr>
              <w:spacing w:after="0" w:line="260" w:lineRule="atLeast"/>
              <w:jc w:val="right"/>
              <w:rPr>
                <w:rFonts w:eastAsia="Calibri"/>
                <w:sz w:val="18"/>
                <w:szCs w:val="18"/>
                <w:highlight w:val="yellow"/>
                <w:lang w:eastAsia="en-US"/>
              </w:rPr>
            </w:pPr>
            <w:r w:rsidRPr="00C72DE0">
              <w:rPr>
                <w:rFonts w:eastAsia="Calibri"/>
                <w:sz w:val="18"/>
                <w:szCs w:val="18"/>
                <w:lang w:eastAsia="en-US"/>
              </w:rPr>
              <w:t>“Not applicable”</w:t>
            </w:r>
          </w:p>
        </w:tc>
        <w:tc>
          <w:tcPr>
            <w:tcW w:w="2254" w:type="dxa"/>
            <w:shd w:val="clear" w:color="auto" w:fill="auto"/>
          </w:tcPr>
          <w:p w14:paraId="72E37875"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1CC2D838" w14:textId="77777777" w:rsidTr="00BC3C8A">
        <w:tc>
          <w:tcPr>
            <w:tcW w:w="993" w:type="dxa"/>
            <w:shd w:val="clear" w:color="auto" w:fill="auto"/>
          </w:tcPr>
          <w:p w14:paraId="2602FB25" w14:textId="77777777" w:rsidR="007154F8" w:rsidRPr="00C72DE0" w:rsidRDefault="007154F8" w:rsidP="007154F8">
            <w:pPr>
              <w:spacing w:after="0"/>
              <w:rPr>
                <w:sz w:val="18"/>
                <w:szCs w:val="18"/>
              </w:rPr>
            </w:pPr>
            <w:r w:rsidRPr="00C72DE0">
              <w:rPr>
                <w:sz w:val="18"/>
                <w:szCs w:val="18"/>
              </w:rPr>
              <w:t>19</w:t>
            </w:r>
          </w:p>
        </w:tc>
        <w:tc>
          <w:tcPr>
            <w:tcW w:w="2268" w:type="dxa"/>
            <w:shd w:val="clear" w:color="auto" w:fill="auto"/>
          </w:tcPr>
          <w:p w14:paraId="5B698B10" w14:textId="77777777" w:rsidR="007154F8" w:rsidRPr="00C72DE0" w:rsidRDefault="007154F8" w:rsidP="007154F8">
            <w:pPr>
              <w:spacing w:after="0"/>
              <w:rPr>
                <w:sz w:val="18"/>
                <w:szCs w:val="18"/>
              </w:rPr>
            </w:pPr>
            <w:r w:rsidRPr="00C72DE0">
              <w:rPr>
                <w:sz w:val="18"/>
                <w:szCs w:val="18"/>
              </w:rPr>
              <w:t xml:space="preserve">Licensees that provide personal advice on relevant financial products to retail clients </w:t>
            </w:r>
          </w:p>
        </w:tc>
        <w:tc>
          <w:tcPr>
            <w:tcW w:w="1984" w:type="dxa"/>
            <w:shd w:val="clear" w:color="auto" w:fill="auto"/>
          </w:tcPr>
          <w:p w14:paraId="7B08CFBB" w14:textId="20139FB5" w:rsidR="007154F8" w:rsidRPr="00C72DE0" w:rsidRDefault="00312378" w:rsidP="007154F8">
            <w:pPr>
              <w:spacing w:after="0" w:line="260" w:lineRule="atLeast"/>
              <w:jc w:val="right"/>
              <w:rPr>
                <w:rFonts w:eastAsia="Calibri"/>
                <w:sz w:val="18"/>
                <w:szCs w:val="18"/>
                <w:lang w:eastAsia="en-US"/>
              </w:rPr>
            </w:pPr>
            <w:r w:rsidRPr="00C72DE0">
              <w:rPr>
                <w:rFonts w:eastAsia="Calibri"/>
                <w:sz w:val="18"/>
                <w:szCs w:val="18"/>
                <w:lang w:eastAsia="en-US"/>
              </w:rPr>
              <w:t>Number of financial advisers</w:t>
            </w:r>
          </w:p>
        </w:tc>
        <w:tc>
          <w:tcPr>
            <w:tcW w:w="2254" w:type="dxa"/>
            <w:shd w:val="clear" w:color="auto" w:fill="auto"/>
          </w:tcPr>
          <w:p w14:paraId="1C1640DB"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10064C48" w14:textId="77777777" w:rsidTr="00BC3C8A">
        <w:tc>
          <w:tcPr>
            <w:tcW w:w="993" w:type="dxa"/>
            <w:shd w:val="clear" w:color="auto" w:fill="auto"/>
          </w:tcPr>
          <w:p w14:paraId="79ED9AD5" w14:textId="77777777" w:rsidR="007154F8" w:rsidRPr="00C72DE0" w:rsidRDefault="007154F8" w:rsidP="007154F8">
            <w:pPr>
              <w:spacing w:after="0"/>
              <w:rPr>
                <w:sz w:val="18"/>
                <w:szCs w:val="18"/>
              </w:rPr>
            </w:pPr>
            <w:r w:rsidRPr="00C72DE0">
              <w:rPr>
                <w:sz w:val="18"/>
                <w:szCs w:val="18"/>
              </w:rPr>
              <w:t>20</w:t>
            </w:r>
          </w:p>
        </w:tc>
        <w:tc>
          <w:tcPr>
            <w:tcW w:w="2268" w:type="dxa"/>
            <w:shd w:val="clear" w:color="auto" w:fill="auto"/>
          </w:tcPr>
          <w:p w14:paraId="2B59C9F4" w14:textId="77777777" w:rsidR="007154F8" w:rsidRPr="00C72DE0" w:rsidRDefault="007154F8" w:rsidP="007154F8">
            <w:pPr>
              <w:spacing w:after="0"/>
              <w:rPr>
                <w:sz w:val="18"/>
                <w:szCs w:val="18"/>
              </w:rPr>
            </w:pPr>
            <w:r w:rsidRPr="00C72DE0">
              <w:rPr>
                <w:sz w:val="18"/>
                <w:szCs w:val="18"/>
              </w:rPr>
              <w:t>Licensees that provide personal advice to only wholesale clients</w:t>
            </w:r>
          </w:p>
        </w:tc>
        <w:tc>
          <w:tcPr>
            <w:tcW w:w="1984" w:type="dxa"/>
            <w:shd w:val="clear" w:color="auto" w:fill="auto"/>
          </w:tcPr>
          <w:p w14:paraId="2EA550C3" w14:textId="3A7097A1" w:rsidR="007154F8" w:rsidRPr="00C72DE0" w:rsidRDefault="00542140" w:rsidP="007154F8">
            <w:pPr>
              <w:spacing w:after="0" w:line="260" w:lineRule="atLeast"/>
              <w:jc w:val="right"/>
              <w:rPr>
                <w:rFonts w:eastAsia="Calibri"/>
                <w:sz w:val="18"/>
                <w:szCs w:val="18"/>
                <w:highlight w:val="yellow"/>
                <w:lang w:eastAsia="en-US"/>
              </w:rPr>
            </w:pPr>
            <w:r w:rsidRPr="00C72DE0">
              <w:rPr>
                <w:rFonts w:eastAsia="Calibri"/>
                <w:sz w:val="18"/>
                <w:szCs w:val="18"/>
                <w:lang w:eastAsia="en-US"/>
              </w:rPr>
              <w:t>“Not applicable”</w:t>
            </w:r>
          </w:p>
        </w:tc>
        <w:tc>
          <w:tcPr>
            <w:tcW w:w="2254" w:type="dxa"/>
            <w:shd w:val="clear" w:color="auto" w:fill="auto"/>
          </w:tcPr>
          <w:p w14:paraId="17180862"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744E5505" w14:textId="77777777" w:rsidTr="00BC3C8A">
        <w:tc>
          <w:tcPr>
            <w:tcW w:w="993" w:type="dxa"/>
            <w:shd w:val="clear" w:color="auto" w:fill="auto"/>
          </w:tcPr>
          <w:p w14:paraId="5CA90DDE" w14:textId="77777777" w:rsidR="007154F8" w:rsidRPr="00C72DE0" w:rsidRDefault="007154F8" w:rsidP="007154F8">
            <w:pPr>
              <w:spacing w:after="0"/>
              <w:rPr>
                <w:sz w:val="18"/>
                <w:szCs w:val="18"/>
              </w:rPr>
            </w:pPr>
            <w:r w:rsidRPr="00C72DE0">
              <w:rPr>
                <w:sz w:val="18"/>
                <w:szCs w:val="18"/>
              </w:rPr>
              <w:t>21</w:t>
            </w:r>
          </w:p>
        </w:tc>
        <w:tc>
          <w:tcPr>
            <w:tcW w:w="2268" w:type="dxa"/>
            <w:shd w:val="clear" w:color="auto" w:fill="auto"/>
          </w:tcPr>
          <w:p w14:paraId="5C85E1D3" w14:textId="77777777" w:rsidR="007154F8" w:rsidRPr="00C72DE0" w:rsidRDefault="007154F8" w:rsidP="007154F8">
            <w:pPr>
              <w:spacing w:after="0"/>
              <w:rPr>
                <w:sz w:val="18"/>
                <w:szCs w:val="18"/>
              </w:rPr>
            </w:pPr>
            <w:r w:rsidRPr="00C72DE0">
              <w:rPr>
                <w:sz w:val="18"/>
                <w:szCs w:val="18"/>
              </w:rPr>
              <w:t xml:space="preserve">Licensees that provide personal advice to retail clients on only products that are not relevant financial products </w:t>
            </w:r>
          </w:p>
        </w:tc>
        <w:tc>
          <w:tcPr>
            <w:tcW w:w="1984" w:type="dxa"/>
            <w:shd w:val="clear" w:color="auto" w:fill="auto"/>
          </w:tcPr>
          <w:p w14:paraId="1735563D" w14:textId="4982FD3F" w:rsidR="007154F8" w:rsidRPr="00C72DE0" w:rsidRDefault="00091E7B" w:rsidP="007154F8">
            <w:pPr>
              <w:spacing w:after="0" w:line="260" w:lineRule="atLeast"/>
              <w:jc w:val="right"/>
              <w:rPr>
                <w:rFonts w:eastAsia="Calibri"/>
                <w:sz w:val="18"/>
                <w:szCs w:val="18"/>
                <w:lang w:eastAsia="en-US"/>
              </w:rPr>
            </w:pPr>
            <w:r w:rsidRPr="00C72DE0">
              <w:rPr>
                <w:rFonts w:eastAsia="Calibri"/>
                <w:sz w:val="18"/>
                <w:szCs w:val="18"/>
                <w:lang w:eastAsia="en-US"/>
              </w:rPr>
              <w:t>Number of days</w:t>
            </w:r>
            <w:r w:rsidR="00312378" w:rsidRPr="00C72DE0">
              <w:rPr>
                <w:rFonts w:eastAsia="Calibri"/>
                <w:sz w:val="18"/>
                <w:szCs w:val="18"/>
                <w:lang w:eastAsia="en-US"/>
              </w:rPr>
              <w:t xml:space="preserve"> the</w:t>
            </w:r>
            <w:r w:rsidRPr="00C72DE0">
              <w:rPr>
                <w:rFonts w:eastAsia="Calibri"/>
                <w:sz w:val="18"/>
                <w:szCs w:val="18"/>
                <w:lang w:eastAsia="en-US"/>
              </w:rPr>
              <w:t xml:space="preserve"> licence </w:t>
            </w:r>
            <w:r w:rsidR="00312378" w:rsidRPr="00C72DE0">
              <w:rPr>
                <w:rFonts w:eastAsia="Calibri"/>
                <w:sz w:val="18"/>
                <w:szCs w:val="18"/>
                <w:lang w:eastAsia="en-US"/>
              </w:rPr>
              <w:t xml:space="preserve">was </w:t>
            </w:r>
            <w:r w:rsidRPr="00C72DE0">
              <w:rPr>
                <w:rFonts w:eastAsia="Calibri"/>
                <w:sz w:val="18"/>
                <w:szCs w:val="18"/>
                <w:lang w:eastAsia="en-US"/>
              </w:rPr>
              <w:t>held</w:t>
            </w:r>
          </w:p>
        </w:tc>
        <w:tc>
          <w:tcPr>
            <w:tcW w:w="2254" w:type="dxa"/>
            <w:shd w:val="clear" w:color="auto" w:fill="auto"/>
          </w:tcPr>
          <w:p w14:paraId="743A1BED"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3A660AF8" w14:textId="77777777" w:rsidTr="00BC3C8A">
        <w:tc>
          <w:tcPr>
            <w:tcW w:w="993" w:type="dxa"/>
            <w:shd w:val="clear" w:color="auto" w:fill="auto"/>
          </w:tcPr>
          <w:p w14:paraId="7C209FD1" w14:textId="77777777" w:rsidR="007154F8" w:rsidRPr="00C72DE0" w:rsidRDefault="007154F8" w:rsidP="007154F8">
            <w:pPr>
              <w:spacing w:after="0"/>
              <w:rPr>
                <w:sz w:val="18"/>
                <w:szCs w:val="18"/>
              </w:rPr>
            </w:pPr>
            <w:r w:rsidRPr="00C72DE0">
              <w:rPr>
                <w:sz w:val="18"/>
                <w:szCs w:val="18"/>
              </w:rPr>
              <w:t>22</w:t>
            </w:r>
          </w:p>
        </w:tc>
        <w:tc>
          <w:tcPr>
            <w:tcW w:w="2268" w:type="dxa"/>
            <w:shd w:val="clear" w:color="auto" w:fill="auto"/>
          </w:tcPr>
          <w:p w14:paraId="0AA010A3" w14:textId="77777777" w:rsidR="007154F8" w:rsidRPr="00C72DE0" w:rsidRDefault="007154F8" w:rsidP="007154F8">
            <w:pPr>
              <w:spacing w:after="0"/>
              <w:rPr>
                <w:sz w:val="18"/>
                <w:szCs w:val="18"/>
              </w:rPr>
            </w:pPr>
            <w:r w:rsidRPr="00C72DE0">
              <w:rPr>
                <w:sz w:val="18"/>
                <w:szCs w:val="18"/>
              </w:rPr>
              <w:t>Listed corporations</w:t>
            </w:r>
          </w:p>
        </w:tc>
        <w:tc>
          <w:tcPr>
            <w:tcW w:w="1984" w:type="dxa"/>
            <w:shd w:val="clear" w:color="auto" w:fill="auto"/>
          </w:tcPr>
          <w:p w14:paraId="39AAEC7F"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6D3F8F36" w14:textId="55AA68E4" w:rsidR="007154F8" w:rsidRPr="00C72DE0" w:rsidRDefault="00E553E8" w:rsidP="007154F8">
            <w:pPr>
              <w:spacing w:after="0" w:line="260" w:lineRule="atLeast"/>
              <w:jc w:val="right"/>
              <w:rPr>
                <w:rFonts w:eastAsia="Calibri"/>
                <w:sz w:val="18"/>
                <w:szCs w:val="18"/>
                <w:lang w:eastAsia="en-US"/>
              </w:rPr>
            </w:pPr>
            <w:r w:rsidRPr="00C72DE0">
              <w:rPr>
                <w:rFonts w:eastAsia="Calibri"/>
                <w:sz w:val="18"/>
                <w:szCs w:val="18"/>
                <w:lang w:eastAsia="en-US"/>
              </w:rPr>
              <w:t>Market capitalisation</w:t>
            </w:r>
          </w:p>
        </w:tc>
      </w:tr>
      <w:tr w:rsidR="00C72DE0" w:rsidRPr="00C72DE0" w14:paraId="21EF8E9A" w14:textId="77777777" w:rsidTr="00BC3C8A">
        <w:tc>
          <w:tcPr>
            <w:tcW w:w="993" w:type="dxa"/>
            <w:shd w:val="clear" w:color="auto" w:fill="auto"/>
          </w:tcPr>
          <w:p w14:paraId="77BFABC6" w14:textId="77777777" w:rsidR="007154F8" w:rsidRPr="00C72DE0" w:rsidRDefault="007154F8" w:rsidP="007154F8">
            <w:pPr>
              <w:spacing w:after="0"/>
              <w:rPr>
                <w:sz w:val="18"/>
                <w:szCs w:val="18"/>
              </w:rPr>
            </w:pPr>
            <w:r w:rsidRPr="00C72DE0">
              <w:rPr>
                <w:sz w:val="18"/>
                <w:szCs w:val="18"/>
              </w:rPr>
              <w:t>23</w:t>
            </w:r>
          </w:p>
        </w:tc>
        <w:tc>
          <w:tcPr>
            <w:tcW w:w="2268" w:type="dxa"/>
            <w:shd w:val="clear" w:color="auto" w:fill="auto"/>
          </w:tcPr>
          <w:p w14:paraId="0F2DC969" w14:textId="77777777" w:rsidR="007154F8" w:rsidRPr="00C72DE0" w:rsidRDefault="007154F8" w:rsidP="007154F8">
            <w:pPr>
              <w:spacing w:after="0"/>
              <w:rPr>
                <w:sz w:val="18"/>
                <w:szCs w:val="18"/>
              </w:rPr>
            </w:pPr>
            <w:r w:rsidRPr="00C72DE0">
              <w:rPr>
                <w:sz w:val="18"/>
                <w:szCs w:val="18"/>
              </w:rPr>
              <w:t xml:space="preserve">Managed discretionary account providers </w:t>
            </w:r>
          </w:p>
        </w:tc>
        <w:tc>
          <w:tcPr>
            <w:tcW w:w="1984" w:type="dxa"/>
            <w:shd w:val="clear" w:color="auto" w:fill="auto"/>
          </w:tcPr>
          <w:p w14:paraId="6A948BFF" w14:textId="72744C0F" w:rsidR="007154F8" w:rsidRPr="00C72DE0" w:rsidRDefault="00694205" w:rsidP="007154F8">
            <w:pPr>
              <w:spacing w:after="0" w:line="260" w:lineRule="atLeast"/>
              <w:jc w:val="right"/>
              <w:rPr>
                <w:rFonts w:eastAsia="Calibri"/>
                <w:sz w:val="18"/>
                <w:szCs w:val="18"/>
                <w:lang w:eastAsia="en-US"/>
              </w:rPr>
            </w:pPr>
            <w:r w:rsidRPr="00C72DE0">
              <w:rPr>
                <w:rFonts w:eastAsia="Calibri"/>
                <w:sz w:val="18"/>
                <w:szCs w:val="18"/>
                <w:lang w:eastAsia="en-US"/>
              </w:rPr>
              <w:t>Number of days</w:t>
            </w:r>
            <w:r w:rsidR="00312378" w:rsidRPr="00C72DE0">
              <w:rPr>
                <w:rFonts w:eastAsia="Calibri"/>
                <w:sz w:val="18"/>
                <w:szCs w:val="18"/>
                <w:lang w:eastAsia="en-US"/>
              </w:rPr>
              <w:t xml:space="preserve"> the</w:t>
            </w:r>
            <w:r w:rsidRPr="00C72DE0">
              <w:rPr>
                <w:rFonts w:eastAsia="Calibri"/>
                <w:sz w:val="18"/>
                <w:szCs w:val="18"/>
                <w:lang w:eastAsia="en-US"/>
              </w:rPr>
              <w:t xml:space="preserve"> licence </w:t>
            </w:r>
            <w:r w:rsidR="00312378" w:rsidRPr="00C72DE0">
              <w:rPr>
                <w:rFonts w:eastAsia="Calibri"/>
                <w:sz w:val="18"/>
                <w:szCs w:val="18"/>
                <w:lang w:eastAsia="en-US"/>
              </w:rPr>
              <w:t xml:space="preserve">was </w:t>
            </w:r>
            <w:r w:rsidRPr="00C72DE0">
              <w:rPr>
                <w:rFonts w:eastAsia="Calibri"/>
                <w:sz w:val="18"/>
                <w:szCs w:val="18"/>
                <w:lang w:eastAsia="en-US"/>
              </w:rPr>
              <w:t xml:space="preserve">held </w:t>
            </w:r>
          </w:p>
        </w:tc>
        <w:tc>
          <w:tcPr>
            <w:tcW w:w="2254" w:type="dxa"/>
            <w:shd w:val="clear" w:color="auto" w:fill="auto"/>
          </w:tcPr>
          <w:p w14:paraId="5FCBA115"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17FBF980" w14:textId="77777777" w:rsidTr="00BC3C8A">
        <w:tc>
          <w:tcPr>
            <w:tcW w:w="993" w:type="dxa"/>
            <w:shd w:val="clear" w:color="auto" w:fill="auto"/>
          </w:tcPr>
          <w:p w14:paraId="7E3E79F7" w14:textId="77777777" w:rsidR="007154F8" w:rsidRPr="00C72DE0" w:rsidRDefault="007154F8" w:rsidP="007154F8">
            <w:pPr>
              <w:spacing w:after="0"/>
              <w:rPr>
                <w:sz w:val="18"/>
                <w:szCs w:val="18"/>
              </w:rPr>
            </w:pPr>
            <w:r w:rsidRPr="00C72DE0">
              <w:rPr>
                <w:sz w:val="18"/>
                <w:szCs w:val="18"/>
              </w:rPr>
              <w:t>24</w:t>
            </w:r>
          </w:p>
        </w:tc>
        <w:tc>
          <w:tcPr>
            <w:tcW w:w="2268" w:type="dxa"/>
            <w:shd w:val="clear" w:color="auto" w:fill="auto"/>
          </w:tcPr>
          <w:p w14:paraId="3DD9F8A2" w14:textId="77777777" w:rsidR="007154F8" w:rsidRPr="00C72DE0" w:rsidRDefault="007154F8" w:rsidP="007154F8">
            <w:pPr>
              <w:spacing w:after="0"/>
              <w:rPr>
                <w:sz w:val="18"/>
                <w:szCs w:val="18"/>
              </w:rPr>
            </w:pPr>
            <w:r w:rsidRPr="00C72DE0">
              <w:rPr>
                <w:sz w:val="18"/>
                <w:szCs w:val="18"/>
              </w:rPr>
              <w:t>Margin lenders</w:t>
            </w:r>
          </w:p>
        </w:tc>
        <w:tc>
          <w:tcPr>
            <w:tcW w:w="1984" w:type="dxa"/>
            <w:shd w:val="clear" w:color="auto" w:fill="auto"/>
          </w:tcPr>
          <w:p w14:paraId="6E243B16" w14:textId="2994B61E" w:rsidR="007154F8" w:rsidRPr="00C72DE0" w:rsidRDefault="00E553E8" w:rsidP="007154F8">
            <w:pPr>
              <w:spacing w:after="0" w:line="260" w:lineRule="atLeast"/>
              <w:jc w:val="right"/>
              <w:rPr>
                <w:rFonts w:eastAsia="Calibri"/>
                <w:sz w:val="18"/>
                <w:szCs w:val="18"/>
                <w:lang w:eastAsia="en-US"/>
              </w:rPr>
            </w:pPr>
            <w:r w:rsidRPr="00C72DE0">
              <w:rPr>
                <w:rFonts w:eastAsia="Calibri"/>
                <w:sz w:val="18"/>
                <w:szCs w:val="18"/>
                <w:lang w:eastAsia="en-US"/>
              </w:rPr>
              <w:t>N</w:t>
            </w:r>
            <w:r w:rsidR="00694205" w:rsidRPr="00C72DE0">
              <w:rPr>
                <w:rFonts w:eastAsia="Calibri"/>
                <w:sz w:val="18"/>
                <w:szCs w:val="18"/>
                <w:lang w:eastAsia="en-US"/>
              </w:rPr>
              <w:t>umber of days</w:t>
            </w:r>
            <w:r w:rsidR="00312378" w:rsidRPr="00C72DE0">
              <w:rPr>
                <w:rFonts w:eastAsia="Calibri"/>
                <w:sz w:val="18"/>
                <w:szCs w:val="18"/>
                <w:lang w:eastAsia="en-US"/>
              </w:rPr>
              <w:t xml:space="preserve"> the </w:t>
            </w:r>
            <w:r w:rsidRPr="00C72DE0">
              <w:rPr>
                <w:rFonts w:eastAsia="Calibri"/>
                <w:sz w:val="18"/>
                <w:szCs w:val="18"/>
                <w:lang w:eastAsia="en-US"/>
              </w:rPr>
              <w:t>licence</w:t>
            </w:r>
            <w:r w:rsidR="00694205" w:rsidRPr="00C72DE0">
              <w:rPr>
                <w:rFonts w:eastAsia="Calibri"/>
                <w:sz w:val="18"/>
                <w:szCs w:val="18"/>
                <w:lang w:eastAsia="en-US"/>
              </w:rPr>
              <w:t> </w:t>
            </w:r>
            <w:r w:rsidR="00312378" w:rsidRPr="00C72DE0">
              <w:rPr>
                <w:rFonts w:eastAsia="Calibri"/>
                <w:sz w:val="18"/>
                <w:szCs w:val="18"/>
                <w:lang w:eastAsia="en-US"/>
              </w:rPr>
              <w:t xml:space="preserve">was </w:t>
            </w:r>
            <w:r w:rsidR="00694205" w:rsidRPr="00C72DE0">
              <w:rPr>
                <w:rFonts w:eastAsia="Calibri"/>
                <w:sz w:val="18"/>
                <w:szCs w:val="18"/>
                <w:lang w:eastAsia="en-US"/>
              </w:rPr>
              <w:t xml:space="preserve">held </w:t>
            </w:r>
          </w:p>
        </w:tc>
        <w:tc>
          <w:tcPr>
            <w:tcW w:w="2254" w:type="dxa"/>
            <w:shd w:val="clear" w:color="auto" w:fill="auto"/>
          </w:tcPr>
          <w:p w14:paraId="7EFBABD5"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3B4A6DA6" w14:textId="77777777" w:rsidTr="00BC3C8A">
        <w:tc>
          <w:tcPr>
            <w:tcW w:w="993" w:type="dxa"/>
            <w:shd w:val="clear" w:color="auto" w:fill="auto"/>
          </w:tcPr>
          <w:p w14:paraId="389F655D" w14:textId="77777777" w:rsidR="007154F8" w:rsidRPr="00C72DE0" w:rsidRDefault="007154F8" w:rsidP="007154F8">
            <w:pPr>
              <w:spacing w:after="0"/>
              <w:rPr>
                <w:sz w:val="18"/>
                <w:szCs w:val="18"/>
              </w:rPr>
            </w:pPr>
            <w:r w:rsidRPr="00C72DE0">
              <w:rPr>
                <w:sz w:val="18"/>
                <w:szCs w:val="18"/>
              </w:rPr>
              <w:t>25</w:t>
            </w:r>
          </w:p>
        </w:tc>
        <w:tc>
          <w:tcPr>
            <w:tcW w:w="2268" w:type="dxa"/>
            <w:shd w:val="clear" w:color="auto" w:fill="auto"/>
          </w:tcPr>
          <w:p w14:paraId="56006DA9" w14:textId="77777777" w:rsidR="007154F8" w:rsidRPr="00C72DE0" w:rsidRDefault="007154F8" w:rsidP="007154F8">
            <w:pPr>
              <w:spacing w:after="0"/>
              <w:rPr>
                <w:sz w:val="18"/>
                <w:szCs w:val="18"/>
              </w:rPr>
            </w:pPr>
            <w:r w:rsidRPr="00C72DE0">
              <w:rPr>
                <w:sz w:val="18"/>
                <w:szCs w:val="18"/>
              </w:rPr>
              <w:t xml:space="preserve">Operators of investor directed portfolio services </w:t>
            </w:r>
          </w:p>
        </w:tc>
        <w:tc>
          <w:tcPr>
            <w:tcW w:w="1984" w:type="dxa"/>
            <w:shd w:val="clear" w:color="auto" w:fill="auto"/>
          </w:tcPr>
          <w:p w14:paraId="697BD42B"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4E87656A" w14:textId="4E41E6FC" w:rsidR="007154F8" w:rsidRPr="00C72DE0" w:rsidRDefault="00694205" w:rsidP="007154F8">
            <w:pPr>
              <w:spacing w:after="0" w:line="260" w:lineRule="atLeast"/>
              <w:jc w:val="right"/>
              <w:rPr>
                <w:rFonts w:eastAsia="Calibri"/>
                <w:sz w:val="18"/>
                <w:szCs w:val="18"/>
                <w:lang w:eastAsia="en-US"/>
              </w:rPr>
            </w:pPr>
            <w:r w:rsidRPr="00C72DE0">
              <w:rPr>
                <w:rFonts w:eastAsia="Calibri"/>
                <w:sz w:val="18"/>
                <w:szCs w:val="18"/>
                <w:lang w:eastAsia="en-US"/>
              </w:rPr>
              <w:t>Gross revenue</w:t>
            </w:r>
          </w:p>
        </w:tc>
      </w:tr>
      <w:tr w:rsidR="00C72DE0" w:rsidRPr="00C72DE0" w14:paraId="76A79819" w14:textId="77777777" w:rsidTr="00BC3C8A">
        <w:tc>
          <w:tcPr>
            <w:tcW w:w="993" w:type="dxa"/>
            <w:shd w:val="clear" w:color="auto" w:fill="auto"/>
          </w:tcPr>
          <w:p w14:paraId="315D407D" w14:textId="77777777" w:rsidR="007154F8" w:rsidRPr="00C72DE0" w:rsidRDefault="007154F8" w:rsidP="007154F8">
            <w:pPr>
              <w:spacing w:after="0"/>
              <w:rPr>
                <w:sz w:val="18"/>
                <w:szCs w:val="18"/>
              </w:rPr>
            </w:pPr>
            <w:r w:rsidRPr="00C72DE0">
              <w:rPr>
                <w:sz w:val="18"/>
                <w:szCs w:val="18"/>
              </w:rPr>
              <w:lastRenderedPageBreak/>
              <w:t>26</w:t>
            </w:r>
          </w:p>
        </w:tc>
        <w:tc>
          <w:tcPr>
            <w:tcW w:w="2268" w:type="dxa"/>
            <w:shd w:val="clear" w:color="auto" w:fill="auto"/>
          </w:tcPr>
          <w:p w14:paraId="617FC450" w14:textId="77777777" w:rsidR="007154F8" w:rsidRPr="00C72DE0" w:rsidRDefault="007154F8" w:rsidP="007154F8">
            <w:pPr>
              <w:spacing w:after="0"/>
              <w:rPr>
                <w:sz w:val="18"/>
                <w:szCs w:val="18"/>
              </w:rPr>
            </w:pPr>
            <w:r w:rsidRPr="00C72DE0">
              <w:rPr>
                <w:sz w:val="18"/>
                <w:szCs w:val="18"/>
              </w:rPr>
              <w:t>Overseas market operators</w:t>
            </w:r>
          </w:p>
        </w:tc>
        <w:tc>
          <w:tcPr>
            <w:tcW w:w="1984" w:type="dxa"/>
            <w:shd w:val="clear" w:color="auto" w:fill="auto"/>
          </w:tcPr>
          <w:p w14:paraId="7D9B2725" w14:textId="4B13B832" w:rsidR="007154F8" w:rsidRPr="00C72DE0" w:rsidRDefault="00312378"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market was operated</w:t>
            </w:r>
          </w:p>
        </w:tc>
        <w:tc>
          <w:tcPr>
            <w:tcW w:w="2254" w:type="dxa"/>
            <w:shd w:val="clear" w:color="auto" w:fill="auto"/>
          </w:tcPr>
          <w:p w14:paraId="4439C0D6"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4B99E6AD" w14:textId="77777777" w:rsidTr="00BC3C8A">
        <w:tc>
          <w:tcPr>
            <w:tcW w:w="993" w:type="dxa"/>
            <w:shd w:val="clear" w:color="auto" w:fill="auto"/>
          </w:tcPr>
          <w:p w14:paraId="1682E66E" w14:textId="77777777" w:rsidR="007154F8" w:rsidRPr="00C72DE0" w:rsidRDefault="007154F8" w:rsidP="007154F8">
            <w:pPr>
              <w:spacing w:after="0"/>
              <w:rPr>
                <w:sz w:val="18"/>
                <w:szCs w:val="18"/>
              </w:rPr>
            </w:pPr>
            <w:r w:rsidRPr="00C72DE0">
              <w:rPr>
                <w:sz w:val="18"/>
                <w:szCs w:val="18"/>
              </w:rPr>
              <w:t>27</w:t>
            </w:r>
          </w:p>
        </w:tc>
        <w:tc>
          <w:tcPr>
            <w:tcW w:w="2268" w:type="dxa"/>
            <w:shd w:val="clear" w:color="auto" w:fill="auto"/>
          </w:tcPr>
          <w:p w14:paraId="36CEBA71" w14:textId="77777777" w:rsidR="007154F8" w:rsidRPr="00C72DE0" w:rsidRDefault="007154F8" w:rsidP="007154F8">
            <w:pPr>
              <w:spacing w:after="0"/>
              <w:rPr>
                <w:sz w:val="18"/>
                <w:szCs w:val="18"/>
              </w:rPr>
            </w:pPr>
            <w:r w:rsidRPr="00C72DE0">
              <w:rPr>
                <w:sz w:val="18"/>
                <w:szCs w:val="18"/>
              </w:rPr>
              <w:t>Over-the-counter traders</w:t>
            </w:r>
          </w:p>
        </w:tc>
        <w:tc>
          <w:tcPr>
            <w:tcW w:w="1984" w:type="dxa"/>
            <w:shd w:val="clear" w:color="auto" w:fill="auto"/>
          </w:tcPr>
          <w:p w14:paraId="33D34889"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4B926E2F" w14:textId="6AE9DCA0" w:rsidR="007154F8" w:rsidRPr="00C72DE0" w:rsidRDefault="00A454B2" w:rsidP="007154F8">
            <w:pPr>
              <w:spacing w:after="0" w:line="260" w:lineRule="atLeast"/>
              <w:jc w:val="right"/>
              <w:rPr>
                <w:rFonts w:eastAsia="Calibri"/>
                <w:sz w:val="18"/>
                <w:szCs w:val="18"/>
                <w:lang w:eastAsia="en-US"/>
              </w:rPr>
            </w:pPr>
            <w:r w:rsidRPr="00C72DE0">
              <w:rPr>
                <w:rFonts w:eastAsia="Calibri"/>
                <w:sz w:val="18"/>
                <w:szCs w:val="18"/>
                <w:lang w:eastAsia="en-US"/>
              </w:rPr>
              <w:t>Number of persons acting on behalf of the entity</w:t>
            </w:r>
          </w:p>
        </w:tc>
      </w:tr>
      <w:tr w:rsidR="00C72DE0" w:rsidRPr="00C72DE0" w14:paraId="73527FF2" w14:textId="77777777" w:rsidTr="00BC3C8A">
        <w:tc>
          <w:tcPr>
            <w:tcW w:w="993" w:type="dxa"/>
            <w:shd w:val="clear" w:color="auto" w:fill="auto"/>
          </w:tcPr>
          <w:p w14:paraId="6A336060" w14:textId="77777777" w:rsidR="007154F8" w:rsidRPr="00C72DE0" w:rsidRDefault="007154F8" w:rsidP="007154F8">
            <w:pPr>
              <w:spacing w:after="0"/>
              <w:rPr>
                <w:sz w:val="18"/>
                <w:szCs w:val="18"/>
              </w:rPr>
            </w:pPr>
            <w:r w:rsidRPr="00C72DE0">
              <w:rPr>
                <w:sz w:val="18"/>
                <w:szCs w:val="18"/>
              </w:rPr>
              <w:t>28</w:t>
            </w:r>
          </w:p>
        </w:tc>
        <w:tc>
          <w:tcPr>
            <w:tcW w:w="2268" w:type="dxa"/>
            <w:shd w:val="clear" w:color="auto" w:fill="auto"/>
          </w:tcPr>
          <w:p w14:paraId="5005216F" w14:textId="77777777" w:rsidR="007154F8" w:rsidRPr="00C72DE0" w:rsidRDefault="007154F8" w:rsidP="007154F8">
            <w:pPr>
              <w:spacing w:after="0"/>
              <w:rPr>
                <w:sz w:val="18"/>
                <w:szCs w:val="18"/>
              </w:rPr>
            </w:pPr>
            <w:r w:rsidRPr="00C72DE0">
              <w:rPr>
                <w:sz w:val="18"/>
                <w:szCs w:val="18"/>
              </w:rPr>
              <w:t>Payment product providers</w:t>
            </w:r>
          </w:p>
        </w:tc>
        <w:tc>
          <w:tcPr>
            <w:tcW w:w="1984" w:type="dxa"/>
            <w:shd w:val="clear" w:color="auto" w:fill="auto"/>
          </w:tcPr>
          <w:p w14:paraId="6FE08201" w14:textId="72892935" w:rsidR="007154F8" w:rsidRPr="00C72DE0" w:rsidRDefault="00694205" w:rsidP="007154F8">
            <w:pPr>
              <w:spacing w:after="0" w:line="260" w:lineRule="atLeast"/>
              <w:jc w:val="right"/>
              <w:rPr>
                <w:rFonts w:eastAsia="Calibri"/>
                <w:sz w:val="18"/>
                <w:szCs w:val="18"/>
                <w:lang w:eastAsia="en-US"/>
              </w:rPr>
            </w:pPr>
            <w:r w:rsidRPr="00C72DE0">
              <w:rPr>
                <w:rFonts w:eastAsia="Calibri"/>
                <w:sz w:val="18"/>
                <w:szCs w:val="18"/>
                <w:lang w:eastAsia="en-US"/>
              </w:rPr>
              <w:t xml:space="preserve">Number of days </w:t>
            </w:r>
            <w:r w:rsidR="00312378" w:rsidRPr="00C72DE0">
              <w:rPr>
                <w:rFonts w:eastAsia="Calibri"/>
                <w:sz w:val="18"/>
                <w:szCs w:val="18"/>
                <w:lang w:eastAsia="en-US"/>
              </w:rPr>
              <w:t xml:space="preserve">the </w:t>
            </w:r>
            <w:r w:rsidRPr="00C72DE0">
              <w:rPr>
                <w:rFonts w:eastAsia="Calibri"/>
                <w:sz w:val="18"/>
                <w:szCs w:val="18"/>
                <w:lang w:eastAsia="en-US"/>
              </w:rPr>
              <w:t>licence </w:t>
            </w:r>
            <w:r w:rsidR="00312378" w:rsidRPr="00C72DE0">
              <w:rPr>
                <w:rFonts w:eastAsia="Calibri"/>
                <w:sz w:val="18"/>
                <w:szCs w:val="18"/>
                <w:lang w:eastAsia="en-US"/>
              </w:rPr>
              <w:t xml:space="preserve">was </w:t>
            </w:r>
            <w:r w:rsidRPr="00C72DE0">
              <w:rPr>
                <w:rFonts w:eastAsia="Calibri"/>
                <w:sz w:val="18"/>
                <w:szCs w:val="18"/>
                <w:lang w:eastAsia="en-US"/>
              </w:rPr>
              <w:t>held</w:t>
            </w:r>
          </w:p>
        </w:tc>
        <w:tc>
          <w:tcPr>
            <w:tcW w:w="2254" w:type="dxa"/>
            <w:shd w:val="clear" w:color="auto" w:fill="auto"/>
          </w:tcPr>
          <w:p w14:paraId="12E842AC"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3B9628ED" w14:textId="77777777" w:rsidTr="00BC3C8A">
        <w:tc>
          <w:tcPr>
            <w:tcW w:w="993" w:type="dxa"/>
            <w:shd w:val="clear" w:color="auto" w:fill="auto"/>
          </w:tcPr>
          <w:p w14:paraId="3F036159" w14:textId="77777777" w:rsidR="007154F8" w:rsidRPr="00C72DE0" w:rsidRDefault="007154F8" w:rsidP="007154F8">
            <w:pPr>
              <w:spacing w:after="0"/>
              <w:rPr>
                <w:sz w:val="18"/>
                <w:szCs w:val="18"/>
              </w:rPr>
            </w:pPr>
            <w:r w:rsidRPr="00C72DE0">
              <w:rPr>
                <w:sz w:val="18"/>
                <w:szCs w:val="18"/>
              </w:rPr>
              <w:t>29</w:t>
            </w:r>
          </w:p>
        </w:tc>
        <w:tc>
          <w:tcPr>
            <w:tcW w:w="2268" w:type="dxa"/>
            <w:shd w:val="clear" w:color="auto" w:fill="auto"/>
          </w:tcPr>
          <w:p w14:paraId="7FBA65AD" w14:textId="77777777" w:rsidR="007154F8" w:rsidRPr="00C72DE0" w:rsidRDefault="007154F8" w:rsidP="007154F8">
            <w:pPr>
              <w:spacing w:after="0"/>
              <w:rPr>
                <w:sz w:val="18"/>
                <w:szCs w:val="18"/>
              </w:rPr>
            </w:pPr>
            <w:r w:rsidRPr="00C72DE0">
              <w:rPr>
                <w:sz w:val="18"/>
                <w:szCs w:val="18"/>
              </w:rPr>
              <w:t>Public companies (unlisted)</w:t>
            </w:r>
          </w:p>
        </w:tc>
        <w:tc>
          <w:tcPr>
            <w:tcW w:w="1984" w:type="dxa"/>
            <w:shd w:val="clear" w:color="auto" w:fill="auto"/>
          </w:tcPr>
          <w:p w14:paraId="2CDB8F97" w14:textId="6E98DE8D" w:rsidR="007154F8" w:rsidRPr="00C72DE0" w:rsidRDefault="00542140" w:rsidP="007154F8">
            <w:pPr>
              <w:spacing w:after="0" w:line="260" w:lineRule="atLeast"/>
              <w:jc w:val="right"/>
              <w:rPr>
                <w:rFonts w:eastAsia="Calibri"/>
                <w:sz w:val="18"/>
                <w:szCs w:val="18"/>
                <w:highlight w:val="yellow"/>
                <w:lang w:eastAsia="en-US"/>
              </w:rPr>
            </w:pPr>
            <w:r w:rsidRPr="00C72DE0">
              <w:rPr>
                <w:rFonts w:eastAsia="Calibri"/>
                <w:sz w:val="18"/>
                <w:szCs w:val="18"/>
                <w:lang w:eastAsia="en-US"/>
              </w:rPr>
              <w:t>“Not applicable”</w:t>
            </w:r>
          </w:p>
        </w:tc>
        <w:tc>
          <w:tcPr>
            <w:tcW w:w="2254" w:type="dxa"/>
            <w:shd w:val="clear" w:color="auto" w:fill="auto"/>
          </w:tcPr>
          <w:p w14:paraId="7E206380"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55D3F85C" w14:textId="77777777" w:rsidTr="00BC3C8A">
        <w:tc>
          <w:tcPr>
            <w:tcW w:w="993" w:type="dxa"/>
            <w:shd w:val="clear" w:color="auto" w:fill="auto"/>
          </w:tcPr>
          <w:p w14:paraId="0AACD6A8" w14:textId="77777777" w:rsidR="007154F8" w:rsidRPr="00C72DE0" w:rsidRDefault="007154F8" w:rsidP="007154F8">
            <w:pPr>
              <w:spacing w:after="0"/>
              <w:rPr>
                <w:sz w:val="18"/>
                <w:szCs w:val="18"/>
              </w:rPr>
            </w:pPr>
            <w:r w:rsidRPr="00C72DE0">
              <w:rPr>
                <w:sz w:val="18"/>
                <w:szCs w:val="18"/>
              </w:rPr>
              <w:t>30</w:t>
            </w:r>
          </w:p>
        </w:tc>
        <w:tc>
          <w:tcPr>
            <w:tcW w:w="2268" w:type="dxa"/>
            <w:shd w:val="clear" w:color="auto" w:fill="auto"/>
          </w:tcPr>
          <w:p w14:paraId="23B3943E" w14:textId="77777777" w:rsidR="007154F8" w:rsidRPr="00C72DE0" w:rsidRDefault="007154F8" w:rsidP="007154F8">
            <w:pPr>
              <w:spacing w:after="0"/>
              <w:rPr>
                <w:sz w:val="18"/>
                <w:szCs w:val="18"/>
              </w:rPr>
            </w:pPr>
            <w:r w:rsidRPr="00C72DE0">
              <w:rPr>
                <w:sz w:val="18"/>
                <w:szCs w:val="18"/>
              </w:rPr>
              <w:t>Registered company auditors</w:t>
            </w:r>
          </w:p>
        </w:tc>
        <w:tc>
          <w:tcPr>
            <w:tcW w:w="1984" w:type="dxa"/>
            <w:shd w:val="clear" w:color="auto" w:fill="auto"/>
          </w:tcPr>
          <w:p w14:paraId="3B4AE49E" w14:textId="5FF52B03" w:rsidR="007154F8" w:rsidRPr="00C72DE0" w:rsidRDefault="00542140" w:rsidP="007154F8">
            <w:pPr>
              <w:spacing w:after="0" w:line="260" w:lineRule="atLeast"/>
              <w:jc w:val="right"/>
              <w:rPr>
                <w:rFonts w:eastAsia="Calibri"/>
                <w:sz w:val="18"/>
                <w:szCs w:val="18"/>
                <w:highlight w:val="yellow"/>
                <w:lang w:eastAsia="en-US"/>
              </w:rPr>
            </w:pPr>
            <w:r w:rsidRPr="00C72DE0">
              <w:rPr>
                <w:rFonts w:eastAsia="Calibri"/>
                <w:sz w:val="18"/>
                <w:szCs w:val="18"/>
                <w:lang w:eastAsia="en-US"/>
              </w:rPr>
              <w:t>“Not applicable”</w:t>
            </w:r>
          </w:p>
        </w:tc>
        <w:tc>
          <w:tcPr>
            <w:tcW w:w="2254" w:type="dxa"/>
            <w:shd w:val="clear" w:color="auto" w:fill="auto"/>
          </w:tcPr>
          <w:p w14:paraId="43314FEC"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3F3A29E1" w14:textId="77777777" w:rsidTr="00BC3C8A">
        <w:tc>
          <w:tcPr>
            <w:tcW w:w="993" w:type="dxa"/>
            <w:shd w:val="clear" w:color="auto" w:fill="auto"/>
          </w:tcPr>
          <w:p w14:paraId="3FEBC347" w14:textId="77777777" w:rsidR="007154F8" w:rsidRPr="00C72DE0" w:rsidRDefault="007154F8" w:rsidP="007154F8">
            <w:pPr>
              <w:spacing w:after="0"/>
              <w:rPr>
                <w:sz w:val="18"/>
                <w:szCs w:val="18"/>
              </w:rPr>
            </w:pPr>
            <w:r w:rsidRPr="00C72DE0">
              <w:rPr>
                <w:sz w:val="18"/>
                <w:szCs w:val="18"/>
              </w:rPr>
              <w:t>31</w:t>
            </w:r>
          </w:p>
        </w:tc>
        <w:tc>
          <w:tcPr>
            <w:tcW w:w="2268" w:type="dxa"/>
            <w:shd w:val="clear" w:color="auto" w:fill="auto"/>
          </w:tcPr>
          <w:p w14:paraId="52AF5D2C" w14:textId="77777777" w:rsidR="007154F8" w:rsidRPr="00C72DE0" w:rsidRDefault="007154F8" w:rsidP="007154F8">
            <w:pPr>
              <w:spacing w:after="0"/>
              <w:rPr>
                <w:sz w:val="18"/>
                <w:szCs w:val="18"/>
              </w:rPr>
            </w:pPr>
            <w:r w:rsidRPr="00C72DE0">
              <w:rPr>
                <w:sz w:val="18"/>
                <w:szCs w:val="18"/>
              </w:rPr>
              <w:t xml:space="preserve">Registered liquidators </w:t>
            </w:r>
          </w:p>
        </w:tc>
        <w:tc>
          <w:tcPr>
            <w:tcW w:w="1984" w:type="dxa"/>
            <w:shd w:val="clear" w:color="auto" w:fill="auto"/>
          </w:tcPr>
          <w:p w14:paraId="2C964DC8"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1D32C19B" w14:textId="0B2143E3" w:rsidR="007154F8" w:rsidRPr="00C72DE0" w:rsidRDefault="00E553E8" w:rsidP="007154F8">
            <w:pPr>
              <w:spacing w:after="0" w:line="260" w:lineRule="atLeast"/>
              <w:jc w:val="right"/>
              <w:rPr>
                <w:rFonts w:eastAsia="Calibri"/>
                <w:sz w:val="18"/>
                <w:szCs w:val="18"/>
                <w:lang w:eastAsia="en-US"/>
              </w:rPr>
            </w:pPr>
            <w:r w:rsidRPr="00C72DE0">
              <w:rPr>
                <w:rFonts w:eastAsia="Calibri"/>
                <w:sz w:val="18"/>
                <w:szCs w:val="18"/>
                <w:lang w:eastAsia="en-US"/>
              </w:rPr>
              <w:t>Appointments, notices and lodged documents</w:t>
            </w:r>
          </w:p>
        </w:tc>
      </w:tr>
      <w:tr w:rsidR="00C72DE0" w:rsidRPr="00C72DE0" w14:paraId="41680343" w14:textId="77777777" w:rsidTr="00BC3C8A">
        <w:tc>
          <w:tcPr>
            <w:tcW w:w="993" w:type="dxa"/>
            <w:shd w:val="clear" w:color="auto" w:fill="auto"/>
          </w:tcPr>
          <w:p w14:paraId="35657D06" w14:textId="77777777" w:rsidR="007154F8" w:rsidRPr="00C72DE0" w:rsidRDefault="007154F8" w:rsidP="007154F8">
            <w:pPr>
              <w:spacing w:after="0"/>
              <w:rPr>
                <w:sz w:val="18"/>
                <w:szCs w:val="18"/>
              </w:rPr>
            </w:pPr>
            <w:r w:rsidRPr="00C72DE0">
              <w:rPr>
                <w:sz w:val="18"/>
                <w:szCs w:val="18"/>
              </w:rPr>
              <w:t>32</w:t>
            </w:r>
          </w:p>
        </w:tc>
        <w:tc>
          <w:tcPr>
            <w:tcW w:w="2268" w:type="dxa"/>
            <w:shd w:val="clear" w:color="auto" w:fill="auto"/>
          </w:tcPr>
          <w:p w14:paraId="117A1252" w14:textId="77777777" w:rsidR="007154F8" w:rsidRPr="00C72DE0" w:rsidRDefault="007154F8" w:rsidP="007154F8">
            <w:pPr>
              <w:spacing w:after="0"/>
              <w:rPr>
                <w:sz w:val="18"/>
                <w:szCs w:val="18"/>
              </w:rPr>
            </w:pPr>
            <w:r w:rsidRPr="00C72DE0">
              <w:rPr>
                <w:sz w:val="18"/>
                <w:szCs w:val="18"/>
              </w:rPr>
              <w:t xml:space="preserve">Responsible entities </w:t>
            </w:r>
          </w:p>
        </w:tc>
        <w:tc>
          <w:tcPr>
            <w:tcW w:w="1984" w:type="dxa"/>
            <w:shd w:val="clear" w:color="auto" w:fill="auto"/>
          </w:tcPr>
          <w:p w14:paraId="131D7DAD"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6D6B1DED" w14:textId="3362A04B" w:rsidR="007154F8" w:rsidRPr="00C72DE0" w:rsidRDefault="00694205" w:rsidP="007154F8">
            <w:pPr>
              <w:spacing w:after="0" w:line="260" w:lineRule="atLeast"/>
              <w:jc w:val="right"/>
              <w:rPr>
                <w:rFonts w:eastAsia="Calibri"/>
                <w:sz w:val="18"/>
                <w:szCs w:val="18"/>
                <w:lang w:eastAsia="en-US"/>
              </w:rPr>
            </w:pPr>
            <w:r w:rsidRPr="00C72DE0">
              <w:rPr>
                <w:rFonts w:eastAsia="Calibri"/>
                <w:sz w:val="18"/>
                <w:szCs w:val="18"/>
                <w:lang w:eastAsia="en-US"/>
              </w:rPr>
              <w:t>Value of assets in all registered schemes</w:t>
            </w:r>
          </w:p>
        </w:tc>
      </w:tr>
      <w:tr w:rsidR="00C72DE0" w:rsidRPr="00C72DE0" w14:paraId="0CE4A333" w14:textId="77777777" w:rsidTr="00BC3C8A">
        <w:tc>
          <w:tcPr>
            <w:tcW w:w="993" w:type="dxa"/>
            <w:shd w:val="clear" w:color="auto" w:fill="auto"/>
          </w:tcPr>
          <w:p w14:paraId="4E51E60C" w14:textId="77777777" w:rsidR="007154F8" w:rsidRPr="00C72DE0" w:rsidRDefault="007154F8" w:rsidP="007154F8">
            <w:pPr>
              <w:spacing w:after="0"/>
              <w:rPr>
                <w:sz w:val="18"/>
                <w:szCs w:val="18"/>
              </w:rPr>
            </w:pPr>
            <w:r w:rsidRPr="00C72DE0">
              <w:rPr>
                <w:sz w:val="18"/>
                <w:szCs w:val="18"/>
              </w:rPr>
              <w:t>33</w:t>
            </w:r>
          </w:p>
        </w:tc>
        <w:tc>
          <w:tcPr>
            <w:tcW w:w="2268" w:type="dxa"/>
            <w:shd w:val="clear" w:color="auto" w:fill="auto"/>
          </w:tcPr>
          <w:p w14:paraId="36F349DB" w14:textId="77777777" w:rsidR="007154F8" w:rsidRPr="00C72DE0" w:rsidRDefault="007154F8" w:rsidP="007154F8">
            <w:pPr>
              <w:spacing w:after="0"/>
              <w:rPr>
                <w:sz w:val="18"/>
                <w:szCs w:val="18"/>
              </w:rPr>
            </w:pPr>
            <w:r w:rsidRPr="00C72DE0">
              <w:rPr>
                <w:sz w:val="18"/>
                <w:szCs w:val="18"/>
              </w:rPr>
              <w:t xml:space="preserve">Retail over-the-counter derivatives issuers </w:t>
            </w:r>
          </w:p>
        </w:tc>
        <w:tc>
          <w:tcPr>
            <w:tcW w:w="1984" w:type="dxa"/>
            <w:shd w:val="clear" w:color="auto" w:fill="auto"/>
          </w:tcPr>
          <w:p w14:paraId="2E6514D3" w14:textId="426EBD30" w:rsidR="007154F8" w:rsidRPr="00C72DE0" w:rsidRDefault="00A454B2"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licence was held</w:t>
            </w:r>
          </w:p>
        </w:tc>
        <w:tc>
          <w:tcPr>
            <w:tcW w:w="2254" w:type="dxa"/>
            <w:shd w:val="clear" w:color="auto" w:fill="auto"/>
          </w:tcPr>
          <w:p w14:paraId="76DCBA51"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0B47C350" w14:textId="77777777" w:rsidTr="00BC3C8A">
        <w:tc>
          <w:tcPr>
            <w:tcW w:w="993" w:type="dxa"/>
            <w:shd w:val="clear" w:color="auto" w:fill="auto"/>
          </w:tcPr>
          <w:p w14:paraId="3A55930D" w14:textId="77777777" w:rsidR="007154F8" w:rsidRPr="00C72DE0" w:rsidRDefault="007154F8" w:rsidP="007154F8">
            <w:pPr>
              <w:spacing w:after="0"/>
              <w:rPr>
                <w:sz w:val="18"/>
                <w:szCs w:val="18"/>
              </w:rPr>
            </w:pPr>
            <w:r w:rsidRPr="00C72DE0">
              <w:rPr>
                <w:sz w:val="18"/>
                <w:szCs w:val="18"/>
              </w:rPr>
              <w:t>34</w:t>
            </w:r>
          </w:p>
        </w:tc>
        <w:tc>
          <w:tcPr>
            <w:tcW w:w="2268" w:type="dxa"/>
            <w:shd w:val="clear" w:color="auto" w:fill="auto"/>
          </w:tcPr>
          <w:p w14:paraId="7FF7240C" w14:textId="77777777" w:rsidR="007154F8" w:rsidRPr="00C72DE0" w:rsidRDefault="007154F8" w:rsidP="007154F8">
            <w:pPr>
              <w:spacing w:after="0"/>
              <w:rPr>
                <w:sz w:val="18"/>
                <w:szCs w:val="18"/>
              </w:rPr>
            </w:pPr>
            <w:r w:rsidRPr="00C72DE0">
              <w:rPr>
                <w:sz w:val="18"/>
                <w:szCs w:val="18"/>
              </w:rPr>
              <w:t>Risk management product providers</w:t>
            </w:r>
          </w:p>
        </w:tc>
        <w:tc>
          <w:tcPr>
            <w:tcW w:w="1984" w:type="dxa"/>
            <w:shd w:val="clear" w:color="auto" w:fill="auto"/>
          </w:tcPr>
          <w:p w14:paraId="472EE7C1" w14:textId="374945DF" w:rsidR="007154F8" w:rsidRPr="00C72DE0" w:rsidRDefault="00A454B2"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licence was held</w:t>
            </w:r>
          </w:p>
        </w:tc>
        <w:tc>
          <w:tcPr>
            <w:tcW w:w="2254" w:type="dxa"/>
            <w:shd w:val="clear" w:color="auto" w:fill="auto"/>
          </w:tcPr>
          <w:p w14:paraId="6D7DB9A4"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2E4F30AD" w14:textId="77777777" w:rsidTr="00BC3C8A">
        <w:tc>
          <w:tcPr>
            <w:tcW w:w="993" w:type="dxa"/>
            <w:shd w:val="clear" w:color="auto" w:fill="auto"/>
          </w:tcPr>
          <w:p w14:paraId="5B1C9BEB" w14:textId="77777777" w:rsidR="007154F8" w:rsidRPr="00C72DE0" w:rsidRDefault="007154F8" w:rsidP="007154F8">
            <w:pPr>
              <w:spacing w:after="0"/>
              <w:rPr>
                <w:sz w:val="18"/>
                <w:szCs w:val="18"/>
              </w:rPr>
            </w:pPr>
            <w:r w:rsidRPr="00C72DE0">
              <w:rPr>
                <w:sz w:val="18"/>
                <w:szCs w:val="18"/>
              </w:rPr>
              <w:t>35</w:t>
            </w:r>
          </w:p>
        </w:tc>
        <w:tc>
          <w:tcPr>
            <w:tcW w:w="2268" w:type="dxa"/>
            <w:shd w:val="clear" w:color="auto" w:fill="auto"/>
          </w:tcPr>
          <w:p w14:paraId="739667A0" w14:textId="77777777" w:rsidR="007154F8" w:rsidRPr="00C72DE0" w:rsidRDefault="007154F8" w:rsidP="007154F8">
            <w:pPr>
              <w:spacing w:after="0"/>
              <w:rPr>
                <w:sz w:val="18"/>
                <w:szCs w:val="18"/>
              </w:rPr>
            </w:pPr>
            <w:r w:rsidRPr="00C72DE0">
              <w:rPr>
                <w:sz w:val="18"/>
                <w:szCs w:val="18"/>
              </w:rPr>
              <w:t>Securities dealers</w:t>
            </w:r>
          </w:p>
        </w:tc>
        <w:tc>
          <w:tcPr>
            <w:tcW w:w="1984" w:type="dxa"/>
            <w:shd w:val="clear" w:color="auto" w:fill="auto"/>
          </w:tcPr>
          <w:p w14:paraId="6C125C7C"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1772E887" w14:textId="73077689" w:rsidR="007154F8" w:rsidRPr="00C72DE0" w:rsidRDefault="00A454B2" w:rsidP="007154F8">
            <w:pPr>
              <w:spacing w:after="0" w:line="260" w:lineRule="atLeast"/>
              <w:jc w:val="right"/>
              <w:rPr>
                <w:rFonts w:eastAsia="Calibri"/>
                <w:sz w:val="18"/>
                <w:szCs w:val="18"/>
                <w:lang w:eastAsia="en-US"/>
              </w:rPr>
            </w:pPr>
            <w:r w:rsidRPr="00C72DE0">
              <w:rPr>
                <w:rFonts w:eastAsia="Calibri"/>
                <w:sz w:val="18"/>
                <w:szCs w:val="18"/>
                <w:lang w:eastAsia="en-US"/>
              </w:rPr>
              <w:t>Value of transactions in securities</w:t>
            </w:r>
          </w:p>
        </w:tc>
      </w:tr>
      <w:tr w:rsidR="00C72DE0" w:rsidRPr="00C72DE0" w14:paraId="2CF8B76F" w14:textId="77777777" w:rsidTr="00BC3C8A">
        <w:tc>
          <w:tcPr>
            <w:tcW w:w="993" w:type="dxa"/>
            <w:shd w:val="clear" w:color="auto" w:fill="auto"/>
          </w:tcPr>
          <w:p w14:paraId="2F0B2814" w14:textId="77777777" w:rsidR="007154F8" w:rsidRPr="00C72DE0" w:rsidRDefault="007154F8" w:rsidP="007154F8">
            <w:pPr>
              <w:spacing w:after="0"/>
              <w:rPr>
                <w:sz w:val="18"/>
                <w:szCs w:val="18"/>
              </w:rPr>
            </w:pPr>
            <w:r w:rsidRPr="00C72DE0">
              <w:rPr>
                <w:sz w:val="18"/>
                <w:szCs w:val="18"/>
              </w:rPr>
              <w:t>36</w:t>
            </w:r>
          </w:p>
        </w:tc>
        <w:tc>
          <w:tcPr>
            <w:tcW w:w="2268" w:type="dxa"/>
            <w:shd w:val="clear" w:color="auto" w:fill="auto"/>
          </w:tcPr>
          <w:p w14:paraId="5A0D48D4" w14:textId="77777777" w:rsidR="007154F8" w:rsidRPr="00C72DE0" w:rsidRDefault="007154F8" w:rsidP="007154F8">
            <w:pPr>
              <w:spacing w:after="0"/>
              <w:rPr>
                <w:sz w:val="18"/>
                <w:szCs w:val="18"/>
              </w:rPr>
            </w:pPr>
            <w:r w:rsidRPr="00C72DE0">
              <w:rPr>
                <w:sz w:val="18"/>
                <w:szCs w:val="18"/>
              </w:rPr>
              <w:t>Small amount credit providers</w:t>
            </w:r>
          </w:p>
        </w:tc>
        <w:tc>
          <w:tcPr>
            <w:tcW w:w="1984" w:type="dxa"/>
            <w:shd w:val="clear" w:color="auto" w:fill="auto"/>
          </w:tcPr>
          <w:p w14:paraId="4AAFC462" w14:textId="4A427553" w:rsidR="007154F8" w:rsidRPr="00C72DE0" w:rsidRDefault="00E553E8" w:rsidP="007154F8">
            <w:pPr>
              <w:spacing w:after="0" w:line="260" w:lineRule="atLeast"/>
              <w:jc w:val="right"/>
              <w:rPr>
                <w:rFonts w:eastAsia="Calibri"/>
                <w:sz w:val="18"/>
                <w:szCs w:val="18"/>
                <w:lang w:eastAsia="en-US"/>
              </w:rPr>
            </w:pPr>
            <w:r w:rsidRPr="00C72DE0">
              <w:rPr>
                <w:rFonts w:eastAsia="Calibri"/>
                <w:sz w:val="18"/>
                <w:szCs w:val="18"/>
                <w:lang w:eastAsia="en-US"/>
              </w:rPr>
              <w:t xml:space="preserve">Gross amount of credit provided  </w:t>
            </w:r>
          </w:p>
        </w:tc>
        <w:tc>
          <w:tcPr>
            <w:tcW w:w="2254" w:type="dxa"/>
            <w:shd w:val="clear" w:color="auto" w:fill="auto"/>
          </w:tcPr>
          <w:p w14:paraId="540DB57F"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0C33C7E9" w14:textId="77777777" w:rsidTr="00BC3C8A">
        <w:tc>
          <w:tcPr>
            <w:tcW w:w="993" w:type="dxa"/>
            <w:shd w:val="clear" w:color="auto" w:fill="auto"/>
          </w:tcPr>
          <w:p w14:paraId="5CA1DF2F" w14:textId="77777777" w:rsidR="007154F8" w:rsidRPr="00C72DE0" w:rsidRDefault="007154F8" w:rsidP="007154F8">
            <w:pPr>
              <w:spacing w:after="0"/>
              <w:rPr>
                <w:sz w:val="18"/>
                <w:szCs w:val="18"/>
              </w:rPr>
            </w:pPr>
            <w:r w:rsidRPr="00C72DE0">
              <w:rPr>
                <w:sz w:val="18"/>
                <w:szCs w:val="18"/>
              </w:rPr>
              <w:t>37</w:t>
            </w:r>
          </w:p>
        </w:tc>
        <w:tc>
          <w:tcPr>
            <w:tcW w:w="2268" w:type="dxa"/>
            <w:shd w:val="clear" w:color="auto" w:fill="auto"/>
          </w:tcPr>
          <w:p w14:paraId="48FC0150" w14:textId="77777777" w:rsidR="007154F8" w:rsidRPr="00C72DE0" w:rsidRDefault="007154F8" w:rsidP="007154F8">
            <w:pPr>
              <w:spacing w:after="0"/>
              <w:rPr>
                <w:sz w:val="18"/>
                <w:szCs w:val="18"/>
              </w:rPr>
            </w:pPr>
            <w:r w:rsidRPr="00C72DE0">
              <w:rPr>
                <w:sz w:val="18"/>
                <w:szCs w:val="18"/>
              </w:rPr>
              <w:t>Small derivative market operators</w:t>
            </w:r>
          </w:p>
        </w:tc>
        <w:tc>
          <w:tcPr>
            <w:tcW w:w="1984" w:type="dxa"/>
            <w:shd w:val="clear" w:color="auto" w:fill="auto"/>
          </w:tcPr>
          <w:p w14:paraId="06CB41D8" w14:textId="5B3BA7E8" w:rsidR="007154F8" w:rsidRPr="00C72DE0" w:rsidRDefault="00312378"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market was operated</w:t>
            </w:r>
          </w:p>
        </w:tc>
        <w:tc>
          <w:tcPr>
            <w:tcW w:w="2254" w:type="dxa"/>
            <w:shd w:val="clear" w:color="auto" w:fill="auto"/>
          </w:tcPr>
          <w:p w14:paraId="3EA99E89"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19835C0E" w14:textId="77777777" w:rsidTr="00BC3C8A">
        <w:tc>
          <w:tcPr>
            <w:tcW w:w="993" w:type="dxa"/>
            <w:shd w:val="clear" w:color="auto" w:fill="auto"/>
          </w:tcPr>
          <w:p w14:paraId="3988FCD4" w14:textId="77777777" w:rsidR="007154F8" w:rsidRPr="00C72DE0" w:rsidRDefault="007154F8" w:rsidP="007154F8">
            <w:pPr>
              <w:spacing w:after="0"/>
              <w:rPr>
                <w:sz w:val="18"/>
                <w:szCs w:val="18"/>
              </w:rPr>
            </w:pPr>
            <w:r w:rsidRPr="00C72DE0">
              <w:rPr>
                <w:sz w:val="18"/>
                <w:szCs w:val="18"/>
              </w:rPr>
              <w:t>38</w:t>
            </w:r>
          </w:p>
        </w:tc>
        <w:tc>
          <w:tcPr>
            <w:tcW w:w="2268" w:type="dxa"/>
            <w:shd w:val="clear" w:color="auto" w:fill="auto"/>
          </w:tcPr>
          <w:p w14:paraId="575819EB" w14:textId="77777777" w:rsidR="007154F8" w:rsidRPr="00C72DE0" w:rsidRDefault="007154F8" w:rsidP="007154F8">
            <w:pPr>
              <w:spacing w:after="0"/>
              <w:rPr>
                <w:sz w:val="18"/>
                <w:szCs w:val="18"/>
              </w:rPr>
            </w:pPr>
            <w:r w:rsidRPr="00C72DE0">
              <w:rPr>
                <w:sz w:val="18"/>
                <w:szCs w:val="18"/>
              </w:rPr>
              <w:t xml:space="preserve">Small futures exchange operators </w:t>
            </w:r>
          </w:p>
        </w:tc>
        <w:tc>
          <w:tcPr>
            <w:tcW w:w="1984" w:type="dxa"/>
            <w:shd w:val="clear" w:color="auto" w:fill="auto"/>
          </w:tcPr>
          <w:p w14:paraId="69E74275" w14:textId="565AA5DF" w:rsidR="007154F8" w:rsidRPr="00C72DE0" w:rsidRDefault="00312378"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exchange was operated</w:t>
            </w:r>
          </w:p>
        </w:tc>
        <w:tc>
          <w:tcPr>
            <w:tcW w:w="2254" w:type="dxa"/>
            <w:shd w:val="clear" w:color="auto" w:fill="auto"/>
          </w:tcPr>
          <w:p w14:paraId="67ED6688"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29C6A1FF" w14:textId="77777777" w:rsidTr="00BC3C8A">
        <w:tc>
          <w:tcPr>
            <w:tcW w:w="993" w:type="dxa"/>
            <w:shd w:val="clear" w:color="auto" w:fill="auto"/>
          </w:tcPr>
          <w:p w14:paraId="5F6F4719" w14:textId="77777777" w:rsidR="007154F8" w:rsidRPr="00C72DE0" w:rsidRDefault="007154F8" w:rsidP="007154F8">
            <w:pPr>
              <w:spacing w:after="0"/>
              <w:rPr>
                <w:sz w:val="18"/>
                <w:szCs w:val="18"/>
              </w:rPr>
            </w:pPr>
            <w:r w:rsidRPr="00C72DE0">
              <w:rPr>
                <w:sz w:val="18"/>
                <w:szCs w:val="18"/>
              </w:rPr>
              <w:t>39</w:t>
            </w:r>
          </w:p>
        </w:tc>
        <w:tc>
          <w:tcPr>
            <w:tcW w:w="2268" w:type="dxa"/>
            <w:shd w:val="clear" w:color="auto" w:fill="auto"/>
          </w:tcPr>
          <w:p w14:paraId="4B0764E5" w14:textId="77777777" w:rsidR="007154F8" w:rsidRPr="00C72DE0" w:rsidRDefault="007154F8" w:rsidP="007154F8">
            <w:pPr>
              <w:spacing w:after="0"/>
              <w:rPr>
                <w:sz w:val="18"/>
                <w:szCs w:val="18"/>
              </w:rPr>
            </w:pPr>
            <w:r w:rsidRPr="00C72DE0">
              <w:rPr>
                <w:sz w:val="18"/>
                <w:szCs w:val="18"/>
              </w:rPr>
              <w:t xml:space="preserve">Small securities exchange operators </w:t>
            </w:r>
          </w:p>
        </w:tc>
        <w:tc>
          <w:tcPr>
            <w:tcW w:w="1984" w:type="dxa"/>
            <w:shd w:val="clear" w:color="auto" w:fill="auto"/>
          </w:tcPr>
          <w:p w14:paraId="75B684B9" w14:textId="65EEC083" w:rsidR="007154F8" w:rsidRPr="00C72DE0" w:rsidRDefault="00312378"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exchange was operated</w:t>
            </w:r>
          </w:p>
        </w:tc>
        <w:tc>
          <w:tcPr>
            <w:tcW w:w="2254" w:type="dxa"/>
            <w:shd w:val="clear" w:color="auto" w:fill="auto"/>
          </w:tcPr>
          <w:p w14:paraId="760E9DBF"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7F30C465" w14:textId="77777777" w:rsidTr="00BC3C8A">
        <w:tc>
          <w:tcPr>
            <w:tcW w:w="993" w:type="dxa"/>
            <w:shd w:val="clear" w:color="auto" w:fill="auto"/>
          </w:tcPr>
          <w:p w14:paraId="444185FC" w14:textId="77777777" w:rsidR="007154F8" w:rsidRPr="00C72DE0" w:rsidRDefault="007154F8" w:rsidP="007154F8">
            <w:pPr>
              <w:spacing w:after="0"/>
              <w:rPr>
                <w:sz w:val="18"/>
                <w:szCs w:val="18"/>
              </w:rPr>
            </w:pPr>
            <w:r w:rsidRPr="00C72DE0">
              <w:rPr>
                <w:sz w:val="18"/>
                <w:szCs w:val="18"/>
              </w:rPr>
              <w:t>40</w:t>
            </w:r>
          </w:p>
        </w:tc>
        <w:tc>
          <w:tcPr>
            <w:tcW w:w="2268" w:type="dxa"/>
            <w:shd w:val="clear" w:color="auto" w:fill="auto"/>
          </w:tcPr>
          <w:p w14:paraId="20BDDFED" w14:textId="77777777" w:rsidR="007154F8" w:rsidRPr="00C72DE0" w:rsidRDefault="007154F8" w:rsidP="007154F8">
            <w:pPr>
              <w:spacing w:after="0"/>
              <w:rPr>
                <w:sz w:val="18"/>
                <w:szCs w:val="18"/>
              </w:rPr>
            </w:pPr>
            <w:r w:rsidRPr="00C72DE0">
              <w:rPr>
                <w:sz w:val="18"/>
                <w:szCs w:val="18"/>
              </w:rPr>
              <w:t>Small securities exchange operators with self-listing function only</w:t>
            </w:r>
          </w:p>
        </w:tc>
        <w:tc>
          <w:tcPr>
            <w:tcW w:w="1984" w:type="dxa"/>
            <w:shd w:val="clear" w:color="auto" w:fill="auto"/>
          </w:tcPr>
          <w:p w14:paraId="2F445699" w14:textId="57396F8F" w:rsidR="007154F8" w:rsidRPr="00C72DE0" w:rsidRDefault="00312378"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exchange was operated</w:t>
            </w:r>
          </w:p>
        </w:tc>
        <w:tc>
          <w:tcPr>
            <w:tcW w:w="2254" w:type="dxa"/>
            <w:shd w:val="clear" w:color="auto" w:fill="auto"/>
          </w:tcPr>
          <w:p w14:paraId="6BBAFAB4"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4FF02147" w14:textId="77777777" w:rsidTr="00BC3C8A">
        <w:tc>
          <w:tcPr>
            <w:tcW w:w="993" w:type="dxa"/>
            <w:shd w:val="clear" w:color="auto" w:fill="auto"/>
          </w:tcPr>
          <w:p w14:paraId="0CEB6462" w14:textId="77777777" w:rsidR="007154F8" w:rsidRPr="00C72DE0" w:rsidRDefault="007154F8" w:rsidP="007154F8">
            <w:pPr>
              <w:spacing w:after="0"/>
              <w:rPr>
                <w:sz w:val="18"/>
                <w:szCs w:val="18"/>
              </w:rPr>
            </w:pPr>
            <w:r w:rsidRPr="00C72DE0">
              <w:rPr>
                <w:sz w:val="18"/>
                <w:szCs w:val="18"/>
              </w:rPr>
              <w:t>41</w:t>
            </w:r>
          </w:p>
        </w:tc>
        <w:tc>
          <w:tcPr>
            <w:tcW w:w="2268" w:type="dxa"/>
            <w:shd w:val="clear" w:color="auto" w:fill="auto"/>
          </w:tcPr>
          <w:p w14:paraId="3D76C9A9" w14:textId="77777777" w:rsidR="007154F8" w:rsidRPr="00C72DE0" w:rsidRDefault="007154F8" w:rsidP="007154F8">
            <w:pPr>
              <w:spacing w:after="0"/>
              <w:rPr>
                <w:sz w:val="18"/>
                <w:szCs w:val="18"/>
              </w:rPr>
            </w:pPr>
            <w:r w:rsidRPr="00C72DE0">
              <w:rPr>
                <w:sz w:val="18"/>
                <w:szCs w:val="18"/>
              </w:rPr>
              <w:t>Superannuation trustees</w:t>
            </w:r>
          </w:p>
        </w:tc>
        <w:tc>
          <w:tcPr>
            <w:tcW w:w="1984" w:type="dxa"/>
            <w:shd w:val="clear" w:color="auto" w:fill="auto"/>
          </w:tcPr>
          <w:p w14:paraId="11232BDE" w14:textId="77777777" w:rsidR="007154F8" w:rsidRPr="00C72DE0" w:rsidRDefault="007154F8" w:rsidP="007154F8">
            <w:pPr>
              <w:spacing w:after="0" w:line="260" w:lineRule="atLeast"/>
              <w:jc w:val="right"/>
              <w:rPr>
                <w:rFonts w:eastAsia="Calibri"/>
                <w:sz w:val="18"/>
                <w:szCs w:val="18"/>
                <w:lang w:eastAsia="en-US"/>
              </w:rPr>
            </w:pPr>
          </w:p>
        </w:tc>
        <w:tc>
          <w:tcPr>
            <w:tcW w:w="2254" w:type="dxa"/>
            <w:shd w:val="clear" w:color="auto" w:fill="auto"/>
          </w:tcPr>
          <w:p w14:paraId="0D56A477" w14:textId="7ED83783" w:rsidR="007154F8" w:rsidRPr="00C72DE0" w:rsidRDefault="00694205" w:rsidP="007154F8">
            <w:pPr>
              <w:spacing w:after="0" w:line="260" w:lineRule="atLeast"/>
              <w:jc w:val="right"/>
              <w:rPr>
                <w:rFonts w:eastAsia="Calibri"/>
                <w:sz w:val="18"/>
                <w:szCs w:val="18"/>
                <w:lang w:eastAsia="en-US"/>
              </w:rPr>
            </w:pPr>
            <w:r w:rsidRPr="00C72DE0">
              <w:rPr>
                <w:rFonts w:eastAsia="Calibri"/>
                <w:sz w:val="18"/>
                <w:szCs w:val="18"/>
                <w:lang w:eastAsia="en-US"/>
              </w:rPr>
              <w:t>Value of assets in all registrable superannuation entities</w:t>
            </w:r>
          </w:p>
        </w:tc>
      </w:tr>
      <w:tr w:rsidR="00C72DE0" w:rsidRPr="00C72DE0" w14:paraId="6C1F65DD" w14:textId="77777777" w:rsidTr="00BC3C8A">
        <w:tc>
          <w:tcPr>
            <w:tcW w:w="993" w:type="dxa"/>
            <w:shd w:val="clear" w:color="auto" w:fill="auto"/>
          </w:tcPr>
          <w:p w14:paraId="4A397589" w14:textId="77777777" w:rsidR="007154F8" w:rsidRPr="00C72DE0" w:rsidRDefault="007154F8" w:rsidP="007154F8">
            <w:pPr>
              <w:spacing w:after="0"/>
              <w:rPr>
                <w:sz w:val="18"/>
                <w:szCs w:val="18"/>
              </w:rPr>
            </w:pPr>
            <w:r w:rsidRPr="00C72DE0">
              <w:rPr>
                <w:sz w:val="18"/>
                <w:szCs w:val="18"/>
              </w:rPr>
              <w:t>42</w:t>
            </w:r>
          </w:p>
        </w:tc>
        <w:tc>
          <w:tcPr>
            <w:tcW w:w="2268" w:type="dxa"/>
            <w:shd w:val="clear" w:color="auto" w:fill="auto"/>
          </w:tcPr>
          <w:p w14:paraId="195EF352" w14:textId="77777777" w:rsidR="007154F8" w:rsidRPr="00C72DE0" w:rsidRDefault="007154F8" w:rsidP="007154F8">
            <w:pPr>
              <w:spacing w:after="0"/>
              <w:rPr>
                <w:sz w:val="18"/>
                <w:szCs w:val="18"/>
              </w:rPr>
            </w:pPr>
            <w:r w:rsidRPr="00C72DE0">
              <w:rPr>
                <w:sz w:val="18"/>
                <w:szCs w:val="18"/>
              </w:rPr>
              <w:t>Tier 1 clearing and settlement facility operators</w:t>
            </w:r>
          </w:p>
        </w:tc>
        <w:tc>
          <w:tcPr>
            <w:tcW w:w="1984" w:type="dxa"/>
            <w:shd w:val="clear" w:color="auto" w:fill="auto"/>
          </w:tcPr>
          <w:p w14:paraId="6AA94F80" w14:textId="4295A1DD" w:rsidR="007154F8" w:rsidRPr="00C72DE0" w:rsidRDefault="00960A7E"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facility was operated</w:t>
            </w:r>
          </w:p>
        </w:tc>
        <w:tc>
          <w:tcPr>
            <w:tcW w:w="2254" w:type="dxa"/>
            <w:shd w:val="clear" w:color="auto" w:fill="auto"/>
          </w:tcPr>
          <w:p w14:paraId="7C5BE2F9"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61003D18" w14:textId="77777777" w:rsidTr="00BC3C8A">
        <w:tc>
          <w:tcPr>
            <w:tcW w:w="993" w:type="dxa"/>
            <w:shd w:val="clear" w:color="auto" w:fill="auto"/>
          </w:tcPr>
          <w:p w14:paraId="0B93AF6C" w14:textId="77777777" w:rsidR="007154F8" w:rsidRPr="00C72DE0" w:rsidRDefault="007154F8" w:rsidP="007154F8">
            <w:pPr>
              <w:spacing w:after="0"/>
              <w:rPr>
                <w:sz w:val="18"/>
                <w:szCs w:val="18"/>
              </w:rPr>
            </w:pPr>
            <w:r w:rsidRPr="00C72DE0">
              <w:rPr>
                <w:sz w:val="18"/>
                <w:szCs w:val="18"/>
              </w:rPr>
              <w:t>43</w:t>
            </w:r>
          </w:p>
        </w:tc>
        <w:tc>
          <w:tcPr>
            <w:tcW w:w="2268" w:type="dxa"/>
            <w:shd w:val="clear" w:color="auto" w:fill="auto"/>
          </w:tcPr>
          <w:p w14:paraId="3BBD7782" w14:textId="77777777" w:rsidR="007154F8" w:rsidRPr="00C72DE0" w:rsidRDefault="007154F8" w:rsidP="007154F8">
            <w:pPr>
              <w:spacing w:after="0"/>
              <w:rPr>
                <w:sz w:val="18"/>
                <w:szCs w:val="18"/>
              </w:rPr>
            </w:pPr>
            <w:r w:rsidRPr="00C72DE0">
              <w:rPr>
                <w:sz w:val="18"/>
                <w:szCs w:val="18"/>
              </w:rPr>
              <w:t>Tier 2 clearing and settlement facility operators</w:t>
            </w:r>
          </w:p>
        </w:tc>
        <w:tc>
          <w:tcPr>
            <w:tcW w:w="1984" w:type="dxa"/>
            <w:shd w:val="clear" w:color="auto" w:fill="auto"/>
          </w:tcPr>
          <w:p w14:paraId="6E9E95AF" w14:textId="4D8B0002" w:rsidR="007154F8" w:rsidRPr="00C72DE0" w:rsidRDefault="00960A7E"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facility was operated</w:t>
            </w:r>
          </w:p>
        </w:tc>
        <w:tc>
          <w:tcPr>
            <w:tcW w:w="2254" w:type="dxa"/>
            <w:shd w:val="clear" w:color="auto" w:fill="auto"/>
          </w:tcPr>
          <w:p w14:paraId="54E14426"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62E529F0" w14:textId="77777777" w:rsidTr="00BC3C8A">
        <w:tc>
          <w:tcPr>
            <w:tcW w:w="993" w:type="dxa"/>
            <w:shd w:val="clear" w:color="auto" w:fill="auto"/>
          </w:tcPr>
          <w:p w14:paraId="6134B302" w14:textId="77777777" w:rsidR="007154F8" w:rsidRPr="00C72DE0" w:rsidRDefault="007154F8" w:rsidP="007154F8">
            <w:pPr>
              <w:spacing w:after="0"/>
              <w:rPr>
                <w:sz w:val="18"/>
                <w:szCs w:val="18"/>
              </w:rPr>
            </w:pPr>
            <w:r w:rsidRPr="00C72DE0">
              <w:rPr>
                <w:sz w:val="18"/>
                <w:szCs w:val="18"/>
              </w:rPr>
              <w:t>44</w:t>
            </w:r>
          </w:p>
        </w:tc>
        <w:tc>
          <w:tcPr>
            <w:tcW w:w="2268" w:type="dxa"/>
            <w:shd w:val="clear" w:color="auto" w:fill="auto"/>
          </w:tcPr>
          <w:p w14:paraId="3DC44624" w14:textId="77777777" w:rsidR="007154F8" w:rsidRPr="00C72DE0" w:rsidRDefault="007154F8" w:rsidP="007154F8">
            <w:pPr>
              <w:spacing w:after="0"/>
              <w:rPr>
                <w:sz w:val="18"/>
                <w:szCs w:val="18"/>
              </w:rPr>
            </w:pPr>
            <w:r w:rsidRPr="00C72DE0">
              <w:rPr>
                <w:sz w:val="18"/>
                <w:szCs w:val="18"/>
              </w:rPr>
              <w:t>Tier 3 clearing and settlement facility operators</w:t>
            </w:r>
          </w:p>
        </w:tc>
        <w:tc>
          <w:tcPr>
            <w:tcW w:w="1984" w:type="dxa"/>
            <w:shd w:val="clear" w:color="auto" w:fill="auto"/>
          </w:tcPr>
          <w:p w14:paraId="2DC3BAEE" w14:textId="1E180D87" w:rsidR="007154F8" w:rsidRPr="00C72DE0" w:rsidRDefault="00960A7E"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facility was operated</w:t>
            </w:r>
          </w:p>
        </w:tc>
        <w:tc>
          <w:tcPr>
            <w:tcW w:w="2254" w:type="dxa"/>
            <w:shd w:val="clear" w:color="auto" w:fill="auto"/>
          </w:tcPr>
          <w:p w14:paraId="48E70CDC"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6A4D324D" w14:textId="77777777" w:rsidTr="00BC3C8A">
        <w:tc>
          <w:tcPr>
            <w:tcW w:w="993" w:type="dxa"/>
            <w:shd w:val="clear" w:color="auto" w:fill="auto"/>
          </w:tcPr>
          <w:p w14:paraId="0C86CA1C" w14:textId="77777777" w:rsidR="007154F8" w:rsidRPr="00C72DE0" w:rsidRDefault="007154F8" w:rsidP="007154F8">
            <w:pPr>
              <w:spacing w:after="0"/>
              <w:rPr>
                <w:sz w:val="18"/>
                <w:szCs w:val="18"/>
              </w:rPr>
            </w:pPr>
            <w:r w:rsidRPr="00C72DE0">
              <w:rPr>
                <w:sz w:val="18"/>
                <w:szCs w:val="18"/>
              </w:rPr>
              <w:t>45</w:t>
            </w:r>
          </w:p>
        </w:tc>
        <w:tc>
          <w:tcPr>
            <w:tcW w:w="2268" w:type="dxa"/>
            <w:shd w:val="clear" w:color="auto" w:fill="auto"/>
          </w:tcPr>
          <w:p w14:paraId="2A04598F" w14:textId="77777777" w:rsidR="007154F8" w:rsidRPr="00C72DE0" w:rsidRDefault="007154F8" w:rsidP="007154F8">
            <w:pPr>
              <w:spacing w:after="0"/>
              <w:rPr>
                <w:sz w:val="18"/>
                <w:szCs w:val="18"/>
              </w:rPr>
            </w:pPr>
            <w:r w:rsidRPr="00C72DE0">
              <w:rPr>
                <w:sz w:val="18"/>
                <w:szCs w:val="18"/>
              </w:rPr>
              <w:t>Tier 4 clearing and settlement facility operators</w:t>
            </w:r>
          </w:p>
        </w:tc>
        <w:tc>
          <w:tcPr>
            <w:tcW w:w="1984" w:type="dxa"/>
            <w:shd w:val="clear" w:color="auto" w:fill="auto"/>
          </w:tcPr>
          <w:p w14:paraId="03EC7E12" w14:textId="113F583E" w:rsidR="007154F8" w:rsidRPr="00C72DE0" w:rsidRDefault="00960A7E" w:rsidP="007154F8">
            <w:pPr>
              <w:spacing w:after="0" w:line="260" w:lineRule="atLeast"/>
              <w:jc w:val="right"/>
              <w:rPr>
                <w:rFonts w:eastAsia="Calibri"/>
                <w:sz w:val="18"/>
                <w:szCs w:val="18"/>
                <w:lang w:eastAsia="en-US"/>
              </w:rPr>
            </w:pPr>
            <w:r w:rsidRPr="00C72DE0">
              <w:rPr>
                <w:rFonts w:eastAsia="Calibri"/>
                <w:sz w:val="18"/>
                <w:szCs w:val="18"/>
                <w:lang w:eastAsia="en-US"/>
              </w:rPr>
              <w:t>Number of days the facility was operated</w:t>
            </w:r>
          </w:p>
        </w:tc>
        <w:tc>
          <w:tcPr>
            <w:tcW w:w="2254" w:type="dxa"/>
            <w:shd w:val="clear" w:color="auto" w:fill="auto"/>
          </w:tcPr>
          <w:p w14:paraId="22AD3815"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38A06D81" w14:textId="77777777" w:rsidTr="00BC3C8A">
        <w:tc>
          <w:tcPr>
            <w:tcW w:w="993" w:type="dxa"/>
            <w:shd w:val="clear" w:color="auto" w:fill="auto"/>
          </w:tcPr>
          <w:p w14:paraId="2E8FA86A" w14:textId="77777777" w:rsidR="007154F8" w:rsidRPr="00C72DE0" w:rsidRDefault="007154F8" w:rsidP="007154F8">
            <w:pPr>
              <w:spacing w:after="0"/>
              <w:rPr>
                <w:sz w:val="18"/>
                <w:szCs w:val="18"/>
              </w:rPr>
            </w:pPr>
            <w:r w:rsidRPr="00C72DE0">
              <w:rPr>
                <w:sz w:val="18"/>
                <w:szCs w:val="18"/>
              </w:rPr>
              <w:t>46</w:t>
            </w:r>
          </w:p>
        </w:tc>
        <w:tc>
          <w:tcPr>
            <w:tcW w:w="2268" w:type="dxa"/>
            <w:shd w:val="clear" w:color="auto" w:fill="auto"/>
          </w:tcPr>
          <w:p w14:paraId="583CA853" w14:textId="77777777" w:rsidR="007154F8" w:rsidRPr="00C72DE0" w:rsidRDefault="007154F8" w:rsidP="007154F8">
            <w:pPr>
              <w:spacing w:after="0"/>
              <w:rPr>
                <w:sz w:val="18"/>
                <w:szCs w:val="18"/>
              </w:rPr>
            </w:pPr>
            <w:r w:rsidRPr="00C72DE0">
              <w:rPr>
                <w:sz w:val="18"/>
                <w:szCs w:val="18"/>
              </w:rPr>
              <w:t>Traditional trustee company service providers</w:t>
            </w:r>
          </w:p>
        </w:tc>
        <w:tc>
          <w:tcPr>
            <w:tcW w:w="1984" w:type="dxa"/>
            <w:shd w:val="clear" w:color="auto" w:fill="auto"/>
          </w:tcPr>
          <w:p w14:paraId="2A124C60" w14:textId="228AF72F" w:rsidR="007154F8" w:rsidRPr="00C72DE0" w:rsidRDefault="00694205" w:rsidP="007154F8">
            <w:pPr>
              <w:spacing w:after="0" w:line="260" w:lineRule="atLeast"/>
              <w:jc w:val="right"/>
              <w:rPr>
                <w:rFonts w:eastAsia="Calibri"/>
                <w:sz w:val="18"/>
                <w:szCs w:val="18"/>
                <w:lang w:eastAsia="en-US"/>
              </w:rPr>
            </w:pPr>
            <w:r w:rsidRPr="00C72DE0">
              <w:rPr>
                <w:rFonts w:eastAsia="Calibri"/>
                <w:sz w:val="18"/>
                <w:szCs w:val="18"/>
                <w:lang w:eastAsia="en-US"/>
              </w:rPr>
              <w:t>Number of days</w:t>
            </w:r>
            <w:r w:rsidR="00A454B2" w:rsidRPr="00C72DE0">
              <w:rPr>
                <w:rFonts w:eastAsia="Calibri"/>
                <w:sz w:val="18"/>
                <w:szCs w:val="18"/>
                <w:lang w:eastAsia="en-US"/>
              </w:rPr>
              <w:t xml:space="preserve"> the</w:t>
            </w:r>
            <w:r w:rsidRPr="00C72DE0">
              <w:rPr>
                <w:rFonts w:eastAsia="Calibri"/>
                <w:sz w:val="18"/>
                <w:szCs w:val="18"/>
                <w:lang w:eastAsia="en-US"/>
              </w:rPr>
              <w:t xml:space="preserve"> licence </w:t>
            </w:r>
            <w:r w:rsidR="00A454B2" w:rsidRPr="00C72DE0">
              <w:rPr>
                <w:rFonts w:eastAsia="Calibri"/>
                <w:sz w:val="18"/>
                <w:szCs w:val="18"/>
                <w:lang w:eastAsia="en-US"/>
              </w:rPr>
              <w:t xml:space="preserve">was </w:t>
            </w:r>
            <w:r w:rsidRPr="00C72DE0">
              <w:rPr>
                <w:rFonts w:eastAsia="Calibri"/>
                <w:sz w:val="18"/>
                <w:szCs w:val="18"/>
                <w:lang w:eastAsia="en-US"/>
              </w:rPr>
              <w:t>held</w:t>
            </w:r>
          </w:p>
        </w:tc>
        <w:tc>
          <w:tcPr>
            <w:tcW w:w="2254" w:type="dxa"/>
            <w:shd w:val="clear" w:color="auto" w:fill="auto"/>
          </w:tcPr>
          <w:p w14:paraId="1B08B8A6"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24297FE2" w14:textId="77777777" w:rsidTr="00BC3C8A">
        <w:tc>
          <w:tcPr>
            <w:tcW w:w="993" w:type="dxa"/>
            <w:shd w:val="clear" w:color="auto" w:fill="auto"/>
          </w:tcPr>
          <w:p w14:paraId="7D95C65A" w14:textId="77777777" w:rsidR="007154F8" w:rsidRPr="00C72DE0" w:rsidRDefault="007154F8" w:rsidP="007154F8">
            <w:pPr>
              <w:spacing w:after="0"/>
              <w:rPr>
                <w:sz w:val="18"/>
                <w:szCs w:val="18"/>
              </w:rPr>
            </w:pPr>
            <w:r w:rsidRPr="00C72DE0">
              <w:rPr>
                <w:sz w:val="18"/>
                <w:szCs w:val="18"/>
              </w:rPr>
              <w:t>47</w:t>
            </w:r>
          </w:p>
        </w:tc>
        <w:tc>
          <w:tcPr>
            <w:tcW w:w="2268" w:type="dxa"/>
            <w:shd w:val="clear" w:color="auto" w:fill="auto"/>
          </w:tcPr>
          <w:p w14:paraId="75E75863" w14:textId="77777777" w:rsidR="007154F8" w:rsidRPr="00C72DE0" w:rsidRDefault="007154F8" w:rsidP="007154F8">
            <w:pPr>
              <w:spacing w:after="0"/>
              <w:rPr>
                <w:sz w:val="18"/>
                <w:szCs w:val="18"/>
              </w:rPr>
            </w:pPr>
            <w:r w:rsidRPr="00C72DE0">
              <w:rPr>
                <w:sz w:val="18"/>
                <w:szCs w:val="18"/>
              </w:rPr>
              <w:t>Wholesale electricity dealers</w:t>
            </w:r>
          </w:p>
        </w:tc>
        <w:tc>
          <w:tcPr>
            <w:tcW w:w="1984" w:type="dxa"/>
            <w:shd w:val="clear" w:color="auto" w:fill="auto"/>
          </w:tcPr>
          <w:p w14:paraId="4736CB2B" w14:textId="224D2D68" w:rsidR="007154F8" w:rsidRPr="00C72DE0" w:rsidRDefault="00542140" w:rsidP="007154F8">
            <w:pPr>
              <w:spacing w:after="0" w:line="260" w:lineRule="atLeast"/>
              <w:jc w:val="right"/>
              <w:rPr>
                <w:rFonts w:eastAsia="Calibri"/>
                <w:sz w:val="18"/>
                <w:szCs w:val="18"/>
                <w:highlight w:val="yellow"/>
                <w:lang w:eastAsia="en-US"/>
              </w:rPr>
            </w:pPr>
            <w:r w:rsidRPr="00C72DE0">
              <w:rPr>
                <w:rFonts w:eastAsia="Calibri"/>
                <w:sz w:val="18"/>
                <w:szCs w:val="18"/>
                <w:lang w:eastAsia="en-US"/>
              </w:rPr>
              <w:t>“Not applicable”</w:t>
            </w:r>
          </w:p>
        </w:tc>
        <w:tc>
          <w:tcPr>
            <w:tcW w:w="2254" w:type="dxa"/>
            <w:shd w:val="clear" w:color="auto" w:fill="auto"/>
          </w:tcPr>
          <w:p w14:paraId="1C1D1E8B" w14:textId="77777777" w:rsidR="007154F8" w:rsidRPr="00C72DE0" w:rsidRDefault="007154F8" w:rsidP="007154F8">
            <w:pPr>
              <w:spacing w:after="0" w:line="260" w:lineRule="atLeast"/>
              <w:jc w:val="right"/>
              <w:rPr>
                <w:rFonts w:eastAsia="Calibri"/>
                <w:sz w:val="18"/>
                <w:szCs w:val="18"/>
                <w:lang w:eastAsia="en-US"/>
              </w:rPr>
            </w:pPr>
          </w:p>
        </w:tc>
      </w:tr>
      <w:tr w:rsidR="00C72DE0" w:rsidRPr="00C72DE0" w14:paraId="5430172A" w14:textId="77777777" w:rsidTr="00BC3C8A">
        <w:tc>
          <w:tcPr>
            <w:tcW w:w="993" w:type="dxa"/>
            <w:shd w:val="clear" w:color="auto" w:fill="auto"/>
          </w:tcPr>
          <w:p w14:paraId="671BBC38" w14:textId="77777777" w:rsidR="007154F8" w:rsidRPr="00C72DE0" w:rsidRDefault="007154F8" w:rsidP="007154F8">
            <w:pPr>
              <w:spacing w:after="0"/>
              <w:rPr>
                <w:sz w:val="18"/>
                <w:szCs w:val="18"/>
              </w:rPr>
            </w:pPr>
            <w:r w:rsidRPr="00C72DE0">
              <w:rPr>
                <w:sz w:val="18"/>
                <w:szCs w:val="18"/>
              </w:rPr>
              <w:t>48</w:t>
            </w:r>
          </w:p>
        </w:tc>
        <w:tc>
          <w:tcPr>
            <w:tcW w:w="2268" w:type="dxa"/>
            <w:shd w:val="clear" w:color="auto" w:fill="auto"/>
          </w:tcPr>
          <w:p w14:paraId="2E10963F" w14:textId="77777777" w:rsidR="007154F8" w:rsidRPr="00C72DE0" w:rsidRDefault="007154F8" w:rsidP="007154F8">
            <w:pPr>
              <w:spacing w:after="0"/>
              <w:rPr>
                <w:sz w:val="18"/>
                <w:szCs w:val="18"/>
              </w:rPr>
            </w:pPr>
            <w:r w:rsidRPr="00C72DE0">
              <w:rPr>
                <w:sz w:val="18"/>
                <w:szCs w:val="18"/>
              </w:rPr>
              <w:t>Wholesale trustees</w:t>
            </w:r>
          </w:p>
        </w:tc>
        <w:tc>
          <w:tcPr>
            <w:tcW w:w="1984" w:type="dxa"/>
            <w:shd w:val="clear" w:color="auto" w:fill="auto"/>
          </w:tcPr>
          <w:p w14:paraId="4D60C9ED" w14:textId="3D1A9F0C" w:rsidR="007154F8" w:rsidRPr="00C72DE0" w:rsidRDefault="00091E7B" w:rsidP="007154F8">
            <w:pPr>
              <w:spacing w:after="0" w:line="260" w:lineRule="atLeast"/>
              <w:jc w:val="right"/>
              <w:rPr>
                <w:rFonts w:eastAsia="Calibri"/>
                <w:sz w:val="18"/>
                <w:szCs w:val="18"/>
                <w:lang w:eastAsia="en-US"/>
              </w:rPr>
            </w:pPr>
            <w:r w:rsidRPr="00C72DE0">
              <w:rPr>
                <w:rFonts w:eastAsia="Calibri"/>
                <w:sz w:val="18"/>
                <w:szCs w:val="18"/>
                <w:lang w:eastAsia="en-US"/>
              </w:rPr>
              <w:t>Number of days</w:t>
            </w:r>
            <w:r w:rsidR="00A454B2" w:rsidRPr="00C72DE0">
              <w:rPr>
                <w:rFonts w:eastAsia="Calibri"/>
                <w:sz w:val="18"/>
                <w:szCs w:val="18"/>
                <w:lang w:eastAsia="en-US"/>
              </w:rPr>
              <w:t xml:space="preserve"> the</w:t>
            </w:r>
            <w:r w:rsidRPr="00C72DE0">
              <w:rPr>
                <w:rFonts w:eastAsia="Calibri"/>
                <w:sz w:val="18"/>
                <w:szCs w:val="18"/>
                <w:lang w:eastAsia="en-US"/>
              </w:rPr>
              <w:t xml:space="preserve"> licence </w:t>
            </w:r>
            <w:r w:rsidR="00A454B2" w:rsidRPr="00C72DE0">
              <w:rPr>
                <w:rFonts w:eastAsia="Calibri"/>
                <w:sz w:val="18"/>
                <w:szCs w:val="18"/>
                <w:lang w:eastAsia="en-US"/>
              </w:rPr>
              <w:t xml:space="preserve">was </w:t>
            </w:r>
            <w:r w:rsidRPr="00C72DE0">
              <w:rPr>
                <w:rFonts w:eastAsia="Calibri"/>
                <w:sz w:val="18"/>
                <w:szCs w:val="18"/>
                <w:lang w:eastAsia="en-US"/>
              </w:rPr>
              <w:t xml:space="preserve">held </w:t>
            </w:r>
          </w:p>
        </w:tc>
        <w:tc>
          <w:tcPr>
            <w:tcW w:w="2254" w:type="dxa"/>
            <w:shd w:val="clear" w:color="auto" w:fill="auto"/>
          </w:tcPr>
          <w:p w14:paraId="152F572D" w14:textId="77777777" w:rsidR="007154F8" w:rsidRPr="00C72DE0" w:rsidRDefault="007154F8" w:rsidP="007154F8">
            <w:pPr>
              <w:spacing w:after="0" w:line="260" w:lineRule="atLeast"/>
              <w:jc w:val="right"/>
              <w:rPr>
                <w:rFonts w:eastAsia="Calibri"/>
                <w:sz w:val="18"/>
                <w:szCs w:val="18"/>
                <w:lang w:eastAsia="en-US"/>
              </w:rPr>
            </w:pPr>
          </w:p>
        </w:tc>
      </w:tr>
    </w:tbl>
    <w:p w14:paraId="05370444" w14:textId="77777777" w:rsidR="00911B3E" w:rsidRPr="007154F8" w:rsidRDefault="00911B3E" w:rsidP="00183FFE">
      <w:pPr>
        <w:pStyle w:val="BodyText"/>
        <w:numPr>
          <w:ilvl w:val="0"/>
          <w:numId w:val="0"/>
        </w:numPr>
        <w:spacing w:before="0" w:line="240" w:lineRule="auto"/>
        <w:ind w:left="567" w:hanging="567"/>
        <w:rPr>
          <w:color w:val="FF0000"/>
        </w:rPr>
      </w:pPr>
    </w:p>
    <w:p w14:paraId="72205B45" w14:textId="4616EC41" w:rsidR="00CA36BE" w:rsidRDefault="00CA36BE" w:rsidP="0087748D">
      <w:pPr>
        <w:pStyle w:val="BodyText"/>
        <w:numPr>
          <w:ilvl w:val="0"/>
          <w:numId w:val="0"/>
        </w:numPr>
        <w:spacing w:before="0" w:line="240" w:lineRule="auto"/>
        <w:ind w:left="567" w:hanging="567"/>
      </w:pPr>
      <w:r>
        <w:t>3.</w:t>
      </w:r>
      <w:r w:rsidR="0049385E">
        <w:t>9</w:t>
      </w:r>
      <w:r>
        <w:tab/>
        <w:t xml:space="preserve">ASIC worked out </w:t>
      </w:r>
      <w:r w:rsidR="00183FFE">
        <w:t xml:space="preserve">each </w:t>
      </w:r>
      <w:r w:rsidRPr="00965AFB">
        <w:rPr>
          <w:b/>
          <w:i/>
        </w:rPr>
        <w:t>sub-sector metric</w:t>
      </w:r>
      <w:r>
        <w:t xml:space="preserve"> </w:t>
      </w:r>
      <w:r w:rsidRPr="00CA36BE">
        <w:t xml:space="preserve">based on the information contained in the returns lodged </w:t>
      </w:r>
      <w:r w:rsidR="00853A83" w:rsidRPr="00456F4E">
        <w:t>by the leviable entities</w:t>
      </w:r>
      <w:r w:rsidR="00853A83">
        <w:t xml:space="preserve"> </w:t>
      </w:r>
      <w:r w:rsidRPr="00CA36BE">
        <w:t>with ASIC under section 11 of the Collection Act.</w:t>
      </w:r>
      <w:r w:rsidR="00853A83">
        <w:t xml:space="preserve"> </w:t>
      </w:r>
    </w:p>
    <w:bookmarkEnd w:id="8"/>
    <w:p w14:paraId="4A3DD767" w14:textId="471E0B2B" w:rsidR="00CA36BE" w:rsidRDefault="00CA36BE" w:rsidP="0087748D">
      <w:pPr>
        <w:pStyle w:val="BodyText"/>
        <w:numPr>
          <w:ilvl w:val="0"/>
          <w:numId w:val="0"/>
        </w:numPr>
        <w:spacing w:before="0" w:line="240" w:lineRule="auto"/>
        <w:ind w:left="567" w:hanging="567"/>
      </w:pPr>
    </w:p>
    <w:p w14:paraId="4F80D4C1" w14:textId="3074440D" w:rsidR="00965AFB" w:rsidRPr="00965AFB" w:rsidRDefault="00965AFB" w:rsidP="00965AFB">
      <w:pPr>
        <w:pStyle w:val="BodyText"/>
        <w:numPr>
          <w:ilvl w:val="0"/>
          <w:numId w:val="0"/>
        </w:numPr>
        <w:spacing w:before="0" w:line="240" w:lineRule="auto"/>
        <w:ind w:left="567"/>
        <w:rPr>
          <w:u w:val="single"/>
        </w:rPr>
      </w:pPr>
      <w:bookmarkStart w:id="10" w:name="_Hlk524508146"/>
      <w:r w:rsidRPr="00965AFB">
        <w:rPr>
          <w:b/>
          <w:i/>
          <w:u w:val="single"/>
        </w:rPr>
        <w:t>IT percentage</w:t>
      </w:r>
      <w:r w:rsidRPr="00965AFB">
        <w:rPr>
          <w:i/>
          <w:u w:val="single"/>
        </w:rPr>
        <w:t xml:space="preserve"> </w:t>
      </w:r>
      <w:r w:rsidRPr="00965AFB">
        <w:rPr>
          <w:u w:val="single"/>
        </w:rPr>
        <w:t xml:space="preserve">in relation to the </w:t>
      </w:r>
      <w:r w:rsidRPr="00965AFB">
        <w:rPr>
          <w:b/>
          <w:i/>
          <w:u w:val="single"/>
        </w:rPr>
        <w:t>large futures exchange participants</w:t>
      </w:r>
    </w:p>
    <w:p w14:paraId="465B376F" w14:textId="7AF2CA00" w:rsidR="003E1843" w:rsidRPr="003E1843" w:rsidRDefault="003E1843" w:rsidP="003E1843">
      <w:pPr>
        <w:pStyle w:val="LI-BodyTextNumbered"/>
        <w:ind w:left="567"/>
        <w:rPr>
          <w:sz w:val="22"/>
          <w:szCs w:val="22"/>
        </w:rPr>
      </w:pPr>
      <w:r>
        <w:rPr>
          <w:sz w:val="22"/>
          <w:szCs w:val="22"/>
        </w:rPr>
        <w:t>3.</w:t>
      </w:r>
      <w:r w:rsidR="00770C0B">
        <w:rPr>
          <w:sz w:val="22"/>
          <w:szCs w:val="22"/>
        </w:rPr>
        <w:t>10</w:t>
      </w:r>
      <w:r>
        <w:rPr>
          <w:sz w:val="22"/>
          <w:szCs w:val="22"/>
        </w:rPr>
        <w:tab/>
        <w:t xml:space="preserve">The levy component for a leviable entity that forms part of the </w:t>
      </w:r>
      <w:r w:rsidRPr="003E1843">
        <w:rPr>
          <w:b/>
          <w:i/>
          <w:sz w:val="22"/>
          <w:szCs w:val="22"/>
        </w:rPr>
        <w:t>large futures exchange participants sector</w:t>
      </w:r>
      <w:r>
        <w:rPr>
          <w:sz w:val="22"/>
          <w:szCs w:val="22"/>
        </w:rPr>
        <w:t xml:space="preserve"> is based on, among other things, the </w:t>
      </w:r>
      <w:r w:rsidRPr="003E1843">
        <w:rPr>
          <w:b/>
          <w:i/>
          <w:sz w:val="22"/>
          <w:szCs w:val="22"/>
        </w:rPr>
        <w:t>IT percentage</w:t>
      </w:r>
      <w:r>
        <w:rPr>
          <w:sz w:val="22"/>
          <w:szCs w:val="22"/>
        </w:rPr>
        <w:t xml:space="preserve"> of the </w:t>
      </w:r>
      <w:r w:rsidRPr="003E1843">
        <w:rPr>
          <w:b/>
          <w:i/>
          <w:sz w:val="22"/>
          <w:szCs w:val="22"/>
        </w:rPr>
        <w:t>graduated levy component</w:t>
      </w:r>
      <w:r>
        <w:rPr>
          <w:sz w:val="22"/>
          <w:szCs w:val="22"/>
        </w:rPr>
        <w:t xml:space="preserve"> for the entity for the sub-sector.</w:t>
      </w:r>
    </w:p>
    <w:p w14:paraId="102B2A49" w14:textId="70C2A801" w:rsidR="003E1843" w:rsidRDefault="00965AFB" w:rsidP="00CD4BCD">
      <w:pPr>
        <w:pStyle w:val="LI-BodyTextNumbered"/>
        <w:ind w:left="567"/>
        <w:rPr>
          <w:sz w:val="22"/>
          <w:szCs w:val="22"/>
        </w:rPr>
      </w:pPr>
      <w:r w:rsidRPr="00CD4BCD">
        <w:rPr>
          <w:sz w:val="22"/>
          <w:szCs w:val="22"/>
        </w:rPr>
        <w:t>3.</w:t>
      </w:r>
      <w:r w:rsidR="003E1843">
        <w:rPr>
          <w:sz w:val="22"/>
          <w:szCs w:val="22"/>
        </w:rPr>
        <w:t>1</w:t>
      </w:r>
      <w:r w:rsidR="00770C0B">
        <w:rPr>
          <w:sz w:val="22"/>
          <w:szCs w:val="22"/>
        </w:rPr>
        <w:t>1</w:t>
      </w:r>
      <w:r w:rsidRPr="00CD4BCD">
        <w:rPr>
          <w:sz w:val="22"/>
          <w:szCs w:val="22"/>
        </w:rPr>
        <w:tab/>
        <w:t xml:space="preserve">Section </w:t>
      </w:r>
      <w:r w:rsidR="00183FFE">
        <w:rPr>
          <w:sz w:val="22"/>
          <w:szCs w:val="22"/>
        </w:rPr>
        <w:t>8</w:t>
      </w:r>
      <w:r w:rsidRPr="00CD4BCD">
        <w:rPr>
          <w:sz w:val="22"/>
          <w:szCs w:val="22"/>
        </w:rPr>
        <w:t xml:space="preserve"> of the instrument specifies </w:t>
      </w:r>
      <w:r w:rsidR="00CD4BCD">
        <w:rPr>
          <w:sz w:val="22"/>
          <w:szCs w:val="22"/>
        </w:rPr>
        <w:t xml:space="preserve">a </w:t>
      </w:r>
      <w:r w:rsidR="00CD4BCD" w:rsidRPr="00CD4BCD">
        <w:rPr>
          <w:sz w:val="22"/>
          <w:szCs w:val="22"/>
        </w:rPr>
        <w:t xml:space="preserve">percentage </w:t>
      </w:r>
      <w:r w:rsidR="00CD4BCD">
        <w:rPr>
          <w:sz w:val="22"/>
          <w:szCs w:val="22"/>
        </w:rPr>
        <w:t xml:space="preserve">of </w:t>
      </w:r>
      <w:r w:rsidR="00D42E37" w:rsidRPr="00456F4E">
        <w:rPr>
          <w:sz w:val="22"/>
          <w:szCs w:val="22"/>
        </w:rPr>
        <w:t>2</w:t>
      </w:r>
      <w:r w:rsidR="00C740AE">
        <w:rPr>
          <w:sz w:val="22"/>
          <w:szCs w:val="22"/>
        </w:rPr>
        <w:t>5.02</w:t>
      </w:r>
      <w:r w:rsidR="00CD4BCD" w:rsidRPr="00456F4E">
        <w:rPr>
          <w:sz w:val="22"/>
          <w:szCs w:val="22"/>
        </w:rPr>
        <w:t>%</w:t>
      </w:r>
      <w:r w:rsidR="00CD4BCD">
        <w:rPr>
          <w:sz w:val="22"/>
          <w:szCs w:val="22"/>
        </w:rPr>
        <w:t xml:space="preserve"> for the purposes of sub</w:t>
      </w:r>
      <w:r w:rsidR="00254327">
        <w:rPr>
          <w:sz w:val="22"/>
          <w:szCs w:val="22"/>
        </w:rPr>
        <w:t>section</w:t>
      </w:r>
      <w:r w:rsidR="00CD4BCD">
        <w:rPr>
          <w:sz w:val="22"/>
          <w:szCs w:val="22"/>
        </w:rPr>
        <w:t xml:space="preserve"> 64(5) of the Cost Recovery Regulations. </w:t>
      </w:r>
    </w:p>
    <w:p w14:paraId="0C0B2A67" w14:textId="467FC72E" w:rsidR="00CD4BCD" w:rsidRDefault="003E1843" w:rsidP="00CD4BCD">
      <w:pPr>
        <w:pStyle w:val="LI-BodyTextNumbered"/>
        <w:ind w:left="567"/>
        <w:rPr>
          <w:sz w:val="22"/>
          <w:szCs w:val="22"/>
        </w:rPr>
      </w:pPr>
      <w:r>
        <w:rPr>
          <w:sz w:val="22"/>
          <w:szCs w:val="22"/>
        </w:rPr>
        <w:t>3.1</w:t>
      </w:r>
      <w:r w:rsidR="00770C0B">
        <w:rPr>
          <w:sz w:val="22"/>
          <w:szCs w:val="22"/>
        </w:rPr>
        <w:t>2</w:t>
      </w:r>
      <w:r>
        <w:rPr>
          <w:sz w:val="22"/>
          <w:szCs w:val="22"/>
        </w:rPr>
        <w:tab/>
      </w:r>
      <w:r w:rsidR="00CD4BCD">
        <w:rPr>
          <w:sz w:val="22"/>
          <w:szCs w:val="22"/>
        </w:rPr>
        <w:t xml:space="preserve">This percentage corresponds </w:t>
      </w:r>
      <w:r w:rsidR="00CD4BCD" w:rsidRPr="00CD4BCD">
        <w:rPr>
          <w:sz w:val="22"/>
          <w:szCs w:val="22"/>
        </w:rPr>
        <w:t>to</w:t>
      </w:r>
      <w:r w:rsidR="00CD4BCD">
        <w:rPr>
          <w:sz w:val="22"/>
          <w:szCs w:val="22"/>
        </w:rPr>
        <w:t xml:space="preserve"> </w:t>
      </w:r>
      <w:r w:rsidR="00CD4BCD" w:rsidRPr="00CD4BCD">
        <w:rPr>
          <w:sz w:val="22"/>
          <w:szCs w:val="22"/>
        </w:rPr>
        <w:t xml:space="preserve">the extent to which the </w:t>
      </w:r>
      <w:r w:rsidR="00CD4BCD" w:rsidRPr="00CD4BCD">
        <w:rPr>
          <w:b/>
          <w:i/>
          <w:sz w:val="22"/>
          <w:szCs w:val="22"/>
        </w:rPr>
        <w:t>sub-sector regulatory costs</w:t>
      </w:r>
      <w:r w:rsidR="00CD4BCD" w:rsidRPr="00CD4BCD">
        <w:rPr>
          <w:sz w:val="22"/>
          <w:szCs w:val="22"/>
        </w:rPr>
        <w:t xml:space="preserve"> in relation to the </w:t>
      </w:r>
      <w:r w:rsidR="00CD4BCD" w:rsidRPr="00CD4BCD">
        <w:rPr>
          <w:b/>
          <w:i/>
          <w:sz w:val="22"/>
          <w:szCs w:val="22"/>
        </w:rPr>
        <w:t>large futures exchange participants</w:t>
      </w:r>
      <w:r w:rsidR="00CD4BCD" w:rsidRPr="00CD4BCD">
        <w:rPr>
          <w:sz w:val="22"/>
          <w:szCs w:val="22"/>
        </w:rPr>
        <w:t xml:space="preserve"> sub-sector for the financial year are attributable to costs relating to information technology.</w:t>
      </w:r>
    </w:p>
    <w:p w14:paraId="7C443965" w14:textId="07F9E0D2" w:rsidR="003E1843" w:rsidRPr="003E1843" w:rsidRDefault="003E1843" w:rsidP="003E1843">
      <w:pPr>
        <w:pStyle w:val="LI-BodyTextNumbered"/>
        <w:ind w:left="567"/>
        <w:rPr>
          <w:sz w:val="22"/>
          <w:szCs w:val="22"/>
        </w:rPr>
      </w:pPr>
      <w:r w:rsidRPr="003E1843">
        <w:rPr>
          <w:sz w:val="22"/>
          <w:szCs w:val="22"/>
        </w:rPr>
        <w:t>3.1</w:t>
      </w:r>
      <w:r w:rsidR="00770C0B">
        <w:rPr>
          <w:sz w:val="22"/>
          <w:szCs w:val="22"/>
        </w:rPr>
        <w:t>3</w:t>
      </w:r>
      <w:r w:rsidRPr="003E1843">
        <w:rPr>
          <w:sz w:val="22"/>
          <w:szCs w:val="22"/>
        </w:rPr>
        <w:tab/>
      </w:r>
      <w:r>
        <w:rPr>
          <w:sz w:val="22"/>
          <w:szCs w:val="22"/>
        </w:rPr>
        <w:t>A</w:t>
      </w:r>
      <w:r w:rsidRPr="003E1843">
        <w:rPr>
          <w:sz w:val="22"/>
          <w:szCs w:val="22"/>
        </w:rPr>
        <w:t xml:space="preserve">SIC worked out the </w:t>
      </w:r>
      <w:r w:rsidRPr="003E1843">
        <w:rPr>
          <w:b/>
          <w:i/>
          <w:sz w:val="22"/>
          <w:szCs w:val="22"/>
        </w:rPr>
        <w:t>IT percentage</w:t>
      </w:r>
      <w:r>
        <w:rPr>
          <w:sz w:val="22"/>
          <w:szCs w:val="22"/>
        </w:rPr>
        <w:t xml:space="preserve"> </w:t>
      </w:r>
      <w:r w:rsidRPr="003E1843">
        <w:rPr>
          <w:sz w:val="22"/>
          <w:szCs w:val="22"/>
        </w:rPr>
        <w:t xml:space="preserve">in relation to the </w:t>
      </w:r>
      <w:r w:rsidRPr="003E1843">
        <w:rPr>
          <w:b/>
          <w:i/>
          <w:sz w:val="22"/>
          <w:szCs w:val="22"/>
        </w:rPr>
        <w:t>graduated levy component</w:t>
      </w:r>
      <w:r w:rsidRPr="003E1843">
        <w:rPr>
          <w:sz w:val="22"/>
          <w:szCs w:val="22"/>
        </w:rPr>
        <w:t xml:space="preserve"> based on the information contained in the returns lodged with ASIC under section 11 of the Collection Act.</w:t>
      </w:r>
    </w:p>
    <w:bookmarkEnd w:id="10"/>
    <w:p w14:paraId="49A7FBD6" w14:textId="77777777" w:rsidR="003E1843" w:rsidRDefault="003E1843" w:rsidP="003E1843">
      <w:pPr>
        <w:pStyle w:val="BodyText"/>
        <w:numPr>
          <w:ilvl w:val="0"/>
          <w:numId w:val="0"/>
        </w:numPr>
        <w:spacing w:before="0" w:line="240" w:lineRule="auto"/>
        <w:ind w:left="567" w:hanging="567"/>
      </w:pPr>
    </w:p>
    <w:p w14:paraId="43DFD3EC" w14:textId="10E00EFD" w:rsidR="003E1843" w:rsidRPr="00965AFB" w:rsidRDefault="003E1843" w:rsidP="003E1843">
      <w:pPr>
        <w:pStyle w:val="BodyText"/>
        <w:numPr>
          <w:ilvl w:val="0"/>
          <w:numId w:val="0"/>
        </w:numPr>
        <w:spacing w:before="0" w:line="240" w:lineRule="auto"/>
        <w:ind w:left="567"/>
        <w:rPr>
          <w:u w:val="single"/>
        </w:rPr>
      </w:pPr>
      <w:r w:rsidRPr="00965AFB">
        <w:rPr>
          <w:b/>
          <w:i/>
          <w:u w:val="single"/>
        </w:rPr>
        <w:t>IT percentage</w:t>
      </w:r>
      <w:r w:rsidRPr="00965AFB">
        <w:rPr>
          <w:i/>
          <w:u w:val="single"/>
        </w:rPr>
        <w:t xml:space="preserve"> </w:t>
      </w:r>
      <w:r w:rsidRPr="00965AFB">
        <w:rPr>
          <w:u w:val="single"/>
        </w:rPr>
        <w:t xml:space="preserve">in relation to the </w:t>
      </w:r>
      <w:r w:rsidRPr="00965AFB">
        <w:rPr>
          <w:b/>
          <w:i/>
          <w:u w:val="single"/>
        </w:rPr>
        <w:t xml:space="preserve">large </w:t>
      </w:r>
      <w:r>
        <w:rPr>
          <w:b/>
          <w:i/>
          <w:u w:val="single"/>
        </w:rPr>
        <w:t>securities</w:t>
      </w:r>
      <w:r w:rsidRPr="00965AFB">
        <w:rPr>
          <w:b/>
          <w:i/>
          <w:u w:val="single"/>
        </w:rPr>
        <w:t xml:space="preserve"> exchange participants</w:t>
      </w:r>
    </w:p>
    <w:p w14:paraId="7CD1D594" w14:textId="6875F55C" w:rsidR="003E1843" w:rsidRPr="003E1843" w:rsidRDefault="003E1843" w:rsidP="003E1843">
      <w:pPr>
        <w:pStyle w:val="LI-BodyTextNumbered"/>
        <w:ind w:left="567"/>
        <w:rPr>
          <w:sz w:val="22"/>
          <w:szCs w:val="22"/>
        </w:rPr>
      </w:pPr>
      <w:r>
        <w:rPr>
          <w:sz w:val="22"/>
          <w:szCs w:val="22"/>
        </w:rPr>
        <w:t>3.1</w:t>
      </w:r>
      <w:r w:rsidR="00770C0B">
        <w:rPr>
          <w:sz w:val="22"/>
          <w:szCs w:val="22"/>
        </w:rPr>
        <w:t>4</w:t>
      </w:r>
      <w:r>
        <w:rPr>
          <w:sz w:val="22"/>
          <w:szCs w:val="22"/>
        </w:rPr>
        <w:tab/>
        <w:t xml:space="preserve">The levy component for a leviable entity that forms part of the </w:t>
      </w:r>
      <w:r w:rsidRPr="003E1843">
        <w:rPr>
          <w:b/>
          <w:i/>
          <w:sz w:val="22"/>
          <w:szCs w:val="22"/>
        </w:rPr>
        <w:t xml:space="preserve">large </w:t>
      </w:r>
      <w:r>
        <w:rPr>
          <w:b/>
          <w:i/>
          <w:sz w:val="22"/>
          <w:szCs w:val="22"/>
        </w:rPr>
        <w:t xml:space="preserve">securities </w:t>
      </w:r>
      <w:r w:rsidRPr="003E1843">
        <w:rPr>
          <w:b/>
          <w:i/>
          <w:sz w:val="22"/>
          <w:szCs w:val="22"/>
        </w:rPr>
        <w:t>exchange participants sector</w:t>
      </w:r>
      <w:r>
        <w:rPr>
          <w:sz w:val="22"/>
          <w:szCs w:val="22"/>
        </w:rPr>
        <w:t xml:space="preserve"> is based on, among other things, the </w:t>
      </w:r>
      <w:r w:rsidRPr="003E1843">
        <w:rPr>
          <w:b/>
          <w:i/>
          <w:sz w:val="22"/>
          <w:szCs w:val="22"/>
        </w:rPr>
        <w:t>IT percentage</w:t>
      </w:r>
      <w:r>
        <w:rPr>
          <w:sz w:val="22"/>
          <w:szCs w:val="22"/>
        </w:rPr>
        <w:t xml:space="preserve"> of the </w:t>
      </w:r>
      <w:r w:rsidRPr="003E1843">
        <w:rPr>
          <w:b/>
          <w:i/>
          <w:sz w:val="22"/>
          <w:szCs w:val="22"/>
        </w:rPr>
        <w:t>graduated levy component</w:t>
      </w:r>
      <w:r>
        <w:rPr>
          <w:sz w:val="22"/>
          <w:szCs w:val="22"/>
        </w:rPr>
        <w:t xml:space="preserve"> for the entity for the sub-sector.</w:t>
      </w:r>
    </w:p>
    <w:p w14:paraId="18FB8E99" w14:textId="15E6D88E" w:rsidR="003E1843" w:rsidRDefault="003E1843" w:rsidP="003E1843">
      <w:pPr>
        <w:pStyle w:val="LI-BodyTextNumbered"/>
        <w:ind w:left="567"/>
        <w:rPr>
          <w:sz w:val="22"/>
          <w:szCs w:val="22"/>
        </w:rPr>
      </w:pPr>
      <w:r w:rsidRPr="00CD4BCD">
        <w:rPr>
          <w:sz w:val="22"/>
          <w:szCs w:val="22"/>
        </w:rPr>
        <w:t>3.</w:t>
      </w:r>
      <w:r>
        <w:rPr>
          <w:sz w:val="22"/>
          <w:szCs w:val="22"/>
        </w:rPr>
        <w:t>1</w:t>
      </w:r>
      <w:r w:rsidR="00770C0B">
        <w:rPr>
          <w:sz w:val="22"/>
          <w:szCs w:val="22"/>
        </w:rPr>
        <w:t>5</w:t>
      </w:r>
      <w:r w:rsidRPr="00CD4BCD">
        <w:rPr>
          <w:sz w:val="22"/>
          <w:szCs w:val="22"/>
        </w:rPr>
        <w:tab/>
        <w:t xml:space="preserve">Section </w:t>
      </w:r>
      <w:r w:rsidR="00183FFE">
        <w:rPr>
          <w:sz w:val="22"/>
          <w:szCs w:val="22"/>
        </w:rPr>
        <w:t>9</w:t>
      </w:r>
      <w:r w:rsidRPr="00CD4BCD">
        <w:rPr>
          <w:sz w:val="22"/>
          <w:szCs w:val="22"/>
        </w:rPr>
        <w:t xml:space="preserve"> of the instrument specifies </w:t>
      </w:r>
      <w:r>
        <w:rPr>
          <w:sz w:val="22"/>
          <w:szCs w:val="22"/>
        </w:rPr>
        <w:t xml:space="preserve">a </w:t>
      </w:r>
      <w:r w:rsidRPr="00CD4BCD">
        <w:rPr>
          <w:sz w:val="22"/>
          <w:szCs w:val="22"/>
        </w:rPr>
        <w:t xml:space="preserve">percentage </w:t>
      </w:r>
      <w:r>
        <w:rPr>
          <w:sz w:val="22"/>
          <w:szCs w:val="22"/>
        </w:rPr>
        <w:t xml:space="preserve">of </w:t>
      </w:r>
      <w:r w:rsidR="00D42E37" w:rsidRPr="00456F4E">
        <w:rPr>
          <w:sz w:val="22"/>
          <w:szCs w:val="22"/>
        </w:rPr>
        <w:t>2</w:t>
      </w:r>
      <w:r w:rsidR="00C740AE">
        <w:rPr>
          <w:sz w:val="22"/>
          <w:szCs w:val="22"/>
        </w:rPr>
        <w:t>8.38</w:t>
      </w:r>
      <w:r w:rsidRPr="00456F4E">
        <w:rPr>
          <w:sz w:val="22"/>
          <w:szCs w:val="22"/>
        </w:rPr>
        <w:t>%</w:t>
      </w:r>
      <w:r>
        <w:rPr>
          <w:sz w:val="22"/>
          <w:szCs w:val="22"/>
        </w:rPr>
        <w:t xml:space="preserve"> for the purposes of </w:t>
      </w:r>
      <w:r w:rsidR="00254327">
        <w:rPr>
          <w:sz w:val="22"/>
          <w:szCs w:val="22"/>
        </w:rPr>
        <w:t>subsection </w:t>
      </w:r>
      <w:r>
        <w:rPr>
          <w:sz w:val="22"/>
          <w:szCs w:val="22"/>
        </w:rPr>
        <w:t>6</w:t>
      </w:r>
      <w:r w:rsidR="00102BEA">
        <w:rPr>
          <w:sz w:val="22"/>
          <w:szCs w:val="22"/>
        </w:rPr>
        <w:t>5</w:t>
      </w:r>
      <w:r>
        <w:rPr>
          <w:sz w:val="22"/>
          <w:szCs w:val="22"/>
        </w:rPr>
        <w:t xml:space="preserve">(5) of the Cost Recovery Regulations. </w:t>
      </w:r>
    </w:p>
    <w:p w14:paraId="059A3291" w14:textId="1FE6DD48" w:rsidR="003E1843" w:rsidRDefault="003E1843" w:rsidP="003E1843">
      <w:pPr>
        <w:pStyle w:val="LI-BodyTextNumbered"/>
        <w:ind w:left="567"/>
        <w:rPr>
          <w:sz w:val="22"/>
          <w:szCs w:val="22"/>
        </w:rPr>
      </w:pPr>
      <w:r>
        <w:rPr>
          <w:sz w:val="22"/>
          <w:szCs w:val="22"/>
        </w:rPr>
        <w:t>3.1</w:t>
      </w:r>
      <w:r w:rsidR="00770C0B">
        <w:rPr>
          <w:sz w:val="22"/>
          <w:szCs w:val="22"/>
        </w:rPr>
        <w:t>6</w:t>
      </w:r>
      <w:r>
        <w:rPr>
          <w:sz w:val="22"/>
          <w:szCs w:val="22"/>
        </w:rPr>
        <w:tab/>
        <w:t xml:space="preserve">This percentage corresponds </w:t>
      </w:r>
      <w:r w:rsidRPr="00CD4BCD">
        <w:rPr>
          <w:sz w:val="22"/>
          <w:szCs w:val="22"/>
        </w:rPr>
        <w:t>to</w:t>
      </w:r>
      <w:r>
        <w:rPr>
          <w:sz w:val="22"/>
          <w:szCs w:val="22"/>
        </w:rPr>
        <w:t xml:space="preserve"> </w:t>
      </w:r>
      <w:r w:rsidRPr="00CD4BCD">
        <w:rPr>
          <w:sz w:val="22"/>
          <w:szCs w:val="22"/>
        </w:rPr>
        <w:t xml:space="preserve">the extent to which the </w:t>
      </w:r>
      <w:r w:rsidRPr="00CD4BCD">
        <w:rPr>
          <w:b/>
          <w:i/>
          <w:sz w:val="22"/>
          <w:szCs w:val="22"/>
        </w:rPr>
        <w:t>sub-sector regulatory costs</w:t>
      </w:r>
      <w:r w:rsidRPr="00CD4BCD">
        <w:rPr>
          <w:sz w:val="22"/>
          <w:szCs w:val="22"/>
        </w:rPr>
        <w:t xml:space="preserve"> in relation to the </w:t>
      </w:r>
      <w:r w:rsidRPr="00CD4BCD">
        <w:rPr>
          <w:b/>
          <w:i/>
          <w:sz w:val="22"/>
          <w:szCs w:val="22"/>
        </w:rPr>
        <w:t>large </w:t>
      </w:r>
      <w:r w:rsidR="00102BEA">
        <w:rPr>
          <w:b/>
          <w:i/>
          <w:sz w:val="22"/>
          <w:szCs w:val="22"/>
        </w:rPr>
        <w:t xml:space="preserve">securities </w:t>
      </w:r>
      <w:r w:rsidRPr="00CD4BCD">
        <w:rPr>
          <w:b/>
          <w:i/>
          <w:sz w:val="22"/>
          <w:szCs w:val="22"/>
        </w:rPr>
        <w:t>exchange participants</w:t>
      </w:r>
      <w:r w:rsidRPr="00CD4BCD">
        <w:rPr>
          <w:sz w:val="22"/>
          <w:szCs w:val="22"/>
        </w:rPr>
        <w:t xml:space="preserve"> sub-sector for the financial year are attributable to costs relating to information technology.</w:t>
      </w:r>
    </w:p>
    <w:p w14:paraId="079293E2" w14:textId="50C499B8" w:rsidR="003E1843" w:rsidRDefault="003E1843" w:rsidP="003E1843">
      <w:pPr>
        <w:pStyle w:val="LI-BodyTextNumbered"/>
        <w:ind w:left="567"/>
        <w:rPr>
          <w:sz w:val="22"/>
          <w:szCs w:val="22"/>
        </w:rPr>
      </w:pPr>
      <w:r w:rsidRPr="003E1843">
        <w:rPr>
          <w:sz w:val="22"/>
          <w:szCs w:val="22"/>
        </w:rPr>
        <w:t>3.1</w:t>
      </w:r>
      <w:r w:rsidR="00770C0B">
        <w:rPr>
          <w:sz w:val="22"/>
          <w:szCs w:val="22"/>
        </w:rPr>
        <w:t>7</w:t>
      </w:r>
      <w:r w:rsidRPr="003E1843">
        <w:rPr>
          <w:sz w:val="22"/>
          <w:szCs w:val="22"/>
        </w:rPr>
        <w:tab/>
      </w:r>
      <w:r>
        <w:rPr>
          <w:sz w:val="22"/>
          <w:szCs w:val="22"/>
        </w:rPr>
        <w:t>A</w:t>
      </w:r>
      <w:r w:rsidRPr="003E1843">
        <w:rPr>
          <w:sz w:val="22"/>
          <w:szCs w:val="22"/>
        </w:rPr>
        <w:t xml:space="preserve">SIC worked out the </w:t>
      </w:r>
      <w:r w:rsidRPr="003E1843">
        <w:rPr>
          <w:b/>
          <w:i/>
          <w:sz w:val="22"/>
          <w:szCs w:val="22"/>
        </w:rPr>
        <w:t>IT percentage</w:t>
      </w:r>
      <w:r>
        <w:rPr>
          <w:sz w:val="22"/>
          <w:szCs w:val="22"/>
        </w:rPr>
        <w:t xml:space="preserve"> </w:t>
      </w:r>
      <w:r w:rsidRPr="003E1843">
        <w:rPr>
          <w:sz w:val="22"/>
          <w:szCs w:val="22"/>
        </w:rPr>
        <w:t xml:space="preserve">in relation to the </w:t>
      </w:r>
      <w:r w:rsidRPr="003E1843">
        <w:rPr>
          <w:b/>
          <w:i/>
          <w:sz w:val="22"/>
          <w:szCs w:val="22"/>
        </w:rPr>
        <w:t>graduated levy component</w:t>
      </w:r>
      <w:r w:rsidRPr="003E1843">
        <w:rPr>
          <w:sz w:val="22"/>
          <w:szCs w:val="22"/>
        </w:rPr>
        <w:t xml:space="preserve"> based on the information contained in the returns lodged with ASIC under section 11 of the Collection Act.</w:t>
      </w:r>
    </w:p>
    <w:p w14:paraId="2DAC59BB" w14:textId="77777777" w:rsidR="006934B1" w:rsidRDefault="006934B1" w:rsidP="001C629E">
      <w:pPr>
        <w:pStyle w:val="BodyText"/>
        <w:numPr>
          <w:ilvl w:val="0"/>
          <w:numId w:val="0"/>
        </w:numPr>
        <w:spacing w:before="0" w:line="240" w:lineRule="auto"/>
        <w:ind w:left="1134" w:hanging="567"/>
      </w:pPr>
    </w:p>
    <w:p w14:paraId="1EBA5DBB" w14:textId="54B683B5" w:rsidR="00737FEF" w:rsidRDefault="00737FEF" w:rsidP="0087748D">
      <w:pPr>
        <w:pStyle w:val="BodyText"/>
        <w:numPr>
          <w:ilvl w:val="0"/>
          <w:numId w:val="0"/>
        </w:numPr>
        <w:spacing w:before="0" w:line="240" w:lineRule="auto"/>
        <w:ind w:left="567" w:hanging="567"/>
      </w:pPr>
    </w:p>
    <w:p w14:paraId="398E8580" w14:textId="3B29A470" w:rsidR="00BD5946" w:rsidRDefault="0087429C" w:rsidP="0087429C">
      <w:pPr>
        <w:pStyle w:val="Heading3"/>
        <w:keepNext w:val="0"/>
        <w:widowControl w:val="0"/>
        <w:tabs>
          <w:tab w:val="left" w:pos="1593"/>
        </w:tabs>
        <w:spacing w:before="0" w:line="240" w:lineRule="auto"/>
        <w:ind w:left="567" w:hanging="567"/>
      </w:pPr>
      <w:bookmarkStart w:id="11" w:name="5._Consultation"/>
      <w:bookmarkEnd w:id="11"/>
      <w:r>
        <w:t>4.</w:t>
      </w:r>
      <w:r>
        <w:tab/>
      </w:r>
      <w:r w:rsidR="0036622A">
        <w:t>Consultation</w:t>
      </w:r>
    </w:p>
    <w:p w14:paraId="102052B4" w14:textId="77777777" w:rsidR="005059E8" w:rsidRDefault="005059E8" w:rsidP="00C16DA2">
      <w:pPr>
        <w:spacing w:after="0"/>
        <w:ind w:left="567" w:hanging="567"/>
      </w:pPr>
    </w:p>
    <w:p w14:paraId="6BCD3A34" w14:textId="14E429B2" w:rsidR="0087429C" w:rsidRDefault="0087429C" w:rsidP="00C16DA2">
      <w:pPr>
        <w:spacing w:after="0"/>
        <w:ind w:left="567" w:hanging="567"/>
      </w:pPr>
      <w:r>
        <w:t>4.1</w:t>
      </w:r>
      <w:r>
        <w:tab/>
      </w:r>
      <w:r w:rsidR="00C16DA2">
        <w:t xml:space="preserve">Section 17 of the </w:t>
      </w:r>
      <w:r w:rsidR="00C16DA2" w:rsidRPr="00C16DA2">
        <w:rPr>
          <w:i/>
        </w:rPr>
        <w:t>Legislation Act 2003</w:t>
      </w:r>
      <w:r w:rsidR="00C16DA2">
        <w:t xml:space="preserve"> provides that, before a legislative instrument is made, t</w:t>
      </w:r>
      <w:r w:rsidRPr="0087429C">
        <w:t>he rule-maker must be satisfied that there has been undertaken any consultation that is</w:t>
      </w:r>
      <w:r w:rsidR="00C16DA2">
        <w:t xml:space="preserve"> c</w:t>
      </w:r>
      <w:r w:rsidRPr="0087429C">
        <w:t>onsidered by the rule-maker to be appropriate</w:t>
      </w:r>
      <w:r w:rsidR="00C16DA2">
        <w:t xml:space="preserve">, </w:t>
      </w:r>
      <w:r w:rsidRPr="0087429C">
        <w:t xml:space="preserve">and reasonably practicable to undertake. </w:t>
      </w:r>
    </w:p>
    <w:p w14:paraId="70D6C75B" w14:textId="7AAADE39" w:rsidR="00C16DA2" w:rsidRDefault="00C16DA2" w:rsidP="00C16DA2">
      <w:pPr>
        <w:spacing w:after="0"/>
        <w:ind w:left="567" w:hanging="567"/>
      </w:pPr>
    </w:p>
    <w:p w14:paraId="4B5FEA7E" w14:textId="77777777" w:rsidR="005059E8" w:rsidRDefault="00C16DA2" w:rsidP="005059E8">
      <w:pPr>
        <w:spacing w:after="0"/>
        <w:ind w:left="567" w:hanging="567"/>
      </w:pPr>
      <w:r>
        <w:t>4.2</w:t>
      </w:r>
      <w:r>
        <w:tab/>
      </w:r>
      <w:r w:rsidR="0087429C" w:rsidRPr="0087429C">
        <w:t>In determining whether any consultation that was undertaken is appropriate, the rule-maker may have regard to any relevant matter, including the extent to which the consultation</w:t>
      </w:r>
      <w:r w:rsidR="005059E8">
        <w:t xml:space="preserve"> </w:t>
      </w:r>
      <w:r w:rsidR="0087429C" w:rsidRPr="0087429C">
        <w:t>drew on the knowledge of persons having expertise in fields relevant to the proposed instrument</w:t>
      </w:r>
      <w:r w:rsidR="005059E8">
        <w:t xml:space="preserve">. </w:t>
      </w:r>
    </w:p>
    <w:p w14:paraId="313B5DF2" w14:textId="434B88E5" w:rsidR="001D3F18" w:rsidRDefault="005059E8" w:rsidP="001D3F18">
      <w:pPr>
        <w:pStyle w:val="LI-BodyTextNumbered"/>
        <w:ind w:left="567"/>
        <w:rPr>
          <w:sz w:val="22"/>
          <w:szCs w:val="22"/>
        </w:rPr>
      </w:pPr>
      <w:r w:rsidRPr="001D3F18">
        <w:rPr>
          <w:sz w:val="22"/>
          <w:szCs w:val="22"/>
        </w:rPr>
        <w:t>4.3</w:t>
      </w:r>
      <w:r w:rsidRPr="001D3F18">
        <w:rPr>
          <w:sz w:val="22"/>
          <w:szCs w:val="22"/>
        </w:rPr>
        <w:tab/>
        <w:t>ASIC did n</w:t>
      </w:r>
      <w:r w:rsidR="005472FB" w:rsidRPr="001D3F18">
        <w:rPr>
          <w:sz w:val="22"/>
          <w:szCs w:val="22"/>
        </w:rPr>
        <w:t xml:space="preserve">ot </w:t>
      </w:r>
      <w:r w:rsidRPr="001D3F18">
        <w:rPr>
          <w:sz w:val="22"/>
          <w:szCs w:val="22"/>
        </w:rPr>
        <w:t>engage</w:t>
      </w:r>
      <w:r w:rsidR="005472FB" w:rsidRPr="001D3F18">
        <w:rPr>
          <w:sz w:val="22"/>
          <w:szCs w:val="22"/>
        </w:rPr>
        <w:t xml:space="preserve"> in consultation before making this legislative instrument. The reason why no consultation was undertaken was because the instrument specifies </w:t>
      </w:r>
      <w:r w:rsidR="001D3F18" w:rsidRPr="001D3F18">
        <w:rPr>
          <w:sz w:val="22"/>
          <w:szCs w:val="22"/>
        </w:rPr>
        <w:t xml:space="preserve">numbers, amounts </w:t>
      </w:r>
      <w:r w:rsidR="001D3F18">
        <w:rPr>
          <w:sz w:val="22"/>
          <w:szCs w:val="22"/>
        </w:rPr>
        <w:t xml:space="preserve">and </w:t>
      </w:r>
      <w:r w:rsidR="001D3F18" w:rsidRPr="001D3F18">
        <w:rPr>
          <w:sz w:val="22"/>
          <w:szCs w:val="22"/>
        </w:rPr>
        <w:t xml:space="preserve">percentages that </w:t>
      </w:r>
      <w:r w:rsidR="00CA7BD2">
        <w:rPr>
          <w:sz w:val="22"/>
          <w:szCs w:val="22"/>
        </w:rPr>
        <w:t>are</w:t>
      </w:r>
      <w:r w:rsidR="001D3F18" w:rsidRPr="001D3F18">
        <w:rPr>
          <w:sz w:val="22"/>
          <w:szCs w:val="22"/>
        </w:rPr>
        <w:t xml:space="preserve"> calculated based on the </w:t>
      </w:r>
      <w:r w:rsidR="005472FB" w:rsidRPr="001D3F18">
        <w:rPr>
          <w:sz w:val="22"/>
          <w:szCs w:val="22"/>
        </w:rPr>
        <w:t xml:space="preserve">information </w:t>
      </w:r>
      <w:r w:rsidR="001D3F18" w:rsidRPr="001D3F18">
        <w:rPr>
          <w:sz w:val="22"/>
          <w:szCs w:val="22"/>
        </w:rPr>
        <w:t>contained in the returns lodged with ASIC under section 11 of the Collection Act</w:t>
      </w:r>
      <w:r w:rsidR="001D3F18">
        <w:rPr>
          <w:sz w:val="22"/>
          <w:szCs w:val="22"/>
        </w:rPr>
        <w:t xml:space="preserve"> and applied according to pre-determined formulae set out in the Cost Recovery Regulations</w:t>
      </w:r>
      <w:r w:rsidR="001D3F18" w:rsidRPr="001D3F18">
        <w:rPr>
          <w:sz w:val="22"/>
          <w:szCs w:val="22"/>
        </w:rPr>
        <w:t>.</w:t>
      </w:r>
    </w:p>
    <w:p w14:paraId="0977D60B" w14:textId="46D79609" w:rsidR="00CA7BD2" w:rsidRDefault="004C7074" w:rsidP="001D3F18">
      <w:pPr>
        <w:pStyle w:val="LI-BodyTextNumbered"/>
        <w:ind w:left="567"/>
        <w:rPr>
          <w:sz w:val="22"/>
          <w:szCs w:val="22"/>
        </w:rPr>
      </w:pPr>
      <w:r>
        <w:rPr>
          <w:sz w:val="22"/>
          <w:szCs w:val="22"/>
        </w:rPr>
        <w:t>4.4</w:t>
      </w:r>
      <w:r>
        <w:rPr>
          <w:sz w:val="22"/>
          <w:szCs w:val="22"/>
        </w:rPr>
        <w:tab/>
      </w:r>
      <w:r w:rsidR="00B7440E">
        <w:rPr>
          <w:sz w:val="22"/>
          <w:szCs w:val="22"/>
        </w:rPr>
        <w:t xml:space="preserve">In certain circumstances, ASIC may give a leviable entity a notice (a </w:t>
      </w:r>
      <w:r w:rsidR="00B7440E" w:rsidRPr="00B7440E">
        <w:rPr>
          <w:b/>
          <w:i/>
          <w:sz w:val="22"/>
          <w:szCs w:val="22"/>
        </w:rPr>
        <w:t>default notice</w:t>
      </w:r>
      <w:r w:rsidR="00B7440E">
        <w:rPr>
          <w:sz w:val="22"/>
          <w:szCs w:val="22"/>
        </w:rPr>
        <w:t>) stating the amount that, in ASIC’s opinion, is the levy payable by the leviable entity for a financial year. These circumstances, which are set out in section 12 of the Collection Act, includes where a person has failed to provide to ASIC a return containing information relating to the leviable entity or ASIC is not satisfied with information provided by a person in a return.</w:t>
      </w:r>
    </w:p>
    <w:p w14:paraId="69F6D96C" w14:textId="1A4BB06C" w:rsidR="00CA7BD2" w:rsidRDefault="00CA7BD2" w:rsidP="001D3F18">
      <w:pPr>
        <w:pStyle w:val="LI-BodyTextNumbered"/>
        <w:ind w:left="567"/>
        <w:rPr>
          <w:sz w:val="22"/>
          <w:szCs w:val="22"/>
        </w:rPr>
      </w:pPr>
      <w:r>
        <w:rPr>
          <w:sz w:val="22"/>
          <w:szCs w:val="22"/>
        </w:rPr>
        <w:lastRenderedPageBreak/>
        <w:t>4.5</w:t>
      </w:r>
      <w:r>
        <w:rPr>
          <w:sz w:val="22"/>
          <w:szCs w:val="22"/>
        </w:rPr>
        <w:tab/>
        <w:t>The amount stated in the default notice is taken to be the levy payable by the person for the financial </w:t>
      </w:r>
      <w:proofErr w:type="gramStart"/>
      <w:r>
        <w:rPr>
          <w:sz w:val="22"/>
          <w:szCs w:val="22"/>
        </w:rPr>
        <w:t>year, unless</w:t>
      </w:r>
      <w:proofErr w:type="gramEnd"/>
      <w:r>
        <w:rPr>
          <w:sz w:val="22"/>
          <w:szCs w:val="22"/>
        </w:rPr>
        <w:t xml:space="preserve"> the contrary is proved. </w:t>
      </w:r>
      <w:r w:rsidR="00B7440E">
        <w:rPr>
          <w:sz w:val="22"/>
          <w:szCs w:val="22"/>
        </w:rPr>
        <w:t xml:space="preserve">While the issue of default notices involves the exercise by ASIC of a discretionary power </w:t>
      </w:r>
      <w:r>
        <w:rPr>
          <w:sz w:val="22"/>
          <w:szCs w:val="22"/>
        </w:rPr>
        <w:t>where the amount of the levy stated in the default notice is based on ASIC</w:t>
      </w:r>
      <w:r w:rsidR="00C77AED">
        <w:rPr>
          <w:sz w:val="22"/>
          <w:szCs w:val="22"/>
        </w:rPr>
        <w:t>’</w:t>
      </w:r>
      <w:r>
        <w:rPr>
          <w:sz w:val="22"/>
          <w:szCs w:val="22"/>
        </w:rPr>
        <w:t>s opinion, it is anticipated that ASIC would only have cause to issue default notices in a minority of cases.</w:t>
      </w:r>
    </w:p>
    <w:p w14:paraId="1D30A27B" w14:textId="77777777" w:rsidR="00CA7BD2" w:rsidRDefault="00CA7BD2">
      <w:pPr>
        <w:spacing w:after="160" w:line="259" w:lineRule="auto"/>
        <w:rPr>
          <w:szCs w:val="22"/>
        </w:rPr>
      </w:pPr>
      <w:r>
        <w:rPr>
          <w:szCs w:val="22"/>
        </w:rPr>
        <w:br w:type="page"/>
      </w:r>
    </w:p>
    <w:p w14:paraId="74ADC060" w14:textId="77777777" w:rsidR="008C6401" w:rsidRPr="00917814" w:rsidRDefault="008C6401" w:rsidP="008C6401">
      <w:pPr>
        <w:spacing w:before="360" w:after="120"/>
        <w:jc w:val="center"/>
        <w:rPr>
          <w:b/>
          <w:sz w:val="28"/>
          <w:szCs w:val="28"/>
        </w:rPr>
      </w:pPr>
      <w:r w:rsidRPr="00917814">
        <w:rPr>
          <w:b/>
          <w:sz w:val="28"/>
          <w:szCs w:val="28"/>
        </w:rPr>
        <w:lastRenderedPageBreak/>
        <w:t>Statement of Compatibility with Human Rights</w:t>
      </w:r>
    </w:p>
    <w:p w14:paraId="78A85982" w14:textId="77777777" w:rsidR="00917814" w:rsidRDefault="00917814" w:rsidP="00917814">
      <w:pPr>
        <w:spacing w:after="0"/>
        <w:jc w:val="center"/>
        <w:rPr>
          <w:i/>
          <w:szCs w:val="22"/>
        </w:rPr>
      </w:pPr>
    </w:p>
    <w:p w14:paraId="48BA100C" w14:textId="6D7EDA51" w:rsidR="008C6401" w:rsidRDefault="008C6401" w:rsidP="00917814">
      <w:pPr>
        <w:spacing w:after="0"/>
        <w:jc w:val="center"/>
        <w:rPr>
          <w:i/>
          <w:szCs w:val="22"/>
        </w:rPr>
      </w:pPr>
      <w:r w:rsidRPr="00CF6C4B">
        <w:rPr>
          <w:i/>
          <w:szCs w:val="22"/>
        </w:rPr>
        <w:t>Prepared in accordance with Part 3 of the Human Rights (Parliamentary Scrutiny) Act 2011</w:t>
      </w:r>
    </w:p>
    <w:p w14:paraId="368A4CA3" w14:textId="77777777" w:rsidR="00917814" w:rsidRPr="00CF6C4B" w:rsidRDefault="00917814" w:rsidP="00917814">
      <w:pPr>
        <w:spacing w:after="0"/>
        <w:jc w:val="center"/>
        <w:rPr>
          <w:szCs w:val="22"/>
        </w:rPr>
      </w:pPr>
    </w:p>
    <w:p w14:paraId="01F1AB39" w14:textId="303D1C77" w:rsidR="008C6401" w:rsidRPr="00CF6C4B" w:rsidRDefault="00BC2187" w:rsidP="00917814">
      <w:pPr>
        <w:spacing w:after="0"/>
        <w:jc w:val="center"/>
        <w:rPr>
          <w:b/>
          <w:i/>
          <w:szCs w:val="22"/>
        </w:rPr>
      </w:pPr>
      <w:r w:rsidRPr="00CF6C4B">
        <w:rPr>
          <w:b/>
          <w:i/>
          <w:szCs w:val="22"/>
        </w:rPr>
        <w:t>ASIC (Supervisory Cost Recovery Levy—</w:t>
      </w:r>
      <w:r w:rsidR="001D3F18">
        <w:rPr>
          <w:b/>
          <w:i/>
          <w:szCs w:val="22"/>
        </w:rPr>
        <w:t>Annual Determination</w:t>
      </w:r>
      <w:r w:rsidRPr="00CF6C4B">
        <w:rPr>
          <w:b/>
          <w:i/>
          <w:szCs w:val="22"/>
        </w:rPr>
        <w:t>) Instrument 2018/</w:t>
      </w:r>
      <w:r w:rsidR="00455BB3">
        <w:rPr>
          <w:b/>
          <w:i/>
          <w:szCs w:val="22"/>
        </w:rPr>
        <w:t>1063</w:t>
      </w:r>
      <w:r w:rsidR="008C6401" w:rsidRPr="00CF6C4B">
        <w:rPr>
          <w:b/>
          <w:i/>
          <w:szCs w:val="22"/>
        </w:rPr>
        <w:t xml:space="preserve"> </w:t>
      </w:r>
    </w:p>
    <w:p w14:paraId="2F426161" w14:textId="77777777" w:rsidR="008C6401" w:rsidRPr="00247F54" w:rsidRDefault="008C6401" w:rsidP="00917814">
      <w:pPr>
        <w:spacing w:after="0"/>
        <w:jc w:val="center"/>
        <w:rPr>
          <w:sz w:val="24"/>
          <w:szCs w:val="24"/>
        </w:rPr>
      </w:pPr>
    </w:p>
    <w:p w14:paraId="209E9E82" w14:textId="4AD7C57D" w:rsidR="008C6401" w:rsidRPr="00CF6C4B" w:rsidRDefault="00BC2187" w:rsidP="00917814">
      <w:pPr>
        <w:spacing w:after="0"/>
        <w:rPr>
          <w:szCs w:val="22"/>
        </w:rPr>
      </w:pPr>
      <w:r w:rsidRPr="00CF6C4B">
        <w:rPr>
          <w:szCs w:val="22"/>
        </w:rPr>
        <w:t xml:space="preserve">This legislative instrument </w:t>
      </w:r>
      <w:r w:rsidR="008C6401" w:rsidRPr="00CF6C4B">
        <w:rPr>
          <w:szCs w:val="22"/>
        </w:rPr>
        <w:t>is compatible with the human rights and freedoms recognised or</w:t>
      </w:r>
      <w:r w:rsidR="00917814">
        <w:rPr>
          <w:szCs w:val="22"/>
        </w:rPr>
        <w:t> </w:t>
      </w:r>
      <w:r w:rsidR="008C6401" w:rsidRPr="00CF6C4B">
        <w:rPr>
          <w:szCs w:val="22"/>
        </w:rPr>
        <w:t>declared</w:t>
      </w:r>
      <w:r w:rsidR="00917814">
        <w:rPr>
          <w:szCs w:val="22"/>
        </w:rPr>
        <w:t> </w:t>
      </w:r>
      <w:r w:rsidR="008C6401" w:rsidRPr="00CF6C4B">
        <w:rPr>
          <w:szCs w:val="22"/>
        </w:rPr>
        <w:t xml:space="preserve">in the international instruments listed in section 3 of the </w:t>
      </w:r>
      <w:r w:rsidR="008C6401" w:rsidRPr="00CF6C4B">
        <w:rPr>
          <w:i/>
          <w:szCs w:val="22"/>
        </w:rPr>
        <w:t>Human Rights (Parliamentary</w:t>
      </w:r>
      <w:r w:rsidR="00917814">
        <w:rPr>
          <w:i/>
          <w:szCs w:val="22"/>
        </w:rPr>
        <w:t> </w:t>
      </w:r>
      <w:r w:rsidR="008C6401" w:rsidRPr="00CF6C4B">
        <w:rPr>
          <w:i/>
          <w:szCs w:val="22"/>
        </w:rPr>
        <w:t>Scrutiny) Act 2011</w:t>
      </w:r>
      <w:r w:rsidR="008C6401" w:rsidRPr="00CF6C4B">
        <w:rPr>
          <w:szCs w:val="22"/>
        </w:rPr>
        <w:t>.</w:t>
      </w:r>
    </w:p>
    <w:p w14:paraId="0033AAA9" w14:textId="77777777" w:rsidR="00BC2187" w:rsidRPr="00CF6C4B" w:rsidRDefault="00BC2187" w:rsidP="00917814">
      <w:pPr>
        <w:spacing w:after="0"/>
        <w:rPr>
          <w:szCs w:val="22"/>
        </w:rPr>
      </w:pPr>
    </w:p>
    <w:p w14:paraId="5926C92B" w14:textId="77777777" w:rsidR="008C6401" w:rsidRPr="00CF6C4B" w:rsidRDefault="008C6401" w:rsidP="00917814">
      <w:pPr>
        <w:spacing w:after="0"/>
        <w:jc w:val="both"/>
        <w:rPr>
          <w:b/>
          <w:szCs w:val="22"/>
        </w:rPr>
      </w:pPr>
      <w:r w:rsidRPr="00CF6C4B">
        <w:rPr>
          <w:b/>
          <w:szCs w:val="22"/>
        </w:rPr>
        <w:t>Overview</w:t>
      </w:r>
      <w:r w:rsidR="00BC2187" w:rsidRPr="00CF6C4B">
        <w:rPr>
          <w:b/>
          <w:szCs w:val="22"/>
        </w:rPr>
        <w:t xml:space="preserve"> of the legislative instrument</w:t>
      </w:r>
    </w:p>
    <w:p w14:paraId="2E3251D3" w14:textId="77777777" w:rsidR="00917814" w:rsidRDefault="00917814" w:rsidP="00917814">
      <w:pPr>
        <w:spacing w:after="0"/>
        <w:rPr>
          <w:szCs w:val="22"/>
        </w:rPr>
      </w:pPr>
    </w:p>
    <w:p w14:paraId="6540DC42" w14:textId="09329CE9" w:rsidR="001D3F18" w:rsidRDefault="00254327" w:rsidP="00886B22">
      <w:pPr>
        <w:rPr>
          <w:szCs w:val="22"/>
        </w:rPr>
      </w:pPr>
      <w:r>
        <w:rPr>
          <w:szCs w:val="22"/>
        </w:rPr>
        <w:t xml:space="preserve">Section </w:t>
      </w:r>
      <w:r w:rsidR="001D3F18" w:rsidRPr="001D3F18">
        <w:rPr>
          <w:szCs w:val="22"/>
        </w:rPr>
        <w:t xml:space="preserve">73 of the </w:t>
      </w:r>
      <w:r w:rsidR="001D3F18" w:rsidRPr="001D3F18">
        <w:rPr>
          <w:i/>
          <w:szCs w:val="22"/>
        </w:rPr>
        <w:t xml:space="preserve">ASIC Supervisory Cost Recovery Levy Regulations </w:t>
      </w:r>
      <w:r w:rsidR="001D3F18" w:rsidRPr="001D3F18">
        <w:rPr>
          <w:szCs w:val="22"/>
        </w:rPr>
        <w:t>2017</w:t>
      </w:r>
      <w:r w:rsidR="00D061AD">
        <w:rPr>
          <w:szCs w:val="22"/>
        </w:rPr>
        <w:t xml:space="preserve"> (the </w:t>
      </w:r>
      <w:r w:rsidR="00D061AD" w:rsidRPr="00D061AD">
        <w:rPr>
          <w:b/>
          <w:szCs w:val="22"/>
        </w:rPr>
        <w:t>Cost Recovery Regulations</w:t>
      </w:r>
      <w:r w:rsidR="00D061AD">
        <w:rPr>
          <w:szCs w:val="22"/>
        </w:rPr>
        <w:t>),</w:t>
      </w:r>
      <w:r w:rsidR="001D3F18">
        <w:rPr>
          <w:szCs w:val="22"/>
        </w:rPr>
        <w:t xml:space="preserve"> which is made under the </w:t>
      </w:r>
      <w:r w:rsidR="00D061AD" w:rsidRPr="00D061AD">
        <w:rPr>
          <w:i/>
          <w:szCs w:val="22"/>
        </w:rPr>
        <w:t xml:space="preserve">ASIC </w:t>
      </w:r>
      <w:r w:rsidR="001D3F18" w:rsidRPr="00D061AD">
        <w:rPr>
          <w:i/>
          <w:szCs w:val="22"/>
        </w:rPr>
        <w:t xml:space="preserve">Supervisory </w:t>
      </w:r>
      <w:r w:rsidR="00D061AD" w:rsidRPr="00D061AD">
        <w:rPr>
          <w:i/>
          <w:szCs w:val="22"/>
        </w:rPr>
        <w:t>Cost Recovery Levy Act 2017</w:t>
      </w:r>
      <w:r w:rsidR="00D061AD">
        <w:rPr>
          <w:szCs w:val="22"/>
        </w:rPr>
        <w:t xml:space="preserve">, </w:t>
      </w:r>
      <w:r w:rsidR="001D3F18" w:rsidRPr="001D3F18">
        <w:rPr>
          <w:szCs w:val="22"/>
        </w:rPr>
        <w:t>enables</w:t>
      </w:r>
      <w:r w:rsidR="001D3F18">
        <w:rPr>
          <w:szCs w:val="22"/>
        </w:rPr>
        <w:t xml:space="preserve"> ASIC to make </w:t>
      </w:r>
      <w:r w:rsidR="00A71CA0">
        <w:rPr>
          <w:szCs w:val="22"/>
        </w:rPr>
        <w:t xml:space="preserve">an </w:t>
      </w:r>
      <w:r w:rsidR="001D3F18">
        <w:rPr>
          <w:szCs w:val="22"/>
        </w:rPr>
        <w:t xml:space="preserve">annual determination specifying matters required or permitted by those regulations. </w:t>
      </w:r>
    </w:p>
    <w:p w14:paraId="5BE216A2" w14:textId="34DFA4E7" w:rsidR="001D3F18" w:rsidRDefault="001D3F18" w:rsidP="001D3F18">
      <w:pPr>
        <w:spacing w:after="0"/>
      </w:pPr>
      <w:r w:rsidRPr="00CF6C4B">
        <w:rPr>
          <w:szCs w:val="22"/>
        </w:rPr>
        <w:t>The purpose of the instrument is to</w:t>
      </w:r>
      <w:r w:rsidRPr="00207E3F">
        <w:t xml:space="preserve"> allow ASIC to recover</w:t>
      </w:r>
      <w:r>
        <w:t xml:space="preserve">, through the imposition of levies, </w:t>
      </w:r>
      <w:r w:rsidRPr="00207E3F">
        <w:t>the costs of its regulatory activities</w:t>
      </w:r>
      <w:r>
        <w:t xml:space="preserve"> for the 2017 -</w:t>
      </w:r>
      <w:r w:rsidR="00183FFE">
        <w:t xml:space="preserve"> </w:t>
      </w:r>
      <w:r>
        <w:t>2018 financial year from the entities which generate the need for regulation.</w:t>
      </w:r>
      <w:r w:rsidRPr="00207E3F">
        <w:t xml:space="preserve"> </w:t>
      </w:r>
    </w:p>
    <w:p w14:paraId="75DCDEAC" w14:textId="77777777" w:rsidR="001D3F18" w:rsidRDefault="001D3F18" w:rsidP="001D3F18">
      <w:pPr>
        <w:spacing w:after="0"/>
      </w:pPr>
    </w:p>
    <w:p w14:paraId="7EA62610" w14:textId="3FC14C7D" w:rsidR="00D061AD" w:rsidRDefault="001D3F18" w:rsidP="001D3F18">
      <w:pPr>
        <w:pStyle w:val="BodyText"/>
        <w:numPr>
          <w:ilvl w:val="0"/>
          <w:numId w:val="0"/>
        </w:numPr>
        <w:spacing w:before="0" w:line="240" w:lineRule="auto"/>
      </w:pPr>
      <w:r w:rsidRPr="00207E3F">
        <w:t xml:space="preserve">The instrument </w:t>
      </w:r>
      <w:r>
        <w:t>specif</w:t>
      </w:r>
      <w:r w:rsidR="00D061AD">
        <w:t>ies</w:t>
      </w:r>
      <w:r>
        <w:t xml:space="preserve"> certain </w:t>
      </w:r>
      <w:r w:rsidRPr="001D3F18">
        <w:t xml:space="preserve">numbers, amounts or percentages that are used to work out a leviable entity’s </w:t>
      </w:r>
      <w:r w:rsidRPr="00D061AD">
        <w:t>levy component</w:t>
      </w:r>
      <w:r w:rsidR="00D061AD">
        <w:t xml:space="preserve"> </w:t>
      </w:r>
      <w:r>
        <w:t>for the financial year</w:t>
      </w:r>
      <w:r w:rsidR="00D061AD">
        <w:t xml:space="preserve"> according to pre-determined formulae set out in the Cost Recovery Regulations.  </w:t>
      </w:r>
    </w:p>
    <w:p w14:paraId="740387EF" w14:textId="77777777" w:rsidR="000F7602" w:rsidRPr="00CF6C4B" w:rsidRDefault="000F7602" w:rsidP="00917814">
      <w:pPr>
        <w:spacing w:after="0"/>
        <w:rPr>
          <w:szCs w:val="22"/>
        </w:rPr>
      </w:pPr>
    </w:p>
    <w:p w14:paraId="4682CE3D" w14:textId="77777777" w:rsidR="008C6401" w:rsidRPr="00CF6C4B" w:rsidRDefault="008C6401" w:rsidP="00917814">
      <w:pPr>
        <w:spacing w:after="0"/>
        <w:rPr>
          <w:b/>
          <w:szCs w:val="22"/>
        </w:rPr>
      </w:pPr>
      <w:r w:rsidRPr="00CF6C4B">
        <w:rPr>
          <w:b/>
          <w:szCs w:val="22"/>
        </w:rPr>
        <w:t>Human rights implications</w:t>
      </w:r>
    </w:p>
    <w:p w14:paraId="52C490A7" w14:textId="77777777" w:rsidR="00917814" w:rsidRDefault="00917814" w:rsidP="00917814">
      <w:pPr>
        <w:spacing w:after="0"/>
        <w:rPr>
          <w:szCs w:val="22"/>
        </w:rPr>
      </w:pPr>
    </w:p>
    <w:p w14:paraId="232EE216" w14:textId="3E0EA45E" w:rsidR="008C6401" w:rsidRPr="00CF6C4B" w:rsidRDefault="008C6401" w:rsidP="00917814">
      <w:pPr>
        <w:spacing w:after="0"/>
        <w:rPr>
          <w:szCs w:val="22"/>
        </w:rPr>
      </w:pPr>
      <w:r w:rsidRPr="00CF6C4B">
        <w:rPr>
          <w:szCs w:val="22"/>
        </w:rPr>
        <w:t>This legislative instrument does not engage any of the applicable rights or freedoms.</w:t>
      </w:r>
    </w:p>
    <w:p w14:paraId="58A43D5B" w14:textId="77777777" w:rsidR="00BC2187" w:rsidRPr="00CF6C4B" w:rsidRDefault="00BC2187" w:rsidP="00917814">
      <w:pPr>
        <w:spacing w:after="0"/>
        <w:rPr>
          <w:szCs w:val="22"/>
        </w:rPr>
      </w:pPr>
    </w:p>
    <w:p w14:paraId="2FD2C452" w14:textId="77777777" w:rsidR="008C6401" w:rsidRPr="00CF6C4B" w:rsidRDefault="008C6401" w:rsidP="00917814">
      <w:pPr>
        <w:spacing w:after="0"/>
        <w:rPr>
          <w:b/>
          <w:szCs w:val="22"/>
        </w:rPr>
      </w:pPr>
      <w:r w:rsidRPr="00CF6C4B">
        <w:rPr>
          <w:b/>
          <w:szCs w:val="22"/>
        </w:rPr>
        <w:t>Conclusion</w:t>
      </w:r>
    </w:p>
    <w:p w14:paraId="22435757" w14:textId="77777777" w:rsidR="00917814" w:rsidRDefault="00917814" w:rsidP="00917814">
      <w:pPr>
        <w:spacing w:after="0"/>
        <w:rPr>
          <w:szCs w:val="22"/>
        </w:rPr>
      </w:pPr>
    </w:p>
    <w:p w14:paraId="43C245B8" w14:textId="27EFCE1B" w:rsidR="008C6401" w:rsidRPr="00CF6C4B" w:rsidRDefault="008C6401" w:rsidP="00917814">
      <w:pPr>
        <w:spacing w:after="0"/>
        <w:rPr>
          <w:szCs w:val="22"/>
        </w:rPr>
      </w:pPr>
      <w:r w:rsidRPr="00CF6C4B">
        <w:rPr>
          <w:szCs w:val="22"/>
        </w:rPr>
        <w:t>This legislative instrument is compatible with human rights as it does not raise any human</w:t>
      </w:r>
      <w:r w:rsidR="00455BB3">
        <w:rPr>
          <w:szCs w:val="22"/>
        </w:rPr>
        <w:t> </w:t>
      </w:r>
      <w:r w:rsidRPr="00CF6C4B">
        <w:rPr>
          <w:szCs w:val="22"/>
        </w:rPr>
        <w:t>rights</w:t>
      </w:r>
      <w:r w:rsidR="00455BB3">
        <w:rPr>
          <w:szCs w:val="22"/>
        </w:rPr>
        <w:t> </w:t>
      </w:r>
      <w:r w:rsidRPr="00CF6C4B">
        <w:rPr>
          <w:szCs w:val="22"/>
        </w:rPr>
        <w:t>issues.</w:t>
      </w:r>
    </w:p>
    <w:sectPr w:rsidR="008C6401" w:rsidRPr="00CF6C4B" w:rsidSect="00261ED6">
      <w:headerReference w:type="even" r:id="rId10"/>
      <w:footerReference w:type="even" r:id="rId11"/>
      <w:footerReference w:type="default" r:id="rId12"/>
      <w:head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8F8F4" w14:textId="77777777" w:rsidR="005A3D5E" w:rsidRDefault="005A3D5E" w:rsidP="00FC30B6">
      <w:pPr>
        <w:spacing w:after="0"/>
      </w:pPr>
      <w:r>
        <w:separator/>
      </w:r>
    </w:p>
  </w:endnote>
  <w:endnote w:type="continuationSeparator" w:id="0">
    <w:p w14:paraId="59E39BA7" w14:textId="77777777" w:rsidR="005A3D5E" w:rsidRDefault="005A3D5E" w:rsidP="00FC3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6DA6B" w14:textId="77777777" w:rsidR="00C27A4B" w:rsidRDefault="00ED41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B46020E" w14:textId="77777777" w:rsidR="00C27A4B" w:rsidRDefault="00201EAF">
    <w:pPr>
      <w:pStyle w:val="Footer"/>
      <w:ind w:right="360"/>
    </w:pPr>
  </w:p>
  <w:p w14:paraId="67C99BFD" w14:textId="77777777" w:rsidR="00C27A4B" w:rsidRDefault="00201EAF"/>
  <w:p w14:paraId="3C722EFF" w14:textId="77777777" w:rsidR="00C27A4B" w:rsidRDefault="00201EAF"/>
  <w:p w14:paraId="0381D0AC" w14:textId="77777777" w:rsidR="00C27A4B" w:rsidRDefault="00201EAF"/>
  <w:p w14:paraId="262EF668" w14:textId="77777777" w:rsidR="00C27A4B" w:rsidRDefault="00201EAF"/>
  <w:p w14:paraId="72AFB5CA" w14:textId="77777777" w:rsidR="00C27A4B" w:rsidRDefault="00201E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059318"/>
      <w:docPartObj>
        <w:docPartGallery w:val="Page Numbers (Bottom of Page)"/>
        <w:docPartUnique/>
      </w:docPartObj>
    </w:sdtPr>
    <w:sdtEndPr>
      <w:rPr>
        <w:noProof/>
      </w:rPr>
    </w:sdtEndPr>
    <w:sdtContent>
      <w:p w14:paraId="0064D700" w14:textId="7E9FF42F" w:rsidR="00261ED6" w:rsidRDefault="00261E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B2573" w14:textId="77777777" w:rsidR="00261ED6" w:rsidRDefault="0026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1D73A" w14:textId="77777777" w:rsidR="005A3D5E" w:rsidRDefault="005A3D5E" w:rsidP="00FC30B6">
      <w:pPr>
        <w:spacing w:after="0"/>
      </w:pPr>
      <w:r>
        <w:separator/>
      </w:r>
    </w:p>
  </w:footnote>
  <w:footnote w:type="continuationSeparator" w:id="0">
    <w:p w14:paraId="2D2A9F2B" w14:textId="77777777" w:rsidR="005A3D5E" w:rsidRDefault="005A3D5E" w:rsidP="00FC30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5B6B" w14:textId="77777777" w:rsidR="00C27A4B" w:rsidRDefault="00201EAF"/>
  <w:p w14:paraId="2EE2D949" w14:textId="77777777" w:rsidR="00C27A4B" w:rsidRDefault="00201E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D87C" w14:textId="0F9DBA04" w:rsidR="00C27A4B" w:rsidRDefault="00201EAF">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EE6"/>
    <w:multiLevelType w:val="hybridMultilevel"/>
    <w:tmpl w:val="14F45B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69"/>
    <w:multiLevelType w:val="multilevel"/>
    <w:tmpl w:val="0262E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346F48"/>
    <w:multiLevelType w:val="multilevel"/>
    <w:tmpl w:val="B9DCCA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261D55"/>
    <w:multiLevelType w:val="hybridMultilevel"/>
    <w:tmpl w:val="5DC25818"/>
    <w:lvl w:ilvl="0" w:tplc="90D6C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C6808"/>
    <w:multiLevelType w:val="multilevel"/>
    <w:tmpl w:val="A044F19C"/>
    <w:lvl w:ilvl="0">
      <w:start w:val="1"/>
      <w:numFmt w:val="decimal"/>
      <w:pStyle w:val="BodyText"/>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30F3179"/>
    <w:multiLevelType w:val="hybridMultilevel"/>
    <w:tmpl w:val="38E8666C"/>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9"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15:restartNumberingAfterBreak="0">
    <w:nsid w:val="2C307329"/>
    <w:multiLevelType w:val="hybridMultilevel"/>
    <w:tmpl w:val="902457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C5447A"/>
    <w:multiLevelType w:val="hybridMultilevel"/>
    <w:tmpl w:val="74BA8F94"/>
    <w:lvl w:ilvl="0" w:tplc="1010A9DC">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15:restartNumberingAfterBreak="0">
    <w:nsid w:val="44996464"/>
    <w:multiLevelType w:val="hybridMultilevel"/>
    <w:tmpl w:val="2D88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9C661B"/>
    <w:multiLevelType w:val="hybridMultilevel"/>
    <w:tmpl w:val="C9A42B08"/>
    <w:lvl w:ilvl="0" w:tplc="1010A9DC">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A20372"/>
    <w:multiLevelType w:val="hybridMultilevel"/>
    <w:tmpl w:val="F580BA6C"/>
    <w:lvl w:ilvl="0" w:tplc="1010A9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7A49F3"/>
    <w:multiLevelType w:val="hybridMultilevel"/>
    <w:tmpl w:val="71B6D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6"/>
  </w:num>
  <w:num w:numId="5">
    <w:abstractNumId w:val="4"/>
  </w:num>
  <w:num w:numId="6">
    <w:abstractNumId w:val="1"/>
  </w:num>
  <w:num w:numId="7">
    <w:abstractNumId w:val="12"/>
  </w:num>
  <w:num w:numId="8">
    <w:abstractNumId w:val="21"/>
  </w:num>
  <w:num w:numId="9">
    <w:abstractNumId w:val="16"/>
  </w:num>
  <w:num w:numId="10">
    <w:abstractNumId w:val="10"/>
  </w:num>
  <w:num w:numId="11">
    <w:abstractNumId w:val="11"/>
  </w:num>
  <w:num w:numId="12">
    <w:abstractNumId w:val="5"/>
  </w:num>
  <w:num w:numId="13">
    <w:abstractNumId w:val="2"/>
  </w:num>
  <w:num w:numId="14">
    <w:abstractNumId w:val="8"/>
  </w:num>
  <w:num w:numId="15">
    <w:abstractNumId w:val="18"/>
  </w:num>
  <w:num w:numId="16">
    <w:abstractNumId w:val="7"/>
  </w:num>
  <w:num w:numId="17">
    <w:abstractNumId w:val="7"/>
  </w:num>
  <w:num w:numId="18">
    <w:abstractNumId w:val="7"/>
  </w:num>
  <w:num w:numId="19">
    <w:abstractNumId w:val="7"/>
  </w:num>
  <w:num w:numId="20">
    <w:abstractNumId w:val="7"/>
  </w:num>
  <w:num w:numId="21">
    <w:abstractNumId w:val="3"/>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20"/>
  </w:num>
  <w:num w:numId="30">
    <w:abstractNumId w:val="15"/>
  </w:num>
  <w:num w:numId="31">
    <w:abstractNumId w:val="19"/>
  </w:num>
  <w:num w:numId="32">
    <w:abstractNumId w:val="17"/>
  </w:num>
  <w:num w:numId="33">
    <w:abstractNumId w:val="1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2A"/>
    <w:rsid w:val="0004117D"/>
    <w:rsid w:val="0004253C"/>
    <w:rsid w:val="0005212D"/>
    <w:rsid w:val="00091E7B"/>
    <w:rsid w:val="00094C03"/>
    <w:rsid w:val="00096900"/>
    <w:rsid w:val="000A0FFC"/>
    <w:rsid w:val="000B25AB"/>
    <w:rsid w:val="000B30EC"/>
    <w:rsid w:val="000C2DAB"/>
    <w:rsid w:val="000D352F"/>
    <w:rsid w:val="000F2DD7"/>
    <w:rsid w:val="000F36E7"/>
    <w:rsid w:val="000F7602"/>
    <w:rsid w:val="00102BEA"/>
    <w:rsid w:val="001131DD"/>
    <w:rsid w:val="001212D2"/>
    <w:rsid w:val="00125FFA"/>
    <w:rsid w:val="00126620"/>
    <w:rsid w:val="00127E5C"/>
    <w:rsid w:val="00157BA5"/>
    <w:rsid w:val="001653BF"/>
    <w:rsid w:val="00181230"/>
    <w:rsid w:val="001816EA"/>
    <w:rsid w:val="00183FFE"/>
    <w:rsid w:val="001873D3"/>
    <w:rsid w:val="001C629E"/>
    <w:rsid w:val="001D2DFB"/>
    <w:rsid w:val="001D3F18"/>
    <w:rsid w:val="001F65A2"/>
    <w:rsid w:val="00201EAF"/>
    <w:rsid w:val="00207E3F"/>
    <w:rsid w:val="00254327"/>
    <w:rsid w:val="00261ED6"/>
    <w:rsid w:val="0028331E"/>
    <w:rsid w:val="002A02DB"/>
    <w:rsid w:val="002B1B34"/>
    <w:rsid w:val="002F6068"/>
    <w:rsid w:val="00312378"/>
    <w:rsid w:val="003308C9"/>
    <w:rsid w:val="0033344E"/>
    <w:rsid w:val="00352404"/>
    <w:rsid w:val="0035713D"/>
    <w:rsid w:val="0036622A"/>
    <w:rsid w:val="003C3253"/>
    <w:rsid w:val="003C3C0B"/>
    <w:rsid w:val="003E1843"/>
    <w:rsid w:val="003E3B60"/>
    <w:rsid w:val="00420E27"/>
    <w:rsid w:val="00455BB3"/>
    <w:rsid w:val="00456F4E"/>
    <w:rsid w:val="00467729"/>
    <w:rsid w:val="00476E55"/>
    <w:rsid w:val="00490EF2"/>
    <w:rsid w:val="0049385E"/>
    <w:rsid w:val="004A48B6"/>
    <w:rsid w:val="004C7074"/>
    <w:rsid w:val="004D0AF8"/>
    <w:rsid w:val="004F0301"/>
    <w:rsid w:val="005059E8"/>
    <w:rsid w:val="005106C6"/>
    <w:rsid w:val="00515FF4"/>
    <w:rsid w:val="00535635"/>
    <w:rsid w:val="00542140"/>
    <w:rsid w:val="00543823"/>
    <w:rsid w:val="005472FB"/>
    <w:rsid w:val="00572A80"/>
    <w:rsid w:val="00587CFF"/>
    <w:rsid w:val="005A3D5E"/>
    <w:rsid w:val="005B58C5"/>
    <w:rsid w:val="00601639"/>
    <w:rsid w:val="00601E56"/>
    <w:rsid w:val="00605634"/>
    <w:rsid w:val="00635DB9"/>
    <w:rsid w:val="00636D2A"/>
    <w:rsid w:val="00640376"/>
    <w:rsid w:val="00653F7D"/>
    <w:rsid w:val="00660C0F"/>
    <w:rsid w:val="00661284"/>
    <w:rsid w:val="00675DC3"/>
    <w:rsid w:val="006934B1"/>
    <w:rsid w:val="00694205"/>
    <w:rsid w:val="006A0B89"/>
    <w:rsid w:val="006A27DD"/>
    <w:rsid w:val="006A28DC"/>
    <w:rsid w:val="006C2F68"/>
    <w:rsid w:val="006E7D0D"/>
    <w:rsid w:val="00714D8A"/>
    <w:rsid w:val="007154F8"/>
    <w:rsid w:val="007239AE"/>
    <w:rsid w:val="00737FEF"/>
    <w:rsid w:val="00751D67"/>
    <w:rsid w:val="00770C0B"/>
    <w:rsid w:val="00785614"/>
    <w:rsid w:val="007C08E8"/>
    <w:rsid w:val="007C0ED2"/>
    <w:rsid w:val="007D1EBF"/>
    <w:rsid w:val="007D6744"/>
    <w:rsid w:val="007D7AED"/>
    <w:rsid w:val="007F5257"/>
    <w:rsid w:val="00803BE9"/>
    <w:rsid w:val="00806352"/>
    <w:rsid w:val="00807BF2"/>
    <w:rsid w:val="00814679"/>
    <w:rsid w:val="00823DB0"/>
    <w:rsid w:val="00842E11"/>
    <w:rsid w:val="00853A83"/>
    <w:rsid w:val="008562C6"/>
    <w:rsid w:val="00861184"/>
    <w:rsid w:val="0087429C"/>
    <w:rsid w:val="0087748D"/>
    <w:rsid w:val="0088290B"/>
    <w:rsid w:val="008856F2"/>
    <w:rsid w:val="00886B22"/>
    <w:rsid w:val="008B339C"/>
    <w:rsid w:val="008B4E74"/>
    <w:rsid w:val="008C2936"/>
    <w:rsid w:val="008C6401"/>
    <w:rsid w:val="008D5220"/>
    <w:rsid w:val="00911B3E"/>
    <w:rsid w:val="00917814"/>
    <w:rsid w:val="00931DB6"/>
    <w:rsid w:val="009347A6"/>
    <w:rsid w:val="0094738E"/>
    <w:rsid w:val="00960A7E"/>
    <w:rsid w:val="00965AFB"/>
    <w:rsid w:val="00980EFB"/>
    <w:rsid w:val="009971FC"/>
    <w:rsid w:val="009A0B8E"/>
    <w:rsid w:val="009E0696"/>
    <w:rsid w:val="009E1532"/>
    <w:rsid w:val="009F22B8"/>
    <w:rsid w:val="00A06507"/>
    <w:rsid w:val="00A1387D"/>
    <w:rsid w:val="00A309E6"/>
    <w:rsid w:val="00A31875"/>
    <w:rsid w:val="00A454B2"/>
    <w:rsid w:val="00A51E53"/>
    <w:rsid w:val="00A65926"/>
    <w:rsid w:val="00A71CA0"/>
    <w:rsid w:val="00A83C4D"/>
    <w:rsid w:val="00AA06EC"/>
    <w:rsid w:val="00AB31DF"/>
    <w:rsid w:val="00AE0471"/>
    <w:rsid w:val="00B2230A"/>
    <w:rsid w:val="00B7440E"/>
    <w:rsid w:val="00B83D7F"/>
    <w:rsid w:val="00B953CA"/>
    <w:rsid w:val="00B970AD"/>
    <w:rsid w:val="00BC2187"/>
    <w:rsid w:val="00BC6934"/>
    <w:rsid w:val="00BD5946"/>
    <w:rsid w:val="00BD691E"/>
    <w:rsid w:val="00BD6E42"/>
    <w:rsid w:val="00BF3652"/>
    <w:rsid w:val="00C16DA2"/>
    <w:rsid w:val="00C56B6C"/>
    <w:rsid w:val="00C624EC"/>
    <w:rsid w:val="00C65F0A"/>
    <w:rsid w:val="00C66134"/>
    <w:rsid w:val="00C670E8"/>
    <w:rsid w:val="00C72DE0"/>
    <w:rsid w:val="00C740AE"/>
    <w:rsid w:val="00C77AED"/>
    <w:rsid w:val="00CA2648"/>
    <w:rsid w:val="00CA36BE"/>
    <w:rsid w:val="00CA7BD2"/>
    <w:rsid w:val="00CB545F"/>
    <w:rsid w:val="00CD4BCD"/>
    <w:rsid w:val="00CF6C4B"/>
    <w:rsid w:val="00D061AD"/>
    <w:rsid w:val="00D25CE1"/>
    <w:rsid w:val="00D42E37"/>
    <w:rsid w:val="00D66962"/>
    <w:rsid w:val="00D70BA0"/>
    <w:rsid w:val="00D75DFA"/>
    <w:rsid w:val="00D953A4"/>
    <w:rsid w:val="00D96F32"/>
    <w:rsid w:val="00DA53B6"/>
    <w:rsid w:val="00DD69FF"/>
    <w:rsid w:val="00DF23B0"/>
    <w:rsid w:val="00DF625B"/>
    <w:rsid w:val="00DF73AF"/>
    <w:rsid w:val="00E0555C"/>
    <w:rsid w:val="00E23B46"/>
    <w:rsid w:val="00E24D45"/>
    <w:rsid w:val="00E27D8A"/>
    <w:rsid w:val="00E553E8"/>
    <w:rsid w:val="00E645EF"/>
    <w:rsid w:val="00E66E42"/>
    <w:rsid w:val="00E71BD0"/>
    <w:rsid w:val="00E83F24"/>
    <w:rsid w:val="00EA7638"/>
    <w:rsid w:val="00EB3876"/>
    <w:rsid w:val="00EC67DD"/>
    <w:rsid w:val="00ED416C"/>
    <w:rsid w:val="00ED6E3C"/>
    <w:rsid w:val="00EF1DF4"/>
    <w:rsid w:val="00F66A46"/>
    <w:rsid w:val="00F84FB7"/>
    <w:rsid w:val="00FB37B6"/>
    <w:rsid w:val="00FC3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0372DD"/>
  <w15:chartTrackingRefBased/>
  <w15:docId w15:val="{5601C9F7-819E-4FC0-8A3B-50F2C14F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22A"/>
    <w:pPr>
      <w:spacing w:after="240" w:line="240" w:lineRule="auto"/>
    </w:pPr>
    <w:rPr>
      <w:rFonts w:ascii="Times New Roman" w:eastAsia="Times New Roman" w:hAnsi="Times New Roman" w:cs="Times New Roman"/>
      <w:szCs w:val="20"/>
      <w:lang w:eastAsia="en-AU"/>
    </w:rPr>
  </w:style>
  <w:style w:type="paragraph" w:styleId="Heading1">
    <w:name w:val="heading 1"/>
    <w:basedOn w:val="Normal"/>
    <w:next w:val="BodyText"/>
    <w:link w:val="Heading1Char"/>
    <w:qFormat/>
    <w:rsid w:val="0036622A"/>
    <w:pPr>
      <w:keepNext/>
      <w:pageBreakBefore/>
      <w:numPr>
        <w:numId w:val="1"/>
      </w:numPr>
      <w:spacing w:after="400" w:line="280" w:lineRule="atLeast"/>
      <w:outlineLvl w:val="0"/>
    </w:pPr>
    <w:rPr>
      <w:rFonts w:ascii="Arial" w:hAnsi="Arial" w:cs="Arial"/>
      <w:b/>
      <w:kern w:val="28"/>
      <w:sz w:val="36"/>
      <w:szCs w:val="36"/>
    </w:rPr>
  </w:style>
  <w:style w:type="paragraph" w:styleId="Heading3">
    <w:name w:val="heading 3"/>
    <w:basedOn w:val="Normal"/>
    <w:next w:val="BodyText"/>
    <w:link w:val="Heading3Char"/>
    <w:qFormat/>
    <w:rsid w:val="0036622A"/>
    <w:pPr>
      <w:keepNext/>
      <w:spacing w:before="400" w:after="0" w:line="280" w:lineRule="atLeast"/>
      <w:ind w:left="2268"/>
      <w:outlineLvl w:val="2"/>
    </w:pPr>
    <w:rPr>
      <w:rFonts w:ascii="Arial" w:hAnsi="Arial" w:cs="Arial"/>
      <w:b/>
      <w:sz w:val="24"/>
      <w:szCs w:val="24"/>
    </w:rPr>
  </w:style>
  <w:style w:type="paragraph" w:styleId="Heading6">
    <w:name w:val="heading 6"/>
    <w:basedOn w:val="Normal"/>
    <w:next w:val="Bodytextplain"/>
    <w:link w:val="Heading6Char"/>
    <w:unhideWhenUsed/>
    <w:qFormat/>
    <w:rsid w:val="0036622A"/>
    <w:pPr>
      <w:keepNext/>
      <w:pageBreakBefore/>
      <w:spacing w:after="400" w:line="280" w:lineRule="atLeast"/>
      <w:outlineLvl w:val="5"/>
    </w:pPr>
    <w:rPr>
      <w:rFonts w:ascii="Arial" w:hAnsi="Arial" w:cs="Arial"/>
      <w:b/>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22A"/>
    <w:rPr>
      <w:rFonts w:ascii="Arial" w:eastAsia="Times New Roman" w:hAnsi="Arial" w:cs="Arial"/>
      <w:b/>
      <w:kern w:val="28"/>
      <w:sz w:val="36"/>
      <w:szCs w:val="36"/>
      <w:lang w:eastAsia="en-AU"/>
    </w:rPr>
  </w:style>
  <w:style w:type="character" w:customStyle="1" w:styleId="Heading3Char">
    <w:name w:val="Heading 3 Char"/>
    <w:basedOn w:val="DefaultParagraphFont"/>
    <w:link w:val="Heading3"/>
    <w:rsid w:val="0036622A"/>
    <w:rPr>
      <w:rFonts w:ascii="Arial" w:eastAsia="Times New Roman" w:hAnsi="Arial" w:cs="Arial"/>
      <w:b/>
      <w:sz w:val="24"/>
      <w:szCs w:val="24"/>
      <w:lang w:eastAsia="en-AU"/>
    </w:rPr>
  </w:style>
  <w:style w:type="character" w:customStyle="1" w:styleId="Heading6Char">
    <w:name w:val="Heading 6 Char"/>
    <w:basedOn w:val="DefaultParagraphFont"/>
    <w:link w:val="Heading6"/>
    <w:rsid w:val="0036622A"/>
    <w:rPr>
      <w:rFonts w:ascii="Arial" w:eastAsia="Times New Roman" w:hAnsi="Arial" w:cs="Arial"/>
      <w:b/>
      <w:kern w:val="28"/>
      <w:sz w:val="36"/>
      <w:szCs w:val="36"/>
      <w:lang w:eastAsia="en-AU"/>
    </w:rPr>
  </w:style>
  <w:style w:type="paragraph" w:styleId="BodyText">
    <w:name w:val="Body Text"/>
    <w:basedOn w:val="Normal"/>
    <w:link w:val="BodyTextChar"/>
    <w:rsid w:val="0036622A"/>
    <w:pPr>
      <w:numPr>
        <w:numId w:val="2"/>
      </w:numPr>
      <w:spacing w:before="200" w:after="0" w:line="300" w:lineRule="atLeast"/>
    </w:pPr>
    <w:rPr>
      <w:szCs w:val="22"/>
    </w:rPr>
  </w:style>
  <w:style w:type="character" w:customStyle="1" w:styleId="BodyTextChar">
    <w:name w:val="Body Text Char"/>
    <w:basedOn w:val="DefaultParagraphFont"/>
    <w:link w:val="BodyText"/>
    <w:rsid w:val="0036622A"/>
    <w:rPr>
      <w:rFonts w:ascii="Times New Roman" w:eastAsia="Times New Roman" w:hAnsi="Times New Roman" w:cs="Times New Roman"/>
      <w:lang w:eastAsia="en-AU"/>
    </w:rPr>
  </w:style>
  <w:style w:type="paragraph" w:styleId="Footer">
    <w:name w:val="footer"/>
    <w:basedOn w:val="Normal"/>
    <w:link w:val="FooterChar"/>
    <w:uiPriority w:val="99"/>
    <w:rsid w:val="0036622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36622A"/>
    <w:rPr>
      <w:rFonts w:ascii="Arial" w:eastAsia="Times New Roman" w:hAnsi="Arial" w:cs="Times New Roman"/>
      <w:sz w:val="16"/>
      <w:szCs w:val="16"/>
      <w:lang w:eastAsia="en-AU"/>
    </w:rPr>
  </w:style>
  <w:style w:type="character" w:styleId="PageNumber">
    <w:name w:val="page number"/>
    <w:rsid w:val="0036622A"/>
    <w:rPr>
      <w:b/>
      <w:sz w:val="20"/>
    </w:rPr>
  </w:style>
  <w:style w:type="paragraph" w:styleId="Header">
    <w:name w:val="header"/>
    <w:basedOn w:val="Normal"/>
    <w:link w:val="HeaderChar"/>
    <w:uiPriority w:val="99"/>
    <w:rsid w:val="0036622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36622A"/>
    <w:rPr>
      <w:rFonts w:ascii="Arial" w:eastAsia="Times New Roman" w:hAnsi="Arial" w:cs="Arial"/>
      <w:caps/>
      <w:color w:val="008291"/>
      <w:sz w:val="16"/>
      <w:szCs w:val="16"/>
      <w:lang w:eastAsia="en-AU"/>
    </w:rPr>
  </w:style>
  <w:style w:type="paragraph" w:customStyle="1" w:styleId="Bodytextplain">
    <w:name w:val="Body text plain"/>
    <w:basedOn w:val="BodyText"/>
    <w:rsid w:val="0036622A"/>
    <w:pPr>
      <w:numPr>
        <w:numId w:val="0"/>
      </w:numPr>
      <w:ind w:left="2268"/>
    </w:pPr>
  </w:style>
  <w:style w:type="paragraph" w:customStyle="1" w:styleId="subparaa">
    <w:name w:val="sub para (a)"/>
    <w:basedOn w:val="BodyText"/>
    <w:rsid w:val="0036622A"/>
    <w:pPr>
      <w:numPr>
        <w:ilvl w:val="1"/>
      </w:numPr>
      <w:spacing w:before="100"/>
    </w:pPr>
  </w:style>
  <w:style w:type="paragraph" w:customStyle="1" w:styleId="Feedbackquestion">
    <w:name w:val="Feedback question"/>
    <w:basedOn w:val="Normal"/>
    <w:rsid w:val="0036622A"/>
    <w:pPr>
      <w:keepLines/>
      <w:numPr>
        <w:ilvl w:val="4"/>
        <w:numId w:val="1"/>
      </w:numPr>
      <w:pBdr>
        <w:left w:val="single" w:sz="6" w:space="2" w:color="117DC7"/>
      </w:pBdr>
      <w:spacing w:before="100" w:after="0" w:line="260" w:lineRule="atLeast"/>
    </w:pPr>
    <w:rPr>
      <w:rFonts w:ascii="Arial" w:hAnsi="Arial" w:cs="Arial"/>
      <w:sz w:val="20"/>
    </w:rPr>
  </w:style>
  <w:style w:type="paragraph" w:customStyle="1" w:styleId="Feedbacksubquestion">
    <w:name w:val="Feedback subquestion"/>
    <w:basedOn w:val="Feedbackquestion"/>
    <w:rsid w:val="0036622A"/>
    <w:pPr>
      <w:numPr>
        <w:ilvl w:val="5"/>
      </w:numPr>
    </w:pPr>
  </w:style>
  <w:style w:type="paragraph" w:customStyle="1" w:styleId="subsubparai">
    <w:name w:val="sub sub para (i)"/>
    <w:basedOn w:val="subparaa"/>
    <w:rsid w:val="0036622A"/>
    <w:pPr>
      <w:numPr>
        <w:ilvl w:val="2"/>
      </w:numPr>
    </w:pPr>
  </w:style>
  <w:style w:type="paragraph" w:customStyle="1" w:styleId="Proposaltext">
    <w:name w:val="Proposal text"/>
    <w:basedOn w:val="Bodytextplain"/>
    <w:rsid w:val="0036622A"/>
    <w:pPr>
      <w:numPr>
        <w:ilvl w:val="1"/>
        <w:numId w:val="1"/>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36622A"/>
    <w:pPr>
      <w:numPr>
        <w:ilvl w:val="2"/>
      </w:numPr>
      <w:spacing w:before="100"/>
    </w:pPr>
  </w:style>
  <w:style w:type="paragraph" w:customStyle="1" w:styleId="Proposalsubsubpara">
    <w:name w:val="Proposal sub sub para"/>
    <w:basedOn w:val="Proposaltext"/>
    <w:rsid w:val="0036622A"/>
    <w:pPr>
      <w:numPr>
        <w:ilvl w:val="3"/>
      </w:numPr>
      <w:spacing w:before="100"/>
    </w:pPr>
  </w:style>
  <w:style w:type="paragraph" w:customStyle="1" w:styleId="sub3paraA">
    <w:name w:val="sub3para (A)"/>
    <w:basedOn w:val="subsubparai"/>
    <w:qFormat/>
    <w:rsid w:val="0036622A"/>
    <w:pPr>
      <w:numPr>
        <w:ilvl w:val="3"/>
      </w:numPr>
    </w:pPr>
  </w:style>
  <w:style w:type="paragraph" w:customStyle="1" w:styleId="sub4paraI">
    <w:name w:val="sub4para (I)"/>
    <w:basedOn w:val="subsubparai"/>
    <w:qFormat/>
    <w:rsid w:val="0036622A"/>
    <w:pPr>
      <w:numPr>
        <w:ilvl w:val="4"/>
      </w:numPr>
    </w:pPr>
  </w:style>
  <w:style w:type="paragraph" w:customStyle="1" w:styleId="Feedbacksubsubquestion">
    <w:name w:val="Feedback subsubquestion"/>
    <w:basedOn w:val="Feedbacksubquestion"/>
    <w:qFormat/>
    <w:rsid w:val="0036622A"/>
    <w:pPr>
      <w:numPr>
        <w:ilvl w:val="6"/>
      </w:numPr>
    </w:pPr>
  </w:style>
  <w:style w:type="paragraph" w:styleId="ListParagraph">
    <w:name w:val="List Paragraph"/>
    <w:basedOn w:val="Normal"/>
    <w:uiPriority w:val="34"/>
    <w:qFormat/>
    <w:rsid w:val="0036622A"/>
    <w:pPr>
      <w:ind w:left="720"/>
      <w:contextualSpacing/>
    </w:pPr>
  </w:style>
  <w:style w:type="paragraph" w:customStyle="1" w:styleId="ActHead1">
    <w:name w:val="ActHead 1"/>
    <w:aliases w:val="c"/>
    <w:basedOn w:val="Normal"/>
    <w:next w:val="Normal"/>
    <w:qFormat/>
    <w:rsid w:val="002F6068"/>
    <w:pPr>
      <w:keepNext/>
      <w:keepLines/>
      <w:spacing w:after="0"/>
      <w:ind w:left="1134" w:hanging="1134"/>
      <w:outlineLvl w:val="0"/>
    </w:pPr>
    <w:rPr>
      <w:b/>
      <w:kern w:val="28"/>
      <w:sz w:val="36"/>
    </w:rPr>
  </w:style>
  <w:style w:type="paragraph" w:customStyle="1" w:styleId="subsection">
    <w:name w:val="subsection"/>
    <w:aliases w:val="ss"/>
    <w:basedOn w:val="Normal"/>
    <w:link w:val="subsectionChar"/>
    <w:rsid w:val="002F6068"/>
    <w:pPr>
      <w:tabs>
        <w:tab w:val="right" w:pos="1021"/>
      </w:tabs>
      <w:spacing w:before="180" w:after="0"/>
      <w:ind w:left="1134" w:hanging="1134"/>
    </w:pPr>
  </w:style>
  <w:style w:type="paragraph" w:customStyle="1" w:styleId="paragraph">
    <w:name w:val="paragraph"/>
    <w:aliases w:val="a"/>
    <w:basedOn w:val="Normal"/>
    <w:link w:val="paragraphChar"/>
    <w:rsid w:val="002F6068"/>
    <w:pPr>
      <w:tabs>
        <w:tab w:val="right" w:pos="1531"/>
      </w:tabs>
      <w:spacing w:before="40" w:after="0"/>
      <w:ind w:left="1644" w:hanging="1644"/>
    </w:pPr>
  </w:style>
  <w:style w:type="character" w:customStyle="1" w:styleId="subsectionChar">
    <w:name w:val="subsection Char"/>
    <w:aliases w:val="ss Char"/>
    <w:basedOn w:val="DefaultParagraphFont"/>
    <w:link w:val="subsection"/>
    <w:locked/>
    <w:rsid w:val="002F6068"/>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2F6068"/>
    <w:rPr>
      <w:rFonts w:ascii="Times New Roman" w:eastAsia="Times New Roman" w:hAnsi="Times New Roman" w:cs="Times New Roman"/>
      <w:szCs w:val="20"/>
      <w:lang w:eastAsia="en-AU"/>
    </w:rPr>
  </w:style>
  <w:style w:type="paragraph" w:customStyle="1" w:styleId="EnStatement">
    <w:name w:val="EnStatement"/>
    <w:basedOn w:val="Normal"/>
    <w:rsid w:val="002A02DB"/>
    <w:pPr>
      <w:numPr>
        <w:numId w:val="15"/>
      </w:numPr>
      <w:spacing w:after="0" w:line="260" w:lineRule="atLeast"/>
    </w:pPr>
  </w:style>
  <w:style w:type="paragraph" w:customStyle="1" w:styleId="Definition">
    <w:name w:val="Definition"/>
    <w:aliases w:val="dd"/>
    <w:basedOn w:val="Normal"/>
    <w:rsid w:val="0088290B"/>
    <w:pPr>
      <w:spacing w:before="180" w:after="0"/>
      <w:ind w:left="1134"/>
    </w:pPr>
  </w:style>
  <w:style w:type="paragraph" w:customStyle="1" w:styleId="subsection2">
    <w:name w:val="subsection2"/>
    <w:aliases w:val="ss2"/>
    <w:basedOn w:val="Normal"/>
    <w:next w:val="subsection"/>
    <w:rsid w:val="0088290B"/>
    <w:pPr>
      <w:spacing w:before="40" w:after="0"/>
      <w:ind w:left="1134"/>
    </w:pPr>
  </w:style>
  <w:style w:type="paragraph" w:customStyle="1" w:styleId="LI-BodyTextNumbered">
    <w:name w:val="LI - Body Text Numbered"/>
    <w:basedOn w:val="Normal"/>
    <w:link w:val="LI-BodyTextNumberedChar"/>
    <w:qFormat/>
    <w:rsid w:val="00AB31DF"/>
    <w:pPr>
      <w:spacing w:before="240" w:after="0"/>
      <w:ind w:left="1134" w:hanging="567"/>
    </w:pPr>
    <w:rPr>
      <w:sz w:val="24"/>
      <w:szCs w:val="24"/>
    </w:rPr>
  </w:style>
  <w:style w:type="character" w:customStyle="1" w:styleId="LI-BodyTextNumberedChar">
    <w:name w:val="LI - Body Text Numbered Char"/>
    <w:link w:val="LI-BodyTextNumbered"/>
    <w:rsid w:val="00AB31DF"/>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70B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BA0"/>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D70BA0"/>
    <w:rPr>
      <w:sz w:val="16"/>
      <w:szCs w:val="16"/>
    </w:rPr>
  </w:style>
  <w:style w:type="paragraph" w:styleId="CommentText">
    <w:name w:val="annotation text"/>
    <w:basedOn w:val="Normal"/>
    <w:link w:val="CommentTextChar"/>
    <w:uiPriority w:val="99"/>
    <w:semiHidden/>
    <w:unhideWhenUsed/>
    <w:rsid w:val="00D70BA0"/>
    <w:rPr>
      <w:sz w:val="20"/>
    </w:rPr>
  </w:style>
  <w:style w:type="character" w:customStyle="1" w:styleId="CommentTextChar">
    <w:name w:val="Comment Text Char"/>
    <w:basedOn w:val="DefaultParagraphFont"/>
    <w:link w:val="CommentText"/>
    <w:uiPriority w:val="99"/>
    <w:semiHidden/>
    <w:rsid w:val="00D70BA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70BA0"/>
    <w:rPr>
      <w:b/>
      <w:bCs/>
    </w:rPr>
  </w:style>
  <w:style w:type="character" w:customStyle="1" w:styleId="CommentSubjectChar">
    <w:name w:val="Comment Subject Char"/>
    <w:basedOn w:val="CommentTextChar"/>
    <w:link w:val="CommentSubject"/>
    <w:uiPriority w:val="99"/>
    <w:semiHidden/>
    <w:rsid w:val="00D70BA0"/>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R20180001102516</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61FF4-3A71-4465-8510-D6E8FFAB694E}">
  <ds:schemaRefs>
    <ds:schemaRef ds:uri="http://schemas.microsoft.com/sharepoint/v3/contenttype/forms"/>
  </ds:schemaRefs>
</ds:datastoreItem>
</file>

<file path=customXml/itemProps2.xml><?xml version="1.0" encoding="utf-8"?>
<ds:datastoreItem xmlns:ds="http://schemas.openxmlformats.org/officeDocument/2006/customXml" ds:itemID="{1F0F0241-AE73-44E1-86CD-368261E3E92F}">
  <ds:schemaRefs>
    <ds:schemaRef ds:uri="17f478ab-373e-4295-9ff0-9b833ad01319"/>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sharepoint/v4"/>
    <ds:schemaRef ds:uri="6fdf923d-1605-456d-9034-49e4c2a6593d"/>
    <ds:schemaRef ds:uri="da7a9ac0-bc47-4684-84e6-3a8e9ac80c12"/>
    <ds:schemaRef ds:uri="http://purl.org/dc/elements/1.1/"/>
  </ds:schemaRefs>
</ds:datastoreItem>
</file>

<file path=customXml/itemProps3.xml><?xml version="1.0" encoding="utf-8"?>
<ds:datastoreItem xmlns:ds="http://schemas.openxmlformats.org/officeDocument/2006/customXml" ds:itemID="{BB3FF5EC-000B-475E-87FC-CB0A6B75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6B26A1E4.dotm</Template>
  <TotalTime>2</TotalTime>
  <Pages>8</Pages>
  <Words>2513</Words>
  <Characters>14325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ES ASIC (Supervisory Cost Recovery Levy—Regulatory Costs) Instrument</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ASIC (Supervisory Cost Recovery Levy—Regulatory Costs) Instrument</dc:title>
  <dc:subject/>
  <dc:creator>Grace Ball</dc:creator>
  <cp:keywords/>
  <dc:description/>
  <cp:lastModifiedBy>Lucy Chadszinow</cp:lastModifiedBy>
  <cp:revision>2</cp:revision>
  <cp:lastPrinted>2018-11-16T03:57:00Z</cp:lastPrinted>
  <dcterms:created xsi:type="dcterms:W3CDTF">2018-11-20T23:13:00Z</dcterms:created>
  <dcterms:modified xsi:type="dcterms:W3CDTF">2018-11-20T23:13:00Z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Order">
    <vt:r8>67000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{e8634c1b-1868-4a02-8de8-ef4b1316a551}</vt:lpwstr>
  </property>
  <property fmtid="{D5CDD505-2E9C-101B-9397-08002B2CF9AE}" pid="7" name="RecordPoint_ActiveItemUniqueId">
    <vt:lpwstr>{bb9d2e50-9c2b-45fe-8d08-f34f6a61eb85}</vt:lpwstr>
  </property>
  <property fmtid="{D5CDD505-2E9C-101B-9397-08002B2CF9AE}" pid="8" name="RecordPoint_ActiveItemWebId">
    <vt:lpwstr>{6fdf923d-1605-456d-9034-49e4c2a6593d}</vt:lpwstr>
  </property>
  <property fmtid="{D5CDD505-2E9C-101B-9397-08002B2CF9AE}" pid="9" name="RecordPoint_ActiveItemSiteId">
    <vt:lpwstr>{fa96e6fb-4129-44b7-b105-10ec3844cb78}</vt:lpwstr>
  </property>
  <property fmtid="{D5CDD505-2E9C-101B-9397-08002B2CF9AE}" pid="10" name="RecordPoint_RecordNumberSubmitted">
    <vt:lpwstr>R20180001102516</vt:lpwstr>
  </property>
  <property fmtid="{D5CDD505-2E9C-101B-9397-08002B2CF9AE}" pid="11" name="RecordPoint_SubmissionCompleted">
    <vt:lpwstr>2018-11-20T15:42:18.5760587+11:00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ies>
</file>