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5245" w14:textId="723EACE5" w:rsidR="00D75DFA" w:rsidRDefault="0036622A" w:rsidP="00D75DFA">
      <w:pPr>
        <w:spacing w:after="0"/>
        <w:jc w:val="center"/>
        <w:rPr>
          <w:b/>
          <w:color w:val="000000"/>
          <w:spacing w:val="-1"/>
          <w:sz w:val="28"/>
        </w:rPr>
      </w:pPr>
      <w:bookmarkStart w:id="0" w:name="_GoBack"/>
      <w:bookmarkEnd w:id="0"/>
      <w:r>
        <w:rPr>
          <w:b/>
          <w:color w:val="000000"/>
          <w:sz w:val="28"/>
        </w:rPr>
        <w:t>EXPLANATORY</w:t>
      </w:r>
      <w:r>
        <w:rPr>
          <w:b/>
          <w:color w:val="000000"/>
          <w:spacing w:val="-39"/>
          <w:sz w:val="28"/>
        </w:rPr>
        <w:t xml:space="preserve"> </w:t>
      </w:r>
      <w:r>
        <w:rPr>
          <w:b/>
          <w:color w:val="000000"/>
          <w:spacing w:val="-1"/>
          <w:sz w:val="28"/>
        </w:rPr>
        <w:t xml:space="preserve">STATEMENT </w:t>
      </w:r>
    </w:p>
    <w:p w14:paraId="78512BB0" w14:textId="2B1BBF05" w:rsidR="0036622A" w:rsidRPr="00D75DFA" w:rsidRDefault="0036622A" w:rsidP="00D75DFA">
      <w:pPr>
        <w:spacing w:after="0"/>
        <w:jc w:val="center"/>
        <w:rPr>
          <w:i/>
          <w:sz w:val="28"/>
          <w:szCs w:val="28"/>
        </w:rPr>
      </w:pPr>
      <w:r>
        <w:rPr>
          <w:b/>
          <w:color w:val="000000"/>
          <w:spacing w:val="-1"/>
          <w:sz w:val="28"/>
        </w:rPr>
        <w:br/>
      </w:r>
      <w:r w:rsidR="00FC30B6" w:rsidRPr="00D75DFA">
        <w:rPr>
          <w:b/>
          <w:i/>
          <w:color w:val="000000"/>
          <w:spacing w:val="-1"/>
          <w:sz w:val="28"/>
        </w:rPr>
        <w:t>ASIC (Supervisory Cost Recovery Levy—Regulatory Costs) Instrument</w:t>
      </w:r>
      <w:r w:rsidR="00D75DFA" w:rsidRPr="00D75DFA">
        <w:rPr>
          <w:b/>
          <w:i/>
          <w:color w:val="000000"/>
          <w:spacing w:val="-1"/>
          <w:sz w:val="28"/>
        </w:rPr>
        <w:t> </w:t>
      </w:r>
      <w:r w:rsidR="00FC30B6" w:rsidRPr="00D75DFA">
        <w:rPr>
          <w:b/>
          <w:i/>
          <w:color w:val="000000"/>
          <w:spacing w:val="-1"/>
          <w:sz w:val="28"/>
        </w:rPr>
        <w:t>2018/</w:t>
      </w:r>
      <w:r w:rsidR="0033285B">
        <w:rPr>
          <w:b/>
          <w:i/>
          <w:color w:val="000000"/>
          <w:spacing w:val="-1"/>
          <w:sz w:val="28"/>
        </w:rPr>
        <w:t>1062</w:t>
      </w:r>
      <w:r w:rsidRPr="00D75DFA">
        <w:rPr>
          <w:b/>
          <w:i/>
          <w:color w:val="000000"/>
          <w:spacing w:val="-1"/>
          <w:sz w:val="28"/>
        </w:rPr>
        <w:t xml:space="preserve"> </w:t>
      </w:r>
    </w:p>
    <w:p w14:paraId="5D05FA45" w14:textId="77777777" w:rsidR="0036622A" w:rsidRDefault="0036622A" w:rsidP="0036622A">
      <w:pPr>
        <w:pStyle w:val="BodyText"/>
        <w:numPr>
          <w:ilvl w:val="0"/>
          <w:numId w:val="0"/>
        </w:numPr>
        <w:jc w:val="center"/>
      </w:pPr>
      <w:r>
        <w:t>Prepared by the Australian Securities and Investments Commission</w:t>
      </w:r>
    </w:p>
    <w:p w14:paraId="495F024E" w14:textId="77777777" w:rsidR="0036622A" w:rsidRDefault="0036622A" w:rsidP="0036622A">
      <w:pPr>
        <w:spacing w:before="4" w:line="220" w:lineRule="exact"/>
        <w:jc w:val="center"/>
      </w:pPr>
    </w:p>
    <w:p w14:paraId="5CE850FC" w14:textId="7D5DD5FD" w:rsidR="00FC30B6" w:rsidRDefault="0036622A" w:rsidP="00F84FB7">
      <w:pPr>
        <w:pStyle w:val="BodyText"/>
        <w:numPr>
          <w:ilvl w:val="0"/>
          <w:numId w:val="0"/>
        </w:numPr>
        <w:spacing w:before="0" w:line="240" w:lineRule="auto"/>
        <w:rPr>
          <w:color w:val="000000"/>
          <w:spacing w:val="-1"/>
        </w:rPr>
      </w:pPr>
      <w:r>
        <w:t xml:space="preserve">The Australian Securities and </w:t>
      </w:r>
      <w:r>
        <w:rPr>
          <w:spacing w:val="-1"/>
        </w:rPr>
        <w:t>Investments</w:t>
      </w:r>
      <w:r>
        <w:t xml:space="preserve"> </w:t>
      </w:r>
      <w:r>
        <w:rPr>
          <w:spacing w:val="-1"/>
        </w:rPr>
        <w:t>Commission</w:t>
      </w:r>
      <w:r>
        <w:t xml:space="preserve"> (</w:t>
      </w:r>
      <w:r w:rsidRPr="00F84FB7">
        <w:rPr>
          <w:b/>
          <w:i/>
        </w:rPr>
        <w:t>ASIC</w:t>
      </w:r>
      <w:r>
        <w:t xml:space="preserve">) </w:t>
      </w:r>
      <w:r>
        <w:rPr>
          <w:spacing w:val="-1"/>
        </w:rPr>
        <w:t>makes</w:t>
      </w:r>
      <w:r>
        <w:t xml:space="preserve"> </w:t>
      </w:r>
      <w:r w:rsidR="00FC30B6">
        <w:t xml:space="preserve">the </w:t>
      </w:r>
      <w:r w:rsidR="00FC30B6" w:rsidRPr="00515FF4">
        <w:rPr>
          <w:i/>
        </w:rPr>
        <w:t>ASIC (Supervisory Cost Recovery Levy—Regulatory Costs) Instrument 2018/</w:t>
      </w:r>
      <w:r w:rsidR="0033285B">
        <w:rPr>
          <w:i/>
        </w:rPr>
        <w:t>1062</w:t>
      </w:r>
      <w:r w:rsidR="00FC30B6">
        <w:t xml:space="preserve"> </w:t>
      </w:r>
      <w:r>
        <w:rPr>
          <w:color w:val="000000"/>
          <w:spacing w:val="-1"/>
        </w:rPr>
        <w:t xml:space="preserve">under </w:t>
      </w:r>
      <w:r w:rsidR="00FC30B6">
        <w:rPr>
          <w:color w:val="000000"/>
          <w:spacing w:val="-1"/>
        </w:rPr>
        <w:t xml:space="preserve">subsection </w:t>
      </w:r>
      <w:r w:rsidR="0035713D">
        <w:rPr>
          <w:color w:val="000000"/>
          <w:spacing w:val="-1"/>
        </w:rPr>
        <w:t>12</w:t>
      </w:r>
      <w:proofErr w:type="gramStart"/>
      <w:r w:rsidR="0035713D">
        <w:rPr>
          <w:color w:val="000000"/>
          <w:spacing w:val="-1"/>
        </w:rPr>
        <w:t>A(</w:t>
      </w:r>
      <w:proofErr w:type="gramEnd"/>
      <w:r w:rsidR="0035713D">
        <w:rPr>
          <w:color w:val="000000"/>
          <w:spacing w:val="-1"/>
        </w:rPr>
        <w:t>6)</w:t>
      </w:r>
      <w:r w:rsidR="00FC30B6">
        <w:rPr>
          <w:color w:val="000000"/>
          <w:spacing w:val="-1"/>
        </w:rPr>
        <w:t xml:space="preserve"> of the</w:t>
      </w:r>
      <w:r w:rsidR="00FC30B6" w:rsidRPr="00515FF4">
        <w:rPr>
          <w:i/>
          <w:color w:val="000000"/>
          <w:spacing w:val="-1"/>
        </w:rPr>
        <w:t xml:space="preserve"> </w:t>
      </w:r>
      <w:r w:rsidR="0035713D" w:rsidRPr="00515FF4">
        <w:rPr>
          <w:i/>
          <w:color w:val="000000"/>
          <w:spacing w:val="-1"/>
        </w:rPr>
        <w:t>Australian</w:t>
      </w:r>
      <w:r w:rsidR="00F84FB7">
        <w:rPr>
          <w:i/>
          <w:color w:val="000000"/>
          <w:spacing w:val="-1"/>
        </w:rPr>
        <w:t> </w:t>
      </w:r>
      <w:r w:rsidR="0035713D" w:rsidRPr="00515FF4">
        <w:rPr>
          <w:i/>
          <w:color w:val="000000"/>
          <w:spacing w:val="-1"/>
        </w:rPr>
        <w:t xml:space="preserve">Securities and Investments Commission Act </w:t>
      </w:r>
      <w:r w:rsidR="00F84FB7">
        <w:rPr>
          <w:i/>
          <w:color w:val="000000"/>
          <w:spacing w:val="-1"/>
        </w:rPr>
        <w:t xml:space="preserve">2001 </w:t>
      </w:r>
      <w:r w:rsidR="0035713D">
        <w:rPr>
          <w:color w:val="000000"/>
          <w:spacing w:val="-1"/>
        </w:rPr>
        <w:t>(</w:t>
      </w:r>
      <w:r w:rsidR="00F84FB7">
        <w:rPr>
          <w:color w:val="000000"/>
          <w:spacing w:val="-1"/>
        </w:rPr>
        <w:t xml:space="preserve">the </w:t>
      </w:r>
      <w:r w:rsidR="0035713D" w:rsidRPr="00F84FB7">
        <w:rPr>
          <w:b/>
          <w:i/>
          <w:color w:val="000000"/>
          <w:spacing w:val="-1"/>
        </w:rPr>
        <w:t>ASIC Act</w:t>
      </w:r>
      <w:r w:rsidR="0035713D">
        <w:rPr>
          <w:color w:val="000000"/>
          <w:spacing w:val="-1"/>
        </w:rPr>
        <w:t>) for the purposes of subsection</w:t>
      </w:r>
      <w:r w:rsidR="00F84FB7">
        <w:rPr>
          <w:color w:val="000000"/>
          <w:spacing w:val="-1"/>
        </w:rPr>
        <w:t> </w:t>
      </w:r>
      <w:r w:rsidR="0035713D">
        <w:rPr>
          <w:color w:val="000000"/>
          <w:spacing w:val="-1"/>
        </w:rPr>
        <w:t xml:space="preserve">10(2) of the </w:t>
      </w:r>
      <w:r w:rsidR="0035713D" w:rsidRPr="00515FF4">
        <w:rPr>
          <w:i/>
          <w:color w:val="000000"/>
          <w:spacing w:val="-1"/>
        </w:rPr>
        <w:t>ASIC Supervisory Cost Recovery Levy Act 2017</w:t>
      </w:r>
      <w:r w:rsidR="0035713D">
        <w:rPr>
          <w:color w:val="000000"/>
          <w:spacing w:val="-1"/>
        </w:rPr>
        <w:t xml:space="preserve"> (</w:t>
      </w:r>
      <w:r w:rsidR="00F84FB7">
        <w:rPr>
          <w:color w:val="000000"/>
          <w:spacing w:val="-1"/>
        </w:rPr>
        <w:t xml:space="preserve">the </w:t>
      </w:r>
      <w:r w:rsidR="0035713D" w:rsidRPr="00F84FB7">
        <w:rPr>
          <w:b/>
          <w:i/>
          <w:color w:val="000000"/>
          <w:spacing w:val="-1"/>
        </w:rPr>
        <w:t>Cost Recovery Act</w:t>
      </w:r>
      <w:r w:rsidR="0035713D">
        <w:rPr>
          <w:color w:val="000000"/>
          <w:spacing w:val="-1"/>
        </w:rPr>
        <w:t>)</w:t>
      </w:r>
      <w:r>
        <w:rPr>
          <w:color w:val="000000"/>
          <w:spacing w:val="-1"/>
        </w:rPr>
        <w:t xml:space="preserve">. </w:t>
      </w:r>
    </w:p>
    <w:p w14:paraId="483964F9" w14:textId="77777777" w:rsidR="00F84FB7" w:rsidRDefault="00F84FB7" w:rsidP="00F84FB7">
      <w:pPr>
        <w:pStyle w:val="BodyText"/>
        <w:numPr>
          <w:ilvl w:val="0"/>
          <w:numId w:val="0"/>
        </w:numPr>
        <w:spacing w:before="0" w:line="240" w:lineRule="auto"/>
        <w:rPr>
          <w:color w:val="000000"/>
          <w:spacing w:val="-1"/>
        </w:rPr>
      </w:pPr>
    </w:p>
    <w:p w14:paraId="5777CDE7" w14:textId="5CE37FB8" w:rsidR="002F6068" w:rsidRDefault="002F6068" w:rsidP="00F84FB7">
      <w:pPr>
        <w:pStyle w:val="BodyText"/>
        <w:numPr>
          <w:ilvl w:val="0"/>
          <w:numId w:val="0"/>
        </w:numPr>
        <w:spacing w:before="0" w:line="240" w:lineRule="auto"/>
        <w:rPr>
          <w:color w:val="000000"/>
          <w:spacing w:val="-1"/>
        </w:rPr>
      </w:pPr>
      <w:r>
        <w:rPr>
          <w:color w:val="000000"/>
          <w:spacing w:val="-1"/>
        </w:rPr>
        <w:t xml:space="preserve">Subsection 10(1) of the Cost Recovery Act provides that </w:t>
      </w:r>
      <w:r w:rsidRPr="002F6068">
        <w:rPr>
          <w:color w:val="000000"/>
          <w:spacing w:val="-1"/>
        </w:rPr>
        <w:t xml:space="preserve">ASIC’s regulatory costs for a financial year means the amount determined in an instrument under subsection </w:t>
      </w:r>
      <w:r w:rsidR="00F84FB7">
        <w:rPr>
          <w:color w:val="000000"/>
          <w:spacing w:val="-1"/>
        </w:rPr>
        <w:t>10</w:t>
      </w:r>
      <w:r w:rsidRPr="002F6068">
        <w:rPr>
          <w:color w:val="000000"/>
          <w:spacing w:val="-1"/>
        </w:rPr>
        <w:t>(2) for the financial year.</w:t>
      </w:r>
      <w:r>
        <w:rPr>
          <w:color w:val="000000"/>
          <w:spacing w:val="-1"/>
        </w:rPr>
        <w:t xml:space="preserve"> </w:t>
      </w:r>
    </w:p>
    <w:p w14:paraId="1EA798D4" w14:textId="77777777" w:rsidR="00F84FB7" w:rsidRDefault="00F84FB7" w:rsidP="00F84FB7">
      <w:pPr>
        <w:pStyle w:val="BodyText"/>
        <w:numPr>
          <w:ilvl w:val="0"/>
          <w:numId w:val="0"/>
        </w:numPr>
        <w:spacing w:before="0" w:line="240" w:lineRule="auto"/>
        <w:rPr>
          <w:color w:val="000000"/>
          <w:spacing w:val="-1"/>
        </w:rPr>
      </w:pPr>
    </w:p>
    <w:p w14:paraId="2EF1EE89" w14:textId="5DB2D058" w:rsidR="002F6068" w:rsidRPr="002F6068" w:rsidRDefault="002F6068" w:rsidP="00F84FB7">
      <w:pPr>
        <w:pStyle w:val="subsection"/>
        <w:spacing w:before="0"/>
        <w:ind w:left="0" w:firstLine="0"/>
      </w:pPr>
      <w:r>
        <w:rPr>
          <w:color w:val="000000"/>
          <w:spacing w:val="-1"/>
        </w:rPr>
        <w:t xml:space="preserve">Subsection 10(2) of the Cost Recovery Act provides that </w:t>
      </w:r>
      <w:r w:rsidRPr="006F4CBF">
        <w:t>ASIC must, by</w:t>
      </w:r>
      <w:r w:rsidRPr="006F4CBF">
        <w:rPr>
          <w:i/>
        </w:rPr>
        <w:t xml:space="preserve"> </w:t>
      </w:r>
      <w:r w:rsidRPr="006F4CBF">
        <w:t>legislative instrument, make a determination</w:t>
      </w:r>
      <w:r w:rsidR="00F84FB7">
        <w:t xml:space="preserve"> </w:t>
      </w:r>
      <w:r w:rsidRPr="006F4CBF">
        <w:t>specifying the amount of its regulatory costs for a financial year and</w:t>
      </w:r>
      <w:r w:rsidR="00F84FB7">
        <w:t xml:space="preserve"> </w:t>
      </w:r>
      <w:r w:rsidRPr="006F4CBF">
        <w:t>the extent to which those costs are attributable to each sub</w:t>
      </w:r>
      <w:r>
        <w:noBreakHyphen/>
      </w:r>
      <w:r w:rsidRPr="006F4CBF">
        <w:t>sector.</w:t>
      </w:r>
    </w:p>
    <w:p w14:paraId="6FF6A895" w14:textId="77777777" w:rsidR="00F84FB7" w:rsidRDefault="00F84FB7" w:rsidP="00F84FB7">
      <w:pPr>
        <w:pStyle w:val="BodyText"/>
        <w:numPr>
          <w:ilvl w:val="0"/>
          <w:numId w:val="0"/>
        </w:numPr>
        <w:spacing w:before="0" w:line="240" w:lineRule="auto"/>
        <w:rPr>
          <w:color w:val="000000"/>
          <w:spacing w:val="-1"/>
        </w:rPr>
      </w:pPr>
    </w:p>
    <w:p w14:paraId="1258CFAB" w14:textId="30C2E331" w:rsidR="00FC30B6" w:rsidRDefault="0035713D" w:rsidP="00F84FB7">
      <w:pPr>
        <w:pStyle w:val="BodyText"/>
        <w:numPr>
          <w:ilvl w:val="0"/>
          <w:numId w:val="0"/>
        </w:numPr>
        <w:spacing w:before="0" w:line="240" w:lineRule="auto"/>
        <w:rPr>
          <w:color w:val="000000"/>
          <w:spacing w:val="-1"/>
        </w:rPr>
      </w:pPr>
      <w:r>
        <w:rPr>
          <w:color w:val="000000"/>
          <w:spacing w:val="-1"/>
        </w:rPr>
        <w:t>Subsection 12</w:t>
      </w:r>
      <w:proofErr w:type="gramStart"/>
      <w:r>
        <w:rPr>
          <w:color w:val="000000"/>
          <w:spacing w:val="-1"/>
        </w:rPr>
        <w:t>A(</w:t>
      </w:r>
      <w:proofErr w:type="gramEnd"/>
      <w:r>
        <w:rPr>
          <w:color w:val="000000"/>
          <w:spacing w:val="-1"/>
        </w:rPr>
        <w:t>6) of the ASIC Act provides that ASIC has power to do whatever is necessary for or in connection with, or reasonably incidental to, t</w:t>
      </w:r>
      <w:r w:rsidR="002F6068">
        <w:rPr>
          <w:color w:val="000000"/>
          <w:spacing w:val="-1"/>
        </w:rPr>
        <w:t>he performance of its functions</w:t>
      </w:r>
      <w:r w:rsidR="00F84FB7">
        <w:rPr>
          <w:color w:val="000000"/>
          <w:spacing w:val="-1"/>
        </w:rPr>
        <w:t>. This includes functions conferred on ASIC by or under the Cost Recovery Act. The power in subsection 12</w:t>
      </w:r>
      <w:proofErr w:type="gramStart"/>
      <w:r w:rsidR="00F84FB7">
        <w:rPr>
          <w:color w:val="000000"/>
          <w:spacing w:val="-1"/>
        </w:rPr>
        <w:t>A(</w:t>
      </w:r>
      <w:proofErr w:type="gramEnd"/>
      <w:r w:rsidR="00F84FB7">
        <w:rPr>
          <w:color w:val="000000"/>
          <w:spacing w:val="-1"/>
        </w:rPr>
        <w:t xml:space="preserve">6) of the ASIC Act extends to the </w:t>
      </w:r>
      <w:r w:rsidR="00931DB6">
        <w:rPr>
          <w:color w:val="000000"/>
          <w:spacing w:val="-1"/>
        </w:rPr>
        <w:t xml:space="preserve">making of instruments </w:t>
      </w:r>
      <w:r w:rsidR="00E27D8A">
        <w:rPr>
          <w:color w:val="000000"/>
          <w:spacing w:val="-1"/>
        </w:rPr>
        <w:t xml:space="preserve">in connection with the </w:t>
      </w:r>
      <w:r w:rsidR="00F84FB7">
        <w:rPr>
          <w:color w:val="000000"/>
          <w:spacing w:val="-1"/>
        </w:rPr>
        <w:t>perform</w:t>
      </w:r>
      <w:r w:rsidR="00E27D8A">
        <w:rPr>
          <w:color w:val="000000"/>
          <w:spacing w:val="-1"/>
        </w:rPr>
        <w:t>ance of</w:t>
      </w:r>
      <w:r w:rsidR="00F84FB7">
        <w:rPr>
          <w:color w:val="000000"/>
          <w:spacing w:val="-1"/>
        </w:rPr>
        <w:t xml:space="preserve"> those functions.</w:t>
      </w:r>
      <w:r w:rsidR="00931DB6">
        <w:rPr>
          <w:color w:val="000000"/>
          <w:spacing w:val="-1"/>
        </w:rPr>
        <w:t xml:space="preserve"> </w:t>
      </w:r>
    </w:p>
    <w:p w14:paraId="150029F3" w14:textId="77777777" w:rsidR="000B25AB" w:rsidRPr="002F6068" w:rsidRDefault="000B25AB" w:rsidP="004A48B6">
      <w:pPr>
        <w:pStyle w:val="BodyText"/>
        <w:numPr>
          <w:ilvl w:val="0"/>
          <w:numId w:val="0"/>
        </w:numPr>
        <w:spacing w:before="0" w:line="240" w:lineRule="auto"/>
        <w:rPr>
          <w:color w:val="000000"/>
          <w:spacing w:val="-1"/>
        </w:rPr>
      </w:pPr>
    </w:p>
    <w:p w14:paraId="42561C3B" w14:textId="433C3CDA" w:rsidR="0036622A" w:rsidRDefault="004A48B6" w:rsidP="004A48B6">
      <w:pPr>
        <w:widowControl w:val="0"/>
        <w:spacing w:after="0"/>
        <w:ind w:left="567" w:hanging="567"/>
        <w:rPr>
          <w:rFonts w:ascii="Arial" w:eastAsia="Arial" w:hAnsi="Arial" w:cs="Arial"/>
          <w:sz w:val="24"/>
          <w:szCs w:val="24"/>
        </w:rPr>
      </w:pPr>
      <w:bookmarkStart w:id="1" w:name="1._Background"/>
      <w:bookmarkEnd w:id="1"/>
      <w:r>
        <w:rPr>
          <w:rFonts w:ascii="Arial"/>
          <w:b/>
          <w:spacing w:val="-1"/>
          <w:sz w:val="24"/>
        </w:rPr>
        <w:t>1.</w:t>
      </w:r>
      <w:r>
        <w:rPr>
          <w:rFonts w:ascii="Arial"/>
          <w:b/>
          <w:spacing w:val="-1"/>
          <w:sz w:val="24"/>
        </w:rPr>
        <w:tab/>
      </w:r>
      <w:r w:rsidR="0036622A">
        <w:rPr>
          <w:rFonts w:ascii="Arial"/>
          <w:b/>
          <w:spacing w:val="-1"/>
          <w:sz w:val="24"/>
        </w:rPr>
        <w:t>Background</w:t>
      </w:r>
    </w:p>
    <w:p w14:paraId="7C85CBD0" w14:textId="77777777" w:rsidR="0036622A" w:rsidRDefault="0036622A" w:rsidP="004A48B6">
      <w:pPr>
        <w:spacing w:after="0"/>
      </w:pPr>
    </w:p>
    <w:p w14:paraId="33E8D63C" w14:textId="501C3AFB" w:rsidR="00931DB6" w:rsidRDefault="004A48B6" w:rsidP="004A48B6">
      <w:pPr>
        <w:pStyle w:val="BodyText"/>
        <w:numPr>
          <w:ilvl w:val="0"/>
          <w:numId w:val="0"/>
        </w:numPr>
        <w:spacing w:before="0" w:line="240" w:lineRule="auto"/>
        <w:ind w:left="567" w:hanging="567"/>
      </w:pPr>
      <w:r>
        <w:t>1.1</w:t>
      </w:r>
      <w:r>
        <w:tab/>
      </w:r>
      <w:r w:rsidR="00931DB6">
        <w:t>On 20 April 2016, the Government accepted a recommendation of the Financial System Inquiry to introduce an industry funding model for ASIC.</w:t>
      </w:r>
    </w:p>
    <w:p w14:paraId="40FE2E30" w14:textId="77777777" w:rsidR="004A48B6" w:rsidRDefault="004A48B6" w:rsidP="004A48B6">
      <w:pPr>
        <w:pStyle w:val="BodyText"/>
        <w:numPr>
          <w:ilvl w:val="0"/>
          <w:numId w:val="0"/>
        </w:numPr>
        <w:spacing w:before="0" w:line="240" w:lineRule="auto"/>
        <w:ind w:left="567" w:hanging="567"/>
      </w:pPr>
    </w:p>
    <w:p w14:paraId="3D96A1D0" w14:textId="1119EFFF" w:rsidR="00931DB6" w:rsidRDefault="004A48B6" w:rsidP="0087748D">
      <w:pPr>
        <w:pStyle w:val="BodyText"/>
        <w:numPr>
          <w:ilvl w:val="0"/>
          <w:numId w:val="0"/>
        </w:numPr>
        <w:spacing w:before="0" w:line="240" w:lineRule="auto"/>
        <w:ind w:left="567" w:hanging="567"/>
      </w:pPr>
      <w:r>
        <w:t>1.2</w:t>
      </w:r>
      <w:r>
        <w:tab/>
      </w:r>
      <w:r w:rsidR="00E27D8A">
        <w:t xml:space="preserve">The </w:t>
      </w:r>
      <w:r w:rsidR="0087748D">
        <w:t xml:space="preserve">benefits </w:t>
      </w:r>
      <w:r w:rsidR="00E27D8A">
        <w:t xml:space="preserve">of an industry funding model </w:t>
      </w:r>
      <w:r w:rsidR="0087748D">
        <w:t xml:space="preserve">include </w:t>
      </w:r>
      <w:r>
        <w:t>i</w:t>
      </w:r>
      <w:r w:rsidR="00931DB6">
        <w:t>mproving equity, as only those entities that are regulated by ASIC and create the need for regulation will bear its costs, rather than ordinary taxpayers</w:t>
      </w:r>
      <w:r w:rsidR="0087748D">
        <w:t xml:space="preserve">. It also </w:t>
      </w:r>
      <w:r>
        <w:t>e</w:t>
      </w:r>
      <w:r w:rsidR="00931DB6">
        <w:t>ncourag</w:t>
      </w:r>
      <w:r w:rsidR="0087748D">
        <w:t>es</w:t>
      </w:r>
      <w:r w:rsidR="00931DB6">
        <w:t xml:space="preserve"> regulatory compliance as good conduct will reduce supervisory levies</w:t>
      </w:r>
      <w:r w:rsidR="0087748D">
        <w:t xml:space="preserve">. Further, it </w:t>
      </w:r>
      <w:r>
        <w:t>i</w:t>
      </w:r>
      <w:r w:rsidR="00931DB6">
        <w:t>mprov</w:t>
      </w:r>
      <w:r w:rsidR="0087748D">
        <w:t>es</w:t>
      </w:r>
      <w:r w:rsidR="00931DB6">
        <w:t xml:space="preserve"> ASIC’s resource allocation, by providing ASIC with richer data to better identify emerging risks</w:t>
      </w:r>
      <w:r w:rsidR="0087748D">
        <w:t xml:space="preserve">, </w:t>
      </w:r>
      <w:r w:rsidR="00931DB6">
        <w:t>enhancing ASIC’s transparency and accountability.</w:t>
      </w:r>
    </w:p>
    <w:p w14:paraId="41BA9131" w14:textId="77777777" w:rsidR="004A48B6" w:rsidRDefault="004A48B6" w:rsidP="004A48B6">
      <w:pPr>
        <w:pStyle w:val="BodyText"/>
        <w:numPr>
          <w:ilvl w:val="0"/>
          <w:numId w:val="0"/>
        </w:numPr>
        <w:spacing w:before="0" w:line="240" w:lineRule="auto"/>
        <w:ind w:left="567" w:hanging="567"/>
      </w:pPr>
    </w:p>
    <w:p w14:paraId="56CA8E77" w14:textId="5E5B1350" w:rsidR="008B339C" w:rsidRDefault="004A48B6" w:rsidP="00261ED6">
      <w:pPr>
        <w:pStyle w:val="BodyText"/>
        <w:numPr>
          <w:ilvl w:val="0"/>
          <w:numId w:val="0"/>
        </w:numPr>
        <w:spacing w:before="0" w:line="240" w:lineRule="auto"/>
        <w:ind w:left="567" w:hanging="567"/>
      </w:pPr>
      <w:r>
        <w:t>1.3</w:t>
      </w:r>
      <w:r>
        <w:tab/>
      </w:r>
      <w:r w:rsidR="00931DB6">
        <w:t>On 1 July 2017, the first phase of the ASIC</w:t>
      </w:r>
      <w:r w:rsidR="001131DD">
        <w:t xml:space="preserve"> </w:t>
      </w:r>
      <w:r w:rsidR="00931DB6">
        <w:t>industry funding model commenced with the introduction of industry levies to recover the costs of ASIC’s regulatory activities.</w:t>
      </w:r>
      <w:r w:rsidR="001131DD">
        <w:t xml:space="preserve">  The first phase is reflected in</w:t>
      </w:r>
      <w:r w:rsidR="00261ED6">
        <w:t xml:space="preserve"> </w:t>
      </w:r>
      <w:r w:rsidR="001131DD">
        <w:t>the Cost Recovery Act</w:t>
      </w:r>
      <w:r w:rsidR="00261ED6">
        <w:t xml:space="preserve">, </w:t>
      </w:r>
      <w:r w:rsidR="008B339C" w:rsidRPr="00157BA5">
        <w:rPr>
          <w:i/>
        </w:rPr>
        <w:t>ASIC Supervisory Cost Recovery Levy Regulations</w:t>
      </w:r>
      <w:r>
        <w:rPr>
          <w:i/>
        </w:rPr>
        <w:t> </w:t>
      </w:r>
      <w:r w:rsidR="008B339C" w:rsidRPr="00157BA5">
        <w:rPr>
          <w:i/>
        </w:rPr>
        <w:t>2017</w:t>
      </w:r>
      <w:r w:rsidR="008B339C">
        <w:t xml:space="preserve"> (</w:t>
      </w:r>
      <w:r w:rsidR="00261ED6">
        <w:t xml:space="preserve">the </w:t>
      </w:r>
      <w:r w:rsidR="008B339C" w:rsidRPr="00261ED6">
        <w:rPr>
          <w:b/>
          <w:i/>
        </w:rPr>
        <w:t>Cost Recovery Regulations</w:t>
      </w:r>
      <w:r w:rsidR="008B339C">
        <w:t xml:space="preserve">), </w:t>
      </w:r>
      <w:r w:rsidR="001131DD" w:rsidRPr="00E83F24">
        <w:rPr>
          <w:i/>
        </w:rPr>
        <w:t>A</w:t>
      </w:r>
      <w:r w:rsidR="001131DD" w:rsidRPr="00D25CE1">
        <w:rPr>
          <w:i/>
        </w:rPr>
        <w:t>SIC Supervisory Cost Recovery Levy (Collection) Act 2017</w:t>
      </w:r>
      <w:r w:rsidR="001131DD">
        <w:t xml:space="preserve"> and </w:t>
      </w:r>
      <w:r w:rsidR="00181230">
        <w:t xml:space="preserve">other </w:t>
      </w:r>
      <w:r w:rsidR="001131DD">
        <w:t>related regulations.</w:t>
      </w:r>
      <w:r w:rsidR="00AA06EC">
        <w:t xml:space="preserve"> </w:t>
      </w:r>
    </w:p>
    <w:p w14:paraId="1055D639" w14:textId="77777777" w:rsidR="004A48B6" w:rsidRDefault="004A48B6" w:rsidP="004A48B6">
      <w:pPr>
        <w:pStyle w:val="BodyText"/>
        <w:numPr>
          <w:ilvl w:val="0"/>
          <w:numId w:val="0"/>
        </w:numPr>
        <w:spacing w:before="0" w:line="240" w:lineRule="auto"/>
        <w:ind w:left="567" w:hanging="567"/>
      </w:pPr>
    </w:p>
    <w:p w14:paraId="33C84645" w14:textId="2B18C043" w:rsidR="008B339C" w:rsidRDefault="004A48B6" w:rsidP="004A48B6">
      <w:pPr>
        <w:pStyle w:val="BodyText"/>
        <w:numPr>
          <w:ilvl w:val="0"/>
          <w:numId w:val="0"/>
        </w:numPr>
        <w:spacing w:before="0" w:line="240" w:lineRule="auto"/>
        <w:ind w:left="567" w:hanging="567"/>
      </w:pPr>
      <w:r>
        <w:t>1.4</w:t>
      </w:r>
      <w:r>
        <w:tab/>
      </w:r>
      <w:r w:rsidR="008B339C">
        <w:t xml:space="preserve">The Government has also committed that ASIC’s costs for specific regulatory activities requested by an entity should be fully recovered from that entity. This is referred to as ‘fees for service’ and is the second and final phase of the ASIC industry funding model.  The second phase is reflected in the reforms made on or about 28 and 29 June 2018, including by the </w:t>
      </w:r>
      <w:r w:rsidR="008B339C" w:rsidRPr="008B339C">
        <w:rPr>
          <w:i/>
        </w:rPr>
        <w:t>Corporations (Fees) Amendment (ASIC Fees) Act 2018</w:t>
      </w:r>
      <w:r w:rsidR="008B339C">
        <w:t xml:space="preserve"> and the </w:t>
      </w:r>
      <w:r w:rsidR="008B339C" w:rsidRPr="008B339C">
        <w:rPr>
          <w:i/>
        </w:rPr>
        <w:t>Treasury Laws Amendment (ASIC Fees) Regulations 2018</w:t>
      </w:r>
      <w:r w:rsidR="008B339C">
        <w:t xml:space="preserve">. </w:t>
      </w:r>
    </w:p>
    <w:p w14:paraId="6F948DC6" w14:textId="77777777" w:rsidR="00E27D8A" w:rsidRDefault="00E27D8A" w:rsidP="004A48B6">
      <w:pPr>
        <w:pStyle w:val="BodyText"/>
        <w:numPr>
          <w:ilvl w:val="0"/>
          <w:numId w:val="0"/>
        </w:numPr>
        <w:spacing w:before="0" w:line="240" w:lineRule="auto"/>
        <w:ind w:left="567" w:hanging="567"/>
      </w:pPr>
    </w:p>
    <w:p w14:paraId="49A7A832" w14:textId="7C88205E" w:rsidR="00823DB0" w:rsidRDefault="004A48B6" w:rsidP="004A48B6">
      <w:pPr>
        <w:pStyle w:val="BodyText"/>
        <w:numPr>
          <w:ilvl w:val="0"/>
          <w:numId w:val="0"/>
        </w:numPr>
        <w:spacing w:before="0" w:line="240" w:lineRule="auto"/>
        <w:ind w:left="567" w:hanging="567"/>
      </w:pPr>
      <w:r>
        <w:t>1.5</w:t>
      </w:r>
      <w:r>
        <w:tab/>
      </w:r>
      <w:r w:rsidR="00207E3F" w:rsidRPr="00823DB0">
        <w:t>The instrument</w:t>
      </w:r>
      <w:r w:rsidR="00AB31DF" w:rsidRPr="00823DB0">
        <w:t xml:space="preserve"> relates to </w:t>
      </w:r>
      <w:r w:rsidR="00AA06EC" w:rsidRPr="00823DB0">
        <w:t>industry levies</w:t>
      </w:r>
      <w:r>
        <w:t xml:space="preserve">. </w:t>
      </w:r>
      <w:r w:rsidR="00125FFA" w:rsidRPr="00823DB0">
        <w:t>Industry levies are imposed on</w:t>
      </w:r>
      <w:r w:rsidR="00125FFA">
        <w:t xml:space="preserve"> the industry on</w:t>
      </w:r>
      <w:r w:rsidR="00125FFA" w:rsidRPr="00823DB0">
        <w:t xml:space="preserve"> an annual basis</w:t>
      </w:r>
      <w:r>
        <w:t xml:space="preserve">. The annual levies </w:t>
      </w:r>
      <w:r w:rsidR="00125FFA" w:rsidRPr="00823DB0">
        <w:t>are aimed at recovering ASIC’s regulatory costs for the previous financial</w:t>
      </w:r>
      <w:r>
        <w:t> </w:t>
      </w:r>
      <w:r w:rsidR="00125FFA" w:rsidRPr="00823DB0">
        <w:t>year.</w:t>
      </w:r>
      <w:r>
        <w:t xml:space="preserve"> </w:t>
      </w:r>
      <w:r w:rsidR="00807BF2">
        <w:t>A</w:t>
      </w:r>
      <w:r w:rsidR="004F0301">
        <w:t>ny entity which is a</w:t>
      </w:r>
      <w:r w:rsidR="0028331E" w:rsidRPr="00617B18">
        <w:t xml:space="preserve"> </w:t>
      </w:r>
      <w:r w:rsidR="0028331E" w:rsidRPr="00B953CA">
        <w:rPr>
          <w:b/>
          <w:i/>
        </w:rPr>
        <w:t>leviable entity</w:t>
      </w:r>
      <w:r w:rsidR="0028331E" w:rsidRPr="00617B18">
        <w:t xml:space="preserve"> </w:t>
      </w:r>
      <w:r w:rsidR="004F0301">
        <w:t xml:space="preserve">is required to pay a </w:t>
      </w:r>
      <w:r w:rsidR="0028331E" w:rsidRPr="00157BA5">
        <w:t xml:space="preserve">levy </w:t>
      </w:r>
      <w:r w:rsidR="004F0301">
        <w:t xml:space="preserve">for </w:t>
      </w:r>
      <w:r w:rsidR="0028331E" w:rsidRPr="00617B18">
        <w:t xml:space="preserve">each </w:t>
      </w:r>
      <w:r w:rsidR="0028331E" w:rsidRPr="00261ED6">
        <w:rPr>
          <w:b/>
          <w:i/>
        </w:rPr>
        <w:t>sub</w:t>
      </w:r>
      <w:r w:rsidR="0028331E" w:rsidRPr="00261ED6">
        <w:rPr>
          <w:b/>
          <w:i/>
        </w:rPr>
        <w:noBreakHyphen/>
        <w:t>sector</w:t>
      </w:r>
      <w:r w:rsidR="0028331E" w:rsidRPr="00617B18">
        <w:t xml:space="preserve"> </w:t>
      </w:r>
      <w:r w:rsidR="004F0301">
        <w:t xml:space="preserve">they were a part of </w:t>
      </w:r>
      <w:r w:rsidR="006C2F68">
        <w:t xml:space="preserve">at any time </w:t>
      </w:r>
      <w:r w:rsidR="004F0301">
        <w:t xml:space="preserve">during the </w:t>
      </w:r>
      <w:r w:rsidR="00E27D8A">
        <w:t xml:space="preserve">relevant </w:t>
      </w:r>
      <w:r w:rsidR="0028331E" w:rsidRPr="00617B18">
        <w:t>financial year</w:t>
      </w:r>
      <w:r w:rsidR="0028331E">
        <w:t>.</w:t>
      </w:r>
      <w:r w:rsidR="00917814">
        <w:t xml:space="preserve"> The sub-sectors are determined by the Cost Recovery Regulations.   </w:t>
      </w:r>
    </w:p>
    <w:p w14:paraId="0C9FD6F8" w14:textId="77777777" w:rsidR="00E27D8A" w:rsidRDefault="00E27D8A" w:rsidP="0087748D">
      <w:pPr>
        <w:pStyle w:val="BodyText"/>
        <w:numPr>
          <w:ilvl w:val="0"/>
          <w:numId w:val="0"/>
        </w:numPr>
        <w:spacing w:before="0" w:line="240" w:lineRule="auto"/>
        <w:ind w:left="567" w:hanging="567"/>
        <w:rPr>
          <w:rFonts w:ascii="Arial" w:hAnsi="Arial" w:cs="Arial"/>
          <w:b/>
          <w:sz w:val="24"/>
          <w:szCs w:val="24"/>
        </w:rPr>
      </w:pPr>
    </w:p>
    <w:p w14:paraId="606D01ED" w14:textId="762F38B8" w:rsidR="0036622A" w:rsidRPr="0087748D" w:rsidRDefault="0087748D" w:rsidP="0087748D">
      <w:pPr>
        <w:pStyle w:val="BodyText"/>
        <w:numPr>
          <w:ilvl w:val="0"/>
          <w:numId w:val="0"/>
        </w:numPr>
        <w:spacing w:before="0" w:line="240" w:lineRule="auto"/>
        <w:ind w:left="567" w:hanging="567"/>
        <w:rPr>
          <w:rFonts w:ascii="Arial" w:hAnsi="Arial" w:cs="Arial"/>
          <w:b/>
          <w:spacing w:val="-1"/>
          <w:sz w:val="24"/>
          <w:szCs w:val="24"/>
        </w:rPr>
      </w:pPr>
      <w:r>
        <w:rPr>
          <w:rFonts w:ascii="Arial" w:hAnsi="Arial" w:cs="Arial"/>
          <w:b/>
          <w:sz w:val="24"/>
          <w:szCs w:val="24"/>
        </w:rPr>
        <w:t>2</w:t>
      </w:r>
      <w:bookmarkStart w:id="2" w:name="2._Purpose_of_the_class_order_"/>
      <w:bookmarkEnd w:id="2"/>
      <w:r>
        <w:rPr>
          <w:rFonts w:ascii="Arial" w:hAnsi="Arial" w:cs="Arial"/>
          <w:b/>
          <w:sz w:val="24"/>
          <w:szCs w:val="24"/>
        </w:rPr>
        <w:t>.</w:t>
      </w:r>
      <w:r>
        <w:rPr>
          <w:rFonts w:ascii="Arial" w:hAnsi="Arial" w:cs="Arial"/>
          <w:b/>
          <w:sz w:val="24"/>
          <w:szCs w:val="24"/>
        </w:rPr>
        <w:tab/>
      </w:r>
      <w:r w:rsidR="0036622A" w:rsidRPr="0087748D">
        <w:rPr>
          <w:rFonts w:ascii="Arial" w:hAnsi="Arial" w:cs="Arial"/>
          <w:b/>
          <w:spacing w:val="-1"/>
          <w:sz w:val="24"/>
          <w:szCs w:val="24"/>
        </w:rPr>
        <w:t>Purpose</w:t>
      </w:r>
      <w:r w:rsidR="0036622A" w:rsidRPr="0087748D">
        <w:rPr>
          <w:rFonts w:ascii="Arial" w:hAnsi="Arial" w:cs="Arial"/>
          <w:b/>
          <w:sz w:val="24"/>
          <w:szCs w:val="24"/>
        </w:rPr>
        <w:t xml:space="preserve"> of </w:t>
      </w:r>
      <w:r w:rsidR="0036622A" w:rsidRPr="0087748D">
        <w:rPr>
          <w:rFonts w:ascii="Arial" w:hAnsi="Arial" w:cs="Arial"/>
          <w:b/>
          <w:spacing w:val="-1"/>
          <w:sz w:val="24"/>
          <w:szCs w:val="24"/>
        </w:rPr>
        <w:t>the</w:t>
      </w:r>
      <w:r w:rsidR="0036622A" w:rsidRPr="0087748D">
        <w:rPr>
          <w:rFonts w:ascii="Arial" w:hAnsi="Arial" w:cs="Arial"/>
          <w:b/>
          <w:sz w:val="24"/>
          <w:szCs w:val="24"/>
        </w:rPr>
        <w:t xml:space="preserve"> </w:t>
      </w:r>
      <w:r w:rsidR="0036622A" w:rsidRPr="0087748D">
        <w:rPr>
          <w:rFonts w:ascii="Arial" w:hAnsi="Arial" w:cs="Arial"/>
          <w:b/>
          <w:spacing w:val="-1"/>
          <w:sz w:val="24"/>
          <w:szCs w:val="24"/>
        </w:rPr>
        <w:t>instrument</w:t>
      </w:r>
    </w:p>
    <w:p w14:paraId="5CDC0821" w14:textId="77777777" w:rsidR="0087748D" w:rsidRDefault="0087748D" w:rsidP="0087748D">
      <w:pPr>
        <w:pStyle w:val="BodyText"/>
        <w:numPr>
          <w:ilvl w:val="0"/>
          <w:numId w:val="0"/>
        </w:numPr>
        <w:spacing w:before="0" w:line="240" w:lineRule="auto"/>
        <w:ind w:left="567" w:hanging="567"/>
      </w:pPr>
    </w:p>
    <w:p w14:paraId="33472E6C" w14:textId="2F071140" w:rsidR="001653BF" w:rsidRDefault="0087748D" w:rsidP="00653F7D">
      <w:pPr>
        <w:pStyle w:val="BodyText"/>
        <w:numPr>
          <w:ilvl w:val="0"/>
          <w:numId w:val="0"/>
        </w:numPr>
        <w:spacing w:before="0" w:line="240" w:lineRule="auto"/>
        <w:ind w:left="567" w:hanging="567"/>
      </w:pPr>
      <w:r>
        <w:t>2.1</w:t>
      </w:r>
      <w:r>
        <w:tab/>
      </w:r>
      <w:bookmarkStart w:id="3" w:name="_Hlk524424794"/>
      <w:r w:rsidR="00207E3F" w:rsidRPr="00207E3F">
        <w:t xml:space="preserve">The purpose of the instrument is to </w:t>
      </w:r>
      <w:r w:rsidR="00E27D8A">
        <w:t>specify ASIC’s regulatory costs and their attribution to each</w:t>
      </w:r>
      <w:r w:rsidR="0033285B">
        <w:t> </w:t>
      </w:r>
      <w:r w:rsidR="00E27D8A">
        <w:t xml:space="preserve">sub-sector </w:t>
      </w:r>
      <w:r w:rsidR="008B4E74">
        <w:t xml:space="preserve">for the </w:t>
      </w:r>
      <w:r>
        <w:t xml:space="preserve">2017 – 2018 </w:t>
      </w:r>
      <w:r w:rsidR="008B4E74">
        <w:t>financial year</w:t>
      </w:r>
      <w:r w:rsidR="00E27D8A">
        <w:t xml:space="preserve">. </w:t>
      </w:r>
      <w:bookmarkEnd w:id="3"/>
      <w:r w:rsidR="008B4E74">
        <w:t>The instrument is to be read in conjunction</w:t>
      </w:r>
      <w:r w:rsidR="009C5B6C">
        <w:t> </w:t>
      </w:r>
      <w:r w:rsidR="008B4E74">
        <w:t xml:space="preserve">with the </w:t>
      </w:r>
      <w:r w:rsidR="001653BF" w:rsidRPr="001653BF">
        <w:rPr>
          <w:i/>
        </w:rPr>
        <w:t xml:space="preserve">ASIC (Supervisory Cost Recovery Levy—Annual </w:t>
      </w:r>
      <w:r w:rsidR="008B4E74" w:rsidRPr="001653BF">
        <w:rPr>
          <w:i/>
        </w:rPr>
        <w:t>Determination</w:t>
      </w:r>
      <w:r w:rsidR="001653BF" w:rsidRPr="001653BF">
        <w:rPr>
          <w:i/>
        </w:rPr>
        <w:t>)</w:t>
      </w:r>
      <w:r w:rsidR="008B4E74" w:rsidRPr="001653BF">
        <w:rPr>
          <w:i/>
        </w:rPr>
        <w:t xml:space="preserve"> Instrument</w:t>
      </w:r>
      <w:r w:rsidR="001653BF" w:rsidRPr="001653BF">
        <w:rPr>
          <w:i/>
        </w:rPr>
        <w:t xml:space="preserve"> 2018/</w:t>
      </w:r>
      <w:r w:rsidR="0033285B">
        <w:rPr>
          <w:i/>
        </w:rPr>
        <w:t>1063</w:t>
      </w:r>
      <w:r w:rsidR="008B4E74">
        <w:t>.</w:t>
      </w:r>
      <w:r w:rsidR="001653BF">
        <w:t xml:space="preserve"> </w:t>
      </w:r>
    </w:p>
    <w:p w14:paraId="6688C509" w14:textId="77777777" w:rsidR="001653BF" w:rsidRDefault="001653BF" w:rsidP="00653F7D">
      <w:pPr>
        <w:pStyle w:val="BodyText"/>
        <w:numPr>
          <w:ilvl w:val="0"/>
          <w:numId w:val="0"/>
        </w:numPr>
        <w:spacing w:before="0" w:line="240" w:lineRule="auto"/>
        <w:ind w:left="567" w:hanging="567"/>
      </w:pPr>
    </w:p>
    <w:p w14:paraId="69C771BF" w14:textId="1DD3822C" w:rsidR="008B4E74" w:rsidRDefault="001653BF" w:rsidP="00653F7D">
      <w:pPr>
        <w:pStyle w:val="BodyText"/>
        <w:numPr>
          <w:ilvl w:val="0"/>
          <w:numId w:val="0"/>
        </w:numPr>
        <w:spacing w:before="0" w:line="240" w:lineRule="auto"/>
        <w:ind w:left="567" w:hanging="567"/>
      </w:pPr>
      <w:r>
        <w:t>2.2</w:t>
      </w:r>
      <w:r>
        <w:tab/>
      </w:r>
      <w:r w:rsidR="008B4E74">
        <w:t>Together</w:t>
      </w:r>
      <w:r w:rsidR="00785614">
        <w:t>,</w:t>
      </w:r>
      <w:r w:rsidR="008B4E74">
        <w:t xml:space="preserve"> these instruments provide ASIC with the</w:t>
      </w:r>
      <w:r w:rsidR="00785614">
        <w:t xml:space="preserve"> necessary</w:t>
      </w:r>
      <w:r w:rsidR="008B4E74">
        <w:t xml:space="preserve"> figures to </w:t>
      </w:r>
      <w:r w:rsidR="00785614">
        <w:t xml:space="preserve">enable it to </w:t>
      </w:r>
      <w:r w:rsidR="008B4E74">
        <w:t xml:space="preserve">calculate </w:t>
      </w:r>
      <w:r w:rsidR="00785614">
        <w:t>the levies</w:t>
      </w:r>
      <w:r w:rsidR="008B4E74">
        <w:t xml:space="preserve"> payable by </w:t>
      </w:r>
      <w:r w:rsidR="00785614">
        <w:t xml:space="preserve">each </w:t>
      </w:r>
      <w:r w:rsidR="008B4E74">
        <w:t xml:space="preserve">leviable entity for the </w:t>
      </w:r>
      <w:r w:rsidR="0087748D">
        <w:t>20</w:t>
      </w:r>
      <w:r w:rsidR="00917814">
        <w:t>1</w:t>
      </w:r>
      <w:r w:rsidR="0087748D">
        <w:t xml:space="preserve">7 – 2018 </w:t>
      </w:r>
      <w:r w:rsidR="008B4E74">
        <w:t>financial year.</w:t>
      </w:r>
      <w:r w:rsidRPr="001653BF">
        <w:rPr>
          <w:szCs w:val="20"/>
        </w:rPr>
        <w:t xml:space="preserve"> </w:t>
      </w:r>
      <w:r w:rsidRPr="001653BF">
        <w:t xml:space="preserve">ASIC will use the figures in these instruments in preparing the invoices for the levies which will be sent out to the industry in January 2019.  </w:t>
      </w:r>
    </w:p>
    <w:p w14:paraId="41907226" w14:textId="77777777" w:rsidR="008B4E74" w:rsidRPr="008B4E74" w:rsidRDefault="008B4E74" w:rsidP="0087748D">
      <w:pPr>
        <w:pStyle w:val="BodyText"/>
        <w:numPr>
          <w:ilvl w:val="0"/>
          <w:numId w:val="0"/>
        </w:numPr>
        <w:spacing w:before="0" w:line="240" w:lineRule="auto"/>
        <w:ind w:left="360"/>
      </w:pPr>
    </w:p>
    <w:p w14:paraId="5D77F57E" w14:textId="5FE975B9" w:rsidR="0036622A" w:rsidRDefault="0087748D" w:rsidP="0087748D">
      <w:pPr>
        <w:pStyle w:val="Heading3"/>
        <w:keepNext w:val="0"/>
        <w:widowControl w:val="0"/>
        <w:spacing w:before="0" w:line="240" w:lineRule="auto"/>
        <w:ind w:left="567" w:hanging="567"/>
      </w:pPr>
      <w:bookmarkStart w:id="4" w:name="3._Operation_of_the_class_order_"/>
      <w:bookmarkEnd w:id="4"/>
      <w:r>
        <w:rPr>
          <w:spacing w:val="-1"/>
        </w:rPr>
        <w:t>3.</w:t>
      </w:r>
      <w:r>
        <w:rPr>
          <w:spacing w:val="-1"/>
        </w:rPr>
        <w:tab/>
      </w:r>
      <w:r w:rsidR="0036622A">
        <w:rPr>
          <w:spacing w:val="-1"/>
        </w:rPr>
        <w:t>Operation</w:t>
      </w:r>
      <w:r w:rsidR="0036622A">
        <w:t xml:space="preserve"> </w:t>
      </w:r>
      <w:r w:rsidR="0036622A">
        <w:rPr>
          <w:spacing w:val="-1"/>
        </w:rPr>
        <w:t>of</w:t>
      </w:r>
      <w:r w:rsidR="0036622A">
        <w:t xml:space="preserve"> </w:t>
      </w:r>
      <w:r w:rsidR="0036622A">
        <w:rPr>
          <w:spacing w:val="-1"/>
        </w:rPr>
        <w:t>the</w:t>
      </w:r>
      <w:r w:rsidR="0036622A">
        <w:t xml:space="preserve"> instrument</w:t>
      </w:r>
    </w:p>
    <w:p w14:paraId="06E4B969" w14:textId="77777777" w:rsidR="001212D2" w:rsidRDefault="001212D2" w:rsidP="001212D2">
      <w:pPr>
        <w:pStyle w:val="BodyText"/>
        <w:numPr>
          <w:ilvl w:val="0"/>
          <w:numId w:val="0"/>
        </w:numPr>
        <w:ind w:left="567" w:hanging="567"/>
      </w:pPr>
      <w:r>
        <w:t>3.1</w:t>
      </w:r>
      <w:r>
        <w:tab/>
      </w:r>
      <w:r w:rsidRPr="001212D2">
        <w:t xml:space="preserve">The legislative instrument applies in relation to the </w:t>
      </w:r>
      <w:r w:rsidRPr="001212D2">
        <w:rPr>
          <w:b/>
        </w:rPr>
        <w:t>2017 – 2018 financial year</w:t>
      </w:r>
      <w:r w:rsidRPr="001212D2">
        <w:t>.</w:t>
      </w:r>
    </w:p>
    <w:p w14:paraId="4C248C0D" w14:textId="52399A63" w:rsidR="00CA2648" w:rsidRPr="00CA2648" w:rsidRDefault="00CA2648" w:rsidP="00861184">
      <w:pPr>
        <w:pStyle w:val="BodyText"/>
        <w:numPr>
          <w:ilvl w:val="0"/>
          <w:numId w:val="0"/>
        </w:numPr>
        <w:ind w:left="567"/>
        <w:rPr>
          <w:u w:val="single"/>
        </w:rPr>
      </w:pPr>
      <w:r w:rsidRPr="00CA2648">
        <w:rPr>
          <w:u w:val="single"/>
        </w:rPr>
        <w:t>Amount of ASIC’s regulatory costs for the 2017 – 2018 financial year</w:t>
      </w:r>
    </w:p>
    <w:p w14:paraId="5CE36AF0" w14:textId="77777777" w:rsidR="00CA2648" w:rsidRDefault="00CA2648" w:rsidP="0087748D">
      <w:pPr>
        <w:pStyle w:val="BodyText"/>
        <w:numPr>
          <w:ilvl w:val="0"/>
          <w:numId w:val="0"/>
        </w:numPr>
        <w:spacing w:before="0" w:line="240" w:lineRule="auto"/>
        <w:ind w:left="567" w:hanging="567"/>
      </w:pPr>
    </w:p>
    <w:p w14:paraId="2BD0436C" w14:textId="20C7512B" w:rsidR="00C66134" w:rsidRDefault="0087748D" w:rsidP="0087748D">
      <w:pPr>
        <w:pStyle w:val="BodyText"/>
        <w:numPr>
          <w:ilvl w:val="0"/>
          <w:numId w:val="0"/>
        </w:numPr>
        <w:spacing w:before="0" w:line="240" w:lineRule="auto"/>
        <w:ind w:left="567" w:hanging="567"/>
      </w:pPr>
      <w:r>
        <w:t>3.</w:t>
      </w:r>
      <w:r w:rsidR="00476E55">
        <w:t>2</w:t>
      </w:r>
      <w:r>
        <w:tab/>
      </w:r>
      <w:r w:rsidR="00917814">
        <w:t>Section 6</w:t>
      </w:r>
      <w:r w:rsidR="00842E11" w:rsidRPr="00842E11">
        <w:t xml:space="preserve"> of the instrument </w:t>
      </w:r>
      <w:r w:rsidR="00842E11">
        <w:t xml:space="preserve">specifies the amount of </w:t>
      </w:r>
      <w:r w:rsidR="00842E11" w:rsidRPr="00842E11">
        <w:t>ASIC’s regulatory costs for the financial</w:t>
      </w:r>
      <w:r w:rsidR="00917814">
        <w:t> </w:t>
      </w:r>
      <w:r w:rsidR="00842E11" w:rsidRPr="00842E11">
        <w:t>year.</w:t>
      </w:r>
      <w:r w:rsidR="00842E11">
        <w:t xml:space="preserve"> </w:t>
      </w:r>
      <w:r w:rsidR="00842E11" w:rsidRPr="00842E11">
        <w:t>ASIC’s regulatory costs w</w:t>
      </w:r>
      <w:r w:rsidR="00842E11">
        <w:t>ere</w:t>
      </w:r>
      <w:r w:rsidR="00842E11" w:rsidRPr="00842E11">
        <w:t xml:space="preserve"> $</w:t>
      </w:r>
      <w:r w:rsidR="004E508E">
        <w:t>236,582,384</w:t>
      </w:r>
      <w:r w:rsidR="00842E11">
        <w:t>.</w:t>
      </w:r>
    </w:p>
    <w:p w14:paraId="64DCF963" w14:textId="77777777" w:rsidR="00C66134" w:rsidRDefault="00C66134" w:rsidP="0087748D">
      <w:pPr>
        <w:pStyle w:val="BodyText"/>
        <w:numPr>
          <w:ilvl w:val="0"/>
          <w:numId w:val="0"/>
        </w:numPr>
        <w:spacing w:before="0" w:line="240" w:lineRule="auto"/>
        <w:ind w:left="567" w:hanging="567"/>
      </w:pPr>
    </w:p>
    <w:p w14:paraId="3777968B" w14:textId="3F1C095C" w:rsidR="00737FEF" w:rsidRDefault="00C66134" w:rsidP="0087748D">
      <w:pPr>
        <w:pStyle w:val="BodyText"/>
        <w:numPr>
          <w:ilvl w:val="0"/>
          <w:numId w:val="0"/>
        </w:numPr>
        <w:spacing w:before="0" w:line="240" w:lineRule="auto"/>
        <w:ind w:left="567" w:hanging="567"/>
      </w:pPr>
      <w:r>
        <w:t>3.</w:t>
      </w:r>
      <w:r w:rsidR="00476E55">
        <w:t>3</w:t>
      </w:r>
      <w:r>
        <w:tab/>
      </w:r>
      <w:r w:rsidR="00FB37B6" w:rsidRPr="00FB37B6">
        <w:t>ASIC confirms that</w:t>
      </w:r>
      <w:r>
        <w:t xml:space="preserve"> </w:t>
      </w:r>
      <w:r w:rsidR="00FB37B6" w:rsidRPr="00FB37B6">
        <w:t>the amount</w:t>
      </w:r>
      <w:r>
        <w:t> </w:t>
      </w:r>
      <w:r w:rsidR="00FB37B6" w:rsidRPr="00FB37B6">
        <w:t xml:space="preserve">of its regulatory costs for the </w:t>
      </w:r>
      <w:r w:rsidR="00CA2648">
        <w:t xml:space="preserve">financial </w:t>
      </w:r>
      <w:r w:rsidR="00FB37B6" w:rsidRPr="00FB37B6">
        <w:t>year does not exceed the sum of all amounts appropriated by the Parliament for the purposes of ASIC for the financial year</w:t>
      </w:r>
      <w:r>
        <w:t>, that sum being </w:t>
      </w:r>
      <w:r w:rsidR="00FB37B6" w:rsidRPr="00FB37B6">
        <w:t>$</w:t>
      </w:r>
      <w:r w:rsidR="00F07310">
        <w:t>387,4</w:t>
      </w:r>
      <w:r w:rsidR="00E712CE">
        <w:t>90,000</w:t>
      </w:r>
      <w:r w:rsidR="00FB37B6" w:rsidRPr="00FB37B6">
        <w:t>.</w:t>
      </w:r>
    </w:p>
    <w:p w14:paraId="2294ECA8" w14:textId="4647A439" w:rsidR="00737FEF" w:rsidRDefault="00737FEF" w:rsidP="0087748D">
      <w:pPr>
        <w:pStyle w:val="BodyText"/>
        <w:numPr>
          <w:ilvl w:val="0"/>
          <w:numId w:val="0"/>
        </w:numPr>
        <w:spacing w:before="0" w:line="240" w:lineRule="auto"/>
        <w:ind w:left="567" w:hanging="567"/>
      </w:pPr>
    </w:p>
    <w:p w14:paraId="7EBC6747" w14:textId="6D04E87E" w:rsidR="00CA2648" w:rsidRDefault="00EA7638" w:rsidP="00737FEF">
      <w:pPr>
        <w:pStyle w:val="BodyText"/>
        <w:numPr>
          <w:ilvl w:val="0"/>
          <w:numId w:val="0"/>
        </w:numPr>
        <w:spacing w:before="0" w:line="240" w:lineRule="auto"/>
        <w:ind w:left="567" w:hanging="567"/>
      </w:pPr>
      <w:r>
        <w:t>3.</w:t>
      </w:r>
      <w:r w:rsidR="00476E55">
        <w:t>4</w:t>
      </w:r>
      <w:r>
        <w:tab/>
        <w:t>ASIC confirms that</w:t>
      </w:r>
      <w:r w:rsidR="00C66134">
        <w:t xml:space="preserve"> </w:t>
      </w:r>
      <w:r w:rsidR="00CA2648" w:rsidRPr="00CA2648">
        <w:t>the amount of its regulatory costs for the financial year</w:t>
      </w:r>
      <w:r w:rsidR="00CA2648">
        <w:t xml:space="preserve"> did </w:t>
      </w:r>
      <w:r w:rsidR="00CA2648" w:rsidRPr="00CA2648">
        <w:rPr>
          <w:i/>
        </w:rPr>
        <w:t>not</w:t>
      </w:r>
      <w:r w:rsidR="00CA2648">
        <w:t xml:space="preserve"> include:</w:t>
      </w:r>
    </w:p>
    <w:p w14:paraId="69350FE6" w14:textId="77777777" w:rsidR="00CA2648" w:rsidRDefault="00CA2648" w:rsidP="00737FEF">
      <w:pPr>
        <w:pStyle w:val="BodyText"/>
        <w:numPr>
          <w:ilvl w:val="0"/>
          <w:numId w:val="0"/>
        </w:numPr>
        <w:spacing w:before="0" w:line="240" w:lineRule="auto"/>
        <w:ind w:left="567" w:hanging="567"/>
      </w:pPr>
    </w:p>
    <w:p w14:paraId="6991282D" w14:textId="78431C28" w:rsidR="00CA2648" w:rsidRDefault="00CA2648" w:rsidP="00CA2648">
      <w:pPr>
        <w:pStyle w:val="BodyText"/>
        <w:numPr>
          <w:ilvl w:val="0"/>
          <w:numId w:val="0"/>
        </w:numPr>
        <w:spacing w:before="0" w:line="240" w:lineRule="auto"/>
        <w:ind w:left="1134" w:hanging="567"/>
      </w:pPr>
      <w:r>
        <w:t>(a)</w:t>
      </w:r>
      <w:r>
        <w:tab/>
        <w:t>any amounts relating directly to the regulation of persons and entities that are not leviable entities;</w:t>
      </w:r>
    </w:p>
    <w:p w14:paraId="7ED8FF93" w14:textId="65D1AB5A" w:rsidR="00CA2648" w:rsidRDefault="00CA2648" w:rsidP="00CA2648">
      <w:pPr>
        <w:pStyle w:val="BodyText"/>
        <w:numPr>
          <w:ilvl w:val="0"/>
          <w:numId w:val="0"/>
        </w:numPr>
        <w:spacing w:before="0" w:line="240" w:lineRule="auto"/>
        <w:ind w:left="1134" w:hanging="567"/>
      </w:pPr>
    </w:p>
    <w:p w14:paraId="37A78CC3" w14:textId="4397CCB3" w:rsidR="00CA2648" w:rsidRDefault="00CA2648" w:rsidP="00CA2648">
      <w:pPr>
        <w:pStyle w:val="BodyText"/>
        <w:numPr>
          <w:ilvl w:val="0"/>
          <w:numId w:val="0"/>
        </w:numPr>
        <w:spacing w:before="0" w:line="240" w:lineRule="auto"/>
        <w:ind w:left="1134" w:hanging="567"/>
      </w:pPr>
      <w:r>
        <w:t>(b)</w:t>
      </w:r>
      <w:r>
        <w:tab/>
        <w:t xml:space="preserve">any costs giving rise to amounts debited from </w:t>
      </w:r>
      <w:r w:rsidRPr="00CA2648">
        <w:t>a special account established under paragraph</w:t>
      </w:r>
      <w:r>
        <w:t> </w:t>
      </w:r>
      <w:r w:rsidRPr="00CA2648">
        <w:t xml:space="preserve">78(1)(a) of the </w:t>
      </w:r>
      <w:r w:rsidRPr="00CA2648">
        <w:rPr>
          <w:i/>
        </w:rPr>
        <w:t>Public Governance, Performance and Accountability Act 2013</w:t>
      </w:r>
      <w:r w:rsidR="00C66134">
        <w:t>;</w:t>
      </w:r>
      <w:r w:rsidR="00E0555C">
        <w:t xml:space="preserve"> or</w:t>
      </w:r>
    </w:p>
    <w:p w14:paraId="4CF54DC0" w14:textId="79B4A9F8" w:rsidR="00C66134" w:rsidRDefault="00C66134" w:rsidP="00CA2648">
      <w:pPr>
        <w:pStyle w:val="BodyText"/>
        <w:numPr>
          <w:ilvl w:val="0"/>
          <w:numId w:val="0"/>
        </w:numPr>
        <w:spacing w:before="0" w:line="240" w:lineRule="auto"/>
        <w:ind w:left="1134" w:hanging="567"/>
      </w:pPr>
    </w:p>
    <w:p w14:paraId="22E98C87" w14:textId="76A7E5E2" w:rsidR="00C66134" w:rsidRDefault="00C66134" w:rsidP="00CA2648">
      <w:pPr>
        <w:pStyle w:val="BodyText"/>
        <w:numPr>
          <w:ilvl w:val="0"/>
          <w:numId w:val="0"/>
        </w:numPr>
        <w:spacing w:before="0" w:line="240" w:lineRule="auto"/>
        <w:ind w:left="1134" w:hanging="567"/>
      </w:pPr>
      <w:r>
        <w:t>(c)</w:t>
      </w:r>
      <w:r>
        <w:tab/>
        <w:t xml:space="preserve">any costs of the kind mentioned in </w:t>
      </w:r>
      <w:r w:rsidR="00DC56C1">
        <w:t xml:space="preserve">section </w:t>
      </w:r>
      <w:r>
        <w:t xml:space="preserve">5 of the </w:t>
      </w:r>
      <w:bookmarkStart w:id="5" w:name="_Hlk524367745"/>
      <w:r>
        <w:t>Cost Recovery Regulations</w:t>
      </w:r>
      <w:bookmarkEnd w:id="5"/>
      <w:r>
        <w:t>.</w:t>
      </w:r>
    </w:p>
    <w:p w14:paraId="78814913" w14:textId="77777777" w:rsidR="00CA2648" w:rsidRDefault="00CA2648" w:rsidP="00737FEF">
      <w:pPr>
        <w:pStyle w:val="BodyText"/>
        <w:numPr>
          <w:ilvl w:val="0"/>
          <w:numId w:val="0"/>
        </w:numPr>
        <w:spacing w:before="0" w:line="240" w:lineRule="auto"/>
        <w:ind w:left="567" w:hanging="567"/>
      </w:pPr>
    </w:p>
    <w:p w14:paraId="4C885280" w14:textId="1A52A209" w:rsidR="00FB37B6" w:rsidRDefault="00737FEF" w:rsidP="00737FEF">
      <w:pPr>
        <w:pStyle w:val="BodyText"/>
        <w:numPr>
          <w:ilvl w:val="0"/>
          <w:numId w:val="0"/>
        </w:numPr>
        <w:spacing w:before="0" w:line="240" w:lineRule="auto"/>
        <w:ind w:left="567" w:hanging="567"/>
      </w:pPr>
      <w:bookmarkStart w:id="6" w:name="_Hlk524364724"/>
      <w:r>
        <w:t>3.</w:t>
      </w:r>
      <w:r w:rsidR="00476E55">
        <w:t>5</w:t>
      </w:r>
      <w:r>
        <w:tab/>
        <w:t>ASIC confirms that</w:t>
      </w:r>
      <w:r w:rsidR="00C66134">
        <w:t xml:space="preserve"> </w:t>
      </w:r>
      <w:r w:rsidRPr="00737FEF">
        <w:t>the amount of its regulatory costs for the financial year</w:t>
      </w:r>
      <w:r>
        <w:t xml:space="preserve"> </w:t>
      </w:r>
      <w:r w:rsidR="00601639">
        <w:t>included the following amounts</w:t>
      </w:r>
      <w:r w:rsidR="00FB37B6">
        <w:t>:</w:t>
      </w:r>
    </w:p>
    <w:bookmarkEnd w:id="6"/>
    <w:p w14:paraId="081D7968" w14:textId="6DC72CDF" w:rsidR="00FB37B6" w:rsidRDefault="00FB37B6" w:rsidP="00737FEF">
      <w:pPr>
        <w:pStyle w:val="BodyText"/>
        <w:numPr>
          <w:ilvl w:val="0"/>
          <w:numId w:val="0"/>
        </w:numPr>
        <w:spacing w:before="0" w:line="240" w:lineRule="auto"/>
        <w:ind w:left="567" w:hanging="567"/>
      </w:pPr>
    </w:p>
    <w:p w14:paraId="0D1159A8" w14:textId="5A1FF23F" w:rsidR="00FB37B6" w:rsidRDefault="00FB37B6" w:rsidP="00FB37B6">
      <w:pPr>
        <w:pStyle w:val="BodyText"/>
        <w:numPr>
          <w:ilvl w:val="0"/>
          <w:numId w:val="0"/>
        </w:numPr>
        <w:spacing w:before="0" w:line="240" w:lineRule="auto"/>
        <w:ind w:left="1134" w:hanging="567"/>
      </w:pPr>
      <w:r>
        <w:t>(a)</w:t>
      </w:r>
      <w:r>
        <w:tab/>
        <w:t>costs relating directly or indirectly to the regulation of leviable entities, including costs relating to surveillance, education, guidance, engagement with industry and policy advice;</w:t>
      </w:r>
    </w:p>
    <w:p w14:paraId="61E9F23A" w14:textId="66FE8A7D" w:rsidR="00FB37B6" w:rsidRDefault="00FB37B6" w:rsidP="00FB37B6">
      <w:pPr>
        <w:pStyle w:val="BodyText"/>
        <w:numPr>
          <w:ilvl w:val="0"/>
          <w:numId w:val="0"/>
        </w:numPr>
        <w:spacing w:before="0" w:line="240" w:lineRule="auto"/>
        <w:ind w:left="1134" w:hanging="567"/>
      </w:pPr>
    </w:p>
    <w:p w14:paraId="7980E7FF" w14:textId="77777777" w:rsidR="00EA7638" w:rsidRDefault="00FB37B6" w:rsidP="00FB37B6">
      <w:pPr>
        <w:pStyle w:val="BodyText"/>
        <w:numPr>
          <w:ilvl w:val="0"/>
          <w:numId w:val="0"/>
        </w:numPr>
        <w:spacing w:before="0" w:line="240" w:lineRule="auto"/>
        <w:ind w:left="1134" w:hanging="567"/>
      </w:pPr>
      <w:r>
        <w:t>(b)</w:t>
      </w:r>
      <w:r>
        <w:tab/>
        <w:t>the total of all amounts that, in the financial year, are debited against an appropriation an</w:t>
      </w:r>
      <w:r w:rsidR="00E71BD0">
        <w:t>d</w:t>
      </w:r>
      <w:r>
        <w:t xml:space="preserve"> credited to a special</w:t>
      </w:r>
      <w:r w:rsidR="00E71BD0">
        <w:t xml:space="preserve"> account established under paragraph 78(1)(a) of the </w:t>
      </w:r>
      <w:r w:rsidR="00E71BD0" w:rsidRPr="00E71BD0">
        <w:rPr>
          <w:i/>
        </w:rPr>
        <w:t>Public Governance, Performance and Accountability Act 2013</w:t>
      </w:r>
      <w:r w:rsidR="00E71BD0">
        <w:rPr>
          <w:i/>
        </w:rPr>
        <w:t xml:space="preserve"> </w:t>
      </w:r>
      <w:r w:rsidR="00E71BD0">
        <w:t>(even if the debits from the special account in the financial year fall short of the amount of those credits);</w:t>
      </w:r>
    </w:p>
    <w:p w14:paraId="7FF3ADC7" w14:textId="77777777" w:rsidR="00EA7638" w:rsidRDefault="00EA7638" w:rsidP="00FB37B6">
      <w:pPr>
        <w:pStyle w:val="BodyText"/>
        <w:numPr>
          <w:ilvl w:val="0"/>
          <w:numId w:val="0"/>
        </w:numPr>
        <w:spacing w:before="0" w:line="240" w:lineRule="auto"/>
        <w:ind w:left="1134" w:hanging="567"/>
      </w:pPr>
    </w:p>
    <w:p w14:paraId="2F24EF39" w14:textId="77777777" w:rsidR="001653BF" w:rsidRDefault="00EA7638" w:rsidP="00FB37B6">
      <w:pPr>
        <w:pStyle w:val="BodyText"/>
        <w:numPr>
          <w:ilvl w:val="0"/>
          <w:numId w:val="0"/>
        </w:numPr>
        <w:spacing w:before="0" w:line="240" w:lineRule="auto"/>
        <w:ind w:left="1134" w:hanging="567"/>
      </w:pPr>
      <w:r>
        <w:t>(c)</w:t>
      </w:r>
      <w:r>
        <w:tab/>
        <w:t>depreciation of capital costs</w:t>
      </w:r>
      <w:r w:rsidR="001653BF">
        <w:t xml:space="preserve">; </w:t>
      </w:r>
    </w:p>
    <w:p w14:paraId="360CC03C" w14:textId="77777777" w:rsidR="001653BF" w:rsidRDefault="001653BF" w:rsidP="00FB37B6">
      <w:pPr>
        <w:pStyle w:val="BodyText"/>
        <w:numPr>
          <w:ilvl w:val="0"/>
          <w:numId w:val="0"/>
        </w:numPr>
        <w:spacing w:before="0" w:line="240" w:lineRule="auto"/>
        <w:ind w:left="1134" w:hanging="567"/>
      </w:pPr>
    </w:p>
    <w:p w14:paraId="4E13BB12" w14:textId="32F15E11" w:rsidR="00FB37B6" w:rsidRDefault="001653BF" w:rsidP="00FB37B6">
      <w:pPr>
        <w:pStyle w:val="BodyText"/>
        <w:numPr>
          <w:ilvl w:val="0"/>
          <w:numId w:val="0"/>
        </w:numPr>
        <w:spacing w:before="0" w:line="240" w:lineRule="auto"/>
        <w:ind w:left="1134" w:hanging="567"/>
      </w:pPr>
      <w:r>
        <w:t>(d)</w:t>
      </w:r>
      <w:r>
        <w:tab/>
        <w:t xml:space="preserve">ASIC’s operating costs for a financial year before the 2017 – 2018 financial year as permitted by </w:t>
      </w:r>
      <w:r w:rsidR="00DC56C1">
        <w:t xml:space="preserve">section </w:t>
      </w:r>
      <w:r>
        <w:t xml:space="preserve">5A of the </w:t>
      </w:r>
      <w:r w:rsidRPr="001653BF">
        <w:t>Cost Recovery Regulations</w:t>
      </w:r>
      <w:r>
        <w:t xml:space="preserve">. </w:t>
      </w:r>
    </w:p>
    <w:p w14:paraId="1F48B33F" w14:textId="77777777" w:rsidR="00FB37B6" w:rsidRDefault="00FB37B6" w:rsidP="00737FEF">
      <w:pPr>
        <w:pStyle w:val="BodyText"/>
        <w:numPr>
          <w:ilvl w:val="0"/>
          <w:numId w:val="0"/>
        </w:numPr>
        <w:spacing w:before="0" w:line="240" w:lineRule="auto"/>
        <w:ind w:left="567" w:hanging="567"/>
      </w:pPr>
    </w:p>
    <w:p w14:paraId="081C0867" w14:textId="3BF9567B" w:rsidR="00572A80" w:rsidRDefault="00EA7638" w:rsidP="00C66134">
      <w:pPr>
        <w:pStyle w:val="BodyText"/>
        <w:numPr>
          <w:ilvl w:val="0"/>
          <w:numId w:val="0"/>
        </w:numPr>
        <w:spacing w:before="0" w:line="240" w:lineRule="auto"/>
        <w:ind w:left="567" w:hanging="567"/>
      </w:pPr>
      <w:r>
        <w:lastRenderedPageBreak/>
        <w:t>3.</w:t>
      </w:r>
      <w:r w:rsidR="00476E55">
        <w:t>6</w:t>
      </w:r>
      <w:r>
        <w:tab/>
      </w:r>
      <w:r w:rsidR="00CA2648" w:rsidRPr="00CA2648">
        <w:t>ASIC confirms that no adjustment was made</w:t>
      </w:r>
      <w:r w:rsidR="00CA2648">
        <w:t xml:space="preserve"> under subsection 10(6) of the Cost Recovery Act, for </w:t>
      </w:r>
      <w:r w:rsidR="00CA2648" w:rsidRPr="00CA2648">
        <w:t>under or over collection</w:t>
      </w:r>
      <w:r w:rsidR="00CA2648">
        <w:t xml:space="preserve"> of levy</w:t>
      </w:r>
      <w:r w:rsidR="0087429C">
        <w:t>.</w:t>
      </w:r>
    </w:p>
    <w:p w14:paraId="5EB04709" w14:textId="48982C00" w:rsidR="00653F7D" w:rsidRPr="00653F7D" w:rsidRDefault="00653F7D" w:rsidP="00861184">
      <w:pPr>
        <w:pStyle w:val="BodyText"/>
        <w:numPr>
          <w:ilvl w:val="0"/>
          <w:numId w:val="0"/>
        </w:numPr>
        <w:ind w:left="567"/>
        <w:rPr>
          <w:u w:val="single"/>
        </w:rPr>
      </w:pPr>
      <w:r>
        <w:rPr>
          <w:u w:val="single"/>
        </w:rPr>
        <w:t xml:space="preserve">Attribution of costs to sub-sectors </w:t>
      </w:r>
      <w:r w:rsidRPr="00653F7D">
        <w:rPr>
          <w:u w:val="single"/>
        </w:rPr>
        <w:t>for the 2017 – 2018 financial year</w:t>
      </w:r>
    </w:p>
    <w:p w14:paraId="58DA8F09" w14:textId="77777777" w:rsidR="00653F7D" w:rsidRDefault="00653F7D" w:rsidP="00737FEF">
      <w:pPr>
        <w:pStyle w:val="BodyText"/>
        <w:numPr>
          <w:ilvl w:val="0"/>
          <w:numId w:val="0"/>
        </w:numPr>
        <w:spacing w:before="0" w:line="240" w:lineRule="auto"/>
        <w:ind w:left="567" w:hanging="567"/>
      </w:pPr>
    </w:p>
    <w:p w14:paraId="49D10FB9" w14:textId="75875F13" w:rsidR="00476E55" w:rsidRDefault="00653F7D" w:rsidP="00476E55">
      <w:pPr>
        <w:pStyle w:val="BodyText"/>
        <w:numPr>
          <w:ilvl w:val="0"/>
          <w:numId w:val="0"/>
        </w:numPr>
        <w:spacing w:before="0" w:line="240" w:lineRule="auto"/>
        <w:ind w:left="567" w:hanging="567"/>
      </w:pPr>
      <w:r>
        <w:t>3.</w:t>
      </w:r>
      <w:r w:rsidR="00476E55">
        <w:t>7</w:t>
      </w:r>
      <w:r>
        <w:tab/>
      </w:r>
      <w:r w:rsidR="00C66134" w:rsidRPr="00C66134">
        <w:t xml:space="preserve">Section </w:t>
      </w:r>
      <w:r w:rsidR="00917814">
        <w:t xml:space="preserve">7 </w:t>
      </w:r>
      <w:r w:rsidR="00C66134" w:rsidRPr="00C66134">
        <w:t>of the instrument specifies how ASIC’s regulatory costs have been attributed to each sub-sector.</w:t>
      </w:r>
      <w:r w:rsidR="00476E55" w:rsidRPr="00476E55">
        <w:t xml:space="preserve"> </w:t>
      </w:r>
    </w:p>
    <w:p w14:paraId="7AA8251E" w14:textId="77777777" w:rsidR="00476E55" w:rsidRDefault="00476E55" w:rsidP="00476E55">
      <w:pPr>
        <w:pStyle w:val="BodyText"/>
        <w:numPr>
          <w:ilvl w:val="0"/>
          <w:numId w:val="0"/>
        </w:numPr>
        <w:spacing w:before="0" w:line="240" w:lineRule="auto"/>
        <w:ind w:left="567" w:hanging="567"/>
      </w:pPr>
    </w:p>
    <w:p w14:paraId="6B2F0A37" w14:textId="647ADDDC" w:rsidR="00476E55" w:rsidRDefault="00476E55" w:rsidP="00476E55">
      <w:pPr>
        <w:pStyle w:val="BodyText"/>
        <w:numPr>
          <w:ilvl w:val="0"/>
          <w:numId w:val="0"/>
        </w:numPr>
        <w:spacing w:before="0" w:line="240" w:lineRule="auto"/>
        <w:ind w:left="567" w:hanging="567"/>
      </w:pPr>
      <w:r>
        <w:t>3.8</w:t>
      </w:r>
      <w:r>
        <w:tab/>
        <w:t>There are 48 sub-sectors in relation to the 2017 – 2018 financial year. They are:</w:t>
      </w:r>
    </w:p>
    <w:p w14:paraId="06A7C9DC" w14:textId="77777777" w:rsidR="00476E55" w:rsidRDefault="00476E55" w:rsidP="00476E55">
      <w:pPr>
        <w:pStyle w:val="BodyText"/>
        <w:numPr>
          <w:ilvl w:val="0"/>
          <w:numId w:val="0"/>
        </w:numPr>
        <w:spacing w:before="0" w:line="240" w:lineRule="auto"/>
        <w:ind w:left="567" w:hanging="567"/>
      </w:pPr>
    </w:p>
    <w:p w14:paraId="6DF7A35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w:t>
      </w:r>
      <w:r w:rsidRPr="00B953CA">
        <w:rPr>
          <w:sz w:val="20"/>
          <w:szCs w:val="20"/>
        </w:rPr>
        <w:tab/>
        <w:t>Auditors of disclosing entities</w:t>
      </w:r>
    </w:p>
    <w:p w14:paraId="5042E13B"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w:t>
      </w:r>
      <w:r w:rsidRPr="00B953CA">
        <w:rPr>
          <w:sz w:val="20"/>
          <w:szCs w:val="20"/>
        </w:rPr>
        <w:tab/>
        <w:t>Australian derivative trade repository operators</w:t>
      </w:r>
    </w:p>
    <w:p w14:paraId="30C761F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w:t>
      </w:r>
      <w:r w:rsidRPr="00B953CA">
        <w:rPr>
          <w:sz w:val="20"/>
          <w:szCs w:val="20"/>
        </w:rPr>
        <w:tab/>
        <w:t>Corporate advisors</w:t>
      </w:r>
    </w:p>
    <w:p w14:paraId="6C06DA4F"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w:t>
      </w:r>
      <w:r w:rsidRPr="00B953CA">
        <w:rPr>
          <w:sz w:val="20"/>
          <w:szCs w:val="20"/>
        </w:rPr>
        <w:tab/>
        <w:t>Credit intermediaries</w:t>
      </w:r>
    </w:p>
    <w:p w14:paraId="5DF1F9C4"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5.</w:t>
      </w:r>
      <w:r w:rsidRPr="00B953CA">
        <w:rPr>
          <w:sz w:val="20"/>
          <w:szCs w:val="20"/>
        </w:rPr>
        <w:tab/>
        <w:t>Credit providers</w:t>
      </w:r>
    </w:p>
    <w:p w14:paraId="2707B1CA"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6.</w:t>
      </w:r>
      <w:r w:rsidRPr="00B953CA">
        <w:rPr>
          <w:sz w:val="20"/>
          <w:szCs w:val="20"/>
        </w:rPr>
        <w:tab/>
        <w:t>Credit rating agencies</w:t>
      </w:r>
    </w:p>
    <w:p w14:paraId="6D3C6733"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7.</w:t>
      </w:r>
      <w:r w:rsidRPr="00B953CA">
        <w:rPr>
          <w:sz w:val="20"/>
          <w:szCs w:val="20"/>
        </w:rPr>
        <w:tab/>
        <w:t>Custodians</w:t>
      </w:r>
    </w:p>
    <w:p w14:paraId="4150010B"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8.</w:t>
      </w:r>
      <w:r w:rsidRPr="00B953CA">
        <w:rPr>
          <w:sz w:val="20"/>
          <w:szCs w:val="20"/>
        </w:rPr>
        <w:tab/>
        <w:t>Deposit product providers</w:t>
      </w:r>
    </w:p>
    <w:p w14:paraId="3544E407"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9.</w:t>
      </w:r>
      <w:r w:rsidRPr="00B953CA">
        <w:rPr>
          <w:sz w:val="20"/>
          <w:szCs w:val="20"/>
        </w:rPr>
        <w:tab/>
        <w:t>Exempt CS facility operators</w:t>
      </w:r>
    </w:p>
    <w:p w14:paraId="2EECC300"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10.</w:t>
      </w:r>
      <w:r w:rsidRPr="00B953CA">
        <w:rPr>
          <w:sz w:val="20"/>
          <w:szCs w:val="20"/>
        </w:rPr>
        <w:tab/>
        <w:t>Exempt market operators</w:t>
      </w:r>
    </w:p>
    <w:p w14:paraId="4C01A467"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11.</w:t>
      </w:r>
      <w:r w:rsidRPr="00B953CA">
        <w:rPr>
          <w:sz w:val="20"/>
          <w:szCs w:val="20"/>
        </w:rPr>
        <w:tab/>
        <w:t>Insurance product distributors</w:t>
      </w:r>
    </w:p>
    <w:p w14:paraId="760CCF3E"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12.</w:t>
      </w:r>
      <w:r w:rsidRPr="00B953CA">
        <w:rPr>
          <w:sz w:val="20"/>
          <w:szCs w:val="20"/>
        </w:rPr>
        <w:tab/>
        <w:t>Insurance product providers</w:t>
      </w:r>
    </w:p>
    <w:p w14:paraId="647776D5"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13.</w:t>
      </w:r>
      <w:r w:rsidRPr="00B953CA">
        <w:rPr>
          <w:sz w:val="20"/>
          <w:szCs w:val="20"/>
        </w:rPr>
        <w:tab/>
        <w:t>Large futures exchange operators</w:t>
      </w:r>
    </w:p>
    <w:p w14:paraId="5616A637"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14.</w:t>
      </w:r>
      <w:r w:rsidRPr="00B953CA">
        <w:rPr>
          <w:sz w:val="20"/>
          <w:szCs w:val="20"/>
        </w:rPr>
        <w:tab/>
        <w:t>Large futures exchange participants</w:t>
      </w:r>
    </w:p>
    <w:p w14:paraId="3DF367D8"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15.</w:t>
      </w:r>
      <w:r w:rsidRPr="00B953CA">
        <w:rPr>
          <w:sz w:val="20"/>
          <w:szCs w:val="20"/>
        </w:rPr>
        <w:tab/>
        <w:t>Large proprietary companies</w:t>
      </w:r>
    </w:p>
    <w:p w14:paraId="3DE39778"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16.</w:t>
      </w:r>
      <w:r w:rsidRPr="00B953CA">
        <w:rPr>
          <w:sz w:val="20"/>
          <w:szCs w:val="20"/>
        </w:rPr>
        <w:tab/>
        <w:t>Large securities exchange operators</w:t>
      </w:r>
    </w:p>
    <w:p w14:paraId="5F36B3CE"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17.</w:t>
      </w:r>
      <w:r w:rsidRPr="00B953CA">
        <w:rPr>
          <w:sz w:val="20"/>
          <w:szCs w:val="20"/>
        </w:rPr>
        <w:tab/>
        <w:t>Large securities exchange participants</w:t>
      </w:r>
    </w:p>
    <w:p w14:paraId="509CBE2D"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18.</w:t>
      </w:r>
      <w:r w:rsidRPr="00B953CA">
        <w:rPr>
          <w:sz w:val="20"/>
          <w:szCs w:val="20"/>
        </w:rPr>
        <w:tab/>
        <w:t>Licensees that provide only general advice to retail or wholesale clients</w:t>
      </w:r>
    </w:p>
    <w:p w14:paraId="2838A41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19.</w:t>
      </w:r>
      <w:r w:rsidRPr="00B953CA">
        <w:rPr>
          <w:sz w:val="20"/>
          <w:szCs w:val="20"/>
        </w:rPr>
        <w:tab/>
        <w:t>Licensees that provide personal advice on relevant financial products to retail clients</w:t>
      </w:r>
    </w:p>
    <w:p w14:paraId="1FFC7EE5"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20.</w:t>
      </w:r>
      <w:r w:rsidRPr="00B953CA">
        <w:rPr>
          <w:sz w:val="20"/>
          <w:szCs w:val="20"/>
        </w:rPr>
        <w:tab/>
        <w:t>Licensees that provide personal advice to only wholesale clients</w:t>
      </w:r>
    </w:p>
    <w:p w14:paraId="349CDDED"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21.</w:t>
      </w:r>
      <w:r w:rsidRPr="00B953CA">
        <w:rPr>
          <w:sz w:val="20"/>
          <w:szCs w:val="20"/>
        </w:rPr>
        <w:tab/>
        <w:t>Licensees that provide personal advice to retail clients on only products that are not relevant financial products</w:t>
      </w:r>
    </w:p>
    <w:p w14:paraId="00FA928F"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22.</w:t>
      </w:r>
      <w:r w:rsidRPr="00B953CA">
        <w:rPr>
          <w:sz w:val="20"/>
          <w:szCs w:val="20"/>
        </w:rPr>
        <w:tab/>
        <w:t>Listed corporations</w:t>
      </w:r>
    </w:p>
    <w:p w14:paraId="27D53A0A"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23.</w:t>
      </w:r>
      <w:r w:rsidRPr="00B953CA">
        <w:rPr>
          <w:sz w:val="20"/>
          <w:szCs w:val="20"/>
        </w:rPr>
        <w:tab/>
        <w:t>Managed discretionary account providers</w:t>
      </w:r>
    </w:p>
    <w:p w14:paraId="3A204D0E"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24.</w:t>
      </w:r>
      <w:r w:rsidRPr="00B953CA">
        <w:rPr>
          <w:sz w:val="20"/>
          <w:szCs w:val="20"/>
        </w:rPr>
        <w:tab/>
        <w:t>Margin lenders</w:t>
      </w:r>
    </w:p>
    <w:p w14:paraId="0438D2A4"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25.</w:t>
      </w:r>
      <w:r w:rsidRPr="00B953CA">
        <w:rPr>
          <w:sz w:val="20"/>
          <w:szCs w:val="20"/>
        </w:rPr>
        <w:tab/>
        <w:t>Operators of investor directed portfolio services</w:t>
      </w:r>
    </w:p>
    <w:p w14:paraId="12F59062"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26.</w:t>
      </w:r>
      <w:r w:rsidRPr="00B953CA">
        <w:rPr>
          <w:sz w:val="20"/>
          <w:szCs w:val="20"/>
        </w:rPr>
        <w:tab/>
        <w:t>Overseas market operators</w:t>
      </w:r>
    </w:p>
    <w:p w14:paraId="71B0B8EB"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27.</w:t>
      </w:r>
      <w:r w:rsidRPr="00B953CA">
        <w:rPr>
          <w:sz w:val="20"/>
          <w:szCs w:val="20"/>
        </w:rPr>
        <w:tab/>
        <w:t>Over the counter traders</w:t>
      </w:r>
    </w:p>
    <w:p w14:paraId="23B30DDA"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28.</w:t>
      </w:r>
      <w:r w:rsidRPr="00B953CA">
        <w:rPr>
          <w:sz w:val="20"/>
          <w:szCs w:val="20"/>
        </w:rPr>
        <w:tab/>
        <w:t>Payment product providers</w:t>
      </w:r>
    </w:p>
    <w:p w14:paraId="27272F0D"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29.</w:t>
      </w:r>
      <w:r w:rsidRPr="00B953CA">
        <w:rPr>
          <w:sz w:val="20"/>
          <w:szCs w:val="20"/>
        </w:rPr>
        <w:tab/>
        <w:t>Public companies (unlisted)</w:t>
      </w:r>
    </w:p>
    <w:p w14:paraId="2544CACF"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30.</w:t>
      </w:r>
      <w:r w:rsidRPr="00B953CA">
        <w:rPr>
          <w:sz w:val="20"/>
          <w:szCs w:val="20"/>
        </w:rPr>
        <w:tab/>
        <w:t>Registered company auditors</w:t>
      </w:r>
    </w:p>
    <w:p w14:paraId="5B252CCE"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31.</w:t>
      </w:r>
      <w:r w:rsidRPr="00B953CA">
        <w:rPr>
          <w:sz w:val="20"/>
          <w:szCs w:val="20"/>
        </w:rPr>
        <w:tab/>
        <w:t>Registered liquidators</w:t>
      </w:r>
    </w:p>
    <w:p w14:paraId="3C34D139"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32.</w:t>
      </w:r>
      <w:r w:rsidRPr="00B953CA">
        <w:rPr>
          <w:sz w:val="20"/>
          <w:szCs w:val="20"/>
        </w:rPr>
        <w:tab/>
        <w:t>Responsible entities</w:t>
      </w:r>
    </w:p>
    <w:p w14:paraId="514B513F"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33.</w:t>
      </w:r>
      <w:r w:rsidRPr="00B953CA">
        <w:rPr>
          <w:sz w:val="20"/>
          <w:szCs w:val="20"/>
        </w:rPr>
        <w:tab/>
        <w:t>Retail over the counter derivatives issuers</w:t>
      </w:r>
    </w:p>
    <w:p w14:paraId="5178BA0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34.</w:t>
      </w:r>
      <w:r w:rsidRPr="00B953CA">
        <w:rPr>
          <w:sz w:val="20"/>
          <w:szCs w:val="20"/>
        </w:rPr>
        <w:tab/>
        <w:t>Risk management product providers</w:t>
      </w:r>
    </w:p>
    <w:p w14:paraId="1F86483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35.</w:t>
      </w:r>
      <w:r w:rsidRPr="00B953CA">
        <w:rPr>
          <w:sz w:val="20"/>
          <w:szCs w:val="20"/>
        </w:rPr>
        <w:tab/>
        <w:t>Securities dealers</w:t>
      </w:r>
    </w:p>
    <w:p w14:paraId="7D8DF285"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36.</w:t>
      </w:r>
      <w:r w:rsidRPr="00B953CA">
        <w:rPr>
          <w:sz w:val="20"/>
          <w:szCs w:val="20"/>
        </w:rPr>
        <w:tab/>
        <w:t>Small amount credit providers</w:t>
      </w:r>
    </w:p>
    <w:p w14:paraId="499DD885"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37.</w:t>
      </w:r>
      <w:r w:rsidRPr="00B953CA">
        <w:rPr>
          <w:sz w:val="20"/>
          <w:szCs w:val="20"/>
        </w:rPr>
        <w:tab/>
        <w:t xml:space="preserve">Small derivative market operators </w:t>
      </w:r>
    </w:p>
    <w:p w14:paraId="47883810"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38.</w:t>
      </w:r>
      <w:r w:rsidRPr="00B953CA">
        <w:rPr>
          <w:sz w:val="20"/>
          <w:szCs w:val="20"/>
        </w:rPr>
        <w:tab/>
        <w:t>Small futures exchange operators</w:t>
      </w:r>
    </w:p>
    <w:p w14:paraId="4FDB9E2B"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39.</w:t>
      </w:r>
      <w:r w:rsidRPr="00B953CA">
        <w:rPr>
          <w:sz w:val="20"/>
          <w:szCs w:val="20"/>
        </w:rPr>
        <w:tab/>
        <w:t>Small securities exchange operators</w:t>
      </w:r>
    </w:p>
    <w:p w14:paraId="374FC817"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40.</w:t>
      </w:r>
      <w:r w:rsidRPr="00B953CA">
        <w:rPr>
          <w:sz w:val="20"/>
          <w:szCs w:val="20"/>
        </w:rPr>
        <w:tab/>
        <w:t>Small securities exchange operators with self listing function only</w:t>
      </w:r>
    </w:p>
    <w:p w14:paraId="0ABBE67C"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41.</w:t>
      </w:r>
      <w:r w:rsidRPr="00B953CA">
        <w:rPr>
          <w:sz w:val="20"/>
          <w:szCs w:val="20"/>
        </w:rPr>
        <w:tab/>
        <w:t>Superannuation trustees</w:t>
      </w:r>
    </w:p>
    <w:p w14:paraId="6585EB80"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42.</w:t>
      </w:r>
      <w:r w:rsidRPr="00B953CA">
        <w:rPr>
          <w:sz w:val="20"/>
          <w:szCs w:val="20"/>
        </w:rPr>
        <w:tab/>
        <w:t>Tier 1 clearing and settlement facility operators</w:t>
      </w:r>
    </w:p>
    <w:p w14:paraId="5DA88024"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43.</w:t>
      </w:r>
      <w:r w:rsidRPr="00B953CA">
        <w:rPr>
          <w:sz w:val="20"/>
          <w:szCs w:val="20"/>
        </w:rPr>
        <w:tab/>
        <w:t>Tier 2 clearing and settlement facility operators</w:t>
      </w:r>
    </w:p>
    <w:p w14:paraId="2448BB79"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44.</w:t>
      </w:r>
      <w:r w:rsidRPr="00B953CA">
        <w:rPr>
          <w:sz w:val="20"/>
          <w:szCs w:val="20"/>
        </w:rPr>
        <w:tab/>
        <w:t>Tier 3 clearing and settlement facility operators</w:t>
      </w:r>
    </w:p>
    <w:p w14:paraId="154CD4FF" w14:textId="77777777" w:rsidR="00476E55" w:rsidRPr="00B953CA" w:rsidRDefault="00476E55" w:rsidP="00476E55">
      <w:pPr>
        <w:pStyle w:val="BodyText"/>
        <w:numPr>
          <w:ilvl w:val="0"/>
          <w:numId w:val="0"/>
        </w:numPr>
        <w:spacing w:before="0" w:line="240" w:lineRule="auto"/>
        <w:ind w:left="1276" w:hanging="425"/>
        <w:rPr>
          <w:sz w:val="20"/>
          <w:szCs w:val="20"/>
        </w:rPr>
      </w:pPr>
      <w:r w:rsidRPr="00B953CA">
        <w:rPr>
          <w:sz w:val="20"/>
          <w:szCs w:val="20"/>
        </w:rPr>
        <w:t>45.</w:t>
      </w:r>
      <w:r w:rsidRPr="00B953CA">
        <w:rPr>
          <w:sz w:val="20"/>
          <w:szCs w:val="20"/>
        </w:rPr>
        <w:tab/>
        <w:t>Tier 4 clearing and settlement facility operators</w:t>
      </w:r>
    </w:p>
    <w:p w14:paraId="3F93EB6A" w14:textId="77777777" w:rsidR="00476E55" w:rsidRPr="00B953CA" w:rsidRDefault="00476E55" w:rsidP="00476E55">
      <w:pPr>
        <w:pStyle w:val="BodyText"/>
        <w:numPr>
          <w:ilvl w:val="0"/>
          <w:numId w:val="0"/>
        </w:numPr>
        <w:spacing w:before="0" w:line="240" w:lineRule="auto"/>
        <w:ind w:left="1276" w:hanging="425"/>
        <w:rPr>
          <w:sz w:val="20"/>
          <w:szCs w:val="20"/>
        </w:rPr>
      </w:pPr>
      <w:r>
        <w:rPr>
          <w:sz w:val="20"/>
          <w:szCs w:val="20"/>
        </w:rPr>
        <w:t>46.</w:t>
      </w:r>
      <w:r>
        <w:rPr>
          <w:sz w:val="20"/>
          <w:szCs w:val="20"/>
        </w:rPr>
        <w:tab/>
      </w:r>
      <w:r w:rsidRPr="00B953CA">
        <w:rPr>
          <w:sz w:val="20"/>
          <w:szCs w:val="20"/>
        </w:rPr>
        <w:t>Traditional trustee company service providers</w:t>
      </w:r>
    </w:p>
    <w:p w14:paraId="28BB24DD" w14:textId="77777777" w:rsidR="00476E55" w:rsidRPr="00B953CA" w:rsidRDefault="00476E55" w:rsidP="00476E55">
      <w:pPr>
        <w:pStyle w:val="BodyText"/>
        <w:numPr>
          <w:ilvl w:val="0"/>
          <w:numId w:val="0"/>
        </w:numPr>
        <w:spacing w:before="0" w:line="240" w:lineRule="auto"/>
        <w:ind w:left="1276" w:hanging="425"/>
        <w:rPr>
          <w:sz w:val="20"/>
          <w:szCs w:val="20"/>
        </w:rPr>
      </w:pPr>
      <w:r>
        <w:rPr>
          <w:sz w:val="20"/>
          <w:szCs w:val="20"/>
        </w:rPr>
        <w:t>47.</w:t>
      </w:r>
      <w:r>
        <w:rPr>
          <w:sz w:val="20"/>
          <w:szCs w:val="20"/>
        </w:rPr>
        <w:tab/>
      </w:r>
      <w:r w:rsidRPr="00B953CA">
        <w:rPr>
          <w:sz w:val="20"/>
          <w:szCs w:val="20"/>
        </w:rPr>
        <w:t>Wholesale electricity dealers</w:t>
      </w:r>
    </w:p>
    <w:p w14:paraId="2E820695" w14:textId="77777777" w:rsidR="00476E55" w:rsidRDefault="00476E55" w:rsidP="00476E55">
      <w:pPr>
        <w:pStyle w:val="BodyText"/>
        <w:numPr>
          <w:ilvl w:val="0"/>
          <w:numId w:val="0"/>
        </w:numPr>
        <w:spacing w:before="0" w:line="240" w:lineRule="auto"/>
        <w:ind w:left="1276" w:hanging="425"/>
      </w:pPr>
      <w:r>
        <w:rPr>
          <w:sz w:val="20"/>
          <w:szCs w:val="20"/>
        </w:rPr>
        <w:t>48.</w:t>
      </w:r>
      <w:r>
        <w:rPr>
          <w:sz w:val="20"/>
          <w:szCs w:val="20"/>
        </w:rPr>
        <w:tab/>
      </w:r>
      <w:r w:rsidRPr="00B953CA">
        <w:rPr>
          <w:sz w:val="20"/>
          <w:szCs w:val="20"/>
        </w:rPr>
        <w:t>Wholesale trustees</w:t>
      </w:r>
    </w:p>
    <w:p w14:paraId="4D4342DE" w14:textId="77777777" w:rsidR="00476E55" w:rsidRDefault="00476E55" w:rsidP="00476E55">
      <w:pPr>
        <w:pStyle w:val="BodyText"/>
        <w:numPr>
          <w:ilvl w:val="0"/>
          <w:numId w:val="0"/>
        </w:numPr>
        <w:spacing w:before="0" w:line="240" w:lineRule="auto"/>
        <w:ind w:left="567" w:hanging="567"/>
      </w:pPr>
    </w:p>
    <w:p w14:paraId="4A7F2149" w14:textId="24C5E8CE" w:rsidR="00653F7D" w:rsidRDefault="00C66134" w:rsidP="00653F7D">
      <w:pPr>
        <w:pStyle w:val="BodyText"/>
        <w:numPr>
          <w:ilvl w:val="0"/>
          <w:numId w:val="0"/>
        </w:numPr>
        <w:spacing w:before="0" w:line="240" w:lineRule="auto"/>
        <w:ind w:left="567" w:hanging="567"/>
      </w:pPr>
      <w:r>
        <w:t>3.</w:t>
      </w:r>
      <w:r w:rsidR="00476E55">
        <w:t>9</w:t>
      </w:r>
      <w:r>
        <w:tab/>
      </w:r>
      <w:r w:rsidR="00653F7D">
        <w:t>ASIC</w:t>
      </w:r>
      <w:r w:rsidR="00E23B46">
        <w:t xml:space="preserve"> </w:t>
      </w:r>
      <w:r w:rsidR="00653F7D">
        <w:t xml:space="preserve">had regard to the following principles in attributing </w:t>
      </w:r>
      <w:r w:rsidR="001C629E">
        <w:t>its regulatory costs to a sub-sector:</w:t>
      </w:r>
    </w:p>
    <w:p w14:paraId="2C5593EF" w14:textId="6A18FAE2" w:rsidR="001C629E" w:rsidRDefault="001C629E" w:rsidP="00653F7D">
      <w:pPr>
        <w:pStyle w:val="BodyText"/>
        <w:numPr>
          <w:ilvl w:val="0"/>
          <w:numId w:val="0"/>
        </w:numPr>
        <w:spacing w:before="0" w:line="240" w:lineRule="auto"/>
        <w:ind w:left="567" w:hanging="567"/>
      </w:pPr>
    </w:p>
    <w:p w14:paraId="2D0DB884" w14:textId="13069C13" w:rsidR="001C629E" w:rsidRDefault="001C629E" w:rsidP="001C629E">
      <w:pPr>
        <w:pStyle w:val="BodyText"/>
        <w:numPr>
          <w:ilvl w:val="0"/>
          <w:numId w:val="0"/>
        </w:numPr>
        <w:spacing w:before="0" w:line="240" w:lineRule="auto"/>
        <w:ind w:left="1134" w:hanging="567"/>
      </w:pPr>
      <w:r>
        <w:t>(a)</w:t>
      </w:r>
      <w:r>
        <w:tab/>
        <w:t xml:space="preserve">costs relating to the direct regulation of leviable entities </w:t>
      </w:r>
      <w:proofErr w:type="gramStart"/>
      <w:r>
        <w:t>in particular sub-</w:t>
      </w:r>
      <w:proofErr w:type="gramEnd"/>
      <w:r>
        <w:t>sectors are attributed to that sub-sector;</w:t>
      </w:r>
    </w:p>
    <w:p w14:paraId="7F9E4F4D" w14:textId="77777777" w:rsidR="00E0555C" w:rsidRDefault="00E0555C" w:rsidP="001C629E">
      <w:pPr>
        <w:pStyle w:val="BodyText"/>
        <w:numPr>
          <w:ilvl w:val="0"/>
          <w:numId w:val="0"/>
        </w:numPr>
        <w:spacing w:before="0" w:line="240" w:lineRule="auto"/>
        <w:ind w:left="1134" w:hanging="567"/>
      </w:pPr>
    </w:p>
    <w:p w14:paraId="6E053655" w14:textId="77777777" w:rsidR="001C629E" w:rsidRDefault="001C629E" w:rsidP="001C629E">
      <w:pPr>
        <w:pStyle w:val="BodyText"/>
        <w:numPr>
          <w:ilvl w:val="0"/>
          <w:numId w:val="0"/>
        </w:numPr>
        <w:spacing w:before="0" w:line="240" w:lineRule="auto"/>
        <w:ind w:left="1134" w:hanging="567"/>
      </w:pPr>
      <w:r>
        <w:t>(b)</w:t>
      </w:r>
      <w:r>
        <w:tab/>
        <w:t>costs relating indirectly to the regulation of leviable entities are attributed to each sub-sector in proportion to the regulatory resources dedicated to that sub-sector;</w:t>
      </w:r>
    </w:p>
    <w:p w14:paraId="48C39984" w14:textId="77777777" w:rsidR="001C629E" w:rsidRDefault="001C629E" w:rsidP="001C629E">
      <w:pPr>
        <w:pStyle w:val="BodyText"/>
        <w:numPr>
          <w:ilvl w:val="0"/>
          <w:numId w:val="0"/>
        </w:numPr>
        <w:spacing w:before="0" w:line="240" w:lineRule="auto"/>
        <w:ind w:left="1134" w:hanging="567"/>
      </w:pPr>
    </w:p>
    <w:p w14:paraId="5B5D9FBE" w14:textId="523BDE0C" w:rsidR="001C629E" w:rsidRDefault="001C629E" w:rsidP="001C629E">
      <w:pPr>
        <w:pStyle w:val="BodyText"/>
        <w:numPr>
          <w:ilvl w:val="0"/>
          <w:numId w:val="0"/>
        </w:numPr>
        <w:spacing w:before="0" w:line="240" w:lineRule="auto"/>
        <w:ind w:left="1134" w:hanging="567"/>
      </w:pPr>
      <w:r>
        <w:t>(c)</w:t>
      </w:r>
      <w:r>
        <w:tab/>
        <w:t xml:space="preserve">amounts credited to a special account </w:t>
      </w:r>
      <w:r w:rsidRPr="001C629E">
        <w:t xml:space="preserve">established under paragraph 78(1)(a) of the </w:t>
      </w:r>
      <w:r w:rsidRPr="001C629E">
        <w:rPr>
          <w:i/>
        </w:rPr>
        <w:t>Public Governance, Performance and Accountability Act 2013</w:t>
      </w:r>
      <w:r w:rsidRPr="001C629E">
        <w:t xml:space="preserve"> are to be</w:t>
      </w:r>
      <w:r>
        <w:t xml:space="preserve"> attributed over time and in a reasonable manner, to the sub-sectors to which the costs giving rise to debits to the special account relate.</w:t>
      </w:r>
    </w:p>
    <w:p w14:paraId="1EBA5DBB" w14:textId="54B683B5" w:rsidR="00737FEF" w:rsidRDefault="00737FEF" w:rsidP="0087748D">
      <w:pPr>
        <w:pStyle w:val="BodyText"/>
        <w:numPr>
          <w:ilvl w:val="0"/>
          <w:numId w:val="0"/>
        </w:numPr>
        <w:spacing w:before="0" w:line="240" w:lineRule="auto"/>
        <w:ind w:left="567" w:hanging="567"/>
      </w:pPr>
    </w:p>
    <w:p w14:paraId="398E8580" w14:textId="3B29A470" w:rsidR="00BD5946" w:rsidRDefault="0087429C" w:rsidP="0087429C">
      <w:pPr>
        <w:pStyle w:val="Heading3"/>
        <w:keepNext w:val="0"/>
        <w:widowControl w:val="0"/>
        <w:tabs>
          <w:tab w:val="left" w:pos="1593"/>
        </w:tabs>
        <w:spacing w:before="0" w:line="240" w:lineRule="auto"/>
        <w:ind w:left="567" w:hanging="567"/>
      </w:pPr>
      <w:bookmarkStart w:id="7" w:name="5._Consultation"/>
      <w:bookmarkEnd w:id="7"/>
      <w:r>
        <w:t>4.</w:t>
      </w:r>
      <w:r>
        <w:tab/>
      </w:r>
      <w:r w:rsidR="0036622A">
        <w:t>Consultation</w:t>
      </w:r>
    </w:p>
    <w:p w14:paraId="102052B4" w14:textId="77777777" w:rsidR="005059E8" w:rsidRDefault="005059E8" w:rsidP="00C16DA2">
      <w:pPr>
        <w:spacing w:after="0"/>
        <w:ind w:left="567" w:hanging="567"/>
      </w:pPr>
    </w:p>
    <w:p w14:paraId="6BCD3A34" w14:textId="14E429B2" w:rsidR="0087429C" w:rsidRDefault="0087429C" w:rsidP="00C16DA2">
      <w:pPr>
        <w:spacing w:after="0"/>
        <w:ind w:left="567" w:hanging="567"/>
      </w:pPr>
      <w:r>
        <w:t>4.1</w:t>
      </w:r>
      <w:r>
        <w:tab/>
      </w:r>
      <w:r w:rsidR="00C16DA2">
        <w:t xml:space="preserve">Section 17 of the </w:t>
      </w:r>
      <w:r w:rsidR="00C16DA2" w:rsidRPr="00C16DA2">
        <w:rPr>
          <w:i/>
        </w:rPr>
        <w:t>Legislation Act 2003</w:t>
      </w:r>
      <w:r w:rsidR="00C16DA2">
        <w:t xml:space="preserve"> provides that, before a legislative instrument is made, t</w:t>
      </w:r>
      <w:r w:rsidRPr="0087429C">
        <w:t>he rule-maker must be satisfied that there has been undertaken any consultation that is</w:t>
      </w:r>
      <w:r w:rsidR="00C16DA2">
        <w:t xml:space="preserve"> c</w:t>
      </w:r>
      <w:r w:rsidRPr="0087429C">
        <w:t>onsidered by the rule-maker to be appropriate</w:t>
      </w:r>
      <w:r w:rsidR="00C16DA2">
        <w:t xml:space="preserve">, </w:t>
      </w:r>
      <w:r w:rsidRPr="0087429C">
        <w:t xml:space="preserve">and reasonably practicable to undertake. </w:t>
      </w:r>
    </w:p>
    <w:p w14:paraId="70D6C75B" w14:textId="7AAADE39" w:rsidR="00C16DA2" w:rsidRDefault="00C16DA2" w:rsidP="00C16DA2">
      <w:pPr>
        <w:spacing w:after="0"/>
        <w:ind w:left="567" w:hanging="567"/>
      </w:pPr>
    </w:p>
    <w:p w14:paraId="4B5FEA7E" w14:textId="77777777" w:rsidR="005059E8" w:rsidRDefault="00C16DA2" w:rsidP="005059E8">
      <w:pPr>
        <w:spacing w:after="0"/>
        <w:ind w:left="567" w:hanging="567"/>
      </w:pPr>
      <w:r>
        <w:t>4.2</w:t>
      </w:r>
      <w:r>
        <w:tab/>
      </w:r>
      <w:r w:rsidR="0087429C" w:rsidRPr="0087429C">
        <w:t>In determining whether any consultation that was undertaken is appropriate, the rule-maker may have regard to any relevant matter, including the extent to which the consultation</w:t>
      </w:r>
      <w:r w:rsidR="005059E8">
        <w:t xml:space="preserve"> </w:t>
      </w:r>
      <w:r w:rsidR="0087429C" w:rsidRPr="0087429C">
        <w:t>drew on the knowledge of persons having expertise in fields relevant to the proposed instrument</w:t>
      </w:r>
      <w:r w:rsidR="005059E8">
        <w:t xml:space="preserve">. </w:t>
      </w:r>
    </w:p>
    <w:p w14:paraId="3D44F251" w14:textId="77777777" w:rsidR="005059E8" w:rsidRDefault="005059E8" w:rsidP="005059E8">
      <w:pPr>
        <w:spacing w:after="0"/>
        <w:ind w:left="567" w:hanging="567"/>
      </w:pPr>
    </w:p>
    <w:p w14:paraId="41E2BB34" w14:textId="66499D2A" w:rsidR="005472FB" w:rsidRDefault="005059E8" w:rsidP="005059E8">
      <w:pPr>
        <w:spacing w:after="0"/>
        <w:ind w:left="567" w:hanging="567"/>
      </w:pPr>
      <w:r>
        <w:t>4.3</w:t>
      </w:r>
      <w:r>
        <w:tab/>
        <w:t>ASIC did n</w:t>
      </w:r>
      <w:r w:rsidR="005472FB">
        <w:t xml:space="preserve">ot </w:t>
      </w:r>
      <w:r>
        <w:t>engage</w:t>
      </w:r>
      <w:r w:rsidR="005472FB">
        <w:t xml:space="preserve"> in consultation before making this legislative instrument. The reason why no consultation was undertaken was because the instrument specifies information that is exclusively within ASIC’s knowledge, being the amount of ASIC’s regulatory costs for the financial year, and the extent to which those costs are attributable to each sub-sector. </w:t>
      </w:r>
    </w:p>
    <w:p w14:paraId="208A4CB7" w14:textId="77777777" w:rsidR="00BC2187" w:rsidRDefault="00BC2187">
      <w:pPr>
        <w:spacing w:after="160" w:line="259" w:lineRule="auto"/>
        <w:rPr>
          <w:b/>
          <w:sz w:val="24"/>
          <w:szCs w:val="24"/>
        </w:rPr>
      </w:pPr>
      <w:r>
        <w:rPr>
          <w:b/>
          <w:sz w:val="24"/>
          <w:szCs w:val="24"/>
        </w:rPr>
        <w:br w:type="page"/>
      </w:r>
    </w:p>
    <w:p w14:paraId="74ADC060" w14:textId="77777777" w:rsidR="008C6401" w:rsidRPr="00917814" w:rsidRDefault="008C6401" w:rsidP="008C6401">
      <w:pPr>
        <w:spacing w:before="360" w:after="120"/>
        <w:jc w:val="center"/>
        <w:rPr>
          <w:b/>
          <w:sz w:val="28"/>
          <w:szCs w:val="28"/>
        </w:rPr>
      </w:pPr>
      <w:r w:rsidRPr="00917814">
        <w:rPr>
          <w:b/>
          <w:sz w:val="28"/>
          <w:szCs w:val="28"/>
        </w:rPr>
        <w:lastRenderedPageBreak/>
        <w:t>Statement of Compatibility with Human Rights</w:t>
      </w:r>
    </w:p>
    <w:p w14:paraId="78A85982" w14:textId="77777777" w:rsidR="00917814" w:rsidRDefault="00917814" w:rsidP="00917814">
      <w:pPr>
        <w:spacing w:after="0"/>
        <w:jc w:val="center"/>
        <w:rPr>
          <w:i/>
          <w:szCs w:val="22"/>
        </w:rPr>
      </w:pPr>
    </w:p>
    <w:p w14:paraId="48BA100C" w14:textId="6D7EDA51" w:rsidR="008C6401" w:rsidRDefault="008C6401" w:rsidP="00917814">
      <w:pPr>
        <w:spacing w:after="0"/>
        <w:jc w:val="center"/>
        <w:rPr>
          <w:i/>
          <w:szCs w:val="22"/>
        </w:rPr>
      </w:pPr>
      <w:r w:rsidRPr="00CF6C4B">
        <w:rPr>
          <w:i/>
          <w:szCs w:val="22"/>
        </w:rPr>
        <w:t>Prepared in accordance with Part 3 of the Human Rights (Parliamentary Scrutiny) Act 2011</w:t>
      </w:r>
    </w:p>
    <w:p w14:paraId="368A4CA3" w14:textId="77777777" w:rsidR="00917814" w:rsidRPr="00CF6C4B" w:rsidRDefault="00917814" w:rsidP="00917814">
      <w:pPr>
        <w:spacing w:after="0"/>
        <w:jc w:val="center"/>
        <w:rPr>
          <w:szCs w:val="22"/>
        </w:rPr>
      </w:pPr>
    </w:p>
    <w:p w14:paraId="01F1AB39" w14:textId="006436DB" w:rsidR="008C6401" w:rsidRPr="00CF6C4B" w:rsidRDefault="00BC2187" w:rsidP="00917814">
      <w:pPr>
        <w:spacing w:after="0"/>
        <w:jc w:val="center"/>
        <w:rPr>
          <w:b/>
          <w:i/>
          <w:szCs w:val="22"/>
        </w:rPr>
      </w:pPr>
      <w:r w:rsidRPr="00CF6C4B">
        <w:rPr>
          <w:b/>
          <w:i/>
          <w:szCs w:val="22"/>
        </w:rPr>
        <w:t>ASIC (Supervisory Cost Recovery Levy—Regulatory Costs) Instrument 2018/</w:t>
      </w:r>
      <w:r w:rsidR="0033285B">
        <w:rPr>
          <w:b/>
          <w:i/>
          <w:szCs w:val="22"/>
        </w:rPr>
        <w:t>1062</w:t>
      </w:r>
      <w:r w:rsidR="008C6401" w:rsidRPr="00CF6C4B">
        <w:rPr>
          <w:b/>
          <w:i/>
          <w:szCs w:val="22"/>
        </w:rPr>
        <w:t xml:space="preserve"> </w:t>
      </w:r>
    </w:p>
    <w:p w14:paraId="2F426161" w14:textId="77777777" w:rsidR="008C6401" w:rsidRPr="00247F54" w:rsidRDefault="008C6401" w:rsidP="00917814">
      <w:pPr>
        <w:spacing w:after="0"/>
        <w:jc w:val="center"/>
        <w:rPr>
          <w:sz w:val="24"/>
          <w:szCs w:val="24"/>
        </w:rPr>
      </w:pPr>
    </w:p>
    <w:p w14:paraId="209E9E82" w14:textId="4AD7C57D" w:rsidR="008C6401" w:rsidRPr="00CF6C4B" w:rsidRDefault="00BC2187" w:rsidP="00917814">
      <w:pPr>
        <w:spacing w:after="0"/>
        <w:rPr>
          <w:szCs w:val="22"/>
        </w:rPr>
      </w:pPr>
      <w:r w:rsidRPr="00CF6C4B">
        <w:rPr>
          <w:szCs w:val="22"/>
        </w:rPr>
        <w:t xml:space="preserve">This legislative instrument </w:t>
      </w:r>
      <w:r w:rsidR="008C6401" w:rsidRPr="00CF6C4B">
        <w:rPr>
          <w:szCs w:val="22"/>
        </w:rPr>
        <w:t>is compatible with the human rights and freedoms recognised or</w:t>
      </w:r>
      <w:r w:rsidR="00917814">
        <w:rPr>
          <w:szCs w:val="22"/>
        </w:rPr>
        <w:t> </w:t>
      </w:r>
      <w:r w:rsidR="008C6401" w:rsidRPr="00CF6C4B">
        <w:rPr>
          <w:szCs w:val="22"/>
        </w:rPr>
        <w:t>declared</w:t>
      </w:r>
      <w:r w:rsidR="00917814">
        <w:rPr>
          <w:szCs w:val="22"/>
        </w:rPr>
        <w:t> </w:t>
      </w:r>
      <w:r w:rsidR="008C6401" w:rsidRPr="00CF6C4B">
        <w:rPr>
          <w:szCs w:val="22"/>
        </w:rPr>
        <w:t xml:space="preserve">in the international instruments listed in section 3 of the </w:t>
      </w:r>
      <w:r w:rsidR="008C6401" w:rsidRPr="00CF6C4B">
        <w:rPr>
          <w:i/>
          <w:szCs w:val="22"/>
        </w:rPr>
        <w:t>Human Rights (Parliamentary</w:t>
      </w:r>
      <w:r w:rsidR="00917814">
        <w:rPr>
          <w:i/>
          <w:szCs w:val="22"/>
        </w:rPr>
        <w:t> </w:t>
      </w:r>
      <w:r w:rsidR="008C6401" w:rsidRPr="00CF6C4B">
        <w:rPr>
          <w:i/>
          <w:szCs w:val="22"/>
        </w:rPr>
        <w:t>Scrutiny) Act 2011</w:t>
      </w:r>
      <w:r w:rsidR="008C6401" w:rsidRPr="00CF6C4B">
        <w:rPr>
          <w:szCs w:val="22"/>
        </w:rPr>
        <w:t>.</w:t>
      </w:r>
    </w:p>
    <w:p w14:paraId="0033AAA9" w14:textId="77777777" w:rsidR="00BC2187" w:rsidRPr="00CF6C4B" w:rsidRDefault="00BC2187" w:rsidP="00917814">
      <w:pPr>
        <w:spacing w:after="0"/>
        <w:rPr>
          <w:szCs w:val="22"/>
        </w:rPr>
      </w:pPr>
    </w:p>
    <w:p w14:paraId="5926C92B" w14:textId="77777777" w:rsidR="008C6401" w:rsidRPr="00CF6C4B" w:rsidRDefault="008C6401" w:rsidP="00917814">
      <w:pPr>
        <w:spacing w:after="0"/>
        <w:jc w:val="both"/>
        <w:rPr>
          <w:b/>
          <w:szCs w:val="22"/>
        </w:rPr>
      </w:pPr>
      <w:r w:rsidRPr="00CF6C4B">
        <w:rPr>
          <w:b/>
          <w:szCs w:val="22"/>
        </w:rPr>
        <w:t>Overview</w:t>
      </w:r>
      <w:r w:rsidR="00BC2187" w:rsidRPr="00CF6C4B">
        <w:rPr>
          <w:b/>
          <w:szCs w:val="22"/>
        </w:rPr>
        <w:t xml:space="preserve"> of the legislative instrument</w:t>
      </w:r>
    </w:p>
    <w:p w14:paraId="2E3251D3" w14:textId="77777777" w:rsidR="00917814" w:rsidRDefault="00917814" w:rsidP="00917814">
      <w:pPr>
        <w:spacing w:after="0"/>
        <w:rPr>
          <w:szCs w:val="22"/>
        </w:rPr>
      </w:pPr>
    </w:p>
    <w:p w14:paraId="6E0F6BE2" w14:textId="7A68A461" w:rsidR="00886B22" w:rsidRPr="00886B22" w:rsidRDefault="00886B22" w:rsidP="00886B22">
      <w:r>
        <w:rPr>
          <w:szCs w:val="22"/>
        </w:rPr>
        <w:t xml:space="preserve">Subsection 10(2) of the </w:t>
      </w:r>
      <w:r w:rsidRPr="00886B22">
        <w:rPr>
          <w:i/>
        </w:rPr>
        <w:t>ASIC Supervisory Cost Recovery Levy Act 2017</w:t>
      </w:r>
      <w:r w:rsidRPr="00886B22">
        <w:t xml:space="preserve"> </w:t>
      </w:r>
      <w:r>
        <w:t xml:space="preserve">requires ASIC to make a determination, by legislative instrument, specifying the amount of its regulatory costs for a financial year and the extent to which those costs are attributable to each sub-sector. </w:t>
      </w:r>
    </w:p>
    <w:p w14:paraId="4000642B" w14:textId="603ED156" w:rsidR="00BC2187" w:rsidRDefault="000F7602" w:rsidP="00917814">
      <w:pPr>
        <w:spacing w:after="0"/>
      </w:pPr>
      <w:r>
        <w:rPr>
          <w:szCs w:val="22"/>
        </w:rPr>
        <w:t>Th</w:t>
      </w:r>
      <w:r w:rsidR="00886B22">
        <w:rPr>
          <w:szCs w:val="22"/>
        </w:rPr>
        <w:t>is</w:t>
      </w:r>
      <w:r>
        <w:rPr>
          <w:szCs w:val="22"/>
        </w:rPr>
        <w:t xml:space="preserve"> </w:t>
      </w:r>
      <w:r w:rsidR="00BC2187" w:rsidRPr="00CF6C4B">
        <w:rPr>
          <w:szCs w:val="22"/>
        </w:rPr>
        <w:t>legislative instrument</w:t>
      </w:r>
      <w:r>
        <w:rPr>
          <w:szCs w:val="22"/>
        </w:rPr>
        <w:t xml:space="preserve"> </w:t>
      </w:r>
      <w:r w:rsidR="00917814" w:rsidRPr="00917814">
        <w:rPr>
          <w:szCs w:val="22"/>
        </w:rPr>
        <w:t>specif</w:t>
      </w:r>
      <w:r w:rsidR="00917814">
        <w:rPr>
          <w:szCs w:val="22"/>
        </w:rPr>
        <w:t xml:space="preserve">ies </w:t>
      </w:r>
      <w:r w:rsidR="00917814" w:rsidRPr="00917814">
        <w:rPr>
          <w:szCs w:val="22"/>
        </w:rPr>
        <w:t>ASIC’s regulatory costs and their attribution to each of the 48</w:t>
      </w:r>
      <w:r w:rsidR="00917814">
        <w:rPr>
          <w:szCs w:val="22"/>
        </w:rPr>
        <w:t> </w:t>
      </w:r>
      <w:r w:rsidR="00917814" w:rsidRPr="00917814">
        <w:rPr>
          <w:szCs w:val="22"/>
        </w:rPr>
        <w:t xml:space="preserve">sub-sectors for the 2017 – 2018 financial year. </w:t>
      </w:r>
    </w:p>
    <w:p w14:paraId="6A8ED0AC" w14:textId="77777777" w:rsidR="00917814" w:rsidRPr="00CF6C4B" w:rsidRDefault="00917814" w:rsidP="00917814">
      <w:pPr>
        <w:spacing w:after="0"/>
        <w:rPr>
          <w:szCs w:val="22"/>
        </w:rPr>
      </w:pPr>
    </w:p>
    <w:p w14:paraId="6A0F9CE9" w14:textId="1E2E4634" w:rsidR="00BC2187" w:rsidRDefault="00BC2187" w:rsidP="00917814">
      <w:pPr>
        <w:spacing w:after="0"/>
      </w:pPr>
      <w:r w:rsidRPr="00CF6C4B">
        <w:rPr>
          <w:szCs w:val="22"/>
        </w:rPr>
        <w:t>The purpose of the instrument is to</w:t>
      </w:r>
      <w:r w:rsidR="000F7602" w:rsidRPr="00207E3F">
        <w:t xml:space="preserve"> allow ASIC to recover the costs of its regulatory activities</w:t>
      </w:r>
      <w:r w:rsidR="000F7602">
        <w:t xml:space="preserve"> for th</w:t>
      </w:r>
      <w:r w:rsidR="00E0555C">
        <w:t>at </w:t>
      </w:r>
      <w:r w:rsidR="000F7602">
        <w:t>financial year from the entities which generate the need for regulation.</w:t>
      </w:r>
      <w:r w:rsidR="000F7602" w:rsidRPr="00207E3F">
        <w:t xml:space="preserve"> </w:t>
      </w:r>
    </w:p>
    <w:p w14:paraId="740387EF" w14:textId="77777777" w:rsidR="000F7602" w:rsidRPr="00CF6C4B" w:rsidRDefault="000F7602" w:rsidP="00917814">
      <w:pPr>
        <w:spacing w:after="0"/>
        <w:rPr>
          <w:szCs w:val="22"/>
        </w:rPr>
      </w:pPr>
    </w:p>
    <w:p w14:paraId="4682CE3D" w14:textId="77777777" w:rsidR="008C6401" w:rsidRPr="00CF6C4B" w:rsidRDefault="008C6401" w:rsidP="00917814">
      <w:pPr>
        <w:spacing w:after="0"/>
        <w:rPr>
          <w:b/>
          <w:szCs w:val="22"/>
        </w:rPr>
      </w:pPr>
      <w:r w:rsidRPr="00CF6C4B">
        <w:rPr>
          <w:b/>
          <w:szCs w:val="22"/>
        </w:rPr>
        <w:t>Human rights implications</w:t>
      </w:r>
    </w:p>
    <w:p w14:paraId="52C490A7" w14:textId="77777777" w:rsidR="00917814" w:rsidRDefault="00917814" w:rsidP="00917814">
      <w:pPr>
        <w:spacing w:after="0"/>
        <w:rPr>
          <w:szCs w:val="22"/>
        </w:rPr>
      </w:pPr>
    </w:p>
    <w:p w14:paraId="232EE216" w14:textId="3E0EA45E" w:rsidR="008C6401" w:rsidRPr="00CF6C4B" w:rsidRDefault="008C6401" w:rsidP="00917814">
      <w:pPr>
        <w:spacing w:after="0"/>
        <w:rPr>
          <w:szCs w:val="22"/>
        </w:rPr>
      </w:pPr>
      <w:r w:rsidRPr="00CF6C4B">
        <w:rPr>
          <w:szCs w:val="22"/>
        </w:rPr>
        <w:t>This legislative instrument does not engage any of the applicable rights or freedoms.</w:t>
      </w:r>
    </w:p>
    <w:p w14:paraId="58A43D5B" w14:textId="77777777" w:rsidR="00BC2187" w:rsidRPr="00CF6C4B" w:rsidRDefault="00BC2187" w:rsidP="00917814">
      <w:pPr>
        <w:spacing w:after="0"/>
        <w:rPr>
          <w:szCs w:val="22"/>
        </w:rPr>
      </w:pPr>
    </w:p>
    <w:p w14:paraId="2FD2C452" w14:textId="77777777" w:rsidR="008C6401" w:rsidRPr="00CF6C4B" w:rsidRDefault="008C6401" w:rsidP="00917814">
      <w:pPr>
        <w:spacing w:after="0"/>
        <w:rPr>
          <w:b/>
          <w:szCs w:val="22"/>
        </w:rPr>
      </w:pPr>
      <w:r w:rsidRPr="00CF6C4B">
        <w:rPr>
          <w:b/>
          <w:szCs w:val="22"/>
        </w:rPr>
        <w:t>Conclusion</w:t>
      </w:r>
    </w:p>
    <w:p w14:paraId="22435757" w14:textId="77777777" w:rsidR="00917814" w:rsidRDefault="00917814" w:rsidP="00917814">
      <w:pPr>
        <w:spacing w:after="0"/>
        <w:rPr>
          <w:szCs w:val="22"/>
        </w:rPr>
      </w:pPr>
    </w:p>
    <w:p w14:paraId="43C245B8" w14:textId="3C7D3720" w:rsidR="008C6401" w:rsidRPr="00CF6C4B" w:rsidRDefault="008C6401" w:rsidP="00917814">
      <w:pPr>
        <w:spacing w:after="0"/>
        <w:rPr>
          <w:szCs w:val="22"/>
        </w:rPr>
      </w:pPr>
      <w:r w:rsidRPr="00CF6C4B">
        <w:rPr>
          <w:szCs w:val="22"/>
        </w:rPr>
        <w:t>This legislative instrument is compatible with human rights as it does not raise any human</w:t>
      </w:r>
      <w:r w:rsidR="0033285B">
        <w:rPr>
          <w:szCs w:val="22"/>
        </w:rPr>
        <w:t> </w:t>
      </w:r>
      <w:r w:rsidRPr="00CF6C4B">
        <w:rPr>
          <w:szCs w:val="22"/>
        </w:rPr>
        <w:t>rights</w:t>
      </w:r>
      <w:r w:rsidR="0033285B">
        <w:rPr>
          <w:szCs w:val="22"/>
        </w:rPr>
        <w:t> </w:t>
      </w:r>
      <w:r w:rsidRPr="00CF6C4B">
        <w:rPr>
          <w:szCs w:val="22"/>
        </w:rPr>
        <w:t>issues.</w:t>
      </w:r>
    </w:p>
    <w:sectPr w:rsidR="008C6401" w:rsidRPr="00CF6C4B" w:rsidSect="00261ED6">
      <w:headerReference w:type="even" r:id="rId10"/>
      <w:footerReference w:type="even" r:id="rId11"/>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F8F4" w14:textId="77777777" w:rsidR="005A3D5E" w:rsidRDefault="005A3D5E" w:rsidP="00FC30B6">
      <w:pPr>
        <w:spacing w:after="0"/>
      </w:pPr>
      <w:r>
        <w:separator/>
      </w:r>
    </w:p>
  </w:endnote>
  <w:endnote w:type="continuationSeparator" w:id="0">
    <w:p w14:paraId="59E39BA7" w14:textId="77777777" w:rsidR="005A3D5E" w:rsidRDefault="005A3D5E" w:rsidP="00FC30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6DA6B" w14:textId="77777777" w:rsidR="00C27A4B" w:rsidRDefault="00ED41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B46020E" w14:textId="77777777" w:rsidR="00C27A4B" w:rsidRDefault="00AD556A">
    <w:pPr>
      <w:pStyle w:val="Footer"/>
      <w:ind w:right="360"/>
    </w:pPr>
  </w:p>
  <w:p w14:paraId="67C99BFD" w14:textId="77777777" w:rsidR="00C27A4B" w:rsidRDefault="00AD556A"/>
  <w:p w14:paraId="3C722EFF" w14:textId="77777777" w:rsidR="00C27A4B" w:rsidRDefault="00AD556A"/>
  <w:p w14:paraId="0381D0AC" w14:textId="77777777" w:rsidR="00C27A4B" w:rsidRDefault="00AD556A"/>
  <w:p w14:paraId="262EF668" w14:textId="77777777" w:rsidR="00C27A4B" w:rsidRDefault="00AD556A"/>
  <w:p w14:paraId="72AFB5CA" w14:textId="77777777" w:rsidR="00C27A4B" w:rsidRDefault="00AD5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059318"/>
      <w:docPartObj>
        <w:docPartGallery w:val="Page Numbers (Bottom of Page)"/>
        <w:docPartUnique/>
      </w:docPartObj>
    </w:sdtPr>
    <w:sdtEndPr>
      <w:rPr>
        <w:noProof/>
      </w:rPr>
    </w:sdtEndPr>
    <w:sdtContent>
      <w:p w14:paraId="0064D700" w14:textId="7E9FF42F" w:rsidR="00261ED6" w:rsidRDefault="00261E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B2573" w14:textId="77777777" w:rsidR="00261ED6" w:rsidRDefault="00261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D73A" w14:textId="77777777" w:rsidR="005A3D5E" w:rsidRDefault="005A3D5E" w:rsidP="00FC30B6">
      <w:pPr>
        <w:spacing w:after="0"/>
      </w:pPr>
      <w:r>
        <w:separator/>
      </w:r>
    </w:p>
  </w:footnote>
  <w:footnote w:type="continuationSeparator" w:id="0">
    <w:p w14:paraId="2D2A9F2B" w14:textId="77777777" w:rsidR="005A3D5E" w:rsidRDefault="005A3D5E" w:rsidP="00FC30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F5B6B" w14:textId="77777777" w:rsidR="00C27A4B" w:rsidRDefault="00AD556A"/>
  <w:p w14:paraId="2EE2D949" w14:textId="77777777" w:rsidR="00C27A4B" w:rsidRDefault="00AD5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D87C" w14:textId="064A5A78" w:rsidR="00C27A4B" w:rsidRDefault="00AD556A">
    <w:pPr>
      <w:pStyle w:val="Header"/>
      <w:pBdr>
        <w:bottom w:val="none" w:sz="0" w:space="0" w:color="auto"/>
      </w:pBdr>
      <w:jc w:val="center"/>
      <w:rPr>
        <w:b/>
        <w:bCs/>
        <w:color w:val="C0C0C0"/>
        <w:sz w:val="4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A69"/>
    <w:multiLevelType w:val="multilevel"/>
    <w:tmpl w:val="0262E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346F48"/>
    <w:multiLevelType w:val="multilevel"/>
    <w:tmpl w:val="B9DCC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61D55"/>
    <w:multiLevelType w:val="hybridMultilevel"/>
    <w:tmpl w:val="5DC25818"/>
    <w:lvl w:ilvl="0" w:tplc="90D6C7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C6808"/>
    <w:multiLevelType w:val="multilevel"/>
    <w:tmpl w:val="A044F19C"/>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30F3179"/>
    <w:multiLevelType w:val="hybridMultilevel"/>
    <w:tmpl w:val="38E8666C"/>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8" w15:restartNumberingAfterBreak="0">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0" w15:restartNumberingAfterBreak="0">
    <w:nsid w:val="2C307329"/>
    <w:multiLevelType w:val="hybridMultilevel"/>
    <w:tmpl w:val="90245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C5447A"/>
    <w:multiLevelType w:val="hybridMultilevel"/>
    <w:tmpl w:val="74BA8F94"/>
    <w:lvl w:ilvl="0" w:tplc="1010A9D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15:restartNumberingAfterBreak="0">
    <w:nsid w:val="44996464"/>
    <w:multiLevelType w:val="hybridMultilevel"/>
    <w:tmpl w:val="2D883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9C661B"/>
    <w:multiLevelType w:val="hybridMultilevel"/>
    <w:tmpl w:val="C9A42B08"/>
    <w:lvl w:ilvl="0" w:tplc="1010A9DC">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A20372"/>
    <w:multiLevelType w:val="hybridMultilevel"/>
    <w:tmpl w:val="F580BA6C"/>
    <w:lvl w:ilvl="0" w:tplc="1010A9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7A49F3"/>
    <w:multiLevelType w:val="hybridMultilevel"/>
    <w:tmpl w:val="71B6D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5"/>
  </w:num>
  <w:num w:numId="5">
    <w:abstractNumId w:val="3"/>
  </w:num>
  <w:num w:numId="6">
    <w:abstractNumId w:val="0"/>
  </w:num>
  <w:num w:numId="7">
    <w:abstractNumId w:val="11"/>
  </w:num>
  <w:num w:numId="8">
    <w:abstractNumId w:val="20"/>
  </w:num>
  <w:num w:numId="9">
    <w:abstractNumId w:val="15"/>
  </w:num>
  <w:num w:numId="10">
    <w:abstractNumId w:val="9"/>
  </w:num>
  <w:num w:numId="11">
    <w:abstractNumId w:val="10"/>
  </w:num>
  <w:num w:numId="12">
    <w:abstractNumId w:val="4"/>
  </w:num>
  <w:num w:numId="13">
    <w:abstractNumId w:val="1"/>
  </w:num>
  <w:num w:numId="14">
    <w:abstractNumId w:val="7"/>
  </w:num>
  <w:num w:numId="15">
    <w:abstractNumId w:val="17"/>
  </w:num>
  <w:num w:numId="16">
    <w:abstractNumId w:val="6"/>
  </w:num>
  <w:num w:numId="17">
    <w:abstractNumId w:val="6"/>
  </w:num>
  <w:num w:numId="18">
    <w:abstractNumId w:val="6"/>
  </w:num>
  <w:num w:numId="19">
    <w:abstractNumId w:val="6"/>
  </w:num>
  <w:num w:numId="20">
    <w:abstractNumId w:val="6"/>
  </w:num>
  <w:num w:numId="21">
    <w:abstractNumId w:val="2"/>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19"/>
  </w:num>
  <w:num w:numId="30">
    <w:abstractNumId w:val="14"/>
  </w:num>
  <w:num w:numId="31">
    <w:abstractNumId w:val="18"/>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2A"/>
    <w:rsid w:val="0004117D"/>
    <w:rsid w:val="0004253C"/>
    <w:rsid w:val="00077495"/>
    <w:rsid w:val="00096900"/>
    <w:rsid w:val="000A0FFC"/>
    <w:rsid w:val="000B25AB"/>
    <w:rsid w:val="000F2DD7"/>
    <w:rsid w:val="000F36E7"/>
    <w:rsid w:val="000F7602"/>
    <w:rsid w:val="001131DD"/>
    <w:rsid w:val="001212D2"/>
    <w:rsid w:val="00125FFA"/>
    <w:rsid w:val="00157BA5"/>
    <w:rsid w:val="001653BF"/>
    <w:rsid w:val="00181230"/>
    <w:rsid w:val="001873D3"/>
    <w:rsid w:val="001C629E"/>
    <w:rsid w:val="001D2DFB"/>
    <w:rsid w:val="001F65A2"/>
    <w:rsid w:val="00207E3F"/>
    <w:rsid w:val="00261ED6"/>
    <w:rsid w:val="0028331E"/>
    <w:rsid w:val="002A02DB"/>
    <w:rsid w:val="002B1B34"/>
    <w:rsid w:val="002F6068"/>
    <w:rsid w:val="003308C9"/>
    <w:rsid w:val="0033285B"/>
    <w:rsid w:val="0033344E"/>
    <w:rsid w:val="00352404"/>
    <w:rsid w:val="0035713D"/>
    <w:rsid w:val="0036622A"/>
    <w:rsid w:val="003C3253"/>
    <w:rsid w:val="003C3C0B"/>
    <w:rsid w:val="00420E27"/>
    <w:rsid w:val="00476E55"/>
    <w:rsid w:val="004A48B6"/>
    <w:rsid w:val="004E508E"/>
    <w:rsid w:val="004F0301"/>
    <w:rsid w:val="005059E8"/>
    <w:rsid w:val="00515FF4"/>
    <w:rsid w:val="00543823"/>
    <w:rsid w:val="005472FB"/>
    <w:rsid w:val="00572A80"/>
    <w:rsid w:val="005A3D5E"/>
    <w:rsid w:val="00601639"/>
    <w:rsid w:val="00640376"/>
    <w:rsid w:val="00653F7D"/>
    <w:rsid w:val="00675DC3"/>
    <w:rsid w:val="006A0B89"/>
    <w:rsid w:val="006A27DD"/>
    <w:rsid w:val="006A28DC"/>
    <w:rsid w:val="006C2F68"/>
    <w:rsid w:val="006E7D0D"/>
    <w:rsid w:val="00714D8A"/>
    <w:rsid w:val="007239AE"/>
    <w:rsid w:val="00737FEF"/>
    <w:rsid w:val="00785614"/>
    <w:rsid w:val="007D1EBF"/>
    <w:rsid w:val="007D6744"/>
    <w:rsid w:val="007D7AED"/>
    <w:rsid w:val="007F5257"/>
    <w:rsid w:val="00803BE9"/>
    <w:rsid w:val="00806352"/>
    <w:rsid w:val="00807BF2"/>
    <w:rsid w:val="00814679"/>
    <w:rsid w:val="00823DB0"/>
    <w:rsid w:val="00842E11"/>
    <w:rsid w:val="008562C6"/>
    <w:rsid w:val="00861184"/>
    <w:rsid w:val="0087429C"/>
    <w:rsid w:val="0087748D"/>
    <w:rsid w:val="0088290B"/>
    <w:rsid w:val="00886B22"/>
    <w:rsid w:val="008B339C"/>
    <w:rsid w:val="008B4E74"/>
    <w:rsid w:val="008C6401"/>
    <w:rsid w:val="008D5220"/>
    <w:rsid w:val="00917814"/>
    <w:rsid w:val="00931DB6"/>
    <w:rsid w:val="0094738E"/>
    <w:rsid w:val="009A0B8E"/>
    <w:rsid w:val="009C5B6C"/>
    <w:rsid w:val="009E0696"/>
    <w:rsid w:val="009F22B8"/>
    <w:rsid w:val="00A06507"/>
    <w:rsid w:val="00A1387D"/>
    <w:rsid w:val="00A51E53"/>
    <w:rsid w:val="00A65926"/>
    <w:rsid w:val="00AA06EC"/>
    <w:rsid w:val="00AB31DF"/>
    <w:rsid w:val="00AD556A"/>
    <w:rsid w:val="00AE0471"/>
    <w:rsid w:val="00B811BE"/>
    <w:rsid w:val="00B83D7F"/>
    <w:rsid w:val="00B953CA"/>
    <w:rsid w:val="00B970AD"/>
    <w:rsid w:val="00BC2187"/>
    <w:rsid w:val="00BC6934"/>
    <w:rsid w:val="00BD5946"/>
    <w:rsid w:val="00BD6E42"/>
    <w:rsid w:val="00BF3652"/>
    <w:rsid w:val="00C16DA2"/>
    <w:rsid w:val="00C56B6C"/>
    <w:rsid w:val="00C66134"/>
    <w:rsid w:val="00CA2648"/>
    <w:rsid w:val="00CF6C4B"/>
    <w:rsid w:val="00D25CE1"/>
    <w:rsid w:val="00D75DFA"/>
    <w:rsid w:val="00D953A4"/>
    <w:rsid w:val="00D96F32"/>
    <w:rsid w:val="00DC56C1"/>
    <w:rsid w:val="00DF23B0"/>
    <w:rsid w:val="00DF73AF"/>
    <w:rsid w:val="00E0555C"/>
    <w:rsid w:val="00E23B46"/>
    <w:rsid w:val="00E27D8A"/>
    <w:rsid w:val="00E66E42"/>
    <w:rsid w:val="00E712CE"/>
    <w:rsid w:val="00E71BD0"/>
    <w:rsid w:val="00E83F24"/>
    <w:rsid w:val="00EA7638"/>
    <w:rsid w:val="00EC67DD"/>
    <w:rsid w:val="00ED416C"/>
    <w:rsid w:val="00EF1DF4"/>
    <w:rsid w:val="00F07310"/>
    <w:rsid w:val="00F1432B"/>
    <w:rsid w:val="00F66A46"/>
    <w:rsid w:val="00F84FB7"/>
    <w:rsid w:val="00FB37B6"/>
    <w:rsid w:val="00FC3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0372DD"/>
  <w15:chartTrackingRefBased/>
  <w15:docId w15:val="{5601C9F7-819E-4FC0-8A3B-50F2C14F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22A"/>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36622A"/>
    <w:pPr>
      <w:keepNext/>
      <w:pageBreakBefore/>
      <w:numPr>
        <w:numId w:val="1"/>
      </w:numPr>
      <w:spacing w:after="400" w:line="280" w:lineRule="atLeast"/>
      <w:outlineLvl w:val="0"/>
    </w:pPr>
    <w:rPr>
      <w:rFonts w:ascii="Arial" w:hAnsi="Arial" w:cs="Arial"/>
      <w:b/>
      <w:kern w:val="28"/>
      <w:sz w:val="36"/>
      <w:szCs w:val="36"/>
    </w:rPr>
  </w:style>
  <w:style w:type="paragraph" w:styleId="Heading3">
    <w:name w:val="heading 3"/>
    <w:basedOn w:val="Normal"/>
    <w:next w:val="BodyText"/>
    <w:link w:val="Heading3Char"/>
    <w:qFormat/>
    <w:rsid w:val="0036622A"/>
    <w:pPr>
      <w:keepNext/>
      <w:spacing w:before="400" w:after="0" w:line="280" w:lineRule="atLeast"/>
      <w:ind w:left="2268"/>
      <w:outlineLvl w:val="2"/>
    </w:pPr>
    <w:rPr>
      <w:rFonts w:ascii="Arial" w:hAnsi="Arial" w:cs="Arial"/>
      <w:b/>
      <w:sz w:val="24"/>
      <w:szCs w:val="24"/>
    </w:rPr>
  </w:style>
  <w:style w:type="paragraph" w:styleId="Heading6">
    <w:name w:val="heading 6"/>
    <w:basedOn w:val="Normal"/>
    <w:next w:val="Bodytextplain"/>
    <w:link w:val="Heading6Char"/>
    <w:unhideWhenUsed/>
    <w:qFormat/>
    <w:rsid w:val="0036622A"/>
    <w:pPr>
      <w:keepNext/>
      <w:pageBreakBefore/>
      <w:spacing w:after="400" w:line="280" w:lineRule="atLeast"/>
      <w:outlineLvl w:val="5"/>
    </w:pPr>
    <w:rPr>
      <w:rFonts w:ascii="Arial" w:hAnsi="Arial" w:cs="Arial"/>
      <w:b/>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622A"/>
    <w:rPr>
      <w:rFonts w:ascii="Arial" w:eastAsia="Times New Roman" w:hAnsi="Arial" w:cs="Arial"/>
      <w:b/>
      <w:kern w:val="28"/>
      <w:sz w:val="36"/>
      <w:szCs w:val="36"/>
      <w:lang w:eastAsia="en-AU"/>
    </w:rPr>
  </w:style>
  <w:style w:type="character" w:customStyle="1" w:styleId="Heading3Char">
    <w:name w:val="Heading 3 Char"/>
    <w:basedOn w:val="DefaultParagraphFont"/>
    <w:link w:val="Heading3"/>
    <w:rsid w:val="0036622A"/>
    <w:rPr>
      <w:rFonts w:ascii="Arial" w:eastAsia="Times New Roman" w:hAnsi="Arial" w:cs="Arial"/>
      <w:b/>
      <w:sz w:val="24"/>
      <w:szCs w:val="24"/>
      <w:lang w:eastAsia="en-AU"/>
    </w:rPr>
  </w:style>
  <w:style w:type="character" w:customStyle="1" w:styleId="Heading6Char">
    <w:name w:val="Heading 6 Char"/>
    <w:basedOn w:val="DefaultParagraphFont"/>
    <w:link w:val="Heading6"/>
    <w:rsid w:val="0036622A"/>
    <w:rPr>
      <w:rFonts w:ascii="Arial" w:eastAsia="Times New Roman" w:hAnsi="Arial" w:cs="Arial"/>
      <w:b/>
      <w:kern w:val="28"/>
      <w:sz w:val="36"/>
      <w:szCs w:val="36"/>
      <w:lang w:eastAsia="en-AU"/>
    </w:rPr>
  </w:style>
  <w:style w:type="paragraph" w:styleId="BodyText">
    <w:name w:val="Body Text"/>
    <w:basedOn w:val="Normal"/>
    <w:link w:val="BodyTextChar"/>
    <w:rsid w:val="0036622A"/>
    <w:pPr>
      <w:numPr>
        <w:numId w:val="2"/>
      </w:numPr>
      <w:spacing w:before="200" w:after="0" w:line="300" w:lineRule="atLeast"/>
    </w:pPr>
    <w:rPr>
      <w:szCs w:val="22"/>
    </w:rPr>
  </w:style>
  <w:style w:type="character" w:customStyle="1" w:styleId="BodyTextChar">
    <w:name w:val="Body Text Char"/>
    <w:basedOn w:val="DefaultParagraphFont"/>
    <w:link w:val="BodyText"/>
    <w:rsid w:val="0036622A"/>
    <w:rPr>
      <w:rFonts w:ascii="Times New Roman" w:eastAsia="Times New Roman" w:hAnsi="Times New Roman" w:cs="Times New Roman"/>
      <w:lang w:eastAsia="en-AU"/>
    </w:rPr>
  </w:style>
  <w:style w:type="paragraph" w:styleId="Footer">
    <w:name w:val="footer"/>
    <w:basedOn w:val="Normal"/>
    <w:link w:val="FooterChar"/>
    <w:uiPriority w:val="99"/>
    <w:rsid w:val="0036622A"/>
    <w:pPr>
      <w:tabs>
        <w:tab w:val="right" w:pos="9070"/>
      </w:tabs>
      <w:spacing w:after="0"/>
    </w:pPr>
    <w:rPr>
      <w:rFonts w:ascii="Arial" w:hAnsi="Arial"/>
      <w:sz w:val="16"/>
      <w:szCs w:val="16"/>
    </w:rPr>
  </w:style>
  <w:style w:type="character" w:customStyle="1" w:styleId="FooterChar">
    <w:name w:val="Footer Char"/>
    <w:basedOn w:val="DefaultParagraphFont"/>
    <w:link w:val="Footer"/>
    <w:uiPriority w:val="99"/>
    <w:rsid w:val="0036622A"/>
    <w:rPr>
      <w:rFonts w:ascii="Arial" w:eastAsia="Times New Roman" w:hAnsi="Arial" w:cs="Times New Roman"/>
      <w:sz w:val="16"/>
      <w:szCs w:val="16"/>
      <w:lang w:eastAsia="en-AU"/>
    </w:rPr>
  </w:style>
  <w:style w:type="character" w:styleId="PageNumber">
    <w:name w:val="page number"/>
    <w:rsid w:val="0036622A"/>
    <w:rPr>
      <w:b/>
      <w:sz w:val="20"/>
    </w:rPr>
  </w:style>
  <w:style w:type="paragraph" w:styleId="Header">
    <w:name w:val="header"/>
    <w:basedOn w:val="Normal"/>
    <w:link w:val="HeaderChar"/>
    <w:uiPriority w:val="99"/>
    <w:rsid w:val="0036622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36622A"/>
    <w:rPr>
      <w:rFonts w:ascii="Arial" w:eastAsia="Times New Roman" w:hAnsi="Arial" w:cs="Arial"/>
      <w:caps/>
      <w:color w:val="008291"/>
      <w:sz w:val="16"/>
      <w:szCs w:val="16"/>
      <w:lang w:eastAsia="en-AU"/>
    </w:rPr>
  </w:style>
  <w:style w:type="paragraph" w:customStyle="1" w:styleId="Bodytextplain">
    <w:name w:val="Body text plain"/>
    <w:basedOn w:val="BodyText"/>
    <w:rsid w:val="0036622A"/>
    <w:pPr>
      <w:numPr>
        <w:numId w:val="0"/>
      </w:numPr>
      <w:ind w:left="2268"/>
    </w:pPr>
  </w:style>
  <w:style w:type="paragraph" w:customStyle="1" w:styleId="subparaa">
    <w:name w:val="sub para (a)"/>
    <w:basedOn w:val="BodyText"/>
    <w:rsid w:val="0036622A"/>
    <w:pPr>
      <w:numPr>
        <w:ilvl w:val="1"/>
      </w:numPr>
      <w:spacing w:before="100"/>
    </w:pPr>
  </w:style>
  <w:style w:type="paragraph" w:customStyle="1" w:styleId="Feedbackquestion">
    <w:name w:val="Feedback question"/>
    <w:basedOn w:val="Normal"/>
    <w:rsid w:val="0036622A"/>
    <w:pPr>
      <w:keepLines/>
      <w:numPr>
        <w:ilvl w:val="4"/>
        <w:numId w:val="1"/>
      </w:numPr>
      <w:pBdr>
        <w:left w:val="single" w:sz="6" w:space="2" w:color="117DC7"/>
      </w:pBdr>
      <w:spacing w:before="100" w:after="0" w:line="260" w:lineRule="atLeast"/>
    </w:pPr>
    <w:rPr>
      <w:rFonts w:ascii="Arial" w:hAnsi="Arial" w:cs="Arial"/>
      <w:sz w:val="20"/>
    </w:rPr>
  </w:style>
  <w:style w:type="paragraph" w:customStyle="1" w:styleId="Feedbacksubquestion">
    <w:name w:val="Feedback subquestion"/>
    <w:basedOn w:val="Feedbackquestion"/>
    <w:rsid w:val="0036622A"/>
    <w:pPr>
      <w:numPr>
        <w:ilvl w:val="5"/>
      </w:numPr>
    </w:pPr>
  </w:style>
  <w:style w:type="paragraph" w:customStyle="1" w:styleId="subsubparai">
    <w:name w:val="sub sub para (i)"/>
    <w:basedOn w:val="subparaa"/>
    <w:rsid w:val="0036622A"/>
    <w:pPr>
      <w:numPr>
        <w:ilvl w:val="2"/>
      </w:numPr>
    </w:pPr>
  </w:style>
  <w:style w:type="paragraph" w:customStyle="1" w:styleId="Proposaltext">
    <w:name w:val="Proposal text"/>
    <w:basedOn w:val="Bodytextplain"/>
    <w:rsid w:val="0036622A"/>
    <w:pPr>
      <w:numPr>
        <w:ilvl w:val="1"/>
        <w:numId w:val="1"/>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36622A"/>
    <w:pPr>
      <w:numPr>
        <w:ilvl w:val="2"/>
      </w:numPr>
      <w:spacing w:before="100"/>
    </w:pPr>
  </w:style>
  <w:style w:type="paragraph" w:customStyle="1" w:styleId="Proposalsubsubpara">
    <w:name w:val="Proposal sub sub para"/>
    <w:basedOn w:val="Proposaltext"/>
    <w:rsid w:val="0036622A"/>
    <w:pPr>
      <w:numPr>
        <w:ilvl w:val="3"/>
      </w:numPr>
      <w:spacing w:before="100"/>
    </w:pPr>
  </w:style>
  <w:style w:type="paragraph" w:customStyle="1" w:styleId="sub3paraA">
    <w:name w:val="sub3para (A)"/>
    <w:basedOn w:val="subsubparai"/>
    <w:qFormat/>
    <w:rsid w:val="0036622A"/>
    <w:pPr>
      <w:numPr>
        <w:ilvl w:val="3"/>
      </w:numPr>
    </w:pPr>
  </w:style>
  <w:style w:type="paragraph" w:customStyle="1" w:styleId="sub4paraI">
    <w:name w:val="sub4para (I)"/>
    <w:basedOn w:val="subsubparai"/>
    <w:qFormat/>
    <w:rsid w:val="0036622A"/>
    <w:pPr>
      <w:numPr>
        <w:ilvl w:val="4"/>
      </w:numPr>
    </w:pPr>
  </w:style>
  <w:style w:type="paragraph" w:customStyle="1" w:styleId="Feedbacksubsubquestion">
    <w:name w:val="Feedback subsubquestion"/>
    <w:basedOn w:val="Feedbacksubquestion"/>
    <w:qFormat/>
    <w:rsid w:val="0036622A"/>
    <w:pPr>
      <w:numPr>
        <w:ilvl w:val="6"/>
      </w:numPr>
    </w:pPr>
  </w:style>
  <w:style w:type="paragraph" w:styleId="ListParagraph">
    <w:name w:val="List Paragraph"/>
    <w:basedOn w:val="Normal"/>
    <w:uiPriority w:val="34"/>
    <w:qFormat/>
    <w:rsid w:val="0036622A"/>
    <w:pPr>
      <w:ind w:left="720"/>
      <w:contextualSpacing/>
    </w:pPr>
  </w:style>
  <w:style w:type="paragraph" w:customStyle="1" w:styleId="ActHead1">
    <w:name w:val="ActHead 1"/>
    <w:aliases w:val="c"/>
    <w:basedOn w:val="Normal"/>
    <w:next w:val="Normal"/>
    <w:qFormat/>
    <w:rsid w:val="002F6068"/>
    <w:pPr>
      <w:keepNext/>
      <w:keepLines/>
      <w:spacing w:after="0"/>
      <w:ind w:left="1134" w:hanging="1134"/>
      <w:outlineLvl w:val="0"/>
    </w:pPr>
    <w:rPr>
      <w:b/>
      <w:kern w:val="28"/>
      <w:sz w:val="36"/>
    </w:rPr>
  </w:style>
  <w:style w:type="paragraph" w:customStyle="1" w:styleId="subsection">
    <w:name w:val="subsection"/>
    <w:aliases w:val="ss"/>
    <w:basedOn w:val="Normal"/>
    <w:link w:val="subsectionChar"/>
    <w:rsid w:val="002F6068"/>
    <w:pPr>
      <w:tabs>
        <w:tab w:val="right" w:pos="1021"/>
      </w:tabs>
      <w:spacing w:before="180" w:after="0"/>
      <w:ind w:left="1134" w:hanging="1134"/>
    </w:pPr>
  </w:style>
  <w:style w:type="paragraph" w:customStyle="1" w:styleId="paragraph">
    <w:name w:val="paragraph"/>
    <w:aliases w:val="a"/>
    <w:basedOn w:val="Normal"/>
    <w:link w:val="paragraphChar"/>
    <w:rsid w:val="002F6068"/>
    <w:pPr>
      <w:tabs>
        <w:tab w:val="right" w:pos="1531"/>
      </w:tabs>
      <w:spacing w:before="40" w:after="0"/>
      <w:ind w:left="1644" w:hanging="1644"/>
    </w:pPr>
  </w:style>
  <w:style w:type="character" w:customStyle="1" w:styleId="subsectionChar">
    <w:name w:val="subsection Char"/>
    <w:aliases w:val="ss Char"/>
    <w:basedOn w:val="DefaultParagraphFont"/>
    <w:link w:val="subsection"/>
    <w:locked/>
    <w:rsid w:val="002F6068"/>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F6068"/>
    <w:rPr>
      <w:rFonts w:ascii="Times New Roman" w:eastAsia="Times New Roman" w:hAnsi="Times New Roman" w:cs="Times New Roman"/>
      <w:szCs w:val="20"/>
      <w:lang w:eastAsia="en-AU"/>
    </w:rPr>
  </w:style>
  <w:style w:type="paragraph" w:customStyle="1" w:styleId="EnStatement">
    <w:name w:val="EnStatement"/>
    <w:basedOn w:val="Normal"/>
    <w:rsid w:val="002A02DB"/>
    <w:pPr>
      <w:numPr>
        <w:numId w:val="15"/>
      </w:numPr>
      <w:spacing w:after="0" w:line="260" w:lineRule="atLeast"/>
    </w:pPr>
  </w:style>
  <w:style w:type="paragraph" w:customStyle="1" w:styleId="Definition">
    <w:name w:val="Definition"/>
    <w:aliases w:val="dd"/>
    <w:basedOn w:val="Normal"/>
    <w:rsid w:val="0088290B"/>
    <w:pPr>
      <w:spacing w:before="180" w:after="0"/>
      <w:ind w:left="1134"/>
    </w:pPr>
  </w:style>
  <w:style w:type="paragraph" w:customStyle="1" w:styleId="subsection2">
    <w:name w:val="subsection2"/>
    <w:aliases w:val="ss2"/>
    <w:basedOn w:val="Normal"/>
    <w:next w:val="subsection"/>
    <w:rsid w:val="0088290B"/>
    <w:pPr>
      <w:spacing w:before="40" w:after="0"/>
      <w:ind w:left="1134"/>
    </w:pPr>
  </w:style>
  <w:style w:type="paragraph" w:customStyle="1" w:styleId="LI-BodyTextNumbered">
    <w:name w:val="LI - Body Text Numbered"/>
    <w:basedOn w:val="Normal"/>
    <w:link w:val="LI-BodyTextNumberedChar"/>
    <w:qFormat/>
    <w:rsid w:val="00AB31DF"/>
    <w:pPr>
      <w:spacing w:before="240" w:after="0"/>
      <w:ind w:left="1134" w:hanging="567"/>
    </w:pPr>
    <w:rPr>
      <w:sz w:val="24"/>
      <w:szCs w:val="24"/>
    </w:rPr>
  </w:style>
  <w:style w:type="character" w:customStyle="1" w:styleId="LI-BodyTextNumberedChar">
    <w:name w:val="LI - Body Text Numbered Char"/>
    <w:link w:val="LI-BodyTextNumbered"/>
    <w:rsid w:val="00AB31D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811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1BE"/>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R20180001090455</RecordNumber>
    <ObjectiveID xmlns="da7a9ac0-bc47-4684-84e6-3a8e9ac80c12" xsi:nil="true"/>
    <IconOverlay xmlns="http://schemas.microsoft.com/sharepoint/v4"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BB3FF5EC-000B-475E-87FC-CB0A6B75E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61FF4-3A71-4465-8510-D6E8FFAB694E}">
  <ds:schemaRefs>
    <ds:schemaRef ds:uri="http://schemas.microsoft.com/sharepoint/v3/contenttype/forms"/>
  </ds:schemaRefs>
</ds:datastoreItem>
</file>

<file path=customXml/itemProps3.xml><?xml version="1.0" encoding="utf-8"?>
<ds:datastoreItem xmlns:ds="http://schemas.openxmlformats.org/officeDocument/2006/customXml" ds:itemID="{1F0F0241-AE73-44E1-86CD-368261E3E92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schemas.microsoft.com/sharepoint/v4"/>
    <ds:schemaRef ds:uri="6fdf923d-1605-456d-9034-49e4c2a6593d"/>
    <ds:schemaRef ds:uri="http://schemas.microsoft.com/office/infopath/2007/PartnerControls"/>
    <ds:schemaRef ds:uri="http://purl.org/dc/dcmitype/"/>
    <ds:schemaRef ds:uri="17f478ab-373e-4295-9ff0-9b833ad01319"/>
    <ds:schemaRef ds:uri="da7a9ac0-bc47-4684-84e6-3a8e9ac80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46B946C2.dotm</Template>
  <TotalTime>3</TotalTime>
  <Pages>5</Pages>
  <Words>1660</Words>
  <Characters>9467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ES ASIC (Supervisory Cost Recovery Levy—Regulatory Costs) Instrument</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ASIC (Supervisory Cost Recovery Levy—Regulatory Costs) Instrument</dc:title>
  <dc:subject/>
  <dc:creator>Grace Ball</dc:creator>
  <cp:keywords/>
  <dc:description/>
  <cp:lastModifiedBy>Lucy Chadszinow</cp:lastModifiedBy>
  <cp:revision>2</cp:revision>
  <cp:lastPrinted>2018-11-19T01:14:00Z</cp:lastPrinted>
  <dcterms:created xsi:type="dcterms:W3CDTF">2018-11-20T23:10:00Z</dcterms:created>
  <dcterms:modified xsi:type="dcterms:W3CDTF">2018-11-20T23:10:00Z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Order">
    <vt:r8>67000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{e8634c1b-1868-4a02-8de8-ef4b1316a551}</vt:lpwstr>
  </property>
  <property fmtid="{D5CDD505-2E9C-101B-9397-08002B2CF9AE}" pid="7" name="RecordPoint_ActiveItemUniqueId">
    <vt:lpwstr>{3af6865d-037a-419c-9fd3-0600fe82bbb5}</vt:lpwstr>
  </property>
  <property fmtid="{D5CDD505-2E9C-101B-9397-08002B2CF9AE}" pid="8" name="RecordPoint_ActiveItemWebId">
    <vt:lpwstr>{6fdf923d-1605-456d-9034-49e4c2a6593d}</vt:lpwstr>
  </property>
  <property fmtid="{D5CDD505-2E9C-101B-9397-08002B2CF9AE}" pid="9" name="RecordPoint_ActiveItemSiteId">
    <vt:lpwstr>{fa96e6fb-4129-44b7-b105-10ec3844cb78}</vt:lpwstr>
  </property>
  <property fmtid="{D5CDD505-2E9C-101B-9397-08002B2CF9AE}" pid="10" name="RecordPoint_RecordNumberSubmitted">
    <vt:lpwstr>R20180001090455</vt:lpwstr>
  </property>
  <property fmtid="{D5CDD505-2E9C-101B-9397-08002B2CF9AE}" pid="11" name="RecordPoint_SubmissionCompleted">
    <vt:lpwstr>2018-11-20T15:30:15.2025107+11:00</vt:lpwstr>
  </property>
</Properties>
</file>