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5025C" w14:textId="342F030E" w:rsidR="005B2BC0" w:rsidRPr="002223D6" w:rsidRDefault="005B2BC0" w:rsidP="00D5589F">
      <w:pPr>
        <w:pStyle w:val="Heading1"/>
        <w:spacing w:before="0" w:after="0"/>
        <w:rPr>
          <w:rFonts w:ascii="Times New Roman" w:hAnsi="Times New Roman"/>
        </w:rPr>
      </w:pPr>
      <w:r w:rsidRPr="002223D6">
        <w:rPr>
          <w:rFonts w:ascii="Times New Roman" w:hAnsi="Times New Roman"/>
        </w:rPr>
        <w:t xml:space="preserve">EXPLANATORY </w:t>
      </w:r>
      <w:r w:rsidR="00393CE8" w:rsidRPr="002223D6">
        <w:rPr>
          <w:rFonts w:ascii="Times New Roman" w:hAnsi="Times New Roman"/>
        </w:rPr>
        <w:t>STATEMENT</w:t>
      </w:r>
    </w:p>
    <w:p w14:paraId="7CD1AD73" w14:textId="77777777" w:rsidR="00D5589F" w:rsidRPr="00D5589F" w:rsidRDefault="00D5589F" w:rsidP="00D5589F"/>
    <w:p w14:paraId="6FE846A1" w14:textId="2B25C630" w:rsidR="005B2BC0" w:rsidRDefault="00D7237F" w:rsidP="005B2BC0">
      <w:pPr>
        <w:pStyle w:val="Heading2"/>
        <w:spacing w:before="0" w:after="0"/>
        <w:jc w:val="center"/>
      </w:pPr>
      <w:r>
        <w:t>Issued by authority of the Assistant Treasurer</w:t>
      </w:r>
    </w:p>
    <w:p w14:paraId="2CC5C8AD" w14:textId="77777777" w:rsidR="005B2BC0" w:rsidRPr="00087838" w:rsidRDefault="005B2BC0" w:rsidP="005B2BC0"/>
    <w:p w14:paraId="3AB055F6" w14:textId="77777777" w:rsidR="005B2BC0" w:rsidRDefault="005B2BC0" w:rsidP="005B2BC0">
      <w:pPr>
        <w:spacing w:before="0" w:after="0"/>
        <w:jc w:val="center"/>
        <w:rPr>
          <w:i/>
        </w:rPr>
      </w:pPr>
      <w:r>
        <w:rPr>
          <w:i/>
        </w:rPr>
        <w:t>Taxation Administration Act 1953</w:t>
      </w:r>
    </w:p>
    <w:p w14:paraId="19DE924A" w14:textId="77777777" w:rsidR="005B2BC0" w:rsidRPr="00503E44" w:rsidRDefault="005B2BC0" w:rsidP="005B2BC0">
      <w:pPr>
        <w:spacing w:before="0" w:after="0"/>
        <w:jc w:val="center"/>
        <w:rPr>
          <w:i/>
        </w:rPr>
      </w:pPr>
    </w:p>
    <w:p w14:paraId="0A9EE525" w14:textId="77777777" w:rsidR="005B2BC0" w:rsidRDefault="005B2BC0" w:rsidP="005B2BC0">
      <w:pPr>
        <w:tabs>
          <w:tab w:val="left" w:pos="1418"/>
        </w:tabs>
        <w:spacing w:before="0" w:after="0"/>
        <w:jc w:val="center"/>
        <w:rPr>
          <w:i/>
        </w:rPr>
      </w:pPr>
      <w:r>
        <w:rPr>
          <w:i/>
        </w:rPr>
        <w:t>Taxation Administration Amendment (Updating the List of Exchange of Information Countries) Regulations 2018</w:t>
      </w:r>
    </w:p>
    <w:p w14:paraId="0CC98221" w14:textId="77777777" w:rsidR="005B2BC0" w:rsidRDefault="005B2BC0" w:rsidP="005B2BC0">
      <w:pPr>
        <w:spacing w:before="0" w:after="0"/>
        <w:rPr>
          <w:color w:val="000000"/>
          <w:shd w:val="clear" w:color="auto" w:fill="FFFFFF"/>
        </w:rPr>
      </w:pPr>
    </w:p>
    <w:p w14:paraId="2991DC9E" w14:textId="77777777" w:rsidR="005B2BC0" w:rsidRDefault="005B2BC0" w:rsidP="005B2BC0">
      <w:pPr>
        <w:spacing w:before="0" w:after="0"/>
        <w:rPr>
          <w:color w:val="000000"/>
          <w:shd w:val="clear" w:color="auto" w:fill="FFFFFF"/>
        </w:rPr>
      </w:pPr>
      <w:r>
        <w:rPr>
          <w:color w:val="000000"/>
          <w:shd w:val="clear" w:color="auto" w:fill="FFFFFF"/>
        </w:rPr>
        <w:t xml:space="preserve">Section 18 of the </w:t>
      </w:r>
      <w:r>
        <w:rPr>
          <w:i/>
          <w:color w:val="000000"/>
          <w:shd w:val="clear" w:color="auto" w:fill="FFFFFF"/>
        </w:rPr>
        <w:t>Taxation Administration Act 1953</w:t>
      </w:r>
      <w:r>
        <w:rPr>
          <w:color w:val="000000"/>
          <w:shd w:val="clear" w:color="auto" w:fill="FFFFFF"/>
        </w:rPr>
        <w:t xml:space="preserve"> (the Act) provides, in part, that the Governor-General may make r</w:t>
      </w:r>
      <w:bookmarkStart w:id="0" w:name="_GoBack"/>
      <w:bookmarkEnd w:id="0"/>
      <w:r>
        <w:rPr>
          <w:color w:val="000000"/>
          <w:shd w:val="clear" w:color="auto" w:fill="FFFFFF"/>
        </w:rPr>
        <w:t>egulations, not inconsistent with the Act, prescribing all matters which by the Act are required or permitted to be prescribed, or which are necessary or convenient to be prescribed for giving effect to the Act.</w:t>
      </w:r>
    </w:p>
    <w:p w14:paraId="5BC96ED1" w14:textId="77777777" w:rsidR="005B2BC0" w:rsidRDefault="005B2BC0" w:rsidP="005B2BC0">
      <w:pPr>
        <w:spacing w:before="0" w:after="0"/>
        <w:rPr>
          <w:color w:val="000000"/>
          <w:shd w:val="clear" w:color="auto" w:fill="FFFFFF"/>
        </w:rPr>
      </w:pPr>
    </w:p>
    <w:p w14:paraId="59AD2476" w14:textId="382C0BDF" w:rsidR="005B2BC0" w:rsidRDefault="009A1767" w:rsidP="005B2BC0">
      <w:pPr>
        <w:spacing w:before="0" w:after="0"/>
      </w:pPr>
      <w:r>
        <w:rPr>
          <w:color w:val="000000"/>
          <w:shd w:val="clear" w:color="auto" w:fill="FFFFFF"/>
        </w:rPr>
        <w:t xml:space="preserve">The </w:t>
      </w:r>
      <w:r w:rsidR="002223D6">
        <w:rPr>
          <w:i/>
          <w:color w:val="000000"/>
          <w:shd w:val="clear" w:color="auto" w:fill="FFFFFF"/>
        </w:rPr>
        <w:t xml:space="preserve">Taxation Administration Amendment (Updating the List of Exchange of Information Countries) Regulations 2018 </w:t>
      </w:r>
      <w:r w:rsidR="002223D6">
        <w:rPr>
          <w:color w:val="000000"/>
          <w:shd w:val="clear" w:color="auto" w:fill="FFFFFF"/>
        </w:rPr>
        <w:t xml:space="preserve">(the </w:t>
      </w:r>
      <w:r w:rsidR="005B2BC0" w:rsidRPr="00B31D83">
        <w:rPr>
          <w:color w:val="000000"/>
          <w:shd w:val="clear" w:color="auto" w:fill="FFFFFF"/>
        </w:rPr>
        <w:t>Regulations</w:t>
      </w:r>
      <w:r w:rsidR="002223D6">
        <w:rPr>
          <w:color w:val="000000"/>
          <w:shd w:val="clear" w:color="auto" w:fill="FFFFFF"/>
        </w:rPr>
        <w:t>)</w:t>
      </w:r>
      <w:r>
        <w:rPr>
          <w:color w:val="000000"/>
          <w:shd w:val="clear" w:color="auto" w:fill="FFFFFF"/>
        </w:rPr>
        <w:t xml:space="preserve"> </w:t>
      </w:r>
      <w:r w:rsidR="005B2BC0" w:rsidRPr="00B31D83">
        <w:rPr>
          <w:color w:val="000000"/>
          <w:shd w:val="clear" w:color="auto" w:fill="FFFFFF"/>
        </w:rPr>
        <w:t xml:space="preserve">add </w:t>
      </w:r>
      <w:r w:rsidR="005B2BC0" w:rsidRPr="00B31D83">
        <w:t xml:space="preserve">Albania, Andorra, Austria, Azerbaijan, Bahrain, Barbados, Brazil, Brunei, </w:t>
      </w:r>
      <w:r w:rsidR="005B2BC0">
        <w:t xml:space="preserve">Bulgaria, </w:t>
      </w:r>
      <w:r w:rsidR="005B2BC0" w:rsidRPr="00B31D83">
        <w:t xml:space="preserve">Cameroon, Chile, Colombia, Costa Rica, Croatia, Cyprus, Dominica, Estonia, Faroe Islands, Georgia, Ghana, Greece, Greenland, Grenada, Guatemala, Iceland, Israel, Kazakhstan, Kenya, Latvia, Liberia, Liechtenstein, Lithuania, Luxembourg, Marshall Islands, Moldova, Montserrat, Nigeria, Niue, Philippines, Portugal, </w:t>
      </w:r>
      <w:r w:rsidR="005B2BC0">
        <w:t>Saint</w:t>
      </w:r>
      <w:r w:rsidR="005B2BC0" w:rsidRPr="00B31D83">
        <w:t xml:space="preserve"> Lucia</w:t>
      </w:r>
      <w:r w:rsidR="005B2BC0">
        <w:t>,</w:t>
      </w:r>
      <w:r w:rsidR="005B2BC0" w:rsidRPr="00B31D83">
        <w:t xml:space="preserve"> Samoa, Saudi Arabia, Senegal, Seyche</w:t>
      </w:r>
      <w:r w:rsidR="005B2BC0">
        <w:t>lles, Sint Maarten, Slovenia,</w:t>
      </w:r>
      <w:r w:rsidR="005B2BC0" w:rsidRPr="00B31D83">
        <w:t xml:space="preserve"> Switzerland, Tunisia, Turkey, Uganda, Ukra</w:t>
      </w:r>
      <w:r w:rsidR="005B2BC0">
        <w:t xml:space="preserve">ine, Uruguay and Vanuatu to the list of foreign countries and foreign territories contained in the </w:t>
      </w:r>
      <w:r w:rsidR="005B2BC0">
        <w:rPr>
          <w:i/>
        </w:rPr>
        <w:t>Taxation Administration Regulations 2017</w:t>
      </w:r>
      <w:r w:rsidR="005B2BC0">
        <w:t xml:space="preserve"> </w:t>
      </w:r>
      <w:r w:rsidR="000D50CD">
        <w:t>as ‘</w:t>
      </w:r>
      <w:r w:rsidR="00765D11" w:rsidRPr="00765D11">
        <w:t>information exchange countries</w:t>
      </w:r>
      <w:r w:rsidR="000D50CD" w:rsidRPr="00765D11">
        <w:t>’</w:t>
      </w:r>
      <w:r w:rsidR="005B2BC0" w:rsidRPr="00765D11">
        <w:t xml:space="preserve"> </w:t>
      </w:r>
      <w:r w:rsidR="005B2BC0">
        <w:t>for the purposes of subsection</w:t>
      </w:r>
      <w:r w:rsidR="002223D6">
        <w:t xml:space="preserve"> 12-385(4) of Schedule 1 to the </w:t>
      </w:r>
      <w:r w:rsidR="005B2BC0">
        <w:t xml:space="preserve">Act. </w:t>
      </w:r>
    </w:p>
    <w:p w14:paraId="625CA938" w14:textId="77777777" w:rsidR="005B2BC0" w:rsidRDefault="005B2BC0" w:rsidP="005B2BC0">
      <w:pPr>
        <w:spacing w:before="0" w:after="0"/>
      </w:pPr>
    </w:p>
    <w:p w14:paraId="5012531D" w14:textId="77777777" w:rsidR="000D50CD" w:rsidRDefault="000D50CD" w:rsidP="000D50CD">
      <w:pPr>
        <w:spacing w:before="0" w:after="0"/>
        <w:ind w:right="91"/>
      </w:pPr>
      <w:r>
        <w:t>The list</w:t>
      </w:r>
      <w:r w:rsidRPr="00776A96">
        <w:t xml:space="preserve"> </w:t>
      </w:r>
      <w:r>
        <w:t xml:space="preserve">of foreign countries </w:t>
      </w:r>
      <w:r w:rsidRPr="00776A96">
        <w:t xml:space="preserve">is </w:t>
      </w:r>
      <w:r>
        <w:t xml:space="preserve">used </w:t>
      </w:r>
      <w:r w:rsidRPr="00776A96">
        <w:t xml:space="preserve">for calculating the amount to be withheld by the trustee of a managed investment trust </w:t>
      </w:r>
      <w:r>
        <w:t xml:space="preserve">(MIT) </w:t>
      </w:r>
      <w:r w:rsidRPr="00776A96">
        <w:t>or custodian, or by another entity</w:t>
      </w:r>
      <w:r>
        <w:t>,</w:t>
      </w:r>
      <w:r w:rsidRPr="00776A96">
        <w:t xml:space="preserve"> from a </w:t>
      </w:r>
      <w:r>
        <w:t>‘</w:t>
      </w:r>
      <w:r w:rsidRPr="00776A96">
        <w:t>fund payment</w:t>
      </w:r>
      <w:r>
        <w:t>’ to a foreign resident</w:t>
      </w:r>
      <w:r w:rsidRPr="00776A96">
        <w:t xml:space="preserve">. </w:t>
      </w:r>
      <w:r w:rsidRPr="00D31F36">
        <w:t xml:space="preserve">A 'fund payment' is, broadly, a component of a payment made by a </w:t>
      </w:r>
      <w:r>
        <w:t xml:space="preserve">MIT </w:t>
      </w:r>
      <w:r w:rsidRPr="00D31F36">
        <w:t>that represents a distribution of Australian source net income (other than dividends, interest and royalties) of the trust.</w:t>
      </w:r>
      <w:r>
        <w:t xml:space="preserve"> </w:t>
      </w:r>
      <w:r>
        <w:rPr>
          <w:szCs w:val="24"/>
        </w:rPr>
        <w:t xml:space="preserve">The MIT withholding rate is the primary taxing point for passive income, such as rent, generated in a MIT. </w:t>
      </w:r>
    </w:p>
    <w:p w14:paraId="6A0B55DA" w14:textId="77777777" w:rsidR="000D50CD" w:rsidRDefault="000D50CD" w:rsidP="000D50CD">
      <w:pPr>
        <w:spacing w:before="0" w:after="0"/>
        <w:ind w:right="91"/>
      </w:pPr>
    </w:p>
    <w:p w14:paraId="4FE96FA0" w14:textId="474C5620" w:rsidR="000D50CD" w:rsidRPr="0060212C" w:rsidRDefault="000D50CD" w:rsidP="000D50CD">
      <w:pPr>
        <w:spacing w:before="0" w:after="0"/>
        <w:ind w:right="91"/>
      </w:pPr>
      <w:r>
        <w:t xml:space="preserve">The Regulations ensure that, if a fund payment is made to a tax resident of a country added by the proposed regulations as an ‘information exchange country’, </w:t>
      </w:r>
      <w:r>
        <w:rPr>
          <w:szCs w:val="24"/>
        </w:rPr>
        <w:t>the lower MIT income withholding tax rate of 15 per cent, u</w:t>
      </w:r>
      <w:r w:rsidRPr="00691FBE">
        <w:rPr>
          <w:szCs w:val="24"/>
        </w:rPr>
        <w:t xml:space="preserve">nder </w:t>
      </w:r>
      <w:r>
        <w:rPr>
          <w:szCs w:val="24"/>
        </w:rPr>
        <w:t>S</w:t>
      </w:r>
      <w:r w:rsidRPr="00691FBE">
        <w:rPr>
          <w:szCs w:val="24"/>
        </w:rPr>
        <w:t xml:space="preserve">ubdivision 840-M of the </w:t>
      </w:r>
      <w:r w:rsidRPr="00691FBE">
        <w:rPr>
          <w:i/>
          <w:szCs w:val="24"/>
        </w:rPr>
        <w:t>Income Tax Assessment Act 1997</w:t>
      </w:r>
      <w:r>
        <w:rPr>
          <w:i/>
          <w:szCs w:val="24"/>
        </w:rPr>
        <w:t xml:space="preserve">, </w:t>
      </w:r>
      <w:r>
        <w:rPr>
          <w:szCs w:val="24"/>
        </w:rPr>
        <w:t xml:space="preserve">would apply to those payments. Otherwise, the fund payment is subject to the default withholding tax rate of 30 per cent. </w:t>
      </w:r>
      <w:r w:rsidDel="005E3AA7">
        <w:rPr>
          <w:szCs w:val="24"/>
        </w:rPr>
        <w:t xml:space="preserve"> </w:t>
      </w:r>
    </w:p>
    <w:p w14:paraId="6D099016" w14:textId="77777777" w:rsidR="005B2BC0" w:rsidRDefault="005B2BC0" w:rsidP="005B2BC0">
      <w:pPr>
        <w:pStyle w:val="base-text-paragraphnonumbers"/>
        <w:spacing w:before="0" w:after="0"/>
        <w:ind w:left="0"/>
        <w:rPr>
          <w:sz w:val="24"/>
          <w:szCs w:val="24"/>
        </w:rPr>
      </w:pPr>
    </w:p>
    <w:p w14:paraId="1B2999BB" w14:textId="77777777" w:rsidR="006C753C" w:rsidRDefault="005B2BC0" w:rsidP="005B2BC0">
      <w:pPr>
        <w:pStyle w:val="base-text-paragraphnonumbers"/>
        <w:spacing w:before="0" w:after="0"/>
        <w:ind w:left="0"/>
        <w:rPr>
          <w:sz w:val="24"/>
          <w:szCs w:val="24"/>
        </w:rPr>
      </w:pPr>
      <w:r w:rsidRPr="00685F3D">
        <w:rPr>
          <w:sz w:val="24"/>
          <w:szCs w:val="24"/>
        </w:rPr>
        <w:t xml:space="preserve">Establishing transparency and effective </w:t>
      </w:r>
      <w:r>
        <w:rPr>
          <w:sz w:val="24"/>
          <w:szCs w:val="24"/>
        </w:rPr>
        <w:t>exchange of information (</w:t>
      </w:r>
      <w:r w:rsidRPr="00685F3D">
        <w:rPr>
          <w:sz w:val="24"/>
          <w:szCs w:val="24"/>
        </w:rPr>
        <w:t>EOI</w:t>
      </w:r>
      <w:r>
        <w:rPr>
          <w:sz w:val="24"/>
          <w:szCs w:val="24"/>
        </w:rPr>
        <w:t>)</w:t>
      </w:r>
      <w:r w:rsidRPr="00685F3D">
        <w:rPr>
          <w:sz w:val="24"/>
          <w:szCs w:val="24"/>
        </w:rPr>
        <w:t xml:space="preserve"> internationally is a key objective of the </w:t>
      </w:r>
      <w:r>
        <w:rPr>
          <w:sz w:val="24"/>
          <w:szCs w:val="24"/>
        </w:rPr>
        <w:t xml:space="preserve">Global Forum on Transparency and Exchange of Information for Tax Purposes (the Global Forum), which is organised and supported by the </w:t>
      </w:r>
      <w:r w:rsidRPr="00685F3D">
        <w:rPr>
          <w:sz w:val="24"/>
          <w:szCs w:val="24"/>
        </w:rPr>
        <w:t>Organisation for Economic Co-operation and Development’s</w:t>
      </w:r>
      <w:r>
        <w:rPr>
          <w:sz w:val="24"/>
          <w:szCs w:val="24"/>
        </w:rPr>
        <w:t xml:space="preserve"> (OECD)</w:t>
      </w:r>
      <w:r>
        <w:rPr>
          <w:i/>
          <w:sz w:val="24"/>
          <w:szCs w:val="24"/>
        </w:rPr>
        <w:t xml:space="preserve">. </w:t>
      </w:r>
      <w:r w:rsidRPr="00685F3D">
        <w:rPr>
          <w:sz w:val="24"/>
          <w:szCs w:val="24"/>
        </w:rPr>
        <w:t xml:space="preserve">Australia is </w:t>
      </w:r>
      <w:r>
        <w:rPr>
          <w:sz w:val="24"/>
          <w:szCs w:val="24"/>
        </w:rPr>
        <w:t xml:space="preserve">a member of the Global Forum and </w:t>
      </w:r>
      <w:r w:rsidRPr="00685F3D">
        <w:rPr>
          <w:sz w:val="24"/>
          <w:szCs w:val="24"/>
        </w:rPr>
        <w:t xml:space="preserve">a long-standing and active supporter of </w:t>
      </w:r>
      <w:r>
        <w:rPr>
          <w:sz w:val="24"/>
          <w:szCs w:val="24"/>
        </w:rPr>
        <w:t xml:space="preserve">international tax transparency initiatives. The OECD and Australia have been promoting tax transparency through multilateral initiatives that allow countries to transfer </w:t>
      </w:r>
      <w:r>
        <w:rPr>
          <w:sz w:val="24"/>
          <w:szCs w:val="24"/>
        </w:rPr>
        <w:lastRenderedPageBreak/>
        <w:t xml:space="preserve">information easily, and by assessing jurisdictions’ adherence to global tax transparency standards and publishing those results. </w:t>
      </w:r>
    </w:p>
    <w:p w14:paraId="36B68FE7" w14:textId="77777777" w:rsidR="006C753C" w:rsidRDefault="006C753C" w:rsidP="005B2BC0">
      <w:pPr>
        <w:pStyle w:val="base-text-paragraphnonumbers"/>
        <w:spacing w:before="0" w:after="0"/>
        <w:ind w:left="0"/>
        <w:rPr>
          <w:sz w:val="24"/>
          <w:szCs w:val="24"/>
        </w:rPr>
      </w:pPr>
    </w:p>
    <w:p w14:paraId="4EA19148" w14:textId="62FFDECC" w:rsidR="005B2BC0" w:rsidRDefault="005B2BC0" w:rsidP="005B2BC0">
      <w:pPr>
        <w:pStyle w:val="base-text-paragraphnonumbers"/>
        <w:spacing w:before="0" w:after="0"/>
        <w:ind w:left="0"/>
        <w:rPr>
          <w:sz w:val="24"/>
          <w:szCs w:val="24"/>
        </w:rPr>
      </w:pPr>
      <w:r>
        <w:rPr>
          <w:sz w:val="24"/>
          <w:szCs w:val="24"/>
        </w:rPr>
        <w:t>Over the last few years, there has been an improvement in effective EOI around the world.</w:t>
      </w:r>
      <w:r w:rsidR="006C753C">
        <w:rPr>
          <w:sz w:val="24"/>
          <w:szCs w:val="24"/>
        </w:rPr>
        <w:t xml:space="preserve"> </w:t>
      </w:r>
      <w:r w:rsidRPr="00685F3D">
        <w:rPr>
          <w:sz w:val="24"/>
          <w:szCs w:val="24"/>
        </w:rPr>
        <w:t xml:space="preserve">EOI is the process by which countries share taxpayer information to </w:t>
      </w:r>
      <w:r>
        <w:rPr>
          <w:sz w:val="24"/>
          <w:szCs w:val="24"/>
        </w:rPr>
        <w:t xml:space="preserve">help </w:t>
      </w:r>
      <w:r w:rsidRPr="00685F3D">
        <w:rPr>
          <w:sz w:val="24"/>
          <w:szCs w:val="24"/>
        </w:rPr>
        <w:t>enforce their domesti</w:t>
      </w:r>
      <w:r w:rsidR="00EE177E">
        <w:rPr>
          <w:sz w:val="24"/>
          <w:szCs w:val="24"/>
        </w:rPr>
        <w:t xml:space="preserve">c tax laws. </w:t>
      </w:r>
      <w:r w:rsidRPr="00685F3D">
        <w:rPr>
          <w:sz w:val="24"/>
          <w:szCs w:val="24"/>
        </w:rPr>
        <w:t xml:space="preserve">For Australia, the legal basis for EOI is provided </w:t>
      </w:r>
      <w:r>
        <w:rPr>
          <w:sz w:val="24"/>
          <w:szCs w:val="24"/>
        </w:rPr>
        <w:t xml:space="preserve">by </w:t>
      </w:r>
      <w:r w:rsidRPr="00685F3D">
        <w:rPr>
          <w:sz w:val="24"/>
          <w:szCs w:val="24"/>
        </w:rPr>
        <w:t>the EOI article of bilateral tax treat</w:t>
      </w:r>
      <w:r>
        <w:rPr>
          <w:sz w:val="24"/>
          <w:szCs w:val="24"/>
        </w:rPr>
        <w:t>ies,</w:t>
      </w:r>
      <w:r w:rsidRPr="00685F3D">
        <w:rPr>
          <w:sz w:val="24"/>
          <w:szCs w:val="24"/>
        </w:rPr>
        <w:t xml:space="preserve"> by a bilateral tax information exchange agreement</w:t>
      </w:r>
      <w:r>
        <w:rPr>
          <w:sz w:val="24"/>
          <w:szCs w:val="24"/>
        </w:rPr>
        <w:t xml:space="preserve">, or through participation in the OECD’s multilateral </w:t>
      </w:r>
      <w:r>
        <w:rPr>
          <w:i/>
          <w:sz w:val="24"/>
          <w:szCs w:val="24"/>
        </w:rPr>
        <w:t xml:space="preserve">Convention on Mutual Administrative </w:t>
      </w:r>
      <w:r w:rsidR="000D50CD">
        <w:rPr>
          <w:i/>
          <w:sz w:val="24"/>
          <w:szCs w:val="24"/>
        </w:rPr>
        <w:t>Assistance in Tax Matters (and A</w:t>
      </w:r>
      <w:r>
        <w:rPr>
          <w:i/>
          <w:sz w:val="24"/>
          <w:szCs w:val="24"/>
        </w:rPr>
        <w:t xml:space="preserve">mending Protocol) </w:t>
      </w:r>
      <w:r>
        <w:rPr>
          <w:sz w:val="24"/>
          <w:szCs w:val="24"/>
        </w:rPr>
        <w:t xml:space="preserve">(the Convention). The majority of jurisdictions included in </w:t>
      </w:r>
      <w:r w:rsidR="000D50CD">
        <w:rPr>
          <w:sz w:val="24"/>
          <w:szCs w:val="24"/>
        </w:rPr>
        <w:t xml:space="preserve">the Regulations </w:t>
      </w:r>
      <w:r>
        <w:rPr>
          <w:sz w:val="24"/>
          <w:szCs w:val="24"/>
        </w:rPr>
        <w:t xml:space="preserve">have established effective EOI arrangements with Australia through the Convention. </w:t>
      </w:r>
    </w:p>
    <w:p w14:paraId="274F5C63" w14:textId="77777777" w:rsidR="005B2BC0" w:rsidRDefault="005B2BC0" w:rsidP="005B2BC0">
      <w:pPr>
        <w:pStyle w:val="base-text-paragraphnonumbers"/>
        <w:spacing w:before="0" w:after="0"/>
        <w:ind w:left="0"/>
        <w:rPr>
          <w:sz w:val="24"/>
          <w:szCs w:val="24"/>
        </w:rPr>
      </w:pPr>
    </w:p>
    <w:p w14:paraId="2A9804A7" w14:textId="06865275" w:rsidR="005B2BC0" w:rsidRPr="004A4CC6" w:rsidRDefault="005B2BC0" w:rsidP="005B2BC0">
      <w:pPr>
        <w:pStyle w:val="base-text-paragraphnonumbers"/>
        <w:spacing w:before="0" w:after="0"/>
        <w:ind w:left="0"/>
        <w:rPr>
          <w:sz w:val="24"/>
          <w:szCs w:val="24"/>
        </w:rPr>
      </w:pPr>
      <w:r w:rsidRPr="0032410D">
        <w:rPr>
          <w:sz w:val="24"/>
          <w:szCs w:val="24"/>
        </w:rPr>
        <w:t xml:space="preserve">EOI arrangements </w:t>
      </w:r>
      <w:r w:rsidR="000D50CD">
        <w:rPr>
          <w:sz w:val="24"/>
          <w:szCs w:val="24"/>
        </w:rPr>
        <w:t xml:space="preserve">also </w:t>
      </w:r>
      <w:r w:rsidRPr="0032410D">
        <w:rPr>
          <w:sz w:val="24"/>
          <w:szCs w:val="24"/>
        </w:rPr>
        <w:t>allow the Commissioner of Taxation to obtain relevant information from those</w:t>
      </w:r>
      <w:r>
        <w:rPr>
          <w:sz w:val="24"/>
          <w:szCs w:val="24"/>
        </w:rPr>
        <w:t xml:space="preserve"> jurisdictions, for example, to verify the investor’s identity and place of residence or to support taxation compliance activities. Effective EOI requires a jurisdiction to have the legal capacity to obtain and provide information to Australia </w:t>
      </w:r>
      <w:r w:rsidR="002223D6">
        <w:rPr>
          <w:sz w:val="24"/>
          <w:szCs w:val="24"/>
        </w:rPr>
        <w:t>that is</w:t>
      </w:r>
      <w:r w:rsidR="004478D4">
        <w:rPr>
          <w:sz w:val="24"/>
          <w:szCs w:val="24"/>
        </w:rPr>
        <w:t xml:space="preserve"> </w:t>
      </w:r>
      <w:r>
        <w:rPr>
          <w:sz w:val="24"/>
          <w:szCs w:val="24"/>
        </w:rPr>
        <w:t xml:space="preserve">relevant to tax matters in Australia. Linking the eligibility for reduced withholding tax rates to EOI arrangements reinforces Australia’s international reputation for having a strong regulatory system and encourages other jurisdictions to enter into multilateral EOI arrangements, consistent with Australia’s tax transparency policy. </w:t>
      </w:r>
    </w:p>
    <w:p w14:paraId="14134E11" w14:textId="796DE25A" w:rsidR="005B2BC0" w:rsidRDefault="005B2BC0" w:rsidP="002223D6">
      <w:pPr>
        <w:spacing w:before="0" w:after="0"/>
        <w:ind w:right="91"/>
      </w:pPr>
    </w:p>
    <w:p w14:paraId="6985E4A3" w14:textId="77777777" w:rsidR="000D50CD" w:rsidRDefault="000D50CD" w:rsidP="000D50CD">
      <w:pPr>
        <w:spacing w:before="0" w:after="0"/>
      </w:pPr>
      <w:r>
        <w:t xml:space="preserve">Consultation does not generally take place on updates to this list because consultation with industry and the Australian Taxation Office was undertaken in the initial development of both the legislation and the </w:t>
      </w:r>
      <w:r>
        <w:rPr>
          <w:i/>
          <w:iCs/>
        </w:rPr>
        <w:t>Taxation Administration Amendment Regulations 2008 (No. 2) </w:t>
      </w:r>
      <w:r>
        <w:t>for the list of jurisdictions that are considered to be ‘effective exchange of information countries’ in 2008. Relevant stakeholders, such as peak bodies representing MITs and payment software providers, have been made aware that the update is taking place so that they can update their payment systems by 1 January 2019. Stakeholders noted that they would have no difficulty implementing the necessary changes to their payment systems.</w:t>
      </w:r>
    </w:p>
    <w:p w14:paraId="6CF5493A" w14:textId="77777777" w:rsidR="005B2BC0" w:rsidRDefault="005B2BC0" w:rsidP="005B2BC0">
      <w:pPr>
        <w:spacing w:before="0" w:after="0"/>
        <w:ind w:right="91"/>
      </w:pPr>
    </w:p>
    <w:p w14:paraId="19073753" w14:textId="0626D0F5" w:rsidR="005B2BC0" w:rsidRPr="001917D9" w:rsidRDefault="005B2BC0" w:rsidP="005B2BC0">
      <w:pPr>
        <w:spacing w:before="0" w:after="0"/>
        <w:ind w:right="91"/>
      </w:pPr>
      <w:r>
        <w:t>The Regulation</w:t>
      </w:r>
      <w:r w:rsidR="009A1767">
        <w:t>s commence</w:t>
      </w:r>
      <w:r>
        <w:t xml:space="preserve"> on 1 January 2019.</w:t>
      </w:r>
    </w:p>
    <w:p w14:paraId="44E22B5E" w14:textId="77777777" w:rsidR="005B2BC0" w:rsidRDefault="005B2BC0" w:rsidP="005B2BC0">
      <w:pPr>
        <w:spacing w:before="0" w:after="0"/>
        <w:ind w:right="91"/>
      </w:pPr>
    </w:p>
    <w:p w14:paraId="22B322FB" w14:textId="77777777" w:rsidR="002223D6" w:rsidRDefault="002223D6" w:rsidP="002223D6">
      <w:pPr>
        <w:spacing w:before="0" w:after="0"/>
      </w:pPr>
      <w:r w:rsidRPr="00AB0BAC">
        <w:t xml:space="preserve">A Regulation Impact Statement </w:t>
      </w:r>
      <w:r w:rsidRPr="004373D5">
        <w:t>was not required</w:t>
      </w:r>
      <w:r w:rsidRPr="00AB0BAC">
        <w:t xml:space="preserve">. </w:t>
      </w:r>
      <w:r>
        <w:t>C</w:t>
      </w:r>
      <w:r w:rsidRPr="00AB0BAC">
        <w:t>ompliance costs were assessed as</w:t>
      </w:r>
      <w:r>
        <w:t xml:space="preserve"> </w:t>
      </w:r>
      <w:r w:rsidRPr="00AB0BAC">
        <w:t>low.</w:t>
      </w:r>
    </w:p>
    <w:p w14:paraId="75DC742D" w14:textId="77777777" w:rsidR="002223D6" w:rsidRPr="001917D9" w:rsidRDefault="002223D6" w:rsidP="005B2BC0">
      <w:pPr>
        <w:spacing w:before="0" w:after="0"/>
        <w:ind w:right="91"/>
      </w:pPr>
    </w:p>
    <w:p w14:paraId="7AB11BDD" w14:textId="26A85AAD" w:rsidR="005B2BC0" w:rsidRDefault="005B2BC0" w:rsidP="00D919D8">
      <w:pPr>
        <w:spacing w:before="0" w:after="0"/>
      </w:pPr>
      <w:r w:rsidRPr="001548EB">
        <w:t xml:space="preserve">The </w:t>
      </w:r>
      <w:r w:rsidR="005845A1">
        <w:t>Regulations</w:t>
      </w:r>
      <w:r w:rsidRPr="001548EB">
        <w:t xml:space="preserve"> apply in </w:t>
      </w:r>
      <w:r w:rsidRPr="005725FF">
        <w:t>relation to a fund payment (within the meaning given by section</w:t>
      </w:r>
      <w:r>
        <w:t>s</w:t>
      </w:r>
      <w:r w:rsidRPr="005725FF">
        <w:t xml:space="preserve"> 12-</w:t>
      </w:r>
      <w:r w:rsidRPr="001C4717">
        <w:t xml:space="preserve">405 and 12A-110 of Schedule 1 to the Act) made to a resident of </w:t>
      </w:r>
      <w:r w:rsidR="004478D4">
        <w:t xml:space="preserve">a country that has been added to the </w:t>
      </w:r>
      <w:r w:rsidR="004478D4" w:rsidRPr="004478D4">
        <w:rPr>
          <w:i/>
        </w:rPr>
        <w:t>Taxation Administration Regulations 2017</w:t>
      </w:r>
      <w:r w:rsidRPr="001C4717">
        <w:t xml:space="preserve"> on or after 1 January 2019.</w:t>
      </w:r>
      <w:r>
        <w:t xml:space="preserve"> </w:t>
      </w:r>
    </w:p>
    <w:p w14:paraId="7786FA26" w14:textId="77777777" w:rsidR="005B2BC0" w:rsidRDefault="005B2BC0" w:rsidP="005B2BC0">
      <w:pPr>
        <w:spacing w:before="0" w:after="0"/>
      </w:pPr>
    </w:p>
    <w:p w14:paraId="1037703B" w14:textId="77777777" w:rsidR="005B2BC0" w:rsidRDefault="005B2BC0" w:rsidP="005B2BC0">
      <w:pPr>
        <w:pStyle w:val="Heading3"/>
        <w:spacing w:before="0" w:after="0"/>
        <w:jc w:val="center"/>
        <w:rPr>
          <w:rFonts w:ascii="Helvetica" w:hAnsi="Helvetica"/>
        </w:rPr>
      </w:pPr>
      <w:r>
        <w:rPr>
          <w:rFonts w:ascii="Helvetica" w:hAnsi="Helvetica"/>
        </w:rPr>
        <w:br w:type="page"/>
      </w:r>
      <w:r w:rsidRPr="008E3DDE">
        <w:rPr>
          <w:rFonts w:ascii="Helvetica" w:hAnsi="Helvetica"/>
        </w:rPr>
        <w:lastRenderedPageBreak/>
        <w:t>Statement of Compatibility with Human Rights</w:t>
      </w:r>
    </w:p>
    <w:p w14:paraId="39D9349E" w14:textId="77777777" w:rsidR="005B2BC0" w:rsidRPr="00087838" w:rsidRDefault="005B2BC0" w:rsidP="005B2BC0">
      <w:pPr>
        <w:pStyle w:val="base-text-paragraph"/>
      </w:pPr>
    </w:p>
    <w:p w14:paraId="5CC4592E" w14:textId="77777777" w:rsidR="005B2BC0" w:rsidRDefault="005B2BC0" w:rsidP="005B2BC0">
      <w:pPr>
        <w:spacing w:before="0" w:after="0"/>
        <w:jc w:val="center"/>
        <w:rPr>
          <w:i/>
        </w:rPr>
      </w:pPr>
      <w:r w:rsidRPr="00E4438C">
        <w:rPr>
          <w:i/>
        </w:rPr>
        <w:t>Prepared in accordance with Part 3 of the Human Rights (Parliamentary Scrutiny) Act 2011</w:t>
      </w:r>
    </w:p>
    <w:p w14:paraId="739E13FF" w14:textId="77777777" w:rsidR="005B2BC0" w:rsidRPr="009A1767" w:rsidRDefault="005B2BC0" w:rsidP="005B2BC0">
      <w:pPr>
        <w:spacing w:before="0" w:after="0"/>
        <w:jc w:val="center"/>
        <w:rPr>
          <w:i/>
        </w:rPr>
      </w:pPr>
    </w:p>
    <w:p w14:paraId="3E3A7AED" w14:textId="01D87345" w:rsidR="005B2BC0" w:rsidRPr="009A1767" w:rsidRDefault="009A1767" w:rsidP="005B2BC0">
      <w:pPr>
        <w:spacing w:before="0" w:after="0"/>
        <w:jc w:val="center"/>
        <w:rPr>
          <w:b/>
          <w:i/>
        </w:rPr>
      </w:pPr>
      <w:r w:rsidRPr="009A1767">
        <w:rPr>
          <w:b/>
          <w:i/>
        </w:rPr>
        <w:t>Taxation Administration Amendment (Updating the List of Exchange of Information Countries) Regulations 2018</w:t>
      </w:r>
    </w:p>
    <w:p w14:paraId="165CD15C" w14:textId="77777777" w:rsidR="009A1767" w:rsidRPr="00855300" w:rsidRDefault="009A1767" w:rsidP="005B2BC0">
      <w:pPr>
        <w:spacing w:before="0" w:after="0"/>
        <w:jc w:val="center"/>
        <w:rPr>
          <w:b/>
          <w:i/>
        </w:rPr>
      </w:pPr>
    </w:p>
    <w:p w14:paraId="648AA692" w14:textId="77777777" w:rsidR="005B2BC0" w:rsidRDefault="005B2BC0" w:rsidP="005B2BC0">
      <w:pPr>
        <w:spacing w:before="0" w:after="0"/>
      </w:pPr>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36250C07" w14:textId="77777777" w:rsidR="005B2BC0" w:rsidRDefault="005B2BC0" w:rsidP="005B2BC0">
      <w:pPr>
        <w:spacing w:before="0" w:after="0"/>
      </w:pPr>
    </w:p>
    <w:p w14:paraId="464B2BFA" w14:textId="77777777" w:rsidR="005B2BC0" w:rsidRPr="008E3DDE" w:rsidRDefault="005B2BC0" w:rsidP="005B2BC0">
      <w:pPr>
        <w:pStyle w:val="Heading4"/>
        <w:spacing w:before="0" w:after="0"/>
        <w:rPr>
          <w:b w:val="0"/>
          <w:i/>
          <w:szCs w:val="24"/>
        </w:rPr>
      </w:pPr>
      <w:r w:rsidRPr="008E3DDE">
        <w:rPr>
          <w:szCs w:val="24"/>
        </w:rPr>
        <w:t>Overview of the Legislative Instrument</w:t>
      </w:r>
    </w:p>
    <w:p w14:paraId="4CE301F1" w14:textId="27A36F34" w:rsidR="005B2BC0" w:rsidRDefault="005B2BC0" w:rsidP="005B2BC0">
      <w:pPr>
        <w:spacing w:before="0" w:after="0"/>
      </w:pPr>
      <w:r>
        <w:t xml:space="preserve">This Legislative Instrument amends the </w:t>
      </w:r>
      <w:r w:rsidRPr="001F1E0B">
        <w:rPr>
          <w:i/>
        </w:rPr>
        <w:t xml:space="preserve">Taxation Administration Regulations </w:t>
      </w:r>
      <w:r>
        <w:rPr>
          <w:i/>
        </w:rPr>
        <w:t>2017</w:t>
      </w:r>
      <w:r>
        <w:t xml:space="preserve"> to add the </w:t>
      </w:r>
      <w:r w:rsidRPr="00B31D83">
        <w:t xml:space="preserve">Albania, Andorra, Austria, Azerbaijan, Bahrain, Barbados, Brazil, Brunei, </w:t>
      </w:r>
      <w:r>
        <w:t xml:space="preserve">Bulgaria, </w:t>
      </w:r>
      <w:r w:rsidRPr="00B31D83">
        <w:t>Cameroon, Chile, Colombia, Costa Rica, Croatia, Cyprus, Dominica, Estonia, Faroe Islands, Georgia, Ghana, Greece, Greenland, Grenada, Guatemala, Iceland, Israel, Kazakhstan, Kenya, Latvia, Liberia, Liechtenstein, Lithuania, Luxembourg, Marshall Islands, Moldova, Montserrat, Nigeria, Niue, Philippines, Portugal, Samoa,</w:t>
      </w:r>
      <w:r>
        <w:t xml:space="preserve"> Saint Lucia, </w:t>
      </w:r>
      <w:r w:rsidRPr="00B31D83">
        <w:t>Saudi Arabia, Senegal, Seyche</w:t>
      </w:r>
      <w:r>
        <w:t xml:space="preserve">lles, Sint Maarten, Slovenia, </w:t>
      </w:r>
      <w:r w:rsidRPr="00B31D83">
        <w:t xml:space="preserve"> Switzerland, Tunisia, Turkey, Uganda, Ukra</w:t>
      </w:r>
      <w:r>
        <w:t xml:space="preserve">ine, Uruguay and Vanuatu to the list of foreign countries and foreign territories contained in Regulation 34 that are </w:t>
      </w:r>
      <w:r w:rsidRPr="008E3DDE">
        <w:rPr>
          <w:b/>
          <w:i/>
        </w:rPr>
        <w:t>information exchange countries</w:t>
      </w:r>
      <w:r>
        <w:t xml:space="preserve"> for the purposes of s 12-385(4) of Schedule 1 to the </w:t>
      </w:r>
      <w:r w:rsidRPr="005D5BE8">
        <w:rPr>
          <w:i/>
        </w:rPr>
        <w:t>Taxation Administration Act 1953</w:t>
      </w:r>
      <w:r w:rsidR="002223D6">
        <w:t xml:space="preserve">. </w:t>
      </w:r>
      <w:r w:rsidRPr="00776A96">
        <w:t>This</w:t>
      </w:r>
      <w:r>
        <w:t xml:space="preserve"> list</w:t>
      </w:r>
      <w:r w:rsidRPr="00776A96">
        <w:t xml:space="preserve"> is relevant for calculating the amount to be withheld by the trustee of a managed investment trust or custodian, or by another entity</w:t>
      </w:r>
      <w:r>
        <w:t>,</w:t>
      </w:r>
      <w:r w:rsidRPr="00776A96">
        <w:t xml:space="preserve"> from a fund payment</w:t>
      </w:r>
      <w:r>
        <w:t xml:space="preserve"> to a foreign resident</w:t>
      </w:r>
      <w:r w:rsidRPr="00776A96">
        <w:t xml:space="preserve">. </w:t>
      </w:r>
      <w:r>
        <w:t xml:space="preserve"> </w:t>
      </w:r>
    </w:p>
    <w:p w14:paraId="3BCE5883" w14:textId="77777777" w:rsidR="005B2BC0" w:rsidRDefault="005B2BC0" w:rsidP="005B2BC0">
      <w:pPr>
        <w:spacing w:before="0" w:after="0"/>
      </w:pPr>
    </w:p>
    <w:p w14:paraId="76266AE2" w14:textId="77777777" w:rsidR="005B2BC0" w:rsidRPr="008E3DDE" w:rsidRDefault="005B2BC0" w:rsidP="005B2BC0">
      <w:pPr>
        <w:pStyle w:val="Heading4"/>
        <w:spacing w:before="0" w:after="0"/>
        <w:rPr>
          <w:b w:val="0"/>
          <w:i/>
          <w:szCs w:val="24"/>
        </w:rPr>
      </w:pPr>
      <w:r w:rsidRPr="008E3DDE">
        <w:rPr>
          <w:szCs w:val="24"/>
        </w:rPr>
        <w:t>Human rights implications</w:t>
      </w:r>
    </w:p>
    <w:p w14:paraId="3ADF6360" w14:textId="77777777" w:rsidR="005B2BC0" w:rsidRDefault="005B2BC0" w:rsidP="005B2BC0">
      <w:pPr>
        <w:spacing w:before="0" w:after="0"/>
      </w:pPr>
      <w:r>
        <w:t>This Legislative Instrument does not engage any of the applicable rights or freedoms.</w:t>
      </w:r>
    </w:p>
    <w:p w14:paraId="26F43CB5" w14:textId="77777777" w:rsidR="005B2BC0" w:rsidRDefault="005B2BC0" w:rsidP="005B2BC0">
      <w:pPr>
        <w:spacing w:before="0" w:after="0"/>
      </w:pPr>
    </w:p>
    <w:p w14:paraId="02C9B5A3" w14:textId="77777777" w:rsidR="005B2BC0" w:rsidRPr="008E3DDE" w:rsidRDefault="005B2BC0" w:rsidP="005B2BC0">
      <w:pPr>
        <w:pStyle w:val="Heading4"/>
        <w:spacing w:before="0" w:after="0"/>
        <w:rPr>
          <w:b w:val="0"/>
          <w:i/>
          <w:szCs w:val="24"/>
        </w:rPr>
      </w:pPr>
      <w:r w:rsidRPr="008E3DDE">
        <w:rPr>
          <w:szCs w:val="24"/>
        </w:rPr>
        <w:t>Conclusion</w:t>
      </w:r>
    </w:p>
    <w:p w14:paraId="0F49E571" w14:textId="77777777" w:rsidR="005B2BC0" w:rsidRDefault="005B2BC0" w:rsidP="005B2BC0">
      <w:pPr>
        <w:spacing w:before="0" w:after="0"/>
      </w:pPr>
      <w:r>
        <w:t>This Legislative Instrument is compatible with human rights as it does not raise any human rights issues.</w:t>
      </w:r>
    </w:p>
    <w:p w14:paraId="20F3CE83" w14:textId="77777777" w:rsidR="005B2BC0" w:rsidRDefault="005B2BC0" w:rsidP="005B2BC0">
      <w:pPr>
        <w:pStyle w:val="Heading2"/>
        <w:jc w:val="center"/>
      </w:pPr>
    </w:p>
    <w:p w14:paraId="2A7D6ECD" w14:textId="1CEFF41F" w:rsidR="001826F6" w:rsidRPr="005B2BC0" w:rsidRDefault="001826F6" w:rsidP="005B2BC0"/>
    <w:sectPr w:rsidR="001826F6" w:rsidRPr="005B2BC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5EE11" w14:textId="77777777" w:rsidR="00894F37" w:rsidRDefault="00894F37" w:rsidP="00954679">
      <w:pPr>
        <w:spacing w:before="0" w:after="0"/>
      </w:pPr>
      <w:r>
        <w:separator/>
      </w:r>
    </w:p>
  </w:endnote>
  <w:endnote w:type="continuationSeparator" w:id="0">
    <w:p w14:paraId="53EF33E4" w14:textId="77777777" w:rsidR="00894F37" w:rsidRDefault="00894F37" w:rsidP="00954679">
      <w:pPr>
        <w:spacing w:before="0" w:after="0"/>
      </w:pPr>
      <w:r>
        <w:continuationSeparator/>
      </w:r>
    </w:p>
  </w:endnote>
  <w:endnote w:type="continuationNotice" w:id="1">
    <w:p w14:paraId="04095C9F" w14:textId="77777777" w:rsidR="00894F37" w:rsidRDefault="00894F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49329"/>
      <w:docPartObj>
        <w:docPartGallery w:val="Page Numbers (Bottom of Page)"/>
        <w:docPartUnique/>
      </w:docPartObj>
    </w:sdtPr>
    <w:sdtEndPr/>
    <w:sdtContent>
      <w:sdt>
        <w:sdtPr>
          <w:id w:val="-1109118409"/>
          <w:docPartObj>
            <w:docPartGallery w:val="Page Numbers (Top of Page)"/>
            <w:docPartUnique/>
          </w:docPartObj>
        </w:sdtPr>
        <w:sdtEndPr/>
        <w:sdtContent>
          <w:p w14:paraId="4FCB99D6" w14:textId="77777777" w:rsidR="00894F37" w:rsidRDefault="00894F3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C3B1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C3B1D">
              <w:rPr>
                <w:bCs/>
                <w:noProof/>
              </w:rPr>
              <w:t>3</w:t>
            </w:r>
            <w:r w:rsidRPr="00954679">
              <w:rPr>
                <w:bCs/>
                <w:szCs w:val="24"/>
              </w:rPr>
              <w:fldChar w:fldCharType="end"/>
            </w:r>
          </w:p>
        </w:sdtContent>
      </w:sdt>
    </w:sdtContent>
  </w:sdt>
  <w:p w14:paraId="50D97B09" w14:textId="77777777" w:rsidR="00894F37" w:rsidRDefault="00894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080EA" w14:textId="77777777" w:rsidR="00894F37" w:rsidRDefault="00894F37" w:rsidP="00954679">
      <w:pPr>
        <w:spacing w:before="0" w:after="0"/>
      </w:pPr>
      <w:r>
        <w:separator/>
      </w:r>
    </w:p>
  </w:footnote>
  <w:footnote w:type="continuationSeparator" w:id="0">
    <w:p w14:paraId="71709B4A" w14:textId="77777777" w:rsidR="00894F37" w:rsidRDefault="00894F37" w:rsidP="00954679">
      <w:pPr>
        <w:spacing w:before="0" w:after="0"/>
      </w:pPr>
      <w:r>
        <w:continuationSeparator/>
      </w:r>
    </w:p>
  </w:footnote>
  <w:footnote w:type="continuationNotice" w:id="1">
    <w:p w14:paraId="5E69934B" w14:textId="77777777" w:rsidR="00894F37" w:rsidRDefault="00894F3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B587CFE"/>
    <w:multiLevelType w:val="multilevel"/>
    <w:tmpl w:val="8E34DAD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 w:numId="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6B"/>
    <w:rsid w:val="00003767"/>
    <w:rsid w:val="00004381"/>
    <w:rsid w:val="00016EA2"/>
    <w:rsid w:val="00017955"/>
    <w:rsid w:val="00026238"/>
    <w:rsid w:val="000328E5"/>
    <w:rsid w:val="0003733E"/>
    <w:rsid w:val="00037B49"/>
    <w:rsid w:val="00043233"/>
    <w:rsid w:val="000522C7"/>
    <w:rsid w:val="0006544D"/>
    <w:rsid w:val="00082C73"/>
    <w:rsid w:val="00083687"/>
    <w:rsid w:val="00095211"/>
    <w:rsid w:val="000A5F43"/>
    <w:rsid w:val="000B3E91"/>
    <w:rsid w:val="000C10DF"/>
    <w:rsid w:val="000C53CF"/>
    <w:rsid w:val="000C7A8C"/>
    <w:rsid w:val="000D0BD6"/>
    <w:rsid w:val="000D50CD"/>
    <w:rsid w:val="00113B45"/>
    <w:rsid w:val="00116DC3"/>
    <w:rsid w:val="00154B0F"/>
    <w:rsid w:val="00163491"/>
    <w:rsid w:val="001826F6"/>
    <w:rsid w:val="0018496A"/>
    <w:rsid w:val="00185CA6"/>
    <w:rsid w:val="001918BD"/>
    <w:rsid w:val="001B211E"/>
    <w:rsid w:val="001C4717"/>
    <w:rsid w:val="001D0E7C"/>
    <w:rsid w:val="001E00BD"/>
    <w:rsid w:val="001E1FF4"/>
    <w:rsid w:val="001E69C0"/>
    <w:rsid w:val="001E6A74"/>
    <w:rsid w:val="001F41D0"/>
    <w:rsid w:val="00202ADE"/>
    <w:rsid w:val="002035BB"/>
    <w:rsid w:val="00214666"/>
    <w:rsid w:val="00220F16"/>
    <w:rsid w:val="002223D6"/>
    <w:rsid w:val="00254C5B"/>
    <w:rsid w:val="002D7E1B"/>
    <w:rsid w:val="002F732E"/>
    <w:rsid w:val="003109B0"/>
    <w:rsid w:val="00316DAE"/>
    <w:rsid w:val="00321CFD"/>
    <w:rsid w:val="003342CD"/>
    <w:rsid w:val="00335042"/>
    <w:rsid w:val="00337B74"/>
    <w:rsid w:val="00354F20"/>
    <w:rsid w:val="00357763"/>
    <w:rsid w:val="00362B70"/>
    <w:rsid w:val="00365819"/>
    <w:rsid w:val="00376E4D"/>
    <w:rsid w:val="00392BBA"/>
    <w:rsid w:val="00393CE8"/>
    <w:rsid w:val="003954FD"/>
    <w:rsid w:val="003958F5"/>
    <w:rsid w:val="003A4961"/>
    <w:rsid w:val="003A70FC"/>
    <w:rsid w:val="003B3F84"/>
    <w:rsid w:val="003C4C37"/>
    <w:rsid w:val="003C51D8"/>
    <w:rsid w:val="003E1CE3"/>
    <w:rsid w:val="003E1CF8"/>
    <w:rsid w:val="003E3355"/>
    <w:rsid w:val="00406B32"/>
    <w:rsid w:val="00423A4D"/>
    <w:rsid w:val="004318EB"/>
    <w:rsid w:val="004373D5"/>
    <w:rsid w:val="004477C7"/>
    <w:rsid w:val="004478D4"/>
    <w:rsid w:val="0045217D"/>
    <w:rsid w:val="0045523B"/>
    <w:rsid w:val="00462095"/>
    <w:rsid w:val="00467D32"/>
    <w:rsid w:val="00480186"/>
    <w:rsid w:val="004924A5"/>
    <w:rsid w:val="004B01A6"/>
    <w:rsid w:val="004B06A0"/>
    <w:rsid w:val="004B3C0F"/>
    <w:rsid w:val="004B4796"/>
    <w:rsid w:val="004C05E4"/>
    <w:rsid w:val="004C467D"/>
    <w:rsid w:val="004D58F5"/>
    <w:rsid w:val="004E39E1"/>
    <w:rsid w:val="004E5A0D"/>
    <w:rsid w:val="004F4278"/>
    <w:rsid w:val="004F7FF5"/>
    <w:rsid w:val="00503E44"/>
    <w:rsid w:val="00515283"/>
    <w:rsid w:val="00533926"/>
    <w:rsid w:val="005438C1"/>
    <w:rsid w:val="0055675D"/>
    <w:rsid w:val="00566DBA"/>
    <w:rsid w:val="00566E8F"/>
    <w:rsid w:val="00566F2D"/>
    <w:rsid w:val="005833BE"/>
    <w:rsid w:val="005845A1"/>
    <w:rsid w:val="005B2BC0"/>
    <w:rsid w:val="005C145E"/>
    <w:rsid w:val="005D1D7E"/>
    <w:rsid w:val="005D7D5A"/>
    <w:rsid w:val="005E4BAC"/>
    <w:rsid w:val="0060130D"/>
    <w:rsid w:val="00606070"/>
    <w:rsid w:val="006241D1"/>
    <w:rsid w:val="0064129F"/>
    <w:rsid w:val="00647BB7"/>
    <w:rsid w:val="00652DD8"/>
    <w:rsid w:val="00656C45"/>
    <w:rsid w:val="006626C6"/>
    <w:rsid w:val="00666E94"/>
    <w:rsid w:val="00676357"/>
    <w:rsid w:val="00680297"/>
    <w:rsid w:val="0068180F"/>
    <w:rsid w:val="006852F1"/>
    <w:rsid w:val="0069050E"/>
    <w:rsid w:val="00692051"/>
    <w:rsid w:val="006A0786"/>
    <w:rsid w:val="006A193B"/>
    <w:rsid w:val="006B2352"/>
    <w:rsid w:val="006C3B1D"/>
    <w:rsid w:val="006C753C"/>
    <w:rsid w:val="006D362B"/>
    <w:rsid w:val="006E1FB1"/>
    <w:rsid w:val="006F01D3"/>
    <w:rsid w:val="006F5795"/>
    <w:rsid w:val="00703AB3"/>
    <w:rsid w:val="007047C6"/>
    <w:rsid w:val="007108BE"/>
    <w:rsid w:val="00712ACE"/>
    <w:rsid w:val="00714157"/>
    <w:rsid w:val="00722BEE"/>
    <w:rsid w:val="00723452"/>
    <w:rsid w:val="00736F61"/>
    <w:rsid w:val="00743021"/>
    <w:rsid w:val="00760A11"/>
    <w:rsid w:val="00763387"/>
    <w:rsid w:val="00765D11"/>
    <w:rsid w:val="007662C7"/>
    <w:rsid w:val="00776306"/>
    <w:rsid w:val="007777C0"/>
    <w:rsid w:val="007779CA"/>
    <w:rsid w:val="007B1F10"/>
    <w:rsid w:val="007B2384"/>
    <w:rsid w:val="007B5441"/>
    <w:rsid w:val="007B7B76"/>
    <w:rsid w:val="007C34F6"/>
    <w:rsid w:val="007D2714"/>
    <w:rsid w:val="007E018D"/>
    <w:rsid w:val="007E64CB"/>
    <w:rsid w:val="007F1B71"/>
    <w:rsid w:val="00807E7D"/>
    <w:rsid w:val="0082052A"/>
    <w:rsid w:val="00831675"/>
    <w:rsid w:val="008369F5"/>
    <w:rsid w:val="0084427E"/>
    <w:rsid w:val="00846501"/>
    <w:rsid w:val="00847A78"/>
    <w:rsid w:val="00850C86"/>
    <w:rsid w:val="00851C92"/>
    <w:rsid w:val="00863C9F"/>
    <w:rsid w:val="0088467C"/>
    <w:rsid w:val="008933EB"/>
    <w:rsid w:val="00894579"/>
    <w:rsid w:val="00894F37"/>
    <w:rsid w:val="008A0070"/>
    <w:rsid w:val="008A5B67"/>
    <w:rsid w:val="008B0334"/>
    <w:rsid w:val="008B4279"/>
    <w:rsid w:val="008C23D5"/>
    <w:rsid w:val="008C35BF"/>
    <w:rsid w:val="008D16F7"/>
    <w:rsid w:val="008D213A"/>
    <w:rsid w:val="008D5242"/>
    <w:rsid w:val="008E1427"/>
    <w:rsid w:val="008F31B4"/>
    <w:rsid w:val="00904E34"/>
    <w:rsid w:val="00906729"/>
    <w:rsid w:val="00913789"/>
    <w:rsid w:val="009143A0"/>
    <w:rsid w:val="009434C8"/>
    <w:rsid w:val="0094589A"/>
    <w:rsid w:val="009459D1"/>
    <w:rsid w:val="00953FC5"/>
    <w:rsid w:val="009544E4"/>
    <w:rsid w:val="00954679"/>
    <w:rsid w:val="0097779F"/>
    <w:rsid w:val="00984A78"/>
    <w:rsid w:val="00990C96"/>
    <w:rsid w:val="009A1767"/>
    <w:rsid w:val="009A4BEB"/>
    <w:rsid w:val="009C1392"/>
    <w:rsid w:val="009C3A01"/>
    <w:rsid w:val="009C63E6"/>
    <w:rsid w:val="009C7B75"/>
    <w:rsid w:val="009D4173"/>
    <w:rsid w:val="009E2F86"/>
    <w:rsid w:val="009E6950"/>
    <w:rsid w:val="009F05C6"/>
    <w:rsid w:val="009F086C"/>
    <w:rsid w:val="009F09D9"/>
    <w:rsid w:val="009F2304"/>
    <w:rsid w:val="009F6D11"/>
    <w:rsid w:val="00A12209"/>
    <w:rsid w:val="00A1320D"/>
    <w:rsid w:val="00A3582E"/>
    <w:rsid w:val="00A36DF3"/>
    <w:rsid w:val="00A36E86"/>
    <w:rsid w:val="00A44783"/>
    <w:rsid w:val="00A4615E"/>
    <w:rsid w:val="00A50B6B"/>
    <w:rsid w:val="00A532DD"/>
    <w:rsid w:val="00A555B4"/>
    <w:rsid w:val="00A75933"/>
    <w:rsid w:val="00A80BCF"/>
    <w:rsid w:val="00A81251"/>
    <w:rsid w:val="00A8369C"/>
    <w:rsid w:val="00A86777"/>
    <w:rsid w:val="00A92573"/>
    <w:rsid w:val="00A943E8"/>
    <w:rsid w:val="00AA1689"/>
    <w:rsid w:val="00AB2DF0"/>
    <w:rsid w:val="00AB3CB6"/>
    <w:rsid w:val="00AC1D15"/>
    <w:rsid w:val="00AC2E6D"/>
    <w:rsid w:val="00AD4726"/>
    <w:rsid w:val="00AD6319"/>
    <w:rsid w:val="00AD6A40"/>
    <w:rsid w:val="00AE2741"/>
    <w:rsid w:val="00AE433C"/>
    <w:rsid w:val="00AE6AB5"/>
    <w:rsid w:val="00AE7012"/>
    <w:rsid w:val="00B00713"/>
    <w:rsid w:val="00B0140B"/>
    <w:rsid w:val="00B07B0C"/>
    <w:rsid w:val="00B25563"/>
    <w:rsid w:val="00B26D48"/>
    <w:rsid w:val="00B31D83"/>
    <w:rsid w:val="00B33540"/>
    <w:rsid w:val="00B42EE1"/>
    <w:rsid w:val="00B44700"/>
    <w:rsid w:val="00B45171"/>
    <w:rsid w:val="00B5178D"/>
    <w:rsid w:val="00B569ED"/>
    <w:rsid w:val="00B6001F"/>
    <w:rsid w:val="00B673B5"/>
    <w:rsid w:val="00B713D2"/>
    <w:rsid w:val="00B757BC"/>
    <w:rsid w:val="00B92478"/>
    <w:rsid w:val="00B95112"/>
    <w:rsid w:val="00BA0F36"/>
    <w:rsid w:val="00BA558B"/>
    <w:rsid w:val="00BB0ED2"/>
    <w:rsid w:val="00BC17AA"/>
    <w:rsid w:val="00BC1F7E"/>
    <w:rsid w:val="00BC47F2"/>
    <w:rsid w:val="00BD478F"/>
    <w:rsid w:val="00BD61A2"/>
    <w:rsid w:val="00BE484D"/>
    <w:rsid w:val="00BE5769"/>
    <w:rsid w:val="00BE7FC0"/>
    <w:rsid w:val="00BF191B"/>
    <w:rsid w:val="00BF5752"/>
    <w:rsid w:val="00BF7DB6"/>
    <w:rsid w:val="00C20A3E"/>
    <w:rsid w:val="00C31392"/>
    <w:rsid w:val="00C3477C"/>
    <w:rsid w:val="00C37E05"/>
    <w:rsid w:val="00C41D1D"/>
    <w:rsid w:val="00C4390E"/>
    <w:rsid w:val="00C46971"/>
    <w:rsid w:val="00C55D29"/>
    <w:rsid w:val="00C61681"/>
    <w:rsid w:val="00C71267"/>
    <w:rsid w:val="00C72EAA"/>
    <w:rsid w:val="00C74833"/>
    <w:rsid w:val="00C92F3E"/>
    <w:rsid w:val="00C977CF"/>
    <w:rsid w:val="00CA0BE9"/>
    <w:rsid w:val="00CA138D"/>
    <w:rsid w:val="00CA6916"/>
    <w:rsid w:val="00CC7641"/>
    <w:rsid w:val="00CD3633"/>
    <w:rsid w:val="00CE411D"/>
    <w:rsid w:val="00CE7BD2"/>
    <w:rsid w:val="00CF408F"/>
    <w:rsid w:val="00D02FB9"/>
    <w:rsid w:val="00D13794"/>
    <w:rsid w:val="00D24052"/>
    <w:rsid w:val="00D24386"/>
    <w:rsid w:val="00D2679E"/>
    <w:rsid w:val="00D31575"/>
    <w:rsid w:val="00D318AB"/>
    <w:rsid w:val="00D34626"/>
    <w:rsid w:val="00D4077F"/>
    <w:rsid w:val="00D40BE3"/>
    <w:rsid w:val="00D4257A"/>
    <w:rsid w:val="00D45261"/>
    <w:rsid w:val="00D455FB"/>
    <w:rsid w:val="00D45BAB"/>
    <w:rsid w:val="00D5589F"/>
    <w:rsid w:val="00D55EA1"/>
    <w:rsid w:val="00D62665"/>
    <w:rsid w:val="00D7237F"/>
    <w:rsid w:val="00D743B0"/>
    <w:rsid w:val="00D83D4C"/>
    <w:rsid w:val="00D919D8"/>
    <w:rsid w:val="00DA1710"/>
    <w:rsid w:val="00DC0CDE"/>
    <w:rsid w:val="00DC1681"/>
    <w:rsid w:val="00DC4D72"/>
    <w:rsid w:val="00DD37B4"/>
    <w:rsid w:val="00DD7B7D"/>
    <w:rsid w:val="00DF4BBB"/>
    <w:rsid w:val="00E0624D"/>
    <w:rsid w:val="00E16AA8"/>
    <w:rsid w:val="00E306A7"/>
    <w:rsid w:val="00E3120E"/>
    <w:rsid w:val="00E35ACE"/>
    <w:rsid w:val="00E37264"/>
    <w:rsid w:val="00E401AD"/>
    <w:rsid w:val="00E4438C"/>
    <w:rsid w:val="00E45088"/>
    <w:rsid w:val="00E457F3"/>
    <w:rsid w:val="00E466E2"/>
    <w:rsid w:val="00E5276A"/>
    <w:rsid w:val="00EA1E26"/>
    <w:rsid w:val="00EA449D"/>
    <w:rsid w:val="00EA7641"/>
    <w:rsid w:val="00EA7DB1"/>
    <w:rsid w:val="00EB46B3"/>
    <w:rsid w:val="00EB7E71"/>
    <w:rsid w:val="00ED6904"/>
    <w:rsid w:val="00EE177E"/>
    <w:rsid w:val="00F075E5"/>
    <w:rsid w:val="00F109D4"/>
    <w:rsid w:val="00F20151"/>
    <w:rsid w:val="00F4061A"/>
    <w:rsid w:val="00F44574"/>
    <w:rsid w:val="00F4731F"/>
    <w:rsid w:val="00F47585"/>
    <w:rsid w:val="00F611AA"/>
    <w:rsid w:val="00F61934"/>
    <w:rsid w:val="00F768C0"/>
    <w:rsid w:val="00F8039E"/>
    <w:rsid w:val="00F80954"/>
    <w:rsid w:val="00F83744"/>
    <w:rsid w:val="00F85E6F"/>
    <w:rsid w:val="00F96707"/>
    <w:rsid w:val="00F96AE0"/>
    <w:rsid w:val="00FA0AB8"/>
    <w:rsid w:val="00FA6DCD"/>
    <w:rsid w:val="00FD10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BF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BEB"/>
    <w:rPr>
      <w:sz w:val="24"/>
    </w:rPr>
  </w:style>
  <w:style w:type="character" w:customStyle="1" w:styleId="CABNETParagraphChar">
    <w:name w:val="CABNET Paragraph. Char"/>
    <w:basedOn w:val="DefaultParagraphFont"/>
    <w:link w:val="CABNETParagraph"/>
    <w:uiPriority w:val="98"/>
    <w:locked/>
    <w:rsid w:val="00B31D83"/>
    <w:rPr>
      <w:rFonts w:ascii="Arial" w:hAnsi="Arial" w:cs="Arial"/>
    </w:rPr>
  </w:style>
  <w:style w:type="paragraph" w:customStyle="1" w:styleId="CABNETParagraph">
    <w:name w:val="CABNET Paragraph."/>
    <w:basedOn w:val="Normal"/>
    <w:link w:val="CABNETParagraphChar"/>
    <w:uiPriority w:val="98"/>
    <w:rsid w:val="00B31D83"/>
    <w:rPr>
      <w:rFonts w:ascii="Arial" w:hAnsi="Arial" w:cs="Arial"/>
      <w:sz w:val="20"/>
    </w:rPr>
  </w:style>
  <w:style w:type="paragraph" w:customStyle="1" w:styleId="base-text-paragraphnonumbers">
    <w:name w:val="base-text-paragraph no numbers"/>
    <w:basedOn w:val="Normal"/>
    <w:rsid w:val="001826F6"/>
    <w:pPr>
      <w:ind w:left="1134"/>
    </w:pPr>
    <w:rPr>
      <w:sz w:val="22"/>
    </w:rPr>
  </w:style>
  <w:style w:type="paragraph" w:customStyle="1" w:styleId="ShortT">
    <w:name w:val="ShortT"/>
    <w:basedOn w:val="Normal"/>
    <w:next w:val="Normal"/>
    <w:qFormat/>
    <w:rsid w:val="007C34F6"/>
    <w:pPr>
      <w:spacing w:before="0" w:after="0"/>
    </w:pPr>
    <w:rPr>
      <w:b/>
      <w:sz w:val="40"/>
    </w:rPr>
  </w:style>
  <w:style w:type="character" w:customStyle="1" w:styleId="Heading1Char">
    <w:name w:val="Heading 1 Char"/>
    <w:basedOn w:val="DefaultParagraphFont"/>
    <w:link w:val="Heading1"/>
    <w:rsid w:val="005B2BC0"/>
    <w:rPr>
      <w:rFonts w:ascii="Arial Bold" w:hAnsi="Arial Bold"/>
      <w:b/>
      <w:kern w:val="28"/>
      <w:sz w:val="28"/>
      <w:u w:val="single"/>
    </w:rPr>
  </w:style>
  <w:style w:type="character" w:customStyle="1" w:styleId="Heading2Char">
    <w:name w:val="Heading 2 Char"/>
    <w:basedOn w:val="DefaultParagraphFont"/>
    <w:link w:val="Heading2"/>
    <w:rsid w:val="005B2BC0"/>
    <w:rPr>
      <w:b/>
      <w:sz w:val="28"/>
      <w:u w:val="single"/>
    </w:rPr>
  </w:style>
  <w:style w:type="character" w:customStyle="1" w:styleId="Heading4Char">
    <w:name w:val="Heading 4 Char"/>
    <w:basedOn w:val="DefaultParagraphFont"/>
    <w:link w:val="Heading4"/>
    <w:rsid w:val="005B2BC0"/>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BF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BEB"/>
    <w:rPr>
      <w:sz w:val="24"/>
    </w:rPr>
  </w:style>
  <w:style w:type="character" w:customStyle="1" w:styleId="CABNETParagraphChar">
    <w:name w:val="CABNET Paragraph. Char"/>
    <w:basedOn w:val="DefaultParagraphFont"/>
    <w:link w:val="CABNETParagraph"/>
    <w:uiPriority w:val="98"/>
    <w:locked/>
    <w:rsid w:val="00B31D83"/>
    <w:rPr>
      <w:rFonts w:ascii="Arial" w:hAnsi="Arial" w:cs="Arial"/>
    </w:rPr>
  </w:style>
  <w:style w:type="paragraph" w:customStyle="1" w:styleId="CABNETParagraph">
    <w:name w:val="CABNET Paragraph."/>
    <w:basedOn w:val="Normal"/>
    <w:link w:val="CABNETParagraphChar"/>
    <w:uiPriority w:val="98"/>
    <w:rsid w:val="00B31D83"/>
    <w:rPr>
      <w:rFonts w:ascii="Arial" w:hAnsi="Arial" w:cs="Arial"/>
      <w:sz w:val="20"/>
    </w:rPr>
  </w:style>
  <w:style w:type="paragraph" w:customStyle="1" w:styleId="base-text-paragraphnonumbers">
    <w:name w:val="base-text-paragraph no numbers"/>
    <w:basedOn w:val="Normal"/>
    <w:rsid w:val="001826F6"/>
    <w:pPr>
      <w:ind w:left="1134"/>
    </w:pPr>
    <w:rPr>
      <w:sz w:val="22"/>
    </w:rPr>
  </w:style>
  <w:style w:type="paragraph" w:customStyle="1" w:styleId="ShortT">
    <w:name w:val="ShortT"/>
    <w:basedOn w:val="Normal"/>
    <w:next w:val="Normal"/>
    <w:qFormat/>
    <w:rsid w:val="007C34F6"/>
    <w:pPr>
      <w:spacing w:before="0" w:after="0"/>
    </w:pPr>
    <w:rPr>
      <w:b/>
      <w:sz w:val="40"/>
    </w:rPr>
  </w:style>
  <w:style w:type="character" w:customStyle="1" w:styleId="Heading1Char">
    <w:name w:val="Heading 1 Char"/>
    <w:basedOn w:val="DefaultParagraphFont"/>
    <w:link w:val="Heading1"/>
    <w:rsid w:val="005B2BC0"/>
    <w:rPr>
      <w:rFonts w:ascii="Arial Bold" w:hAnsi="Arial Bold"/>
      <w:b/>
      <w:kern w:val="28"/>
      <w:sz w:val="28"/>
      <w:u w:val="single"/>
    </w:rPr>
  </w:style>
  <w:style w:type="character" w:customStyle="1" w:styleId="Heading2Char">
    <w:name w:val="Heading 2 Char"/>
    <w:basedOn w:val="DefaultParagraphFont"/>
    <w:link w:val="Heading2"/>
    <w:rsid w:val="005B2BC0"/>
    <w:rPr>
      <w:b/>
      <w:sz w:val="28"/>
      <w:u w:val="single"/>
    </w:rPr>
  </w:style>
  <w:style w:type="character" w:customStyle="1" w:styleId="Heading4Char">
    <w:name w:val="Heading 4 Char"/>
    <w:basedOn w:val="DefaultParagraphFont"/>
    <w:link w:val="Heading4"/>
    <w:rsid w:val="005B2BC0"/>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1216">
      <w:bodyDiv w:val="1"/>
      <w:marLeft w:val="0"/>
      <w:marRight w:val="0"/>
      <w:marTop w:val="0"/>
      <w:marBottom w:val="0"/>
      <w:divBdr>
        <w:top w:val="none" w:sz="0" w:space="0" w:color="auto"/>
        <w:left w:val="none" w:sz="0" w:space="0" w:color="auto"/>
        <w:bottom w:val="none" w:sz="0" w:space="0" w:color="auto"/>
        <w:right w:val="none" w:sz="0" w:space="0" w:color="auto"/>
      </w:divBdr>
    </w:div>
    <w:div w:id="781070593">
      <w:bodyDiv w:val="1"/>
      <w:marLeft w:val="0"/>
      <w:marRight w:val="0"/>
      <w:marTop w:val="0"/>
      <w:marBottom w:val="0"/>
      <w:divBdr>
        <w:top w:val="none" w:sz="0" w:space="0" w:color="auto"/>
        <w:left w:val="none" w:sz="0" w:space="0" w:color="auto"/>
        <w:bottom w:val="none" w:sz="0" w:space="0" w:color="auto"/>
        <w:right w:val="none" w:sz="0" w:space="0" w:color="auto"/>
      </w:divBdr>
    </w:div>
    <w:div w:id="1555001379">
      <w:bodyDiv w:val="1"/>
      <w:marLeft w:val="0"/>
      <w:marRight w:val="0"/>
      <w:marTop w:val="0"/>
      <w:marBottom w:val="0"/>
      <w:divBdr>
        <w:top w:val="none" w:sz="0" w:space="0" w:color="auto"/>
        <w:left w:val="none" w:sz="0" w:space="0" w:color="auto"/>
        <w:bottom w:val="none" w:sz="0" w:space="0" w:color="auto"/>
        <w:right w:val="none" w:sz="0" w:space="0" w:color="auto"/>
      </w:divBdr>
    </w:div>
    <w:div w:id="18006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5655" ma:contentTypeDescription=" " ma:contentTypeScope="" ma:versionID="5876fbc9b0b16768b619a4a4e9c4f65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2018RG-111-10297</_dlc_DocId>
    <_dlc_DocIdUrl xmlns="0f563589-9cf9-4143-b1eb-fb0534803d38">
      <Url>http://tweb/sites/rg/ldp/lmu/_layouts/15/DocIdRedir.aspx?ID=2018RG-111-10297</Url>
      <Description>2018RG-111-10297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1B5F-E3B0-4D24-8A20-67983DCC1061}"/>
</file>

<file path=customXml/itemProps2.xml><?xml version="1.0" encoding="utf-8"?>
<ds:datastoreItem xmlns:ds="http://schemas.openxmlformats.org/officeDocument/2006/customXml" ds:itemID="{A8215813-A708-44A0-A70D-92BD71CD3D54}">
  <ds:schemaRefs>
    <ds:schemaRef ds:uri="http://schemas.microsoft.com/sharepoint/events"/>
  </ds:schemaRefs>
</ds:datastoreItem>
</file>

<file path=customXml/itemProps3.xml><?xml version="1.0" encoding="utf-8"?>
<ds:datastoreItem xmlns:ds="http://schemas.openxmlformats.org/officeDocument/2006/customXml" ds:itemID="{A66D9BC3-DF99-499F-97F8-29F79B009FF2}">
  <ds:schemaRefs>
    <ds:schemaRef ds:uri="office.server.policy"/>
  </ds:schemaRefs>
</ds:datastoreItem>
</file>

<file path=customXml/itemProps4.xml><?xml version="1.0" encoding="utf-8"?>
<ds:datastoreItem xmlns:ds="http://schemas.openxmlformats.org/officeDocument/2006/customXml" ds:itemID="{C27608B1-C007-43B4-994D-DC338EEAF866}">
  <ds:schemaRefs>
    <ds:schemaRef ds:uri="http://schemas.microsoft.com/sharepoint/v3/contenttype/forms"/>
  </ds:schemaRefs>
</ds:datastoreItem>
</file>

<file path=customXml/itemProps5.xml><?xml version="1.0" encoding="utf-8"?>
<ds:datastoreItem xmlns:ds="http://schemas.openxmlformats.org/officeDocument/2006/customXml" ds:itemID="{9C190967-2D35-4E6B-B41A-C224428B1F28}">
  <ds:schemaRefs>
    <ds:schemaRef ds:uri="0f563589-9cf9-4143-b1eb-fb0534803d38"/>
    <ds:schemaRef ds:uri="http://purl.org/dc/terms/"/>
    <ds:schemaRef ds:uri="9f7bc583-7cbe-45b9-a2bd-8bbb6543b37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schemas.microsoft.com/sharepoint/v4"/>
    <ds:schemaRef ds:uri="http://schemas.microsoft.com/sharepoint/v3"/>
    <ds:schemaRef ds:uri="http://purl.org/dc/dcmitype/"/>
    <ds:schemaRef ds:uri="http://purl.org/dc/elements/1.1/"/>
  </ds:schemaRefs>
</ds:datastoreItem>
</file>

<file path=customXml/itemProps6.xml><?xml version="1.0" encoding="utf-8"?>
<ds:datastoreItem xmlns:ds="http://schemas.openxmlformats.org/officeDocument/2006/customXml" ds:itemID="{EB6128A1-D582-4342-BBCD-AFCF59B7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2018-11-05T03:12:00Z</dcterms:created>
  <dcterms:modified xsi:type="dcterms:W3CDTF">2018-11-08T21:57:00Z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4ebd8978-f159-4884-96fe-1b8d313e9d6b</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UniqueId">
    <vt:lpwstr>{4ebd8978-f159-4884-96fe-1b8d313e9d6b}</vt:lpwstr>
  </property>
  <property fmtid="{D5CDD505-2E9C-101B-9397-08002B2CF9AE}" pid="9" name="RecordPoint_ActiveItemWebId">
    <vt:lpwstr>{2602612e-a30f-4de0-b9eb-e01e73dc8005}</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AdHocReviewCycleID">
    <vt:i4>-876958396</vt:i4>
  </property>
  <property fmtid="{D5CDD505-2E9C-101B-9397-08002B2CF9AE}" pid="16" name="_NewReviewCycle">
    <vt:lpwstr/>
  </property>
  <property fmtid="{D5CDD505-2E9C-101B-9397-08002B2CF9AE}" pid="17" name="_PreviousAdHocReviewCycleID">
    <vt:i4>-1272080352</vt:i4>
  </property>
</Properties>
</file>