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8BA5" w14:textId="77777777" w:rsidR="000C44D0" w:rsidRPr="000C44D0" w:rsidRDefault="000C44D0" w:rsidP="0019607C">
      <w:pPr>
        <w:overflowPunct w:val="0"/>
        <w:autoSpaceDE w:val="0"/>
        <w:autoSpaceDN w:val="0"/>
        <w:adjustRightInd w:val="0"/>
        <w:spacing w:before="240" w:after="0" w:line="240" w:lineRule="auto"/>
        <w:jc w:val="center"/>
        <w:textAlignment w:val="baseline"/>
        <w:rPr>
          <w:rFonts w:eastAsia="Times New Roman" w:cs="Times New Roman"/>
          <w:b/>
          <w:bCs/>
          <w:sz w:val="26"/>
          <w:szCs w:val="26"/>
          <w:lang w:eastAsia="en-AU"/>
        </w:rPr>
      </w:pPr>
      <w:r w:rsidRPr="000C44D0">
        <w:rPr>
          <w:rFonts w:eastAsia="Times New Roman" w:cs="Times New Roman"/>
          <w:b/>
          <w:bCs/>
          <w:sz w:val="26"/>
          <w:szCs w:val="26"/>
          <w:lang w:eastAsia="en-AU"/>
        </w:rPr>
        <w:t>Explanatory Statement</w:t>
      </w:r>
    </w:p>
    <w:p w14:paraId="629B3E63" w14:textId="77777777" w:rsidR="000C44D0" w:rsidRPr="000C44D0" w:rsidRDefault="000C44D0" w:rsidP="0019607C">
      <w:pPr>
        <w:overflowPunct w:val="0"/>
        <w:autoSpaceDE w:val="0"/>
        <w:autoSpaceDN w:val="0"/>
        <w:adjustRightInd w:val="0"/>
        <w:spacing w:before="240" w:after="0" w:line="240" w:lineRule="auto"/>
        <w:jc w:val="center"/>
        <w:textAlignment w:val="baseline"/>
        <w:rPr>
          <w:rFonts w:eastAsia="Times New Roman" w:cs="Times New Roman"/>
          <w:b/>
          <w:bCs/>
          <w:i/>
          <w:sz w:val="26"/>
          <w:szCs w:val="26"/>
          <w:lang w:eastAsia="en-AU"/>
        </w:rPr>
      </w:pPr>
      <w:r w:rsidRPr="000C44D0">
        <w:rPr>
          <w:rFonts w:eastAsia="Times New Roman" w:cs="Times New Roman"/>
          <w:b/>
          <w:bCs/>
          <w:i/>
          <w:sz w:val="26"/>
          <w:szCs w:val="26"/>
          <w:lang w:eastAsia="en-AU"/>
        </w:rPr>
        <w:t>Copyright Act 1968</w:t>
      </w:r>
    </w:p>
    <w:p w14:paraId="78B54922" w14:textId="77777777" w:rsidR="000C44D0" w:rsidRPr="000C44D0" w:rsidRDefault="00620260" w:rsidP="0019607C">
      <w:pPr>
        <w:overflowPunct w:val="0"/>
        <w:autoSpaceDE w:val="0"/>
        <w:autoSpaceDN w:val="0"/>
        <w:adjustRightInd w:val="0"/>
        <w:spacing w:before="240" w:after="0" w:line="240" w:lineRule="auto"/>
        <w:ind w:left="720" w:hanging="720"/>
        <w:jc w:val="center"/>
        <w:textAlignment w:val="baseline"/>
        <w:rPr>
          <w:rFonts w:eastAsia="Times New Roman" w:cs="Times New Roman"/>
          <w:b/>
          <w:bCs/>
          <w:sz w:val="26"/>
          <w:szCs w:val="26"/>
          <w:lang w:eastAsia="en-AU"/>
        </w:rPr>
      </w:pPr>
      <w:bookmarkStart w:id="0" w:name="_GoBack"/>
      <w:r w:rsidRPr="00620260">
        <w:rPr>
          <w:rFonts w:eastAsia="Times New Roman" w:cs="Times New Roman"/>
          <w:b/>
          <w:bCs/>
          <w:sz w:val="26"/>
          <w:szCs w:val="26"/>
          <w:lang w:eastAsia="en-AU"/>
        </w:rPr>
        <w:t>Copyright (International Protection) Amendment Regulations 2018</w:t>
      </w:r>
      <w:bookmarkEnd w:id="0"/>
    </w:p>
    <w:p w14:paraId="5DC39024" w14:textId="77777777" w:rsidR="000C44D0" w:rsidRPr="000C44D0" w:rsidRDefault="000C44D0" w:rsidP="0019607C">
      <w:pPr>
        <w:overflowPunct w:val="0"/>
        <w:autoSpaceDE w:val="0"/>
        <w:autoSpaceDN w:val="0"/>
        <w:adjustRightInd w:val="0"/>
        <w:spacing w:before="240" w:after="0" w:line="240" w:lineRule="auto"/>
        <w:jc w:val="center"/>
        <w:textAlignment w:val="baseline"/>
        <w:rPr>
          <w:rFonts w:eastAsia="Times New Roman" w:cs="Times New Roman"/>
          <w:bCs/>
          <w:sz w:val="26"/>
          <w:szCs w:val="26"/>
          <w:lang w:eastAsia="en-AU"/>
        </w:rPr>
      </w:pPr>
      <w:r w:rsidRPr="000C44D0">
        <w:rPr>
          <w:rFonts w:eastAsia="Times New Roman" w:cs="Times New Roman"/>
          <w:bCs/>
          <w:sz w:val="26"/>
          <w:szCs w:val="26"/>
          <w:lang w:eastAsia="en-AU"/>
        </w:rPr>
        <w:t>Issued by the Authority of the Minister for Communications and the Arts</w:t>
      </w:r>
    </w:p>
    <w:p w14:paraId="327D9969" w14:textId="77777777" w:rsidR="000C44D0" w:rsidRPr="000C44D0"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eastAsia="en-AU"/>
        </w:rPr>
      </w:pPr>
      <w:r w:rsidRPr="000C44D0">
        <w:rPr>
          <w:rFonts w:eastAsia="Times New Roman" w:cs="Times New Roman"/>
          <w:b/>
          <w:kern w:val="28"/>
          <w:sz w:val="26"/>
          <w:szCs w:val="20"/>
          <w:lang w:eastAsia="en-AU"/>
        </w:rPr>
        <w:t>Purpose</w:t>
      </w:r>
    </w:p>
    <w:p w14:paraId="17730CF1" w14:textId="77777777" w:rsid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The</w:t>
      </w:r>
      <w:r w:rsidRPr="000C44D0">
        <w:rPr>
          <w:rFonts w:eastAsia="Times New Roman" w:cs="Times New Roman"/>
          <w:i/>
          <w:szCs w:val="20"/>
          <w:lang w:eastAsia="en-AU"/>
        </w:rPr>
        <w:t xml:space="preserve"> Copyright Act 1968</w:t>
      </w:r>
      <w:r w:rsidRPr="000C44D0">
        <w:rPr>
          <w:rFonts w:eastAsia="Times New Roman" w:cs="Times New Roman"/>
          <w:szCs w:val="20"/>
          <w:lang w:eastAsia="en-AU"/>
        </w:rPr>
        <w:t xml:space="preserve"> (the Act) regulates and determines the scope of copyright in Australia.</w:t>
      </w:r>
    </w:p>
    <w:p w14:paraId="6E51A0D1" w14:textId="1B51303C" w:rsidR="00633F2A" w:rsidRPr="000C44D0" w:rsidRDefault="00633F2A"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620260">
        <w:rPr>
          <w:rFonts w:eastAsia="Times New Roman" w:cs="Times New Roman"/>
          <w:szCs w:val="20"/>
          <w:lang w:eastAsia="en-AU"/>
        </w:rPr>
        <w:t xml:space="preserve">The </w:t>
      </w:r>
      <w:r w:rsidRPr="00620260">
        <w:rPr>
          <w:rFonts w:eastAsia="Times New Roman" w:cs="Times New Roman"/>
          <w:i/>
          <w:szCs w:val="20"/>
          <w:lang w:eastAsia="en-AU"/>
        </w:rPr>
        <w:t xml:space="preserve">Copyright (International Protection) Regulations 1969 </w:t>
      </w:r>
      <w:r w:rsidRPr="00620260">
        <w:rPr>
          <w:rFonts w:eastAsia="Times New Roman" w:cs="Times New Roman"/>
          <w:szCs w:val="20"/>
          <w:lang w:eastAsia="en-AU"/>
        </w:rPr>
        <w:t>(the Regulation</w:t>
      </w:r>
      <w:r>
        <w:rPr>
          <w:rFonts w:eastAsia="Times New Roman" w:cs="Times New Roman"/>
          <w:szCs w:val="20"/>
          <w:lang w:eastAsia="en-AU"/>
        </w:rPr>
        <w:t>s</w:t>
      </w:r>
      <w:r w:rsidRPr="00620260">
        <w:rPr>
          <w:rFonts w:eastAsia="Times New Roman" w:cs="Times New Roman"/>
          <w:szCs w:val="20"/>
          <w:lang w:eastAsia="en-AU"/>
        </w:rPr>
        <w:t>) make provisions to this effect.</w:t>
      </w:r>
    </w:p>
    <w:p w14:paraId="6C2AF1A1" w14:textId="26A47890" w:rsidR="00AB2336" w:rsidRDefault="00AB2336" w:rsidP="00AB2336">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Section 249</w:t>
      </w:r>
      <w:r w:rsidRPr="00544628">
        <w:rPr>
          <w:rFonts w:eastAsia="Times New Roman" w:cs="Times New Roman"/>
          <w:szCs w:val="20"/>
          <w:lang w:eastAsia="en-AU"/>
        </w:rPr>
        <w:t xml:space="preserve"> </w:t>
      </w:r>
      <w:r w:rsidR="00E91EE4">
        <w:rPr>
          <w:rFonts w:eastAsia="Times New Roman" w:cs="Times New Roman"/>
          <w:szCs w:val="20"/>
          <w:lang w:eastAsia="en-AU"/>
        </w:rPr>
        <w:t xml:space="preserve">of the Act </w:t>
      </w:r>
      <w:r w:rsidRPr="00544628">
        <w:rPr>
          <w:rFonts w:eastAsia="Times New Roman" w:cs="Times New Roman"/>
          <w:szCs w:val="20"/>
          <w:lang w:eastAsia="en-AU"/>
        </w:rPr>
        <w:t xml:space="preserve">provides, in part, that the Governor-General may make regulations, not inconsistent with the Act, prescribing all matters that are required or permitted by the Act to be prescribed, or are necessary or convenient to be prescribed for carrying out or giving effect to the Act. </w:t>
      </w:r>
    </w:p>
    <w:p w14:paraId="4684AE84" w14:textId="12218A3C" w:rsidR="00AB2336" w:rsidRDefault="00AB2336" w:rsidP="00AB2336">
      <w:pPr>
        <w:overflowPunct w:val="0"/>
        <w:autoSpaceDE w:val="0"/>
        <w:autoSpaceDN w:val="0"/>
        <w:adjustRightInd w:val="0"/>
        <w:spacing w:before="240" w:after="0" w:line="240" w:lineRule="auto"/>
        <w:textAlignment w:val="baseline"/>
        <w:rPr>
          <w:rFonts w:eastAsia="Times New Roman" w:cs="Times New Roman"/>
          <w:szCs w:val="20"/>
          <w:lang w:eastAsia="en-AU"/>
        </w:rPr>
      </w:pPr>
      <w:r w:rsidRPr="00620260">
        <w:rPr>
          <w:rFonts w:eastAsia="Times New Roman" w:cs="Times New Roman"/>
          <w:szCs w:val="20"/>
          <w:lang w:eastAsia="en-AU"/>
        </w:rPr>
        <w:t xml:space="preserve">Section 184 </w:t>
      </w:r>
      <w:r w:rsidR="00E91EE4">
        <w:rPr>
          <w:rFonts w:eastAsia="Times New Roman" w:cs="Times New Roman"/>
          <w:szCs w:val="20"/>
          <w:lang w:eastAsia="en-AU"/>
        </w:rPr>
        <w:t xml:space="preserve">of the Act </w:t>
      </w:r>
      <w:r w:rsidRPr="000C44D0">
        <w:rPr>
          <w:rFonts w:eastAsia="Times New Roman" w:cs="Times New Roman"/>
          <w:szCs w:val="20"/>
          <w:lang w:eastAsia="en-AU"/>
        </w:rPr>
        <w:t xml:space="preserve">provides, in part, that the Governor-General may make regulations </w:t>
      </w:r>
      <w:r w:rsidRPr="00620260">
        <w:rPr>
          <w:rFonts w:eastAsia="Times New Roman" w:cs="Times New Roman"/>
          <w:szCs w:val="20"/>
          <w:lang w:eastAsia="en-AU"/>
        </w:rPr>
        <w:t xml:space="preserve">to extend protection under the Act for works and other subject-matter that are made or first </w:t>
      </w:r>
      <w:r>
        <w:rPr>
          <w:rFonts w:eastAsia="Times New Roman" w:cs="Times New Roman"/>
          <w:szCs w:val="20"/>
          <w:lang w:eastAsia="en-AU"/>
        </w:rPr>
        <w:t xml:space="preserve">published in foreign countries. </w:t>
      </w:r>
    </w:p>
    <w:p w14:paraId="582C5136" w14:textId="046C5979" w:rsidR="00620260" w:rsidRDefault="0062026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620260">
        <w:rPr>
          <w:rFonts w:eastAsia="Times New Roman" w:cs="Times New Roman"/>
          <w:szCs w:val="20"/>
          <w:lang w:eastAsia="en-AU"/>
        </w:rPr>
        <w:t xml:space="preserve">The purpose of the </w:t>
      </w:r>
      <w:r w:rsidRPr="00620260">
        <w:rPr>
          <w:rFonts w:eastAsia="Times New Roman" w:cs="Times New Roman"/>
          <w:i/>
          <w:szCs w:val="20"/>
          <w:lang w:eastAsia="en-AU"/>
        </w:rPr>
        <w:t>Copyright (</w:t>
      </w:r>
      <w:r w:rsidR="00633F2A">
        <w:rPr>
          <w:rFonts w:eastAsia="Times New Roman" w:cs="Times New Roman"/>
          <w:i/>
          <w:szCs w:val="20"/>
          <w:lang w:eastAsia="en-AU"/>
        </w:rPr>
        <w:t>International Protection</w:t>
      </w:r>
      <w:r w:rsidRPr="00620260">
        <w:rPr>
          <w:rFonts w:eastAsia="Times New Roman" w:cs="Times New Roman"/>
          <w:i/>
          <w:szCs w:val="20"/>
          <w:lang w:eastAsia="en-AU"/>
        </w:rPr>
        <w:t xml:space="preserve">) </w:t>
      </w:r>
      <w:r w:rsidR="00BD3BEF" w:rsidRPr="00620260">
        <w:rPr>
          <w:rFonts w:eastAsia="Times New Roman" w:cs="Times New Roman"/>
          <w:i/>
          <w:szCs w:val="20"/>
          <w:lang w:eastAsia="en-AU"/>
        </w:rPr>
        <w:t xml:space="preserve">Amendment </w:t>
      </w:r>
      <w:r w:rsidRPr="00620260">
        <w:rPr>
          <w:rFonts w:eastAsia="Times New Roman" w:cs="Times New Roman"/>
          <w:i/>
          <w:szCs w:val="20"/>
          <w:lang w:eastAsia="en-AU"/>
        </w:rPr>
        <w:t>Regulations 2018</w:t>
      </w:r>
      <w:r>
        <w:rPr>
          <w:rFonts w:eastAsia="Times New Roman" w:cs="Times New Roman"/>
          <w:szCs w:val="20"/>
          <w:lang w:eastAsia="en-AU"/>
        </w:rPr>
        <w:t xml:space="preserve"> (the 2018 Regulations) </w:t>
      </w:r>
      <w:r w:rsidRPr="00620260">
        <w:rPr>
          <w:rFonts w:eastAsia="Times New Roman" w:cs="Times New Roman"/>
          <w:szCs w:val="20"/>
          <w:lang w:eastAsia="en-AU"/>
        </w:rPr>
        <w:t xml:space="preserve">is to </w:t>
      </w:r>
      <w:r>
        <w:rPr>
          <w:rFonts w:eastAsia="Times New Roman" w:cs="Times New Roman"/>
          <w:szCs w:val="20"/>
          <w:lang w:eastAsia="en-AU"/>
        </w:rPr>
        <w:t>update the protection provided to foreign countries under the Regulations in accordance with Australia’s treaty obligations and commitment</w:t>
      </w:r>
      <w:r w:rsidR="00E5079D">
        <w:rPr>
          <w:rFonts w:eastAsia="Times New Roman" w:cs="Times New Roman"/>
          <w:szCs w:val="20"/>
          <w:lang w:eastAsia="en-AU"/>
        </w:rPr>
        <w:t xml:space="preserve"> to protecting international sound recordings</w:t>
      </w:r>
      <w:r w:rsidR="00887BCD">
        <w:rPr>
          <w:rFonts w:eastAsia="Times New Roman" w:cs="Times New Roman"/>
          <w:szCs w:val="20"/>
          <w:lang w:eastAsia="en-AU"/>
        </w:rPr>
        <w:t xml:space="preserve"> and encoded broadcasts</w:t>
      </w:r>
      <w:r>
        <w:rPr>
          <w:rFonts w:eastAsia="Times New Roman" w:cs="Times New Roman"/>
          <w:szCs w:val="20"/>
          <w:lang w:eastAsia="en-AU"/>
        </w:rPr>
        <w:t xml:space="preserve">. </w:t>
      </w:r>
    </w:p>
    <w:p w14:paraId="0F184153" w14:textId="6CA755C1" w:rsidR="007552F5" w:rsidRDefault="00633F2A" w:rsidP="007552F5">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lastRenderedPageBreak/>
        <w:t xml:space="preserve">Part 1 </w:t>
      </w:r>
      <w:r w:rsidR="00B36B8E">
        <w:rPr>
          <w:rFonts w:eastAsia="Times New Roman" w:cs="Times New Roman"/>
          <w:szCs w:val="20"/>
          <w:lang w:eastAsia="en-AU"/>
        </w:rPr>
        <w:t xml:space="preserve">of the 2018 Regulations </w:t>
      </w:r>
      <w:r w:rsidR="001E3324">
        <w:rPr>
          <w:rFonts w:eastAsia="Times New Roman" w:cs="Times New Roman"/>
          <w:szCs w:val="20"/>
          <w:lang w:eastAsia="en-AU"/>
        </w:rPr>
        <w:t xml:space="preserve">is made under the authority of </w:t>
      </w:r>
      <w:r>
        <w:rPr>
          <w:rFonts w:eastAsia="Times New Roman" w:cs="Times New Roman"/>
          <w:szCs w:val="20"/>
          <w:lang w:eastAsia="en-AU"/>
        </w:rPr>
        <w:t>s</w:t>
      </w:r>
      <w:r w:rsidR="00544628" w:rsidRPr="00544628">
        <w:rPr>
          <w:rFonts w:eastAsia="Times New Roman" w:cs="Times New Roman"/>
          <w:szCs w:val="20"/>
          <w:lang w:eastAsia="en-AU"/>
        </w:rPr>
        <w:t>ection</w:t>
      </w:r>
      <w:r w:rsidR="00E91EE4">
        <w:rPr>
          <w:rFonts w:eastAsia="Times New Roman" w:cs="Times New Roman"/>
          <w:szCs w:val="20"/>
          <w:lang w:eastAsia="en-AU"/>
        </w:rPr>
        <w:t>s</w:t>
      </w:r>
      <w:r w:rsidR="00544628" w:rsidRPr="00544628">
        <w:rPr>
          <w:rFonts w:eastAsia="Times New Roman" w:cs="Times New Roman"/>
          <w:szCs w:val="20"/>
          <w:lang w:eastAsia="en-AU"/>
        </w:rPr>
        <w:t xml:space="preserve"> </w:t>
      </w:r>
      <w:r w:rsidR="009259DE">
        <w:rPr>
          <w:rFonts w:eastAsia="Times New Roman" w:cs="Times New Roman"/>
          <w:szCs w:val="20"/>
          <w:lang w:eastAsia="en-AU"/>
        </w:rPr>
        <w:t xml:space="preserve">184 and </w:t>
      </w:r>
      <w:r w:rsidR="00544628" w:rsidRPr="00544628">
        <w:rPr>
          <w:rFonts w:eastAsia="Times New Roman" w:cs="Times New Roman"/>
          <w:szCs w:val="20"/>
          <w:lang w:eastAsia="en-AU"/>
        </w:rPr>
        <w:t>249 of the Act</w:t>
      </w:r>
      <w:r w:rsidR="001E3324">
        <w:rPr>
          <w:rFonts w:eastAsia="Times New Roman" w:cs="Times New Roman"/>
          <w:szCs w:val="20"/>
          <w:lang w:eastAsia="en-AU"/>
        </w:rPr>
        <w:t xml:space="preserve">. </w:t>
      </w:r>
    </w:p>
    <w:p w14:paraId="174D1D42" w14:textId="7D548496" w:rsidR="00633F2A" w:rsidRDefault="00633F2A" w:rsidP="00633F2A">
      <w:pPr>
        <w:overflowPunct w:val="0"/>
        <w:autoSpaceDE w:val="0"/>
        <w:autoSpaceDN w:val="0"/>
        <w:adjustRightInd w:val="0"/>
        <w:spacing w:before="240" w:after="0" w:line="240" w:lineRule="auto"/>
        <w:textAlignment w:val="baseline"/>
      </w:pPr>
      <w:r>
        <w:t>Part 1 modernise</w:t>
      </w:r>
      <w:r w:rsidR="00B36B8E">
        <w:t>s</w:t>
      </w:r>
      <w:r>
        <w:t xml:space="preserve"> and update</w:t>
      </w:r>
      <w:r w:rsidR="00B36B8E">
        <w:t>s</w:t>
      </w:r>
      <w:r>
        <w:t xml:space="preserve"> the Regulations in line with </w:t>
      </w:r>
      <w:r w:rsidR="00B36B8E">
        <w:t>current legislation drafting</w:t>
      </w:r>
      <w:r w:rsidR="00DD5A9C">
        <w:t xml:space="preserve"> practice. It</w:t>
      </w:r>
      <w:r>
        <w:t xml:space="preserve"> also implements </w:t>
      </w:r>
      <w:r w:rsidRPr="000D3311">
        <w:t>the Malaysia-Australia Free Trade Agreement</w:t>
      </w:r>
      <w:r>
        <w:t xml:space="preserve"> (MAFTA) to extend the application of the Act to Malaysian encoded broadcasts. </w:t>
      </w:r>
    </w:p>
    <w:p w14:paraId="15030B99" w14:textId="1B81D061" w:rsidR="00636821" w:rsidRDefault="0047455C" w:rsidP="00636821">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As a condition for the making of regulations, section 184 specifies that </w:t>
      </w:r>
      <w:r w:rsidR="00636821" w:rsidRPr="004533F9">
        <w:rPr>
          <w:rFonts w:eastAsia="Times New Roman" w:cs="Times New Roman"/>
          <w:szCs w:val="20"/>
          <w:lang w:eastAsia="en-AU"/>
        </w:rPr>
        <w:t xml:space="preserve">the </w:t>
      </w:r>
      <w:r w:rsidR="00636821" w:rsidRPr="00D573B9">
        <w:rPr>
          <w:rFonts w:eastAsia="Times New Roman" w:cs="Times New Roman"/>
          <w:szCs w:val="20"/>
          <w:lang w:eastAsia="en-AU"/>
        </w:rPr>
        <w:t>country must be a party to an international agreement</w:t>
      </w:r>
      <w:r w:rsidR="00734DFD" w:rsidRPr="00734DFD">
        <w:rPr>
          <w:rFonts w:eastAsia="Times New Roman" w:cs="Times New Roman"/>
          <w:szCs w:val="20"/>
          <w:lang w:eastAsia="en-AU"/>
        </w:rPr>
        <w:t xml:space="preserve"> </w:t>
      </w:r>
      <w:r w:rsidR="00734DFD">
        <w:rPr>
          <w:rFonts w:eastAsia="Times New Roman" w:cs="Times New Roman"/>
          <w:szCs w:val="20"/>
          <w:lang w:eastAsia="en-AU"/>
        </w:rPr>
        <w:t>specified in relation to the provision of the Act</w:t>
      </w:r>
      <w:r w:rsidR="00636821">
        <w:rPr>
          <w:rFonts w:eastAsia="Times New Roman" w:cs="Times New Roman"/>
          <w:szCs w:val="20"/>
          <w:lang w:eastAsia="en-AU"/>
        </w:rPr>
        <w:t>. The condition has been met as Malaysia is party to the MAFTA.</w:t>
      </w:r>
    </w:p>
    <w:p w14:paraId="4C7E3FEC" w14:textId="5F63B843" w:rsidR="00E335FF" w:rsidRDefault="008E38DF"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In accordance with Article 13.5 of the MAFTA, Australia </w:t>
      </w:r>
      <w:r w:rsidRPr="008E38DF">
        <w:rPr>
          <w:rFonts w:eastAsia="Times New Roman" w:cs="Times New Roman"/>
          <w:szCs w:val="20"/>
          <w:lang w:eastAsia="en-AU"/>
        </w:rPr>
        <w:t xml:space="preserve">is obliged to accord to 'nationals' of </w:t>
      </w:r>
      <w:r>
        <w:rPr>
          <w:rFonts w:eastAsia="Times New Roman" w:cs="Times New Roman"/>
          <w:szCs w:val="20"/>
          <w:lang w:eastAsia="en-AU"/>
        </w:rPr>
        <w:t xml:space="preserve">Malaysia the </w:t>
      </w:r>
      <w:r w:rsidR="00722E44">
        <w:rPr>
          <w:rFonts w:eastAsia="Times New Roman" w:cs="Times New Roman"/>
          <w:szCs w:val="20"/>
          <w:lang w:eastAsia="en-AU"/>
        </w:rPr>
        <w:t xml:space="preserve">copyright covered by Chapter 13 of the MAFTA. </w:t>
      </w:r>
      <w:r w:rsidRPr="008A2440">
        <w:rPr>
          <w:rFonts w:eastAsia="Times New Roman" w:cs="Times New Roman"/>
          <w:szCs w:val="20"/>
          <w:lang w:eastAsia="en-AU"/>
        </w:rPr>
        <w:t>Under Article 13.19 of the MAFTA</w:t>
      </w:r>
      <w:r>
        <w:rPr>
          <w:rFonts w:eastAsia="Times New Roman" w:cs="Times New Roman"/>
          <w:szCs w:val="20"/>
          <w:lang w:eastAsia="en-AU"/>
        </w:rPr>
        <w:t>, parties must protect encrypted programme</w:t>
      </w:r>
      <w:r>
        <w:rPr>
          <w:rFonts w:eastAsia="Times New Roman" w:cs="Times New Roman"/>
          <w:szCs w:val="20"/>
          <w:lang w:eastAsia="en-AU"/>
        </w:rPr>
        <w:noBreakHyphen/>
        <w:t>carrying satellite signals against unauthorised decoding and distribution. By extending the protection of foreign encoded broadcasts to Malaysia under subregulations 4(7B) and 4(7C), Australia fulfil</w:t>
      </w:r>
      <w:r w:rsidR="0047455C">
        <w:rPr>
          <w:rFonts w:eastAsia="Times New Roman" w:cs="Times New Roman"/>
          <w:szCs w:val="20"/>
          <w:lang w:eastAsia="en-AU"/>
        </w:rPr>
        <w:t>s</w:t>
      </w:r>
      <w:r>
        <w:rPr>
          <w:rFonts w:eastAsia="Times New Roman" w:cs="Times New Roman"/>
          <w:szCs w:val="20"/>
          <w:lang w:eastAsia="en-AU"/>
        </w:rPr>
        <w:t xml:space="preserve"> its obligations under </w:t>
      </w:r>
      <w:r w:rsidR="00544628">
        <w:rPr>
          <w:rFonts w:eastAsia="Times New Roman" w:cs="Times New Roman"/>
          <w:szCs w:val="20"/>
          <w:lang w:eastAsia="en-AU"/>
        </w:rPr>
        <w:t>Article</w:t>
      </w:r>
      <w:r w:rsidR="00E91EE4">
        <w:rPr>
          <w:rFonts w:eastAsia="Times New Roman" w:cs="Times New Roman"/>
          <w:szCs w:val="20"/>
          <w:lang w:eastAsia="en-AU"/>
        </w:rPr>
        <w:t>s</w:t>
      </w:r>
      <w:r w:rsidR="00544628">
        <w:rPr>
          <w:rFonts w:eastAsia="Times New Roman" w:cs="Times New Roman"/>
          <w:szCs w:val="20"/>
          <w:lang w:eastAsia="en-AU"/>
        </w:rPr>
        <w:t xml:space="preserve"> 13.5 and 13.19 of the MAFTA. </w:t>
      </w:r>
    </w:p>
    <w:p w14:paraId="27F74EF4" w14:textId="100484DB" w:rsidR="007552F5" w:rsidRDefault="00F06576" w:rsidP="007552F5">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The amendments in </w:t>
      </w:r>
      <w:r w:rsidR="001E3324">
        <w:t xml:space="preserve">Part </w:t>
      </w:r>
      <w:r w:rsidR="00606358">
        <w:rPr>
          <w:rFonts w:eastAsia="Times New Roman" w:cs="Times New Roman"/>
          <w:szCs w:val="20"/>
          <w:lang w:eastAsia="en-AU"/>
        </w:rPr>
        <w:t>2</w:t>
      </w:r>
      <w:r>
        <w:rPr>
          <w:rFonts w:eastAsia="Times New Roman" w:cs="Times New Roman"/>
          <w:szCs w:val="20"/>
          <w:lang w:eastAsia="en-AU"/>
        </w:rPr>
        <w:t xml:space="preserve"> of the 2018 Regulations extend protection for secondary uses of sound recordings to 32 </w:t>
      </w:r>
      <w:r w:rsidR="00BD30F4">
        <w:rPr>
          <w:rFonts w:eastAsia="Times New Roman" w:cs="Times New Roman"/>
          <w:szCs w:val="20"/>
          <w:lang w:eastAsia="en-AU"/>
        </w:rPr>
        <w:t>other</w:t>
      </w:r>
      <w:r>
        <w:rPr>
          <w:rFonts w:eastAsia="Times New Roman" w:cs="Times New Roman"/>
          <w:szCs w:val="20"/>
          <w:lang w:eastAsia="en-AU"/>
        </w:rPr>
        <w:t xml:space="preserve"> countries</w:t>
      </w:r>
      <w:r w:rsidR="00C962A1">
        <w:rPr>
          <w:rFonts w:eastAsia="Times New Roman" w:cs="Times New Roman"/>
          <w:szCs w:val="20"/>
          <w:lang w:eastAsia="en-AU"/>
        </w:rPr>
        <w:t>, updating the Regulations in accordance with Australia’s commitment to protecting international sound recordings</w:t>
      </w:r>
      <w:r w:rsidR="00AE379E">
        <w:rPr>
          <w:rFonts w:eastAsia="Times New Roman" w:cs="Times New Roman"/>
          <w:szCs w:val="20"/>
          <w:lang w:eastAsia="en-AU"/>
        </w:rPr>
        <w:t>.</w:t>
      </w:r>
      <w:r w:rsidR="007552F5">
        <w:rPr>
          <w:rFonts w:eastAsia="Times New Roman" w:cs="Times New Roman"/>
          <w:szCs w:val="20"/>
          <w:lang w:eastAsia="en-AU"/>
        </w:rPr>
        <w:t xml:space="preserve"> </w:t>
      </w:r>
    </w:p>
    <w:p w14:paraId="41557A46" w14:textId="77777777" w:rsidR="006902D4" w:rsidRDefault="006902D4" w:rsidP="00977AE7">
      <w:pPr>
        <w:overflowPunct w:val="0"/>
        <w:autoSpaceDE w:val="0"/>
        <w:autoSpaceDN w:val="0"/>
        <w:adjustRightInd w:val="0"/>
        <w:spacing w:before="240" w:after="0" w:line="240" w:lineRule="auto"/>
        <w:textAlignment w:val="baseline"/>
        <w:rPr>
          <w:rFonts w:eastAsia="Times New Roman" w:cs="Times New Roman"/>
          <w:szCs w:val="20"/>
          <w:lang w:eastAsia="en-AU"/>
        </w:rPr>
      </w:pPr>
    </w:p>
    <w:p w14:paraId="2AA433DD" w14:textId="77777777" w:rsidR="006902D4" w:rsidRDefault="006902D4" w:rsidP="00977AE7">
      <w:pPr>
        <w:overflowPunct w:val="0"/>
        <w:autoSpaceDE w:val="0"/>
        <w:autoSpaceDN w:val="0"/>
        <w:adjustRightInd w:val="0"/>
        <w:spacing w:before="240" w:after="0" w:line="240" w:lineRule="auto"/>
        <w:textAlignment w:val="baseline"/>
        <w:rPr>
          <w:rFonts w:eastAsia="Times New Roman" w:cs="Times New Roman"/>
          <w:szCs w:val="20"/>
          <w:lang w:eastAsia="en-AU"/>
        </w:rPr>
      </w:pPr>
    </w:p>
    <w:p w14:paraId="4109852D" w14:textId="0788B6D1" w:rsidR="00977AE7" w:rsidRDefault="005F0F3A" w:rsidP="00977AE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S</w:t>
      </w:r>
      <w:r w:rsidR="00046F58">
        <w:rPr>
          <w:rFonts w:eastAsia="Times New Roman" w:cs="Times New Roman"/>
          <w:szCs w:val="20"/>
          <w:lang w:eastAsia="en-AU"/>
        </w:rPr>
        <w:t>econdary use</w:t>
      </w:r>
      <w:r>
        <w:rPr>
          <w:rFonts w:eastAsia="Times New Roman" w:cs="Times New Roman"/>
          <w:szCs w:val="20"/>
          <w:lang w:eastAsia="en-AU"/>
        </w:rPr>
        <w:t>s</w:t>
      </w:r>
      <w:r w:rsidR="00046F58">
        <w:rPr>
          <w:rFonts w:eastAsia="Times New Roman" w:cs="Times New Roman"/>
          <w:szCs w:val="20"/>
          <w:lang w:eastAsia="en-AU"/>
        </w:rPr>
        <w:t xml:space="preserve"> of</w:t>
      </w:r>
      <w:r w:rsidR="00977AE7">
        <w:rPr>
          <w:rFonts w:eastAsia="Times New Roman" w:cs="Times New Roman"/>
          <w:szCs w:val="20"/>
          <w:lang w:eastAsia="en-AU"/>
        </w:rPr>
        <w:t xml:space="preserve"> </w:t>
      </w:r>
      <w:r w:rsidR="00977AE7" w:rsidRPr="0019607C">
        <w:rPr>
          <w:rFonts w:eastAsia="Times New Roman" w:cs="Times New Roman"/>
          <w:szCs w:val="20"/>
          <w:lang w:eastAsia="en-AU"/>
        </w:rPr>
        <w:t xml:space="preserve">sound recordings </w:t>
      </w:r>
      <w:r>
        <w:rPr>
          <w:rFonts w:eastAsia="Times New Roman" w:cs="Times New Roman"/>
          <w:szCs w:val="20"/>
          <w:lang w:eastAsia="en-AU"/>
        </w:rPr>
        <w:t>are</w:t>
      </w:r>
      <w:r w:rsidR="00977AE7" w:rsidRPr="0019607C">
        <w:rPr>
          <w:rFonts w:eastAsia="Times New Roman" w:cs="Times New Roman"/>
          <w:szCs w:val="20"/>
          <w:lang w:eastAsia="en-AU"/>
        </w:rPr>
        <w:t xml:space="preserve"> the right</w:t>
      </w:r>
      <w:r>
        <w:rPr>
          <w:rFonts w:eastAsia="Times New Roman" w:cs="Times New Roman"/>
          <w:szCs w:val="20"/>
          <w:lang w:eastAsia="en-AU"/>
        </w:rPr>
        <w:t>s</w:t>
      </w:r>
      <w:r w:rsidR="00977AE7" w:rsidRPr="0019607C">
        <w:rPr>
          <w:rFonts w:eastAsia="Times New Roman" w:cs="Times New Roman"/>
          <w:szCs w:val="20"/>
          <w:lang w:eastAsia="en-AU"/>
        </w:rPr>
        <w:t xml:space="preserve"> to:</w:t>
      </w:r>
    </w:p>
    <w:p w14:paraId="2546E7EA" w14:textId="4851FF70" w:rsidR="00977AE7" w:rsidRPr="0019607C" w:rsidRDefault="00AE7E6E" w:rsidP="00977AE7">
      <w:pPr>
        <w:pStyle w:val="ListParagraph"/>
        <w:numPr>
          <w:ilvl w:val="0"/>
          <w:numId w:val="5"/>
        </w:num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ca</w:t>
      </w:r>
      <w:r w:rsidR="00977AE7" w:rsidRPr="0019607C">
        <w:rPr>
          <w:rFonts w:eastAsia="Times New Roman" w:cs="Times New Roman"/>
          <w:szCs w:val="20"/>
          <w:lang w:eastAsia="en-AU"/>
        </w:rPr>
        <w:t xml:space="preserve">use a sound recording to be heard in public, e.g. </w:t>
      </w:r>
      <w:r w:rsidR="00977AE7">
        <w:rPr>
          <w:rFonts w:eastAsia="Times New Roman" w:cs="Times New Roman"/>
          <w:szCs w:val="20"/>
          <w:lang w:eastAsia="en-AU"/>
        </w:rPr>
        <w:t>playing recorded music in a gym, and;</w:t>
      </w:r>
    </w:p>
    <w:p w14:paraId="2C3BCA4F" w14:textId="0CC136EB" w:rsidR="00977AE7" w:rsidRPr="0019607C" w:rsidRDefault="00AE7E6E" w:rsidP="00977AE7">
      <w:pPr>
        <w:pStyle w:val="ListParagraph"/>
        <w:numPr>
          <w:ilvl w:val="0"/>
          <w:numId w:val="5"/>
        </w:numPr>
        <w:overflowPunct w:val="0"/>
        <w:autoSpaceDE w:val="0"/>
        <w:autoSpaceDN w:val="0"/>
        <w:adjustRightInd w:val="0"/>
        <w:spacing w:before="240" w:after="0" w:line="240" w:lineRule="auto"/>
        <w:contextualSpacing w:val="0"/>
        <w:textAlignment w:val="baseline"/>
        <w:rPr>
          <w:rFonts w:eastAsia="Times New Roman" w:cs="Times New Roman"/>
          <w:szCs w:val="20"/>
          <w:lang w:eastAsia="en-AU"/>
        </w:rPr>
      </w:pPr>
      <w:r>
        <w:rPr>
          <w:rFonts w:eastAsia="Times New Roman" w:cs="Times New Roman"/>
          <w:szCs w:val="20"/>
          <w:lang w:eastAsia="en-AU"/>
        </w:rPr>
        <w:lastRenderedPageBreak/>
        <w:t>b</w:t>
      </w:r>
      <w:r w:rsidR="00977AE7" w:rsidRPr="0019607C">
        <w:rPr>
          <w:rFonts w:eastAsia="Times New Roman" w:cs="Times New Roman"/>
          <w:szCs w:val="20"/>
          <w:lang w:eastAsia="en-AU"/>
        </w:rPr>
        <w:t>roadcast a sound recording to the public, e.g. a radio station playing recorded music.</w:t>
      </w:r>
    </w:p>
    <w:p w14:paraId="1C24AFE4" w14:textId="1D3C43D1" w:rsidR="00C671E2" w:rsidRDefault="00C671E2" w:rsidP="00C671E2">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Part 2 is made under the authority of s</w:t>
      </w:r>
      <w:r w:rsidRPr="00544628">
        <w:rPr>
          <w:rFonts w:eastAsia="Times New Roman" w:cs="Times New Roman"/>
          <w:szCs w:val="20"/>
          <w:lang w:eastAsia="en-AU"/>
        </w:rPr>
        <w:t xml:space="preserve">ection </w:t>
      </w:r>
      <w:r>
        <w:rPr>
          <w:rFonts w:eastAsia="Times New Roman" w:cs="Times New Roman"/>
          <w:szCs w:val="20"/>
          <w:lang w:eastAsia="en-AU"/>
        </w:rPr>
        <w:t>184</w:t>
      </w:r>
      <w:r w:rsidRPr="00544628">
        <w:rPr>
          <w:rFonts w:eastAsia="Times New Roman" w:cs="Times New Roman"/>
          <w:szCs w:val="20"/>
          <w:lang w:eastAsia="en-AU"/>
        </w:rPr>
        <w:t xml:space="preserve"> of the Act</w:t>
      </w:r>
      <w:r>
        <w:rPr>
          <w:rFonts w:eastAsia="Times New Roman" w:cs="Times New Roman"/>
          <w:szCs w:val="20"/>
          <w:lang w:eastAsia="en-AU"/>
        </w:rPr>
        <w:t>.</w:t>
      </w:r>
      <w:r w:rsidRPr="007552F5">
        <w:rPr>
          <w:rFonts w:eastAsia="Times New Roman" w:cs="Times New Roman"/>
          <w:szCs w:val="20"/>
          <w:lang w:eastAsia="en-AU"/>
        </w:rPr>
        <w:t xml:space="preserve"> </w:t>
      </w:r>
      <w:r w:rsidR="0047455C">
        <w:rPr>
          <w:rFonts w:eastAsia="Times New Roman" w:cs="Times New Roman"/>
          <w:szCs w:val="20"/>
          <w:lang w:eastAsia="en-AU"/>
        </w:rPr>
        <w:t xml:space="preserve">As a condition for the making of regulations, section 184 specifies that </w:t>
      </w:r>
      <w:r w:rsidRPr="004533F9">
        <w:rPr>
          <w:rFonts w:eastAsia="Times New Roman" w:cs="Times New Roman"/>
          <w:szCs w:val="20"/>
          <w:lang w:eastAsia="en-AU"/>
        </w:rPr>
        <w:t xml:space="preserve">the Minister must be satisfied that adequate protection is or will be given under the law of the </w:t>
      </w:r>
      <w:r>
        <w:rPr>
          <w:rFonts w:eastAsia="Times New Roman" w:cs="Times New Roman"/>
          <w:szCs w:val="20"/>
          <w:lang w:eastAsia="en-AU"/>
        </w:rPr>
        <w:t xml:space="preserve">foreign </w:t>
      </w:r>
      <w:r w:rsidRPr="004533F9">
        <w:rPr>
          <w:rFonts w:eastAsia="Times New Roman" w:cs="Times New Roman"/>
          <w:szCs w:val="20"/>
          <w:lang w:eastAsia="en-AU"/>
        </w:rPr>
        <w:t xml:space="preserve">country </w:t>
      </w:r>
      <w:r>
        <w:rPr>
          <w:rFonts w:eastAsia="Times New Roman" w:cs="Times New Roman"/>
          <w:szCs w:val="20"/>
          <w:lang w:eastAsia="en-AU"/>
        </w:rPr>
        <w:t xml:space="preserve">in the related class of works. </w:t>
      </w:r>
    </w:p>
    <w:p w14:paraId="4CACD744" w14:textId="03D63A20" w:rsidR="00683C58" w:rsidRDefault="00683C58" w:rsidP="00977AE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T</w:t>
      </w:r>
      <w:r w:rsidR="0070620D">
        <w:rPr>
          <w:rFonts w:eastAsia="Times New Roman" w:cs="Times New Roman"/>
          <w:szCs w:val="20"/>
          <w:lang w:eastAsia="en-AU"/>
        </w:rPr>
        <w:t xml:space="preserve">o meet this </w:t>
      </w:r>
      <w:r w:rsidR="00042AB4">
        <w:rPr>
          <w:rFonts w:eastAsia="Times New Roman" w:cs="Times New Roman"/>
          <w:szCs w:val="20"/>
          <w:lang w:eastAsia="en-AU"/>
        </w:rPr>
        <w:t>condition</w:t>
      </w:r>
      <w:r w:rsidR="0070620D">
        <w:rPr>
          <w:rFonts w:eastAsia="Times New Roman" w:cs="Times New Roman"/>
          <w:szCs w:val="20"/>
          <w:lang w:eastAsia="en-AU"/>
        </w:rPr>
        <w:t xml:space="preserve">, </w:t>
      </w:r>
      <w:r w:rsidR="00046F58">
        <w:rPr>
          <w:rFonts w:eastAsia="Times New Roman" w:cs="Times New Roman"/>
          <w:szCs w:val="20"/>
          <w:lang w:eastAsia="en-AU"/>
        </w:rPr>
        <w:t xml:space="preserve">a review was undertaken to </w:t>
      </w:r>
      <w:r>
        <w:rPr>
          <w:rFonts w:eastAsia="Times New Roman" w:cs="Times New Roman"/>
          <w:szCs w:val="20"/>
          <w:lang w:eastAsia="en-AU"/>
        </w:rPr>
        <w:t>examine</w:t>
      </w:r>
      <w:r w:rsidR="00C671E2">
        <w:rPr>
          <w:rFonts w:eastAsia="Times New Roman" w:cs="Times New Roman"/>
          <w:szCs w:val="20"/>
          <w:lang w:eastAsia="en-AU"/>
        </w:rPr>
        <w:t xml:space="preserve"> </w:t>
      </w:r>
      <w:r>
        <w:rPr>
          <w:rFonts w:eastAsia="Times New Roman" w:cs="Times New Roman"/>
          <w:szCs w:val="20"/>
          <w:lang w:eastAsia="en-AU"/>
        </w:rPr>
        <w:t xml:space="preserve">the legislation of these 32 countries to </w:t>
      </w:r>
      <w:r w:rsidR="00D20207">
        <w:rPr>
          <w:rFonts w:eastAsia="Times New Roman" w:cs="Times New Roman"/>
          <w:szCs w:val="20"/>
          <w:lang w:eastAsia="en-AU"/>
        </w:rPr>
        <w:t>ascertain</w:t>
      </w:r>
      <w:r>
        <w:rPr>
          <w:rFonts w:eastAsia="Times New Roman" w:cs="Times New Roman"/>
          <w:szCs w:val="20"/>
          <w:lang w:eastAsia="en-AU"/>
        </w:rPr>
        <w:t xml:space="preserve"> that their laws provide </w:t>
      </w:r>
      <w:r w:rsidR="00D20207">
        <w:rPr>
          <w:szCs w:val="24"/>
        </w:rPr>
        <w:t>adequate</w:t>
      </w:r>
      <w:r w:rsidR="00D20207">
        <w:rPr>
          <w:rFonts w:eastAsia="Times New Roman" w:cs="Times New Roman"/>
          <w:szCs w:val="20"/>
          <w:lang w:eastAsia="en-AU"/>
        </w:rPr>
        <w:t xml:space="preserve"> </w:t>
      </w:r>
      <w:r>
        <w:rPr>
          <w:rFonts w:eastAsia="Times New Roman" w:cs="Times New Roman"/>
          <w:szCs w:val="20"/>
          <w:lang w:eastAsia="en-AU"/>
        </w:rPr>
        <w:t xml:space="preserve">protection for secondary uses. </w:t>
      </w:r>
      <w:r w:rsidR="008C7FA5">
        <w:rPr>
          <w:rFonts w:eastAsia="Times New Roman" w:cs="Times New Roman"/>
          <w:szCs w:val="20"/>
          <w:lang w:eastAsia="en-AU"/>
        </w:rPr>
        <w:t xml:space="preserve">As international terminology </w:t>
      </w:r>
      <w:r w:rsidR="00046F58">
        <w:rPr>
          <w:rFonts w:eastAsia="Times New Roman" w:cs="Times New Roman"/>
          <w:szCs w:val="20"/>
          <w:lang w:eastAsia="en-AU"/>
        </w:rPr>
        <w:t>around the</w:t>
      </w:r>
      <w:r w:rsidR="008C7FA5">
        <w:rPr>
          <w:rFonts w:eastAsia="Times New Roman" w:cs="Times New Roman"/>
          <w:szCs w:val="20"/>
          <w:lang w:eastAsia="en-AU"/>
        </w:rPr>
        <w:t xml:space="preserve"> </w:t>
      </w:r>
      <w:r w:rsidR="00046F58">
        <w:rPr>
          <w:rFonts w:eastAsia="Times New Roman" w:cs="Times New Roman"/>
          <w:szCs w:val="20"/>
          <w:lang w:eastAsia="en-AU"/>
        </w:rPr>
        <w:t xml:space="preserve">protection of </w:t>
      </w:r>
      <w:r w:rsidR="008C7FA5">
        <w:rPr>
          <w:rFonts w:eastAsia="Times New Roman" w:cs="Times New Roman"/>
          <w:szCs w:val="20"/>
          <w:lang w:eastAsia="en-AU"/>
        </w:rPr>
        <w:t>secondary use</w:t>
      </w:r>
      <w:r w:rsidR="00046F58">
        <w:rPr>
          <w:rFonts w:eastAsia="Times New Roman" w:cs="Times New Roman"/>
          <w:szCs w:val="20"/>
          <w:lang w:eastAsia="en-AU"/>
        </w:rPr>
        <w:t>s of sound recordings</w:t>
      </w:r>
      <w:r w:rsidR="008C7FA5">
        <w:rPr>
          <w:rFonts w:eastAsia="Times New Roman" w:cs="Times New Roman"/>
          <w:szCs w:val="20"/>
          <w:lang w:eastAsia="en-AU"/>
        </w:rPr>
        <w:t xml:space="preserve"> can vary, the </w:t>
      </w:r>
      <w:r w:rsidR="00046F58">
        <w:rPr>
          <w:rFonts w:eastAsia="Times New Roman" w:cs="Times New Roman"/>
          <w:szCs w:val="20"/>
          <w:lang w:eastAsia="en-AU"/>
        </w:rPr>
        <w:t>analysis</w:t>
      </w:r>
      <w:r w:rsidR="008C7FA5">
        <w:rPr>
          <w:rFonts w:eastAsia="Times New Roman" w:cs="Times New Roman"/>
          <w:szCs w:val="20"/>
          <w:lang w:eastAsia="en-AU"/>
        </w:rPr>
        <w:t xml:space="preserve"> confirmed the</w:t>
      </w:r>
      <w:r w:rsidR="00046F58">
        <w:rPr>
          <w:rFonts w:eastAsia="Times New Roman" w:cs="Times New Roman"/>
          <w:szCs w:val="20"/>
          <w:lang w:eastAsia="en-AU"/>
        </w:rPr>
        <w:t xml:space="preserve"> newly listed countries</w:t>
      </w:r>
      <w:r w:rsidR="00AF4968">
        <w:rPr>
          <w:rFonts w:eastAsia="Times New Roman" w:cs="Times New Roman"/>
          <w:szCs w:val="20"/>
          <w:lang w:eastAsia="en-AU"/>
        </w:rPr>
        <w:t>’</w:t>
      </w:r>
      <w:r w:rsidR="008C7FA5">
        <w:rPr>
          <w:rFonts w:eastAsia="Times New Roman" w:cs="Times New Roman"/>
          <w:szCs w:val="20"/>
          <w:lang w:eastAsia="en-AU"/>
        </w:rPr>
        <w:t xml:space="preserve"> laws protect either broadcast and public performance, or broadcast and communication to the public of sound recordings.</w:t>
      </w:r>
      <w:r w:rsidR="00BC1498">
        <w:rPr>
          <w:rFonts w:eastAsia="Times New Roman" w:cs="Times New Roman"/>
          <w:szCs w:val="20"/>
          <w:lang w:eastAsia="en-AU"/>
        </w:rPr>
        <w:t xml:space="preserve"> </w:t>
      </w:r>
    </w:p>
    <w:p w14:paraId="3354E18F" w14:textId="7A98E40B" w:rsidR="00AE379E" w:rsidRDefault="00AE379E" w:rsidP="00AE379E">
      <w:pPr>
        <w:overflowPunct w:val="0"/>
        <w:autoSpaceDE w:val="0"/>
        <w:autoSpaceDN w:val="0"/>
        <w:adjustRightInd w:val="0"/>
        <w:spacing w:before="240" w:after="0" w:line="240" w:lineRule="auto"/>
        <w:textAlignment w:val="baseline"/>
        <w:rPr>
          <w:rFonts w:eastAsia="Times New Roman" w:cs="Times New Roman"/>
          <w:szCs w:val="20"/>
          <w:lang w:eastAsia="en-AU"/>
        </w:rPr>
      </w:pPr>
      <w:r>
        <w:t xml:space="preserve">The details of these amendments are set out in </w:t>
      </w:r>
      <w:r w:rsidRPr="00EF0F8B">
        <w:rPr>
          <w:u w:val="single"/>
        </w:rPr>
        <w:t>Attachment 1</w:t>
      </w:r>
      <w:r>
        <w:t xml:space="preserve">. </w:t>
      </w:r>
    </w:p>
    <w:p w14:paraId="7A733BB8" w14:textId="77777777" w:rsidR="000C44D0" w:rsidRP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 xml:space="preserve">The </w:t>
      </w:r>
      <w:r w:rsidR="00104D3E">
        <w:rPr>
          <w:rFonts w:eastAsia="Times New Roman" w:cs="Times New Roman"/>
          <w:szCs w:val="20"/>
          <w:lang w:eastAsia="en-AU"/>
        </w:rPr>
        <w:t>2018</w:t>
      </w:r>
      <w:r w:rsidRPr="000C44D0">
        <w:rPr>
          <w:rFonts w:eastAsia="Times New Roman" w:cs="Times New Roman"/>
          <w:szCs w:val="20"/>
          <w:lang w:eastAsia="en-AU"/>
        </w:rPr>
        <w:t xml:space="preserve"> Regulations are a legislative instrument for the purposes of the </w:t>
      </w:r>
      <w:r w:rsidRPr="000C44D0">
        <w:rPr>
          <w:rFonts w:eastAsia="Times New Roman" w:cs="Times New Roman"/>
          <w:i/>
          <w:szCs w:val="20"/>
          <w:lang w:eastAsia="en-AU"/>
        </w:rPr>
        <w:t>Legislation Act 2003</w:t>
      </w:r>
      <w:r w:rsidRPr="000C44D0">
        <w:rPr>
          <w:rFonts w:eastAsia="Times New Roman" w:cs="Times New Roman"/>
          <w:szCs w:val="20"/>
          <w:lang w:eastAsia="en-AU"/>
        </w:rPr>
        <w:t>.</w:t>
      </w:r>
    </w:p>
    <w:p w14:paraId="3AFC943A" w14:textId="77777777" w:rsidR="000C44D0" w:rsidRPr="000C44D0"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val="en-GB" w:eastAsia="en-AU"/>
        </w:rPr>
      </w:pPr>
      <w:r w:rsidRPr="001E3324">
        <w:rPr>
          <w:rFonts w:eastAsia="Times New Roman" w:cs="Times New Roman"/>
          <w:b/>
          <w:kern w:val="28"/>
          <w:sz w:val="26"/>
          <w:szCs w:val="20"/>
          <w:lang w:val="en-GB" w:eastAsia="en-AU"/>
        </w:rPr>
        <w:t>Consultation</w:t>
      </w:r>
    </w:p>
    <w:p w14:paraId="3DC12AEA" w14:textId="39EEC7D8" w:rsidR="009746DD" w:rsidRPr="000C44D0" w:rsidRDefault="009746DD" w:rsidP="009746DD">
      <w:pPr>
        <w:overflowPunct w:val="0"/>
        <w:autoSpaceDE w:val="0"/>
        <w:autoSpaceDN w:val="0"/>
        <w:adjustRightInd w:val="0"/>
        <w:spacing w:before="240" w:after="0" w:line="240" w:lineRule="auto"/>
        <w:textAlignment w:val="baseline"/>
        <w:rPr>
          <w:rFonts w:eastAsia="Times New Roman" w:cs="Times New Roman"/>
          <w:szCs w:val="20"/>
          <w:lang w:val="en-GB" w:eastAsia="en-AU"/>
        </w:rPr>
      </w:pPr>
      <w:r>
        <w:rPr>
          <w:rFonts w:eastAsia="Times New Roman" w:cs="Times New Roman"/>
          <w:szCs w:val="20"/>
          <w:lang w:val="en-GB" w:eastAsia="en-AU"/>
        </w:rPr>
        <w:t xml:space="preserve">Regarding </w:t>
      </w:r>
      <w:r w:rsidR="001E3324">
        <w:rPr>
          <w:rFonts w:eastAsia="Times New Roman" w:cs="Times New Roman"/>
          <w:szCs w:val="20"/>
          <w:lang w:val="en-GB" w:eastAsia="en-AU"/>
        </w:rPr>
        <w:t>Part</w:t>
      </w:r>
      <w:r>
        <w:rPr>
          <w:rFonts w:eastAsia="Times New Roman" w:cs="Times New Roman"/>
          <w:szCs w:val="20"/>
          <w:lang w:val="en-GB" w:eastAsia="en-AU"/>
        </w:rPr>
        <w:t xml:space="preserve"> 1 of the 2018 Regulations</w:t>
      </w:r>
      <w:r>
        <w:rPr>
          <w:rFonts w:eastAsia="Times New Roman" w:cs="Times New Roman"/>
          <w:szCs w:val="20"/>
          <w:lang w:eastAsia="en-AU"/>
        </w:rPr>
        <w:t xml:space="preserve">, the Office of International Law </w:t>
      </w:r>
      <w:r w:rsidR="00CB6F12">
        <w:rPr>
          <w:rFonts w:eastAsia="Times New Roman" w:cs="Times New Roman"/>
          <w:szCs w:val="20"/>
          <w:lang w:eastAsia="en-AU"/>
        </w:rPr>
        <w:t xml:space="preserve">of </w:t>
      </w:r>
      <w:r>
        <w:rPr>
          <w:rFonts w:eastAsia="Times New Roman" w:cs="Times New Roman"/>
          <w:szCs w:val="20"/>
          <w:lang w:eastAsia="en-AU"/>
        </w:rPr>
        <w:t>the Attorney</w:t>
      </w:r>
      <w:r>
        <w:rPr>
          <w:rFonts w:eastAsia="Times New Roman" w:cs="Times New Roman"/>
          <w:szCs w:val="20"/>
          <w:lang w:eastAsia="en-AU"/>
        </w:rPr>
        <w:noBreakHyphen/>
        <w:t>General’s Department supported the amendments to implement the MAFTA.</w:t>
      </w:r>
    </w:p>
    <w:p w14:paraId="33929151" w14:textId="6B6496EE" w:rsidR="005A2D68" w:rsidRDefault="002B2B58" w:rsidP="006B4384">
      <w:pPr>
        <w:overflowPunct w:val="0"/>
        <w:autoSpaceDE w:val="0"/>
        <w:autoSpaceDN w:val="0"/>
        <w:adjustRightInd w:val="0"/>
        <w:spacing w:before="240" w:after="0" w:line="240" w:lineRule="auto"/>
        <w:textAlignment w:val="baseline"/>
        <w:rPr>
          <w:rFonts w:eastAsia="Times New Roman" w:cs="Times New Roman"/>
          <w:szCs w:val="20"/>
          <w:lang w:val="en-GB" w:eastAsia="en-AU"/>
        </w:rPr>
      </w:pPr>
      <w:r>
        <w:rPr>
          <w:rFonts w:eastAsia="Times New Roman" w:cs="Times New Roman"/>
          <w:szCs w:val="20"/>
          <w:lang w:val="en-GB" w:eastAsia="en-AU"/>
        </w:rPr>
        <w:t>The</w:t>
      </w:r>
      <w:r w:rsidR="00AE7E6E">
        <w:rPr>
          <w:rFonts w:eastAsia="Times New Roman" w:cs="Times New Roman"/>
          <w:szCs w:val="20"/>
          <w:lang w:val="en-GB" w:eastAsia="en-AU"/>
        </w:rPr>
        <w:t xml:space="preserve"> following </w:t>
      </w:r>
      <w:r>
        <w:rPr>
          <w:rFonts w:eastAsia="Times New Roman" w:cs="Times New Roman"/>
          <w:szCs w:val="20"/>
          <w:lang w:val="en-GB" w:eastAsia="en-AU"/>
        </w:rPr>
        <w:t>stakeholders were consulted i</w:t>
      </w:r>
      <w:r w:rsidR="005A2D68">
        <w:rPr>
          <w:rFonts w:eastAsia="Times New Roman" w:cs="Times New Roman"/>
          <w:szCs w:val="20"/>
          <w:lang w:val="en-GB" w:eastAsia="en-AU"/>
        </w:rPr>
        <w:t xml:space="preserve">n </w:t>
      </w:r>
      <w:r>
        <w:rPr>
          <w:rFonts w:eastAsia="Times New Roman" w:cs="Times New Roman"/>
          <w:szCs w:val="20"/>
          <w:lang w:val="en-GB" w:eastAsia="en-AU"/>
        </w:rPr>
        <w:t>relation to the</w:t>
      </w:r>
      <w:r w:rsidR="005A2D68">
        <w:rPr>
          <w:rFonts w:eastAsia="Times New Roman" w:cs="Times New Roman"/>
          <w:szCs w:val="20"/>
          <w:lang w:val="en-GB" w:eastAsia="en-AU"/>
        </w:rPr>
        <w:t xml:space="preserve"> </w:t>
      </w:r>
      <w:r w:rsidR="009746DD">
        <w:rPr>
          <w:rFonts w:eastAsia="Times New Roman" w:cs="Times New Roman"/>
          <w:szCs w:val="20"/>
          <w:lang w:val="en-GB" w:eastAsia="en-AU"/>
        </w:rPr>
        <w:t xml:space="preserve">amendments in </w:t>
      </w:r>
      <w:r w:rsidR="001E3324">
        <w:rPr>
          <w:rFonts w:eastAsia="Times New Roman" w:cs="Times New Roman"/>
          <w:szCs w:val="20"/>
          <w:lang w:val="en-GB" w:eastAsia="en-AU"/>
        </w:rPr>
        <w:t xml:space="preserve">Part </w:t>
      </w:r>
      <w:r>
        <w:rPr>
          <w:rFonts w:eastAsia="Times New Roman" w:cs="Times New Roman"/>
          <w:szCs w:val="20"/>
          <w:lang w:val="en-GB" w:eastAsia="en-AU"/>
        </w:rPr>
        <w:t>2 of the 2018 Regulations</w:t>
      </w:r>
      <w:r w:rsidR="00AE7E6E">
        <w:rPr>
          <w:rFonts w:eastAsia="Times New Roman" w:cs="Times New Roman"/>
          <w:szCs w:val="20"/>
          <w:lang w:val="en-GB" w:eastAsia="en-AU"/>
        </w:rPr>
        <w:t xml:space="preserve"> and supported the amendments</w:t>
      </w:r>
      <w:r w:rsidR="009746DD">
        <w:rPr>
          <w:rFonts w:eastAsia="Times New Roman" w:cs="Times New Roman"/>
          <w:szCs w:val="20"/>
          <w:lang w:val="en-GB" w:eastAsia="en-AU"/>
        </w:rPr>
        <w:t>:</w:t>
      </w:r>
    </w:p>
    <w:p w14:paraId="1832AC46" w14:textId="27190686" w:rsidR="006B4384" w:rsidRDefault="0089103C" w:rsidP="006B4384">
      <w:pPr>
        <w:pStyle w:val="ListParagraph"/>
        <w:numPr>
          <w:ilvl w:val="0"/>
          <w:numId w:val="14"/>
        </w:numPr>
        <w:overflowPunct w:val="0"/>
        <w:autoSpaceDE w:val="0"/>
        <w:autoSpaceDN w:val="0"/>
        <w:adjustRightInd w:val="0"/>
        <w:spacing w:before="240" w:after="0" w:line="240" w:lineRule="auto"/>
        <w:contextualSpacing w:val="0"/>
        <w:textAlignment w:val="baseline"/>
        <w:rPr>
          <w:rFonts w:eastAsia="Times New Roman" w:cs="Times New Roman"/>
          <w:szCs w:val="20"/>
          <w:lang w:eastAsia="en-AU"/>
        </w:rPr>
      </w:pPr>
      <w:r>
        <w:rPr>
          <w:rFonts w:eastAsia="Times New Roman" w:cs="Times New Roman"/>
          <w:szCs w:val="20"/>
          <w:lang w:eastAsia="en-AU"/>
        </w:rPr>
        <w:t xml:space="preserve">The </w:t>
      </w:r>
      <w:r w:rsidR="00D20207" w:rsidRPr="006B4384">
        <w:rPr>
          <w:rFonts w:eastAsia="Times New Roman" w:cs="Times New Roman"/>
          <w:szCs w:val="20"/>
          <w:lang w:eastAsia="en-AU"/>
        </w:rPr>
        <w:t>Office of International Law</w:t>
      </w:r>
      <w:r w:rsidR="00D20207">
        <w:rPr>
          <w:rFonts w:eastAsia="Times New Roman" w:cs="Times New Roman"/>
          <w:szCs w:val="20"/>
          <w:lang w:eastAsia="en-AU"/>
        </w:rPr>
        <w:t xml:space="preserve"> </w:t>
      </w:r>
      <w:r w:rsidR="00CB6F12">
        <w:rPr>
          <w:rFonts w:eastAsia="Times New Roman" w:cs="Times New Roman"/>
          <w:szCs w:val="20"/>
          <w:lang w:eastAsia="en-AU"/>
        </w:rPr>
        <w:t xml:space="preserve">of </w:t>
      </w:r>
      <w:r w:rsidR="00D20207">
        <w:rPr>
          <w:rFonts w:eastAsia="Times New Roman" w:cs="Times New Roman"/>
          <w:szCs w:val="20"/>
          <w:lang w:eastAsia="en-AU"/>
        </w:rPr>
        <w:t>the Attorney</w:t>
      </w:r>
      <w:r w:rsidR="00D20207">
        <w:rPr>
          <w:rFonts w:eastAsia="Times New Roman" w:cs="Times New Roman"/>
          <w:szCs w:val="20"/>
          <w:lang w:eastAsia="en-AU"/>
        </w:rPr>
        <w:noBreakHyphen/>
        <w:t>General’s Department</w:t>
      </w:r>
      <w:r w:rsidR="006B4384">
        <w:rPr>
          <w:rFonts w:eastAsia="Times New Roman" w:cs="Times New Roman"/>
          <w:szCs w:val="20"/>
          <w:lang w:eastAsia="en-AU"/>
        </w:rPr>
        <w:t xml:space="preserve">; </w:t>
      </w:r>
    </w:p>
    <w:p w14:paraId="69B2AC2B" w14:textId="1F55BC35" w:rsidR="006B4384" w:rsidRDefault="0089103C" w:rsidP="006B4384">
      <w:pPr>
        <w:pStyle w:val="ListParagraph"/>
        <w:numPr>
          <w:ilvl w:val="0"/>
          <w:numId w:val="14"/>
        </w:numPr>
        <w:overflowPunct w:val="0"/>
        <w:autoSpaceDE w:val="0"/>
        <w:autoSpaceDN w:val="0"/>
        <w:adjustRightInd w:val="0"/>
        <w:spacing w:before="240" w:after="0" w:line="240" w:lineRule="auto"/>
        <w:contextualSpacing w:val="0"/>
        <w:textAlignment w:val="baseline"/>
        <w:rPr>
          <w:rFonts w:eastAsia="Times New Roman" w:cs="Times New Roman"/>
          <w:szCs w:val="20"/>
          <w:lang w:eastAsia="en-AU"/>
        </w:rPr>
      </w:pPr>
      <w:r>
        <w:rPr>
          <w:rFonts w:eastAsia="Times New Roman" w:cs="Times New Roman"/>
          <w:szCs w:val="20"/>
          <w:lang w:eastAsia="en-AU"/>
        </w:rPr>
        <w:t xml:space="preserve">The </w:t>
      </w:r>
      <w:r w:rsidR="00D20207" w:rsidRPr="006B4384">
        <w:rPr>
          <w:rFonts w:eastAsia="Times New Roman" w:cs="Times New Roman"/>
          <w:szCs w:val="20"/>
          <w:lang w:eastAsia="en-AU"/>
        </w:rPr>
        <w:t>Internationa</w:t>
      </w:r>
      <w:r w:rsidR="00D20207">
        <w:rPr>
          <w:rFonts w:eastAsia="Times New Roman" w:cs="Times New Roman"/>
          <w:szCs w:val="20"/>
          <w:lang w:eastAsia="en-AU"/>
        </w:rPr>
        <w:t>l Intellectual Property Section</w:t>
      </w:r>
      <w:r w:rsidR="00D20207" w:rsidRPr="006B4384">
        <w:rPr>
          <w:rFonts w:eastAsia="Times New Roman" w:cs="Times New Roman"/>
          <w:szCs w:val="20"/>
          <w:lang w:eastAsia="en-AU"/>
        </w:rPr>
        <w:t xml:space="preserve"> </w:t>
      </w:r>
      <w:r w:rsidR="00D20207">
        <w:rPr>
          <w:rFonts w:eastAsia="Times New Roman" w:cs="Times New Roman"/>
          <w:szCs w:val="20"/>
          <w:lang w:eastAsia="en-AU"/>
        </w:rPr>
        <w:t xml:space="preserve">of the </w:t>
      </w:r>
      <w:r w:rsidR="009746DD" w:rsidRPr="006B4384">
        <w:rPr>
          <w:rFonts w:eastAsia="Times New Roman" w:cs="Times New Roman"/>
          <w:szCs w:val="20"/>
          <w:lang w:eastAsia="en-AU"/>
        </w:rPr>
        <w:t xml:space="preserve">Department of Foreign Affairs and Trade, </w:t>
      </w:r>
      <w:r w:rsidR="004D2732">
        <w:rPr>
          <w:rFonts w:eastAsia="Times New Roman" w:cs="Times New Roman"/>
          <w:szCs w:val="20"/>
          <w:lang w:eastAsia="en-AU"/>
        </w:rPr>
        <w:t>and;</w:t>
      </w:r>
    </w:p>
    <w:p w14:paraId="19DFC03D" w14:textId="72F9F65C" w:rsidR="004D2732" w:rsidRDefault="0089103C" w:rsidP="006B4384">
      <w:pPr>
        <w:pStyle w:val="ListParagraph"/>
        <w:numPr>
          <w:ilvl w:val="0"/>
          <w:numId w:val="14"/>
        </w:numPr>
        <w:overflowPunct w:val="0"/>
        <w:autoSpaceDE w:val="0"/>
        <w:autoSpaceDN w:val="0"/>
        <w:adjustRightInd w:val="0"/>
        <w:spacing w:before="240" w:after="0" w:line="240" w:lineRule="auto"/>
        <w:contextualSpacing w:val="0"/>
        <w:textAlignment w:val="baseline"/>
        <w:rPr>
          <w:rFonts w:eastAsia="Times New Roman" w:cs="Times New Roman"/>
          <w:szCs w:val="20"/>
          <w:lang w:eastAsia="en-AU"/>
        </w:rPr>
      </w:pPr>
      <w:r>
        <w:rPr>
          <w:rFonts w:eastAsia="Times New Roman" w:cs="Times New Roman"/>
          <w:szCs w:val="20"/>
          <w:lang w:eastAsia="en-AU"/>
        </w:rPr>
        <w:t xml:space="preserve">The </w:t>
      </w:r>
      <w:r w:rsidR="009746DD" w:rsidRPr="006B4384">
        <w:rPr>
          <w:rFonts w:eastAsia="Times New Roman" w:cs="Times New Roman"/>
          <w:szCs w:val="20"/>
          <w:lang w:eastAsia="en-AU"/>
        </w:rPr>
        <w:t>Phonographic Pe</w:t>
      </w:r>
      <w:r w:rsidR="00683C58">
        <w:rPr>
          <w:rFonts w:eastAsia="Times New Roman" w:cs="Times New Roman"/>
          <w:szCs w:val="20"/>
          <w:lang w:eastAsia="en-AU"/>
        </w:rPr>
        <w:t>rformance Company of Australia</w:t>
      </w:r>
      <w:r w:rsidR="004D2732">
        <w:rPr>
          <w:rFonts w:eastAsia="Times New Roman" w:cs="Times New Roman"/>
          <w:szCs w:val="20"/>
          <w:lang w:eastAsia="en-AU"/>
        </w:rPr>
        <w:t>.</w:t>
      </w:r>
    </w:p>
    <w:p w14:paraId="59C575CF" w14:textId="77777777" w:rsidR="000C44D0" w:rsidRPr="000C44D0"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val="en-GB" w:eastAsia="en-AU"/>
        </w:rPr>
      </w:pPr>
      <w:r w:rsidRPr="001E3324">
        <w:rPr>
          <w:rFonts w:eastAsia="Times New Roman" w:cs="Times New Roman"/>
          <w:b/>
          <w:kern w:val="28"/>
          <w:sz w:val="26"/>
          <w:szCs w:val="20"/>
          <w:lang w:val="en-GB" w:eastAsia="en-AU"/>
        </w:rPr>
        <w:lastRenderedPageBreak/>
        <w:t>Regulation Impact Statement</w:t>
      </w:r>
    </w:p>
    <w:p w14:paraId="07455BC5" w14:textId="0E1EC5AA" w:rsidR="000C44D0" w:rsidRP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val="en-GB" w:eastAsia="en-AU"/>
        </w:rPr>
      </w:pPr>
      <w:r w:rsidRPr="000C44D0">
        <w:rPr>
          <w:rFonts w:eastAsia="Times New Roman" w:cs="Times New Roman"/>
          <w:szCs w:val="20"/>
          <w:lang w:val="en-GB" w:eastAsia="en-AU"/>
        </w:rPr>
        <w:t xml:space="preserve">The Office of Best Practice Regulation has assessed the </w:t>
      </w:r>
      <w:r w:rsidR="0044364F">
        <w:rPr>
          <w:rFonts w:eastAsia="Times New Roman" w:cs="Times New Roman"/>
          <w:szCs w:val="20"/>
          <w:lang w:val="en-GB" w:eastAsia="en-AU"/>
        </w:rPr>
        <w:t xml:space="preserve">extension of </w:t>
      </w:r>
      <w:r w:rsidR="00683C58">
        <w:rPr>
          <w:rFonts w:eastAsia="Times New Roman" w:cs="Times New Roman"/>
          <w:szCs w:val="20"/>
          <w:lang w:val="en-GB" w:eastAsia="en-AU"/>
        </w:rPr>
        <w:t xml:space="preserve">copyright </w:t>
      </w:r>
      <w:r w:rsidR="0044364F">
        <w:rPr>
          <w:rFonts w:eastAsia="Times New Roman" w:cs="Times New Roman"/>
          <w:szCs w:val="20"/>
          <w:lang w:val="en-GB" w:eastAsia="en-AU"/>
        </w:rPr>
        <w:t xml:space="preserve">protection </w:t>
      </w:r>
      <w:r w:rsidR="001E3324">
        <w:rPr>
          <w:rFonts w:eastAsia="Times New Roman" w:cs="Times New Roman"/>
          <w:szCs w:val="20"/>
          <w:lang w:val="en-GB" w:eastAsia="en-AU"/>
        </w:rPr>
        <w:t>to Malaysian encoded broadcasts and foreign sound recordings</w:t>
      </w:r>
      <w:r w:rsidR="0044364F">
        <w:rPr>
          <w:rFonts w:eastAsia="Times New Roman" w:cs="Times New Roman"/>
          <w:szCs w:val="20"/>
          <w:lang w:val="en-GB" w:eastAsia="en-AU"/>
        </w:rPr>
        <w:t xml:space="preserve"> as</w:t>
      </w:r>
      <w:r w:rsidRPr="000C44D0">
        <w:rPr>
          <w:rFonts w:eastAsia="Times New Roman" w:cs="Times New Roman"/>
          <w:szCs w:val="20"/>
          <w:lang w:val="en-GB" w:eastAsia="en-AU"/>
        </w:rPr>
        <w:t xml:space="preserve"> having minor regulatory impact on business, community organisations and individuals. As such, a</w:t>
      </w:r>
      <w:r w:rsidR="00AF4968">
        <w:rPr>
          <w:rFonts w:eastAsia="Times New Roman" w:cs="Times New Roman"/>
          <w:szCs w:val="20"/>
          <w:lang w:val="en-GB" w:eastAsia="en-AU"/>
        </w:rPr>
        <w:t xml:space="preserve"> </w:t>
      </w:r>
      <w:r w:rsidR="00AF4968" w:rsidRPr="00AF4968">
        <w:rPr>
          <w:rFonts w:eastAsia="Times New Roman" w:cs="Times New Roman"/>
          <w:szCs w:val="20"/>
          <w:lang w:val="en-GB" w:eastAsia="en-AU"/>
        </w:rPr>
        <w:t>Regulation Impact Statement</w:t>
      </w:r>
      <w:r w:rsidRPr="000C44D0">
        <w:rPr>
          <w:rFonts w:eastAsia="Times New Roman" w:cs="Times New Roman"/>
          <w:szCs w:val="20"/>
          <w:lang w:val="en-GB" w:eastAsia="en-AU"/>
        </w:rPr>
        <w:t xml:space="preserve"> is not required.</w:t>
      </w:r>
    </w:p>
    <w:p w14:paraId="0ADE58AE" w14:textId="77777777" w:rsidR="000C44D0" w:rsidRPr="000C44D0"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val="en-GB" w:eastAsia="en-AU"/>
        </w:rPr>
      </w:pPr>
      <w:r w:rsidRPr="008F1BBF">
        <w:rPr>
          <w:rFonts w:eastAsia="Times New Roman" w:cs="Times New Roman"/>
          <w:b/>
          <w:kern w:val="28"/>
          <w:sz w:val="26"/>
          <w:szCs w:val="20"/>
          <w:lang w:val="en-GB" w:eastAsia="en-AU"/>
        </w:rPr>
        <w:t>Statement of Compatibility with Human Rights</w:t>
      </w:r>
    </w:p>
    <w:p w14:paraId="11D0103E" w14:textId="3283E81F" w:rsidR="000C44D0" w:rsidRP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val="en-GB" w:eastAsia="en-AU"/>
        </w:rPr>
      </w:pPr>
      <w:r w:rsidRPr="000C44D0">
        <w:rPr>
          <w:rFonts w:eastAsia="Times New Roman" w:cs="Times New Roman"/>
          <w:szCs w:val="20"/>
          <w:lang w:val="en-GB" w:eastAsia="en-AU"/>
        </w:rPr>
        <w:t xml:space="preserve">A statement of compatibility with human rights for the purposes of Part 3 of the </w:t>
      </w:r>
      <w:r w:rsidRPr="000C44D0">
        <w:rPr>
          <w:rFonts w:eastAsia="Times New Roman" w:cs="Times New Roman"/>
          <w:i/>
          <w:szCs w:val="20"/>
          <w:lang w:val="en-GB" w:eastAsia="en-AU"/>
        </w:rPr>
        <w:t>Human Rights (Parliamentary Scrutiny) Act 2011</w:t>
      </w:r>
      <w:r w:rsidR="00E47C3F">
        <w:rPr>
          <w:rFonts w:eastAsia="Times New Roman" w:cs="Times New Roman"/>
          <w:szCs w:val="20"/>
          <w:lang w:val="en-GB" w:eastAsia="en-AU"/>
        </w:rPr>
        <w:t xml:space="preserve"> is set out at </w:t>
      </w:r>
      <w:r w:rsidR="00E47C3F" w:rsidRPr="00EF0F8B">
        <w:rPr>
          <w:rFonts w:eastAsia="Times New Roman" w:cs="Times New Roman"/>
          <w:szCs w:val="20"/>
          <w:u w:val="single"/>
          <w:lang w:val="en-GB" w:eastAsia="en-AU"/>
        </w:rPr>
        <w:t xml:space="preserve">Attachment </w:t>
      </w:r>
      <w:r w:rsidR="00AE379E">
        <w:rPr>
          <w:rFonts w:eastAsia="Times New Roman" w:cs="Times New Roman"/>
          <w:szCs w:val="20"/>
          <w:u w:val="single"/>
          <w:lang w:val="en-GB" w:eastAsia="en-AU"/>
        </w:rPr>
        <w:t>2</w:t>
      </w:r>
      <w:r w:rsidR="00E47C3F">
        <w:rPr>
          <w:rFonts w:eastAsia="Times New Roman" w:cs="Times New Roman"/>
          <w:szCs w:val="20"/>
          <w:lang w:val="en-GB" w:eastAsia="en-AU"/>
        </w:rPr>
        <w:t>.</w:t>
      </w:r>
    </w:p>
    <w:p w14:paraId="760BC8D3" w14:textId="77777777" w:rsidR="000C44D0" w:rsidRPr="000C44D0" w:rsidRDefault="000C44D0" w:rsidP="0019607C">
      <w:pPr>
        <w:keepNext/>
        <w:pageBreakBefore/>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eastAsia="en-AU"/>
        </w:rPr>
      </w:pPr>
      <w:r w:rsidRPr="000C44D0">
        <w:rPr>
          <w:rFonts w:eastAsia="Times New Roman" w:cs="Times New Roman"/>
          <w:b/>
          <w:kern w:val="28"/>
          <w:sz w:val="26"/>
          <w:szCs w:val="20"/>
          <w:lang w:eastAsia="en-AU"/>
        </w:rPr>
        <w:lastRenderedPageBreak/>
        <w:t>Attachment 1: Notes on Sections</w:t>
      </w:r>
    </w:p>
    <w:p w14:paraId="3D245099" w14:textId="77777777" w:rsidR="000C44D0" w:rsidRDefault="000C44D0" w:rsidP="004975BA">
      <w:pPr>
        <w:rPr>
          <w:lang w:eastAsia="en-AU"/>
        </w:rPr>
      </w:pPr>
    </w:p>
    <w:p w14:paraId="3534C07E" w14:textId="77777777" w:rsidR="000C44D0" w:rsidRPr="000C44D0" w:rsidRDefault="000C44D0" w:rsidP="0019607C">
      <w:pPr>
        <w:keepNext/>
        <w:keepLines/>
        <w:overflowPunct w:val="0"/>
        <w:autoSpaceDE w:val="0"/>
        <w:autoSpaceDN w:val="0"/>
        <w:adjustRightInd w:val="0"/>
        <w:spacing w:before="240" w:after="0" w:line="240" w:lineRule="auto"/>
        <w:contextualSpacing/>
        <w:textAlignment w:val="baseline"/>
        <w:outlineLvl w:val="4"/>
        <w:rPr>
          <w:rFonts w:eastAsia="Times New Roman" w:cs="Times New Roman"/>
          <w:b/>
          <w:szCs w:val="24"/>
          <w:lang w:eastAsia="en-AU"/>
        </w:rPr>
      </w:pPr>
      <w:r w:rsidRPr="000C44D0">
        <w:rPr>
          <w:rFonts w:eastAsia="Times New Roman" w:cs="Times New Roman"/>
          <w:b/>
          <w:szCs w:val="24"/>
          <w:lang w:eastAsia="en-AU"/>
        </w:rPr>
        <w:t>Section 1—Name</w:t>
      </w:r>
    </w:p>
    <w:p w14:paraId="43C9837B" w14:textId="77777777" w:rsidR="000C44D0" w:rsidRP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Section 1 provides for th</w:t>
      </w:r>
      <w:r w:rsidR="00043794">
        <w:rPr>
          <w:rFonts w:eastAsia="Times New Roman" w:cs="Times New Roman"/>
          <w:szCs w:val="20"/>
          <w:lang w:eastAsia="en-AU"/>
        </w:rPr>
        <w:t>is instrument</w:t>
      </w:r>
      <w:r w:rsidRPr="000C44D0">
        <w:rPr>
          <w:rFonts w:eastAsia="Times New Roman" w:cs="Times New Roman"/>
          <w:szCs w:val="20"/>
          <w:lang w:eastAsia="en-AU"/>
        </w:rPr>
        <w:t xml:space="preserve"> to be cited as the </w:t>
      </w:r>
      <w:r w:rsidR="00043794" w:rsidRPr="00043794">
        <w:rPr>
          <w:rFonts w:eastAsia="Times New Roman" w:cs="Times New Roman"/>
          <w:i/>
          <w:szCs w:val="20"/>
          <w:lang w:eastAsia="en-AU"/>
        </w:rPr>
        <w:t>Copyright (International Protection) Amendment Regulations 2018</w:t>
      </w:r>
      <w:r w:rsidRPr="000C44D0">
        <w:rPr>
          <w:rFonts w:eastAsia="Times New Roman" w:cs="Times New Roman"/>
          <w:szCs w:val="20"/>
          <w:lang w:eastAsia="en-AU"/>
        </w:rPr>
        <w:t>.</w:t>
      </w:r>
    </w:p>
    <w:p w14:paraId="24C5DA21" w14:textId="77777777" w:rsidR="000C44D0" w:rsidRDefault="000C44D0" w:rsidP="004975BA">
      <w:pPr>
        <w:rPr>
          <w:lang w:eastAsia="en-AU"/>
        </w:rPr>
      </w:pPr>
    </w:p>
    <w:p w14:paraId="554DF2A9" w14:textId="77777777" w:rsidR="000C44D0" w:rsidRPr="000C44D0" w:rsidRDefault="000C44D0" w:rsidP="0019607C">
      <w:pPr>
        <w:keepNext/>
        <w:keepLines/>
        <w:overflowPunct w:val="0"/>
        <w:autoSpaceDE w:val="0"/>
        <w:autoSpaceDN w:val="0"/>
        <w:adjustRightInd w:val="0"/>
        <w:spacing w:before="240" w:after="0" w:line="240" w:lineRule="auto"/>
        <w:contextualSpacing/>
        <w:textAlignment w:val="baseline"/>
        <w:outlineLvl w:val="4"/>
        <w:rPr>
          <w:rFonts w:eastAsia="Times New Roman" w:cs="Times New Roman"/>
          <w:b/>
          <w:szCs w:val="24"/>
          <w:lang w:eastAsia="en-AU"/>
        </w:rPr>
      </w:pPr>
      <w:r w:rsidRPr="000C44D0">
        <w:rPr>
          <w:rFonts w:eastAsia="Times New Roman" w:cs="Times New Roman"/>
          <w:b/>
          <w:szCs w:val="24"/>
          <w:lang w:eastAsia="en-AU"/>
        </w:rPr>
        <w:t>Section 2—Commencement</w:t>
      </w:r>
    </w:p>
    <w:p w14:paraId="2A6332F5" w14:textId="77777777" w:rsidR="000C44D0" w:rsidRPr="000C44D0"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 xml:space="preserve">Section 2 provides for the commencement of the </w:t>
      </w:r>
      <w:r w:rsidR="00043794">
        <w:rPr>
          <w:rFonts w:eastAsia="Times New Roman" w:cs="Times New Roman"/>
          <w:szCs w:val="20"/>
          <w:lang w:eastAsia="en-AU"/>
        </w:rPr>
        <w:t>2018</w:t>
      </w:r>
      <w:r w:rsidRPr="000C44D0">
        <w:rPr>
          <w:rFonts w:eastAsia="Times New Roman" w:cs="Times New Roman"/>
          <w:szCs w:val="20"/>
          <w:lang w:eastAsia="en-AU"/>
        </w:rPr>
        <w:t xml:space="preserve"> Regulations.</w:t>
      </w:r>
    </w:p>
    <w:p w14:paraId="3AA6BA9E" w14:textId="2CB7FBD3" w:rsidR="000C44D0" w:rsidRDefault="003E1B4B"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The table provides that Sections 1 to 4</w:t>
      </w:r>
      <w:r w:rsidR="002D4D30">
        <w:rPr>
          <w:rFonts w:eastAsia="Times New Roman" w:cs="Times New Roman"/>
          <w:szCs w:val="20"/>
          <w:lang w:eastAsia="en-AU"/>
        </w:rPr>
        <w:t xml:space="preserve"> of</w:t>
      </w:r>
      <w:r>
        <w:rPr>
          <w:rFonts w:eastAsia="Times New Roman" w:cs="Times New Roman"/>
          <w:szCs w:val="20"/>
          <w:lang w:eastAsia="en-AU"/>
        </w:rPr>
        <w:t xml:space="preserve"> </w:t>
      </w:r>
      <w:r w:rsidR="001E3324">
        <w:rPr>
          <w:rFonts w:eastAsia="Times New Roman" w:cs="Times New Roman"/>
          <w:szCs w:val="20"/>
          <w:lang w:val="en-GB" w:eastAsia="en-AU"/>
        </w:rPr>
        <w:t>Part</w:t>
      </w:r>
      <w:r>
        <w:rPr>
          <w:rFonts w:eastAsia="Times New Roman" w:cs="Times New Roman"/>
          <w:szCs w:val="20"/>
          <w:lang w:eastAsia="en-AU"/>
        </w:rPr>
        <w:t xml:space="preserve"> 1, and anything </w:t>
      </w:r>
      <w:r w:rsidRPr="003E1B4B">
        <w:rPr>
          <w:rFonts w:eastAsia="Times New Roman" w:cs="Times New Roman"/>
          <w:szCs w:val="20"/>
          <w:lang w:eastAsia="en-AU"/>
        </w:rPr>
        <w:t xml:space="preserve">in </w:t>
      </w:r>
      <w:r>
        <w:rPr>
          <w:rFonts w:eastAsia="Times New Roman" w:cs="Times New Roman"/>
          <w:szCs w:val="20"/>
          <w:lang w:eastAsia="en-AU"/>
        </w:rPr>
        <w:t>the 2018 Regulations</w:t>
      </w:r>
      <w:r w:rsidRPr="003E1B4B">
        <w:rPr>
          <w:rFonts w:eastAsia="Times New Roman" w:cs="Times New Roman"/>
          <w:szCs w:val="20"/>
          <w:lang w:eastAsia="en-AU"/>
        </w:rPr>
        <w:t xml:space="preserve"> not elsewhere covered by th</w:t>
      </w:r>
      <w:r>
        <w:rPr>
          <w:rFonts w:eastAsia="Times New Roman" w:cs="Times New Roman"/>
          <w:szCs w:val="20"/>
          <w:lang w:eastAsia="en-AU"/>
        </w:rPr>
        <w:t>e table</w:t>
      </w:r>
      <w:r w:rsidR="00AF4968">
        <w:rPr>
          <w:rFonts w:eastAsia="Times New Roman" w:cs="Times New Roman"/>
          <w:szCs w:val="20"/>
          <w:lang w:eastAsia="en-AU"/>
        </w:rPr>
        <w:t>,</w:t>
      </w:r>
      <w:r w:rsidR="000C44D0" w:rsidRPr="000C44D0">
        <w:rPr>
          <w:rFonts w:eastAsia="Times New Roman" w:cs="Times New Roman"/>
          <w:szCs w:val="20"/>
          <w:lang w:eastAsia="en-AU"/>
        </w:rPr>
        <w:t xml:space="preserve"> commence</w:t>
      </w:r>
      <w:r>
        <w:rPr>
          <w:rFonts w:eastAsia="Times New Roman" w:cs="Times New Roman"/>
          <w:szCs w:val="20"/>
          <w:lang w:eastAsia="en-AU"/>
        </w:rPr>
        <w:t>s</w:t>
      </w:r>
      <w:r w:rsidR="000C44D0" w:rsidRPr="000C44D0">
        <w:rPr>
          <w:rFonts w:eastAsia="Times New Roman" w:cs="Times New Roman"/>
          <w:szCs w:val="20"/>
          <w:lang w:eastAsia="en-AU"/>
        </w:rPr>
        <w:t xml:space="preserve"> </w:t>
      </w:r>
      <w:r>
        <w:rPr>
          <w:rFonts w:eastAsia="Times New Roman" w:cs="Times New Roman"/>
          <w:szCs w:val="20"/>
          <w:lang w:eastAsia="en-AU"/>
        </w:rPr>
        <w:t xml:space="preserve">the day after </w:t>
      </w:r>
      <w:r w:rsidR="00043794">
        <w:rPr>
          <w:rFonts w:eastAsia="Times New Roman" w:cs="Times New Roman"/>
          <w:szCs w:val="20"/>
          <w:lang w:eastAsia="en-AU"/>
        </w:rPr>
        <w:t xml:space="preserve">this instrument is registered on the Federal Register of Legislation. </w:t>
      </w:r>
      <w:r w:rsidR="000C44D0" w:rsidRPr="000C44D0">
        <w:rPr>
          <w:rFonts w:eastAsia="Times New Roman" w:cs="Times New Roman"/>
          <w:szCs w:val="20"/>
          <w:lang w:eastAsia="en-AU"/>
        </w:rPr>
        <w:t xml:space="preserve"> </w:t>
      </w:r>
    </w:p>
    <w:p w14:paraId="29522288" w14:textId="5E0C5EB7" w:rsidR="00043794" w:rsidRPr="000C44D0" w:rsidRDefault="0009744E"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9744E">
        <w:rPr>
          <w:rFonts w:eastAsia="Times New Roman" w:cs="Times New Roman"/>
          <w:szCs w:val="20"/>
          <w:lang w:eastAsia="en-AU"/>
        </w:rPr>
        <w:t>Part 2 of the 2018 Regulations will commence on 1 January 2019</w:t>
      </w:r>
      <w:r w:rsidR="002D4D30">
        <w:rPr>
          <w:rFonts w:eastAsia="Times New Roman" w:cs="Times New Roman"/>
          <w:szCs w:val="20"/>
          <w:lang w:eastAsia="en-AU"/>
        </w:rPr>
        <w:t xml:space="preserve"> to align with the business practices of the </w:t>
      </w:r>
      <w:r w:rsidRPr="0009744E">
        <w:rPr>
          <w:rFonts w:eastAsia="Times New Roman" w:cs="Times New Roman"/>
          <w:szCs w:val="20"/>
          <w:lang w:eastAsia="en-AU"/>
        </w:rPr>
        <w:t>Phonographic Performance Company of Australia</w:t>
      </w:r>
      <w:r w:rsidR="009511AE">
        <w:rPr>
          <w:rFonts w:eastAsia="Times New Roman" w:cs="Times New Roman"/>
          <w:szCs w:val="20"/>
          <w:lang w:eastAsia="en-AU"/>
        </w:rPr>
        <w:t>,</w:t>
      </w:r>
      <w:r w:rsidRPr="0009744E">
        <w:rPr>
          <w:rFonts w:eastAsia="Times New Roman" w:cs="Times New Roman"/>
          <w:szCs w:val="20"/>
          <w:lang w:eastAsia="en-AU"/>
        </w:rPr>
        <w:t xml:space="preserve"> </w:t>
      </w:r>
      <w:r w:rsidR="002D4D30">
        <w:rPr>
          <w:rFonts w:eastAsia="Times New Roman" w:cs="Times New Roman"/>
          <w:szCs w:val="20"/>
          <w:lang w:eastAsia="en-AU"/>
        </w:rPr>
        <w:t xml:space="preserve">who </w:t>
      </w:r>
      <w:r w:rsidRPr="0009744E">
        <w:rPr>
          <w:rFonts w:eastAsia="Times New Roman" w:cs="Times New Roman"/>
          <w:szCs w:val="20"/>
          <w:lang w:eastAsia="en-AU"/>
        </w:rPr>
        <w:t>are the main body affected by the amendments to Schedule 3.</w:t>
      </w:r>
    </w:p>
    <w:p w14:paraId="4F037ACC" w14:textId="77777777" w:rsidR="000C44D0" w:rsidRDefault="000C44D0" w:rsidP="004975BA">
      <w:pPr>
        <w:rPr>
          <w:lang w:eastAsia="en-AU"/>
        </w:rPr>
      </w:pPr>
    </w:p>
    <w:p w14:paraId="538AB136" w14:textId="77777777" w:rsidR="000C44D0" w:rsidRPr="000C44D0" w:rsidRDefault="000C44D0" w:rsidP="0019607C">
      <w:pPr>
        <w:keepNext/>
        <w:keepLines/>
        <w:overflowPunct w:val="0"/>
        <w:autoSpaceDE w:val="0"/>
        <w:autoSpaceDN w:val="0"/>
        <w:adjustRightInd w:val="0"/>
        <w:spacing w:before="240" w:after="0" w:line="240" w:lineRule="auto"/>
        <w:contextualSpacing/>
        <w:textAlignment w:val="baseline"/>
        <w:outlineLvl w:val="4"/>
        <w:rPr>
          <w:rFonts w:eastAsia="Times New Roman" w:cs="Times New Roman"/>
          <w:b/>
          <w:szCs w:val="24"/>
          <w:lang w:eastAsia="en-AU"/>
        </w:rPr>
      </w:pPr>
      <w:r w:rsidRPr="00757DCB">
        <w:rPr>
          <w:rFonts w:eastAsia="Times New Roman" w:cs="Times New Roman"/>
          <w:b/>
          <w:szCs w:val="24"/>
          <w:lang w:eastAsia="en-AU"/>
        </w:rPr>
        <w:t>Section 3—Authority</w:t>
      </w:r>
    </w:p>
    <w:p w14:paraId="0ABD3AF0" w14:textId="5AE4F8C1" w:rsidR="00043794" w:rsidRDefault="000C44D0"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 xml:space="preserve">Section 3 provides that the </w:t>
      </w:r>
      <w:r w:rsidR="00043794">
        <w:rPr>
          <w:rFonts w:eastAsia="Times New Roman" w:cs="Times New Roman"/>
          <w:szCs w:val="20"/>
          <w:lang w:eastAsia="en-AU"/>
        </w:rPr>
        <w:t xml:space="preserve">2018 </w:t>
      </w:r>
      <w:r w:rsidRPr="000C44D0">
        <w:rPr>
          <w:rFonts w:eastAsia="Times New Roman" w:cs="Times New Roman"/>
          <w:szCs w:val="20"/>
          <w:lang w:eastAsia="en-AU"/>
        </w:rPr>
        <w:t xml:space="preserve">Regulations are made under the authority of the </w:t>
      </w:r>
      <w:r w:rsidR="00324D59" w:rsidRPr="00324D59">
        <w:rPr>
          <w:rFonts w:eastAsia="Times New Roman" w:cs="Times New Roman"/>
          <w:i/>
          <w:szCs w:val="20"/>
          <w:lang w:eastAsia="en-AU"/>
        </w:rPr>
        <w:t>Copyright</w:t>
      </w:r>
      <w:r w:rsidR="00324D59">
        <w:rPr>
          <w:rFonts w:eastAsia="Times New Roman" w:cs="Times New Roman"/>
          <w:i/>
          <w:szCs w:val="20"/>
          <w:lang w:eastAsia="en-AU"/>
        </w:rPr>
        <w:t> Act </w:t>
      </w:r>
      <w:r w:rsidR="00324D59" w:rsidRPr="00324D59">
        <w:rPr>
          <w:rFonts w:eastAsia="Times New Roman" w:cs="Times New Roman"/>
          <w:i/>
          <w:szCs w:val="20"/>
          <w:lang w:eastAsia="en-AU"/>
        </w:rPr>
        <w:t>1968</w:t>
      </w:r>
      <w:r w:rsidR="00324D59">
        <w:rPr>
          <w:rFonts w:eastAsia="Times New Roman" w:cs="Times New Roman"/>
          <w:i/>
          <w:szCs w:val="20"/>
          <w:lang w:eastAsia="en-AU"/>
        </w:rPr>
        <w:t xml:space="preserve"> </w:t>
      </w:r>
      <w:r w:rsidR="00324D59" w:rsidRPr="00324D59">
        <w:rPr>
          <w:rFonts w:eastAsia="Times New Roman" w:cs="Times New Roman"/>
          <w:szCs w:val="20"/>
          <w:lang w:eastAsia="en-AU"/>
        </w:rPr>
        <w:t xml:space="preserve">(the </w:t>
      </w:r>
      <w:r w:rsidRPr="000C44D0">
        <w:rPr>
          <w:rFonts w:eastAsia="Times New Roman" w:cs="Times New Roman"/>
          <w:szCs w:val="20"/>
          <w:lang w:eastAsia="en-AU"/>
        </w:rPr>
        <w:t>Act</w:t>
      </w:r>
      <w:r w:rsidR="00324D59">
        <w:rPr>
          <w:rFonts w:eastAsia="Times New Roman" w:cs="Times New Roman"/>
          <w:szCs w:val="20"/>
          <w:lang w:eastAsia="en-AU"/>
        </w:rPr>
        <w:t>)</w:t>
      </w:r>
      <w:r w:rsidR="00043794">
        <w:rPr>
          <w:rFonts w:eastAsia="Times New Roman" w:cs="Times New Roman"/>
          <w:szCs w:val="20"/>
          <w:lang w:eastAsia="en-AU"/>
        </w:rPr>
        <w:t>.</w:t>
      </w:r>
    </w:p>
    <w:p w14:paraId="08A9AFAA" w14:textId="024F2968" w:rsidR="00983C91" w:rsidRDefault="00983C91"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sidRPr="00983C91">
        <w:rPr>
          <w:rFonts w:eastAsia="Times New Roman" w:cs="Times New Roman"/>
          <w:szCs w:val="20"/>
          <w:lang w:eastAsia="en-AU"/>
        </w:rPr>
        <w:t xml:space="preserve">Sections 184 and 249 </w:t>
      </w:r>
      <w:r>
        <w:rPr>
          <w:rFonts w:eastAsia="Times New Roman" w:cs="Times New Roman"/>
          <w:szCs w:val="20"/>
          <w:lang w:eastAsia="en-AU"/>
        </w:rPr>
        <w:t xml:space="preserve">of the Act </w:t>
      </w:r>
      <w:r w:rsidRPr="00983C91">
        <w:rPr>
          <w:rFonts w:eastAsia="Times New Roman" w:cs="Times New Roman"/>
          <w:szCs w:val="20"/>
          <w:lang w:eastAsia="en-AU"/>
        </w:rPr>
        <w:t>authorise the making of regulations in relation to foreign works and other subject matter.</w:t>
      </w:r>
    </w:p>
    <w:p w14:paraId="2F90C13E" w14:textId="05693E5C" w:rsidR="004533F9" w:rsidRDefault="00983C91" w:rsidP="0019607C">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Paragraph</w:t>
      </w:r>
      <w:r w:rsidR="000C44D0" w:rsidRPr="000C44D0">
        <w:rPr>
          <w:rFonts w:eastAsia="Times New Roman" w:cs="Times New Roman"/>
          <w:szCs w:val="20"/>
          <w:lang w:eastAsia="en-AU"/>
        </w:rPr>
        <w:t> </w:t>
      </w:r>
      <w:r w:rsidR="00043794">
        <w:rPr>
          <w:rFonts w:eastAsia="Times New Roman" w:cs="Times New Roman"/>
          <w:szCs w:val="20"/>
          <w:lang w:eastAsia="en-AU"/>
        </w:rPr>
        <w:t>184(1)</w:t>
      </w:r>
      <w:r w:rsidR="00324D59">
        <w:rPr>
          <w:rFonts w:eastAsia="Times New Roman" w:cs="Times New Roman"/>
          <w:szCs w:val="20"/>
          <w:lang w:eastAsia="en-AU"/>
        </w:rPr>
        <w:t>(a)</w:t>
      </w:r>
      <w:r w:rsidR="00043794">
        <w:rPr>
          <w:rFonts w:eastAsia="Times New Roman" w:cs="Times New Roman"/>
          <w:szCs w:val="20"/>
          <w:lang w:eastAsia="en-AU"/>
        </w:rPr>
        <w:t xml:space="preserve"> </w:t>
      </w:r>
      <w:r w:rsidRPr="00983C91">
        <w:rPr>
          <w:rFonts w:eastAsia="Times New Roman" w:cs="Times New Roman"/>
          <w:szCs w:val="20"/>
          <w:lang w:eastAsia="en-AU"/>
        </w:rPr>
        <w:t>provides that the regulations made under the Act may apply any of the provisions of the Act in relation to</w:t>
      </w:r>
      <w:r w:rsidR="00324D59" w:rsidRPr="00324D59">
        <w:rPr>
          <w:rFonts w:eastAsia="Times New Roman" w:cs="Times New Roman"/>
          <w:szCs w:val="20"/>
          <w:lang w:eastAsia="en-AU"/>
        </w:rPr>
        <w:t xml:space="preserve"> sound recordings made or first published</w:t>
      </w:r>
      <w:r w:rsidR="00D573B9">
        <w:rPr>
          <w:rFonts w:eastAsia="Times New Roman" w:cs="Times New Roman"/>
          <w:szCs w:val="20"/>
          <w:lang w:eastAsia="en-AU"/>
        </w:rPr>
        <w:t xml:space="preserve"> </w:t>
      </w:r>
      <w:r>
        <w:rPr>
          <w:rFonts w:eastAsia="Times New Roman" w:cs="Times New Roman"/>
          <w:szCs w:val="20"/>
          <w:lang w:eastAsia="en-AU"/>
        </w:rPr>
        <w:t xml:space="preserve">in a country </w:t>
      </w:r>
      <w:r w:rsidR="00324D59" w:rsidRPr="00324D59">
        <w:rPr>
          <w:rFonts w:eastAsia="Times New Roman" w:cs="Times New Roman"/>
          <w:szCs w:val="20"/>
          <w:lang w:eastAsia="en-AU"/>
        </w:rPr>
        <w:t xml:space="preserve">in </w:t>
      </w:r>
      <w:r w:rsidR="00AF4968">
        <w:rPr>
          <w:rFonts w:eastAsia="Times New Roman" w:cs="Times New Roman"/>
          <w:szCs w:val="20"/>
          <w:lang w:eastAsia="en-AU"/>
        </w:rPr>
        <w:t xml:space="preserve">a </w:t>
      </w:r>
      <w:r w:rsidR="00324D59" w:rsidRPr="00324D59">
        <w:rPr>
          <w:rFonts w:eastAsia="Times New Roman" w:cs="Times New Roman"/>
          <w:szCs w:val="20"/>
          <w:lang w:eastAsia="en-AU"/>
        </w:rPr>
        <w:t>like manner as those provisions apply in relation to sound recordings made or first published in Australia</w:t>
      </w:r>
      <w:r w:rsidR="00324D59">
        <w:rPr>
          <w:rFonts w:eastAsia="Times New Roman" w:cs="Times New Roman"/>
          <w:szCs w:val="20"/>
          <w:lang w:eastAsia="en-AU"/>
        </w:rPr>
        <w:t>.</w:t>
      </w:r>
    </w:p>
    <w:p w14:paraId="6BF904B9" w14:textId="4A1D6DAE" w:rsidR="00D573B9" w:rsidRDefault="00C671E2" w:rsidP="00D573B9">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As a condition, p</w:t>
      </w:r>
      <w:r w:rsidR="002B1DE2">
        <w:rPr>
          <w:rFonts w:eastAsia="Times New Roman" w:cs="Times New Roman"/>
          <w:szCs w:val="20"/>
          <w:lang w:eastAsia="en-AU"/>
        </w:rPr>
        <w:t>aragraph 184(3)(b) provides that before the Governor</w:t>
      </w:r>
      <w:r w:rsidR="002B1DE2">
        <w:rPr>
          <w:rFonts w:eastAsia="Times New Roman" w:cs="Times New Roman"/>
          <w:szCs w:val="20"/>
          <w:lang w:eastAsia="en-AU"/>
        </w:rPr>
        <w:noBreakHyphen/>
        <w:t xml:space="preserve">General makes a regulation for the purposes of subsection 184(1), </w:t>
      </w:r>
      <w:r w:rsidR="00D573B9" w:rsidRPr="004533F9">
        <w:rPr>
          <w:rFonts w:eastAsia="Times New Roman" w:cs="Times New Roman"/>
          <w:szCs w:val="20"/>
          <w:lang w:eastAsia="en-AU"/>
        </w:rPr>
        <w:t xml:space="preserve">the Minister must be </w:t>
      </w:r>
      <w:r w:rsidR="00D573B9" w:rsidRPr="004533F9">
        <w:rPr>
          <w:rFonts w:eastAsia="Times New Roman" w:cs="Times New Roman"/>
          <w:szCs w:val="20"/>
          <w:lang w:eastAsia="en-AU"/>
        </w:rPr>
        <w:lastRenderedPageBreak/>
        <w:t xml:space="preserve">satisfied that adequate protection is or will be given under the law of the </w:t>
      </w:r>
      <w:r w:rsidR="00D573B9">
        <w:rPr>
          <w:rFonts w:eastAsia="Times New Roman" w:cs="Times New Roman"/>
          <w:szCs w:val="20"/>
          <w:lang w:eastAsia="en-AU"/>
        </w:rPr>
        <w:t xml:space="preserve">foreign </w:t>
      </w:r>
      <w:r w:rsidR="00D573B9" w:rsidRPr="004533F9">
        <w:rPr>
          <w:rFonts w:eastAsia="Times New Roman" w:cs="Times New Roman"/>
          <w:szCs w:val="20"/>
          <w:lang w:eastAsia="en-AU"/>
        </w:rPr>
        <w:t xml:space="preserve">country </w:t>
      </w:r>
      <w:r w:rsidR="00D573B9">
        <w:rPr>
          <w:rFonts w:eastAsia="Times New Roman" w:cs="Times New Roman"/>
          <w:szCs w:val="20"/>
          <w:lang w:eastAsia="en-AU"/>
        </w:rPr>
        <w:t xml:space="preserve">in the related class of works. </w:t>
      </w:r>
    </w:p>
    <w:p w14:paraId="0196FEAB" w14:textId="03C389A5" w:rsidR="004533F9" w:rsidRDefault="00983C91" w:rsidP="00D573B9">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Paragraph </w:t>
      </w:r>
      <w:r w:rsidR="004533F9">
        <w:rPr>
          <w:rFonts w:eastAsia="Times New Roman" w:cs="Times New Roman"/>
          <w:szCs w:val="20"/>
          <w:lang w:eastAsia="en-AU"/>
        </w:rPr>
        <w:t xml:space="preserve">184(1)(f) </w:t>
      </w:r>
      <w:r w:rsidRPr="00983C91">
        <w:rPr>
          <w:rFonts w:eastAsia="Times New Roman" w:cs="Times New Roman"/>
          <w:szCs w:val="20"/>
          <w:lang w:eastAsia="en-AU"/>
        </w:rPr>
        <w:t>provides that the regulations made under the Act may apply any of the provisions of the Act in relation to television broadcasts and sound broadcasts made from places in a country by persons entitled under the law of that country to make such broadcasts in a like manner as</w:t>
      </w:r>
      <w:r w:rsidR="004533F9" w:rsidRPr="004533F9">
        <w:rPr>
          <w:rFonts w:eastAsia="Times New Roman" w:cs="Times New Roman"/>
          <w:szCs w:val="20"/>
          <w:lang w:eastAsia="en-AU"/>
        </w:rPr>
        <w:t xml:space="preserve"> those provisions apply to television broadcasts </w:t>
      </w:r>
      <w:r w:rsidRPr="00983C91">
        <w:rPr>
          <w:rFonts w:eastAsia="Times New Roman" w:cs="Times New Roman"/>
          <w:szCs w:val="20"/>
          <w:lang w:eastAsia="en-AU"/>
        </w:rPr>
        <w:t>made from Australia by th</w:t>
      </w:r>
      <w:r w:rsidR="00AF4968">
        <w:rPr>
          <w:rFonts w:eastAsia="Times New Roman" w:cs="Times New Roman"/>
          <w:szCs w:val="20"/>
          <w:lang w:eastAsia="en-AU"/>
        </w:rPr>
        <w:t>e Australian </w:t>
      </w:r>
      <w:r w:rsidRPr="00983C91">
        <w:rPr>
          <w:rFonts w:eastAsia="Times New Roman" w:cs="Times New Roman"/>
          <w:szCs w:val="20"/>
          <w:lang w:eastAsia="en-AU"/>
        </w:rPr>
        <w:t xml:space="preserve">Broadcasting Corporation, the Special Broadcasting Service Corporation, by a holder of a licence allocated by the Australian </w:t>
      </w:r>
      <w:r w:rsidR="00AF4968">
        <w:rPr>
          <w:rFonts w:eastAsia="Times New Roman" w:cs="Times New Roman"/>
          <w:szCs w:val="20"/>
          <w:lang w:eastAsia="en-AU"/>
        </w:rPr>
        <w:t>Communications and Media</w:t>
      </w:r>
      <w:r w:rsidRPr="00983C91">
        <w:rPr>
          <w:rFonts w:eastAsia="Times New Roman" w:cs="Times New Roman"/>
          <w:szCs w:val="20"/>
          <w:lang w:eastAsia="en-AU"/>
        </w:rPr>
        <w:t xml:space="preserve"> Authority under the </w:t>
      </w:r>
      <w:r w:rsidRPr="00AF4968">
        <w:rPr>
          <w:rFonts w:eastAsia="Times New Roman" w:cs="Times New Roman"/>
          <w:i/>
          <w:szCs w:val="20"/>
          <w:lang w:eastAsia="en-AU"/>
        </w:rPr>
        <w:t>Broadcasting Services Act 1992</w:t>
      </w:r>
      <w:r w:rsidRPr="00983C91">
        <w:rPr>
          <w:rFonts w:eastAsia="Times New Roman" w:cs="Times New Roman"/>
          <w:szCs w:val="20"/>
          <w:lang w:eastAsia="en-AU"/>
        </w:rPr>
        <w:t xml:space="preserve"> or by a person authorised to make the broadcast by a class licence determined by that Authority under the Act.</w:t>
      </w:r>
    </w:p>
    <w:p w14:paraId="73D8AF02" w14:textId="548B123D" w:rsidR="006640C4" w:rsidRPr="006640C4" w:rsidRDefault="00C671E2" w:rsidP="006640C4">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As a condition, p</w:t>
      </w:r>
      <w:r w:rsidR="00983C91">
        <w:rPr>
          <w:rFonts w:eastAsia="Times New Roman" w:cs="Times New Roman"/>
          <w:szCs w:val="20"/>
          <w:lang w:eastAsia="en-AU"/>
        </w:rPr>
        <w:t xml:space="preserve">aragraph </w:t>
      </w:r>
      <w:r w:rsidR="00D573B9">
        <w:rPr>
          <w:rFonts w:eastAsia="Times New Roman" w:cs="Times New Roman"/>
          <w:szCs w:val="20"/>
          <w:lang w:eastAsia="en-AU"/>
        </w:rPr>
        <w:t xml:space="preserve">184(3)(a) </w:t>
      </w:r>
      <w:r w:rsidR="00983C91">
        <w:rPr>
          <w:rFonts w:eastAsia="Times New Roman" w:cs="Times New Roman"/>
          <w:szCs w:val="20"/>
          <w:lang w:eastAsia="en-AU"/>
        </w:rPr>
        <w:t>provides that</w:t>
      </w:r>
      <w:r w:rsidR="00D573B9">
        <w:rPr>
          <w:rFonts w:eastAsia="Times New Roman" w:cs="Times New Roman"/>
          <w:szCs w:val="20"/>
          <w:lang w:eastAsia="en-AU"/>
        </w:rPr>
        <w:t xml:space="preserve"> before the Governor</w:t>
      </w:r>
      <w:r w:rsidR="00D573B9">
        <w:rPr>
          <w:rFonts w:eastAsia="Times New Roman" w:cs="Times New Roman"/>
          <w:szCs w:val="20"/>
          <w:lang w:eastAsia="en-AU"/>
        </w:rPr>
        <w:noBreakHyphen/>
        <w:t>General makes a regulation</w:t>
      </w:r>
      <w:r w:rsidR="002B1DE2">
        <w:rPr>
          <w:rFonts w:eastAsia="Times New Roman" w:cs="Times New Roman"/>
          <w:szCs w:val="20"/>
          <w:lang w:eastAsia="en-AU"/>
        </w:rPr>
        <w:t xml:space="preserve"> for the purposes of subsection 184(1)</w:t>
      </w:r>
      <w:r w:rsidR="00D573B9">
        <w:rPr>
          <w:rFonts w:eastAsia="Times New Roman" w:cs="Times New Roman"/>
          <w:szCs w:val="20"/>
          <w:lang w:eastAsia="en-AU"/>
        </w:rPr>
        <w:t xml:space="preserve">, </w:t>
      </w:r>
      <w:r w:rsidR="00D573B9" w:rsidRPr="00D573B9">
        <w:rPr>
          <w:rFonts w:eastAsia="Times New Roman" w:cs="Times New Roman"/>
          <w:szCs w:val="20"/>
          <w:lang w:eastAsia="en-AU"/>
        </w:rPr>
        <w:t>the country must be a party to an international agreement</w:t>
      </w:r>
      <w:r w:rsidR="00734DFD">
        <w:rPr>
          <w:rFonts w:eastAsia="Times New Roman" w:cs="Times New Roman"/>
          <w:szCs w:val="20"/>
          <w:lang w:eastAsia="en-AU"/>
        </w:rPr>
        <w:t xml:space="preserve"> specified in relation to the provision of the Act</w:t>
      </w:r>
      <w:r w:rsidR="00D573B9">
        <w:rPr>
          <w:rFonts w:eastAsia="Times New Roman" w:cs="Times New Roman"/>
          <w:szCs w:val="20"/>
          <w:lang w:eastAsia="en-AU"/>
        </w:rPr>
        <w:t>.</w:t>
      </w:r>
      <w:r w:rsidR="006640C4">
        <w:rPr>
          <w:rFonts w:eastAsia="Times New Roman" w:cs="Times New Roman"/>
          <w:szCs w:val="20"/>
          <w:lang w:eastAsia="en-AU"/>
        </w:rPr>
        <w:t xml:space="preserve"> </w:t>
      </w:r>
      <w:r w:rsidR="006640C4" w:rsidRPr="006640C4">
        <w:rPr>
          <w:rFonts w:eastAsia="Times New Roman" w:cs="Times New Roman"/>
          <w:szCs w:val="20"/>
          <w:lang w:eastAsia="en-AU"/>
        </w:rPr>
        <w:t>The condition has been met as Malaysia is party to the Malaysia-Australia Free Trade Agreement</w:t>
      </w:r>
      <w:r w:rsidR="00B34341">
        <w:rPr>
          <w:rFonts w:eastAsia="Times New Roman" w:cs="Times New Roman"/>
          <w:szCs w:val="20"/>
          <w:lang w:eastAsia="en-AU"/>
        </w:rPr>
        <w:t xml:space="preserve"> (MAFTA). The MAFTA </w:t>
      </w:r>
      <w:r w:rsidR="006640C4">
        <w:rPr>
          <w:rFonts w:eastAsia="Times New Roman" w:cs="Times New Roman"/>
          <w:szCs w:val="20"/>
          <w:lang w:eastAsia="en-AU"/>
        </w:rPr>
        <w:t xml:space="preserve">contains </w:t>
      </w:r>
      <w:r w:rsidR="00B34341">
        <w:rPr>
          <w:rFonts w:eastAsia="Times New Roman" w:cs="Times New Roman"/>
          <w:szCs w:val="20"/>
          <w:lang w:eastAsia="en-AU"/>
        </w:rPr>
        <w:t xml:space="preserve">articles relating to the operation of encoded broadcasts which are protected under the Act. </w:t>
      </w:r>
    </w:p>
    <w:p w14:paraId="7689B64E" w14:textId="77777777" w:rsidR="006640C4" w:rsidRDefault="00983C91" w:rsidP="006640C4">
      <w:pPr>
        <w:overflowPunct w:val="0"/>
        <w:autoSpaceDE w:val="0"/>
        <w:autoSpaceDN w:val="0"/>
        <w:adjustRightInd w:val="0"/>
        <w:spacing w:before="240" w:after="0" w:line="240" w:lineRule="auto"/>
        <w:textAlignment w:val="baseline"/>
        <w:rPr>
          <w:rFonts w:eastAsia="Times New Roman" w:cs="Times New Roman"/>
          <w:szCs w:val="20"/>
          <w:lang w:eastAsia="en-AU"/>
        </w:rPr>
      </w:pPr>
      <w:r w:rsidRPr="00983C91">
        <w:rPr>
          <w:rFonts w:eastAsia="Times New Roman" w:cs="Times New Roman"/>
          <w:szCs w:val="20"/>
          <w:lang w:eastAsia="en-AU"/>
        </w:rPr>
        <w:t>Section 249 of the Act provides, in part, that the Governor-General may make regulations, not inconsistent with the Act, prescribing all matters that are required or permitted by the Act to be prescribed, or are necessary or convenient to be prescribed for carrying o</w:t>
      </w:r>
      <w:r>
        <w:rPr>
          <w:rFonts w:eastAsia="Times New Roman" w:cs="Times New Roman"/>
          <w:szCs w:val="20"/>
          <w:lang w:eastAsia="en-AU"/>
        </w:rPr>
        <w:t>ut or giving effect to the Act</w:t>
      </w:r>
      <w:r w:rsidR="004533F9">
        <w:rPr>
          <w:rFonts w:eastAsia="Times New Roman" w:cs="Times New Roman"/>
          <w:szCs w:val="20"/>
          <w:lang w:eastAsia="en-AU"/>
        </w:rPr>
        <w:t>.</w:t>
      </w:r>
    </w:p>
    <w:p w14:paraId="528DD4E0" w14:textId="1C23C686" w:rsidR="000C44D0" w:rsidRPr="006640C4" w:rsidRDefault="000C44D0" w:rsidP="006640C4">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b/>
          <w:szCs w:val="24"/>
          <w:lang w:eastAsia="en-AU"/>
        </w:rPr>
        <w:t>Section 4—Schedules</w:t>
      </w:r>
    </w:p>
    <w:p w14:paraId="1106EA6A" w14:textId="0DD59065" w:rsidR="00043794" w:rsidRDefault="000C44D0" w:rsidP="002B1DE2">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Section 4 provides that an instrument specified in a Schedule to this instrument is amended or repealed as set out in the applicable items in that Schedule, and any other item in a Schedule to this instrument has effect according to its terms.</w:t>
      </w:r>
      <w:bookmarkStart w:id="1" w:name="_Toc513646033"/>
      <w:bookmarkStart w:id="2" w:name="opcCurrentFind"/>
    </w:p>
    <w:bookmarkEnd w:id="1"/>
    <w:bookmarkEnd w:id="2"/>
    <w:p w14:paraId="4B42ACC8" w14:textId="77777777" w:rsidR="00057C67" w:rsidRPr="000C44D0" w:rsidRDefault="00057C67" w:rsidP="00057C67">
      <w:pPr>
        <w:keepNext/>
        <w:overflowPunct w:val="0"/>
        <w:autoSpaceDE w:val="0"/>
        <w:autoSpaceDN w:val="0"/>
        <w:adjustRightInd w:val="0"/>
        <w:spacing w:before="240" w:after="0" w:line="240" w:lineRule="auto"/>
        <w:textAlignment w:val="baseline"/>
        <w:outlineLvl w:val="0"/>
        <w:rPr>
          <w:rFonts w:eastAsia="Times New Roman" w:cs="Times New Roman"/>
          <w:b/>
          <w:kern w:val="28"/>
          <w:sz w:val="26"/>
          <w:szCs w:val="20"/>
          <w:lang w:eastAsia="en-AU"/>
        </w:rPr>
      </w:pPr>
      <w:r w:rsidRPr="000C44D0">
        <w:rPr>
          <w:rFonts w:eastAsia="Times New Roman" w:cs="Times New Roman"/>
          <w:b/>
          <w:kern w:val="28"/>
          <w:sz w:val="26"/>
          <w:szCs w:val="20"/>
          <w:lang w:eastAsia="en-AU"/>
        </w:rPr>
        <w:t>Schedule 1—Amendments</w:t>
      </w:r>
    </w:p>
    <w:p w14:paraId="57EB56A9"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szCs w:val="20"/>
          <w:lang w:eastAsia="en-AU"/>
        </w:rPr>
        <w:t xml:space="preserve">Schedule 1 </w:t>
      </w:r>
      <w:r>
        <w:rPr>
          <w:rFonts w:eastAsia="Times New Roman" w:cs="Times New Roman"/>
          <w:szCs w:val="20"/>
          <w:lang w:eastAsia="en-AU"/>
        </w:rPr>
        <w:t>prescribes the amendments to be made to the Regulations.</w:t>
      </w:r>
    </w:p>
    <w:p w14:paraId="7A6881B5"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b/>
          <w:szCs w:val="24"/>
          <w:lang w:eastAsia="en-AU"/>
        </w:rPr>
        <w:t>Item 1—</w:t>
      </w:r>
      <w:r>
        <w:rPr>
          <w:rFonts w:eastAsia="Times New Roman" w:cs="Times New Roman"/>
          <w:b/>
          <w:szCs w:val="24"/>
          <w:lang w:eastAsia="en-AU"/>
        </w:rPr>
        <w:t>Regulation 2</w:t>
      </w:r>
    </w:p>
    <w:p w14:paraId="164507AD"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lastRenderedPageBreak/>
        <w:t xml:space="preserve">Item 1 updates the instrument in accordance with current drafting practices. </w:t>
      </w:r>
    </w:p>
    <w:p w14:paraId="71442254" w14:textId="0B9EE6C2"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The commencement provision is repealed because it is no longer needed. The date of commencement is recorded in the Endnote to each compilation.</w:t>
      </w:r>
      <w:r w:rsidR="005F7DA7">
        <w:rPr>
          <w:rFonts w:eastAsia="Times New Roman" w:cs="Times New Roman"/>
          <w:szCs w:val="20"/>
          <w:lang w:eastAsia="en-AU"/>
        </w:rPr>
        <w:t xml:space="preserve"> Instead, the</w:t>
      </w:r>
      <w:r>
        <w:rPr>
          <w:rFonts w:eastAsia="Times New Roman" w:cs="Times New Roman"/>
          <w:szCs w:val="20"/>
          <w:lang w:eastAsia="en-AU"/>
        </w:rPr>
        <w:t xml:space="preserve"> commencement provision is replaced by a standard provision declaring the Act under which the instrument is made.</w:t>
      </w:r>
    </w:p>
    <w:p w14:paraId="5DE5F058" w14:textId="77777777" w:rsidR="00057C67" w:rsidRPr="00CC7B05"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CC7B05">
        <w:rPr>
          <w:rFonts w:eastAsia="Times New Roman" w:cs="Times New Roman"/>
          <w:b/>
          <w:szCs w:val="24"/>
          <w:lang w:eastAsia="en-AU"/>
        </w:rPr>
        <w:t>Item 2</w:t>
      </w:r>
      <w:r w:rsidRPr="00CC7B05" w:rsidDel="00575857">
        <w:rPr>
          <w:rFonts w:eastAsia="Times New Roman" w:cs="Times New Roman"/>
          <w:b/>
          <w:szCs w:val="24"/>
          <w:lang w:eastAsia="en-AU"/>
        </w:rPr>
        <w:t>—</w:t>
      </w:r>
      <w:r w:rsidRPr="00CC7B05">
        <w:rPr>
          <w:rFonts w:eastAsia="Times New Roman" w:cs="Times New Roman"/>
          <w:b/>
          <w:szCs w:val="24"/>
          <w:lang w:eastAsia="en-AU"/>
        </w:rPr>
        <w:t>Regulation 3 (after the heading)</w:t>
      </w:r>
    </w:p>
    <w:p w14:paraId="59423550" w14:textId="7B2A1C27" w:rsidR="00057C67" w:rsidRPr="00CC7B05"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CC7B05">
        <w:rPr>
          <w:rFonts w:eastAsia="Times New Roman" w:cs="Times New Roman"/>
          <w:szCs w:val="20"/>
          <w:lang w:eastAsia="en-AU"/>
        </w:rPr>
        <w:t>Item 2 inserts references to a number of</w:t>
      </w:r>
      <w:r>
        <w:rPr>
          <w:rFonts w:eastAsia="Times New Roman" w:cs="Times New Roman"/>
          <w:szCs w:val="20"/>
          <w:lang w:eastAsia="en-AU"/>
        </w:rPr>
        <w:t xml:space="preserve"> commonly used</w:t>
      </w:r>
      <w:r w:rsidRPr="00CC7B05">
        <w:rPr>
          <w:rFonts w:eastAsia="Times New Roman" w:cs="Times New Roman"/>
          <w:szCs w:val="20"/>
          <w:lang w:eastAsia="en-AU"/>
        </w:rPr>
        <w:t xml:space="preserve"> expressions </w:t>
      </w:r>
      <w:r w:rsidR="002B07BE">
        <w:rPr>
          <w:rFonts w:eastAsia="Times New Roman" w:cs="Times New Roman"/>
          <w:szCs w:val="20"/>
          <w:lang w:eastAsia="en-AU"/>
        </w:rPr>
        <w:t xml:space="preserve">and clarifies that these expressions are </w:t>
      </w:r>
      <w:r w:rsidRPr="00CC7B05">
        <w:rPr>
          <w:rFonts w:eastAsia="Times New Roman" w:cs="Times New Roman"/>
          <w:szCs w:val="20"/>
          <w:lang w:eastAsia="en-AU"/>
        </w:rPr>
        <w:t>defined in the Act.</w:t>
      </w:r>
    </w:p>
    <w:p w14:paraId="5C0413A1"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CC7B05">
        <w:rPr>
          <w:rFonts w:eastAsia="Times New Roman" w:cs="Times New Roman"/>
          <w:b/>
          <w:szCs w:val="24"/>
          <w:lang w:eastAsia="en-AU"/>
        </w:rPr>
        <w:t>Item 3</w:t>
      </w:r>
      <w:r w:rsidRPr="00CC7B05" w:rsidDel="00575857">
        <w:rPr>
          <w:rFonts w:eastAsia="Times New Roman" w:cs="Times New Roman"/>
          <w:b/>
          <w:szCs w:val="24"/>
          <w:lang w:eastAsia="en-AU"/>
        </w:rPr>
        <w:t>—</w:t>
      </w:r>
      <w:r w:rsidRPr="00CC7B05">
        <w:rPr>
          <w:rFonts w:eastAsia="Times New Roman" w:cs="Times New Roman"/>
          <w:b/>
          <w:szCs w:val="24"/>
          <w:lang w:eastAsia="en-AU"/>
        </w:rPr>
        <w:t>Subregulation 3(1)</w:t>
      </w:r>
    </w:p>
    <w:p w14:paraId="2371F1F7"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3 omits “unless the contrary intention appears” to modernise the language of the instrument.</w:t>
      </w:r>
    </w:p>
    <w:p w14:paraId="655C487A"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0C44D0">
        <w:rPr>
          <w:rFonts w:eastAsia="Times New Roman" w:cs="Times New Roman"/>
          <w:b/>
          <w:szCs w:val="24"/>
          <w:lang w:eastAsia="en-AU"/>
        </w:rPr>
        <w:t>Item 4</w:t>
      </w:r>
      <w:r w:rsidRPr="000C44D0" w:rsidDel="00575857">
        <w:rPr>
          <w:rFonts w:eastAsia="Times New Roman" w:cs="Times New Roman"/>
          <w:b/>
          <w:szCs w:val="24"/>
          <w:lang w:eastAsia="en-AU"/>
        </w:rPr>
        <w:t>—</w:t>
      </w:r>
      <w:r>
        <w:rPr>
          <w:rFonts w:eastAsia="Times New Roman" w:cs="Times New Roman"/>
          <w:b/>
          <w:szCs w:val="24"/>
          <w:lang w:eastAsia="en-AU"/>
        </w:rPr>
        <w:t>Subregulation 3(1)</w:t>
      </w:r>
    </w:p>
    <w:p w14:paraId="20554F8E" w14:textId="061EEBB2"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4 inserts a new definition for foreign encoded broadcasts</w:t>
      </w:r>
      <w:r w:rsidR="00365FFC">
        <w:rPr>
          <w:rFonts w:eastAsia="Times New Roman" w:cs="Times New Roman"/>
          <w:szCs w:val="20"/>
          <w:lang w:eastAsia="en-AU"/>
        </w:rPr>
        <w:t>,</w:t>
      </w:r>
      <w:r>
        <w:rPr>
          <w:rFonts w:eastAsia="Times New Roman" w:cs="Times New Roman"/>
          <w:szCs w:val="20"/>
          <w:lang w:eastAsia="en-AU"/>
        </w:rPr>
        <w:t xml:space="preserve"> to be defined under the new subregulation 4(7C).</w:t>
      </w:r>
    </w:p>
    <w:p w14:paraId="03D9CF42"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Item 5</w:t>
      </w:r>
      <w:r w:rsidRPr="000C44D0" w:rsidDel="00575857">
        <w:rPr>
          <w:rFonts w:eastAsia="Times New Roman" w:cs="Times New Roman"/>
          <w:b/>
          <w:szCs w:val="24"/>
          <w:lang w:eastAsia="en-AU"/>
        </w:rPr>
        <w:t>—</w:t>
      </w:r>
      <w:r w:rsidRPr="00653D33">
        <w:rPr>
          <w:rFonts w:eastAsia="Times New Roman" w:cs="Times New Roman"/>
          <w:b/>
          <w:szCs w:val="24"/>
          <w:lang w:eastAsia="en-AU"/>
        </w:rPr>
        <w:t>Subregulation 3(1) (definition of US broadcaster)</w:t>
      </w:r>
      <w:r w:rsidRPr="000C44D0">
        <w:rPr>
          <w:rFonts w:eastAsia="Times New Roman" w:cs="Times New Roman"/>
          <w:b/>
          <w:szCs w:val="24"/>
          <w:highlight w:val="yellow"/>
          <w:lang w:eastAsia="en-AU"/>
        </w:rPr>
        <w:t xml:space="preserve"> </w:t>
      </w:r>
    </w:p>
    <w:p w14:paraId="55F0D431" w14:textId="07848985" w:rsidR="00057C67" w:rsidRPr="00653D33"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5 repeals the definition of US broadcaster as this is now defined</w:t>
      </w:r>
      <w:r w:rsidR="007F2ADE">
        <w:rPr>
          <w:rFonts w:eastAsia="Times New Roman" w:cs="Times New Roman"/>
          <w:szCs w:val="20"/>
          <w:lang w:eastAsia="en-AU"/>
        </w:rPr>
        <w:t xml:space="preserve"> in</w:t>
      </w:r>
      <w:r>
        <w:rPr>
          <w:rFonts w:eastAsia="Times New Roman" w:cs="Times New Roman"/>
          <w:szCs w:val="20"/>
          <w:lang w:eastAsia="en-AU"/>
        </w:rPr>
        <w:t xml:space="preserve"> subregulation 4(7C).</w:t>
      </w:r>
    </w:p>
    <w:p w14:paraId="13094501"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It</w:t>
      </w:r>
      <w:bookmarkStart w:id="3" w:name="_Toc515961953"/>
      <w:r w:rsidRPr="000C44D0">
        <w:rPr>
          <w:rFonts w:eastAsia="Times New Roman" w:cs="Times New Roman"/>
          <w:b/>
          <w:szCs w:val="24"/>
          <w:lang w:eastAsia="en-AU"/>
        </w:rPr>
        <w:t xml:space="preserve">em </w:t>
      </w:r>
      <w:r>
        <w:rPr>
          <w:rFonts w:eastAsia="Times New Roman" w:cs="Times New Roman"/>
          <w:b/>
          <w:szCs w:val="24"/>
          <w:lang w:eastAsia="en-AU"/>
        </w:rPr>
        <w:t>6</w:t>
      </w:r>
      <w:r w:rsidRPr="000C44D0" w:rsidDel="00575857">
        <w:rPr>
          <w:rFonts w:eastAsia="Times New Roman" w:cs="Times New Roman"/>
          <w:b/>
          <w:szCs w:val="24"/>
          <w:lang w:eastAsia="en-AU"/>
        </w:rPr>
        <w:t>—</w:t>
      </w:r>
      <w:r w:rsidRPr="00653D33">
        <w:rPr>
          <w:b/>
        </w:rPr>
        <w:t>R</w:t>
      </w:r>
      <w:r w:rsidRPr="00653D33">
        <w:rPr>
          <w:rFonts w:eastAsia="Times New Roman" w:cs="Times New Roman"/>
          <w:b/>
          <w:szCs w:val="24"/>
          <w:lang w:eastAsia="en-AU"/>
        </w:rPr>
        <w:t>egulation 4 (heading)</w:t>
      </w:r>
    </w:p>
    <w:p w14:paraId="65A8EBBC"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6 replaces the heading of regulation 4 with a simplified title. Instead, Regulation 4 is explained by the new subregulation 4(1AA).</w:t>
      </w:r>
    </w:p>
    <w:bookmarkEnd w:id="3"/>
    <w:p w14:paraId="1C688A3A"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Pr>
          <w:rFonts w:eastAsia="Times New Roman" w:cs="Times New Roman"/>
          <w:b/>
          <w:szCs w:val="24"/>
          <w:lang w:eastAsia="en-AU"/>
        </w:rPr>
        <w:t>7</w:t>
      </w:r>
      <w:r w:rsidRPr="000C44D0" w:rsidDel="00575857">
        <w:rPr>
          <w:rFonts w:eastAsia="Times New Roman" w:cs="Times New Roman"/>
          <w:b/>
          <w:szCs w:val="24"/>
          <w:lang w:eastAsia="en-AU"/>
        </w:rPr>
        <w:t>—</w:t>
      </w:r>
      <w:r w:rsidRPr="00653D33">
        <w:rPr>
          <w:b/>
        </w:rPr>
        <w:t>R</w:t>
      </w:r>
      <w:r w:rsidRPr="00653D33">
        <w:rPr>
          <w:rFonts w:eastAsia="Times New Roman" w:cs="Times New Roman"/>
          <w:b/>
          <w:szCs w:val="24"/>
          <w:lang w:eastAsia="en-AU"/>
        </w:rPr>
        <w:t>egulation 4 (after the heading)</w:t>
      </w:r>
    </w:p>
    <w:p w14:paraId="718BA15E"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7 defines the scope of regulation 4, clarifying that the regulation extends certain parts of the Act to foreign countries defined in Regulation 3, subject to exceptions and modifications described in the subregulations.</w:t>
      </w:r>
    </w:p>
    <w:p w14:paraId="06E7205A" w14:textId="77777777" w:rsidR="00842D92" w:rsidRDefault="00842D92"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p>
    <w:p w14:paraId="14BA8C3C"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Pr>
          <w:rFonts w:eastAsia="Times New Roman" w:cs="Times New Roman"/>
          <w:b/>
          <w:szCs w:val="24"/>
          <w:lang w:eastAsia="en-AU"/>
        </w:rPr>
        <w:t>8</w:t>
      </w:r>
      <w:r w:rsidRPr="000C44D0" w:rsidDel="00575857">
        <w:rPr>
          <w:rFonts w:eastAsia="Times New Roman" w:cs="Times New Roman"/>
          <w:b/>
          <w:szCs w:val="24"/>
          <w:lang w:eastAsia="en-AU"/>
        </w:rPr>
        <w:t>—</w:t>
      </w:r>
      <w:r w:rsidRPr="00653D33">
        <w:rPr>
          <w:b/>
        </w:rPr>
        <w:t>Subregulation 4(7B)</w:t>
      </w:r>
    </w:p>
    <w:p w14:paraId="7E6CD8BF" w14:textId="77777777" w:rsidR="007F2ADE" w:rsidRDefault="00057C67" w:rsidP="007F2ADE">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Item </w:t>
      </w:r>
      <w:r w:rsidR="007F2ADE">
        <w:rPr>
          <w:rFonts w:eastAsia="Times New Roman" w:cs="Times New Roman"/>
          <w:szCs w:val="20"/>
          <w:lang w:eastAsia="en-AU"/>
        </w:rPr>
        <w:t>8</w:t>
      </w:r>
      <w:r>
        <w:rPr>
          <w:rFonts w:eastAsia="Times New Roman" w:cs="Times New Roman"/>
          <w:szCs w:val="20"/>
          <w:lang w:eastAsia="en-AU"/>
        </w:rPr>
        <w:t xml:space="preserve"> replaces subregulation 4(7B) and inserts three subregulations</w:t>
      </w:r>
      <w:r w:rsidR="007F2ADE">
        <w:rPr>
          <w:rFonts w:eastAsia="Times New Roman" w:cs="Times New Roman"/>
          <w:szCs w:val="20"/>
          <w:lang w:eastAsia="en-AU"/>
        </w:rPr>
        <w:t xml:space="preserve"> that refer to Malaysia as well as the United States of America (the US)</w:t>
      </w:r>
      <w:r>
        <w:rPr>
          <w:rFonts w:eastAsia="Times New Roman" w:cs="Times New Roman"/>
          <w:szCs w:val="20"/>
          <w:lang w:eastAsia="en-AU"/>
        </w:rPr>
        <w:t>. The current subregulation 4(7B) only refers to the</w:t>
      </w:r>
      <w:r w:rsidR="007F2ADE">
        <w:rPr>
          <w:rFonts w:eastAsia="Times New Roman" w:cs="Times New Roman"/>
          <w:szCs w:val="20"/>
          <w:lang w:eastAsia="en-AU"/>
        </w:rPr>
        <w:t xml:space="preserve"> US</w:t>
      </w:r>
      <w:r>
        <w:rPr>
          <w:rFonts w:eastAsia="Times New Roman" w:cs="Times New Roman"/>
          <w:szCs w:val="20"/>
          <w:lang w:eastAsia="en-AU"/>
        </w:rPr>
        <w:t xml:space="preserve">. </w:t>
      </w:r>
    </w:p>
    <w:p w14:paraId="020BB9C4" w14:textId="3894544B" w:rsidR="007F2ADE" w:rsidRDefault="00057C67" w:rsidP="007F2ADE">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S</w:t>
      </w:r>
      <w:r w:rsidRPr="008E38DF">
        <w:rPr>
          <w:rFonts w:eastAsia="Times New Roman" w:cs="Times New Roman"/>
          <w:szCs w:val="20"/>
          <w:lang w:eastAsia="en-AU"/>
        </w:rPr>
        <w:t>ubregulation 4(7B) provide</w:t>
      </w:r>
      <w:r>
        <w:rPr>
          <w:rFonts w:eastAsia="Times New Roman" w:cs="Times New Roman"/>
          <w:szCs w:val="20"/>
          <w:lang w:eastAsia="en-AU"/>
        </w:rPr>
        <w:t>s</w:t>
      </w:r>
      <w:r w:rsidRPr="008E38DF">
        <w:rPr>
          <w:rFonts w:eastAsia="Times New Roman" w:cs="Times New Roman"/>
          <w:szCs w:val="20"/>
          <w:lang w:eastAsia="en-AU"/>
        </w:rPr>
        <w:t xml:space="preserve"> that Part VAA of the Act (Broadcast </w:t>
      </w:r>
      <w:r>
        <w:rPr>
          <w:rFonts w:eastAsia="Times New Roman" w:cs="Times New Roman"/>
          <w:szCs w:val="20"/>
          <w:lang w:eastAsia="en-AU"/>
        </w:rPr>
        <w:t xml:space="preserve">decoding devices) applies to a foreign </w:t>
      </w:r>
      <w:r w:rsidRPr="008E38DF">
        <w:rPr>
          <w:rFonts w:eastAsia="Times New Roman" w:cs="Times New Roman"/>
          <w:szCs w:val="20"/>
          <w:lang w:eastAsia="en-AU"/>
        </w:rPr>
        <w:t xml:space="preserve">encoded broadcast as if the </w:t>
      </w:r>
      <w:r>
        <w:rPr>
          <w:rFonts w:eastAsia="Times New Roman" w:cs="Times New Roman"/>
          <w:szCs w:val="20"/>
          <w:lang w:eastAsia="en-AU"/>
        </w:rPr>
        <w:t>foreign</w:t>
      </w:r>
      <w:r w:rsidRPr="008E38DF">
        <w:rPr>
          <w:rFonts w:eastAsia="Times New Roman" w:cs="Times New Roman"/>
          <w:szCs w:val="20"/>
          <w:lang w:eastAsia="en-AU"/>
        </w:rPr>
        <w:t xml:space="preserve"> broadcast were an Australian encoded broadcast.</w:t>
      </w:r>
      <w:r w:rsidR="007F2ADE">
        <w:rPr>
          <w:rFonts w:eastAsia="Times New Roman" w:cs="Times New Roman"/>
          <w:szCs w:val="20"/>
          <w:lang w:eastAsia="en-AU"/>
        </w:rPr>
        <w:t xml:space="preserve"> Subregulation 4(7B)</w:t>
      </w:r>
      <w:r w:rsidR="007F2ADE" w:rsidRPr="008E38DF">
        <w:rPr>
          <w:rFonts w:eastAsia="Times New Roman" w:cs="Times New Roman"/>
          <w:szCs w:val="20"/>
          <w:lang w:eastAsia="en-AU"/>
        </w:rPr>
        <w:t xml:space="preserve"> extend</w:t>
      </w:r>
      <w:r w:rsidR="007F2ADE">
        <w:rPr>
          <w:rFonts w:eastAsia="Times New Roman" w:cs="Times New Roman"/>
          <w:szCs w:val="20"/>
          <w:lang w:eastAsia="en-AU"/>
        </w:rPr>
        <w:t>s</w:t>
      </w:r>
      <w:r w:rsidR="007F2ADE" w:rsidRPr="008E38DF">
        <w:rPr>
          <w:rFonts w:eastAsia="Times New Roman" w:cs="Times New Roman"/>
          <w:szCs w:val="20"/>
          <w:lang w:eastAsia="en-AU"/>
        </w:rPr>
        <w:t xml:space="preserve"> the protection of Part VAA of the Act against unauthorised access to encoded sound and television broadcasts to those made by US broadcasters from places in the US</w:t>
      </w:r>
      <w:r w:rsidR="007F2ADE">
        <w:rPr>
          <w:rFonts w:eastAsia="Times New Roman" w:cs="Times New Roman"/>
          <w:szCs w:val="20"/>
          <w:lang w:eastAsia="en-AU"/>
        </w:rPr>
        <w:t>, and Malaysian broadcasters from places in Malaysia</w:t>
      </w:r>
      <w:r w:rsidR="007F2ADE" w:rsidRPr="008E38DF">
        <w:rPr>
          <w:rFonts w:eastAsia="Times New Roman" w:cs="Times New Roman"/>
          <w:szCs w:val="20"/>
          <w:lang w:eastAsia="en-AU"/>
        </w:rPr>
        <w:t>.</w:t>
      </w:r>
    </w:p>
    <w:p w14:paraId="72CCA918" w14:textId="199A5EB9" w:rsidR="00057C67" w:rsidRPr="00734DFD"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734DFD">
        <w:rPr>
          <w:rFonts w:eastAsia="Times New Roman" w:cs="Times New Roman"/>
          <w:szCs w:val="20"/>
          <w:lang w:eastAsia="en-AU"/>
        </w:rPr>
        <w:t xml:space="preserve">Subregulation 4(7C) defines foreign encoded broadcasts </w:t>
      </w:r>
      <w:r w:rsidR="007F2ADE">
        <w:rPr>
          <w:rFonts w:eastAsia="Times New Roman" w:cs="Times New Roman"/>
          <w:szCs w:val="20"/>
          <w:lang w:eastAsia="en-AU"/>
        </w:rPr>
        <w:t xml:space="preserve">as either a broadcast that is made from Malaysia or the US, or by a broadcaster that is entitled to make broadcasts by Malaysian or US law, or by a citizen, national, resident, and body corporate headquartered in Malaysia or the US. </w:t>
      </w:r>
    </w:p>
    <w:p w14:paraId="307FE51F" w14:textId="5ADEC35F" w:rsidR="00057C67" w:rsidRPr="008E38DF"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sidRPr="00734DFD">
        <w:rPr>
          <w:rFonts w:eastAsia="Times New Roman" w:cs="Times New Roman"/>
          <w:szCs w:val="20"/>
          <w:lang w:eastAsia="en-AU"/>
        </w:rPr>
        <w:t xml:space="preserve">Subregulation 4(7D) </w:t>
      </w:r>
      <w:r w:rsidR="00734DFD">
        <w:rPr>
          <w:rFonts w:eastAsia="Times New Roman" w:cs="Times New Roman"/>
          <w:szCs w:val="20"/>
          <w:lang w:eastAsia="en-AU"/>
        </w:rPr>
        <w:t xml:space="preserve">specifies the </w:t>
      </w:r>
      <w:r w:rsidR="007F2ADE">
        <w:rPr>
          <w:rFonts w:eastAsia="Times New Roman" w:cs="Times New Roman"/>
          <w:szCs w:val="20"/>
          <w:lang w:eastAsia="en-AU"/>
        </w:rPr>
        <w:t xml:space="preserve">relevant </w:t>
      </w:r>
      <w:r w:rsidR="00734DFD">
        <w:rPr>
          <w:rFonts w:eastAsia="Times New Roman" w:cs="Times New Roman"/>
          <w:szCs w:val="20"/>
          <w:lang w:eastAsia="en-AU"/>
        </w:rPr>
        <w:t xml:space="preserve">agreements to which Malaysia and the US are party. </w:t>
      </w:r>
      <w:r w:rsidR="007F2ADE" w:rsidRPr="00734DFD">
        <w:rPr>
          <w:rFonts w:eastAsia="Times New Roman" w:cs="Times New Roman"/>
          <w:szCs w:val="20"/>
          <w:lang w:eastAsia="en-AU"/>
        </w:rPr>
        <w:t>Subregulation 4(7D)</w:t>
      </w:r>
      <w:r w:rsidR="00734DFD">
        <w:rPr>
          <w:rFonts w:eastAsia="Times New Roman" w:cs="Times New Roman"/>
          <w:szCs w:val="20"/>
          <w:lang w:eastAsia="en-AU"/>
        </w:rPr>
        <w:t xml:space="preserve"> fulfil</w:t>
      </w:r>
      <w:r w:rsidR="007F2ADE">
        <w:rPr>
          <w:rFonts w:eastAsia="Times New Roman" w:cs="Times New Roman"/>
          <w:szCs w:val="20"/>
          <w:lang w:eastAsia="en-AU"/>
        </w:rPr>
        <w:t>s</w:t>
      </w:r>
      <w:r w:rsidR="00734DFD">
        <w:rPr>
          <w:rFonts w:eastAsia="Times New Roman" w:cs="Times New Roman"/>
          <w:szCs w:val="20"/>
          <w:lang w:eastAsia="en-AU"/>
        </w:rPr>
        <w:t xml:space="preserve"> the condition set by paragraph 184(3)(a) of the Act, which </w:t>
      </w:r>
      <w:r w:rsidR="00057FC3">
        <w:rPr>
          <w:rFonts w:eastAsia="Times New Roman" w:cs="Times New Roman"/>
          <w:szCs w:val="20"/>
          <w:lang w:eastAsia="en-AU"/>
        </w:rPr>
        <w:t>provides</w:t>
      </w:r>
      <w:r w:rsidR="00734DFD">
        <w:rPr>
          <w:rFonts w:eastAsia="Times New Roman" w:cs="Times New Roman"/>
          <w:szCs w:val="20"/>
          <w:lang w:eastAsia="en-AU"/>
        </w:rPr>
        <w:t xml:space="preserve"> that </w:t>
      </w:r>
      <w:r w:rsidR="007F2ADE" w:rsidRPr="004533F9">
        <w:rPr>
          <w:rFonts w:eastAsia="Times New Roman" w:cs="Times New Roman"/>
          <w:szCs w:val="20"/>
          <w:lang w:eastAsia="en-AU"/>
        </w:rPr>
        <w:t xml:space="preserve">the </w:t>
      </w:r>
      <w:r w:rsidR="007F2ADE" w:rsidRPr="00D573B9">
        <w:rPr>
          <w:rFonts w:eastAsia="Times New Roman" w:cs="Times New Roman"/>
          <w:szCs w:val="20"/>
          <w:lang w:eastAsia="en-AU"/>
        </w:rPr>
        <w:t>country must be a party to an international agreement</w:t>
      </w:r>
      <w:r w:rsidR="007F2ADE" w:rsidRPr="00734DFD">
        <w:rPr>
          <w:rFonts w:eastAsia="Times New Roman" w:cs="Times New Roman"/>
          <w:szCs w:val="20"/>
          <w:lang w:eastAsia="en-AU"/>
        </w:rPr>
        <w:t xml:space="preserve"> </w:t>
      </w:r>
      <w:r w:rsidR="007F2ADE">
        <w:rPr>
          <w:rFonts w:eastAsia="Times New Roman" w:cs="Times New Roman"/>
          <w:szCs w:val="20"/>
          <w:lang w:eastAsia="en-AU"/>
        </w:rPr>
        <w:t xml:space="preserve">specified in relation to the provision of the Act. The </w:t>
      </w:r>
      <w:r w:rsidR="007F2ADE" w:rsidRPr="007F2ADE">
        <w:rPr>
          <w:rFonts w:eastAsia="Times New Roman" w:cs="Times New Roman"/>
          <w:szCs w:val="20"/>
          <w:lang w:eastAsia="en-AU"/>
        </w:rPr>
        <w:t>Malaysia</w:t>
      </w:r>
      <w:r w:rsidR="007F2ADE" w:rsidRPr="007F2ADE">
        <w:rPr>
          <w:rFonts w:eastAsia="Times New Roman" w:cs="Times New Roman"/>
          <w:szCs w:val="20"/>
          <w:lang w:eastAsia="en-AU"/>
        </w:rPr>
        <w:noBreakHyphen/>
        <w:t>Australia Free Trade Agreemen</w:t>
      </w:r>
      <w:r w:rsidR="007F2ADE">
        <w:rPr>
          <w:rFonts w:eastAsia="Times New Roman" w:cs="Times New Roman"/>
          <w:szCs w:val="20"/>
          <w:lang w:eastAsia="en-AU"/>
        </w:rPr>
        <w:t xml:space="preserve">t and </w:t>
      </w:r>
      <w:r w:rsidR="007F2ADE" w:rsidRPr="007F2ADE">
        <w:rPr>
          <w:rFonts w:eastAsia="Times New Roman" w:cs="Times New Roman"/>
          <w:szCs w:val="20"/>
          <w:lang w:eastAsia="en-AU"/>
        </w:rPr>
        <w:t>the Australia</w:t>
      </w:r>
      <w:r w:rsidR="007F2ADE" w:rsidRPr="007F2ADE">
        <w:rPr>
          <w:rFonts w:eastAsia="Times New Roman" w:cs="Times New Roman"/>
          <w:szCs w:val="20"/>
          <w:lang w:eastAsia="en-AU"/>
        </w:rPr>
        <w:noBreakHyphen/>
      </w:r>
      <w:r w:rsidR="007F2ADE">
        <w:rPr>
          <w:rFonts w:eastAsia="Times New Roman" w:cs="Times New Roman"/>
          <w:szCs w:val="20"/>
          <w:lang w:eastAsia="en-AU"/>
        </w:rPr>
        <w:t xml:space="preserve">US </w:t>
      </w:r>
      <w:r w:rsidR="007F2ADE" w:rsidRPr="007F2ADE">
        <w:rPr>
          <w:rFonts w:eastAsia="Times New Roman" w:cs="Times New Roman"/>
          <w:szCs w:val="20"/>
          <w:lang w:eastAsia="en-AU"/>
        </w:rPr>
        <w:t>Free Trade Agreement</w:t>
      </w:r>
      <w:r w:rsidR="007F2ADE">
        <w:rPr>
          <w:rFonts w:eastAsia="Times New Roman" w:cs="Times New Roman"/>
          <w:szCs w:val="20"/>
          <w:lang w:eastAsia="en-AU"/>
        </w:rPr>
        <w:t xml:space="preserve"> </w:t>
      </w:r>
      <w:r w:rsidR="000A6DCD">
        <w:rPr>
          <w:rFonts w:eastAsia="Times New Roman" w:cs="Times New Roman"/>
          <w:szCs w:val="20"/>
          <w:lang w:eastAsia="en-AU"/>
        </w:rPr>
        <w:t xml:space="preserve">contain provisions that </w:t>
      </w:r>
      <w:r w:rsidR="007F2ADE">
        <w:rPr>
          <w:rFonts w:eastAsia="Times New Roman" w:cs="Times New Roman"/>
          <w:szCs w:val="20"/>
          <w:lang w:eastAsia="en-AU"/>
        </w:rPr>
        <w:t>set obligations for parties to protect encoded broadcasts.</w:t>
      </w:r>
    </w:p>
    <w:p w14:paraId="62D33D5C" w14:textId="77777777" w:rsidR="00057C67" w:rsidRPr="00653D33"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sidRPr="00653D33">
        <w:rPr>
          <w:rFonts w:eastAsia="Times New Roman" w:cs="Times New Roman"/>
          <w:b/>
          <w:szCs w:val="24"/>
          <w:lang w:eastAsia="en-AU"/>
        </w:rPr>
        <w:t>9</w:t>
      </w:r>
      <w:r w:rsidRPr="000C44D0" w:rsidDel="00575857">
        <w:rPr>
          <w:rFonts w:eastAsia="Times New Roman" w:cs="Times New Roman"/>
          <w:b/>
          <w:szCs w:val="24"/>
          <w:lang w:eastAsia="en-AU"/>
        </w:rPr>
        <w:t>—</w:t>
      </w:r>
      <w:r w:rsidRPr="00653D33">
        <w:rPr>
          <w:b/>
        </w:rPr>
        <w:t>Regulation 8 (heading)</w:t>
      </w:r>
    </w:p>
    <w:p w14:paraId="5CE5DE18"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9 replaces the heading of regulation 8 with a simplified title. Instead, regulation 8 is explained by the new subregulation 8(1A).</w:t>
      </w:r>
    </w:p>
    <w:p w14:paraId="7986193B"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Pr>
          <w:rFonts w:eastAsia="Times New Roman" w:cs="Times New Roman"/>
          <w:b/>
          <w:szCs w:val="24"/>
          <w:lang w:eastAsia="en-AU"/>
        </w:rPr>
        <w:t>10</w:t>
      </w:r>
      <w:r w:rsidRPr="000C44D0" w:rsidDel="00575857">
        <w:rPr>
          <w:rFonts w:eastAsia="Times New Roman" w:cs="Times New Roman"/>
          <w:b/>
          <w:szCs w:val="24"/>
          <w:lang w:eastAsia="en-AU"/>
        </w:rPr>
        <w:t>—</w:t>
      </w:r>
      <w:r w:rsidRPr="00653D33">
        <w:rPr>
          <w:b/>
        </w:rPr>
        <w:t>Regulation 8 (after the heading)</w:t>
      </w:r>
    </w:p>
    <w:p w14:paraId="2882D675" w14:textId="198700A0"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lastRenderedPageBreak/>
        <w:t xml:space="preserve">Item 10 defines the scope of regulation 8, clarifying that the regulation extends </w:t>
      </w:r>
      <w:r w:rsidR="001F6ADD">
        <w:rPr>
          <w:rFonts w:eastAsia="Times New Roman" w:cs="Times New Roman"/>
          <w:szCs w:val="20"/>
          <w:lang w:eastAsia="en-AU"/>
        </w:rPr>
        <w:t xml:space="preserve">the performers’ protection </w:t>
      </w:r>
      <w:r>
        <w:rPr>
          <w:rFonts w:eastAsia="Times New Roman" w:cs="Times New Roman"/>
          <w:szCs w:val="20"/>
          <w:lang w:eastAsia="en-AU"/>
        </w:rPr>
        <w:t>parts of the Act to foreign countries defined in regulation 3, subject to exceptions and modifications described in the subregulations.</w:t>
      </w:r>
    </w:p>
    <w:p w14:paraId="3E6A213E" w14:textId="77777777" w:rsidR="00057C67" w:rsidRPr="00653D33"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sidRPr="00653D33">
        <w:rPr>
          <w:rFonts w:eastAsia="Times New Roman" w:cs="Times New Roman"/>
          <w:b/>
          <w:szCs w:val="24"/>
          <w:lang w:eastAsia="en-AU"/>
        </w:rPr>
        <w:t>11</w:t>
      </w:r>
      <w:r w:rsidRPr="000C44D0" w:rsidDel="00575857">
        <w:rPr>
          <w:rFonts w:eastAsia="Times New Roman" w:cs="Times New Roman"/>
          <w:b/>
          <w:szCs w:val="24"/>
          <w:lang w:eastAsia="en-AU"/>
        </w:rPr>
        <w:t>—</w:t>
      </w:r>
      <w:r w:rsidRPr="00653D33">
        <w:rPr>
          <w:b/>
        </w:rPr>
        <w:t>Part 4 (heading)</w:t>
      </w:r>
    </w:p>
    <w:p w14:paraId="088A2018" w14:textId="77777777"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Item 11 inserts a new heading which refers to “savings” provisions for </w:t>
      </w:r>
      <w:r w:rsidRPr="007D2808">
        <w:t>consistency with similar headings in other instruments</w:t>
      </w:r>
      <w:r>
        <w:t>.</w:t>
      </w:r>
    </w:p>
    <w:p w14:paraId="35FDE0A8" w14:textId="77777777" w:rsidR="00057C67" w:rsidRPr="00653D33" w:rsidRDefault="00057C67" w:rsidP="00057C67">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0C44D0">
        <w:rPr>
          <w:rFonts w:eastAsia="Times New Roman" w:cs="Times New Roman"/>
          <w:b/>
          <w:szCs w:val="24"/>
          <w:lang w:eastAsia="en-AU"/>
        </w:rPr>
        <w:t xml:space="preserve">Item </w:t>
      </w:r>
      <w:r w:rsidRPr="00653D33">
        <w:rPr>
          <w:rFonts w:eastAsia="Times New Roman" w:cs="Times New Roman"/>
          <w:b/>
          <w:szCs w:val="24"/>
          <w:lang w:eastAsia="en-AU"/>
        </w:rPr>
        <w:t>12</w:t>
      </w:r>
      <w:r w:rsidRPr="000C44D0" w:rsidDel="00575857">
        <w:rPr>
          <w:rFonts w:eastAsia="Times New Roman" w:cs="Times New Roman"/>
          <w:b/>
          <w:szCs w:val="24"/>
          <w:lang w:eastAsia="en-AU"/>
        </w:rPr>
        <w:t>—</w:t>
      </w:r>
      <w:r w:rsidRPr="00653D33">
        <w:rPr>
          <w:b/>
        </w:rPr>
        <w:t>In the appropriate position in Part 4</w:t>
      </w:r>
    </w:p>
    <w:p w14:paraId="67A05FC0" w14:textId="77777777" w:rsidR="00057C67"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Item 12 clarifies the commencement of the new subregulations 4(7B), 4(7C), 4(7D). This ensures that the Act only applies to foreign encoded broadcasts that occur after the regulations have come into force.</w:t>
      </w:r>
    </w:p>
    <w:p w14:paraId="0E8636F9" w14:textId="1B799505" w:rsidR="00057C67" w:rsidRPr="000C44D0" w:rsidRDefault="00057C67" w:rsidP="00057C67">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Item 12 also clarifies that Part 2 of the 2018 Regulations, relating to Australian broadcasts </w:t>
      </w:r>
      <w:r w:rsidR="00312DA9">
        <w:rPr>
          <w:rFonts w:eastAsia="Times New Roman" w:cs="Times New Roman"/>
          <w:szCs w:val="20"/>
          <w:lang w:eastAsia="en-AU"/>
        </w:rPr>
        <w:t xml:space="preserve">and public performances </w:t>
      </w:r>
      <w:r>
        <w:rPr>
          <w:rFonts w:eastAsia="Times New Roman" w:cs="Times New Roman"/>
          <w:szCs w:val="20"/>
          <w:lang w:eastAsia="en-AU"/>
        </w:rPr>
        <w:t>of sound recordings from newly added countries to Schedule 3, commences on 1 January 2019.</w:t>
      </w:r>
    </w:p>
    <w:p w14:paraId="4DF7A95A" w14:textId="77777777" w:rsidR="00057C67" w:rsidRDefault="00057C67" w:rsidP="00057C67">
      <w:pPr>
        <w:rPr>
          <w:rFonts w:eastAsia="Times New Roman" w:cs="Times New Roman"/>
          <w:b/>
          <w:szCs w:val="24"/>
          <w:highlight w:val="yellow"/>
          <w:lang w:eastAsia="en-AU"/>
        </w:rPr>
      </w:pPr>
      <w:r>
        <w:rPr>
          <w:rFonts w:eastAsia="Times New Roman" w:cs="Times New Roman"/>
          <w:b/>
          <w:szCs w:val="24"/>
          <w:highlight w:val="yellow"/>
          <w:lang w:eastAsia="en-AU"/>
        </w:rPr>
        <w:br w:type="page"/>
      </w:r>
    </w:p>
    <w:p w14:paraId="21DA8144" w14:textId="77777777" w:rsidR="00137CDA" w:rsidRDefault="00137CDA" w:rsidP="00137CDA">
      <w:pPr>
        <w:overflowPunct w:val="0"/>
        <w:autoSpaceDE w:val="0"/>
        <w:autoSpaceDN w:val="0"/>
        <w:adjustRightInd w:val="0"/>
        <w:spacing w:before="240" w:after="0" w:line="240" w:lineRule="auto"/>
        <w:textAlignment w:val="baseline"/>
        <w:rPr>
          <w:rFonts w:eastAsia="Times New Roman" w:cs="Times New Roman"/>
          <w:b/>
          <w:szCs w:val="24"/>
          <w:highlight w:val="yellow"/>
          <w:lang w:eastAsia="en-AU"/>
        </w:rPr>
      </w:pPr>
      <w:r>
        <w:rPr>
          <w:rFonts w:eastAsia="Times New Roman" w:cs="Times New Roman"/>
          <w:b/>
          <w:kern w:val="28"/>
          <w:sz w:val="26"/>
          <w:szCs w:val="20"/>
          <w:lang w:eastAsia="en-AU"/>
        </w:rPr>
        <w:lastRenderedPageBreak/>
        <w:t>Part</w:t>
      </w:r>
      <w:r w:rsidRPr="000C44D0">
        <w:rPr>
          <w:rFonts w:eastAsia="Times New Roman" w:cs="Times New Roman"/>
          <w:b/>
          <w:kern w:val="28"/>
          <w:sz w:val="26"/>
          <w:szCs w:val="20"/>
          <w:lang w:eastAsia="en-AU"/>
        </w:rPr>
        <w:t> </w:t>
      </w:r>
      <w:r>
        <w:rPr>
          <w:rFonts w:eastAsia="Times New Roman" w:cs="Times New Roman"/>
          <w:b/>
          <w:kern w:val="28"/>
          <w:sz w:val="26"/>
          <w:szCs w:val="20"/>
          <w:lang w:eastAsia="en-AU"/>
        </w:rPr>
        <w:t xml:space="preserve">2—Amendments </w:t>
      </w:r>
      <w:r w:rsidRPr="001E3324">
        <w:rPr>
          <w:rFonts w:eastAsia="Times New Roman" w:cs="Times New Roman"/>
          <w:b/>
          <w:kern w:val="28"/>
          <w:sz w:val="26"/>
          <w:szCs w:val="20"/>
          <w:lang w:eastAsia="en-AU"/>
        </w:rPr>
        <w:t>commencing 1 January 2019</w:t>
      </w:r>
    </w:p>
    <w:p w14:paraId="569DD363" w14:textId="77777777" w:rsidR="00137CDA" w:rsidRDefault="00137CDA" w:rsidP="00137CDA">
      <w:pPr>
        <w:overflowPunct w:val="0"/>
        <w:autoSpaceDE w:val="0"/>
        <w:autoSpaceDN w:val="0"/>
        <w:adjustRightInd w:val="0"/>
        <w:spacing w:before="240" w:after="0" w:line="240" w:lineRule="auto"/>
        <w:textAlignment w:val="baseline"/>
        <w:rPr>
          <w:rFonts w:eastAsia="Times New Roman" w:cs="Times New Roman"/>
          <w:b/>
          <w:szCs w:val="24"/>
          <w:lang w:eastAsia="en-AU"/>
        </w:rPr>
      </w:pPr>
      <w:r w:rsidRPr="003073E1">
        <w:rPr>
          <w:rFonts w:eastAsia="Times New Roman" w:cs="Times New Roman"/>
          <w:b/>
          <w:szCs w:val="24"/>
          <w:lang w:eastAsia="en-AU"/>
        </w:rPr>
        <w:t>Item 13</w:t>
      </w:r>
      <w:r w:rsidRPr="003073E1" w:rsidDel="00575857">
        <w:rPr>
          <w:rFonts w:eastAsia="Times New Roman" w:cs="Times New Roman"/>
          <w:b/>
          <w:szCs w:val="24"/>
          <w:lang w:eastAsia="en-AU"/>
        </w:rPr>
        <w:t>—</w:t>
      </w:r>
      <w:r w:rsidRPr="003073E1">
        <w:rPr>
          <w:b/>
        </w:rPr>
        <w:t>Schedule 3</w:t>
      </w:r>
    </w:p>
    <w:p w14:paraId="32ECD6DD" w14:textId="6E9249BC" w:rsidR="00A4285E"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sectPr w:rsidR="00A4285E" w:rsidSect="00AC3188">
          <w:headerReference w:type="even" r:id="rId1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pPr>
      <w:r>
        <w:rPr>
          <w:rFonts w:eastAsia="Times New Roman" w:cs="Times New Roman"/>
          <w:szCs w:val="20"/>
          <w:lang w:eastAsia="en-AU"/>
        </w:rPr>
        <w:t xml:space="preserve">Item 13 extends protection for secondary uses of sound recordings to 32 other countries: </w:t>
      </w:r>
    </w:p>
    <w:p w14:paraId="533A7166" w14:textId="7D23B5B1" w:rsidR="00A4285E"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Albania</w:t>
      </w:r>
      <w:r>
        <w:rPr>
          <w:rFonts w:eastAsia="Times New Roman" w:cs="Times New Roman"/>
          <w:szCs w:val="20"/>
          <w:lang w:eastAsia="en-AU"/>
        </w:rPr>
        <w:br/>
        <w:t>Andorra</w:t>
      </w:r>
      <w:r>
        <w:rPr>
          <w:rFonts w:eastAsia="Times New Roman" w:cs="Times New Roman"/>
          <w:szCs w:val="20"/>
          <w:lang w:eastAsia="en-AU"/>
        </w:rPr>
        <w:br/>
        <w:t>Belarus</w:t>
      </w:r>
      <w:r>
        <w:rPr>
          <w:rFonts w:eastAsia="Times New Roman" w:cs="Times New Roman"/>
          <w:szCs w:val="20"/>
          <w:lang w:eastAsia="en-AU"/>
        </w:rPr>
        <w:br/>
        <w:t>Bermuda</w:t>
      </w:r>
      <w:r>
        <w:rPr>
          <w:rFonts w:eastAsia="Times New Roman" w:cs="Times New Roman"/>
          <w:szCs w:val="20"/>
          <w:lang w:eastAsia="en-AU"/>
        </w:rPr>
        <w:br/>
        <w:t xml:space="preserve">Brunei </w:t>
      </w:r>
      <w:r>
        <w:rPr>
          <w:rFonts w:eastAsia="Times New Roman" w:cs="Times New Roman"/>
          <w:szCs w:val="20"/>
          <w:lang w:eastAsia="en-AU"/>
        </w:rPr>
        <w:br/>
        <w:t>Bulgaria</w:t>
      </w:r>
      <w:r>
        <w:rPr>
          <w:rFonts w:eastAsia="Times New Roman" w:cs="Times New Roman"/>
          <w:szCs w:val="20"/>
          <w:lang w:eastAsia="en-AU"/>
        </w:rPr>
        <w:br/>
        <w:t>Burkina Faso</w:t>
      </w:r>
      <w:r>
        <w:rPr>
          <w:rFonts w:eastAsia="Times New Roman" w:cs="Times New Roman"/>
          <w:szCs w:val="20"/>
          <w:lang w:eastAsia="en-AU"/>
        </w:rPr>
        <w:br/>
        <w:t>Cabo Verde</w:t>
      </w:r>
      <w:r>
        <w:rPr>
          <w:rFonts w:eastAsia="Times New Roman" w:cs="Times New Roman"/>
          <w:szCs w:val="20"/>
          <w:lang w:eastAsia="en-AU"/>
        </w:rPr>
        <w:br/>
        <w:t>Croatia</w:t>
      </w:r>
      <w:r>
        <w:rPr>
          <w:rFonts w:eastAsia="Times New Roman" w:cs="Times New Roman"/>
          <w:szCs w:val="20"/>
          <w:lang w:eastAsia="en-AU"/>
        </w:rPr>
        <w:br/>
        <w:t>Dominica</w:t>
      </w:r>
      <w:r>
        <w:rPr>
          <w:rFonts w:eastAsia="Times New Roman" w:cs="Times New Roman"/>
          <w:szCs w:val="20"/>
          <w:lang w:eastAsia="en-AU"/>
        </w:rPr>
        <w:br/>
        <w:t>El Salvador</w:t>
      </w:r>
      <w:r>
        <w:rPr>
          <w:rFonts w:eastAsia="Times New Roman" w:cs="Times New Roman"/>
          <w:szCs w:val="20"/>
          <w:lang w:eastAsia="en-AU"/>
        </w:rPr>
        <w:br/>
        <w:t>Hungary</w:t>
      </w:r>
      <w:r>
        <w:rPr>
          <w:rFonts w:eastAsia="Times New Roman" w:cs="Times New Roman"/>
          <w:szCs w:val="20"/>
          <w:lang w:eastAsia="en-AU"/>
        </w:rPr>
        <w:br/>
        <w:t>Indonesia</w:t>
      </w:r>
      <w:r>
        <w:rPr>
          <w:rFonts w:eastAsia="Times New Roman" w:cs="Times New Roman"/>
          <w:szCs w:val="20"/>
          <w:lang w:eastAsia="en-AU"/>
        </w:rPr>
        <w:br/>
        <w:t>Kyrgyzstan</w:t>
      </w:r>
      <w:r>
        <w:rPr>
          <w:rFonts w:eastAsia="Times New Roman" w:cs="Times New Roman"/>
          <w:szCs w:val="20"/>
          <w:lang w:eastAsia="en-AU"/>
        </w:rPr>
        <w:br/>
        <w:t>Latvia</w:t>
      </w:r>
      <w:r>
        <w:rPr>
          <w:rFonts w:eastAsia="Times New Roman" w:cs="Times New Roman"/>
          <w:szCs w:val="20"/>
          <w:lang w:eastAsia="en-AU"/>
        </w:rPr>
        <w:br/>
        <w:t>Lebanon</w:t>
      </w:r>
    </w:p>
    <w:p w14:paraId="4B33B611" w14:textId="1DFFB92C" w:rsidR="00A4285E"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sectPr w:rsidR="00A4285E" w:rsidSect="00A4285E">
          <w:type w:val="continuous"/>
          <w:pgSz w:w="11906" w:h="16838"/>
          <w:pgMar w:top="1440" w:right="1701" w:bottom="1440" w:left="1701" w:header="720" w:footer="720" w:gutter="0"/>
          <w:pgNumType w:start="1"/>
          <w:cols w:num="2" w:space="720"/>
          <w:titlePg/>
          <w:docGrid w:linePitch="299"/>
        </w:sectPr>
      </w:pPr>
      <w:r>
        <w:rPr>
          <w:rFonts w:eastAsia="Times New Roman" w:cs="Times New Roman"/>
          <w:szCs w:val="20"/>
          <w:lang w:eastAsia="en-AU"/>
        </w:rPr>
        <w:t>Lesotho</w:t>
      </w:r>
      <w:r>
        <w:rPr>
          <w:rFonts w:eastAsia="Times New Roman" w:cs="Times New Roman"/>
          <w:szCs w:val="20"/>
          <w:lang w:eastAsia="en-AU"/>
        </w:rPr>
        <w:br/>
        <w:t>Lithuania</w:t>
      </w:r>
      <w:r>
        <w:rPr>
          <w:rFonts w:eastAsia="Times New Roman" w:cs="Times New Roman"/>
          <w:szCs w:val="20"/>
          <w:lang w:eastAsia="en-AU"/>
        </w:rPr>
        <w:br/>
        <w:t>Mali</w:t>
      </w:r>
      <w:r>
        <w:rPr>
          <w:rFonts w:eastAsia="Times New Roman" w:cs="Times New Roman"/>
          <w:szCs w:val="20"/>
          <w:lang w:eastAsia="en-AU"/>
        </w:rPr>
        <w:br/>
        <w:t>Monaco</w:t>
      </w:r>
      <w:r>
        <w:rPr>
          <w:rFonts w:eastAsia="Times New Roman" w:cs="Times New Roman"/>
          <w:szCs w:val="20"/>
          <w:lang w:eastAsia="en-AU"/>
        </w:rPr>
        <w:br/>
        <w:t>Mongolia</w:t>
      </w:r>
      <w:r>
        <w:rPr>
          <w:rFonts w:eastAsia="Times New Roman" w:cs="Times New Roman"/>
          <w:szCs w:val="20"/>
          <w:lang w:eastAsia="en-AU"/>
        </w:rPr>
        <w:br/>
        <w:t>Nicaragua</w:t>
      </w:r>
      <w:r>
        <w:rPr>
          <w:rFonts w:eastAsia="Times New Roman" w:cs="Times New Roman"/>
          <w:szCs w:val="20"/>
          <w:lang w:eastAsia="en-AU"/>
        </w:rPr>
        <w:br/>
        <w:t>Nigeria</w:t>
      </w:r>
      <w:r>
        <w:rPr>
          <w:rFonts w:eastAsia="Times New Roman" w:cs="Times New Roman"/>
          <w:szCs w:val="20"/>
          <w:lang w:eastAsia="en-AU"/>
        </w:rPr>
        <w:br/>
        <w:t>Peru</w:t>
      </w:r>
      <w:r>
        <w:rPr>
          <w:rFonts w:eastAsia="Times New Roman" w:cs="Times New Roman"/>
          <w:szCs w:val="20"/>
          <w:lang w:eastAsia="en-AU"/>
        </w:rPr>
        <w:br/>
        <w:t>Qatar</w:t>
      </w:r>
      <w:r>
        <w:rPr>
          <w:rFonts w:eastAsia="Times New Roman" w:cs="Times New Roman"/>
          <w:szCs w:val="20"/>
          <w:lang w:eastAsia="en-AU"/>
        </w:rPr>
        <w:br/>
      </w:r>
      <w:r w:rsidRPr="003073E1">
        <w:rPr>
          <w:rFonts w:eastAsia="Times New Roman" w:cs="Times New Roman"/>
          <w:szCs w:val="20"/>
          <w:lang w:eastAsia="en-AU"/>
        </w:rPr>
        <w:t>Republic of Moldova</w:t>
      </w:r>
      <w:r>
        <w:rPr>
          <w:rFonts w:eastAsia="Times New Roman" w:cs="Times New Roman"/>
          <w:szCs w:val="20"/>
          <w:lang w:eastAsia="en-AU"/>
        </w:rPr>
        <w:br/>
        <w:t>Saint Lucia</w:t>
      </w:r>
      <w:r>
        <w:rPr>
          <w:rFonts w:eastAsia="Times New Roman" w:cs="Times New Roman"/>
          <w:szCs w:val="20"/>
          <w:lang w:eastAsia="en-AU"/>
        </w:rPr>
        <w:br/>
      </w:r>
      <w:r>
        <w:rPr>
          <w:rFonts w:eastAsia="Times New Roman" w:cs="Times New Roman"/>
          <w:szCs w:val="20"/>
          <w:lang w:eastAsia="en-AU"/>
        </w:rPr>
        <w:lastRenderedPageBreak/>
        <w:t>Serbia</w:t>
      </w:r>
      <w:r>
        <w:rPr>
          <w:rFonts w:eastAsia="Times New Roman" w:cs="Times New Roman"/>
          <w:szCs w:val="20"/>
          <w:lang w:eastAsia="en-AU"/>
        </w:rPr>
        <w:br/>
        <w:t>Slovenia</w:t>
      </w:r>
      <w:r>
        <w:rPr>
          <w:rFonts w:eastAsia="Times New Roman" w:cs="Times New Roman"/>
          <w:szCs w:val="20"/>
          <w:lang w:eastAsia="en-AU"/>
        </w:rPr>
        <w:br/>
        <w:t>Switzerland</w:t>
      </w:r>
      <w:r>
        <w:rPr>
          <w:rFonts w:eastAsia="Times New Roman" w:cs="Times New Roman"/>
          <w:szCs w:val="20"/>
          <w:lang w:eastAsia="en-AU"/>
        </w:rPr>
        <w:br/>
        <w:t>Togo</w:t>
      </w:r>
      <w:r>
        <w:rPr>
          <w:rFonts w:eastAsia="Times New Roman" w:cs="Times New Roman"/>
          <w:szCs w:val="20"/>
          <w:lang w:eastAsia="en-AU"/>
        </w:rPr>
        <w:br/>
      </w:r>
      <w:r w:rsidRPr="003073E1">
        <w:rPr>
          <w:rFonts w:eastAsia="Times New Roman" w:cs="Times New Roman"/>
          <w:szCs w:val="20"/>
          <w:lang w:eastAsia="en-AU"/>
        </w:rPr>
        <w:t>Ukraine</w:t>
      </w:r>
    </w:p>
    <w:p w14:paraId="7CD2B772" w14:textId="0DC55193" w:rsidR="00C0589E" w:rsidRDefault="00483669" w:rsidP="00483669">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 xml:space="preserve">To </w:t>
      </w:r>
      <w:r w:rsidR="0004775E" w:rsidRPr="006B5174">
        <w:t>determine whether these 32 countries provided reciprocal protection for secondary uses</w:t>
      </w:r>
      <w:r>
        <w:rPr>
          <w:rFonts w:eastAsia="Times New Roman" w:cs="Times New Roman"/>
          <w:szCs w:val="20"/>
          <w:lang w:eastAsia="en-AU"/>
        </w:rPr>
        <w:t xml:space="preserve">, a review was undertaken. </w:t>
      </w:r>
      <w:r w:rsidR="00EB4B46">
        <w:rPr>
          <w:rFonts w:eastAsia="Times New Roman" w:cs="Times New Roman"/>
          <w:szCs w:val="20"/>
          <w:lang w:eastAsia="en-AU"/>
        </w:rPr>
        <w:t xml:space="preserve">The </w:t>
      </w:r>
      <w:r>
        <w:rPr>
          <w:rFonts w:eastAsia="Times New Roman" w:cs="Times New Roman"/>
          <w:szCs w:val="20"/>
          <w:lang w:eastAsia="en-AU"/>
        </w:rPr>
        <w:t xml:space="preserve">status </w:t>
      </w:r>
      <w:r w:rsidR="00EB4B46">
        <w:rPr>
          <w:rFonts w:eastAsia="Times New Roman" w:cs="Times New Roman"/>
          <w:szCs w:val="20"/>
          <w:lang w:eastAsia="en-AU"/>
        </w:rPr>
        <w:t xml:space="preserve">of the 32 countries </w:t>
      </w:r>
      <w:r>
        <w:rPr>
          <w:rFonts w:eastAsia="Times New Roman" w:cs="Times New Roman"/>
          <w:szCs w:val="20"/>
          <w:lang w:eastAsia="en-AU"/>
        </w:rPr>
        <w:t>regarding the Rome Convention or WPPT treaties was considered, and the legislation of these</w:t>
      </w:r>
      <w:r w:rsidR="00F35053">
        <w:rPr>
          <w:rFonts w:eastAsia="Times New Roman" w:cs="Times New Roman"/>
          <w:szCs w:val="20"/>
          <w:lang w:eastAsia="en-AU"/>
        </w:rPr>
        <w:t xml:space="preserve"> countries</w:t>
      </w:r>
      <w:r>
        <w:rPr>
          <w:rFonts w:eastAsia="Times New Roman" w:cs="Times New Roman"/>
          <w:szCs w:val="20"/>
          <w:lang w:eastAsia="en-AU"/>
        </w:rPr>
        <w:t xml:space="preserve"> was examined to ensure that their laws provide </w:t>
      </w:r>
      <w:r>
        <w:rPr>
          <w:szCs w:val="24"/>
        </w:rPr>
        <w:t>adequate</w:t>
      </w:r>
      <w:r>
        <w:rPr>
          <w:rFonts w:eastAsia="Times New Roman" w:cs="Times New Roman"/>
          <w:szCs w:val="20"/>
          <w:lang w:eastAsia="en-AU"/>
        </w:rPr>
        <w:t xml:space="preserve"> protection for secondary uses. </w:t>
      </w:r>
    </w:p>
    <w:p w14:paraId="585F5C7E" w14:textId="642E552D" w:rsidR="00137CDA" w:rsidRDefault="00483669" w:rsidP="00483669">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As international terminology around the protection of secondary uses of sound recordings can vary, the analysis confirmed the newly listed countries</w:t>
      </w:r>
      <w:r w:rsidR="00F35053">
        <w:rPr>
          <w:rFonts w:eastAsia="Times New Roman" w:cs="Times New Roman"/>
          <w:szCs w:val="20"/>
          <w:lang w:eastAsia="en-AU"/>
        </w:rPr>
        <w:t>’</w:t>
      </w:r>
      <w:r>
        <w:rPr>
          <w:rFonts w:eastAsia="Times New Roman" w:cs="Times New Roman"/>
          <w:szCs w:val="20"/>
          <w:lang w:eastAsia="en-AU"/>
        </w:rPr>
        <w:t xml:space="preserve"> laws protect either broadcast and public performance, or broadcast and communication to the public of sound recordings. </w:t>
      </w:r>
      <w:r w:rsidR="00137CDA">
        <w:rPr>
          <w:rFonts w:eastAsia="Times New Roman" w:cs="Times New Roman"/>
          <w:szCs w:val="20"/>
          <w:lang w:eastAsia="en-AU"/>
        </w:rPr>
        <w:t xml:space="preserve">In international usage, public performance or communication to the public of sound recordings can be considered causing sound recordings to be heard in public, as defined under the Australian </w:t>
      </w:r>
      <w:r w:rsidR="00137CDA" w:rsidRPr="00BC1498">
        <w:rPr>
          <w:rFonts w:eastAsia="Times New Roman" w:cs="Times New Roman"/>
          <w:i/>
          <w:szCs w:val="20"/>
          <w:lang w:eastAsia="en-AU"/>
        </w:rPr>
        <w:t>Copyr</w:t>
      </w:r>
      <w:r w:rsidR="00137CDA">
        <w:rPr>
          <w:rFonts w:eastAsia="Times New Roman" w:cs="Times New Roman"/>
          <w:i/>
          <w:szCs w:val="20"/>
          <w:lang w:eastAsia="en-AU"/>
        </w:rPr>
        <w:t>ight Act </w:t>
      </w:r>
      <w:r w:rsidR="00137CDA" w:rsidRPr="00BC1498">
        <w:rPr>
          <w:rFonts w:eastAsia="Times New Roman" w:cs="Times New Roman"/>
          <w:i/>
          <w:szCs w:val="20"/>
          <w:lang w:eastAsia="en-AU"/>
        </w:rPr>
        <w:t>1968</w:t>
      </w:r>
      <w:r w:rsidR="00137CDA">
        <w:rPr>
          <w:rFonts w:eastAsia="Times New Roman" w:cs="Times New Roman"/>
          <w:szCs w:val="20"/>
          <w:lang w:eastAsia="en-AU"/>
        </w:rPr>
        <w:t>.</w:t>
      </w:r>
    </w:p>
    <w:p w14:paraId="5D6C333A" w14:textId="77777777" w:rsidR="00137CDA"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pPr>
      <w:r>
        <w:rPr>
          <w:rFonts w:eastAsia="Times New Roman" w:cs="Times New Roman"/>
          <w:szCs w:val="20"/>
          <w:lang w:eastAsia="en-AU"/>
        </w:rPr>
        <w:t>In addition to extending protection to these 32 countries, item 13 also updates the names of countries already in Schedule 3 in line with Australia’s international protocols. The updated names of these three countries are:</w:t>
      </w:r>
    </w:p>
    <w:p w14:paraId="1AF60FAA" w14:textId="77777777" w:rsidR="00137CDA"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pPr>
      <w:r w:rsidRPr="001E3324">
        <w:rPr>
          <w:rFonts w:eastAsia="Times New Roman" w:cs="Times New Roman"/>
          <w:szCs w:val="20"/>
          <w:lang w:eastAsia="en-AU"/>
        </w:rPr>
        <w:t>Bahamas</w:t>
      </w:r>
      <w:r>
        <w:rPr>
          <w:rFonts w:eastAsia="Times New Roman" w:cs="Times New Roman"/>
          <w:szCs w:val="20"/>
          <w:lang w:eastAsia="en-AU"/>
        </w:rPr>
        <w:br/>
      </w:r>
      <w:r w:rsidRPr="001E3324">
        <w:rPr>
          <w:rFonts w:eastAsia="Times New Roman" w:cs="Times New Roman"/>
          <w:szCs w:val="20"/>
          <w:lang w:eastAsia="en-AU"/>
        </w:rPr>
        <w:t>Holy See</w:t>
      </w:r>
      <w:r>
        <w:rPr>
          <w:rFonts w:eastAsia="Times New Roman" w:cs="Times New Roman"/>
          <w:szCs w:val="20"/>
          <w:lang w:eastAsia="en-AU"/>
        </w:rPr>
        <w:br/>
        <w:t>Slovak Republic</w:t>
      </w:r>
    </w:p>
    <w:p w14:paraId="6CC3AD32" w14:textId="77777777" w:rsidR="00137CDA" w:rsidRDefault="00137CDA" w:rsidP="00137CDA">
      <w:pPr>
        <w:rPr>
          <w:rFonts w:eastAsia="Times New Roman" w:cs="Times New Roman"/>
          <w:szCs w:val="20"/>
          <w:lang w:eastAsia="en-AU"/>
        </w:rPr>
      </w:pPr>
      <w:r>
        <w:rPr>
          <w:rFonts w:eastAsia="Times New Roman" w:cs="Times New Roman"/>
          <w:szCs w:val="20"/>
          <w:lang w:eastAsia="en-AU"/>
        </w:rPr>
        <w:br w:type="page"/>
      </w:r>
    </w:p>
    <w:p w14:paraId="29D83919" w14:textId="77777777" w:rsidR="00137CDA" w:rsidRPr="000C44D0" w:rsidRDefault="00137CDA" w:rsidP="00137CDA">
      <w:pPr>
        <w:overflowPunct w:val="0"/>
        <w:autoSpaceDE w:val="0"/>
        <w:autoSpaceDN w:val="0"/>
        <w:adjustRightInd w:val="0"/>
        <w:spacing w:before="240" w:after="0" w:line="240" w:lineRule="auto"/>
        <w:textAlignment w:val="baseline"/>
        <w:rPr>
          <w:rFonts w:eastAsia="Times New Roman" w:cs="Times New Roman"/>
          <w:b/>
          <w:kern w:val="28"/>
          <w:sz w:val="26"/>
          <w:szCs w:val="20"/>
          <w:lang w:eastAsia="en-AU"/>
        </w:rPr>
      </w:pPr>
      <w:r>
        <w:rPr>
          <w:rFonts w:eastAsia="Times New Roman" w:cs="Times New Roman"/>
          <w:b/>
          <w:kern w:val="28"/>
          <w:sz w:val="26"/>
          <w:szCs w:val="20"/>
          <w:lang w:eastAsia="en-AU"/>
        </w:rPr>
        <w:lastRenderedPageBreak/>
        <w:t>Attachment 2</w:t>
      </w:r>
      <w:r w:rsidRPr="000C44D0">
        <w:rPr>
          <w:rFonts w:eastAsia="Times New Roman" w:cs="Times New Roman"/>
          <w:b/>
          <w:kern w:val="28"/>
          <w:sz w:val="26"/>
          <w:szCs w:val="20"/>
          <w:lang w:eastAsia="en-AU"/>
        </w:rPr>
        <w:t>: Statement of Compatibility with Human Rights</w:t>
      </w:r>
    </w:p>
    <w:p w14:paraId="67133724" w14:textId="77777777" w:rsidR="00137CDA" w:rsidRPr="00143439" w:rsidRDefault="00137CDA" w:rsidP="00137CDA">
      <w:pPr>
        <w:overflowPunct w:val="0"/>
        <w:autoSpaceDE w:val="0"/>
        <w:autoSpaceDN w:val="0"/>
        <w:adjustRightInd w:val="0"/>
        <w:spacing w:before="240" w:after="0" w:line="240" w:lineRule="auto"/>
        <w:jc w:val="center"/>
        <w:textAlignment w:val="baseline"/>
        <w:rPr>
          <w:rFonts w:eastAsia="Times New Roman" w:cs="Times New Roman"/>
          <w:i/>
          <w:lang w:eastAsia="en-AU"/>
        </w:rPr>
      </w:pPr>
      <w:r w:rsidRPr="00143439">
        <w:rPr>
          <w:rFonts w:eastAsia="Times New Roman" w:cs="Times New Roman"/>
          <w:i/>
          <w:lang w:eastAsia="en-AU"/>
        </w:rPr>
        <w:t>Prepared in accordance with Part 3 of the Human Rights (Parliamentary Scrutiny) Act 2011</w:t>
      </w:r>
    </w:p>
    <w:p w14:paraId="67374FB8" w14:textId="77777777" w:rsidR="00137CDA" w:rsidRPr="00143439" w:rsidRDefault="00137CDA" w:rsidP="00137CDA">
      <w:pPr>
        <w:overflowPunct w:val="0"/>
        <w:autoSpaceDE w:val="0"/>
        <w:autoSpaceDN w:val="0"/>
        <w:adjustRightInd w:val="0"/>
        <w:spacing w:before="240" w:after="0" w:line="240" w:lineRule="auto"/>
        <w:jc w:val="center"/>
        <w:textAlignment w:val="baseline"/>
        <w:rPr>
          <w:rFonts w:eastAsia="Times New Roman" w:cs="Times New Roman"/>
          <w:b/>
          <w:lang w:eastAsia="en-AU"/>
        </w:rPr>
      </w:pPr>
      <w:r w:rsidRPr="0098766F">
        <w:rPr>
          <w:rFonts w:eastAsia="Times New Roman" w:cs="Times New Roman"/>
          <w:b/>
          <w:lang w:eastAsia="en-AU"/>
        </w:rPr>
        <w:t>Copyright (International Protection) Amendment Regulations 2018</w:t>
      </w:r>
    </w:p>
    <w:p w14:paraId="4FFA3869" w14:textId="77777777" w:rsidR="00137CDA" w:rsidRPr="00B12B06" w:rsidRDefault="00137CDA" w:rsidP="00137CDA">
      <w:pPr>
        <w:overflowPunct w:val="0"/>
        <w:autoSpaceDE w:val="0"/>
        <w:autoSpaceDN w:val="0"/>
        <w:adjustRightInd w:val="0"/>
        <w:spacing w:before="240" w:after="0" w:line="240" w:lineRule="auto"/>
        <w:textAlignment w:val="baseline"/>
        <w:rPr>
          <w:rFonts w:eastAsia="Times New Roman" w:cs="Times New Roman"/>
          <w:lang w:eastAsia="en-AU"/>
        </w:rPr>
      </w:pPr>
      <w:r w:rsidRPr="00143439">
        <w:rPr>
          <w:rFonts w:eastAsia="Times New Roman" w:cs="Times New Roman"/>
          <w:lang w:eastAsia="en-AU"/>
        </w:rPr>
        <w:t xml:space="preserve">This Instrument is compatible with the human rights and freedoms recognised or declared in the international instruments listed in section 3 of the </w:t>
      </w:r>
      <w:r w:rsidRPr="00143439">
        <w:rPr>
          <w:rFonts w:eastAsia="Times New Roman" w:cs="Times New Roman"/>
          <w:i/>
          <w:lang w:eastAsia="en-AU"/>
        </w:rPr>
        <w:t>Human Rights (Parliamentary Scrutiny) Act</w:t>
      </w:r>
      <w:r>
        <w:rPr>
          <w:rFonts w:eastAsia="Times New Roman" w:cs="Times New Roman"/>
          <w:i/>
          <w:lang w:eastAsia="en-AU"/>
        </w:rPr>
        <w:t xml:space="preserve"> </w:t>
      </w:r>
      <w:r w:rsidRPr="00143439">
        <w:rPr>
          <w:rFonts w:eastAsia="Times New Roman" w:cs="Times New Roman"/>
          <w:i/>
          <w:lang w:eastAsia="en-AU"/>
        </w:rPr>
        <w:t>2011.</w:t>
      </w:r>
    </w:p>
    <w:p w14:paraId="4D52E391" w14:textId="77777777" w:rsidR="00137CDA" w:rsidRPr="00143439" w:rsidRDefault="00137CDA" w:rsidP="00137CDA">
      <w:pPr>
        <w:overflowPunct w:val="0"/>
        <w:autoSpaceDE w:val="0"/>
        <w:autoSpaceDN w:val="0"/>
        <w:adjustRightInd w:val="0"/>
        <w:spacing w:before="240" w:after="0" w:line="240" w:lineRule="auto"/>
        <w:textAlignment w:val="baseline"/>
        <w:rPr>
          <w:rFonts w:eastAsia="Times New Roman" w:cs="Times New Roman"/>
          <w:b/>
          <w:lang w:eastAsia="en-AU"/>
        </w:rPr>
      </w:pPr>
      <w:r w:rsidRPr="00143439">
        <w:rPr>
          <w:rFonts w:eastAsia="Times New Roman" w:cs="Times New Roman"/>
          <w:b/>
          <w:lang w:eastAsia="en-AU"/>
        </w:rPr>
        <w:t>Overview of the Instrument</w:t>
      </w:r>
    </w:p>
    <w:p w14:paraId="7FF12031" w14:textId="77777777" w:rsidR="00137CDA" w:rsidRDefault="00137CDA" w:rsidP="00137CDA">
      <w:pPr>
        <w:overflowPunct w:val="0"/>
        <w:autoSpaceDE w:val="0"/>
        <w:autoSpaceDN w:val="0"/>
        <w:adjustRightInd w:val="0"/>
        <w:spacing w:before="240" w:after="0" w:line="240" w:lineRule="auto"/>
        <w:textAlignment w:val="baseline"/>
        <w:rPr>
          <w:rFonts w:eastAsia="Times New Roman" w:cs="Times New Roman"/>
          <w:szCs w:val="20"/>
          <w:lang w:eastAsia="en-AU"/>
        </w:rPr>
      </w:pPr>
      <w:r w:rsidRPr="00143439">
        <w:rPr>
          <w:rFonts w:eastAsia="Times New Roman" w:cs="Times New Roman"/>
          <w:lang w:eastAsia="en-AU"/>
        </w:rPr>
        <w:t xml:space="preserve">The purpose of the </w:t>
      </w:r>
      <w:r w:rsidRPr="00143439">
        <w:rPr>
          <w:rFonts w:eastAsia="Times New Roman" w:cs="Times New Roman"/>
          <w:i/>
          <w:lang w:eastAsia="en-AU"/>
        </w:rPr>
        <w:t>Copyright</w:t>
      </w:r>
      <w:r w:rsidRPr="00143439">
        <w:rPr>
          <w:rFonts w:eastAsia="Times New Roman" w:cs="Times New Roman"/>
          <w:lang w:eastAsia="en-AU"/>
        </w:rPr>
        <w:t xml:space="preserve"> </w:t>
      </w:r>
      <w:r w:rsidRPr="00143439">
        <w:rPr>
          <w:rFonts w:eastAsia="Times New Roman" w:cs="Times New Roman"/>
          <w:i/>
          <w:lang w:eastAsia="en-AU"/>
        </w:rPr>
        <w:t>(International Protection) Amendment Regulations 2018</w:t>
      </w:r>
      <w:r w:rsidRPr="00143439">
        <w:rPr>
          <w:rFonts w:eastAsia="Times New Roman" w:cs="Times New Roman"/>
          <w:lang w:eastAsia="en-AU"/>
        </w:rPr>
        <w:t xml:space="preserve"> (2018 Regulations) is to </w:t>
      </w:r>
      <w:r>
        <w:rPr>
          <w:rFonts w:eastAsia="Times New Roman" w:cs="Times New Roman"/>
          <w:szCs w:val="20"/>
          <w:lang w:eastAsia="en-AU"/>
        </w:rPr>
        <w:t xml:space="preserve">update the protection provided to foreign countries </w:t>
      </w:r>
      <w:r>
        <w:rPr>
          <w:rFonts w:eastAsia="Times New Roman" w:cs="Times New Roman"/>
          <w:lang w:eastAsia="en-AU"/>
        </w:rPr>
        <w:t>in</w:t>
      </w:r>
      <w:r w:rsidRPr="00143439">
        <w:rPr>
          <w:rFonts w:eastAsia="Times New Roman" w:cs="Times New Roman"/>
          <w:lang w:eastAsia="en-AU"/>
        </w:rPr>
        <w:t xml:space="preserve"> the </w:t>
      </w:r>
      <w:r w:rsidRPr="00143439">
        <w:rPr>
          <w:rFonts w:eastAsia="Times New Roman" w:cs="Times New Roman"/>
          <w:i/>
          <w:lang w:eastAsia="en-AU"/>
        </w:rPr>
        <w:t>Copyright (International Protection) Regulations 1969</w:t>
      </w:r>
      <w:r>
        <w:rPr>
          <w:rFonts w:eastAsia="Times New Roman" w:cs="Times New Roman"/>
          <w:i/>
          <w:lang w:eastAsia="en-AU"/>
        </w:rPr>
        <w:t xml:space="preserve"> </w:t>
      </w:r>
      <w:r>
        <w:rPr>
          <w:rFonts w:eastAsia="Times New Roman" w:cs="Times New Roman"/>
          <w:szCs w:val="20"/>
          <w:lang w:eastAsia="en-AU"/>
        </w:rPr>
        <w:t xml:space="preserve">in accordance with Australia’s treaty obligations and commitment to protecting international sound recordings. </w:t>
      </w:r>
    </w:p>
    <w:p w14:paraId="606CF4EE" w14:textId="74995B41" w:rsidR="00137CDA" w:rsidRDefault="00137CDA" w:rsidP="00137CDA">
      <w:pPr>
        <w:overflowPunct w:val="0"/>
        <w:autoSpaceDE w:val="0"/>
        <w:autoSpaceDN w:val="0"/>
        <w:adjustRightInd w:val="0"/>
        <w:spacing w:before="240" w:after="0" w:line="240" w:lineRule="auto"/>
        <w:textAlignment w:val="baseline"/>
      </w:pPr>
      <w:r>
        <w:t xml:space="preserve">Item 8 </w:t>
      </w:r>
      <w:r>
        <w:rPr>
          <w:rFonts w:eastAsia="Times New Roman" w:cs="Times New Roman"/>
          <w:szCs w:val="20"/>
          <w:lang w:eastAsia="en-AU"/>
        </w:rPr>
        <w:t xml:space="preserve">of the 2018 Regulations </w:t>
      </w:r>
      <w:r>
        <w:t xml:space="preserve">implements </w:t>
      </w:r>
      <w:r w:rsidRPr="000D3311">
        <w:t>the Malaysia-Australia Free Trade Agreement</w:t>
      </w:r>
      <w:r>
        <w:t xml:space="preserve"> (MAFTA) to extend the application of the Act to Malaysian encoded broadcasts.</w:t>
      </w:r>
      <w:r w:rsidR="00793722" w:rsidRPr="00793722">
        <w:rPr>
          <w:rFonts w:eastAsia="Times New Roman" w:cs="Times New Roman"/>
          <w:color w:val="000000"/>
          <w:lang w:eastAsia="en-AU"/>
        </w:rPr>
        <w:t xml:space="preserve"> </w:t>
      </w:r>
      <w:r w:rsidR="00793722">
        <w:rPr>
          <w:rFonts w:eastAsia="Times New Roman" w:cs="Times New Roman"/>
          <w:color w:val="000000"/>
          <w:lang w:eastAsia="en-AU"/>
        </w:rPr>
        <w:t>Once this protection commences, unauthorised access to Malaysian encoded broadcasts will be an offence under Part VAA of the Act.</w:t>
      </w:r>
    </w:p>
    <w:p w14:paraId="4EFD357D" w14:textId="1B5BECD2" w:rsidR="00137CDA" w:rsidRDefault="00137CDA" w:rsidP="00137CDA">
      <w:pPr>
        <w:overflowPunct w:val="0"/>
        <w:autoSpaceDE w:val="0"/>
        <w:autoSpaceDN w:val="0"/>
        <w:adjustRightInd w:val="0"/>
        <w:spacing w:before="240" w:after="0" w:line="240" w:lineRule="auto"/>
        <w:textAlignment w:val="baseline"/>
      </w:pPr>
      <w:r>
        <w:t>Item 13</w:t>
      </w:r>
      <w:r>
        <w:rPr>
          <w:rFonts w:eastAsia="Times New Roman" w:cs="Times New Roman"/>
          <w:szCs w:val="20"/>
          <w:lang w:eastAsia="en-AU"/>
        </w:rPr>
        <w:t xml:space="preserve"> of the 2018 Regulations extends protection for secondary uses of sound recordings to 32 countries.</w:t>
      </w:r>
      <w:r w:rsidR="00793722" w:rsidRPr="00793722">
        <w:rPr>
          <w:rFonts w:eastAsia="Times New Roman" w:cs="Times New Roman"/>
          <w:color w:val="000000"/>
          <w:lang w:eastAsia="en-AU"/>
        </w:rPr>
        <w:t xml:space="preserve"> </w:t>
      </w:r>
      <w:r w:rsidR="00793722">
        <w:rPr>
          <w:rFonts w:eastAsia="Times New Roman" w:cs="Times New Roman"/>
          <w:color w:val="000000"/>
          <w:lang w:eastAsia="en-AU"/>
        </w:rPr>
        <w:t>Copyright owners of sound recordings in the 32 countries will have the exclusive rights to cause a recording to be heard in public, and to broadcast a recording to the public.</w:t>
      </w:r>
    </w:p>
    <w:p w14:paraId="62F9CCE2" w14:textId="77777777" w:rsidR="00137CDA" w:rsidRPr="00143439" w:rsidRDefault="00137CDA" w:rsidP="00137CDA">
      <w:pPr>
        <w:autoSpaceDE w:val="0"/>
        <w:autoSpaceDN w:val="0"/>
        <w:adjustRightInd w:val="0"/>
        <w:spacing w:before="240" w:after="0" w:line="240" w:lineRule="auto"/>
        <w:rPr>
          <w:rFonts w:eastAsia="Times New Roman" w:cs="Times New Roman"/>
          <w:color w:val="000000"/>
          <w:lang w:eastAsia="en-AU"/>
        </w:rPr>
      </w:pPr>
      <w:r w:rsidRPr="00143439">
        <w:rPr>
          <w:rFonts w:eastAsia="Times New Roman" w:cs="Times New Roman"/>
          <w:b/>
          <w:bCs/>
          <w:color w:val="000000"/>
          <w:lang w:eastAsia="en-AU"/>
        </w:rPr>
        <w:t xml:space="preserve">Human rights implications </w:t>
      </w:r>
    </w:p>
    <w:p w14:paraId="408950CB" w14:textId="58BEBEE7" w:rsidR="00137CDA" w:rsidRDefault="00137CDA" w:rsidP="00137CDA">
      <w:pPr>
        <w:autoSpaceDE w:val="0"/>
        <w:autoSpaceDN w:val="0"/>
        <w:adjustRightInd w:val="0"/>
        <w:spacing w:before="240" w:after="0" w:line="240" w:lineRule="auto"/>
        <w:rPr>
          <w:lang w:eastAsia="en-AU"/>
        </w:rPr>
      </w:pPr>
      <w:r w:rsidRPr="00364ED8">
        <w:rPr>
          <w:rFonts w:eastAsia="Times New Roman" w:cs="Times New Roman"/>
          <w:lang w:eastAsia="en-AU"/>
        </w:rPr>
        <w:t>Having considered the likely impact of the Instrument and the nature of the applicable rights and freedoms, it has been determ</w:t>
      </w:r>
      <w:r>
        <w:rPr>
          <w:rFonts w:eastAsia="Times New Roman" w:cs="Times New Roman"/>
          <w:lang w:eastAsia="en-AU"/>
        </w:rPr>
        <w:t xml:space="preserve">ined that the Instrument </w:t>
      </w:r>
      <w:r w:rsidRPr="00143439">
        <w:rPr>
          <w:rFonts w:eastAsia="Times New Roman" w:cs="Times New Roman"/>
          <w:lang w:eastAsia="en-AU"/>
        </w:rPr>
        <w:t>engage</w:t>
      </w:r>
      <w:r>
        <w:rPr>
          <w:rFonts w:eastAsia="Times New Roman" w:cs="Times New Roman"/>
          <w:lang w:eastAsia="en-AU"/>
        </w:rPr>
        <w:t>s</w:t>
      </w:r>
      <w:r>
        <w:rPr>
          <w:rFonts w:eastAsia="Times New Roman" w:cs="Times New Roman"/>
          <w:color w:val="000000"/>
          <w:lang w:eastAsia="en-AU"/>
        </w:rPr>
        <w:t xml:space="preserve"> </w:t>
      </w:r>
      <w:r>
        <w:rPr>
          <w:lang w:eastAsia="en-AU"/>
        </w:rPr>
        <w:t xml:space="preserve">the right to </w:t>
      </w:r>
      <w:r w:rsidRPr="0035590E">
        <w:rPr>
          <w:lang w:eastAsia="en-AU"/>
        </w:rPr>
        <w:t>benefit from the protection of the moral and material interests result</w:t>
      </w:r>
      <w:r w:rsidRPr="0035590E">
        <w:rPr>
          <w:lang w:eastAsia="en-AU"/>
        </w:rPr>
        <w:lastRenderedPageBreak/>
        <w:t xml:space="preserve">ing from any scientific, literary or artistic production of which </w:t>
      </w:r>
      <w:r>
        <w:rPr>
          <w:lang w:eastAsia="en-AU"/>
        </w:rPr>
        <w:t>she/</w:t>
      </w:r>
      <w:r w:rsidRPr="0035590E">
        <w:rPr>
          <w:lang w:eastAsia="en-AU"/>
        </w:rPr>
        <w:t>he is the author</w:t>
      </w:r>
      <w:r>
        <w:rPr>
          <w:lang w:eastAsia="en-AU"/>
        </w:rPr>
        <w:t xml:space="preserve"> under Article 15(1)(c) </w:t>
      </w:r>
      <w:r w:rsidRPr="005B1DFC">
        <w:rPr>
          <w:lang w:eastAsia="en-AU"/>
        </w:rPr>
        <w:t>of the</w:t>
      </w:r>
      <w:r>
        <w:rPr>
          <w:lang w:eastAsia="en-AU"/>
        </w:rPr>
        <w:t xml:space="preserve"> </w:t>
      </w:r>
      <w:r w:rsidR="00AF4968" w:rsidRPr="00AF4968">
        <w:rPr>
          <w:lang w:eastAsia="en-AU"/>
        </w:rPr>
        <w:t>International Covenant on Economic, Social and Cultural Rights</w:t>
      </w:r>
      <w:r w:rsidR="00AF4968">
        <w:rPr>
          <w:lang w:eastAsia="en-AU"/>
        </w:rPr>
        <w:t xml:space="preserve"> (ICESCR)</w:t>
      </w:r>
      <w:r>
        <w:rPr>
          <w:lang w:eastAsia="en-AU"/>
        </w:rPr>
        <w:t>.</w:t>
      </w:r>
    </w:p>
    <w:p w14:paraId="1EF6CFD3" w14:textId="34D262F3" w:rsidR="00137CDA" w:rsidRDefault="00137CDA" w:rsidP="00793722">
      <w:pPr>
        <w:autoSpaceDE w:val="0"/>
        <w:autoSpaceDN w:val="0"/>
        <w:adjustRightInd w:val="0"/>
        <w:spacing w:before="240" w:after="0" w:line="240" w:lineRule="auto"/>
        <w:rPr>
          <w:rFonts w:eastAsia="Times New Roman" w:cs="Times New Roman"/>
          <w:color w:val="000000"/>
          <w:lang w:eastAsia="en-AU"/>
        </w:rPr>
      </w:pPr>
      <w:r>
        <w:rPr>
          <w:rFonts w:eastAsia="Times New Roman" w:cs="Times New Roman"/>
          <w:color w:val="000000"/>
          <w:lang w:eastAsia="en-AU"/>
        </w:rPr>
        <w:t xml:space="preserve">Item 8 will promote </w:t>
      </w:r>
      <w:r w:rsidRPr="00AA3140">
        <w:rPr>
          <w:rFonts w:eastAsia="Times New Roman" w:cs="Times New Roman"/>
          <w:color w:val="000000"/>
          <w:lang w:eastAsia="en-AU"/>
        </w:rPr>
        <w:t>Article 15(1)(c) of the ICESCR</w:t>
      </w:r>
      <w:r>
        <w:rPr>
          <w:rFonts w:eastAsia="Times New Roman" w:cs="Times New Roman"/>
          <w:color w:val="000000"/>
          <w:lang w:eastAsia="en-AU"/>
        </w:rPr>
        <w:t xml:space="preserve">, </w:t>
      </w:r>
      <w:r w:rsidRPr="00AA3140">
        <w:rPr>
          <w:rFonts w:eastAsia="Times New Roman" w:cs="Times New Roman"/>
          <w:color w:val="000000"/>
          <w:lang w:eastAsia="en-AU"/>
        </w:rPr>
        <w:t xml:space="preserve">the right to benefit from the protection of </w:t>
      </w:r>
      <w:r>
        <w:rPr>
          <w:rFonts w:eastAsia="Times New Roman" w:cs="Times New Roman"/>
          <w:color w:val="000000"/>
          <w:lang w:eastAsia="en-AU"/>
        </w:rPr>
        <w:t xml:space="preserve">moral and material interests. Malaysian broadcasters will be able to materially benefit from the revenue gained from consumers accessing their content through legitimate avenues. </w:t>
      </w:r>
    </w:p>
    <w:p w14:paraId="7D8FA319" w14:textId="43D512EE" w:rsidR="00137CDA" w:rsidRDefault="00137CDA" w:rsidP="00137CDA">
      <w:pPr>
        <w:autoSpaceDE w:val="0"/>
        <w:autoSpaceDN w:val="0"/>
        <w:adjustRightInd w:val="0"/>
        <w:spacing w:before="240" w:after="0" w:line="240" w:lineRule="auto"/>
        <w:rPr>
          <w:rFonts w:eastAsia="Times New Roman" w:cs="Times New Roman"/>
          <w:color w:val="000000"/>
          <w:lang w:eastAsia="en-AU"/>
        </w:rPr>
      </w:pPr>
      <w:r>
        <w:rPr>
          <w:rFonts w:eastAsia="Times New Roman" w:cs="Times New Roman"/>
          <w:color w:val="000000"/>
          <w:lang w:eastAsia="en-AU"/>
        </w:rPr>
        <w:t xml:space="preserve">Item 13 will promote </w:t>
      </w:r>
      <w:r w:rsidRPr="00AA3140">
        <w:rPr>
          <w:rFonts w:eastAsia="Times New Roman" w:cs="Times New Roman"/>
          <w:color w:val="000000"/>
          <w:lang w:eastAsia="en-AU"/>
        </w:rPr>
        <w:t>Article 15(1)(c) of the ICESCR</w:t>
      </w:r>
      <w:r>
        <w:rPr>
          <w:rFonts w:eastAsia="Times New Roman" w:cs="Times New Roman"/>
          <w:color w:val="000000"/>
          <w:lang w:eastAsia="en-AU"/>
        </w:rPr>
        <w:t xml:space="preserve">, </w:t>
      </w:r>
      <w:r w:rsidRPr="00AA3140">
        <w:rPr>
          <w:rFonts w:eastAsia="Times New Roman" w:cs="Times New Roman"/>
          <w:color w:val="000000"/>
          <w:lang w:eastAsia="en-AU"/>
        </w:rPr>
        <w:t xml:space="preserve">the right to benefit from the protection of </w:t>
      </w:r>
      <w:r>
        <w:rPr>
          <w:rFonts w:eastAsia="Times New Roman" w:cs="Times New Roman"/>
          <w:color w:val="000000"/>
          <w:lang w:eastAsia="en-AU"/>
        </w:rPr>
        <w:t>moral and material interests</w:t>
      </w:r>
      <w:r w:rsidR="00793722">
        <w:rPr>
          <w:lang w:eastAsia="en-AU"/>
        </w:rPr>
        <w:t>.</w:t>
      </w:r>
      <w:r w:rsidRPr="0035590E">
        <w:rPr>
          <w:lang w:eastAsia="en-AU"/>
        </w:rPr>
        <w:t xml:space="preserve"> </w:t>
      </w:r>
      <w:r>
        <w:rPr>
          <w:rFonts w:eastAsia="Times New Roman" w:cs="Times New Roman"/>
          <w:color w:val="000000"/>
          <w:lang w:eastAsia="en-AU"/>
        </w:rPr>
        <w:t xml:space="preserve">Copyright owners of sound recordings from the 32 countries will be able to materially benefit from royalties paid for the use of their sound recordings in Australian broadcasts and public performances. </w:t>
      </w:r>
    </w:p>
    <w:p w14:paraId="0A70E0EF" w14:textId="77777777" w:rsidR="00137CDA" w:rsidRDefault="00137CDA" w:rsidP="00137CDA">
      <w:pPr>
        <w:autoSpaceDE w:val="0"/>
        <w:autoSpaceDN w:val="0"/>
        <w:adjustRightInd w:val="0"/>
        <w:spacing w:before="240" w:after="0" w:line="240" w:lineRule="auto"/>
        <w:rPr>
          <w:rFonts w:eastAsia="Times New Roman" w:cs="Times New Roman"/>
          <w:color w:val="000000"/>
          <w:lang w:eastAsia="en-AU"/>
        </w:rPr>
      </w:pPr>
      <w:r w:rsidRPr="00505495">
        <w:rPr>
          <w:rFonts w:eastAsia="Times New Roman" w:cs="Times New Roman"/>
          <w:color w:val="000000"/>
          <w:lang w:eastAsia="en-AU"/>
        </w:rPr>
        <w:t xml:space="preserve">The remaining provisions of the Instrument </w:t>
      </w:r>
      <w:r>
        <w:rPr>
          <w:rFonts w:eastAsia="Times New Roman" w:cs="Times New Roman"/>
          <w:color w:val="000000"/>
          <w:lang w:eastAsia="en-AU"/>
        </w:rPr>
        <w:t xml:space="preserve">are mechanical changes and </w:t>
      </w:r>
      <w:r w:rsidRPr="00505495">
        <w:rPr>
          <w:rFonts w:eastAsia="Times New Roman" w:cs="Times New Roman"/>
          <w:color w:val="000000"/>
          <w:lang w:eastAsia="en-AU"/>
        </w:rPr>
        <w:t>will have a minimal impact on the rights engaged.</w:t>
      </w:r>
    </w:p>
    <w:p w14:paraId="2771E533" w14:textId="77777777" w:rsidR="00137CDA" w:rsidRPr="00143439" w:rsidRDefault="00137CDA" w:rsidP="00137CDA">
      <w:pPr>
        <w:autoSpaceDE w:val="0"/>
        <w:autoSpaceDN w:val="0"/>
        <w:adjustRightInd w:val="0"/>
        <w:spacing w:before="240" w:after="0" w:line="240" w:lineRule="auto"/>
        <w:rPr>
          <w:rFonts w:eastAsia="Times New Roman" w:cs="Times New Roman"/>
          <w:color w:val="000000"/>
          <w:lang w:eastAsia="en-AU"/>
        </w:rPr>
      </w:pPr>
      <w:r w:rsidRPr="00143439">
        <w:rPr>
          <w:rFonts w:eastAsia="Times New Roman" w:cs="Times New Roman"/>
          <w:b/>
          <w:bCs/>
          <w:color w:val="000000"/>
          <w:lang w:eastAsia="en-AU"/>
        </w:rPr>
        <w:t xml:space="preserve">Conclusion </w:t>
      </w:r>
    </w:p>
    <w:p w14:paraId="52CBFB28" w14:textId="5991F2D2" w:rsidR="00057C67" w:rsidRPr="00CB6F12" w:rsidRDefault="00137CDA" w:rsidP="00137CDA">
      <w:pPr>
        <w:overflowPunct w:val="0"/>
        <w:autoSpaceDE w:val="0"/>
        <w:autoSpaceDN w:val="0"/>
        <w:adjustRightInd w:val="0"/>
        <w:spacing w:before="240" w:after="0" w:line="240" w:lineRule="auto"/>
        <w:textAlignment w:val="baseline"/>
        <w:rPr>
          <w:rFonts w:eastAsia="Times New Roman" w:cs="Times New Roman"/>
          <w:color w:val="000000"/>
          <w:lang w:eastAsia="en-AU"/>
        </w:rPr>
      </w:pPr>
      <w:r w:rsidRPr="00143439">
        <w:rPr>
          <w:rFonts w:eastAsia="Times New Roman" w:cs="Times New Roman"/>
          <w:color w:val="000000"/>
          <w:lang w:eastAsia="en-AU"/>
        </w:rPr>
        <w:t>This Instrument is compatible with human rights</w:t>
      </w:r>
      <w:r>
        <w:rPr>
          <w:rFonts w:eastAsia="Times New Roman" w:cs="Times New Roman"/>
          <w:color w:val="000000"/>
          <w:lang w:eastAsia="en-AU"/>
        </w:rPr>
        <w:t xml:space="preserve"> because it promotes the right </w:t>
      </w:r>
      <w:r w:rsidRPr="00AA3140">
        <w:rPr>
          <w:rFonts w:eastAsia="Times New Roman" w:cs="Times New Roman"/>
          <w:color w:val="000000"/>
          <w:lang w:eastAsia="en-AU"/>
        </w:rPr>
        <w:t xml:space="preserve">to benefit from the protection of </w:t>
      </w:r>
      <w:r>
        <w:rPr>
          <w:rFonts w:eastAsia="Times New Roman" w:cs="Times New Roman"/>
          <w:color w:val="000000"/>
          <w:lang w:eastAsia="en-AU"/>
        </w:rPr>
        <w:t>moral and material interests</w:t>
      </w:r>
      <w:r w:rsidRPr="00143439">
        <w:rPr>
          <w:rFonts w:eastAsia="Times New Roman" w:cs="Times New Roman"/>
          <w:color w:val="000000"/>
          <w:lang w:eastAsia="en-AU"/>
        </w:rPr>
        <w:t>.</w:t>
      </w:r>
    </w:p>
    <w:sectPr w:rsidR="00057C67" w:rsidRPr="00CB6F12" w:rsidSect="00A4285E">
      <w:footerReference w:type="default" r:id="rId16"/>
      <w:type w:val="continuous"/>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798A" w14:textId="77777777" w:rsidR="00BA04F8" w:rsidRDefault="00BA04F8" w:rsidP="000C44D0">
      <w:pPr>
        <w:spacing w:after="0" w:line="240" w:lineRule="auto"/>
      </w:pPr>
      <w:r>
        <w:separator/>
      </w:r>
    </w:p>
  </w:endnote>
  <w:endnote w:type="continuationSeparator" w:id="0">
    <w:p w14:paraId="76C8A987" w14:textId="77777777" w:rsidR="00BA04F8" w:rsidRDefault="00BA04F8" w:rsidP="000C44D0">
      <w:pPr>
        <w:spacing w:after="0" w:line="240" w:lineRule="auto"/>
      </w:pPr>
      <w:r>
        <w:continuationSeparator/>
      </w:r>
    </w:p>
  </w:endnote>
  <w:endnote w:type="continuationNotice" w:id="1">
    <w:p w14:paraId="61DDDDD8" w14:textId="77777777" w:rsidR="00BA04F8" w:rsidRDefault="00BA0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5B7B" w14:textId="77777777" w:rsidR="00BA04F8" w:rsidRDefault="00BA04F8" w:rsidP="00AC3188">
    <w:pPr>
      <w:pStyle w:val="Footer"/>
      <w:jc w:val="center"/>
    </w:pPr>
    <w:r>
      <w:fldChar w:fldCharType="begin"/>
    </w:r>
    <w:r>
      <w:instrText xml:space="preserve"> PAGE   \* MERGEFORMAT </w:instrText>
    </w:r>
    <w:r>
      <w:fldChar w:fldCharType="separate"/>
    </w:r>
    <w:r w:rsidR="00AE16AD">
      <w:rPr>
        <w:noProof/>
      </w:rPr>
      <w:t>2</w:t>
    </w:r>
    <w:r>
      <w:rPr>
        <w:noProof/>
      </w:rPr>
      <w:fldChar w:fldCharType="end"/>
    </w:r>
  </w:p>
  <w:p w14:paraId="3592FA40" w14:textId="77777777" w:rsidR="00EE0135" w:rsidRDefault="00EE01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1E02" w14:textId="77777777" w:rsidR="00BA04F8" w:rsidRPr="0075677C" w:rsidRDefault="00BA04F8" w:rsidP="00AC3188">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186241"/>
      <w:docPartObj>
        <w:docPartGallery w:val="Page Numbers (Bottom of Page)"/>
        <w:docPartUnique/>
      </w:docPartObj>
    </w:sdtPr>
    <w:sdtEndPr>
      <w:rPr>
        <w:noProof/>
      </w:rPr>
    </w:sdtEndPr>
    <w:sdtContent>
      <w:p w14:paraId="10E9053A" w14:textId="7228F786" w:rsidR="00B800AA" w:rsidRDefault="00B800AA">
        <w:pPr>
          <w:pStyle w:val="Footer"/>
          <w:jc w:val="center"/>
        </w:pPr>
        <w:r>
          <w:t>7</w:t>
        </w:r>
      </w:p>
    </w:sdtContent>
  </w:sdt>
  <w:p w14:paraId="0D39BA51" w14:textId="77777777" w:rsidR="00B800AA" w:rsidRDefault="00B800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3808" w14:textId="77777777" w:rsidR="00BA04F8" w:rsidRDefault="00BA04F8" w:rsidP="000C44D0">
      <w:pPr>
        <w:spacing w:after="0" w:line="240" w:lineRule="auto"/>
      </w:pPr>
      <w:r>
        <w:separator/>
      </w:r>
    </w:p>
  </w:footnote>
  <w:footnote w:type="continuationSeparator" w:id="0">
    <w:p w14:paraId="7EF30FA9" w14:textId="77777777" w:rsidR="00BA04F8" w:rsidRDefault="00BA04F8" w:rsidP="000C44D0">
      <w:pPr>
        <w:spacing w:after="0" w:line="240" w:lineRule="auto"/>
      </w:pPr>
      <w:r>
        <w:continuationSeparator/>
      </w:r>
    </w:p>
  </w:footnote>
  <w:footnote w:type="continuationNotice" w:id="1">
    <w:p w14:paraId="7720BAC7" w14:textId="77777777" w:rsidR="00BA04F8" w:rsidRDefault="00BA04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CAEE0" w14:textId="0F216257" w:rsidR="00BA04F8" w:rsidRDefault="00BA04F8">
    <w:pPr>
      <w:pStyle w:val="Header"/>
    </w:pPr>
  </w:p>
  <w:p w14:paraId="554D583B" w14:textId="77777777" w:rsidR="00EE0135" w:rsidRDefault="00EE01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DB74" w14:textId="0EC665EC" w:rsidR="00BA04F8" w:rsidRDefault="00BA04F8">
    <w:pPr>
      <w:pStyle w:val="Header"/>
      <w:ind w:right="360"/>
    </w:pPr>
  </w:p>
  <w:p w14:paraId="1D891207" w14:textId="77777777" w:rsidR="00EE0135" w:rsidRDefault="00EE01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AEFC" w14:textId="7E3D4232" w:rsidR="00BA04F8" w:rsidRPr="00E128F0" w:rsidRDefault="00BA04F8" w:rsidP="00AC3188">
    <w:pPr>
      <w:pStyle w:val="Header"/>
      <w:ind w:right="360"/>
      <w:jc w:val="right"/>
      <w:rPr>
        <w:b/>
        <w:color w:val="0000F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EA6"/>
    <w:multiLevelType w:val="hybridMultilevel"/>
    <w:tmpl w:val="B7BE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6D82"/>
    <w:multiLevelType w:val="hybridMultilevel"/>
    <w:tmpl w:val="54BC1E36"/>
    <w:lvl w:ilvl="0" w:tplc="E0A472D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26CA8"/>
    <w:multiLevelType w:val="hybridMultilevel"/>
    <w:tmpl w:val="A8B8198C"/>
    <w:lvl w:ilvl="0" w:tplc="FE107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005F6"/>
    <w:multiLevelType w:val="hybridMultilevel"/>
    <w:tmpl w:val="3D92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437ADB"/>
    <w:multiLevelType w:val="hybridMultilevel"/>
    <w:tmpl w:val="D3E0D14C"/>
    <w:lvl w:ilvl="0" w:tplc="F63290F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34859"/>
    <w:multiLevelType w:val="hybridMultilevel"/>
    <w:tmpl w:val="A404A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22A2DE5"/>
    <w:multiLevelType w:val="hybridMultilevel"/>
    <w:tmpl w:val="76D092AC"/>
    <w:lvl w:ilvl="0" w:tplc="CE5C3396">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370E9"/>
    <w:multiLevelType w:val="hybridMultilevel"/>
    <w:tmpl w:val="D38A001A"/>
    <w:lvl w:ilvl="0" w:tplc="04DE055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D546E"/>
    <w:multiLevelType w:val="hybridMultilevel"/>
    <w:tmpl w:val="0E36AC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FD220E"/>
    <w:multiLevelType w:val="hybridMultilevel"/>
    <w:tmpl w:val="5E52F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75374"/>
    <w:multiLevelType w:val="hybridMultilevel"/>
    <w:tmpl w:val="AD5E5F6A"/>
    <w:lvl w:ilvl="0" w:tplc="02605F2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325F97"/>
    <w:multiLevelType w:val="hybridMultilevel"/>
    <w:tmpl w:val="DC18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865A5E"/>
    <w:multiLevelType w:val="hybridMultilevel"/>
    <w:tmpl w:val="394C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9B107D"/>
    <w:multiLevelType w:val="hybridMultilevel"/>
    <w:tmpl w:val="A0AE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541C6"/>
    <w:multiLevelType w:val="hybridMultilevel"/>
    <w:tmpl w:val="FB7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36CD0"/>
    <w:multiLevelType w:val="hybridMultilevel"/>
    <w:tmpl w:val="8FB8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8143AF"/>
    <w:multiLevelType w:val="hybridMultilevel"/>
    <w:tmpl w:val="F002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3757B"/>
    <w:multiLevelType w:val="hybridMultilevel"/>
    <w:tmpl w:val="4998CC9E"/>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5"/>
  </w:num>
  <w:num w:numId="4">
    <w:abstractNumId w:val="1"/>
  </w:num>
  <w:num w:numId="5">
    <w:abstractNumId w:val="8"/>
  </w:num>
  <w:num w:numId="6">
    <w:abstractNumId w:val="2"/>
  </w:num>
  <w:num w:numId="7">
    <w:abstractNumId w:val="4"/>
  </w:num>
  <w:num w:numId="8">
    <w:abstractNumId w:val="10"/>
  </w:num>
  <w:num w:numId="9">
    <w:abstractNumId w:val="3"/>
  </w:num>
  <w:num w:numId="10">
    <w:abstractNumId w:val="12"/>
  </w:num>
  <w:num w:numId="11">
    <w:abstractNumId w:val="0"/>
  </w:num>
  <w:num w:numId="12">
    <w:abstractNumId w:val="9"/>
  </w:num>
  <w:num w:numId="13">
    <w:abstractNumId w:val="17"/>
  </w:num>
  <w:num w:numId="14">
    <w:abstractNumId w:val="13"/>
  </w:num>
  <w:num w:numId="15">
    <w:abstractNumId w:val="7"/>
  </w:num>
  <w:num w:numId="16">
    <w:abstractNumId w:val="16"/>
  </w:num>
  <w:num w:numId="17">
    <w:abstractNumId w:val="15"/>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D0"/>
    <w:rsid w:val="000104F8"/>
    <w:rsid w:val="00042AB4"/>
    <w:rsid w:val="00043794"/>
    <w:rsid w:val="00046F58"/>
    <w:rsid w:val="0004775E"/>
    <w:rsid w:val="00057C67"/>
    <w:rsid w:val="00057FC3"/>
    <w:rsid w:val="00062274"/>
    <w:rsid w:val="00070AC7"/>
    <w:rsid w:val="00086DEA"/>
    <w:rsid w:val="000962DF"/>
    <w:rsid w:val="0009744E"/>
    <w:rsid w:val="000A6DCD"/>
    <w:rsid w:val="000B6211"/>
    <w:rsid w:val="000C44D0"/>
    <w:rsid w:val="000E6C8F"/>
    <w:rsid w:val="000E7ADF"/>
    <w:rsid w:val="00104D3E"/>
    <w:rsid w:val="00114E39"/>
    <w:rsid w:val="00137CDA"/>
    <w:rsid w:val="00143439"/>
    <w:rsid w:val="00193836"/>
    <w:rsid w:val="0019607C"/>
    <w:rsid w:val="001B6B37"/>
    <w:rsid w:val="001E3324"/>
    <w:rsid w:val="001E4A02"/>
    <w:rsid w:val="001F6ADD"/>
    <w:rsid w:val="00220348"/>
    <w:rsid w:val="002774EA"/>
    <w:rsid w:val="002A55F3"/>
    <w:rsid w:val="002A5F81"/>
    <w:rsid w:val="002B07BE"/>
    <w:rsid w:val="002B1DE2"/>
    <w:rsid w:val="002B2B58"/>
    <w:rsid w:val="002B6983"/>
    <w:rsid w:val="002C4208"/>
    <w:rsid w:val="002D4D30"/>
    <w:rsid w:val="0030094C"/>
    <w:rsid w:val="003046DD"/>
    <w:rsid w:val="0030560F"/>
    <w:rsid w:val="003073E1"/>
    <w:rsid w:val="00312136"/>
    <w:rsid w:val="00312DA9"/>
    <w:rsid w:val="00324D59"/>
    <w:rsid w:val="00325213"/>
    <w:rsid w:val="003308B3"/>
    <w:rsid w:val="0035590E"/>
    <w:rsid w:val="00364173"/>
    <w:rsid w:val="00364ED8"/>
    <w:rsid w:val="00365FFC"/>
    <w:rsid w:val="00373D31"/>
    <w:rsid w:val="0039046E"/>
    <w:rsid w:val="003912C6"/>
    <w:rsid w:val="00395858"/>
    <w:rsid w:val="00396945"/>
    <w:rsid w:val="003A4058"/>
    <w:rsid w:val="003C1B47"/>
    <w:rsid w:val="003D7B14"/>
    <w:rsid w:val="003E1B4B"/>
    <w:rsid w:val="0041469F"/>
    <w:rsid w:val="00433490"/>
    <w:rsid w:val="0044364F"/>
    <w:rsid w:val="004533F9"/>
    <w:rsid w:val="004561E7"/>
    <w:rsid w:val="00462876"/>
    <w:rsid w:val="0047455C"/>
    <w:rsid w:val="00483669"/>
    <w:rsid w:val="00490D09"/>
    <w:rsid w:val="004975BA"/>
    <w:rsid w:val="004D26DE"/>
    <w:rsid w:val="004D2732"/>
    <w:rsid w:val="004F044D"/>
    <w:rsid w:val="005021F8"/>
    <w:rsid w:val="00505495"/>
    <w:rsid w:val="00525C19"/>
    <w:rsid w:val="00533D63"/>
    <w:rsid w:val="00544628"/>
    <w:rsid w:val="00545454"/>
    <w:rsid w:val="00546410"/>
    <w:rsid w:val="005621DD"/>
    <w:rsid w:val="005A2D68"/>
    <w:rsid w:val="005B1DFC"/>
    <w:rsid w:val="005C4282"/>
    <w:rsid w:val="005E28B7"/>
    <w:rsid w:val="005F0F3A"/>
    <w:rsid w:val="005F781A"/>
    <w:rsid w:val="005F7DA7"/>
    <w:rsid w:val="00601A62"/>
    <w:rsid w:val="00606358"/>
    <w:rsid w:val="006154BA"/>
    <w:rsid w:val="00620260"/>
    <w:rsid w:val="00633F2A"/>
    <w:rsid w:val="00635DA7"/>
    <w:rsid w:val="00636821"/>
    <w:rsid w:val="00653D33"/>
    <w:rsid w:val="006640C4"/>
    <w:rsid w:val="00683C58"/>
    <w:rsid w:val="00684352"/>
    <w:rsid w:val="006902D4"/>
    <w:rsid w:val="006B4384"/>
    <w:rsid w:val="006B72CC"/>
    <w:rsid w:val="0070620D"/>
    <w:rsid w:val="00722E44"/>
    <w:rsid w:val="007335FF"/>
    <w:rsid w:val="00734DFD"/>
    <w:rsid w:val="007503C3"/>
    <w:rsid w:val="007552F5"/>
    <w:rsid w:val="00757DCB"/>
    <w:rsid w:val="0077629F"/>
    <w:rsid w:val="00793722"/>
    <w:rsid w:val="007B39CC"/>
    <w:rsid w:val="007F2ADE"/>
    <w:rsid w:val="00817069"/>
    <w:rsid w:val="00817867"/>
    <w:rsid w:val="008212F1"/>
    <w:rsid w:val="0084190F"/>
    <w:rsid w:val="00842D92"/>
    <w:rsid w:val="00872373"/>
    <w:rsid w:val="00885B16"/>
    <w:rsid w:val="00887BCD"/>
    <w:rsid w:val="0089103C"/>
    <w:rsid w:val="008A2440"/>
    <w:rsid w:val="008C7FA5"/>
    <w:rsid w:val="008E38DF"/>
    <w:rsid w:val="008F1BBF"/>
    <w:rsid w:val="00911235"/>
    <w:rsid w:val="00916598"/>
    <w:rsid w:val="00917673"/>
    <w:rsid w:val="009259DE"/>
    <w:rsid w:val="009310C1"/>
    <w:rsid w:val="00951086"/>
    <w:rsid w:val="009511AE"/>
    <w:rsid w:val="009677AC"/>
    <w:rsid w:val="009746DD"/>
    <w:rsid w:val="00977AE7"/>
    <w:rsid w:val="00983C91"/>
    <w:rsid w:val="0098766F"/>
    <w:rsid w:val="009942A4"/>
    <w:rsid w:val="009A0677"/>
    <w:rsid w:val="009A0EB4"/>
    <w:rsid w:val="009D02E6"/>
    <w:rsid w:val="009D3BCA"/>
    <w:rsid w:val="00A4285E"/>
    <w:rsid w:val="00A97ACF"/>
    <w:rsid w:val="00AA3140"/>
    <w:rsid w:val="00AB2336"/>
    <w:rsid w:val="00AB2FC0"/>
    <w:rsid w:val="00AC3188"/>
    <w:rsid w:val="00AE16AD"/>
    <w:rsid w:val="00AE379E"/>
    <w:rsid w:val="00AE7E6E"/>
    <w:rsid w:val="00AF12BF"/>
    <w:rsid w:val="00AF4968"/>
    <w:rsid w:val="00B12B06"/>
    <w:rsid w:val="00B209F8"/>
    <w:rsid w:val="00B30708"/>
    <w:rsid w:val="00B34341"/>
    <w:rsid w:val="00B36B8E"/>
    <w:rsid w:val="00B704CA"/>
    <w:rsid w:val="00B800AA"/>
    <w:rsid w:val="00BA04F8"/>
    <w:rsid w:val="00BB0CFF"/>
    <w:rsid w:val="00BC1498"/>
    <w:rsid w:val="00BC62C2"/>
    <w:rsid w:val="00BD2F91"/>
    <w:rsid w:val="00BD30F4"/>
    <w:rsid w:val="00BD3BEF"/>
    <w:rsid w:val="00C0589E"/>
    <w:rsid w:val="00C23ECE"/>
    <w:rsid w:val="00C26B6A"/>
    <w:rsid w:val="00C671E2"/>
    <w:rsid w:val="00C704BB"/>
    <w:rsid w:val="00C70EFC"/>
    <w:rsid w:val="00C85AA0"/>
    <w:rsid w:val="00C962A1"/>
    <w:rsid w:val="00CB3CBC"/>
    <w:rsid w:val="00CB6F12"/>
    <w:rsid w:val="00CC563C"/>
    <w:rsid w:val="00CC7B05"/>
    <w:rsid w:val="00CD0BD3"/>
    <w:rsid w:val="00CD14AD"/>
    <w:rsid w:val="00CD5086"/>
    <w:rsid w:val="00CD7A11"/>
    <w:rsid w:val="00CE4F68"/>
    <w:rsid w:val="00D141A3"/>
    <w:rsid w:val="00D151AC"/>
    <w:rsid w:val="00D20207"/>
    <w:rsid w:val="00D216E1"/>
    <w:rsid w:val="00D25C52"/>
    <w:rsid w:val="00D573B9"/>
    <w:rsid w:val="00D67546"/>
    <w:rsid w:val="00D73291"/>
    <w:rsid w:val="00DA07C8"/>
    <w:rsid w:val="00DA14F8"/>
    <w:rsid w:val="00DA481D"/>
    <w:rsid w:val="00DC31C9"/>
    <w:rsid w:val="00DD5A9C"/>
    <w:rsid w:val="00E01615"/>
    <w:rsid w:val="00E035DC"/>
    <w:rsid w:val="00E057F9"/>
    <w:rsid w:val="00E16057"/>
    <w:rsid w:val="00E335FF"/>
    <w:rsid w:val="00E47C3F"/>
    <w:rsid w:val="00E5079D"/>
    <w:rsid w:val="00E51FB2"/>
    <w:rsid w:val="00E62BD3"/>
    <w:rsid w:val="00E65277"/>
    <w:rsid w:val="00E65D07"/>
    <w:rsid w:val="00E66D42"/>
    <w:rsid w:val="00E72B19"/>
    <w:rsid w:val="00E91EE4"/>
    <w:rsid w:val="00EA7606"/>
    <w:rsid w:val="00EB4B46"/>
    <w:rsid w:val="00ED0E4B"/>
    <w:rsid w:val="00EE0135"/>
    <w:rsid w:val="00EE3C84"/>
    <w:rsid w:val="00EF0F8B"/>
    <w:rsid w:val="00F06576"/>
    <w:rsid w:val="00F35053"/>
    <w:rsid w:val="00F404FA"/>
    <w:rsid w:val="00F42CE4"/>
    <w:rsid w:val="00F6660C"/>
    <w:rsid w:val="00FA5669"/>
    <w:rsid w:val="00FE0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9AB08"/>
  <w15:chartTrackingRefBased/>
  <w15:docId w15:val="{45374B8E-67D7-4994-964F-389B6FC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4D0"/>
    <w:rPr>
      <w:rFonts w:ascii="Times New Roman" w:hAnsi="Times New Roman"/>
    </w:rPr>
  </w:style>
  <w:style w:type="paragraph" w:styleId="Footer">
    <w:name w:val="footer"/>
    <w:basedOn w:val="Normal"/>
    <w:link w:val="FooterChar"/>
    <w:uiPriority w:val="99"/>
    <w:unhideWhenUsed/>
    <w:rsid w:val="000C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4D0"/>
    <w:rPr>
      <w:rFonts w:ascii="Times New Roman" w:hAnsi="Times New Roman"/>
    </w:rPr>
  </w:style>
  <w:style w:type="character" w:styleId="CommentReference">
    <w:name w:val="annotation reference"/>
    <w:rsid w:val="000C44D0"/>
    <w:rPr>
      <w:sz w:val="16"/>
      <w:szCs w:val="16"/>
    </w:rPr>
  </w:style>
  <w:style w:type="paragraph" w:styleId="CommentText">
    <w:name w:val="annotation text"/>
    <w:basedOn w:val="Normal"/>
    <w:link w:val="CommentTextChar"/>
    <w:rsid w:val="000C44D0"/>
    <w:pPr>
      <w:overflowPunct w:val="0"/>
      <w:autoSpaceDE w:val="0"/>
      <w:autoSpaceDN w:val="0"/>
      <w:adjustRightInd w:val="0"/>
      <w:spacing w:before="240" w:after="0" w:line="240" w:lineRule="auto"/>
      <w:textAlignment w:val="baseline"/>
    </w:pPr>
    <w:rPr>
      <w:rFonts w:eastAsia="Times New Roman" w:cs="Times New Roman"/>
      <w:sz w:val="20"/>
      <w:szCs w:val="20"/>
      <w:lang w:eastAsia="en-AU"/>
    </w:rPr>
  </w:style>
  <w:style w:type="character" w:customStyle="1" w:styleId="CommentTextChar">
    <w:name w:val="Comment Text Char"/>
    <w:basedOn w:val="DefaultParagraphFont"/>
    <w:link w:val="CommentText"/>
    <w:rsid w:val="000C44D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C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0260"/>
    <w:pPr>
      <w:overflowPunct/>
      <w:autoSpaceDE/>
      <w:autoSpaceDN/>
      <w:adjustRightInd/>
      <w:spacing w:before="0" w:after="160"/>
      <w:textAlignment w:val="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20260"/>
    <w:rPr>
      <w:rFonts w:ascii="Times New Roman" w:eastAsia="Times New Roman" w:hAnsi="Times New Roman" w:cs="Times New Roman"/>
      <w:b/>
      <w:bCs/>
      <w:sz w:val="20"/>
      <w:szCs w:val="20"/>
      <w:lang w:eastAsia="en-AU"/>
    </w:rPr>
  </w:style>
  <w:style w:type="paragraph" w:styleId="BodyText">
    <w:name w:val="Body Text"/>
    <w:basedOn w:val="Normal"/>
    <w:link w:val="BodyTextChar"/>
    <w:uiPriority w:val="99"/>
    <w:semiHidden/>
    <w:unhideWhenUsed/>
    <w:rsid w:val="00606358"/>
    <w:pPr>
      <w:spacing w:after="120"/>
    </w:pPr>
  </w:style>
  <w:style w:type="character" w:customStyle="1" w:styleId="BodyTextChar">
    <w:name w:val="Body Text Char"/>
    <w:basedOn w:val="DefaultParagraphFont"/>
    <w:link w:val="BodyText"/>
    <w:uiPriority w:val="99"/>
    <w:semiHidden/>
    <w:rsid w:val="00606358"/>
    <w:rPr>
      <w:rFonts w:ascii="Times New Roman" w:hAnsi="Times New Roman"/>
    </w:rPr>
  </w:style>
  <w:style w:type="paragraph" w:styleId="ListParagraph">
    <w:name w:val="List Paragraph"/>
    <w:basedOn w:val="Normal"/>
    <w:uiPriority w:val="34"/>
    <w:qFormat/>
    <w:rsid w:val="0019607C"/>
    <w:pPr>
      <w:ind w:left="720"/>
      <w:contextualSpacing/>
    </w:pPr>
  </w:style>
  <w:style w:type="table" w:styleId="TableGrid">
    <w:name w:val="Table Grid"/>
    <w:basedOn w:val="TableNormal"/>
    <w:uiPriority w:val="39"/>
    <w:rsid w:val="00D6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546"/>
    <w:rPr>
      <w:color w:val="0563C1" w:themeColor="hyperlink"/>
      <w:u w:val="single"/>
    </w:rPr>
  </w:style>
  <w:style w:type="paragraph" w:styleId="FootnoteText">
    <w:name w:val="footnote text"/>
    <w:basedOn w:val="Normal"/>
    <w:link w:val="FootnoteTextChar"/>
    <w:uiPriority w:val="99"/>
    <w:semiHidden/>
    <w:unhideWhenUsed/>
    <w:rsid w:val="00D6754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D67546"/>
    <w:rPr>
      <w:rFonts w:ascii="Calibri" w:hAnsi="Calibri"/>
      <w:sz w:val="20"/>
      <w:szCs w:val="20"/>
    </w:rPr>
  </w:style>
  <w:style w:type="character" w:styleId="FootnoteReference">
    <w:name w:val="footnote reference"/>
    <w:basedOn w:val="DefaultParagraphFont"/>
    <w:uiPriority w:val="99"/>
    <w:semiHidden/>
    <w:unhideWhenUsed/>
    <w:rsid w:val="00D67546"/>
    <w:rPr>
      <w:vertAlign w:val="superscript"/>
    </w:rPr>
  </w:style>
  <w:style w:type="character" w:styleId="FollowedHyperlink">
    <w:name w:val="FollowedHyperlink"/>
    <w:basedOn w:val="DefaultParagraphFont"/>
    <w:uiPriority w:val="99"/>
    <w:semiHidden/>
    <w:unhideWhenUsed/>
    <w:rsid w:val="00872373"/>
    <w:rPr>
      <w:color w:val="954F72" w:themeColor="followedHyperlink"/>
      <w:u w:val="single"/>
    </w:rPr>
  </w:style>
  <w:style w:type="paragraph" w:styleId="Revision">
    <w:name w:val="Revision"/>
    <w:hidden/>
    <w:uiPriority w:val="99"/>
    <w:semiHidden/>
    <w:rsid w:val="0091123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821">
      <w:bodyDiv w:val="1"/>
      <w:marLeft w:val="0"/>
      <w:marRight w:val="0"/>
      <w:marTop w:val="0"/>
      <w:marBottom w:val="0"/>
      <w:divBdr>
        <w:top w:val="none" w:sz="0" w:space="0" w:color="auto"/>
        <w:left w:val="none" w:sz="0" w:space="0" w:color="auto"/>
        <w:bottom w:val="none" w:sz="0" w:space="0" w:color="auto"/>
        <w:right w:val="none" w:sz="0" w:space="0" w:color="auto"/>
      </w:divBdr>
    </w:div>
    <w:div w:id="112483105">
      <w:bodyDiv w:val="1"/>
      <w:marLeft w:val="0"/>
      <w:marRight w:val="0"/>
      <w:marTop w:val="0"/>
      <w:marBottom w:val="0"/>
      <w:divBdr>
        <w:top w:val="none" w:sz="0" w:space="0" w:color="auto"/>
        <w:left w:val="none" w:sz="0" w:space="0" w:color="auto"/>
        <w:bottom w:val="none" w:sz="0" w:space="0" w:color="auto"/>
        <w:right w:val="none" w:sz="0" w:space="0" w:color="auto"/>
      </w:divBdr>
    </w:div>
    <w:div w:id="113790078">
      <w:bodyDiv w:val="1"/>
      <w:marLeft w:val="0"/>
      <w:marRight w:val="0"/>
      <w:marTop w:val="0"/>
      <w:marBottom w:val="0"/>
      <w:divBdr>
        <w:top w:val="none" w:sz="0" w:space="0" w:color="auto"/>
        <w:left w:val="none" w:sz="0" w:space="0" w:color="auto"/>
        <w:bottom w:val="none" w:sz="0" w:space="0" w:color="auto"/>
        <w:right w:val="none" w:sz="0" w:space="0" w:color="auto"/>
      </w:divBdr>
    </w:div>
    <w:div w:id="707878670">
      <w:bodyDiv w:val="1"/>
      <w:marLeft w:val="0"/>
      <w:marRight w:val="0"/>
      <w:marTop w:val="0"/>
      <w:marBottom w:val="0"/>
      <w:divBdr>
        <w:top w:val="none" w:sz="0" w:space="0" w:color="auto"/>
        <w:left w:val="none" w:sz="0" w:space="0" w:color="auto"/>
        <w:bottom w:val="none" w:sz="0" w:space="0" w:color="auto"/>
        <w:right w:val="none" w:sz="0" w:space="0" w:color="auto"/>
      </w:divBdr>
    </w:div>
    <w:div w:id="736560382">
      <w:bodyDiv w:val="1"/>
      <w:marLeft w:val="0"/>
      <w:marRight w:val="0"/>
      <w:marTop w:val="0"/>
      <w:marBottom w:val="0"/>
      <w:divBdr>
        <w:top w:val="none" w:sz="0" w:space="0" w:color="auto"/>
        <w:left w:val="none" w:sz="0" w:space="0" w:color="auto"/>
        <w:bottom w:val="none" w:sz="0" w:space="0" w:color="auto"/>
        <w:right w:val="none" w:sz="0" w:space="0" w:color="auto"/>
      </w:divBdr>
    </w:div>
    <w:div w:id="1123572494">
      <w:bodyDiv w:val="1"/>
      <w:marLeft w:val="0"/>
      <w:marRight w:val="0"/>
      <w:marTop w:val="0"/>
      <w:marBottom w:val="0"/>
      <w:divBdr>
        <w:top w:val="none" w:sz="0" w:space="0" w:color="auto"/>
        <w:left w:val="none" w:sz="0" w:space="0" w:color="auto"/>
        <w:bottom w:val="none" w:sz="0" w:space="0" w:color="auto"/>
        <w:right w:val="none" w:sz="0" w:space="0" w:color="auto"/>
      </w:divBdr>
      <w:divsChild>
        <w:div w:id="30618386">
          <w:marLeft w:val="0"/>
          <w:marRight w:val="0"/>
          <w:marTop w:val="0"/>
          <w:marBottom w:val="0"/>
          <w:divBdr>
            <w:top w:val="none" w:sz="0" w:space="0" w:color="auto"/>
            <w:left w:val="none" w:sz="0" w:space="0" w:color="auto"/>
            <w:bottom w:val="none" w:sz="0" w:space="0" w:color="auto"/>
            <w:right w:val="none" w:sz="0" w:space="0" w:color="auto"/>
          </w:divBdr>
        </w:div>
      </w:divsChild>
    </w:div>
    <w:div w:id="1172182040">
      <w:bodyDiv w:val="1"/>
      <w:marLeft w:val="0"/>
      <w:marRight w:val="0"/>
      <w:marTop w:val="0"/>
      <w:marBottom w:val="0"/>
      <w:divBdr>
        <w:top w:val="none" w:sz="0" w:space="0" w:color="auto"/>
        <w:left w:val="none" w:sz="0" w:space="0" w:color="auto"/>
        <w:bottom w:val="none" w:sz="0" w:space="0" w:color="auto"/>
        <w:right w:val="none" w:sz="0" w:space="0" w:color="auto"/>
      </w:divBdr>
    </w:div>
    <w:div w:id="1178080917">
      <w:bodyDiv w:val="1"/>
      <w:marLeft w:val="0"/>
      <w:marRight w:val="0"/>
      <w:marTop w:val="0"/>
      <w:marBottom w:val="0"/>
      <w:divBdr>
        <w:top w:val="none" w:sz="0" w:space="0" w:color="auto"/>
        <w:left w:val="none" w:sz="0" w:space="0" w:color="auto"/>
        <w:bottom w:val="none" w:sz="0" w:space="0" w:color="auto"/>
        <w:right w:val="none" w:sz="0" w:space="0" w:color="auto"/>
      </w:divBdr>
    </w:div>
    <w:div w:id="1199779906">
      <w:bodyDiv w:val="1"/>
      <w:marLeft w:val="0"/>
      <w:marRight w:val="0"/>
      <w:marTop w:val="0"/>
      <w:marBottom w:val="0"/>
      <w:divBdr>
        <w:top w:val="none" w:sz="0" w:space="0" w:color="auto"/>
        <w:left w:val="none" w:sz="0" w:space="0" w:color="auto"/>
        <w:bottom w:val="none" w:sz="0" w:space="0" w:color="auto"/>
        <w:right w:val="none" w:sz="0" w:space="0" w:color="auto"/>
      </w:divBdr>
    </w:div>
    <w:div w:id="1253659785">
      <w:bodyDiv w:val="1"/>
      <w:marLeft w:val="0"/>
      <w:marRight w:val="0"/>
      <w:marTop w:val="0"/>
      <w:marBottom w:val="0"/>
      <w:divBdr>
        <w:top w:val="none" w:sz="0" w:space="0" w:color="auto"/>
        <w:left w:val="none" w:sz="0" w:space="0" w:color="auto"/>
        <w:bottom w:val="none" w:sz="0" w:space="0" w:color="auto"/>
        <w:right w:val="none" w:sz="0" w:space="0" w:color="auto"/>
      </w:divBdr>
    </w:div>
    <w:div w:id="1297222425">
      <w:bodyDiv w:val="1"/>
      <w:marLeft w:val="0"/>
      <w:marRight w:val="0"/>
      <w:marTop w:val="0"/>
      <w:marBottom w:val="0"/>
      <w:divBdr>
        <w:top w:val="none" w:sz="0" w:space="0" w:color="auto"/>
        <w:left w:val="none" w:sz="0" w:space="0" w:color="auto"/>
        <w:bottom w:val="none" w:sz="0" w:space="0" w:color="auto"/>
        <w:right w:val="none" w:sz="0" w:space="0" w:color="auto"/>
      </w:divBdr>
    </w:div>
    <w:div w:id="1319502201">
      <w:bodyDiv w:val="1"/>
      <w:marLeft w:val="0"/>
      <w:marRight w:val="0"/>
      <w:marTop w:val="0"/>
      <w:marBottom w:val="0"/>
      <w:divBdr>
        <w:top w:val="none" w:sz="0" w:space="0" w:color="auto"/>
        <w:left w:val="none" w:sz="0" w:space="0" w:color="auto"/>
        <w:bottom w:val="none" w:sz="0" w:space="0" w:color="auto"/>
        <w:right w:val="none" w:sz="0" w:space="0" w:color="auto"/>
      </w:divBdr>
    </w:div>
    <w:div w:id="1324813768">
      <w:bodyDiv w:val="1"/>
      <w:marLeft w:val="0"/>
      <w:marRight w:val="0"/>
      <w:marTop w:val="0"/>
      <w:marBottom w:val="0"/>
      <w:divBdr>
        <w:top w:val="none" w:sz="0" w:space="0" w:color="auto"/>
        <w:left w:val="none" w:sz="0" w:space="0" w:color="auto"/>
        <w:bottom w:val="none" w:sz="0" w:space="0" w:color="auto"/>
        <w:right w:val="none" w:sz="0" w:space="0" w:color="auto"/>
      </w:divBdr>
    </w:div>
    <w:div w:id="1370760609">
      <w:bodyDiv w:val="1"/>
      <w:marLeft w:val="0"/>
      <w:marRight w:val="0"/>
      <w:marTop w:val="0"/>
      <w:marBottom w:val="0"/>
      <w:divBdr>
        <w:top w:val="none" w:sz="0" w:space="0" w:color="auto"/>
        <w:left w:val="none" w:sz="0" w:space="0" w:color="auto"/>
        <w:bottom w:val="none" w:sz="0" w:space="0" w:color="auto"/>
        <w:right w:val="none" w:sz="0" w:space="0" w:color="auto"/>
      </w:divBdr>
    </w:div>
    <w:div w:id="1420328284">
      <w:bodyDiv w:val="1"/>
      <w:marLeft w:val="0"/>
      <w:marRight w:val="0"/>
      <w:marTop w:val="0"/>
      <w:marBottom w:val="0"/>
      <w:divBdr>
        <w:top w:val="none" w:sz="0" w:space="0" w:color="auto"/>
        <w:left w:val="none" w:sz="0" w:space="0" w:color="auto"/>
        <w:bottom w:val="none" w:sz="0" w:space="0" w:color="auto"/>
        <w:right w:val="none" w:sz="0" w:space="0" w:color="auto"/>
      </w:divBdr>
      <w:divsChild>
        <w:div w:id="2017919035">
          <w:marLeft w:val="0"/>
          <w:marRight w:val="0"/>
          <w:marTop w:val="0"/>
          <w:marBottom w:val="0"/>
          <w:divBdr>
            <w:top w:val="none" w:sz="0" w:space="0" w:color="auto"/>
            <w:left w:val="none" w:sz="0" w:space="0" w:color="auto"/>
            <w:bottom w:val="none" w:sz="0" w:space="0" w:color="auto"/>
            <w:right w:val="none" w:sz="0" w:space="0" w:color="auto"/>
          </w:divBdr>
        </w:div>
      </w:divsChild>
    </w:div>
    <w:div w:id="1540433657">
      <w:bodyDiv w:val="1"/>
      <w:marLeft w:val="0"/>
      <w:marRight w:val="0"/>
      <w:marTop w:val="0"/>
      <w:marBottom w:val="0"/>
      <w:divBdr>
        <w:top w:val="none" w:sz="0" w:space="0" w:color="auto"/>
        <w:left w:val="none" w:sz="0" w:space="0" w:color="auto"/>
        <w:bottom w:val="none" w:sz="0" w:space="0" w:color="auto"/>
        <w:right w:val="none" w:sz="0" w:space="0" w:color="auto"/>
      </w:divBdr>
      <w:divsChild>
        <w:div w:id="237598080">
          <w:marLeft w:val="0"/>
          <w:marRight w:val="0"/>
          <w:marTop w:val="0"/>
          <w:marBottom w:val="0"/>
          <w:divBdr>
            <w:top w:val="none" w:sz="0" w:space="0" w:color="auto"/>
            <w:left w:val="none" w:sz="0" w:space="0" w:color="auto"/>
            <w:bottom w:val="none" w:sz="0" w:space="0" w:color="auto"/>
            <w:right w:val="none" w:sz="0" w:space="0" w:color="auto"/>
          </w:divBdr>
        </w:div>
      </w:divsChild>
    </w:div>
    <w:div w:id="1821078085">
      <w:bodyDiv w:val="1"/>
      <w:marLeft w:val="0"/>
      <w:marRight w:val="0"/>
      <w:marTop w:val="0"/>
      <w:marBottom w:val="0"/>
      <w:divBdr>
        <w:top w:val="none" w:sz="0" w:space="0" w:color="auto"/>
        <w:left w:val="none" w:sz="0" w:space="0" w:color="auto"/>
        <w:bottom w:val="none" w:sz="0" w:space="0" w:color="auto"/>
        <w:right w:val="none" w:sz="0" w:space="0" w:color="auto"/>
      </w:divBdr>
    </w:div>
    <w:div w:id="1848710906">
      <w:bodyDiv w:val="1"/>
      <w:marLeft w:val="0"/>
      <w:marRight w:val="0"/>
      <w:marTop w:val="0"/>
      <w:marBottom w:val="0"/>
      <w:divBdr>
        <w:top w:val="none" w:sz="0" w:space="0" w:color="auto"/>
        <w:left w:val="none" w:sz="0" w:space="0" w:color="auto"/>
        <w:bottom w:val="none" w:sz="0" w:space="0" w:color="auto"/>
        <w:right w:val="none" w:sz="0" w:space="0" w:color="auto"/>
      </w:divBdr>
      <w:divsChild>
        <w:div w:id="577790579">
          <w:marLeft w:val="0"/>
          <w:marRight w:val="0"/>
          <w:marTop w:val="0"/>
          <w:marBottom w:val="0"/>
          <w:divBdr>
            <w:top w:val="none" w:sz="0" w:space="0" w:color="auto"/>
            <w:left w:val="none" w:sz="0" w:space="0" w:color="auto"/>
            <w:bottom w:val="none" w:sz="0" w:space="0" w:color="auto"/>
            <w:right w:val="none" w:sz="0" w:space="0" w:color="auto"/>
          </w:divBdr>
          <w:divsChild>
            <w:div w:id="176702273">
              <w:marLeft w:val="0"/>
              <w:marRight w:val="0"/>
              <w:marTop w:val="0"/>
              <w:marBottom w:val="0"/>
              <w:divBdr>
                <w:top w:val="none" w:sz="0" w:space="0" w:color="auto"/>
                <w:left w:val="none" w:sz="0" w:space="0" w:color="auto"/>
                <w:bottom w:val="none" w:sz="0" w:space="0" w:color="auto"/>
                <w:right w:val="none" w:sz="0" w:space="0" w:color="auto"/>
              </w:divBdr>
              <w:divsChild>
                <w:div w:id="1830822965">
                  <w:marLeft w:val="0"/>
                  <w:marRight w:val="0"/>
                  <w:marTop w:val="0"/>
                  <w:marBottom w:val="0"/>
                  <w:divBdr>
                    <w:top w:val="none" w:sz="0" w:space="0" w:color="auto"/>
                    <w:left w:val="none" w:sz="0" w:space="0" w:color="auto"/>
                    <w:bottom w:val="none" w:sz="0" w:space="0" w:color="auto"/>
                    <w:right w:val="none" w:sz="0" w:space="0" w:color="auto"/>
                  </w:divBdr>
                  <w:divsChild>
                    <w:div w:id="1670399471">
                      <w:marLeft w:val="0"/>
                      <w:marRight w:val="0"/>
                      <w:marTop w:val="0"/>
                      <w:marBottom w:val="0"/>
                      <w:divBdr>
                        <w:top w:val="none" w:sz="0" w:space="0" w:color="auto"/>
                        <w:left w:val="none" w:sz="0" w:space="0" w:color="auto"/>
                        <w:bottom w:val="none" w:sz="0" w:space="0" w:color="auto"/>
                        <w:right w:val="none" w:sz="0" w:space="0" w:color="auto"/>
                      </w:divBdr>
                      <w:divsChild>
                        <w:div w:id="1954557397">
                          <w:marLeft w:val="0"/>
                          <w:marRight w:val="0"/>
                          <w:marTop w:val="0"/>
                          <w:marBottom w:val="0"/>
                          <w:divBdr>
                            <w:top w:val="none" w:sz="0" w:space="0" w:color="auto"/>
                            <w:left w:val="none" w:sz="0" w:space="0" w:color="auto"/>
                            <w:bottom w:val="none" w:sz="0" w:space="0" w:color="auto"/>
                            <w:right w:val="none" w:sz="0" w:space="0" w:color="auto"/>
                          </w:divBdr>
                          <w:divsChild>
                            <w:div w:id="929777295">
                              <w:marLeft w:val="0"/>
                              <w:marRight w:val="0"/>
                              <w:marTop w:val="0"/>
                              <w:marBottom w:val="0"/>
                              <w:divBdr>
                                <w:top w:val="none" w:sz="0" w:space="0" w:color="auto"/>
                                <w:left w:val="none" w:sz="0" w:space="0" w:color="auto"/>
                                <w:bottom w:val="none" w:sz="0" w:space="0" w:color="auto"/>
                                <w:right w:val="none" w:sz="0" w:space="0" w:color="auto"/>
                              </w:divBdr>
                              <w:divsChild>
                                <w:div w:id="1974751139">
                                  <w:marLeft w:val="0"/>
                                  <w:marRight w:val="0"/>
                                  <w:marTop w:val="0"/>
                                  <w:marBottom w:val="0"/>
                                  <w:divBdr>
                                    <w:top w:val="none" w:sz="0" w:space="0" w:color="auto"/>
                                    <w:left w:val="none" w:sz="0" w:space="0" w:color="auto"/>
                                    <w:bottom w:val="none" w:sz="0" w:space="0" w:color="auto"/>
                                    <w:right w:val="none" w:sz="0" w:space="0" w:color="auto"/>
                                  </w:divBdr>
                                  <w:divsChild>
                                    <w:div w:id="1379207058">
                                      <w:marLeft w:val="0"/>
                                      <w:marRight w:val="0"/>
                                      <w:marTop w:val="0"/>
                                      <w:marBottom w:val="0"/>
                                      <w:divBdr>
                                        <w:top w:val="none" w:sz="0" w:space="0" w:color="auto"/>
                                        <w:left w:val="none" w:sz="0" w:space="0" w:color="auto"/>
                                        <w:bottom w:val="none" w:sz="0" w:space="0" w:color="auto"/>
                                        <w:right w:val="none" w:sz="0" w:space="0" w:color="auto"/>
                                      </w:divBdr>
                                      <w:divsChild>
                                        <w:div w:id="2081905355">
                                          <w:marLeft w:val="0"/>
                                          <w:marRight w:val="0"/>
                                          <w:marTop w:val="0"/>
                                          <w:marBottom w:val="0"/>
                                          <w:divBdr>
                                            <w:top w:val="none" w:sz="0" w:space="0" w:color="auto"/>
                                            <w:left w:val="none" w:sz="0" w:space="0" w:color="auto"/>
                                            <w:bottom w:val="none" w:sz="0" w:space="0" w:color="auto"/>
                                            <w:right w:val="none" w:sz="0" w:space="0" w:color="auto"/>
                                          </w:divBdr>
                                          <w:divsChild>
                                            <w:div w:id="1727950025">
                                              <w:marLeft w:val="0"/>
                                              <w:marRight w:val="0"/>
                                              <w:marTop w:val="0"/>
                                              <w:marBottom w:val="0"/>
                                              <w:divBdr>
                                                <w:top w:val="none" w:sz="0" w:space="0" w:color="auto"/>
                                                <w:left w:val="none" w:sz="0" w:space="0" w:color="auto"/>
                                                <w:bottom w:val="none" w:sz="0" w:space="0" w:color="auto"/>
                                                <w:right w:val="none" w:sz="0" w:space="0" w:color="auto"/>
                                              </w:divBdr>
                                              <w:divsChild>
                                                <w:div w:id="2035031932">
                                                  <w:marLeft w:val="0"/>
                                                  <w:marRight w:val="0"/>
                                                  <w:marTop w:val="0"/>
                                                  <w:marBottom w:val="0"/>
                                                  <w:divBdr>
                                                    <w:top w:val="none" w:sz="0" w:space="0" w:color="auto"/>
                                                    <w:left w:val="none" w:sz="0" w:space="0" w:color="auto"/>
                                                    <w:bottom w:val="none" w:sz="0" w:space="0" w:color="auto"/>
                                                    <w:right w:val="none" w:sz="0" w:space="0" w:color="auto"/>
                                                  </w:divBdr>
                                                  <w:divsChild>
                                                    <w:div w:id="1256523102">
                                                      <w:marLeft w:val="0"/>
                                                      <w:marRight w:val="0"/>
                                                      <w:marTop w:val="0"/>
                                                      <w:marBottom w:val="0"/>
                                                      <w:divBdr>
                                                        <w:top w:val="none" w:sz="0" w:space="0" w:color="auto"/>
                                                        <w:left w:val="none" w:sz="0" w:space="0" w:color="auto"/>
                                                        <w:bottom w:val="none" w:sz="0" w:space="0" w:color="auto"/>
                                                        <w:right w:val="none" w:sz="0" w:space="0" w:color="auto"/>
                                                      </w:divBdr>
                                                      <w:divsChild>
                                                        <w:div w:id="1302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097640">
      <w:bodyDiv w:val="1"/>
      <w:marLeft w:val="0"/>
      <w:marRight w:val="0"/>
      <w:marTop w:val="0"/>
      <w:marBottom w:val="0"/>
      <w:divBdr>
        <w:top w:val="none" w:sz="0" w:space="0" w:color="auto"/>
        <w:left w:val="none" w:sz="0" w:space="0" w:color="auto"/>
        <w:bottom w:val="none" w:sz="0" w:space="0" w:color="auto"/>
        <w:right w:val="none" w:sz="0" w:space="0" w:color="auto"/>
      </w:divBdr>
    </w:div>
    <w:div w:id="2080517823">
      <w:bodyDiv w:val="1"/>
      <w:marLeft w:val="0"/>
      <w:marRight w:val="0"/>
      <w:marTop w:val="0"/>
      <w:marBottom w:val="0"/>
      <w:divBdr>
        <w:top w:val="none" w:sz="0" w:space="0" w:color="auto"/>
        <w:left w:val="none" w:sz="0" w:space="0" w:color="auto"/>
        <w:bottom w:val="none" w:sz="0" w:space="0" w:color="auto"/>
        <w:right w:val="none" w:sz="0" w:space="0" w:color="auto"/>
      </w:divBdr>
    </w:div>
    <w:div w:id="2137213389">
      <w:bodyDiv w:val="1"/>
      <w:marLeft w:val="0"/>
      <w:marRight w:val="0"/>
      <w:marTop w:val="0"/>
      <w:marBottom w:val="0"/>
      <w:divBdr>
        <w:top w:val="none" w:sz="0" w:space="0" w:color="auto"/>
        <w:left w:val="none" w:sz="0" w:space="0" w:color="auto"/>
        <w:bottom w:val="none" w:sz="0" w:space="0" w:color="auto"/>
        <w:right w:val="none" w:sz="0" w:space="0" w:color="auto"/>
      </w:divBdr>
      <w:divsChild>
        <w:div w:id="45595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9C77171F8F944AA020023EB0DD7257" ma:contentTypeVersion="" ma:contentTypeDescription="PDMS Document Site Content Type" ma:contentTypeScope="" ma:versionID="1f98e09fde06f5bf1a12c88bca08e432">
  <xsd:schema xmlns:xsd="http://www.w3.org/2001/XMLSchema" xmlns:xs="http://www.w3.org/2001/XMLSchema" xmlns:p="http://schemas.microsoft.com/office/2006/metadata/properties" xmlns:ns2="829B9EFD-9A93-47D8-BED4-F24D5C8C0E5E" targetNamespace="http://schemas.microsoft.com/office/2006/metadata/properties" ma:root="true" ma:fieldsID="bfede93cc9b08c93cd17151ed5ad9deb" ns2:_="">
    <xsd:import namespace="829B9EFD-9A93-47D8-BED4-F24D5C8C0E5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B9EFD-9A93-47D8-BED4-F24D5C8C0E5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29B9EFD-9A93-47D8-BED4-F24D5C8C0E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DCF7-F22A-4DC0-BDFB-3AD34CB0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B9EFD-9A93-47D8-BED4-F24D5C8C0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9D114-7811-4805-9BEC-CA449F4D2429}">
  <ds:schemaRefs>
    <ds:schemaRef ds:uri="http://purl.org/dc/elements/1.1/"/>
    <ds:schemaRef ds:uri="http://schemas.microsoft.com/office/2006/metadata/properties"/>
    <ds:schemaRef ds:uri="829B9EFD-9A93-47D8-BED4-F24D5C8C0E5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D522C9F-A424-4009-BA47-F273D1134166}">
  <ds:schemaRefs>
    <ds:schemaRef ds:uri="http://schemas.microsoft.com/sharepoint/v3/contenttype/forms"/>
  </ds:schemaRefs>
</ds:datastoreItem>
</file>

<file path=customXml/itemProps4.xml><?xml version="1.0" encoding="utf-8"?>
<ds:datastoreItem xmlns:ds="http://schemas.openxmlformats.org/officeDocument/2006/customXml" ds:itemID="{58B05256-688F-4EE5-AB20-5A51767C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13713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Dept of Communications</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Patrick Pham</dc:creator>
  <cp:keywords/>
  <dc:description/>
  <cp:lastModifiedBy>DoCA</cp:lastModifiedBy>
  <cp:revision>2</cp:revision>
  <cp:lastPrinted>2018-10-31T03:06:00Z</cp:lastPrinted>
  <dcterms:created xsi:type="dcterms:W3CDTF">2018-11-14T01:54:00Z</dcterms:created>
  <dcterms:modified xsi:type="dcterms:W3CDTF">2018-11-14T01:54:00Z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0x010100266966F133664895A6EE3632470D45F500E79C77171F8F944AA020023EB0DD7257</vt:lpwstr>
  </property>
  <property fmtid="{D5CDD505-2E9C-101B-9397-08002B2CF9AE}" pid="3" name="TrimRevisionNumber">
    <vt:i4>115</vt:i4>
  </property>
</Properties>
</file>