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B4B77"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014B01B4"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FB72CB0" w14:textId="77777777" w:rsidR="00417B2D"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w:t>
      </w:r>
      <w:r w:rsidRPr="00822A13">
        <w:rPr>
          <w:rFonts w:ascii="Times New Roman" w:hAnsi="Times New Roman" w:cs="Times New Roman"/>
          <w:sz w:val="24"/>
          <w:szCs w:val="24"/>
          <w:u w:val="single"/>
        </w:rPr>
        <w:t xml:space="preserve">the </w:t>
      </w:r>
      <w:r w:rsidR="00417B2D">
        <w:rPr>
          <w:rFonts w:ascii="Times New Roman" w:hAnsi="Times New Roman" w:cs="Times New Roman"/>
          <w:sz w:val="24"/>
          <w:szCs w:val="24"/>
          <w:u w:val="single"/>
        </w:rPr>
        <w:t>Assistant Minister for Agriculture and Water Resources</w:t>
      </w:r>
    </w:p>
    <w:p w14:paraId="358D1854" w14:textId="513A15A2" w:rsidR="002B1DB3" w:rsidRPr="005D1ABF" w:rsidRDefault="000C345A" w:rsidP="005D1ABF">
      <w:pPr>
        <w:spacing w:after="0" w:line="240" w:lineRule="auto"/>
        <w:jc w:val="center"/>
        <w:rPr>
          <w:rFonts w:ascii="Times New Roman" w:hAnsi="Times New Roman" w:cs="Times New Roman"/>
          <w:color w:val="FF0000"/>
          <w:sz w:val="24"/>
          <w:szCs w:val="24"/>
          <w:u w:val="single"/>
        </w:rPr>
      </w:pPr>
      <w:r w:rsidRPr="001C09FB">
        <w:rPr>
          <w:rFonts w:ascii="Times New Roman" w:hAnsi="Times New Roman" w:cs="Times New Roman"/>
          <w:sz w:val="24"/>
          <w:szCs w:val="24"/>
          <w:u w:val="single"/>
        </w:rPr>
        <w:t>Parliamentary Secretary to the Minister f</w:t>
      </w:r>
      <w:r w:rsidRPr="005D1ABF">
        <w:rPr>
          <w:rFonts w:ascii="Times New Roman" w:hAnsi="Times New Roman" w:cs="Times New Roman"/>
          <w:sz w:val="24"/>
          <w:szCs w:val="24"/>
          <w:u w:val="single"/>
        </w:rPr>
        <w:t>or Agriculture and Water Resources</w:t>
      </w:r>
    </w:p>
    <w:p w14:paraId="00EB225E" w14:textId="77777777" w:rsidR="002B1DB3" w:rsidRPr="005D1ABF" w:rsidRDefault="002B1DB3" w:rsidP="005D1ABF">
      <w:pPr>
        <w:spacing w:after="0" w:line="240" w:lineRule="auto"/>
        <w:jc w:val="center"/>
        <w:rPr>
          <w:rFonts w:ascii="Times New Roman" w:hAnsi="Times New Roman" w:cs="Times New Roman"/>
          <w:sz w:val="24"/>
          <w:szCs w:val="24"/>
        </w:rPr>
      </w:pPr>
    </w:p>
    <w:p w14:paraId="5792128A" w14:textId="77777777" w:rsidR="004B6118" w:rsidRPr="009329F7" w:rsidRDefault="004B6118" w:rsidP="004B6118">
      <w:pPr>
        <w:spacing w:after="0" w:line="240" w:lineRule="auto"/>
        <w:jc w:val="center"/>
        <w:rPr>
          <w:rFonts w:ascii="Times New Roman" w:hAnsi="Times New Roman" w:cs="Times New Roman"/>
          <w:i/>
          <w:snapToGrid w:val="0"/>
          <w:sz w:val="24"/>
          <w:szCs w:val="24"/>
        </w:rPr>
      </w:pPr>
      <w:r w:rsidRPr="009329F7">
        <w:rPr>
          <w:rFonts w:ascii="Times New Roman" w:hAnsi="Times New Roman" w:cs="Times New Roman"/>
          <w:i/>
          <w:snapToGrid w:val="0"/>
          <w:sz w:val="24"/>
          <w:szCs w:val="24"/>
        </w:rPr>
        <w:t>Illegal Logging Prohibition Act 2012</w:t>
      </w:r>
    </w:p>
    <w:p w14:paraId="19DE2049" w14:textId="77777777" w:rsidR="002B1DB3" w:rsidRPr="005D1ABF" w:rsidRDefault="002B1DB3" w:rsidP="005D1ABF">
      <w:pPr>
        <w:spacing w:after="0" w:line="240" w:lineRule="auto"/>
        <w:jc w:val="center"/>
        <w:rPr>
          <w:rFonts w:ascii="Times New Roman" w:hAnsi="Times New Roman" w:cs="Times New Roman"/>
          <w:sz w:val="24"/>
          <w:szCs w:val="24"/>
        </w:rPr>
      </w:pPr>
    </w:p>
    <w:p w14:paraId="798961E3" w14:textId="77777777" w:rsidR="004B6118" w:rsidRPr="0039293C" w:rsidRDefault="004B6118" w:rsidP="004B6118">
      <w:pPr>
        <w:spacing w:after="0" w:line="240" w:lineRule="auto"/>
        <w:jc w:val="center"/>
        <w:rPr>
          <w:rFonts w:ascii="Times New Roman" w:hAnsi="Times New Roman" w:cs="Times New Roman"/>
          <w:i/>
          <w:sz w:val="24"/>
        </w:rPr>
      </w:pPr>
      <w:r w:rsidRPr="0039293C">
        <w:rPr>
          <w:rFonts w:ascii="Times New Roman" w:hAnsi="Times New Roman" w:cs="Times New Roman"/>
          <w:i/>
          <w:sz w:val="24"/>
        </w:rPr>
        <w:t>Illegal Logging Prohibition Amendment (Due Diligence Improvements) Regulations 2018</w:t>
      </w:r>
    </w:p>
    <w:p w14:paraId="267D4BB6"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2FCE3D8A" w14:textId="77777777" w:rsidR="002B1DB3" w:rsidRPr="004B6118" w:rsidRDefault="002B1DB3" w:rsidP="005D1ABF">
      <w:pPr>
        <w:tabs>
          <w:tab w:val="left" w:pos="1701"/>
          <w:tab w:val="right" w:pos="9072"/>
        </w:tabs>
        <w:spacing w:after="0" w:line="240" w:lineRule="auto"/>
        <w:rPr>
          <w:rFonts w:ascii="Times New Roman" w:hAnsi="Times New Roman" w:cs="Times New Roman"/>
          <w:sz w:val="24"/>
          <w:szCs w:val="24"/>
        </w:rPr>
      </w:pPr>
      <w:r w:rsidRPr="004B6118">
        <w:rPr>
          <w:rFonts w:ascii="Times New Roman" w:hAnsi="Times New Roman" w:cs="Times New Roman"/>
          <w:b/>
          <w:sz w:val="24"/>
          <w:szCs w:val="24"/>
        </w:rPr>
        <w:t>Legislative Authority</w:t>
      </w:r>
    </w:p>
    <w:p w14:paraId="161BA85C"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3E168100" w14:textId="2AF0E50C" w:rsidR="00F276A5" w:rsidRPr="00D908BE" w:rsidRDefault="00F276A5" w:rsidP="00F276A5">
      <w:pPr>
        <w:pStyle w:val="boxtext"/>
        <w:shd w:val="clear" w:color="auto" w:fill="FFFFFF"/>
        <w:spacing w:before="0" w:beforeAutospacing="0" w:after="0" w:afterAutospacing="0"/>
        <w:rPr>
          <w:lang w:val="en-US"/>
        </w:rPr>
      </w:pPr>
      <w:r>
        <w:t xml:space="preserve">The </w:t>
      </w:r>
      <w:r>
        <w:rPr>
          <w:i/>
        </w:rPr>
        <w:t xml:space="preserve">Illegal Logging Prohibition Act 2012 </w:t>
      </w:r>
      <w:r>
        <w:t>(</w:t>
      </w:r>
      <w:r w:rsidR="007610EB">
        <w:t xml:space="preserve">the </w:t>
      </w:r>
      <w:r>
        <w:t xml:space="preserve">Act) aims to reduce the harmful environmental, social and economic impacts of illegal logging by restricting the importation and sale of illegally logged timber in Australia. </w:t>
      </w:r>
      <w:r w:rsidRPr="0011015B">
        <w:t xml:space="preserve">The Act </w:t>
      </w:r>
      <w:r w:rsidRPr="00D908BE">
        <w:t xml:space="preserve">requires importers of regulated timber products and processors of </w:t>
      </w:r>
      <w:r w:rsidR="0084722A">
        <w:t xml:space="preserve">domestically grown </w:t>
      </w:r>
      <w:r w:rsidRPr="00D908BE">
        <w:t xml:space="preserve">raw logs to conduct </w:t>
      </w:r>
      <w:r>
        <w:t xml:space="preserve">a </w:t>
      </w:r>
      <w:r w:rsidRPr="00D908BE">
        <w:t>due diligence</w:t>
      </w:r>
      <w:r>
        <w:t xml:space="preserve"> process </w:t>
      </w:r>
      <w:r w:rsidRPr="00D908BE">
        <w:t>in order to reduce the risk that illegally logged timber is imported or processed.</w:t>
      </w:r>
      <w:r>
        <w:rPr>
          <w:lang w:val="en-US"/>
        </w:rPr>
        <w:t xml:space="preserve"> </w:t>
      </w:r>
    </w:p>
    <w:p w14:paraId="005FC3F5" w14:textId="77777777" w:rsidR="00F276A5" w:rsidRDefault="00F276A5" w:rsidP="004B6118">
      <w:pPr>
        <w:tabs>
          <w:tab w:val="left" w:pos="2760"/>
        </w:tabs>
        <w:spacing w:after="0" w:line="240" w:lineRule="auto"/>
        <w:rPr>
          <w:rFonts w:ascii="Times New Roman" w:hAnsi="Times New Roman" w:cs="Times New Roman"/>
          <w:sz w:val="24"/>
          <w:szCs w:val="24"/>
        </w:rPr>
      </w:pPr>
    </w:p>
    <w:p w14:paraId="74ED3124" w14:textId="72FFD60B" w:rsidR="004B6118" w:rsidRPr="009329F7" w:rsidRDefault="004B6118" w:rsidP="004B6118">
      <w:pPr>
        <w:tabs>
          <w:tab w:val="left" w:pos="2760"/>
        </w:tabs>
        <w:spacing w:after="0" w:line="240" w:lineRule="auto"/>
        <w:rPr>
          <w:rFonts w:ascii="Times New Roman" w:hAnsi="Times New Roman" w:cs="Times New Roman"/>
          <w:sz w:val="24"/>
          <w:szCs w:val="24"/>
        </w:rPr>
      </w:pPr>
      <w:r w:rsidRPr="009329F7">
        <w:rPr>
          <w:rFonts w:ascii="Times New Roman" w:hAnsi="Times New Roman" w:cs="Times New Roman"/>
          <w:sz w:val="24"/>
          <w:szCs w:val="24"/>
        </w:rPr>
        <w:t xml:space="preserve">Section 86 of the </w:t>
      </w:r>
      <w:r>
        <w:rPr>
          <w:rFonts w:ascii="Times New Roman" w:hAnsi="Times New Roman" w:cs="Times New Roman"/>
          <w:sz w:val="24"/>
          <w:szCs w:val="24"/>
        </w:rPr>
        <w:t>Act provides that the Governor</w:t>
      </w:r>
      <w:r>
        <w:rPr>
          <w:rFonts w:ascii="Times New Roman" w:hAnsi="Times New Roman" w:cs="Times New Roman"/>
          <w:sz w:val="24"/>
          <w:szCs w:val="24"/>
        </w:rPr>
        <w:noBreakHyphen/>
      </w:r>
      <w:r w:rsidRPr="009329F7">
        <w:rPr>
          <w:rFonts w:ascii="Times New Roman" w:hAnsi="Times New Roman" w:cs="Times New Roman"/>
          <w:sz w:val="24"/>
          <w:szCs w:val="24"/>
        </w:rPr>
        <w:t xml:space="preserve">General may make </w:t>
      </w:r>
      <w:r w:rsidR="00B13296">
        <w:rPr>
          <w:rFonts w:ascii="Times New Roman" w:hAnsi="Times New Roman" w:cs="Times New Roman"/>
          <w:sz w:val="24"/>
          <w:szCs w:val="24"/>
        </w:rPr>
        <w:t>r</w:t>
      </w:r>
      <w:r w:rsidRPr="009329F7">
        <w:rPr>
          <w:rFonts w:ascii="Times New Roman" w:hAnsi="Times New Roman" w:cs="Times New Roman"/>
          <w:sz w:val="24"/>
          <w:szCs w:val="24"/>
        </w:rPr>
        <w:t xml:space="preserve">egulations prescribing matters required or permitted by the Act to be prescribed or matters necessary or convenient to be prescribed for carrying out or giving effect to the Act. </w:t>
      </w:r>
    </w:p>
    <w:p w14:paraId="4A83398D" w14:textId="77777777" w:rsidR="004B6118" w:rsidRPr="009329F7" w:rsidRDefault="004B6118" w:rsidP="004B6118">
      <w:pPr>
        <w:tabs>
          <w:tab w:val="left" w:pos="2760"/>
        </w:tabs>
        <w:spacing w:after="0" w:line="240" w:lineRule="auto"/>
        <w:rPr>
          <w:rFonts w:ascii="Times New Roman" w:hAnsi="Times New Roman" w:cs="Times New Roman"/>
          <w:sz w:val="24"/>
          <w:szCs w:val="24"/>
        </w:rPr>
      </w:pPr>
    </w:p>
    <w:p w14:paraId="2743A7AC" w14:textId="19D1D970" w:rsidR="002B1DB3" w:rsidRDefault="004B6118" w:rsidP="0068179C">
      <w:pPr>
        <w:tabs>
          <w:tab w:val="left" w:pos="1701"/>
          <w:tab w:val="right" w:pos="9072"/>
        </w:tabs>
        <w:spacing w:after="0" w:line="240" w:lineRule="auto"/>
        <w:rPr>
          <w:rFonts w:ascii="Times New Roman" w:hAnsi="Times New Roman" w:cs="Times New Roman"/>
          <w:sz w:val="24"/>
          <w:szCs w:val="24"/>
        </w:rPr>
      </w:pPr>
      <w:r w:rsidRPr="009329F7">
        <w:rPr>
          <w:rFonts w:ascii="Times New Roman" w:hAnsi="Times New Roman" w:cs="Times New Roman"/>
          <w:sz w:val="24"/>
          <w:szCs w:val="24"/>
        </w:rPr>
        <w:t xml:space="preserve">The </w:t>
      </w:r>
      <w:r w:rsidRPr="00925821">
        <w:rPr>
          <w:rFonts w:ascii="Times New Roman" w:hAnsi="Times New Roman" w:cs="Times New Roman"/>
          <w:i/>
          <w:sz w:val="24"/>
          <w:szCs w:val="24"/>
        </w:rPr>
        <w:t>Illegal Logging Prohibition Regulation 201</w:t>
      </w:r>
      <w:r>
        <w:rPr>
          <w:rFonts w:ascii="Times New Roman" w:hAnsi="Times New Roman" w:cs="Times New Roman"/>
          <w:i/>
          <w:sz w:val="24"/>
          <w:szCs w:val="24"/>
        </w:rPr>
        <w:t>2</w:t>
      </w:r>
      <w:r w:rsidRPr="009329F7">
        <w:rPr>
          <w:rFonts w:ascii="Times New Roman" w:hAnsi="Times New Roman" w:cs="Times New Roman"/>
          <w:sz w:val="24"/>
          <w:szCs w:val="24"/>
        </w:rPr>
        <w:t xml:space="preserve"> </w:t>
      </w:r>
      <w:r w:rsidR="00F276A5">
        <w:rPr>
          <w:rFonts w:ascii="Times New Roman" w:hAnsi="Times New Roman" w:cs="Times New Roman"/>
          <w:sz w:val="24"/>
          <w:szCs w:val="24"/>
        </w:rPr>
        <w:t>(p</w:t>
      </w:r>
      <w:r w:rsidR="00EA5B7C">
        <w:rPr>
          <w:rFonts w:ascii="Times New Roman" w:hAnsi="Times New Roman" w:cs="Times New Roman"/>
          <w:sz w:val="24"/>
          <w:szCs w:val="24"/>
        </w:rPr>
        <w:t>rincipal</w:t>
      </w:r>
      <w:r w:rsidR="00F276A5">
        <w:rPr>
          <w:rFonts w:ascii="Times New Roman" w:hAnsi="Times New Roman" w:cs="Times New Roman"/>
          <w:sz w:val="24"/>
          <w:szCs w:val="24"/>
        </w:rPr>
        <w:t xml:space="preserve"> Regulation) </w:t>
      </w:r>
      <w:r w:rsidR="0068179C" w:rsidRPr="0068179C">
        <w:rPr>
          <w:rFonts w:ascii="Times New Roman" w:hAnsi="Times New Roman" w:cs="Times New Roman"/>
          <w:sz w:val="24"/>
          <w:szCs w:val="24"/>
        </w:rPr>
        <w:t>prescribes due diligence requirements for importing regulated timber products and processing domestically</w:t>
      </w:r>
      <w:r w:rsidR="0084722A">
        <w:rPr>
          <w:rFonts w:ascii="Times New Roman" w:hAnsi="Times New Roman" w:cs="Times New Roman"/>
          <w:sz w:val="24"/>
          <w:szCs w:val="24"/>
        </w:rPr>
        <w:t xml:space="preserve"> </w:t>
      </w:r>
      <w:r w:rsidR="0068179C" w:rsidRPr="0068179C">
        <w:rPr>
          <w:rFonts w:ascii="Times New Roman" w:hAnsi="Times New Roman" w:cs="Times New Roman"/>
          <w:sz w:val="24"/>
          <w:szCs w:val="24"/>
        </w:rPr>
        <w:t xml:space="preserve">grown raw logs. The </w:t>
      </w:r>
      <w:r w:rsidR="0068179C" w:rsidRPr="0068179C">
        <w:rPr>
          <w:rFonts w:ascii="Times New Roman" w:hAnsi="Times New Roman" w:cs="Times New Roman"/>
          <w:sz w:val="24"/>
          <w:szCs w:val="24"/>
        </w:rPr>
        <w:lastRenderedPageBreak/>
        <w:t>due diligence requirements are prescribed to minimise the risk of a regulated timber product contain</w:t>
      </w:r>
      <w:r w:rsidR="007610EB">
        <w:rPr>
          <w:rFonts w:ascii="Times New Roman" w:hAnsi="Times New Roman" w:cs="Times New Roman"/>
          <w:sz w:val="24"/>
          <w:szCs w:val="24"/>
        </w:rPr>
        <w:t>ing</w:t>
      </w:r>
      <w:r w:rsidR="0068179C" w:rsidRPr="0068179C">
        <w:rPr>
          <w:rFonts w:ascii="Times New Roman" w:hAnsi="Times New Roman" w:cs="Times New Roman"/>
          <w:sz w:val="24"/>
          <w:szCs w:val="24"/>
        </w:rPr>
        <w:t xml:space="preserve"> illegally </w:t>
      </w:r>
      <w:r w:rsidR="0084722A">
        <w:rPr>
          <w:rFonts w:ascii="Times New Roman" w:hAnsi="Times New Roman" w:cs="Times New Roman"/>
          <w:sz w:val="24"/>
          <w:szCs w:val="24"/>
        </w:rPr>
        <w:t>logged</w:t>
      </w:r>
      <w:r w:rsidR="0084722A" w:rsidRPr="0068179C">
        <w:rPr>
          <w:rFonts w:ascii="Times New Roman" w:hAnsi="Times New Roman" w:cs="Times New Roman"/>
          <w:sz w:val="24"/>
          <w:szCs w:val="24"/>
        </w:rPr>
        <w:t xml:space="preserve"> </w:t>
      </w:r>
      <w:r w:rsidR="0068179C" w:rsidRPr="0068179C">
        <w:rPr>
          <w:rFonts w:ascii="Times New Roman" w:hAnsi="Times New Roman" w:cs="Times New Roman"/>
          <w:sz w:val="24"/>
          <w:szCs w:val="24"/>
        </w:rPr>
        <w:t xml:space="preserve">timber </w:t>
      </w:r>
      <w:r w:rsidR="00B13296">
        <w:rPr>
          <w:rFonts w:ascii="Times New Roman" w:hAnsi="Times New Roman" w:cs="Times New Roman"/>
          <w:sz w:val="24"/>
          <w:szCs w:val="24"/>
        </w:rPr>
        <w:t>in</w:t>
      </w:r>
      <w:r w:rsidR="0068179C" w:rsidRPr="0068179C">
        <w:rPr>
          <w:rFonts w:ascii="Times New Roman" w:hAnsi="Times New Roman" w:cs="Times New Roman"/>
          <w:sz w:val="24"/>
          <w:szCs w:val="24"/>
        </w:rPr>
        <w:t xml:space="preserve"> the Australian market.</w:t>
      </w:r>
    </w:p>
    <w:p w14:paraId="698435F7" w14:textId="77777777" w:rsidR="0068179C" w:rsidRPr="0068179C" w:rsidRDefault="0068179C" w:rsidP="0068179C">
      <w:pPr>
        <w:tabs>
          <w:tab w:val="left" w:pos="1701"/>
          <w:tab w:val="right" w:pos="9072"/>
        </w:tabs>
        <w:spacing w:after="0" w:line="240" w:lineRule="auto"/>
        <w:rPr>
          <w:rFonts w:ascii="Times New Roman" w:hAnsi="Times New Roman" w:cs="Times New Roman"/>
          <w:sz w:val="24"/>
          <w:szCs w:val="24"/>
        </w:rPr>
      </w:pPr>
    </w:p>
    <w:p w14:paraId="101745AF" w14:textId="77777777" w:rsidR="002B1DB3" w:rsidRPr="004B6118" w:rsidRDefault="002B1DB3" w:rsidP="005D1ABF">
      <w:pPr>
        <w:tabs>
          <w:tab w:val="left" w:pos="1701"/>
          <w:tab w:val="right" w:pos="9072"/>
        </w:tabs>
        <w:spacing w:after="0" w:line="240" w:lineRule="auto"/>
        <w:rPr>
          <w:rFonts w:ascii="Times New Roman" w:hAnsi="Times New Roman" w:cs="Times New Roman"/>
          <w:b/>
          <w:sz w:val="24"/>
          <w:szCs w:val="24"/>
        </w:rPr>
      </w:pPr>
      <w:r w:rsidRPr="004B6118">
        <w:rPr>
          <w:rFonts w:ascii="Times New Roman" w:hAnsi="Times New Roman" w:cs="Times New Roman"/>
          <w:b/>
          <w:sz w:val="24"/>
          <w:szCs w:val="24"/>
        </w:rPr>
        <w:t>Purpose</w:t>
      </w:r>
    </w:p>
    <w:p w14:paraId="67D91533"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0E0F4270" w14:textId="6949FA31" w:rsidR="00A94BA3" w:rsidRPr="002075E1" w:rsidRDefault="001C09FB" w:rsidP="00A94BA3">
      <w:pPr>
        <w:tabs>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The purpose of the</w:t>
      </w:r>
      <w:r w:rsidR="004B6118">
        <w:rPr>
          <w:rFonts w:ascii="Times New Roman" w:hAnsi="Times New Roman" w:cs="Times New Roman"/>
          <w:sz w:val="24"/>
        </w:rPr>
        <w:t xml:space="preserve"> </w:t>
      </w:r>
      <w:r w:rsidR="004B6118" w:rsidRPr="004C3BE6">
        <w:rPr>
          <w:rFonts w:ascii="Times New Roman" w:hAnsi="Times New Roman" w:cs="Times New Roman"/>
          <w:i/>
          <w:sz w:val="24"/>
          <w:szCs w:val="24"/>
        </w:rPr>
        <w:t>Illegal Logging Prohibition Amendment</w:t>
      </w:r>
      <w:r w:rsidR="004B6118">
        <w:rPr>
          <w:rFonts w:ascii="Times New Roman" w:hAnsi="Times New Roman" w:cs="Times New Roman"/>
          <w:i/>
          <w:sz w:val="24"/>
          <w:szCs w:val="24"/>
        </w:rPr>
        <w:t xml:space="preserve"> (</w:t>
      </w:r>
      <w:r w:rsidR="0068179C">
        <w:rPr>
          <w:rFonts w:ascii="Times New Roman" w:hAnsi="Times New Roman" w:cs="Times New Roman"/>
          <w:i/>
          <w:sz w:val="24"/>
          <w:szCs w:val="24"/>
        </w:rPr>
        <w:t>Due Diligence Improvements</w:t>
      </w:r>
      <w:r w:rsidR="004B6118">
        <w:rPr>
          <w:rFonts w:ascii="Times New Roman" w:hAnsi="Times New Roman" w:cs="Times New Roman"/>
          <w:i/>
          <w:sz w:val="24"/>
          <w:szCs w:val="24"/>
        </w:rPr>
        <w:t>)</w:t>
      </w:r>
      <w:r w:rsidR="004B6118" w:rsidRPr="004C3BE6">
        <w:rPr>
          <w:rFonts w:ascii="Times New Roman" w:hAnsi="Times New Roman" w:cs="Times New Roman"/>
          <w:i/>
          <w:sz w:val="24"/>
          <w:szCs w:val="24"/>
        </w:rPr>
        <w:t xml:space="preserve"> Regulation</w:t>
      </w:r>
      <w:r w:rsidR="004B6118">
        <w:rPr>
          <w:rFonts w:ascii="Times New Roman" w:hAnsi="Times New Roman" w:cs="Times New Roman"/>
          <w:i/>
          <w:sz w:val="24"/>
          <w:szCs w:val="24"/>
        </w:rPr>
        <w:t>s</w:t>
      </w:r>
      <w:r w:rsidR="004B6118" w:rsidRPr="004C3BE6">
        <w:rPr>
          <w:rFonts w:ascii="Times New Roman" w:hAnsi="Times New Roman" w:cs="Times New Roman"/>
          <w:i/>
          <w:sz w:val="24"/>
          <w:szCs w:val="24"/>
        </w:rPr>
        <w:t xml:space="preserve"> 201</w:t>
      </w:r>
      <w:r w:rsidR="0068179C">
        <w:rPr>
          <w:rFonts w:ascii="Times New Roman" w:hAnsi="Times New Roman" w:cs="Times New Roman"/>
          <w:i/>
          <w:sz w:val="24"/>
          <w:szCs w:val="24"/>
        </w:rPr>
        <w:t>8</w:t>
      </w:r>
      <w:r w:rsidR="004B6118" w:rsidRPr="00071F95">
        <w:rPr>
          <w:rFonts w:ascii="Times New Roman" w:hAnsi="Times New Roman" w:cs="Times New Roman"/>
          <w:i/>
          <w:sz w:val="24"/>
          <w:szCs w:val="24"/>
        </w:rPr>
        <w:t xml:space="preserve"> </w:t>
      </w:r>
      <w:r w:rsidR="0068179C" w:rsidRPr="009329F7">
        <w:rPr>
          <w:rFonts w:ascii="Times New Roman" w:hAnsi="Times New Roman" w:cs="Times New Roman"/>
          <w:sz w:val="24"/>
          <w:szCs w:val="24"/>
        </w:rPr>
        <w:t>(</w:t>
      </w:r>
      <w:r w:rsidR="0068179C">
        <w:rPr>
          <w:rFonts w:ascii="Times New Roman" w:hAnsi="Times New Roman" w:cs="Times New Roman"/>
          <w:sz w:val="24"/>
          <w:szCs w:val="24"/>
        </w:rPr>
        <w:t xml:space="preserve">the </w:t>
      </w:r>
      <w:r w:rsidR="001575C3">
        <w:rPr>
          <w:rFonts w:ascii="Times New Roman" w:hAnsi="Times New Roman" w:cs="Times New Roman"/>
          <w:sz w:val="24"/>
          <w:szCs w:val="24"/>
        </w:rPr>
        <w:t>A</w:t>
      </w:r>
      <w:r w:rsidR="00F276A5">
        <w:rPr>
          <w:rFonts w:ascii="Times New Roman" w:hAnsi="Times New Roman" w:cs="Times New Roman"/>
          <w:sz w:val="24"/>
          <w:szCs w:val="24"/>
        </w:rPr>
        <w:t>mend</w:t>
      </w:r>
      <w:r w:rsidR="00EA5B7C">
        <w:rPr>
          <w:rFonts w:ascii="Times New Roman" w:hAnsi="Times New Roman" w:cs="Times New Roman"/>
          <w:sz w:val="24"/>
          <w:szCs w:val="24"/>
        </w:rPr>
        <w:t>ment</w:t>
      </w:r>
      <w:r w:rsidR="00F276A5">
        <w:rPr>
          <w:rFonts w:ascii="Times New Roman" w:hAnsi="Times New Roman" w:cs="Times New Roman"/>
          <w:sz w:val="24"/>
          <w:szCs w:val="24"/>
        </w:rPr>
        <w:t xml:space="preserve"> </w:t>
      </w:r>
      <w:r w:rsidR="0068179C">
        <w:rPr>
          <w:rFonts w:ascii="Times New Roman" w:hAnsi="Times New Roman" w:cs="Times New Roman"/>
          <w:sz w:val="24"/>
          <w:szCs w:val="24"/>
        </w:rPr>
        <w:t>Regulation</w:t>
      </w:r>
      <w:r w:rsidR="00F276A5">
        <w:rPr>
          <w:rFonts w:ascii="Times New Roman" w:hAnsi="Times New Roman" w:cs="Times New Roman"/>
          <w:sz w:val="24"/>
          <w:szCs w:val="24"/>
        </w:rPr>
        <w:t>s</w:t>
      </w:r>
      <w:r w:rsidR="0068179C">
        <w:rPr>
          <w:rFonts w:ascii="Times New Roman" w:hAnsi="Times New Roman" w:cs="Times New Roman"/>
          <w:sz w:val="24"/>
          <w:szCs w:val="24"/>
        </w:rPr>
        <w:t xml:space="preserve">) is to </w:t>
      </w:r>
      <w:r w:rsidR="00A94BA3" w:rsidRPr="002075E1">
        <w:rPr>
          <w:rFonts w:ascii="Times New Roman" w:hAnsi="Times New Roman" w:cs="Times New Roman"/>
          <w:sz w:val="24"/>
        </w:rPr>
        <w:t xml:space="preserve">amend </w:t>
      </w:r>
      <w:r w:rsidR="00EF4A4D">
        <w:rPr>
          <w:rFonts w:ascii="Times New Roman" w:hAnsi="Times New Roman" w:cs="Times New Roman"/>
          <w:sz w:val="24"/>
        </w:rPr>
        <w:t xml:space="preserve">the </w:t>
      </w:r>
      <w:r w:rsidR="00EA5B7C">
        <w:rPr>
          <w:rFonts w:ascii="Times New Roman" w:hAnsi="Times New Roman" w:cs="Times New Roman"/>
          <w:sz w:val="24"/>
        </w:rPr>
        <w:t xml:space="preserve">principal </w:t>
      </w:r>
      <w:r w:rsidR="00EF4A4D">
        <w:rPr>
          <w:rFonts w:ascii="Times New Roman" w:hAnsi="Times New Roman" w:cs="Times New Roman"/>
          <w:sz w:val="24"/>
        </w:rPr>
        <w:t xml:space="preserve">Regulation </w:t>
      </w:r>
      <w:r w:rsidR="00A94BA3" w:rsidRPr="002075E1">
        <w:rPr>
          <w:rFonts w:ascii="Times New Roman" w:hAnsi="Times New Roman" w:cs="Times New Roman"/>
          <w:sz w:val="24"/>
        </w:rPr>
        <w:t>to add</w:t>
      </w:r>
      <w:r w:rsidR="00580488">
        <w:rPr>
          <w:rFonts w:ascii="Times New Roman" w:hAnsi="Times New Roman" w:cs="Times New Roman"/>
          <w:sz w:val="24"/>
        </w:rPr>
        <w:t xml:space="preserve"> to Schedule 2</w:t>
      </w:r>
      <w:r w:rsidR="00C34ECD">
        <w:rPr>
          <w:rFonts w:ascii="Times New Roman" w:hAnsi="Times New Roman" w:cs="Times New Roman"/>
          <w:sz w:val="24"/>
        </w:rPr>
        <w:t xml:space="preserve"> </w:t>
      </w:r>
      <w:r w:rsidR="00F42EE4">
        <w:rPr>
          <w:rFonts w:ascii="Times New Roman" w:hAnsi="Times New Roman" w:cs="Times New Roman"/>
          <w:sz w:val="24"/>
        </w:rPr>
        <w:t>a</w:t>
      </w:r>
      <w:r w:rsidR="00580488">
        <w:rPr>
          <w:rFonts w:ascii="Times New Roman" w:hAnsi="Times New Roman" w:cs="Times New Roman"/>
          <w:sz w:val="24"/>
        </w:rPr>
        <w:t xml:space="preserve"> </w:t>
      </w:r>
      <w:r w:rsidR="00A94BA3" w:rsidRPr="002075E1">
        <w:rPr>
          <w:rFonts w:ascii="Times New Roman" w:hAnsi="Times New Roman" w:cs="Times New Roman"/>
          <w:sz w:val="24"/>
        </w:rPr>
        <w:t>new country specific guideline</w:t>
      </w:r>
      <w:r w:rsidR="00580488">
        <w:rPr>
          <w:rFonts w:ascii="Times New Roman" w:hAnsi="Times New Roman" w:cs="Times New Roman"/>
          <w:sz w:val="24"/>
        </w:rPr>
        <w:t xml:space="preserve"> for the Republic of Korea and to replace the country specific guidelines for Malaysia and Indonesia with updated versions. The amending Regulations also</w:t>
      </w:r>
      <w:r w:rsidR="00F276A5">
        <w:rPr>
          <w:rFonts w:ascii="Times New Roman" w:hAnsi="Times New Roman" w:cs="Times New Roman"/>
          <w:sz w:val="24"/>
        </w:rPr>
        <w:t xml:space="preserve"> provide</w:t>
      </w:r>
      <w:r w:rsidR="00A94BA3" w:rsidRPr="002075E1">
        <w:rPr>
          <w:rFonts w:ascii="Times New Roman" w:hAnsi="Times New Roman" w:cs="Times New Roman"/>
          <w:sz w:val="24"/>
        </w:rPr>
        <w:t xml:space="preserve"> a </w:t>
      </w:r>
      <w:r w:rsidR="00101D6C">
        <w:rPr>
          <w:rFonts w:ascii="Times New Roman" w:hAnsi="Times New Roman" w:cs="Times New Roman"/>
          <w:sz w:val="24"/>
        </w:rPr>
        <w:t xml:space="preserve">‘reasonableness’ </w:t>
      </w:r>
      <w:r w:rsidR="00A94BA3" w:rsidRPr="002075E1">
        <w:rPr>
          <w:rFonts w:ascii="Times New Roman" w:hAnsi="Times New Roman" w:cs="Times New Roman"/>
          <w:sz w:val="24"/>
        </w:rPr>
        <w:t xml:space="preserve">standard an importer or processor </w:t>
      </w:r>
      <w:r w:rsidR="00F276A5">
        <w:rPr>
          <w:rFonts w:ascii="Times New Roman" w:hAnsi="Times New Roman" w:cs="Times New Roman"/>
          <w:sz w:val="24"/>
        </w:rPr>
        <w:t xml:space="preserve">must </w:t>
      </w:r>
      <w:r w:rsidR="00A94BA3" w:rsidRPr="002075E1">
        <w:rPr>
          <w:rFonts w:ascii="Times New Roman" w:hAnsi="Times New Roman" w:cs="Times New Roman"/>
          <w:sz w:val="24"/>
        </w:rPr>
        <w:t xml:space="preserve">meet when using the ‘timber legality frameworks’ risk assessment optional process as part of their due diligence. </w:t>
      </w:r>
    </w:p>
    <w:p w14:paraId="7A746E4B"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5FB82882" w14:textId="77777777" w:rsidR="002B1DB3" w:rsidRPr="004B6118" w:rsidRDefault="002B1DB3" w:rsidP="005D1ABF">
      <w:pPr>
        <w:tabs>
          <w:tab w:val="left" w:pos="1701"/>
          <w:tab w:val="right" w:pos="9072"/>
        </w:tabs>
        <w:spacing w:after="0" w:line="240" w:lineRule="auto"/>
        <w:rPr>
          <w:rFonts w:ascii="Times New Roman" w:hAnsi="Times New Roman" w:cs="Times New Roman"/>
          <w:b/>
          <w:sz w:val="24"/>
          <w:szCs w:val="24"/>
        </w:rPr>
      </w:pPr>
      <w:r w:rsidRPr="004B6118">
        <w:rPr>
          <w:rFonts w:ascii="Times New Roman" w:hAnsi="Times New Roman" w:cs="Times New Roman"/>
          <w:b/>
          <w:sz w:val="24"/>
          <w:szCs w:val="24"/>
        </w:rPr>
        <w:t>Background</w:t>
      </w:r>
    </w:p>
    <w:p w14:paraId="36F6E768"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39185500" w14:textId="7F753D44" w:rsidR="005D32CF" w:rsidRPr="00262F71" w:rsidRDefault="0014386F" w:rsidP="005D32CF">
      <w:pPr>
        <w:tabs>
          <w:tab w:val="right" w:pos="9072"/>
        </w:tabs>
        <w:spacing w:after="0" w:line="240" w:lineRule="auto"/>
        <w:rPr>
          <w:rFonts w:ascii="Times New Roman" w:hAnsi="Times New Roman" w:cs="Times New Roman"/>
          <w:sz w:val="24"/>
        </w:rPr>
      </w:pPr>
      <w:r>
        <w:rPr>
          <w:rFonts w:ascii="Times New Roman" w:hAnsi="Times New Roman" w:cs="Times New Roman"/>
          <w:color w:val="000000" w:themeColor="text1"/>
          <w:sz w:val="24"/>
          <w:szCs w:val="24"/>
        </w:rPr>
        <w:t xml:space="preserve">The amendment </w:t>
      </w:r>
      <w:r w:rsidR="00101D6C" w:rsidRPr="00101D6C">
        <w:rPr>
          <w:rFonts w:ascii="Times New Roman" w:hAnsi="Times New Roman" w:cs="Times New Roman"/>
          <w:color w:val="000000" w:themeColor="text1"/>
          <w:sz w:val="24"/>
          <w:szCs w:val="24"/>
        </w:rPr>
        <w:t>to add the new country specific guideline for the Republic of Korea</w:t>
      </w:r>
      <w:r>
        <w:rPr>
          <w:rFonts w:ascii="Times New Roman" w:hAnsi="Times New Roman" w:cs="Times New Roman"/>
          <w:color w:val="000000" w:themeColor="text1"/>
          <w:sz w:val="24"/>
          <w:szCs w:val="24"/>
        </w:rPr>
        <w:t xml:space="preserve"> provide</w:t>
      </w:r>
      <w:r w:rsidR="00B2351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 additional option for importers </w:t>
      </w:r>
      <w:r w:rsidR="00571F4B">
        <w:rPr>
          <w:rFonts w:ascii="Times New Roman" w:hAnsi="Times New Roman" w:cs="Times New Roman"/>
          <w:color w:val="000000" w:themeColor="text1"/>
          <w:sz w:val="24"/>
          <w:szCs w:val="24"/>
        </w:rPr>
        <w:t xml:space="preserve">of regulated timber products from the Republic of Korea </w:t>
      </w:r>
      <w:r>
        <w:rPr>
          <w:rFonts w:ascii="Times New Roman" w:hAnsi="Times New Roman" w:cs="Times New Roman"/>
          <w:color w:val="000000" w:themeColor="text1"/>
          <w:sz w:val="24"/>
          <w:szCs w:val="24"/>
        </w:rPr>
        <w:t xml:space="preserve">to conduct due diligence. Importers may elect to use the country specific guideline option </w:t>
      </w:r>
      <w:r w:rsidR="00B2351E">
        <w:rPr>
          <w:rFonts w:ascii="Times New Roman" w:hAnsi="Times New Roman" w:cs="Times New Roman"/>
          <w:color w:val="000000" w:themeColor="text1"/>
          <w:sz w:val="24"/>
          <w:szCs w:val="24"/>
        </w:rPr>
        <w:t xml:space="preserve">provided for in </w:t>
      </w:r>
      <w:r>
        <w:rPr>
          <w:rFonts w:ascii="Times New Roman" w:hAnsi="Times New Roman" w:cs="Times New Roman"/>
          <w:color w:val="000000" w:themeColor="text1"/>
          <w:sz w:val="24"/>
          <w:szCs w:val="24"/>
        </w:rPr>
        <w:t xml:space="preserve">section 12 of the principal Regulation </w:t>
      </w:r>
      <w:r w:rsidR="00B2351E">
        <w:rPr>
          <w:rFonts w:ascii="Times New Roman" w:hAnsi="Times New Roman" w:cs="Times New Roman"/>
          <w:color w:val="000000" w:themeColor="text1"/>
          <w:sz w:val="24"/>
          <w:szCs w:val="24"/>
        </w:rPr>
        <w:t xml:space="preserve">if the country specific guideline for the Republic of Korea applies to the timber in the product, or the area in which the timber is harvested. The amendments to add the revised versions of the country specific guidelines for Malaysia and Indonesia </w:t>
      </w:r>
      <w:r w:rsidR="00072A12">
        <w:rPr>
          <w:rFonts w:ascii="Times New Roman" w:hAnsi="Times New Roman" w:cs="Times New Roman"/>
          <w:color w:val="000000" w:themeColor="text1"/>
          <w:sz w:val="24"/>
          <w:szCs w:val="24"/>
        </w:rPr>
        <w:t xml:space="preserve">enable </w:t>
      </w:r>
      <w:r w:rsidR="00B2351E">
        <w:rPr>
          <w:rFonts w:ascii="Times New Roman" w:hAnsi="Times New Roman" w:cs="Times New Roman"/>
          <w:color w:val="000000" w:themeColor="text1"/>
          <w:sz w:val="24"/>
          <w:szCs w:val="24"/>
        </w:rPr>
        <w:t xml:space="preserve">importers </w:t>
      </w:r>
      <w:r w:rsidR="00571F4B">
        <w:rPr>
          <w:rFonts w:ascii="Times New Roman" w:hAnsi="Times New Roman" w:cs="Times New Roman"/>
          <w:color w:val="000000" w:themeColor="text1"/>
          <w:sz w:val="24"/>
          <w:szCs w:val="24"/>
        </w:rPr>
        <w:t xml:space="preserve">of regulated timber products from these countries </w:t>
      </w:r>
      <w:r w:rsidR="00072A12">
        <w:rPr>
          <w:rFonts w:ascii="Times New Roman" w:hAnsi="Times New Roman" w:cs="Times New Roman"/>
          <w:color w:val="000000" w:themeColor="text1"/>
          <w:sz w:val="24"/>
          <w:szCs w:val="24"/>
        </w:rPr>
        <w:t xml:space="preserve">to access </w:t>
      </w:r>
      <w:r w:rsidR="00B2351E">
        <w:rPr>
          <w:rFonts w:ascii="Times New Roman" w:hAnsi="Times New Roman" w:cs="Times New Roman"/>
          <w:color w:val="000000" w:themeColor="text1"/>
          <w:sz w:val="24"/>
          <w:szCs w:val="24"/>
        </w:rPr>
        <w:t xml:space="preserve">the most up-to-date </w:t>
      </w:r>
      <w:r w:rsidR="00072A12">
        <w:rPr>
          <w:rFonts w:ascii="Times New Roman" w:hAnsi="Times New Roman" w:cs="Times New Roman"/>
          <w:color w:val="000000" w:themeColor="text1"/>
          <w:sz w:val="24"/>
          <w:szCs w:val="24"/>
        </w:rPr>
        <w:t xml:space="preserve">guidance material on </w:t>
      </w:r>
      <w:r w:rsidR="00B2351E">
        <w:rPr>
          <w:rFonts w:ascii="Times New Roman" w:hAnsi="Times New Roman" w:cs="Times New Roman"/>
          <w:color w:val="000000" w:themeColor="text1"/>
          <w:sz w:val="24"/>
          <w:szCs w:val="24"/>
        </w:rPr>
        <w:t xml:space="preserve">forestry legal frameworks </w:t>
      </w:r>
      <w:r w:rsidR="00072A12">
        <w:rPr>
          <w:rFonts w:ascii="Times New Roman" w:hAnsi="Times New Roman" w:cs="Times New Roman"/>
          <w:color w:val="000000" w:themeColor="text1"/>
          <w:sz w:val="24"/>
          <w:szCs w:val="24"/>
        </w:rPr>
        <w:t>in order</w:t>
      </w:r>
      <w:r w:rsidR="00B2351E">
        <w:rPr>
          <w:rFonts w:ascii="Times New Roman" w:hAnsi="Times New Roman" w:cs="Times New Roman"/>
          <w:color w:val="000000" w:themeColor="text1"/>
          <w:sz w:val="24"/>
          <w:szCs w:val="24"/>
        </w:rPr>
        <w:t xml:space="preserve"> to carry out their due diligence</w:t>
      </w:r>
      <w:r w:rsidR="00101D6C" w:rsidRPr="00101D6C">
        <w:rPr>
          <w:rFonts w:ascii="Times New Roman" w:hAnsi="Times New Roman" w:cs="Times New Roman"/>
          <w:color w:val="000000" w:themeColor="text1"/>
          <w:sz w:val="24"/>
          <w:szCs w:val="24"/>
        </w:rPr>
        <w:t xml:space="preserve">. </w:t>
      </w:r>
    </w:p>
    <w:p w14:paraId="7581C121" w14:textId="77777777" w:rsidR="0068179C" w:rsidRDefault="0068179C" w:rsidP="0068179C">
      <w:pPr>
        <w:tabs>
          <w:tab w:val="right" w:pos="9072"/>
        </w:tabs>
        <w:spacing w:after="0" w:line="240" w:lineRule="auto"/>
        <w:rPr>
          <w:rFonts w:ascii="Times New Roman" w:hAnsi="Times New Roman" w:cs="Times New Roman"/>
          <w:color w:val="000000" w:themeColor="text1"/>
          <w:sz w:val="24"/>
          <w:szCs w:val="24"/>
        </w:rPr>
      </w:pPr>
    </w:p>
    <w:p w14:paraId="485DC829" w14:textId="77777777" w:rsidR="00D648C1" w:rsidRDefault="00D648C1" w:rsidP="005D32CF">
      <w:pPr>
        <w:spacing w:after="0" w:line="240" w:lineRule="auto"/>
        <w:rPr>
          <w:rFonts w:ascii="Times New Roman" w:hAnsi="Times New Roman" w:cs="Times New Roman"/>
          <w:sz w:val="24"/>
          <w:szCs w:val="24"/>
        </w:rPr>
      </w:pPr>
    </w:p>
    <w:p w14:paraId="0DDB10EB" w14:textId="5A5962C0" w:rsidR="005D32CF" w:rsidRDefault="005D32CF" w:rsidP="005D32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amendment, which </w:t>
      </w:r>
      <w:r w:rsidR="00580488">
        <w:rPr>
          <w:rFonts w:ascii="Times New Roman" w:hAnsi="Times New Roman" w:cs="Times New Roman"/>
          <w:sz w:val="24"/>
          <w:szCs w:val="24"/>
        </w:rPr>
        <w:t>provides</w:t>
      </w:r>
      <w:r>
        <w:rPr>
          <w:rFonts w:ascii="Times New Roman" w:hAnsi="Times New Roman" w:cs="Times New Roman"/>
          <w:sz w:val="24"/>
          <w:szCs w:val="24"/>
        </w:rPr>
        <w:t xml:space="preserve"> that </w:t>
      </w:r>
      <w:r w:rsidR="00580488">
        <w:rPr>
          <w:rFonts w:ascii="Times New Roman" w:hAnsi="Times New Roman" w:cs="Times New Roman"/>
          <w:sz w:val="24"/>
          <w:szCs w:val="24"/>
        </w:rPr>
        <w:t xml:space="preserve">the identification and </w:t>
      </w:r>
      <w:r>
        <w:rPr>
          <w:rFonts w:ascii="Times New Roman" w:hAnsi="Times New Roman" w:cs="Times New Roman"/>
          <w:sz w:val="24"/>
          <w:szCs w:val="24"/>
        </w:rPr>
        <w:t>assessment of risk</w:t>
      </w:r>
      <w:r w:rsidR="00AB5277">
        <w:rPr>
          <w:rFonts w:ascii="Times New Roman" w:hAnsi="Times New Roman" w:cs="Times New Roman"/>
          <w:sz w:val="24"/>
          <w:szCs w:val="24"/>
        </w:rPr>
        <w:t>, and any outcome of that identification and assessment,</w:t>
      </w:r>
      <w:r>
        <w:rPr>
          <w:rFonts w:ascii="Times New Roman" w:hAnsi="Times New Roman" w:cs="Times New Roman"/>
          <w:sz w:val="24"/>
          <w:szCs w:val="24"/>
        </w:rPr>
        <w:t xml:space="preserve"> must be ‘reasonable’</w:t>
      </w:r>
      <w:r w:rsidR="00B2210F">
        <w:rPr>
          <w:rFonts w:ascii="Times New Roman" w:hAnsi="Times New Roman" w:cs="Times New Roman"/>
          <w:sz w:val="24"/>
          <w:szCs w:val="24"/>
        </w:rPr>
        <w:t xml:space="preserve"> is designed to ensure that importers and processors carry out the due diligence requirements in </w:t>
      </w:r>
      <w:r w:rsidR="009548CB">
        <w:rPr>
          <w:rFonts w:ascii="Times New Roman" w:hAnsi="Times New Roman" w:cs="Times New Roman"/>
          <w:sz w:val="24"/>
          <w:szCs w:val="24"/>
        </w:rPr>
        <w:t>a</w:t>
      </w:r>
      <w:r w:rsidR="00072A12">
        <w:rPr>
          <w:rFonts w:ascii="Times New Roman" w:hAnsi="Times New Roman" w:cs="Times New Roman"/>
          <w:sz w:val="24"/>
          <w:szCs w:val="24"/>
        </w:rPr>
        <w:t xml:space="preserve"> reasonable and defensible way</w:t>
      </w:r>
      <w:r>
        <w:rPr>
          <w:rFonts w:ascii="Times New Roman" w:hAnsi="Times New Roman" w:cs="Times New Roman"/>
          <w:sz w:val="24"/>
          <w:szCs w:val="24"/>
        </w:rPr>
        <w:t>.</w:t>
      </w:r>
    </w:p>
    <w:p w14:paraId="2824B9A6" w14:textId="77777777" w:rsidR="0068179C" w:rsidRPr="00E76AB5" w:rsidRDefault="0068179C" w:rsidP="005D1ABF">
      <w:pPr>
        <w:tabs>
          <w:tab w:val="right" w:pos="9072"/>
        </w:tabs>
        <w:spacing w:after="0" w:line="240" w:lineRule="auto"/>
        <w:rPr>
          <w:rFonts w:ascii="Times New Roman" w:hAnsi="Times New Roman" w:cs="Times New Roman"/>
          <w:color w:val="FF0000"/>
          <w:sz w:val="24"/>
          <w:szCs w:val="24"/>
        </w:rPr>
      </w:pPr>
    </w:p>
    <w:p w14:paraId="23F2EA93" w14:textId="77777777" w:rsidR="002B1DB3" w:rsidRPr="004B6118" w:rsidRDefault="002B1DB3" w:rsidP="005D1ABF">
      <w:pPr>
        <w:tabs>
          <w:tab w:val="left" w:pos="1701"/>
          <w:tab w:val="right" w:pos="9072"/>
        </w:tabs>
        <w:spacing w:after="0" w:line="240" w:lineRule="auto"/>
        <w:rPr>
          <w:rFonts w:ascii="Times New Roman" w:hAnsi="Times New Roman" w:cs="Times New Roman"/>
          <w:b/>
          <w:sz w:val="24"/>
          <w:szCs w:val="24"/>
        </w:rPr>
      </w:pPr>
      <w:r w:rsidRPr="004B6118">
        <w:rPr>
          <w:rFonts w:ascii="Times New Roman" w:hAnsi="Times New Roman" w:cs="Times New Roman"/>
          <w:b/>
          <w:sz w:val="24"/>
          <w:szCs w:val="24"/>
        </w:rPr>
        <w:t>Impact and Effect</w:t>
      </w:r>
    </w:p>
    <w:p w14:paraId="391DD801" w14:textId="77777777" w:rsidR="00101D6C" w:rsidRDefault="00101D6C" w:rsidP="005D32CF">
      <w:pPr>
        <w:tabs>
          <w:tab w:val="right" w:pos="9072"/>
        </w:tabs>
        <w:spacing w:after="0" w:line="240" w:lineRule="auto"/>
        <w:rPr>
          <w:rFonts w:ascii="Times New Roman" w:hAnsi="Times New Roman" w:cs="Times New Roman"/>
          <w:sz w:val="24"/>
        </w:rPr>
      </w:pPr>
    </w:p>
    <w:p w14:paraId="48F46698" w14:textId="2452F388" w:rsidR="00101D6C" w:rsidRDefault="00101D6C" w:rsidP="005D32CF">
      <w:pPr>
        <w:tabs>
          <w:tab w:val="right" w:pos="9072"/>
        </w:tabs>
        <w:spacing w:after="0" w:line="240" w:lineRule="auto"/>
        <w:rPr>
          <w:rFonts w:ascii="Times New Roman" w:hAnsi="Times New Roman" w:cs="Times New Roman"/>
          <w:sz w:val="24"/>
          <w:szCs w:val="24"/>
        </w:rPr>
      </w:pPr>
      <w:r w:rsidRPr="00101D6C">
        <w:rPr>
          <w:rFonts w:ascii="Times New Roman" w:hAnsi="Times New Roman" w:cs="Times New Roman"/>
          <w:sz w:val="24"/>
          <w:szCs w:val="24"/>
        </w:rPr>
        <w:t xml:space="preserve">The </w:t>
      </w:r>
      <w:r w:rsidR="00580488">
        <w:rPr>
          <w:rFonts w:ascii="Times New Roman" w:hAnsi="Times New Roman" w:cs="Times New Roman"/>
          <w:sz w:val="24"/>
          <w:szCs w:val="24"/>
        </w:rPr>
        <w:t>pri</w:t>
      </w:r>
      <w:r w:rsidR="00EA5B7C">
        <w:rPr>
          <w:rFonts w:ascii="Times New Roman" w:hAnsi="Times New Roman" w:cs="Times New Roman"/>
          <w:sz w:val="24"/>
          <w:szCs w:val="24"/>
        </w:rPr>
        <w:t xml:space="preserve">ncipal </w:t>
      </w:r>
      <w:r>
        <w:rPr>
          <w:rFonts w:ascii="Times New Roman" w:hAnsi="Times New Roman" w:cs="Times New Roman"/>
          <w:sz w:val="24"/>
          <w:szCs w:val="24"/>
        </w:rPr>
        <w:t xml:space="preserve">Regulation has been </w:t>
      </w:r>
      <w:r w:rsidRPr="00101D6C">
        <w:rPr>
          <w:rFonts w:ascii="Times New Roman" w:hAnsi="Times New Roman" w:cs="Times New Roman"/>
          <w:sz w:val="24"/>
          <w:szCs w:val="24"/>
        </w:rPr>
        <w:t>amend</w:t>
      </w:r>
      <w:r>
        <w:rPr>
          <w:rFonts w:ascii="Times New Roman" w:hAnsi="Times New Roman" w:cs="Times New Roman"/>
          <w:sz w:val="24"/>
          <w:szCs w:val="24"/>
        </w:rPr>
        <w:t>ed</w:t>
      </w:r>
      <w:r w:rsidRPr="00101D6C">
        <w:rPr>
          <w:rFonts w:ascii="Times New Roman" w:hAnsi="Times New Roman" w:cs="Times New Roman"/>
          <w:sz w:val="24"/>
          <w:szCs w:val="24"/>
        </w:rPr>
        <w:t xml:space="preserve"> </w:t>
      </w:r>
      <w:r>
        <w:rPr>
          <w:rFonts w:ascii="Times New Roman" w:hAnsi="Times New Roman" w:cs="Times New Roman"/>
          <w:sz w:val="24"/>
          <w:szCs w:val="24"/>
        </w:rPr>
        <w:t>to</w:t>
      </w:r>
      <w:r w:rsidRPr="00101D6C">
        <w:rPr>
          <w:rFonts w:ascii="Times New Roman" w:hAnsi="Times New Roman" w:cs="Times New Roman"/>
          <w:sz w:val="24"/>
          <w:szCs w:val="24"/>
        </w:rPr>
        <w:t xml:space="preserve"> </w:t>
      </w:r>
      <w:r w:rsidR="005C4C6F">
        <w:rPr>
          <w:rFonts w:ascii="Times New Roman" w:hAnsi="Times New Roman" w:cs="Times New Roman"/>
          <w:sz w:val="24"/>
          <w:szCs w:val="24"/>
        </w:rPr>
        <w:t xml:space="preserve">add </w:t>
      </w:r>
      <w:r w:rsidRPr="00101D6C">
        <w:rPr>
          <w:rFonts w:ascii="Times New Roman" w:hAnsi="Times New Roman" w:cs="Times New Roman"/>
          <w:sz w:val="24"/>
          <w:szCs w:val="24"/>
        </w:rPr>
        <w:t xml:space="preserve">the new country specific guideline for the Republic of Korea, and the revised versions of the country specific guidelines for Malaysia and Indonesia. These documents offer </w:t>
      </w:r>
      <w:r w:rsidR="00CB15BA">
        <w:rPr>
          <w:rFonts w:ascii="Times New Roman" w:hAnsi="Times New Roman" w:cs="Times New Roman"/>
          <w:sz w:val="24"/>
          <w:szCs w:val="24"/>
        </w:rPr>
        <w:t>importers</w:t>
      </w:r>
      <w:r w:rsidRPr="00101D6C">
        <w:rPr>
          <w:rFonts w:ascii="Times New Roman" w:hAnsi="Times New Roman" w:cs="Times New Roman"/>
          <w:sz w:val="24"/>
          <w:szCs w:val="24"/>
        </w:rPr>
        <w:t xml:space="preserve"> guidance on how to </w:t>
      </w:r>
      <w:r w:rsidR="00166FAD">
        <w:rPr>
          <w:rFonts w:ascii="Times New Roman" w:hAnsi="Times New Roman" w:cs="Times New Roman"/>
          <w:sz w:val="24"/>
          <w:szCs w:val="24"/>
        </w:rPr>
        <w:t>meet</w:t>
      </w:r>
      <w:r w:rsidRPr="00101D6C">
        <w:rPr>
          <w:rFonts w:ascii="Times New Roman" w:hAnsi="Times New Roman" w:cs="Times New Roman"/>
          <w:sz w:val="24"/>
          <w:szCs w:val="24"/>
        </w:rPr>
        <w:t xml:space="preserve"> their due diligence obligations for regulated timber products originating from those </w:t>
      </w:r>
      <w:r w:rsidR="00166FAD">
        <w:rPr>
          <w:rFonts w:ascii="Times New Roman" w:hAnsi="Times New Roman" w:cs="Times New Roman"/>
          <w:sz w:val="24"/>
          <w:szCs w:val="24"/>
        </w:rPr>
        <w:t>countries</w:t>
      </w:r>
      <w:r w:rsidRPr="00101D6C">
        <w:rPr>
          <w:rFonts w:ascii="Times New Roman" w:hAnsi="Times New Roman" w:cs="Times New Roman"/>
          <w:sz w:val="24"/>
          <w:szCs w:val="24"/>
        </w:rPr>
        <w:t>.</w:t>
      </w:r>
      <w:r>
        <w:rPr>
          <w:rFonts w:ascii="Times New Roman" w:hAnsi="Times New Roman" w:cs="Times New Roman"/>
          <w:sz w:val="24"/>
          <w:szCs w:val="24"/>
        </w:rPr>
        <w:t xml:space="preserve"> </w:t>
      </w:r>
    </w:p>
    <w:p w14:paraId="6310B2F4" w14:textId="77777777" w:rsidR="00101D6C" w:rsidRDefault="00101D6C" w:rsidP="005D32CF">
      <w:pPr>
        <w:tabs>
          <w:tab w:val="right" w:pos="9072"/>
        </w:tabs>
        <w:spacing w:after="0" w:line="240" w:lineRule="auto"/>
        <w:rPr>
          <w:rFonts w:ascii="Times New Roman" w:hAnsi="Times New Roman" w:cs="Times New Roman"/>
          <w:sz w:val="24"/>
          <w:szCs w:val="24"/>
        </w:rPr>
      </w:pPr>
    </w:p>
    <w:p w14:paraId="57A29398" w14:textId="72EF5E79" w:rsidR="00571F4B" w:rsidRDefault="005D32CF" w:rsidP="00EF4A4D">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EA5B7C">
        <w:rPr>
          <w:rFonts w:ascii="Times New Roman" w:hAnsi="Times New Roman" w:cs="Times New Roman"/>
          <w:sz w:val="24"/>
        </w:rPr>
        <w:t xml:space="preserve">principal </w:t>
      </w:r>
      <w:r>
        <w:rPr>
          <w:rFonts w:ascii="Times New Roman" w:hAnsi="Times New Roman" w:cs="Times New Roman"/>
          <w:sz w:val="24"/>
        </w:rPr>
        <w:t xml:space="preserve">Regulation has also been amended to </w:t>
      </w:r>
      <w:r w:rsidR="007610EB">
        <w:rPr>
          <w:rFonts w:ascii="Times New Roman" w:hAnsi="Times New Roman" w:cs="Times New Roman"/>
          <w:sz w:val="24"/>
        </w:rPr>
        <w:t xml:space="preserve">establish </w:t>
      </w:r>
      <w:r w:rsidR="00B8434D">
        <w:rPr>
          <w:rFonts w:ascii="Times New Roman" w:hAnsi="Times New Roman" w:cs="Times New Roman"/>
          <w:sz w:val="24"/>
        </w:rPr>
        <w:t xml:space="preserve">the standard </w:t>
      </w:r>
      <w:r w:rsidR="007610EB">
        <w:rPr>
          <w:rFonts w:ascii="Times New Roman" w:hAnsi="Times New Roman" w:cs="Times New Roman"/>
          <w:sz w:val="24"/>
        </w:rPr>
        <w:t>which</w:t>
      </w:r>
      <w:r w:rsidR="00571F4B">
        <w:rPr>
          <w:rFonts w:ascii="Times New Roman" w:hAnsi="Times New Roman" w:cs="Times New Roman"/>
          <w:sz w:val="24"/>
        </w:rPr>
        <w:t xml:space="preserve"> </w:t>
      </w:r>
      <w:r w:rsidR="00B8434D">
        <w:rPr>
          <w:rFonts w:ascii="Times New Roman" w:hAnsi="Times New Roman" w:cs="Times New Roman"/>
          <w:sz w:val="24"/>
        </w:rPr>
        <w:t>importers and processors must meet when identifying and assessing risk using the timber legality frameworks option as part of their due diligence. The amendment requires the identification and assessment of risk, and the outcome of that identification and assessment, to be reasonable</w:t>
      </w:r>
      <w:r w:rsidR="00166FAD">
        <w:rPr>
          <w:rFonts w:ascii="Times New Roman" w:hAnsi="Times New Roman" w:cs="Times New Roman"/>
          <w:sz w:val="24"/>
        </w:rPr>
        <w:t xml:space="preserve">. This is an objective test that may be assessed by reference to the records that an importer </w:t>
      </w:r>
      <w:r w:rsidR="00B2210F">
        <w:rPr>
          <w:rFonts w:ascii="Times New Roman" w:hAnsi="Times New Roman" w:cs="Times New Roman"/>
          <w:sz w:val="24"/>
        </w:rPr>
        <w:t xml:space="preserve">and processor </w:t>
      </w:r>
      <w:r w:rsidR="00166FAD">
        <w:rPr>
          <w:rFonts w:ascii="Times New Roman" w:hAnsi="Times New Roman" w:cs="Times New Roman"/>
          <w:sz w:val="24"/>
        </w:rPr>
        <w:t>is required to keep under section</w:t>
      </w:r>
      <w:r w:rsidR="00F92B8E">
        <w:rPr>
          <w:rFonts w:ascii="Times New Roman" w:hAnsi="Times New Roman" w:cs="Times New Roman"/>
          <w:sz w:val="24"/>
        </w:rPr>
        <w:t xml:space="preserve"> 11 and section </w:t>
      </w:r>
      <w:r w:rsidR="00166FAD">
        <w:rPr>
          <w:rFonts w:ascii="Times New Roman" w:hAnsi="Times New Roman" w:cs="Times New Roman"/>
          <w:sz w:val="24"/>
        </w:rPr>
        <w:t>2</w:t>
      </w:r>
      <w:r w:rsidR="00F92B8E">
        <w:rPr>
          <w:rFonts w:ascii="Times New Roman" w:hAnsi="Times New Roman" w:cs="Times New Roman"/>
          <w:sz w:val="24"/>
        </w:rPr>
        <w:t>0</w:t>
      </w:r>
      <w:r w:rsidR="00166FAD">
        <w:rPr>
          <w:rFonts w:ascii="Times New Roman" w:hAnsi="Times New Roman" w:cs="Times New Roman"/>
          <w:sz w:val="24"/>
        </w:rPr>
        <w:t xml:space="preserve"> of the principal Regulation.</w:t>
      </w:r>
      <w:r w:rsidR="00101D6C">
        <w:rPr>
          <w:rFonts w:ascii="Times New Roman" w:hAnsi="Times New Roman" w:cs="Times New Roman"/>
          <w:sz w:val="24"/>
        </w:rPr>
        <w:t xml:space="preserve"> </w:t>
      </w:r>
    </w:p>
    <w:p w14:paraId="452F60CF" w14:textId="77777777" w:rsidR="00571F4B" w:rsidRDefault="00571F4B" w:rsidP="00EF4A4D">
      <w:pPr>
        <w:tabs>
          <w:tab w:val="right" w:pos="9072"/>
        </w:tabs>
        <w:spacing w:after="0" w:line="240" w:lineRule="auto"/>
        <w:rPr>
          <w:rFonts w:ascii="Times New Roman" w:hAnsi="Times New Roman" w:cs="Times New Roman"/>
          <w:sz w:val="24"/>
        </w:rPr>
      </w:pPr>
    </w:p>
    <w:p w14:paraId="00C70C25" w14:textId="4663F253" w:rsidR="006345C5" w:rsidRDefault="00A06C09" w:rsidP="00EF4A4D">
      <w:pPr>
        <w:tabs>
          <w:tab w:val="right" w:pos="9072"/>
        </w:tabs>
        <w:spacing w:after="0" w:line="240" w:lineRule="auto"/>
        <w:rPr>
          <w:rFonts w:ascii="Times New Roman" w:hAnsi="Times New Roman" w:cs="Times New Roman"/>
          <w:sz w:val="24"/>
        </w:rPr>
      </w:pPr>
      <w:r>
        <w:rPr>
          <w:rFonts w:ascii="Times New Roman" w:hAnsi="Times New Roman" w:cs="Times New Roman"/>
          <w:sz w:val="24"/>
        </w:rPr>
        <w:t>For example, whe</w:t>
      </w:r>
      <w:r w:rsidR="006345C5">
        <w:rPr>
          <w:rFonts w:ascii="Times New Roman" w:hAnsi="Times New Roman" w:cs="Times New Roman"/>
          <w:sz w:val="24"/>
        </w:rPr>
        <w:t>re</w:t>
      </w:r>
      <w:r>
        <w:rPr>
          <w:rFonts w:ascii="Times New Roman" w:hAnsi="Times New Roman" w:cs="Times New Roman"/>
          <w:sz w:val="24"/>
        </w:rPr>
        <w:t xml:space="preserve"> an importer or processor </w:t>
      </w:r>
      <w:r w:rsidR="006345C5">
        <w:rPr>
          <w:rFonts w:ascii="Times New Roman" w:hAnsi="Times New Roman" w:cs="Times New Roman"/>
          <w:sz w:val="24"/>
        </w:rPr>
        <w:t xml:space="preserve">identifies and assesses, by the use of the </w:t>
      </w:r>
      <w:r w:rsidR="00571F4B">
        <w:rPr>
          <w:rFonts w:ascii="Times New Roman" w:hAnsi="Times New Roman" w:cs="Times New Roman"/>
          <w:sz w:val="24"/>
        </w:rPr>
        <w:t xml:space="preserve">timber legality </w:t>
      </w:r>
      <w:r w:rsidR="006345C5">
        <w:rPr>
          <w:rFonts w:ascii="Times New Roman" w:hAnsi="Times New Roman" w:cs="Times New Roman"/>
          <w:sz w:val="24"/>
        </w:rPr>
        <w:t>framework and consideration of the information gathered</w:t>
      </w:r>
      <w:r w:rsidR="00571F4B">
        <w:rPr>
          <w:rFonts w:ascii="Times New Roman" w:hAnsi="Times New Roman" w:cs="Times New Roman"/>
          <w:sz w:val="24"/>
        </w:rPr>
        <w:t xml:space="preserve"> under section 10 of the principal Regulation</w:t>
      </w:r>
      <w:r w:rsidR="006345C5">
        <w:rPr>
          <w:rFonts w:ascii="Times New Roman" w:hAnsi="Times New Roman" w:cs="Times New Roman"/>
          <w:sz w:val="24"/>
        </w:rPr>
        <w:t xml:space="preserve">, </w:t>
      </w:r>
      <w:r>
        <w:rPr>
          <w:rFonts w:ascii="Times New Roman" w:hAnsi="Times New Roman" w:cs="Times New Roman"/>
          <w:sz w:val="24"/>
        </w:rPr>
        <w:t xml:space="preserve">that </w:t>
      </w:r>
      <w:r w:rsidR="006345C5">
        <w:rPr>
          <w:rFonts w:ascii="Times New Roman" w:hAnsi="Times New Roman" w:cs="Times New Roman"/>
          <w:sz w:val="24"/>
        </w:rPr>
        <w:t>a</w:t>
      </w:r>
      <w:r>
        <w:rPr>
          <w:rFonts w:ascii="Times New Roman" w:hAnsi="Times New Roman" w:cs="Times New Roman"/>
          <w:sz w:val="24"/>
        </w:rPr>
        <w:t xml:space="preserve"> </w:t>
      </w:r>
      <w:r w:rsidR="00571F4B">
        <w:rPr>
          <w:rFonts w:ascii="Times New Roman" w:hAnsi="Times New Roman" w:cs="Times New Roman"/>
          <w:sz w:val="24"/>
        </w:rPr>
        <w:t xml:space="preserve">regulated timber </w:t>
      </w:r>
      <w:r>
        <w:rPr>
          <w:rFonts w:ascii="Times New Roman" w:hAnsi="Times New Roman" w:cs="Times New Roman"/>
          <w:sz w:val="24"/>
        </w:rPr>
        <w:t xml:space="preserve">product </w:t>
      </w:r>
      <w:r w:rsidR="006345C5">
        <w:rPr>
          <w:rFonts w:ascii="Times New Roman" w:hAnsi="Times New Roman" w:cs="Times New Roman"/>
          <w:sz w:val="24"/>
        </w:rPr>
        <w:t xml:space="preserve">or raw log may </w:t>
      </w:r>
      <w:r w:rsidR="00571F4B">
        <w:rPr>
          <w:rFonts w:ascii="Times New Roman" w:hAnsi="Times New Roman" w:cs="Times New Roman"/>
          <w:sz w:val="24"/>
        </w:rPr>
        <w:t xml:space="preserve">be at </w:t>
      </w:r>
      <w:r w:rsidR="00571F4B">
        <w:rPr>
          <w:rFonts w:ascii="Times New Roman" w:hAnsi="Times New Roman" w:cs="Times New Roman"/>
          <w:sz w:val="24"/>
        </w:rPr>
        <w:lastRenderedPageBreak/>
        <w:t>risk</w:t>
      </w:r>
      <w:r>
        <w:rPr>
          <w:rFonts w:ascii="Times New Roman" w:hAnsi="Times New Roman" w:cs="Times New Roman"/>
          <w:sz w:val="24"/>
        </w:rPr>
        <w:t xml:space="preserve"> </w:t>
      </w:r>
      <w:r w:rsidR="00571F4B">
        <w:rPr>
          <w:rFonts w:ascii="Times New Roman" w:hAnsi="Times New Roman" w:cs="Times New Roman"/>
          <w:sz w:val="24"/>
        </w:rPr>
        <w:t>of being</w:t>
      </w:r>
      <w:r>
        <w:rPr>
          <w:rFonts w:ascii="Times New Roman" w:hAnsi="Times New Roman" w:cs="Times New Roman"/>
          <w:sz w:val="24"/>
        </w:rPr>
        <w:t xml:space="preserve"> illegally logged, the importer or processor cannot then </w:t>
      </w:r>
      <w:r w:rsidR="006345C5">
        <w:rPr>
          <w:rFonts w:ascii="Times New Roman" w:hAnsi="Times New Roman" w:cs="Times New Roman"/>
          <w:sz w:val="24"/>
        </w:rPr>
        <w:t>reach</w:t>
      </w:r>
      <w:r>
        <w:rPr>
          <w:rFonts w:ascii="Times New Roman" w:hAnsi="Times New Roman" w:cs="Times New Roman"/>
          <w:sz w:val="24"/>
        </w:rPr>
        <w:t xml:space="preserve"> an inconsistent finding that the </w:t>
      </w:r>
      <w:r w:rsidR="00571F4B">
        <w:rPr>
          <w:rFonts w:ascii="Times New Roman" w:hAnsi="Times New Roman" w:cs="Times New Roman"/>
          <w:sz w:val="24"/>
        </w:rPr>
        <w:t xml:space="preserve">regulated timber </w:t>
      </w:r>
      <w:r>
        <w:rPr>
          <w:rFonts w:ascii="Times New Roman" w:hAnsi="Times New Roman" w:cs="Times New Roman"/>
          <w:sz w:val="24"/>
        </w:rPr>
        <w:t xml:space="preserve">product </w:t>
      </w:r>
      <w:r w:rsidR="006345C5">
        <w:rPr>
          <w:rFonts w:ascii="Times New Roman" w:hAnsi="Times New Roman" w:cs="Times New Roman"/>
          <w:sz w:val="24"/>
        </w:rPr>
        <w:t xml:space="preserve">or raw log </w:t>
      </w:r>
      <w:r>
        <w:rPr>
          <w:rFonts w:ascii="Times New Roman" w:hAnsi="Times New Roman" w:cs="Times New Roman"/>
          <w:sz w:val="24"/>
        </w:rPr>
        <w:t xml:space="preserve">is at low risk of being illegally logged. The outcome </w:t>
      </w:r>
      <w:r w:rsidR="00B8434D">
        <w:rPr>
          <w:rFonts w:ascii="Times New Roman" w:hAnsi="Times New Roman" w:cs="Times New Roman"/>
          <w:sz w:val="24"/>
        </w:rPr>
        <w:t xml:space="preserve">reached </w:t>
      </w:r>
      <w:r w:rsidR="006345C5">
        <w:rPr>
          <w:rFonts w:ascii="Times New Roman" w:hAnsi="Times New Roman" w:cs="Times New Roman"/>
          <w:sz w:val="24"/>
        </w:rPr>
        <w:t xml:space="preserve">must </w:t>
      </w:r>
      <w:r w:rsidR="0054122E">
        <w:rPr>
          <w:rFonts w:ascii="Times New Roman" w:hAnsi="Times New Roman" w:cs="Times New Roman"/>
          <w:sz w:val="24"/>
        </w:rPr>
        <w:t xml:space="preserve">be </w:t>
      </w:r>
      <w:r w:rsidR="006345C5">
        <w:rPr>
          <w:rFonts w:ascii="Times New Roman" w:hAnsi="Times New Roman" w:cs="Times New Roman"/>
          <w:sz w:val="24"/>
        </w:rPr>
        <w:t>reasonabl</w:t>
      </w:r>
      <w:r w:rsidR="0054122E">
        <w:rPr>
          <w:rFonts w:ascii="Times New Roman" w:hAnsi="Times New Roman" w:cs="Times New Roman"/>
          <w:sz w:val="24"/>
        </w:rPr>
        <w:t xml:space="preserve">e and justifiable based on the written record of the identification and </w:t>
      </w:r>
      <w:r w:rsidR="006345C5">
        <w:rPr>
          <w:rFonts w:ascii="Times New Roman" w:hAnsi="Times New Roman" w:cs="Times New Roman"/>
          <w:sz w:val="24"/>
        </w:rPr>
        <w:t>assessment</w:t>
      </w:r>
      <w:r w:rsidR="0054122E">
        <w:rPr>
          <w:rFonts w:ascii="Times New Roman" w:hAnsi="Times New Roman" w:cs="Times New Roman"/>
          <w:sz w:val="24"/>
        </w:rPr>
        <w:t xml:space="preserve"> of risk undertaken</w:t>
      </w:r>
      <w:r w:rsidR="006345C5">
        <w:rPr>
          <w:rFonts w:ascii="Times New Roman" w:hAnsi="Times New Roman" w:cs="Times New Roman"/>
          <w:sz w:val="24"/>
        </w:rPr>
        <w:t>.</w:t>
      </w:r>
      <w:r w:rsidR="00B8434D">
        <w:rPr>
          <w:rFonts w:ascii="Times New Roman" w:hAnsi="Times New Roman" w:cs="Times New Roman"/>
          <w:sz w:val="24"/>
        </w:rPr>
        <w:t xml:space="preserve"> </w:t>
      </w:r>
    </w:p>
    <w:p w14:paraId="68A7B714" w14:textId="77777777" w:rsidR="006345C5" w:rsidRDefault="006345C5" w:rsidP="00EF4A4D">
      <w:pPr>
        <w:tabs>
          <w:tab w:val="right" w:pos="9072"/>
        </w:tabs>
        <w:spacing w:after="0" w:line="240" w:lineRule="auto"/>
        <w:rPr>
          <w:rFonts w:ascii="Times New Roman" w:hAnsi="Times New Roman" w:cs="Times New Roman"/>
          <w:sz w:val="24"/>
        </w:rPr>
      </w:pPr>
    </w:p>
    <w:p w14:paraId="12AE1D66" w14:textId="643526CC" w:rsidR="00EF4A4D" w:rsidRPr="002075E1" w:rsidRDefault="00EF4A4D" w:rsidP="00EF4A4D">
      <w:pPr>
        <w:tabs>
          <w:tab w:val="right" w:pos="9072"/>
        </w:tabs>
        <w:spacing w:after="0" w:line="240" w:lineRule="auto"/>
        <w:rPr>
          <w:rFonts w:ascii="Times New Roman" w:hAnsi="Times New Roman" w:cs="Times New Roman"/>
          <w:sz w:val="24"/>
          <w:szCs w:val="24"/>
        </w:rPr>
      </w:pPr>
      <w:r w:rsidRPr="002075E1">
        <w:rPr>
          <w:rFonts w:ascii="Times New Roman" w:hAnsi="Times New Roman" w:cs="Times New Roman"/>
          <w:sz w:val="24"/>
          <w:szCs w:val="24"/>
        </w:rPr>
        <w:t>This amendment establish</w:t>
      </w:r>
      <w:r>
        <w:rPr>
          <w:rFonts w:ascii="Times New Roman" w:hAnsi="Times New Roman" w:cs="Times New Roman"/>
          <w:sz w:val="24"/>
          <w:szCs w:val="24"/>
        </w:rPr>
        <w:t>es</w:t>
      </w:r>
      <w:r w:rsidRPr="002075E1">
        <w:rPr>
          <w:rFonts w:ascii="Times New Roman" w:hAnsi="Times New Roman" w:cs="Times New Roman"/>
          <w:sz w:val="24"/>
          <w:szCs w:val="24"/>
        </w:rPr>
        <w:t xml:space="preserve"> a ‘reasonableness’ standard consistent with the standard already </w:t>
      </w:r>
      <w:r w:rsidR="00EB2CE7">
        <w:rPr>
          <w:rFonts w:ascii="Times New Roman" w:hAnsi="Times New Roman" w:cs="Times New Roman"/>
          <w:sz w:val="24"/>
          <w:szCs w:val="24"/>
        </w:rPr>
        <w:t>provided for</w:t>
      </w:r>
      <w:r w:rsidRPr="002075E1">
        <w:rPr>
          <w:rFonts w:ascii="Times New Roman" w:hAnsi="Times New Roman" w:cs="Times New Roman"/>
          <w:sz w:val="24"/>
          <w:szCs w:val="24"/>
        </w:rPr>
        <w:t xml:space="preserve"> </w:t>
      </w:r>
      <w:r w:rsidR="00F92B8E">
        <w:rPr>
          <w:rFonts w:ascii="Times New Roman" w:hAnsi="Times New Roman" w:cs="Times New Roman"/>
          <w:sz w:val="24"/>
          <w:szCs w:val="24"/>
        </w:rPr>
        <w:t xml:space="preserve">in </w:t>
      </w:r>
      <w:r w:rsidRPr="002075E1">
        <w:rPr>
          <w:rFonts w:ascii="Times New Roman" w:hAnsi="Times New Roman" w:cs="Times New Roman"/>
          <w:sz w:val="24"/>
          <w:szCs w:val="24"/>
        </w:rPr>
        <w:t>the ‘prescribed risk factors’ and ‘country specific guideline</w:t>
      </w:r>
      <w:r>
        <w:rPr>
          <w:rFonts w:ascii="Times New Roman" w:hAnsi="Times New Roman" w:cs="Times New Roman"/>
          <w:sz w:val="24"/>
          <w:szCs w:val="24"/>
        </w:rPr>
        <w:t xml:space="preserve"> </w:t>
      </w:r>
      <w:r w:rsidR="00EB2CE7">
        <w:rPr>
          <w:rFonts w:ascii="Times New Roman" w:hAnsi="Times New Roman" w:cs="Times New Roman"/>
          <w:sz w:val="24"/>
          <w:szCs w:val="24"/>
        </w:rPr>
        <w:t>and</w:t>
      </w:r>
      <w:r>
        <w:rPr>
          <w:rFonts w:ascii="Times New Roman" w:hAnsi="Times New Roman" w:cs="Times New Roman"/>
          <w:sz w:val="24"/>
          <w:szCs w:val="24"/>
        </w:rPr>
        <w:t xml:space="preserve"> </w:t>
      </w:r>
      <w:r w:rsidRPr="002075E1">
        <w:rPr>
          <w:rFonts w:ascii="Times New Roman" w:hAnsi="Times New Roman" w:cs="Times New Roman"/>
          <w:sz w:val="24"/>
          <w:szCs w:val="24"/>
        </w:rPr>
        <w:t>state specific guideline’ risk assessment optional processes</w:t>
      </w:r>
      <w:r w:rsidR="00166FAD">
        <w:rPr>
          <w:rFonts w:ascii="Times New Roman" w:hAnsi="Times New Roman" w:cs="Times New Roman"/>
          <w:sz w:val="24"/>
          <w:szCs w:val="24"/>
        </w:rPr>
        <w:t xml:space="preserve"> prescribed in Division 1 of Part 3 of the principal Regulation</w:t>
      </w:r>
      <w:r w:rsidRPr="002075E1">
        <w:rPr>
          <w:rFonts w:ascii="Times New Roman" w:hAnsi="Times New Roman" w:cs="Times New Roman"/>
          <w:sz w:val="24"/>
          <w:szCs w:val="24"/>
        </w:rPr>
        <w:t xml:space="preserve">. </w:t>
      </w:r>
      <w:r w:rsidR="00D812B1">
        <w:rPr>
          <w:rFonts w:ascii="Times New Roman" w:hAnsi="Times New Roman" w:cs="Times New Roman"/>
          <w:sz w:val="24"/>
          <w:szCs w:val="24"/>
        </w:rPr>
        <w:t xml:space="preserve"> </w:t>
      </w:r>
    </w:p>
    <w:p w14:paraId="3CAA94F7"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7721A96F" w14:textId="77777777" w:rsidR="002B1DB3" w:rsidRPr="004B6118" w:rsidRDefault="002B1DB3" w:rsidP="005D1ABF">
      <w:pPr>
        <w:tabs>
          <w:tab w:val="left" w:pos="1701"/>
          <w:tab w:val="right" w:pos="9072"/>
        </w:tabs>
        <w:spacing w:after="0" w:line="240" w:lineRule="auto"/>
        <w:rPr>
          <w:rFonts w:ascii="Times New Roman" w:hAnsi="Times New Roman" w:cs="Times New Roman"/>
          <w:sz w:val="24"/>
          <w:szCs w:val="24"/>
        </w:rPr>
      </w:pPr>
      <w:r w:rsidRPr="004B6118">
        <w:rPr>
          <w:rFonts w:ascii="Times New Roman" w:hAnsi="Times New Roman" w:cs="Times New Roman"/>
          <w:b/>
          <w:sz w:val="24"/>
          <w:szCs w:val="24"/>
        </w:rPr>
        <w:t>Consultation</w:t>
      </w:r>
    </w:p>
    <w:p w14:paraId="616E0221" w14:textId="77777777" w:rsidR="002B1DB3" w:rsidRPr="00E76AB5"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5454A11A" w14:textId="1C4ACB02" w:rsidR="00EF4A4D" w:rsidRDefault="009517E9" w:rsidP="004B6118">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sz w:val="24"/>
        </w:rPr>
        <w:t xml:space="preserve">In February 2016, </w:t>
      </w:r>
      <w:r w:rsidR="00BD2C4D">
        <w:rPr>
          <w:rFonts w:ascii="Times New Roman" w:hAnsi="Times New Roman" w:cs="Times New Roman"/>
          <w:sz w:val="24"/>
        </w:rPr>
        <w:t xml:space="preserve">in response </w:t>
      </w:r>
      <w:r>
        <w:rPr>
          <w:rFonts w:ascii="Times New Roman" w:hAnsi="Times New Roman" w:cs="Times New Roman"/>
          <w:sz w:val="24"/>
        </w:rPr>
        <w:t>to the ‘Independent Review of the Impact of the Illegal Logging Regulations on Small Business’</w:t>
      </w:r>
      <w:r w:rsidR="00BD2C4D">
        <w:rPr>
          <w:rFonts w:ascii="Times New Roman" w:hAnsi="Times New Roman" w:cs="Times New Roman"/>
          <w:sz w:val="24"/>
        </w:rPr>
        <w:t xml:space="preserve">, the </w:t>
      </w:r>
      <w:r>
        <w:rPr>
          <w:rFonts w:ascii="Times New Roman" w:hAnsi="Times New Roman" w:cs="Times New Roman"/>
          <w:sz w:val="24"/>
        </w:rPr>
        <w:t xml:space="preserve">government agreed to the review recommendation to fast track the development of additional country specific guidelines </w:t>
      </w:r>
      <w:r w:rsidR="00BD2C4D">
        <w:rPr>
          <w:rFonts w:ascii="Times New Roman" w:hAnsi="Times New Roman" w:cs="Times New Roman"/>
          <w:sz w:val="24"/>
        </w:rPr>
        <w:t>to ensure</w:t>
      </w:r>
      <w:r>
        <w:rPr>
          <w:rFonts w:ascii="Times New Roman" w:hAnsi="Times New Roman" w:cs="Times New Roman"/>
          <w:sz w:val="24"/>
        </w:rPr>
        <w:t xml:space="preserve"> businesses </w:t>
      </w:r>
      <w:r w:rsidR="00BD2C4D">
        <w:rPr>
          <w:rFonts w:ascii="Times New Roman" w:hAnsi="Times New Roman" w:cs="Times New Roman"/>
          <w:sz w:val="24"/>
        </w:rPr>
        <w:t xml:space="preserve">had access to </w:t>
      </w:r>
      <w:r>
        <w:rPr>
          <w:rFonts w:ascii="Times New Roman" w:hAnsi="Times New Roman" w:cs="Times New Roman"/>
          <w:sz w:val="24"/>
        </w:rPr>
        <w:t xml:space="preserve">increased guidance </w:t>
      </w:r>
      <w:r w:rsidR="00BD2C4D">
        <w:rPr>
          <w:rFonts w:ascii="Times New Roman" w:hAnsi="Times New Roman" w:cs="Times New Roman"/>
          <w:sz w:val="24"/>
        </w:rPr>
        <w:t xml:space="preserve">on the </w:t>
      </w:r>
      <w:r w:rsidR="0066308B">
        <w:rPr>
          <w:rFonts w:ascii="Times New Roman" w:hAnsi="Times New Roman" w:cs="Times New Roman"/>
          <w:sz w:val="24"/>
        </w:rPr>
        <w:t xml:space="preserve">information </w:t>
      </w:r>
      <w:r w:rsidR="00BD2C4D">
        <w:rPr>
          <w:rFonts w:ascii="Times New Roman" w:hAnsi="Times New Roman" w:cs="Times New Roman"/>
          <w:sz w:val="24"/>
        </w:rPr>
        <w:t xml:space="preserve">they can gather </w:t>
      </w:r>
      <w:r w:rsidR="0066308B">
        <w:rPr>
          <w:rFonts w:ascii="Times New Roman" w:hAnsi="Times New Roman" w:cs="Times New Roman"/>
          <w:sz w:val="24"/>
        </w:rPr>
        <w:t xml:space="preserve">from suppliers </w:t>
      </w:r>
      <w:r w:rsidR="00C1311B">
        <w:rPr>
          <w:rFonts w:ascii="Times New Roman" w:hAnsi="Times New Roman" w:cs="Times New Roman"/>
          <w:sz w:val="24"/>
        </w:rPr>
        <w:t>in</w:t>
      </w:r>
      <w:r w:rsidR="0066308B">
        <w:rPr>
          <w:rFonts w:ascii="Times New Roman" w:hAnsi="Times New Roman" w:cs="Times New Roman"/>
          <w:sz w:val="24"/>
        </w:rPr>
        <w:t xml:space="preserve"> key trading partner countries. </w:t>
      </w:r>
      <w:r w:rsidR="00EF4A4D">
        <w:rPr>
          <w:rFonts w:ascii="Times New Roman" w:hAnsi="Times New Roman" w:cs="Times New Roman"/>
          <w:sz w:val="24"/>
        </w:rPr>
        <w:t xml:space="preserve">The governments of Malaysia, Indonesia, and the Republic of Korea were consulted during the development </w:t>
      </w:r>
      <w:r w:rsidR="00962731">
        <w:rPr>
          <w:rFonts w:ascii="Times New Roman" w:hAnsi="Times New Roman" w:cs="Times New Roman"/>
          <w:sz w:val="24"/>
        </w:rPr>
        <w:t xml:space="preserve">or revision </w:t>
      </w:r>
      <w:r w:rsidR="00EF4A4D">
        <w:rPr>
          <w:rFonts w:ascii="Times New Roman" w:hAnsi="Times New Roman" w:cs="Times New Roman"/>
          <w:sz w:val="24"/>
        </w:rPr>
        <w:t>of the individual country specific guidelines</w:t>
      </w:r>
      <w:r w:rsidR="007610EB">
        <w:rPr>
          <w:rFonts w:ascii="Times New Roman" w:hAnsi="Times New Roman" w:cs="Times New Roman"/>
          <w:sz w:val="24"/>
        </w:rPr>
        <w:t xml:space="preserve"> and co-endorsed the final guidelines</w:t>
      </w:r>
      <w:r w:rsidR="00EF4A4D">
        <w:rPr>
          <w:rFonts w:ascii="Times New Roman" w:hAnsi="Times New Roman" w:cs="Times New Roman"/>
          <w:sz w:val="24"/>
        </w:rPr>
        <w:t>.</w:t>
      </w:r>
      <w:r>
        <w:rPr>
          <w:rFonts w:ascii="Times New Roman" w:hAnsi="Times New Roman" w:cs="Times New Roman"/>
          <w:sz w:val="24"/>
        </w:rPr>
        <w:t xml:space="preserve"> </w:t>
      </w:r>
    </w:p>
    <w:p w14:paraId="4DB5389D" w14:textId="77777777" w:rsidR="00EF4A4D" w:rsidRDefault="00EF4A4D" w:rsidP="004B6118">
      <w:pPr>
        <w:tabs>
          <w:tab w:val="left" w:pos="1701"/>
          <w:tab w:val="right" w:pos="9072"/>
        </w:tabs>
        <w:spacing w:after="0" w:line="240" w:lineRule="auto"/>
        <w:rPr>
          <w:rFonts w:ascii="Times New Roman" w:hAnsi="Times New Roman" w:cs="Times New Roman"/>
          <w:color w:val="000000" w:themeColor="text1"/>
          <w:sz w:val="24"/>
          <w:szCs w:val="24"/>
        </w:rPr>
      </w:pPr>
    </w:p>
    <w:p w14:paraId="3C49B487" w14:textId="5565D2A8" w:rsidR="004B6118" w:rsidRPr="004C3BE6" w:rsidRDefault="004B6118" w:rsidP="004B6118">
      <w:pPr>
        <w:tabs>
          <w:tab w:val="left" w:pos="1701"/>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color w:val="000000" w:themeColor="text1"/>
          <w:sz w:val="24"/>
          <w:szCs w:val="24"/>
        </w:rPr>
        <w:t>The Office of Best Practice Regulation has been consulted and ha</w:t>
      </w:r>
      <w:r w:rsidR="00EA5B7C">
        <w:rPr>
          <w:rFonts w:ascii="Times New Roman" w:hAnsi="Times New Roman" w:cs="Times New Roman"/>
          <w:color w:val="000000" w:themeColor="text1"/>
          <w:sz w:val="24"/>
          <w:szCs w:val="24"/>
        </w:rPr>
        <w:t>s</w:t>
      </w:r>
      <w:r w:rsidRPr="004C3BE6">
        <w:rPr>
          <w:rFonts w:ascii="Times New Roman" w:hAnsi="Times New Roman" w:cs="Times New Roman"/>
          <w:color w:val="000000" w:themeColor="text1"/>
          <w:sz w:val="24"/>
          <w:szCs w:val="24"/>
        </w:rPr>
        <w:t xml:space="preserve"> advised that the amendments are machinery in nature and a regulation impact statement is not required (OBPR ID Number:</w:t>
      </w:r>
      <w:r w:rsidR="00EF4A4D">
        <w:rPr>
          <w:rFonts w:ascii="Times New Roman" w:hAnsi="Times New Roman" w:cs="Times New Roman"/>
          <w:color w:val="000000" w:themeColor="text1"/>
          <w:sz w:val="24"/>
          <w:szCs w:val="24"/>
        </w:rPr>
        <w:t xml:space="preserve"> 23960</w:t>
      </w:r>
      <w:r w:rsidRPr="004C3BE6">
        <w:rPr>
          <w:rFonts w:ascii="Times New Roman" w:hAnsi="Times New Roman" w:cs="Times New Roman"/>
          <w:color w:val="000000" w:themeColor="text1"/>
          <w:sz w:val="24"/>
          <w:szCs w:val="24"/>
        </w:rPr>
        <w:t>).</w:t>
      </w:r>
    </w:p>
    <w:p w14:paraId="729F828C" w14:textId="77777777" w:rsidR="004B6118" w:rsidRPr="00E76AB5" w:rsidRDefault="004B6118" w:rsidP="005D1ABF">
      <w:pPr>
        <w:tabs>
          <w:tab w:val="left" w:pos="1701"/>
          <w:tab w:val="right" w:pos="9072"/>
        </w:tabs>
        <w:spacing w:after="0" w:line="240" w:lineRule="auto"/>
        <w:rPr>
          <w:rFonts w:ascii="Times New Roman" w:hAnsi="Times New Roman" w:cs="Times New Roman"/>
          <w:color w:val="FF0000"/>
          <w:sz w:val="24"/>
          <w:szCs w:val="24"/>
        </w:rPr>
      </w:pPr>
    </w:p>
    <w:p w14:paraId="6C601717" w14:textId="77777777" w:rsidR="00E76AB5" w:rsidRPr="009D3142" w:rsidRDefault="00E76AB5" w:rsidP="00E76AB5">
      <w:pPr>
        <w:tabs>
          <w:tab w:val="left" w:pos="1701"/>
          <w:tab w:val="right" w:pos="9072"/>
        </w:tabs>
        <w:spacing w:after="0" w:line="240" w:lineRule="auto"/>
        <w:rPr>
          <w:rFonts w:ascii="Times New Roman" w:hAnsi="Times New Roman" w:cs="Times New Roman"/>
          <w:b/>
          <w:sz w:val="24"/>
        </w:rPr>
      </w:pPr>
      <w:r w:rsidRPr="009D3142">
        <w:rPr>
          <w:rFonts w:ascii="Times New Roman" w:hAnsi="Times New Roman" w:cs="Times New Roman"/>
          <w:b/>
          <w:sz w:val="24"/>
        </w:rPr>
        <w:t>Details/</w:t>
      </w:r>
      <w:r w:rsidR="009D3142" w:rsidRPr="009D3142">
        <w:rPr>
          <w:rFonts w:ascii="Times New Roman" w:hAnsi="Times New Roman" w:cs="Times New Roman"/>
          <w:b/>
          <w:sz w:val="24"/>
        </w:rPr>
        <w:t xml:space="preserve"> </w:t>
      </w:r>
      <w:r w:rsidRPr="009D3142">
        <w:rPr>
          <w:rFonts w:ascii="Times New Roman" w:hAnsi="Times New Roman" w:cs="Times New Roman"/>
          <w:b/>
          <w:sz w:val="24"/>
        </w:rPr>
        <w:t>Operation</w:t>
      </w:r>
    </w:p>
    <w:p w14:paraId="3D62AC4A" w14:textId="77777777" w:rsidR="00E76AB5" w:rsidRPr="0034135E" w:rsidRDefault="00E76AB5" w:rsidP="00E76AB5">
      <w:pPr>
        <w:tabs>
          <w:tab w:val="left" w:pos="1701"/>
          <w:tab w:val="right" w:pos="9072"/>
        </w:tabs>
        <w:spacing w:after="0" w:line="240" w:lineRule="auto"/>
        <w:rPr>
          <w:rFonts w:ascii="Times New Roman" w:hAnsi="Times New Roman" w:cs="Times New Roman"/>
          <w:color w:val="FF0000"/>
          <w:sz w:val="24"/>
        </w:rPr>
      </w:pPr>
    </w:p>
    <w:p w14:paraId="0D78721F" w14:textId="64959E36"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Details of the </w:t>
      </w:r>
      <w:r w:rsidR="001575C3">
        <w:rPr>
          <w:rFonts w:ascii="Times New Roman" w:hAnsi="Times New Roman" w:cs="Times New Roman"/>
          <w:sz w:val="24"/>
        </w:rPr>
        <w:t>A</w:t>
      </w:r>
      <w:r w:rsidR="00EA5B7C">
        <w:rPr>
          <w:rFonts w:ascii="Times New Roman" w:hAnsi="Times New Roman" w:cs="Times New Roman"/>
          <w:sz w:val="24"/>
        </w:rPr>
        <w:t xml:space="preserve">mendment </w:t>
      </w:r>
      <w:r w:rsidR="009D3142">
        <w:rPr>
          <w:rFonts w:ascii="Times New Roman" w:hAnsi="Times New Roman" w:cs="Times New Roman"/>
          <w:sz w:val="24"/>
        </w:rPr>
        <w:t>Regulation</w:t>
      </w:r>
      <w:r w:rsidR="00EA5B7C">
        <w:rPr>
          <w:rFonts w:ascii="Times New Roman" w:hAnsi="Times New Roman" w:cs="Times New Roman"/>
          <w:sz w:val="24"/>
        </w:rPr>
        <w:t>s</w:t>
      </w:r>
      <w:r w:rsidR="009D3142">
        <w:rPr>
          <w:rFonts w:ascii="Times New Roman" w:hAnsi="Times New Roman" w:cs="Times New Roman"/>
          <w:sz w:val="24"/>
        </w:rPr>
        <w:t xml:space="preserve"> </w:t>
      </w:r>
      <w:r>
        <w:rPr>
          <w:rFonts w:ascii="Times New Roman" w:hAnsi="Times New Roman" w:cs="Times New Roman"/>
          <w:sz w:val="24"/>
        </w:rPr>
        <w:t xml:space="preserve">are set out in the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107B4742" w14:textId="0287850B"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1575C3">
        <w:rPr>
          <w:rFonts w:ascii="Times New Roman" w:hAnsi="Times New Roman" w:cs="Times New Roman"/>
          <w:sz w:val="24"/>
          <w:szCs w:val="24"/>
        </w:rPr>
        <w:t>A</w:t>
      </w:r>
      <w:r w:rsidR="00EA5B7C">
        <w:rPr>
          <w:rFonts w:ascii="Times New Roman" w:hAnsi="Times New Roman" w:cs="Times New Roman"/>
          <w:sz w:val="24"/>
          <w:szCs w:val="24"/>
        </w:rPr>
        <w:t xml:space="preserve">mendment </w:t>
      </w:r>
      <w:r w:rsidR="004B6118" w:rsidRPr="004B6118">
        <w:rPr>
          <w:rFonts w:ascii="Times New Roman" w:hAnsi="Times New Roman" w:cs="Times New Roman"/>
          <w:sz w:val="24"/>
          <w:szCs w:val="24"/>
        </w:rPr>
        <w:t>Regulation</w:t>
      </w:r>
      <w:r w:rsidR="00EA5B7C">
        <w:rPr>
          <w:rFonts w:ascii="Times New Roman" w:hAnsi="Times New Roman" w:cs="Times New Roman"/>
          <w:sz w:val="24"/>
          <w:szCs w:val="24"/>
        </w:rPr>
        <w:t>s</w:t>
      </w:r>
      <w:r w:rsidR="003A3A60" w:rsidRPr="004B6118">
        <w:rPr>
          <w:rFonts w:ascii="Times New Roman" w:hAnsi="Times New Roman" w:cs="Times New Roman"/>
          <w:sz w:val="24"/>
          <w:szCs w:val="24"/>
        </w:rPr>
        <w:t xml:space="preserve"> </w:t>
      </w:r>
      <w:r w:rsidR="00EA5B7C">
        <w:rPr>
          <w:rFonts w:ascii="Times New Roman" w:hAnsi="Times New Roman" w:cs="Times New Roman"/>
          <w:sz w:val="24"/>
          <w:szCs w:val="24"/>
        </w:rPr>
        <w:t>are</w:t>
      </w:r>
      <w:r w:rsidR="003A3A60" w:rsidRPr="004B6118">
        <w:rPr>
          <w:rFonts w:ascii="Times New Roman" w:hAnsi="Times New Roman" w:cs="Times New Roman"/>
          <w:sz w:val="24"/>
          <w:szCs w:val="24"/>
        </w:rPr>
        <w:t xml:space="preserve"> compatible</w:t>
      </w:r>
      <w:r w:rsidRPr="004B6118">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646971D0"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3C40134D" w14:textId="2407AC32"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1575C3">
        <w:rPr>
          <w:rFonts w:ascii="Times New Roman" w:hAnsi="Times New Roman" w:cs="Times New Roman"/>
          <w:sz w:val="24"/>
          <w:szCs w:val="24"/>
        </w:rPr>
        <w:t>A</w:t>
      </w:r>
      <w:r w:rsidR="00EA5B7C">
        <w:rPr>
          <w:rFonts w:ascii="Times New Roman" w:hAnsi="Times New Roman" w:cs="Times New Roman"/>
          <w:sz w:val="24"/>
          <w:szCs w:val="24"/>
        </w:rPr>
        <w:t xml:space="preserve">mendment </w:t>
      </w:r>
      <w:r w:rsidRPr="004B6118">
        <w:rPr>
          <w:rFonts w:ascii="Times New Roman" w:hAnsi="Times New Roman" w:cs="Times New Roman"/>
          <w:sz w:val="24"/>
          <w:szCs w:val="24"/>
        </w:rPr>
        <w:t>Regulation</w:t>
      </w:r>
      <w:r w:rsidR="00EA5B7C">
        <w:rPr>
          <w:rFonts w:ascii="Times New Roman" w:hAnsi="Times New Roman" w:cs="Times New Roman"/>
          <w:sz w:val="24"/>
          <w:szCs w:val="24"/>
        </w:rPr>
        <w:t>s</w:t>
      </w:r>
      <w:r w:rsidRPr="004B6118">
        <w:rPr>
          <w:rFonts w:ascii="Times New Roman" w:hAnsi="Times New Roman" w:cs="Times New Roman"/>
          <w:sz w:val="24"/>
          <w:szCs w:val="24"/>
        </w:rPr>
        <w:t xml:space="preserve"> </w:t>
      </w:r>
      <w:r w:rsidR="00EA5B7C">
        <w:rPr>
          <w:rFonts w:ascii="Times New Roman" w:hAnsi="Times New Roman" w:cs="Times New Roman"/>
          <w:sz w:val="24"/>
          <w:szCs w:val="24"/>
        </w:rPr>
        <w:t>are</w:t>
      </w:r>
      <w:r w:rsidR="00D45E13" w:rsidRPr="00E76AB5">
        <w:rPr>
          <w:rFonts w:ascii="Times New Roman" w:hAnsi="Times New Roman" w:cs="Times New Roman"/>
          <w:sz w:val="24"/>
          <w:szCs w:val="24"/>
        </w:rPr>
        <w:t xml:space="preserve">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0131498B" w14:textId="77777777" w:rsidR="00E76AB5" w:rsidRDefault="00E76AB5" w:rsidP="00E76AB5">
      <w:pPr>
        <w:pStyle w:val="Normal-em"/>
        <w:spacing w:after="0" w:line="240" w:lineRule="auto"/>
        <w:rPr>
          <w:b/>
          <w:caps/>
          <w:szCs w:val="24"/>
          <w:u w:val="single"/>
        </w:rPr>
      </w:pPr>
      <w:r>
        <w:rPr>
          <w:b/>
          <w:caps/>
          <w:szCs w:val="24"/>
          <w:u w:val="single"/>
        </w:rPr>
        <w:br w:type="page"/>
      </w:r>
    </w:p>
    <w:p w14:paraId="5ADF016E"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4B6118">
        <w:rPr>
          <w:b/>
          <w:caps/>
          <w:szCs w:val="24"/>
          <w:u w:val="single"/>
        </w:rPr>
        <w:t xml:space="preserve"> A</w:t>
      </w:r>
    </w:p>
    <w:p w14:paraId="3846D20C" w14:textId="77777777" w:rsidR="002B1DB3" w:rsidRPr="005D1ABF" w:rsidRDefault="002B1DB3" w:rsidP="005D1ABF">
      <w:pPr>
        <w:pStyle w:val="Normal-em"/>
        <w:spacing w:after="0" w:line="240" w:lineRule="auto"/>
        <w:rPr>
          <w:color w:val="auto"/>
          <w:szCs w:val="24"/>
        </w:rPr>
      </w:pPr>
    </w:p>
    <w:p w14:paraId="0FF4E9AF" w14:textId="77777777"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 xml:space="preserve">Details of the </w:t>
      </w:r>
      <w:r w:rsidR="004B6118" w:rsidRPr="004C3BE6">
        <w:rPr>
          <w:b/>
          <w:i/>
          <w:color w:val="000000" w:themeColor="text1"/>
          <w:szCs w:val="24"/>
          <w:u w:val="single"/>
        </w:rPr>
        <w:t>Illegal Logging Prohibition</w:t>
      </w:r>
      <w:r w:rsidR="004B6118" w:rsidRPr="004C3BE6">
        <w:rPr>
          <w:b/>
          <w:i/>
          <w:iCs/>
          <w:color w:val="000000" w:themeColor="text1"/>
          <w:szCs w:val="24"/>
          <w:u w:val="single"/>
        </w:rPr>
        <w:t xml:space="preserve"> </w:t>
      </w:r>
      <w:r w:rsidR="004B6118">
        <w:rPr>
          <w:b/>
          <w:i/>
          <w:iCs/>
          <w:color w:val="000000" w:themeColor="text1"/>
          <w:szCs w:val="24"/>
          <w:u w:val="single"/>
        </w:rPr>
        <w:t xml:space="preserve">Amendment (Due Diligence Improvements) </w:t>
      </w:r>
      <w:r w:rsidR="004B6118" w:rsidRPr="004C3BE6">
        <w:rPr>
          <w:b/>
          <w:i/>
          <w:iCs/>
          <w:color w:val="000000" w:themeColor="text1"/>
          <w:szCs w:val="24"/>
          <w:u w:val="single"/>
        </w:rPr>
        <w:t>Regulation</w:t>
      </w:r>
      <w:r w:rsidR="004B6118">
        <w:rPr>
          <w:b/>
          <w:i/>
          <w:iCs/>
          <w:color w:val="000000" w:themeColor="text1"/>
          <w:szCs w:val="24"/>
          <w:u w:val="single"/>
        </w:rPr>
        <w:t>s</w:t>
      </w:r>
      <w:r w:rsidR="004B6118" w:rsidRPr="004C3BE6">
        <w:rPr>
          <w:b/>
          <w:i/>
          <w:iCs/>
          <w:color w:val="000000" w:themeColor="text1"/>
          <w:szCs w:val="24"/>
          <w:u w:val="single"/>
        </w:rPr>
        <w:t> 201</w:t>
      </w:r>
      <w:r w:rsidR="004B6118">
        <w:rPr>
          <w:b/>
          <w:i/>
          <w:iCs/>
          <w:color w:val="000000" w:themeColor="text1"/>
          <w:szCs w:val="24"/>
          <w:u w:val="single"/>
        </w:rPr>
        <w:t>8</w:t>
      </w:r>
    </w:p>
    <w:p w14:paraId="41B59173" w14:textId="77777777" w:rsidR="00DF3F6E" w:rsidRPr="005D1ABF" w:rsidRDefault="00DF3F6E" w:rsidP="005D1ABF">
      <w:pPr>
        <w:pStyle w:val="Normal-em"/>
        <w:spacing w:after="0" w:line="240" w:lineRule="auto"/>
        <w:rPr>
          <w:color w:val="auto"/>
          <w:szCs w:val="24"/>
        </w:rPr>
      </w:pPr>
    </w:p>
    <w:p w14:paraId="6D99CF6D"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40B782F5" w14:textId="77777777" w:rsidR="002B1DB3" w:rsidRPr="005D1ABF" w:rsidRDefault="002B1DB3" w:rsidP="005D1ABF">
      <w:pPr>
        <w:pStyle w:val="Normal-em"/>
        <w:spacing w:after="0" w:line="240" w:lineRule="auto"/>
        <w:ind w:left="1440" w:hanging="1440"/>
        <w:rPr>
          <w:b/>
          <w:color w:val="auto"/>
          <w:szCs w:val="24"/>
        </w:rPr>
      </w:pPr>
    </w:p>
    <w:p w14:paraId="5B27BC4E" w14:textId="5D398C03"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1575C3">
        <w:rPr>
          <w:color w:val="auto"/>
          <w:szCs w:val="24"/>
        </w:rPr>
        <w:t>A</w:t>
      </w:r>
      <w:r w:rsidR="00D94971">
        <w:rPr>
          <w:color w:val="auto"/>
          <w:szCs w:val="24"/>
        </w:rPr>
        <w:t xml:space="preserve">mendment </w:t>
      </w:r>
      <w:r w:rsidR="001F2169" w:rsidRPr="001F2169">
        <w:rPr>
          <w:color w:val="auto"/>
          <w:szCs w:val="24"/>
        </w:rPr>
        <w:t>Regulation</w:t>
      </w:r>
      <w:r w:rsidR="00D94971">
        <w:rPr>
          <w:color w:val="auto"/>
          <w:szCs w:val="24"/>
        </w:rPr>
        <w:t>s</w:t>
      </w:r>
      <w:r w:rsidR="00DF3F6E" w:rsidRPr="005D1ABF">
        <w:rPr>
          <w:color w:val="auto"/>
          <w:szCs w:val="24"/>
        </w:rPr>
        <w:t xml:space="preserve"> is the </w:t>
      </w:r>
      <w:r w:rsidR="001F2169" w:rsidRPr="00154A62">
        <w:rPr>
          <w:i/>
          <w:szCs w:val="24"/>
        </w:rPr>
        <w:t xml:space="preserve">Illegal Logging Prohibition </w:t>
      </w:r>
      <w:r w:rsidR="001F2169">
        <w:rPr>
          <w:i/>
          <w:szCs w:val="24"/>
        </w:rPr>
        <w:t xml:space="preserve">Amendment (Due Diligence Improvements) </w:t>
      </w:r>
      <w:r w:rsidR="001F2169" w:rsidRPr="00154A62">
        <w:rPr>
          <w:i/>
          <w:szCs w:val="24"/>
        </w:rPr>
        <w:t>Regulation</w:t>
      </w:r>
      <w:r w:rsidR="001F2169">
        <w:rPr>
          <w:i/>
          <w:szCs w:val="24"/>
        </w:rPr>
        <w:t>s 2018</w:t>
      </w:r>
      <w:r w:rsidRPr="005D1ABF">
        <w:rPr>
          <w:color w:val="auto"/>
          <w:szCs w:val="24"/>
        </w:rPr>
        <w:t>.</w:t>
      </w:r>
    </w:p>
    <w:p w14:paraId="1E6FEB3B" w14:textId="77777777" w:rsidR="002B1DB3" w:rsidRPr="005D1ABF" w:rsidRDefault="002B1DB3" w:rsidP="005D1ABF">
      <w:pPr>
        <w:pStyle w:val="Normal-em"/>
        <w:spacing w:after="0" w:line="240" w:lineRule="auto"/>
        <w:rPr>
          <w:color w:val="auto"/>
          <w:szCs w:val="24"/>
        </w:rPr>
      </w:pPr>
    </w:p>
    <w:p w14:paraId="46A009AE"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04A02A7C" w14:textId="77777777" w:rsidR="002B1DB3" w:rsidRPr="005D1ABF" w:rsidRDefault="002B1DB3" w:rsidP="005D1ABF">
      <w:pPr>
        <w:pStyle w:val="Normal-em"/>
        <w:spacing w:after="0" w:line="240" w:lineRule="auto"/>
        <w:rPr>
          <w:color w:val="auto"/>
          <w:szCs w:val="24"/>
        </w:rPr>
      </w:pPr>
    </w:p>
    <w:p w14:paraId="0F8A9B76" w14:textId="0B9E5B36" w:rsidR="002B1DB3" w:rsidRDefault="00DF3F6E" w:rsidP="005D1ABF">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w:t>
      </w:r>
      <w:r w:rsidR="002B1DB3" w:rsidRPr="001F2169">
        <w:rPr>
          <w:color w:val="auto"/>
          <w:szCs w:val="24"/>
        </w:rPr>
        <w:t xml:space="preserve">provides </w:t>
      </w:r>
      <w:r w:rsidRPr="001F2169">
        <w:rPr>
          <w:color w:val="auto"/>
          <w:szCs w:val="24"/>
        </w:rPr>
        <w:t>for the</w:t>
      </w:r>
      <w:r w:rsidR="004F1D7D">
        <w:rPr>
          <w:color w:val="auto"/>
          <w:szCs w:val="24"/>
        </w:rPr>
        <w:t xml:space="preserve"> </w:t>
      </w:r>
      <w:r w:rsidR="001575C3">
        <w:rPr>
          <w:color w:val="auto"/>
          <w:szCs w:val="24"/>
        </w:rPr>
        <w:t>A</w:t>
      </w:r>
      <w:r w:rsidR="004F1D7D">
        <w:rPr>
          <w:color w:val="auto"/>
          <w:szCs w:val="24"/>
        </w:rPr>
        <w:t>mendment</w:t>
      </w:r>
      <w:r w:rsidRPr="001F2169">
        <w:rPr>
          <w:color w:val="auto"/>
          <w:szCs w:val="24"/>
        </w:rPr>
        <w:t xml:space="preserve"> </w:t>
      </w:r>
      <w:r w:rsidR="001F2169" w:rsidRPr="001F2169">
        <w:rPr>
          <w:color w:val="auto"/>
          <w:szCs w:val="24"/>
        </w:rPr>
        <w:t>Regulation</w:t>
      </w:r>
      <w:r w:rsidR="00D94971">
        <w:rPr>
          <w:color w:val="auto"/>
          <w:szCs w:val="24"/>
        </w:rPr>
        <w:t>s</w:t>
      </w:r>
      <w:r w:rsidRPr="001F2169">
        <w:rPr>
          <w:color w:val="auto"/>
          <w:szCs w:val="24"/>
        </w:rPr>
        <w:t xml:space="preserve"> to commence </w:t>
      </w:r>
      <w:r w:rsidRPr="005D1ABF">
        <w:rPr>
          <w:color w:val="auto"/>
          <w:szCs w:val="24"/>
        </w:rPr>
        <w:t xml:space="preserve">on </w:t>
      </w:r>
      <w:r w:rsidR="001F2169" w:rsidRPr="00075D23">
        <w:rPr>
          <w:color w:val="auto"/>
          <w:szCs w:val="24"/>
        </w:rPr>
        <w:t>the day after the Regulation is registered</w:t>
      </w:r>
      <w:r w:rsidR="001F2169">
        <w:rPr>
          <w:color w:val="auto"/>
          <w:szCs w:val="24"/>
        </w:rPr>
        <w:t>.</w:t>
      </w:r>
    </w:p>
    <w:p w14:paraId="537AAB1F" w14:textId="77777777" w:rsidR="001F2169" w:rsidRPr="005D1ABF" w:rsidRDefault="001F2169" w:rsidP="005D1ABF">
      <w:pPr>
        <w:pStyle w:val="Normal-em"/>
        <w:spacing w:after="0" w:line="240" w:lineRule="auto"/>
        <w:rPr>
          <w:color w:val="auto"/>
          <w:szCs w:val="24"/>
        </w:rPr>
      </w:pPr>
    </w:p>
    <w:p w14:paraId="2403B960"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3DEB6E0B" w14:textId="77777777" w:rsidR="002B1DB3" w:rsidRPr="005D1ABF" w:rsidRDefault="002B1DB3" w:rsidP="005D1ABF">
      <w:pPr>
        <w:pStyle w:val="Normal-em"/>
        <w:spacing w:after="0" w:line="240" w:lineRule="auto"/>
        <w:rPr>
          <w:color w:val="auto"/>
          <w:szCs w:val="24"/>
        </w:rPr>
      </w:pPr>
    </w:p>
    <w:p w14:paraId="0BE9717E" w14:textId="3E4F555E" w:rsidR="001F2169" w:rsidRPr="00836D6E" w:rsidRDefault="00DF3F6E" w:rsidP="001F2169">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1575C3">
        <w:rPr>
          <w:color w:val="auto"/>
          <w:szCs w:val="24"/>
        </w:rPr>
        <w:t>A</w:t>
      </w:r>
      <w:r w:rsidR="004F1D7D">
        <w:rPr>
          <w:color w:val="auto"/>
          <w:szCs w:val="24"/>
        </w:rPr>
        <w:t xml:space="preserve">mendment </w:t>
      </w:r>
      <w:r w:rsidR="001F2169" w:rsidRPr="00075D23">
        <w:rPr>
          <w:color w:val="auto"/>
          <w:szCs w:val="24"/>
        </w:rPr>
        <w:t>Regulation</w:t>
      </w:r>
      <w:r w:rsidR="004F1D7D">
        <w:rPr>
          <w:color w:val="auto"/>
          <w:szCs w:val="24"/>
        </w:rPr>
        <w:t>s</w:t>
      </w:r>
      <w:r w:rsidR="001F2169">
        <w:rPr>
          <w:color w:val="FF0000"/>
          <w:szCs w:val="24"/>
        </w:rPr>
        <w:t xml:space="preserve"> </w:t>
      </w:r>
      <w:r w:rsidR="004F1D7D">
        <w:rPr>
          <w:color w:val="auto"/>
          <w:szCs w:val="24"/>
        </w:rPr>
        <w:t>are</w:t>
      </w:r>
      <w:r w:rsidR="001F2169">
        <w:rPr>
          <w:color w:val="auto"/>
          <w:szCs w:val="24"/>
        </w:rPr>
        <w:t xml:space="preserve"> made under the </w:t>
      </w:r>
      <w:r w:rsidR="001F2169" w:rsidRPr="00154A62">
        <w:rPr>
          <w:i/>
          <w:szCs w:val="24"/>
        </w:rPr>
        <w:t>Illegal Logging Prohibition Act 2012</w:t>
      </w:r>
      <w:r w:rsidR="001F2169">
        <w:rPr>
          <w:color w:val="auto"/>
          <w:szCs w:val="24"/>
        </w:rPr>
        <w:t>.</w:t>
      </w:r>
    </w:p>
    <w:p w14:paraId="15B3ABEB" w14:textId="77777777" w:rsidR="002B1DB3" w:rsidRPr="005D1ABF" w:rsidRDefault="002B1DB3" w:rsidP="005D1ABF">
      <w:pPr>
        <w:pStyle w:val="Normal-em"/>
        <w:spacing w:after="0" w:line="240" w:lineRule="auto"/>
        <w:rPr>
          <w:iCs/>
          <w:color w:val="auto"/>
          <w:szCs w:val="24"/>
        </w:rPr>
      </w:pPr>
    </w:p>
    <w:p w14:paraId="28D7123E"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5DE38D05" w14:textId="77777777" w:rsidR="00DF3F6E" w:rsidRPr="005D1ABF" w:rsidRDefault="00DF3F6E" w:rsidP="005D1ABF">
      <w:pPr>
        <w:pStyle w:val="Normal-em"/>
        <w:spacing w:after="0" w:line="240" w:lineRule="auto"/>
        <w:rPr>
          <w:color w:val="auto"/>
          <w:szCs w:val="24"/>
        </w:rPr>
      </w:pPr>
    </w:p>
    <w:p w14:paraId="7DA5D101" w14:textId="450C0C11" w:rsidR="00DF3F6E" w:rsidRPr="001F2169" w:rsidRDefault="00DF3F6E" w:rsidP="005D1ABF">
      <w:pPr>
        <w:pStyle w:val="Normal-em"/>
        <w:spacing w:after="0" w:line="240" w:lineRule="auto"/>
        <w:rPr>
          <w:color w:val="auto"/>
          <w:szCs w:val="24"/>
        </w:rPr>
      </w:pPr>
      <w:r w:rsidRPr="005D1ABF">
        <w:rPr>
          <w:color w:val="auto"/>
          <w:szCs w:val="24"/>
        </w:rPr>
        <w:t xml:space="preserve">This section provides </w:t>
      </w:r>
      <w:r w:rsidRPr="001F2169">
        <w:rPr>
          <w:color w:val="auto"/>
          <w:szCs w:val="24"/>
        </w:rPr>
        <w:t>that the</w:t>
      </w:r>
      <w:r w:rsidR="004F1D7D">
        <w:rPr>
          <w:color w:val="auto"/>
          <w:szCs w:val="24"/>
        </w:rPr>
        <w:t xml:space="preserve"> </w:t>
      </w:r>
      <w:r w:rsidR="004F1D7D" w:rsidRPr="00F92B8E">
        <w:rPr>
          <w:i/>
          <w:color w:val="auto"/>
          <w:szCs w:val="24"/>
        </w:rPr>
        <w:t>Illegal Logging Prohibition</w:t>
      </w:r>
      <w:r w:rsidRPr="00F92B8E">
        <w:rPr>
          <w:i/>
          <w:color w:val="auto"/>
          <w:szCs w:val="24"/>
        </w:rPr>
        <w:t xml:space="preserve"> </w:t>
      </w:r>
      <w:r w:rsidR="001F2169" w:rsidRPr="00F92B8E">
        <w:rPr>
          <w:i/>
          <w:color w:val="auto"/>
          <w:szCs w:val="24"/>
        </w:rPr>
        <w:t>Regulation</w:t>
      </w:r>
      <w:r w:rsidR="004F1D7D" w:rsidRPr="00F92B8E">
        <w:rPr>
          <w:i/>
          <w:color w:val="auto"/>
          <w:szCs w:val="24"/>
        </w:rPr>
        <w:t xml:space="preserve"> 2012</w:t>
      </w:r>
      <w:r w:rsidR="00DF6291">
        <w:rPr>
          <w:color w:val="auto"/>
          <w:szCs w:val="24"/>
        </w:rPr>
        <w:t xml:space="preserve"> (the </w:t>
      </w:r>
      <w:r w:rsidR="00D73E39">
        <w:rPr>
          <w:color w:val="auto"/>
          <w:szCs w:val="24"/>
        </w:rPr>
        <w:t>principal Regulation)</w:t>
      </w:r>
      <w:r w:rsidRPr="001F2169">
        <w:rPr>
          <w:color w:val="auto"/>
          <w:szCs w:val="24"/>
        </w:rPr>
        <w:t xml:space="preserve"> is amended as set out in </w:t>
      </w:r>
      <w:r w:rsidR="001F2169" w:rsidRPr="001F2169">
        <w:rPr>
          <w:color w:val="auto"/>
          <w:szCs w:val="24"/>
        </w:rPr>
        <w:t>Schedule 1</w:t>
      </w:r>
      <w:r w:rsidRPr="001F2169">
        <w:rPr>
          <w:color w:val="auto"/>
          <w:szCs w:val="24"/>
        </w:rPr>
        <w:t>.</w:t>
      </w:r>
    </w:p>
    <w:p w14:paraId="5D500B8C" w14:textId="77777777" w:rsidR="00DF3F6E" w:rsidRPr="001F2169" w:rsidRDefault="00DF3F6E" w:rsidP="005D1ABF">
      <w:pPr>
        <w:pStyle w:val="Normal-em"/>
        <w:spacing w:after="0" w:line="240" w:lineRule="auto"/>
        <w:rPr>
          <w:color w:val="auto"/>
          <w:szCs w:val="24"/>
          <w:u w:val="single"/>
        </w:rPr>
      </w:pPr>
    </w:p>
    <w:p w14:paraId="62D7E12F" w14:textId="77777777"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14:paraId="0EE6B46D" w14:textId="77777777" w:rsidR="002B1DB3" w:rsidRPr="005D1ABF" w:rsidRDefault="002B1DB3" w:rsidP="005D1ABF">
      <w:pPr>
        <w:pStyle w:val="Normal-em"/>
        <w:spacing w:after="0" w:line="240" w:lineRule="auto"/>
        <w:rPr>
          <w:iCs/>
          <w:color w:val="auto"/>
          <w:szCs w:val="24"/>
        </w:rPr>
      </w:pPr>
    </w:p>
    <w:p w14:paraId="43A45FBC" w14:textId="6697D41F" w:rsidR="00932359" w:rsidRPr="00836D6E" w:rsidRDefault="00932359" w:rsidP="00932359">
      <w:pPr>
        <w:pStyle w:val="Normal-em"/>
        <w:spacing w:after="0" w:line="240" w:lineRule="auto"/>
        <w:rPr>
          <w:iCs/>
          <w:color w:val="auto"/>
          <w:szCs w:val="24"/>
        </w:rPr>
      </w:pPr>
      <w:r w:rsidRPr="00836D6E">
        <w:rPr>
          <w:b/>
          <w:szCs w:val="24"/>
        </w:rPr>
        <w:lastRenderedPageBreak/>
        <w:t>Item 1</w:t>
      </w:r>
      <w:r>
        <w:rPr>
          <w:szCs w:val="24"/>
        </w:rPr>
        <w:t xml:space="preserve"> amends paragraph 11(2)(b) to </w:t>
      </w:r>
      <w:r w:rsidR="004F1D7D">
        <w:rPr>
          <w:szCs w:val="24"/>
        </w:rPr>
        <w:t>provide</w:t>
      </w:r>
      <w:r>
        <w:rPr>
          <w:szCs w:val="24"/>
        </w:rPr>
        <w:t xml:space="preserve"> that the risk identification and assessment process set out in that paragraph would be subject to the standard set out in the  subsection 11(2A). </w:t>
      </w:r>
      <w:r w:rsidR="004F1D7D">
        <w:rPr>
          <w:szCs w:val="24"/>
        </w:rPr>
        <w:t>Subsection 11(3)</w:t>
      </w:r>
      <w:r w:rsidR="00B54E23">
        <w:rPr>
          <w:szCs w:val="24"/>
        </w:rPr>
        <w:t xml:space="preserve"> of the principal Regulation</w:t>
      </w:r>
      <w:r w:rsidR="004F1D7D">
        <w:rPr>
          <w:szCs w:val="24"/>
        </w:rPr>
        <w:t xml:space="preserve"> already provides that a</w:t>
      </w:r>
      <w:r>
        <w:rPr>
          <w:szCs w:val="24"/>
        </w:rPr>
        <w:t xml:space="preserve">n importer who contravenes subsection 11(2) is liable to a </w:t>
      </w:r>
      <w:r w:rsidR="00D73E39">
        <w:rPr>
          <w:szCs w:val="24"/>
        </w:rPr>
        <w:t xml:space="preserve">maximum </w:t>
      </w:r>
      <w:r>
        <w:rPr>
          <w:szCs w:val="24"/>
        </w:rPr>
        <w:t>civil penalty of 100 penalty units.</w:t>
      </w:r>
    </w:p>
    <w:p w14:paraId="13F99A99" w14:textId="77777777" w:rsidR="00932359" w:rsidRDefault="00932359" w:rsidP="00932359">
      <w:pPr>
        <w:spacing w:after="0" w:line="240" w:lineRule="auto"/>
        <w:rPr>
          <w:rFonts w:ascii="Times New Roman" w:hAnsi="Times New Roman" w:cs="Times New Roman"/>
          <w:sz w:val="24"/>
        </w:rPr>
      </w:pPr>
    </w:p>
    <w:p w14:paraId="69AC9740" w14:textId="6AFF17CD" w:rsidR="00932359" w:rsidRDefault="00932359" w:rsidP="00932359">
      <w:pPr>
        <w:pStyle w:val="Normal-em"/>
        <w:spacing w:after="0" w:line="240" w:lineRule="auto"/>
        <w:rPr>
          <w:color w:val="auto"/>
          <w:szCs w:val="24"/>
        </w:rPr>
      </w:pPr>
      <w:r>
        <w:rPr>
          <w:b/>
          <w:szCs w:val="24"/>
        </w:rPr>
        <w:t>Item 2</w:t>
      </w:r>
      <w:r w:rsidRPr="00836D6E">
        <w:rPr>
          <w:b/>
          <w:szCs w:val="24"/>
        </w:rPr>
        <w:t xml:space="preserve"> </w:t>
      </w:r>
      <w:r>
        <w:rPr>
          <w:szCs w:val="24"/>
        </w:rPr>
        <w:t xml:space="preserve">inserts subsection 11(2A) </w:t>
      </w:r>
      <w:r w:rsidR="004F1D7D">
        <w:rPr>
          <w:szCs w:val="24"/>
        </w:rPr>
        <w:t>to</w:t>
      </w:r>
      <w:r>
        <w:rPr>
          <w:szCs w:val="24"/>
        </w:rPr>
        <w:t xml:space="preserve"> establish the standard by which the risk identification and assessment process set out in paragraph 11(2)(b) </w:t>
      </w:r>
      <w:r w:rsidR="004F1D7D">
        <w:rPr>
          <w:szCs w:val="24"/>
        </w:rPr>
        <w:t>must</w:t>
      </w:r>
      <w:r>
        <w:rPr>
          <w:szCs w:val="24"/>
        </w:rPr>
        <w:t xml:space="preserve"> be measured. </w:t>
      </w:r>
      <w:r w:rsidR="004F1D7D">
        <w:rPr>
          <w:szCs w:val="24"/>
        </w:rPr>
        <w:t>Subsection 11(2A)</w:t>
      </w:r>
      <w:r w:rsidR="00F92B8E">
        <w:rPr>
          <w:szCs w:val="24"/>
        </w:rPr>
        <w:t xml:space="preserve"> </w:t>
      </w:r>
      <w:r w:rsidR="004F1D7D">
        <w:rPr>
          <w:szCs w:val="24"/>
        </w:rPr>
        <w:t>provides</w:t>
      </w:r>
      <w:r>
        <w:rPr>
          <w:szCs w:val="24"/>
        </w:rPr>
        <w:t xml:space="preserve"> that the </w:t>
      </w:r>
      <w:r w:rsidR="004F1D7D">
        <w:rPr>
          <w:szCs w:val="24"/>
        </w:rPr>
        <w:t>identifica</w:t>
      </w:r>
      <w:r w:rsidR="0089597A">
        <w:rPr>
          <w:szCs w:val="24"/>
        </w:rPr>
        <w:t xml:space="preserve">tion and assessment of risk mentioned in paragraph </w:t>
      </w:r>
      <w:r w:rsidR="00F92B8E">
        <w:rPr>
          <w:szCs w:val="24"/>
        </w:rPr>
        <w:t>11</w:t>
      </w:r>
      <w:r w:rsidR="0089597A">
        <w:rPr>
          <w:szCs w:val="24"/>
        </w:rPr>
        <w:t>(2)(b)</w:t>
      </w:r>
      <w:r w:rsidR="004F1D7D">
        <w:rPr>
          <w:szCs w:val="24"/>
        </w:rPr>
        <w:t xml:space="preserve"> </w:t>
      </w:r>
      <w:r w:rsidR="004433E6">
        <w:rPr>
          <w:szCs w:val="24"/>
        </w:rPr>
        <w:t xml:space="preserve">and any </w:t>
      </w:r>
      <w:r>
        <w:rPr>
          <w:szCs w:val="24"/>
        </w:rPr>
        <w:t>outcome</w:t>
      </w:r>
      <w:r w:rsidR="00F92B8E">
        <w:rPr>
          <w:szCs w:val="24"/>
        </w:rPr>
        <w:t xml:space="preserve"> of that identification and assessment,</w:t>
      </w:r>
      <w:r>
        <w:rPr>
          <w:szCs w:val="24"/>
        </w:rPr>
        <w:t xml:space="preserve">  must be reasonable</w:t>
      </w:r>
      <w:r>
        <w:rPr>
          <w:color w:val="auto"/>
          <w:szCs w:val="24"/>
        </w:rPr>
        <w:t>.</w:t>
      </w:r>
      <w:r w:rsidR="00F92B8E">
        <w:rPr>
          <w:color w:val="auto"/>
          <w:szCs w:val="24"/>
        </w:rPr>
        <w:t xml:space="preserve"> </w:t>
      </w:r>
      <w:r w:rsidR="00F92B8E">
        <w:rPr>
          <w:szCs w:val="24"/>
        </w:rPr>
        <w:t>This is an objective test that may be assessed by reference to the record that an importer is required to keep under section 11 of the principal Regulation.</w:t>
      </w:r>
    </w:p>
    <w:p w14:paraId="1D3370E2" w14:textId="77777777" w:rsidR="00932359" w:rsidRDefault="00932359" w:rsidP="00932359">
      <w:pPr>
        <w:pStyle w:val="Normal-em"/>
        <w:spacing w:after="0" w:line="240" w:lineRule="auto"/>
        <w:rPr>
          <w:color w:val="auto"/>
          <w:szCs w:val="24"/>
        </w:rPr>
      </w:pPr>
    </w:p>
    <w:p w14:paraId="597E4087" w14:textId="4F46B62E" w:rsidR="00932359" w:rsidRDefault="00932359" w:rsidP="00932359">
      <w:pPr>
        <w:pStyle w:val="Normal-em"/>
        <w:spacing w:after="0" w:line="240" w:lineRule="auto"/>
        <w:rPr>
          <w:szCs w:val="24"/>
        </w:rPr>
      </w:pPr>
      <w:r w:rsidRPr="001A23D6">
        <w:rPr>
          <w:b/>
          <w:color w:val="auto"/>
          <w:szCs w:val="24"/>
        </w:rPr>
        <w:t>Item 3</w:t>
      </w:r>
      <w:r>
        <w:rPr>
          <w:color w:val="auto"/>
          <w:szCs w:val="24"/>
        </w:rPr>
        <w:t xml:space="preserve"> amends </w:t>
      </w:r>
      <w:r>
        <w:rPr>
          <w:szCs w:val="24"/>
        </w:rPr>
        <w:t xml:space="preserve">paragraph 20(2)(b) to </w:t>
      </w:r>
      <w:r w:rsidR="00593C11">
        <w:rPr>
          <w:szCs w:val="24"/>
        </w:rPr>
        <w:t>provide</w:t>
      </w:r>
      <w:r>
        <w:rPr>
          <w:szCs w:val="24"/>
        </w:rPr>
        <w:t xml:space="preserve"> that the risk identification and assessment process set out in that paragraph would be subject to the standard set out in  subsection 11(2A). </w:t>
      </w:r>
      <w:r w:rsidR="00593C11">
        <w:rPr>
          <w:szCs w:val="24"/>
        </w:rPr>
        <w:t xml:space="preserve">Subsection 20(3) </w:t>
      </w:r>
      <w:r w:rsidR="00B54E23">
        <w:rPr>
          <w:szCs w:val="24"/>
        </w:rPr>
        <w:t xml:space="preserve">of the principal Regulation </w:t>
      </w:r>
      <w:r w:rsidR="00593C11">
        <w:rPr>
          <w:szCs w:val="24"/>
        </w:rPr>
        <w:t>already provides that a</w:t>
      </w:r>
      <w:r>
        <w:rPr>
          <w:szCs w:val="24"/>
        </w:rPr>
        <w:t xml:space="preserve"> processor who contravenes subsection 20(2) is liable to a </w:t>
      </w:r>
      <w:r w:rsidR="00503D12">
        <w:rPr>
          <w:szCs w:val="24"/>
        </w:rPr>
        <w:t xml:space="preserve">maximum </w:t>
      </w:r>
      <w:r>
        <w:rPr>
          <w:szCs w:val="24"/>
        </w:rPr>
        <w:t>civil penalty of 100 penalty units.</w:t>
      </w:r>
    </w:p>
    <w:p w14:paraId="5B7E5E3F" w14:textId="77777777" w:rsidR="00932359" w:rsidRDefault="00932359" w:rsidP="00932359">
      <w:pPr>
        <w:pStyle w:val="Normal-em"/>
        <w:spacing w:after="0" w:line="240" w:lineRule="auto"/>
        <w:rPr>
          <w:szCs w:val="24"/>
        </w:rPr>
      </w:pPr>
    </w:p>
    <w:p w14:paraId="03B716F6" w14:textId="57410DE8" w:rsidR="00503D12" w:rsidRDefault="00932359" w:rsidP="00503D12">
      <w:pPr>
        <w:pStyle w:val="Normal-em"/>
        <w:spacing w:after="0" w:line="240" w:lineRule="auto"/>
        <w:rPr>
          <w:color w:val="auto"/>
          <w:szCs w:val="24"/>
        </w:rPr>
      </w:pPr>
      <w:r>
        <w:rPr>
          <w:b/>
          <w:szCs w:val="24"/>
        </w:rPr>
        <w:t>Item 4</w:t>
      </w:r>
      <w:r w:rsidRPr="00836D6E">
        <w:rPr>
          <w:b/>
          <w:szCs w:val="24"/>
        </w:rPr>
        <w:t xml:space="preserve"> </w:t>
      </w:r>
      <w:r>
        <w:rPr>
          <w:szCs w:val="24"/>
        </w:rPr>
        <w:t xml:space="preserve">inserts subsection 20(2A) </w:t>
      </w:r>
      <w:r w:rsidR="00593C11">
        <w:rPr>
          <w:szCs w:val="24"/>
        </w:rPr>
        <w:t>to</w:t>
      </w:r>
      <w:r>
        <w:rPr>
          <w:szCs w:val="24"/>
        </w:rPr>
        <w:t xml:space="preserve"> establish the standard by which the risk identification and assessment process set out in paragraph 20(2)(b) would be measured. </w:t>
      </w:r>
      <w:r w:rsidR="00593C11">
        <w:rPr>
          <w:szCs w:val="24"/>
        </w:rPr>
        <w:t>Subsection 20(2A)</w:t>
      </w:r>
      <w:r w:rsidR="00503D12">
        <w:rPr>
          <w:szCs w:val="24"/>
        </w:rPr>
        <w:t xml:space="preserve"> </w:t>
      </w:r>
      <w:r w:rsidR="00593C11">
        <w:rPr>
          <w:szCs w:val="24"/>
        </w:rPr>
        <w:t>provides</w:t>
      </w:r>
      <w:r>
        <w:rPr>
          <w:szCs w:val="24"/>
        </w:rPr>
        <w:t xml:space="preserve"> that the </w:t>
      </w:r>
      <w:r w:rsidR="00593C11">
        <w:rPr>
          <w:szCs w:val="24"/>
        </w:rPr>
        <w:t xml:space="preserve">identification and assessment </w:t>
      </w:r>
      <w:r w:rsidR="00A73D08">
        <w:rPr>
          <w:szCs w:val="24"/>
        </w:rPr>
        <w:t xml:space="preserve">of risk, mentioned in paragraph 20(2)(b), and any </w:t>
      </w:r>
      <w:r>
        <w:rPr>
          <w:szCs w:val="24"/>
        </w:rPr>
        <w:t xml:space="preserve">outcome </w:t>
      </w:r>
      <w:r w:rsidR="00503D12">
        <w:rPr>
          <w:szCs w:val="24"/>
        </w:rPr>
        <w:t xml:space="preserve">of that identification and assessment, </w:t>
      </w:r>
      <w:r>
        <w:rPr>
          <w:szCs w:val="24"/>
        </w:rPr>
        <w:t>must be reasonable</w:t>
      </w:r>
      <w:r>
        <w:rPr>
          <w:color w:val="auto"/>
          <w:szCs w:val="24"/>
        </w:rPr>
        <w:t>.</w:t>
      </w:r>
      <w:r w:rsidR="00503D12" w:rsidRPr="00503D12">
        <w:rPr>
          <w:szCs w:val="24"/>
        </w:rPr>
        <w:t xml:space="preserve"> </w:t>
      </w:r>
      <w:r w:rsidR="00503D12">
        <w:rPr>
          <w:szCs w:val="24"/>
        </w:rPr>
        <w:t xml:space="preserve">This is an objective test that may be assessed </w:t>
      </w:r>
      <w:r w:rsidR="00503D12">
        <w:rPr>
          <w:szCs w:val="24"/>
        </w:rPr>
        <w:lastRenderedPageBreak/>
        <w:t>by reference to the record that a processor is required to keep under section 20 of the principal Regulation.</w:t>
      </w:r>
    </w:p>
    <w:p w14:paraId="7C7E9D5B" w14:textId="3B80A6AB" w:rsidR="00962731" w:rsidRPr="00836D6E" w:rsidRDefault="00962731" w:rsidP="00962731">
      <w:pPr>
        <w:pStyle w:val="Normal-em"/>
        <w:spacing w:after="0" w:line="240" w:lineRule="auto"/>
        <w:rPr>
          <w:iCs/>
          <w:color w:val="auto"/>
          <w:szCs w:val="24"/>
        </w:rPr>
      </w:pPr>
      <w:r w:rsidRPr="000E1333">
        <w:rPr>
          <w:b/>
          <w:iCs/>
          <w:color w:val="auto"/>
          <w:szCs w:val="24"/>
        </w:rPr>
        <w:t xml:space="preserve">Item 5 </w:t>
      </w:r>
      <w:r w:rsidR="00A73D08">
        <w:rPr>
          <w:iCs/>
          <w:color w:val="auto"/>
          <w:szCs w:val="24"/>
        </w:rPr>
        <w:t>omits the references to the year “2014” in</w:t>
      </w:r>
      <w:r w:rsidRPr="000E1333">
        <w:rPr>
          <w:iCs/>
          <w:color w:val="auto"/>
          <w:szCs w:val="24"/>
        </w:rPr>
        <w:t xml:space="preserve"> note</w:t>
      </w:r>
      <w:r>
        <w:rPr>
          <w:iCs/>
          <w:color w:val="auto"/>
          <w:szCs w:val="24"/>
        </w:rPr>
        <w:t>s 2 and 3</w:t>
      </w:r>
      <w:r w:rsidRPr="000E1333">
        <w:rPr>
          <w:iCs/>
          <w:color w:val="auto"/>
          <w:szCs w:val="24"/>
        </w:rPr>
        <w:t xml:space="preserve"> in Clause </w:t>
      </w:r>
      <w:r>
        <w:rPr>
          <w:iCs/>
          <w:color w:val="auto"/>
          <w:szCs w:val="24"/>
        </w:rPr>
        <w:t>1</w:t>
      </w:r>
      <w:r w:rsidRPr="000E1333">
        <w:rPr>
          <w:iCs/>
          <w:color w:val="auto"/>
          <w:szCs w:val="24"/>
        </w:rPr>
        <w:t xml:space="preserve"> of Schedule 2 </w:t>
      </w:r>
      <w:r w:rsidR="00A73D08">
        <w:rPr>
          <w:iCs/>
          <w:color w:val="auto"/>
          <w:szCs w:val="24"/>
        </w:rPr>
        <w:t>to</w:t>
      </w:r>
      <w:r w:rsidRPr="000E1333">
        <w:rPr>
          <w:iCs/>
          <w:color w:val="auto"/>
          <w:szCs w:val="24"/>
        </w:rPr>
        <w:t xml:space="preserve"> the </w:t>
      </w:r>
      <w:r w:rsidR="00B54E23">
        <w:rPr>
          <w:iCs/>
          <w:color w:val="auto"/>
          <w:szCs w:val="24"/>
        </w:rPr>
        <w:t xml:space="preserve">principal </w:t>
      </w:r>
      <w:r w:rsidRPr="000E1333">
        <w:rPr>
          <w:iCs/>
          <w:color w:val="auto"/>
          <w:szCs w:val="24"/>
        </w:rPr>
        <w:t xml:space="preserve">Regulation </w:t>
      </w:r>
      <w:r w:rsidR="002A2C95">
        <w:rPr>
          <w:iCs/>
          <w:color w:val="auto"/>
          <w:szCs w:val="24"/>
        </w:rPr>
        <w:t xml:space="preserve">and substitutes the references in both notes with the year “2018”, </w:t>
      </w:r>
      <w:r w:rsidRPr="000E1333">
        <w:rPr>
          <w:iCs/>
          <w:color w:val="auto"/>
          <w:szCs w:val="24"/>
        </w:rPr>
        <w:t>to reflect that,</w:t>
      </w:r>
      <w:r>
        <w:rPr>
          <w:iCs/>
          <w:color w:val="auto"/>
          <w:szCs w:val="24"/>
        </w:rPr>
        <w:t xml:space="preserve"> as at 2018, the information about the Forest Stewardship Council (FSC) forest management certification and chain of custody standards, and the Programme for the Endorsement of Forest Certification (PEFC) forest management certification and chain of custody standards, </w:t>
      </w:r>
      <w:r w:rsidR="002A2C95">
        <w:rPr>
          <w:iCs/>
          <w:color w:val="auto"/>
          <w:szCs w:val="24"/>
        </w:rPr>
        <w:t>could</w:t>
      </w:r>
      <w:r>
        <w:rPr>
          <w:iCs/>
          <w:color w:val="auto"/>
          <w:szCs w:val="24"/>
        </w:rPr>
        <w:t xml:space="preserve"> be viewed on the FSC and PEFC websites. </w:t>
      </w:r>
    </w:p>
    <w:p w14:paraId="2067B255" w14:textId="77777777" w:rsidR="00962731" w:rsidRDefault="00962731" w:rsidP="00962731">
      <w:pPr>
        <w:pStyle w:val="Normal-em"/>
        <w:spacing w:after="0" w:line="240" w:lineRule="auto"/>
        <w:rPr>
          <w:b/>
          <w:iCs/>
          <w:color w:val="auto"/>
          <w:szCs w:val="24"/>
          <w:highlight w:val="yellow"/>
        </w:rPr>
      </w:pPr>
    </w:p>
    <w:p w14:paraId="1FD924D2" w14:textId="3832DE77" w:rsidR="005A7F76" w:rsidRDefault="00962731" w:rsidP="005A7F76">
      <w:pPr>
        <w:pStyle w:val="Normal-em"/>
        <w:spacing w:after="0" w:line="240" w:lineRule="auto"/>
        <w:rPr>
          <w:iCs/>
          <w:color w:val="auto"/>
          <w:szCs w:val="24"/>
        </w:rPr>
      </w:pPr>
      <w:r w:rsidRPr="000E1333">
        <w:rPr>
          <w:b/>
          <w:iCs/>
          <w:color w:val="auto"/>
          <w:szCs w:val="24"/>
        </w:rPr>
        <w:t xml:space="preserve">Item 6 </w:t>
      </w:r>
      <w:r w:rsidR="00CF18DD">
        <w:rPr>
          <w:iCs/>
          <w:color w:val="auto"/>
          <w:szCs w:val="24"/>
        </w:rPr>
        <w:t>repeals table item 3 in clause 2 of</w:t>
      </w:r>
      <w:r w:rsidRPr="000E1333">
        <w:rPr>
          <w:iCs/>
          <w:color w:val="auto"/>
          <w:szCs w:val="24"/>
        </w:rPr>
        <w:t xml:space="preserve"> Schedule 2 </w:t>
      </w:r>
      <w:r w:rsidR="00CF18DD">
        <w:rPr>
          <w:iCs/>
          <w:color w:val="auto"/>
          <w:szCs w:val="24"/>
        </w:rPr>
        <w:t>to</w:t>
      </w:r>
      <w:r w:rsidRPr="000E1333">
        <w:rPr>
          <w:iCs/>
          <w:color w:val="auto"/>
          <w:szCs w:val="24"/>
        </w:rPr>
        <w:t xml:space="preserve"> the </w:t>
      </w:r>
      <w:r w:rsidR="00503D12">
        <w:rPr>
          <w:iCs/>
          <w:color w:val="auto"/>
          <w:szCs w:val="24"/>
        </w:rPr>
        <w:t xml:space="preserve">principal </w:t>
      </w:r>
      <w:r w:rsidRPr="000E1333">
        <w:rPr>
          <w:iCs/>
          <w:color w:val="auto"/>
          <w:szCs w:val="24"/>
        </w:rPr>
        <w:t>Regulation</w:t>
      </w:r>
      <w:r w:rsidR="00853FE7">
        <w:rPr>
          <w:iCs/>
          <w:color w:val="auto"/>
          <w:szCs w:val="24"/>
        </w:rPr>
        <w:t xml:space="preserve"> </w:t>
      </w:r>
      <w:r w:rsidR="002713CB">
        <w:rPr>
          <w:iCs/>
          <w:color w:val="auto"/>
          <w:szCs w:val="24"/>
        </w:rPr>
        <w:t>which lists the country</w:t>
      </w:r>
      <w:r w:rsidR="00564471">
        <w:rPr>
          <w:iCs/>
          <w:color w:val="auto"/>
          <w:szCs w:val="24"/>
        </w:rPr>
        <w:t xml:space="preserve"> specific guideline for Indonesia, co-endorsed by the Government of Australia and the Government of Indonesia on 21 October 2014. The item substi</w:t>
      </w:r>
      <w:r w:rsidR="00B54E23">
        <w:rPr>
          <w:iCs/>
          <w:color w:val="auto"/>
          <w:szCs w:val="24"/>
        </w:rPr>
        <w:t>tutes a new table item 3 which l</w:t>
      </w:r>
      <w:r w:rsidR="00564471">
        <w:rPr>
          <w:iCs/>
          <w:color w:val="auto"/>
          <w:szCs w:val="24"/>
        </w:rPr>
        <w:t>ist</w:t>
      </w:r>
      <w:r w:rsidR="00B54E23">
        <w:rPr>
          <w:iCs/>
          <w:color w:val="auto"/>
          <w:szCs w:val="24"/>
        </w:rPr>
        <w:t>s</w:t>
      </w:r>
      <w:r w:rsidR="00564471">
        <w:rPr>
          <w:iCs/>
          <w:color w:val="auto"/>
          <w:szCs w:val="24"/>
        </w:rPr>
        <w:t xml:space="preserve"> the</w:t>
      </w:r>
      <w:r w:rsidR="00564471">
        <w:t xml:space="preserve"> c</w:t>
      </w:r>
      <w:r w:rsidRPr="000E1333">
        <w:t>ountry specific guideline for Indonesia, co-endorsed by the Government of Australia and the Government of Indonesia on 1 October 2018.</w:t>
      </w:r>
      <w:r w:rsidR="005A7F76">
        <w:t xml:space="preserve"> Importers</w:t>
      </w:r>
      <w:r w:rsidR="005A7F76" w:rsidRPr="000E1333">
        <w:t xml:space="preserve"> </w:t>
      </w:r>
      <w:r w:rsidR="00571F4B">
        <w:t xml:space="preserve">of regulated timber products from Indonesia </w:t>
      </w:r>
      <w:r w:rsidR="005A7F76">
        <w:t>are</w:t>
      </w:r>
      <w:r w:rsidR="005A7F76" w:rsidRPr="000E1333">
        <w:t xml:space="preserve"> required to use this revised and updated version of the country specific guideline for Indonesia</w:t>
      </w:r>
      <w:r w:rsidR="005A7F76">
        <w:t xml:space="preserve"> when </w:t>
      </w:r>
      <w:r w:rsidR="00571F4B">
        <w:t xml:space="preserve">they </w:t>
      </w:r>
      <w:r w:rsidR="005A7F76">
        <w:t>elect to use the country specific guidelines optional process provided in section 12 of the principal Regulation</w:t>
      </w:r>
      <w:r w:rsidR="005A7F76" w:rsidRPr="000E1333">
        <w:t>.</w:t>
      </w:r>
    </w:p>
    <w:p w14:paraId="0AACC5A0" w14:textId="77777777" w:rsidR="00932359" w:rsidRDefault="00932359" w:rsidP="00932359">
      <w:pPr>
        <w:pStyle w:val="Normal-em"/>
        <w:spacing w:after="0" w:line="240" w:lineRule="auto"/>
        <w:rPr>
          <w:iCs/>
          <w:color w:val="auto"/>
          <w:szCs w:val="24"/>
        </w:rPr>
      </w:pPr>
    </w:p>
    <w:p w14:paraId="21265156" w14:textId="53B1DD73" w:rsidR="00962731" w:rsidRDefault="00962731" w:rsidP="00962731">
      <w:pPr>
        <w:pStyle w:val="Normal-em"/>
        <w:spacing w:after="0" w:line="240" w:lineRule="auto"/>
        <w:rPr>
          <w:iCs/>
          <w:color w:val="auto"/>
          <w:szCs w:val="24"/>
        </w:rPr>
      </w:pPr>
      <w:r w:rsidRPr="005B0F09">
        <w:rPr>
          <w:b/>
          <w:iCs/>
          <w:color w:val="auto"/>
          <w:szCs w:val="24"/>
        </w:rPr>
        <w:t>Item 7</w:t>
      </w:r>
      <w:r w:rsidRPr="005B0F09">
        <w:rPr>
          <w:iCs/>
          <w:color w:val="auto"/>
          <w:szCs w:val="24"/>
        </w:rPr>
        <w:t xml:space="preserve"> </w:t>
      </w:r>
      <w:r w:rsidR="00564471">
        <w:rPr>
          <w:iCs/>
          <w:color w:val="auto"/>
          <w:szCs w:val="24"/>
        </w:rPr>
        <w:t xml:space="preserve">repeals table item 4A in clause 2 of </w:t>
      </w:r>
      <w:r w:rsidRPr="005B0F09">
        <w:rPr>
          <w:iCs/>
          <w:color w:val="auto"/>
          <w:szCs w:val="24"/>
        </w:rPr>
        <w:t xml:space="preserve">Schedule 2 </w:t>
      </w:r>
      <w:r w:rsidR="00564471">
        <w:rPr>
          <w:iCs/>
          <w:color w:val="auto"/>
          <w:szCs w:val="24"/>
        </w:rPr>
        <w:t>to</w:t>
      </w:r>
      <w:r w:rsidRPr="005B0F09">
        <w:rPr>
          <w:iCs/>
          <w:color w:val="auto"/>
          <w:szCs w:val="24"/>
        </w:rPr>
        <w:t xml:space="preserve"> the </w:t>
      </w:r>
      <w:r w:rsidR="005A7F76">
        <w:rPr>
          <w:iCs/>
          <w:color w:val="auto"/>
          <w:szCs w:val="24"/>
        </w:rPr>
        <w:t xml:space="preserve">principal </w:t>
      </w:r>
      <w:r w:rsidRPr="005B0F09">
        <w:rPr>
          <w:iCs/>
          <w:color w:val="auto"/>
          <w:szCs w:val="24"/>
        </w:rPr>
        <w:t xml:space="preserve">Regulation, </w:t>
      </w:r>
      <w:r w:rsidR="00564471">
        <w:rPr>
          <w:iCs/>
          <w:color w:val="auto"/>
          <w:szCs w:val="24"/>
        </w:rPr>
        <w:t>which lists the country specific guideline for Malaysia, co-endorsed by the Government of Australia and the Government of Malaysia on 13 February 20</w:t>
      </w:r>
      <w:r w:rsidR="005A7F76">
        <w:rPr>
          <w:iCs/>
          <w:color w:val="auto"/>
          <w:szCs w:val="24"/>
        </w:rPr>
        <w:t>1</w:t>
      </w:r>
      <w:r w:rsidR="00564471">
        <w:rPr>
          <w:iCs/>
          <w:color w:val="auto"/>
          <w:szCs w:val="24"/>
        </w:rPr>
        <w:t xml:space="preserve">5. </w:t>
      </w:r>
      <w:r w:rsidR="00B54E23">
        <w:rPr>
          <w:iCs/>
          <w:color w:val="auto"/>
          <w:szCs w:val="24"/>
        </w:rPr>
        <w:t xml:space="preserve">The item substitutes a new table item 4A which lists the </w:t>
      </w:r>
      <w:r w:rsidR="00B54E23">
        <w:t>c</w:t>
      </w:r>
      <w:r w:rsidRPr="00B10C8F">
        <w:t xml:space="preserve">ountry </w:t>
      </w:r>
      <w:r>
        <w:t>s</w:t>
      </w:r>
      <w:r w:rsidRPr="00B10C8F">
        <w:t xml:space="preserve">pecific </w:t>
      </w:r>
      <w:r>
        <w:t>g</w:t>
      </w:r>
      <w:r w:rsidRPr="00B10C8F">
        <w:t xml:space="preserve">uideline for </w:t>
      </w:r>
      <w:r w:rsidRPr="00B10C8F">
        <w:lastRenderedPageBreak/>
        <w:t xml:space="preserve">Malaysia, co-endorsed by the Government of Australia and the Government of Malaysia on </w:t>
      </w:r>
      <w:r>
        <w:t>10 March</w:t>
      </w:r>
      <w:r w:rsidRPr="00B10C8F">
        <w:t xml:space="preserve"> 201</w:t>
      </w:r>
      <w:r>
        <w:t xml:space="preserve">7. </w:t>
      </w:r>
      <w:r w:rsidR="005A7F76" w:rsidRPr="005A7F76">
        <w:t xml:space="preserve"> </w:t>
      </w:r>
      <w:r w:rsidR="005A7F76">
        <w:t xml:space="preserve">Importers </w:t>
      </w:r>
      <w:r w:rsidR="00571F4B">
        <w:t xml:space="preserve">of regulated timber products from Malaysia </w:t>
      </w:r>
      <w:r w:rsidR="005A7F76">
        <w:t>are required to use this revised and updated version of the country specific guideline for Malaysia</w:t>
      </w:r>
      <w:r w:rsidR="005A7F76" w:rsidRPr="001833C4">
        <w:t xml:space="preserve"> </w:t>
      </w:r>
      <w:r w:rsidR="005A7F76">
        <w:t xml:space="preserve">when </w:t>
      </w:r>
      <w:r w:rsidR="00571F4B">
        <w:t>they</w:t>
      </w:r>
      <w:r w:rsidR="005A7F76">
        <w:t xml:space="preserve"> elect to use the country specific guidelines optional process provided in section 12 of the principal Regulation.</w:t>
      </w:r>
    </w:p>
    <w:p w14:paraId="560B0B49" w14:textId="77777777" w:rsidR="00962731" w:rsidRDefault="00962731" w:rsidP="00962731">
      <w:pPr>
        <w:pStyle w:val="Normal-em"/>
        <w:spacing w:after="0" w:line="240" w:lineRule="auto"/>
        <w:rPr>
          <w:iCs/>
          <w:color w:val="auto"/>
          <w:szCs w:val="24"/>
        </w:rPr>
      </w:pPr>
    </w:p>
    <w:p w14:paraId="23AB7C93" w14:textId="69897372" w:rsidR="005A7F76" w:rsidRDefault="00962731" w:rsidP="005A7F76">
      <w:pPr>
        <w:pStyle w:val="Normal-em"/>
        <w:spacing w:after="0" w:line="240" w:lineRule="auto"/>
        <w:rPr>
          <w:iCs/>
          <w:color w:val="auto"/>
          <w:szCs w:val="24"/>
        </w:rPr>
      </w:pPr>
      <w:r w:rsidRPr="005B0F09">
        <w:rPr>
          <w:b/>
          <w:iCs/>
          <w:color w:val="auto"/>
          <w:szCs w:val="24"/>
        </w:rPr>
        <w:t>Item 8</w:t>
      </w:r>
      <w:r w:rsidRPr="005B0F09">
        <w:rPr>
          <w:iCs/>
          <w:color w:val="auto"/>
          <w:szCs w:val="24"/>
        </w:rPr>
        <w:t xml:space="preserve"> inserts </w:t>
      </w:r>
      <w:r w:rsidR="00B54E23">
        <w:rPr>
          <w:iCs/>
          <w:color w:val="auto"/>
          <w:szCs w:val="24"/>
        </w:rPr>
        <w:t xml:space="preserve">table </w:t>
      </w:r>
      <w:r w:rsidRPr="005B0F09">
        <w:rPr>
          <w:iCs/>
          <w:color w:val="auto"/>
          <w:szCs w:val="24"/>
        </w:rPr>
        <w:t xml:space="preserve">item 5B in </w:t>
      </w:r>
      <w:r w:rsidR="00B54E23">
        <w:rPr>
          <w:iCs/>
          <w:color w:val="auto"/>
          <w:szCs w:val="24"/>
        </w:rPr>
        <w:t>clause 2</w:t>
      </w:r>
      <w:r w:rsidRPr="005B0F09">
        <w:rPr>
          <w:iCs/>
          <w:color w:val="auto"/>
          <w:szCs w:val="24"/>
        </w:rPr>
        <w:t xml:space="preserve"> of Schedule 2 </w:t>
      </w:r>
      <w:r w:rsidR="00B54E23">
        <w:rPr>
          <w:iCs/>
          <w:color w:val="auto"/>
          <w:szCs w:val="24"/>
        </w:rPr>
        <w:t>to</w:t>
      </w:r>
      <w:r w:rsidRPr="005B0F09">
        <w:rPr>
          <w:iCs/>
          <w:color w:val="auto"/>
          <w:szCs w:val="24"/>
        </w:rPr>
        <w:t xml:space="preserve"> the </w:t>
      </w:r>
      <w:r w:rsidR="00206477">
        <w:rPr>
          <w:iCs/>
          <w:color w:val="auto"/>
          <w:szCs w:val="24"/>
        </w:rPr>
        <w:t xml:space="preserve">principal </w:t>
      </w:r>
      <w:r w:rsidRPr="005B0F09">
        <w:rPr>
          <w:iCs/>
          <w:color w:val="auto"/>
          <w:szCs w:val="24"/>
        </w:rPr>
        <w:t>Regulation</w:t>
      </w:r>
      <w:r w:rsidR="00206477">
        <w:rPr>
          <w:iCs/>
          <w:color w:val="auto"/>
          <w:szCs w:val="24"/>
        </w:rPr>
        <w:t xml:space="preserve"> to list the</w:t>
      </w:r>
      <w:r w:rsidR="005A7F76">
        <w:rPr>
          <w:iCs/>
          <w:color w:val="auto"/>
          <w:szCs w:val="24"/>
        </w:rPr>
        <w:t xml:space="preserve"> </w:t>
      </w:r>
      <w:r w:rsidR="00206477">
        <w:t>c</w:t>
      </w:r>
      <w:r w:rsidRPr="005B0F09">
        <w:t>ountry specific</w:t>
      </w:r>
      <w:r w:rsidRPr="00B10C8F">
        <w:t xml:space="preserve"> </w:t>
      </w:r>
      <w:r>
        <w:t>g</w:t>
      </w:r>
      <w:r w:rsidRPr="00B10C8F">
        <w:t xml:space="preserve">uideline for </w:t>
      </w:r>
      <w:r>
        <w:t>the Republic of Korea</w:t>
      </w:r>
      <w:r w:rsidRPr="00B10C8F">
        <w:t xml:space="preserve">, co-endorsed by the Government of Australia and the Government of </w:t>
      </w:r>
      <w:r>
        <w:t xml:space="preserve">the Republic of Korea </w:t>
      </w:r>
      <w:r w:rsidRPr="00B10C8F">
        <w:t xml:space="preserve">on </w:t>
      </w:r>
      <w:r>
        <w:t>26</w:t>
      </w:r>
      <w:r w:rsidRPr="00B10C8F">
        <w:t xml:space="preserve"> </w:t>
      </w:r>
      <w:r>
        <w:t>June</w:t>
      </w:r>
      <w:r w:rsidRPr="00B10C8F">
        <w:t xml:space="preserve"> 201</w:t>
      </w:r>
      <w:r>
        <w:t xml:space="preserve">8. The new </w:t>
      </w:r>
      <w:r w:rsidR="005A7F76">
        <w:t xml:space="preserve">country </w:t>
      </w:r>
      <w:r>
        <w:t>specific guideline for the Republic of Korea provides guidance material for</w:t>
      </w:r>
      <w:r w:rsidR="005A7F76">
        <w:t xml:space="preserve"> importers </w:t>
      </w:r>
      <w:r w:rsidR="00571F4B">
        <w:t xml:space="preserve">of regulated timber products from the Republic of Korea </w:t>
      </w:r>
      <w:r w:rsidR="005A7F76">
        <w:t xml:space="preserve">when gathering information to meet their due diligence requirements provided in section 10 of the principal Regulation. Importers may elect to use the country specific guideline optional process under section 12 of the principal Regulation, if the country specific guideline for the Republic of Korea applies to the timber in the product, or the area in which the timber is harvested. </w:t>
      </w:r>
    </w:p>
    <w:p w14:paraId="6649174C" w14:textId="77777777" w:rsidR="00962731" w:rsidRDefault="00962731" w:rsidP="00962731">
      <w:pPr>
        <w:pStyle w:val="Normal-em"/>
        <w:spacing w:after="0" w:line="240" w:lineRule="auto"/>
        <w:rPr>
          <w:iCs/>
          <w:color w:val="auto"/>
          <w:szCs w:val="24"/>
        </w:rPr>
      </w:pPr>
    </w:p>
    <w:p w14:paraId="1D0FB2AD" w14:textId="7C5C176B" w:rsidR="00962731" w:rsidRPr="00836D6E" w:rsidRDefault="00962731" w:rsidP="00962731">
      <w:pPr>
        <w:pStyle w:val="Normal-em"/>
        <w:spacing w:after="0" w:line="240" w:lineRule="auto"/>
        <w:rPr>
          <w:iCs/>
          <w:color w:val="auto"/>
          <w:szCs w:val="24"/>
        </w:rPr>
      </w:pPr>
      <w:r w:rsidRPr="005B0F09">
        <w:rPr>
          <w:b/>
          <w:iCs/>
          <w:color w:val="auto"/>
          <w:szCs w:val="24"/>
        </w:rPr>
        <w:t>Item 9</w:t>
      </w:r>
      <w:r w:rsidRPr="005B0F09">
        <w:rPr>
          <w:iCs/>
          <w:color w:val="auto"/>
          <w:szCs w:val="24"/>
        </w:rPr>
        <w:t xml:space="preserve"> </w:t>
      </w:r>
      <w:r w:rsidR="00206477">
        <w:rPr>
          <w:iCs/>
          <w:color w:val="auto"/>
          <w:szCs w:val="24"/>
        </w:rPr>
        <w:t>omits the reference to the year “2014” in</w:t>
      </w:r>
      <w:r w:rsidRPr="005B0F09">
        <w:rPr>
          <w:iCs/>
          <w:color w:val="auto"/>
          <w:szCs w:val="24"/>
        </w:rPr>
        <w:t xml:space="preserve"> the notes in Clause</w:t>
      </w:r>
      <w:r w:rsidR="005A7F76">
        <w:rPr>
          <w:iCs/>
          <w:color w:val="auto"/>
          <w:szCs w:val="24"/>
        </w:rPr>
        <w:t>s</w:t>
      </w:r>
      <w:r w:rsidRPr="005B0F09">
        <w:rPr>
          <w:iCs/>
          <w:color w:val="auto"/>
          <w:szCs w:val="24"/>
        </w:rPr>
        <w:t xml:space="preserve"> 2 and 3 of Schedule 2 </w:t>
      </w:r>
      <w:r w:rsidR="00206477">
        <w:rPr>
          <w:iCs/>
          <w:color w:val="auto"/>
          <w:szCs w:val="24"/>
        </w:rPr>
        <w:t>to</w:t>
      </w:r>
      <w:r w:rsidRPr="005B0F09">
        <w:rPr>
          <w:iCs/>
          <w:color w:val="auto"/>
          <w:szCs w:val="24"/>
        </w:rPr>
        <w:t xml:space="preserve"> the </w:t>
      </w:r>
      <w:r w:rsidR="00206477">
        <w:rPr>
          <w:iCs/>
          <w:color w:val="auto"/>
          <w:szCs w:val="24"/>
        </w:rPr>
        <w:t xml:space="preserve">principal </w:t>
      </w:r>
      <w:r w:rsidRPr="005B0F09">
        <w:rPr>
          <w:iCs/>
          <w:color w:val="auto"/>
          <w:szCs w:val="24"/>
        </w:rPr>
        <w:t xml:space="preserve">Regulation </w:t>
      </w:r>
      <w:r w:rsidR="00206477">
        <w:rPr>
          <w:iCs/>
          <w:color w:val="auto"/>
          <w:szCs w:val="24"/>
        </w:rPr>
        <w:t xml:space="preserve">and would substitute it with a reference to the year “2018” </w:t>
      </w:r>
      <w:r w:rsidRPr="005B0F09">
        <w:rPr>
          <w:iCs/>
          <w:color w:val="auto"/>
          <w:szCs w:val="24"/>
        </w:rPr>
        <w:t>to</w:t>
      </w:r>
      <w:r>
        <w:rPr>
          <w:iCs/>
          <w:color w:val="auto"/>
          <w:szCs w:val="24"/>
        </w:rPr>
        <w:t xml:space="preserve"> reflect that, as at 2018, the </w:t>
      </w:r>
      <w:r w:rsidR="005A7F76">
        <w:rPr>
          <w:iCs/>
          <w:color w:val="auto"/>
          <w:szCs w:val="24"/>
        </w:rPr>
        <w:t xml:space="preserve">country </w:t>
      </w:r>
      <w:r>
        <w:rPr>
          <w:iCs/>
          <w:color w:val="auto"/>
          <w:szCs w:val="24"/>
        </w:rPr>
        <w:t xml:space="preserve">specific guidelines and </w:t>
      </w:r>
      <w:r w:rsidR="005A7F76">
        <w:rPr>
          <w:iCs/>
          <w:color w:val="auto"/>
          <w:szCs w:val="24"/>
        </w:rPr>
        <w:t xml:space="preserve">state </w:t>
      </w:r>
      <w:r>
        <w:rPr>
          <w:iCs/>
          <w:color w:val="auto"/>
          <w:szCs w:val="24"/>
        </w:rPr>
        <w:t xml:space="preserve">specific guidelines </w:t>
      </w:r>
      <w:r w:rsidR="00206477">
        <w:rPr>
          <w:iCs/>
          <w:color w:val="auto"/>
          <w:szCs w:val="24"/>
        </w:rPr>
        <w:t>could</w:t>
      </w:r>
      <w:r>
        <w:rPr>
          <w:iCs/>
          <w:color w:val="auto"/>
          <w:szCs w:val="24"/>
        </w:rPr>
        <w:t xml:space="preserve"> be viewed on the </w:t>
      </w:r>
      <w:r w:rsidR="00206477">
        <w:rPr>
          <w:iCs/>
          <w:color w:val="auto"/>
          <w:szCs w:val="24"/>
        </w:rPr>
        <w:t xml:space="preserve">website of the </w:t>
      </w:r>
      <w:r>
        <w:rPr>
          <w:iCs/>
          <w:color w:val="auto"/>
          <w:szCs w:val="24"/>
        </w:rPr>
        <w:t xml:space="preserve">Department of Agriculture and Water Resources. </w:t>
      </w:r>
    </w:p>
    <w:p w14:paraId="7E4663A5" w14:textId="77777777" w:rsidR="002B1DB3" w:rsidRPr="005D1ABF" w:rsidRDefault="002B1DB3" w:rsidP="005D1ABF">
      <w:pPr>
        <w:spacing w:after="0" w:line="240" w:lineRule="auto"/>
        <w:rPr>
          <w:rFonts w:ascii="Times New Roman" w:hAnsi="Times New Roman" w:cs="Times New Roman"/>
          <w:sz w:val="24"/>
          <w:szCs w:val="24"/>
        </w:rPr>
      </w:pPr>
    </w:p>
    <w:p w14:paraId="6D69B81C" w14:textId="77777777" w:rsidR="002B1DB3" w:rsidRPr="005D1ABF" w:rsidRDefault="002B1DB3" w:rsidP="005D1ABF">
      <w:pPr>
        <w:spacing w:after="0" w:line="240" w:lineRule="auto"/>
        <w:rPr>
          <w:rFonts w:ascii="Times New Roman" w:hAnsi="Times New Roman" w:cs="Times New Roman"/>
          <w:sz w:val="24"/>
          <w:szCs w:val="24"/>
        </w:rPr>
      </w:pPr>
    </w:p>
    <w:p w14:paraId="0BC8FE17"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38C86BD5" w14:textId="77777777" w:rsidR="004B6118" w:rsidRPr="009329F7" w:rsidRDefault="004B6118" w:rsidP="004B6118">
      <w:pPr>
        <w:pStyle w:val="Normal-em"/>
        <w:spacing w:after="0" w:line="240" w:lineRule="auto"/>
        <w:jc w:val="right"/>
        <w:rPr>
          <w:b/>
          <w:caps/>
          <w:szCs w:val="24"/>
          <w:u w:val="single"/>
        </w:rPr>
      </w:pPr>
      <w:bookmarkStart w:id="0" w:name="_GoBack"/>
      <w:bookmarkEnd w:id="0"/>
      <w:r w:rsidRPr="009329F7">
        <w:rPr>
          <w:b/>
          <w:caps/>
          <w:szCs w:val="24"/>
          <w:u w:val="single"/>
        </w:rPr>
        <w:lastRenderedPageBreak/>
        <w:t>Attachment B</w:t>
      </w:r>
    </w:p>
    <w:p w14:paraId="7BDD9C0C" w14:textId="77777777" w:rsidR="002B1DB3" w:rsidRPr="005D1ABF" w:rsidRDefault="002B1DB3" w:rsidP="005D1ABF">
      <w:pPr>
        <w:spacing w:after="0" w:line="240" w:lineRule="auto"/>
        <w:rPr>
          <w:rFonts w:ascii="Times New Roman" w:hAnsi="Times New Roman" w:cs="Times New Roman"/>
          <w:sz w:val="24"/>
          <w:szCs w:val="24"/>
        </w:rPr>
      </w:pPr>
    </w:p>
    <w:p w14:paraId="7FB8781C"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62E4BED5"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7C79EA89" w14:textId="77777777" w:rsidR="002B1DB3" w:rsidRPr="005D1ABF" w:rsidRDefault="002B1DB3" w:rsidP="005D1ABF">
      <w:pPr>
        <w:spacing w:after="0" w:line="240" w:lineRule="auto"/>
        <w:jc w:val="center"/>
        <w:rPr>
          <w:rFonts w:ascii="Times New Roman" w:hAnsi="Times New Roman" w:cs="Times New Roman"/>
          <w:sz w:val="24"/>
          <w:szCs w:val="24"/>
        </w:rPr>
      </w:pPr>
    </w:p>
    <w:p w14:paraId="6C277EF4" w14:textId="77777777" w:rsidR="002B1DB3" w:rsidRPr="0090175D" w:rsidRDefault="0090175D" w:rsidP="005D1ABF">
      <w:pPr>
        <w:spacing w:after="0" w:line="240" w:lineRule="auto"/>
        <w:jc w:val="center"/>
        <w:rPr>
          <w:rFonts w:ascii="Times New Roman" w:hAnsi="Times New Roman" w:cs="Times New Roman"/>
          <w:b/>
          <w:sz w:val="24"/>
          <w:szCs w:val="24"/>
        </w:rPr>
      </w:pPr>
      <w:r w:rsidRPr="0090175D">
        <w:rPr>
          <w:rFonts w:ascii="Times New Roman" w:hAnsi="Times New Roman" w:cs="Times New Roman"/>
          <w:b/>
          <w:sz w:val="24"/>
          <w:szCs w:val="24"/>
          <w:u w:val="single"/>
        </w:rPr>
        <w:t>Illegal Logging Prohibition Amendment (Due Diligence Improvements) Regulations 2018</w:t>
      </w:r>
    </w:p>
    <w:p w14:paraId="423E5A24" w14:textId="77777777" w:rsidR="002B1DB3" w:rsidRPr="005D1ABF" w:rsidRDefault="002B1DB3" w:rsidP="005D1ABF">
      <w:pPr>
        <w:spacing w:after="0" w:line="240" w:lineRule="auto"/>
        <w:jc w:val="center"/>
        <w:rPr>
          <w:rFonts w:ascii="Times New Roman" w:hAnsi="Times New Roman" w:cs="Times New Roman"/>
          <w:sz w:val="24"/>
          <w:szCs w:val="24"/>
        </w:rPr>
      </w:pPr>
    </w:p>
    <w:p w14:paraId="6D14E886"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56294787" w14:textId="77777777" w:rsidR="002B1DB3" w:rsidRPr="005D1ABF" w:rsidRDefault="002B1DB3" w:rsidP="005D1ABF">
      <w:pPr>
        <w:spacing w:after="0" w:line="240" w:lineRule="auto"/>
        <w:rPr>
          <w:rFonts w:ascii="Times New Roman" w:hAnsi="Times New Roman" w:cs="Times New Roman"/>
          <w:sz w:val="24"/>
          <w:szCs w:val="24"/>
        </w:rPr>
      </w:pPr>
    </w:p>
    <w:p w14:paraId="08A9E0C9"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78213138" w14:textId="0C15F747" w:rsidR="00EF4A4D" w:rsidRPr="002075E1" w:rsidRDefault="0090175D" w:rsidP="00EF4A4D">
      <w:pPr>
        <w:tabs>
          <w:tab w:val="right" w:pos="9072"/>
        </w:tabs>
        <w:spacing w:after="0" w:line="240" w:lineRule="auto"/>
        <w:rPr>
          <w:rFonts w:ascii="Times New Roman" w:hAnsi="Times New Roman" w:cs="Times New Roman"/>
          <w:sz w:val="24"/>
        </w:rPr>
      </w:pPr>
      <w:r w:rsidRPr="00992491">
        <w:rPr>
          <w:rFonts w:ascii="Times New Roman" w:hAnsi="Times New Roman" w:cs="Times New Roman"/>
          <w:sz w:val="24"/>
          <w:szCs w:val="24"/>
        </w:rPr>
        <w:t xml:space="preserve">The </w:t>
      </w:r>
      <w:r w:rsidRPr="00992491">
        <w:rPr>
          <w:rFonts w:ascii="Times New Roman" w:hAnsi="Times New Roman" w:cs="Times New Roman"/>
          <w:i/>
          <w:sz w:val="24"/>
          <w:szCs w:val="24"/>
        </w:rPr>
        <w:t>Illegal Logging Prohibition Amendment (</w:t>
      </w:r>
      <w:r w:rsidR="001F2169" w:rsidRPr="00992491">
        <w:rPr>
          <w:rFonts w:ascii="Times New Roman" w:hAnsi="Times New Roman" w:cs="Times New Roman"/>
          <w:i/>
          <w:sz w:val="24"/>
          <w:szCs w:val="24"/>
        </w:rPr>
        <w:t>Due Diligence Improvements</w:t>
      </w:r>
      <w:r w:rsidRPr="00992491">
        <w:rPr>
          <w:rFonts w:ascii="Times New Roman" w:hAnsi="Times New Roman" w:cs="Times New Roman"/>
          <w:i/>
          <w:sz w:val="24"/>
          <w:szCs w:val="24"/>
        </w:rPr>
        <w:t>) Regulation</w:t>
      </w:r>
      <w:r w:rsidR="001F2169" w:rsidRPr="00992491">
        <w:rPr>
          <w:rFonts w:ascii="Times New Roman" w:hAnsi="Times New Roman" w:cs="Times New Roman"/>
          <w:i/>
          <w:sz w:val="24"/>
          <w:szCs w:val="24"/>
        </w:rPr>
        <w:t>s</w:t>
      </w:r>
      <w:r w:rsidRPr="00992491">
        <w:rPr>
          <w:rFonts w:ascii="Times New Roman" w:hAnsi="Times New Roman" w:cs="Times New Roman"/>
          <w:i/>
          <w:sz w:val="24"/>
          <w:szCs w:val="24"/>
        </w:rPr>
        <w:t xml:space="preserve"> 201</w:t>
      </w:r>
      <w:r w:rsidR="001F2169" w:rsidRPr="00992491">
        <w:rPr>
          <w:rFonts w:ascii="Times New Roman" w:hAnsi="Times New Roman" w:cs="Times New Roman"/>
          <w:i/>
          <w:sz w:val="24"/>
          <w:szCs w:val="24"/>
        </w:rPr>
        <w:t>8</w:t>
      </w:r>
      <w:r w:rsidRPr="00992491">
        <w:rPr>
          <w:rFonts w:ascii="Times New Roman" w:hAnsi="Times New Roman" w:cs="Times New Roman"/>
          <w:sz w:val="24"/>
          <w:szCs w:val="24"/>
        </w:rPr>
        <w:t xml:space="preserve"> amend the </w:t>
      </w:r>
      <w:r w:rsidRPr="00992491">
        <w:rPr>
          <w:rFonts w:ascii="Times New Roman" w:hAnsi="Times New Roman" w:cs="Times New Roman"/>
          <w:i/>
          <w:sz w:val="24"/>
          <w:szCs w:val="24"/>
        </w:rPr>
        <w:t>Illegal Logging Prohibition Regulation 2012</w:t>
      </w:r>
      <w:r w:rsidRPr="00992491">
        <w:rPr>
          <w:rFonts w:ascii="Times New Roman" w:hAnsi="Times New Roman" w:cs="Times New Roman"/>
          <w:sz w:val="24"/>
          <w:szCs w:val="24"/>
        </w:rPr>
        <w:t xml:space="preserve"> </w:t>
      </w:r>
      <w:r w:rsidR="00EF4A4D" w:rsidRPr="00992491">
        <w:rPr>
          <w:rFonts w:ascii="Times New Roman" w:hAnsi="Times New Roman" w:cs="Times New Roman"/>
          <w:sz w:val="24"/>
        </w:rPr>
        <w:t xml:space="preserve">to add new and revised country specific guidelines to Schedule 2, and to apply a ‘reasonableness’ standard an importer or processor </w:t>
      </w:r>
      <w:r w:rsidR="00732387">
        <w:rPr>
          <w:rFonts w:ascii="Times New Roman" w:hAnsi="Times New Roman" w:cs="Times New Roman"/>
          <w:sz w:val="24"/>
        </w:rPr>
        <w:t xml:space="preserve">must </w:t>
      </w:r>
      <w:r w:rsidR="00EF4A4D" w:rsidRPr="00992491">
        <w:rPr>
          <w:rFonts w:ascii="Times New Roman" w:hAnsi="Times New Roman" w:cs="Times New Roman"/>
          <w:sz w:val="24"/>
        </w:rPr>
        <w:t>meet when using the ‘timber legality frameworks’ risk assessment optional process as part of their due diligence.</w:t>
      </w:r>
      <w:r w:rsidR="00EF4A4D" w:rsidRPr="002075E1">
        <w:rPr>
          <w:rFonts w:ascii="Times New Roman" w:hAnsi="Times New Roman" w:cs="Times New Roman"/>
          <w:sz w:val="24"/>
        </w:rPr>
        <w:t xml:space="preserve"> </w:t>
      </w:r>
    </w:p>
    <w:p w14:paraId="2C6A2602" w14:textId="77777777" w:rsidR="002B1DB3" w:rsidRPr="005D1ABF" w:rsidRDefault="002B1DB3" w:rsidP="00EF4A4D">
      <w:pPr>
        <w:tabs>
          <w:tab w:val="left" w:pos="1701"/>
          <w:tab w:val="right" w:pos="9072"/>
        </w:tabs>
        <w:spacing w:after="0" w:line="240" w:lineRule="auto"/>
        <w:rPr>
          <w:rFonts w:ascii="Times New Roman" w:hAnsi="Times New Roman" w:cs="Times New Roman"/>
          <w:sz w:val="24"/>
          <w:szCs w:val="24"/>
        </w:rPr>
      </w:pPr>
    </w:p>
    <w:p w14:paraId="7F40ED85"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8E4FC80"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03B7BE01" w14:textId="77777777" w:rsidR="002B1DB3" w:rsidRPr="005D1ABF" w:rsidRDefault="002B1DB3" w:rsidP="005D1ABF">
      <w:pPr>
        <w:spacing w:after="0" w:line="240" w:lineRule="auto"/>
        <w:rPr>
          <w:rFonts w:ascii="Times New Roman" w:hAnsi="Times New Roman" w:cs="Times New Roman"/>
          <w:sz w:val="24"/>
          <w:szCs w:val="24"/>
        </w:rPr>
      </w:pPr>
    </w:p>
    <w:p w14:paraId="3B00D773"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A561B43"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4460B3EE" w14:textId="77777777" w:rsidR="002B1DB3" w:rsidRPr="005D1ABF" w:rsidRDefault="002B1DB3" w:rsidP="005D1ABF">
      <w:pPr>
        <w:spacing w:after="0" w:line="240" w:lineRule="auto"/>
        <w:rPr>
          <w:rFonts w:ascii="Times New Roman" w:hAnsi="Times New Roman" w:cs="Times New Roman"/>
          <w:sz w:val="24"/>
          <w:szCs w:val="24"/>
        </w:rPr>
      </w:pPr>
    </w:p>
    <w:p w14:paraId="4CE37C17" w14:textId="77777777" w:rsidR="002B1DB3" w:rsidRPr="005D1ABF" w:rsidRDefault="002B1DB3" w:rsidP="005D1ABF">
      <w:pPr>
        <w:spacing w:after="0" w:line="240" w:lineRule="auto"/>
        <w:rPr>
          <w:rFonts w:ascii="Times New Roman" w:hAnsi="Times New Roman" w:cs="Times New Roman"/>
          <w:sz w:val="24"/>
          <w:szCs w:val="24"/>
        </w:rPr>
      </w:pPr>
    </w:p>
    <w:p w14:paraId="4E1C54E6" w14:textId="77777777" w:rsidR="00BE6861" w:rsidRDefault="0090175D"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w:t>
      </w:r>
      <w:r w:rsidR="00BE6861" w:rsidRPr="005D1ABF">
        <w:rPr>
          <w:rFonts w:ascii="Times New Roman" w:hAnsi="Times New Roman" w:cs="Times New Roman"/>
          <w:b/>
          <w:bCs/>
          <w:sz w:val="24"/>
          <w:szCs w:val="24"/>
        </w:rPr>
        <w:t xml:space="preserve">he Hon. </w:t>
      </w:r>
      <w:r>
        <w:rPr>
          <w:rFonts w:ascii="Times New Roman" w:hAnsi="Times New Roman" w:cs="Times New Roman"/>
          <w:b/>
          <w:bCs/>
          <w:sz w:val="24"/>
          <w:szCs w:val="24"/>
        </w:rPr>
        <w:t>Richard Colbeck</w:t>
      </w:r>
    </w:p>
    <w:p w14:paraId="00AB5254" w14:textId="47820A67" w:rsidR="00417B2D" w:rsidRPr="005D1ABF" w:rsidRDefault="00417B2D"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Assistant Minister for Agriculture and Water Resources</w:t>
      </w:r>
    </w:p>
    <w:p w14:paraId="2FF1CD87" w14:textId="77777777" w:rsidR="001920FF" w:rsidRPr="005D1ABF" w:rsidRDefault="001920FF" w:rsidP="001920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Parliamentary Secretary to the Minister for Agr</w:t>
      </w:r>
      <w:r w:rsidRPr="005D1ABF">
        <w:rPr>
          <w:rFonts w:ascii="Times New Roman" w:hAnsi="Times New Roman" w:cs="Times New Roman"/>
          <w:b/>
          <w:bCs/>
          <w:sz w:val="24"/>
          <w:szCs w:val="24"/>
        </w:rPr>
        <w:t>iculture and Water Resources</w:t>
      </w:r>
    </w:p>
    <w:p w14:paraId="6A6682F1"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79BA3BA7" w14:textId="77777777" w:rsidR="005C1AC3" w:rsidRPr="005D1ABF" w:rsidRDefault="005C1AC3" w:rsidP="005D1ABF">
      <w:pPr>
        <w:spacing w:after="0" w:line="240" w:lineRule="auto"/>
        <w:jc w:val="center"/>
        <w:rPr>
          <w:rFonts w:ascii="Times New Roman" w:hAnsi="Times New Roman" w:cs="Times New Roman"/>
          <w:sz w:val="24"/>
          <w:szCs w:val="24"/>
        </w:rPr>
      </w:pPr>
    </w:p>
    <w:p w14:paraId="788F6947"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36D9E" w14:textId="77777777" w:rsidR="00B65C14" w:rsidRDefault="00B65C14" w:rsidP="00151C54">
      <w:r>
        <w:separator/>
      </w:r>
    </w:p>
  </w:endnote>
  <w:endnote w:type="continuationSeparator" w:id="0">
    <w:p w14:paraId="27DCE4A2"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DC230" w14:textId="77777777" w:rsidR="00B65C14" w:rsidRDefault="00B65C14" w:rsidP="00151C54">
      <w:r>
        <w:separator/>
      </w:r>
    </w:p>
  </w:footnote>
  <w:footnote w:type="continuationSeparator" w:id="0">
    <w:p w14:paraId="1D40C017"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35CCC"/>
    <w:rsid w:val="000503F4"/>
    <w:rsid w:val="000629B8"/>
    <w:rsid w:val="000645AB"/>
    <w:rsid w:val="00072A12"/>
    <w:rsid w:val="00092F2C"/>
    <w:rsid w:val="000962BA"/>
    <w:rsid w:val="000976DB"/>
    <w:rsid w:val="000A52A2"/>
    <w:rsid w:val="000A65F6"/>
    <w:rsid w:val="000B129E"/>
    <w:rsid w:val="000C345A"/>
    <w:rsid w:val="000C3693"/>
    <w:rsid w:val="000D07B5"/>
    <w:rsid w:val="000D78D6"/>
    <w:rsid w:val="000E7FA4"/>
    <w:rsid w:val="000F08F2"/>
    <w:rsid w:val="00101D6C"/>
    <w:rsid w:val="00102163"/>
    <w:rsid w:val="001125D9"/>
    <w:rsid w:val="00113C4E"/>
    <w:rsid w:val="0012062A"/>
    <w:rsid w:val="00127498"/>
    <w:rsid w:val="0012775E"/>
    <w:rsid w:val="001372D1"/>
    <w:rsid w:val="0014386F"/>
    <w:rsid w:val="00151C54"/>
    <w:rsid w:val="00153032"/>
    <w:rsid w:val="001575C3"/>
    <w:rsid w:val="00161CE2"/>
    <w:rsid w:val="001669D6"/>
    <w:rsid w:val="00166FAD"/>
    <w:rsid w:val="001746B7"/>
    <w:rsid w:val="00175BD8"/>
    <w:rsid w:val="00180DEF"/>
    <w:rsid w:val="001813AC"/>
    <w:rsid w:val="0018228A"/>
    <w:rsid w:val="00191B21"/>
    <w:rsid w:val="001920FF"/>
    <w:rsid w:val="001A5CE3"/>
    <w:rsid w:val="001A7465"/>
    <w:rsid w:val="001C09FB"/>
    <w:rsid w:val="001D006D"/>
    <w:rsid w:val="001D6F1D"/>
    <w:rsid w:val="001E1A14"/>
    <w:rsid w:val="001E6727"/>
    <w:rsid w:val="001E6D66"/>
    <w:rsid w:val="001F2169"/>
    <w:rsid w:val="001F47AF"/>
    <w:rsid w:val="001F5A48"/>
    <w:rsid w:val="00203AAB"/>
    <w:rsid w:val="00206477"/>
    <w:rsid w:val="00224D28"/>
    <w:rsid w:val="002713CB"/>
    <w:rsid w:val="00271C2E"/>
    <w:rsid w:val="002737B5"/>
    <w:rsid w:val="00273C11"/>
    <w:rsid w:val="0029727D"/>
    <w:rsid w:val="002A2C95"/>
    <w:rsid w:val="002A500B"/>
    <w:rsid w:val="002B1DB3"/>
    <w:rsid w:val="002B2B54"/>
    <w:rsid w:val="002B7F09"/>
    <w:rsid w:val="002D2972"/>
    <w:rsid w:val="002D3CE5"/>
    <w:rsid w:val="002D41BA"/>
    <w:rsid w:val="002F2F4C"/>
    <w:rsid w:val="003015AF"/>
    <w:rsid w:val="003064B1"/>
    <w:rsid w:val="003228F6"/>
    <w:rsid w:val="003710C0"/>
    <w:rsid w:val="003869BF"/>
    <w:rsid w:val="003A2479"/>
    <w:rsid w:val="003A3A60"/>
    <w:rsid w:val="003A580B"/>
    <w:rsid w:val="003C3B25"/>
    <w:rsid w:val="003D6D6F"/>
    <w:rsid w:val="003E0906"/>
    <w:rsid w:val="003E5CA0"/>
    <w:rsid w:val="003F3191"/>
    <w:rsid w:val="00402F72"/>
    <w:rsid w:val="00417598"/>
    <w:rsid w:val="00417B2D"/>
    <w:rsid w:val="004223EC"/>
    <w:rsid w:val="00424147"/>
    <w:rsid w:val="00442785"/>
    <w:rsid w:val="004433E6"/>
    <w:rsid w:val="004565E0"/>
    <w:rsid w:val="004607C8"/>
    <w:rsid w:val="00461420"/>
    <w:rsid w:val="00470AE8"/>
    <w:rsid w:val="00483CF0"/>
    <w:rsid w:val="00485C1E"/>
    <w:rsid w:val="004A3A20"/>
    <w:rsid w:val="004B0DD7"/>
    <w:rsid w:val="004B4774"/>
    <w:rsid w:val="004B6118"/>
    <w:rsid w:val="004C276E"/>
    <w:rsid w:val="004C5892"/>
    <w:rsid w:val="004D257B"/>
    <w:rsid w:val="004E5E21"/>
    <w:rsid w:val="004F1D7D"/>
    <w:rsid w:val="0050279C"/>
    <w:rsid w:val="00503D12"/>
    <w:rsid w:val="00505F30"/>
    <w:rsid w:val="00524522"/>
    <w:rsid w:val="0054122E"/>
    <w:rsid w:val="00543544"/>
    <w:rsid w:val="00547846"/>
    <w:rsid w:val="005505AB"/>
    <w:rsid w:val="00564471"/>
    <w:rsid w:val="005664BC"/>
    <w:rsid w:val="00571F4B"/>
    <w:rsid w:val="00572C90"/>
    <w:rsid w:val="00580488"/>
    <w:rsid w:val="00582E28"/>
    <w:rsid w:val="00587844"/>
    <w:rsid w:val="00593C11"/>
    <w:rsid w:val="005A7F76"/>
    <w:rsid w:val="005B6B55"/>
    <w:rsid w:val="005B759C"/>
    <w:rsid w:val="005C1AC3"/>
    <w:rsid w:val="005C4C6F"/>
    <w:rsid w:val="005C7337"/>
    <w:rsid w:val="005D1ABF"/>
    <w:rsid w:val="005D32CF"/>
    <w:rsid w:val="005D53EF"/>
    <w:rsid w:val="005E3D4B"/>
    <w:rsid w:val="005F66F2"/>
    <w:rsid w:val="006022C4"/>
    <w:rsid w:val="006327D8"/>
    <w:rsid w:val="00633472"/>
    <w:rsid w:val="006345C5"/>
    <w:rsid w:val="006400BC"/>
    <w:rsid w:val="00647581"/>
    <w:rsid w:val="0064772B"/>
    <w:rsid w:val="00650566"/>
    <w:rsid w:val="00652426"/>
    <w:rsid w:val="00653C86"/>
    <w:rsid w:val="006553D3"/>
    <w:rsid w:val="0066308B"/>
    <w:rsid w:val="0068179C"/>
    <w:rsid w:val="00690055"/>
    <w:rsid w:val="006A320D"/>
    <w:rsid w:val="006E03BA"/>
    <w:rsid w:val="006E6178"/>
    <w:rsid w:val="00700F91"/>
    <w:rsid w:val="00720AEC"/>
    <w:rsid w:val="00724542"/>
    <w:rsid w:val="00725DC1"/>
    <w:rsid w:val="00732387"/>
    <w:rsid w:val="00734BCB"/>
    <w:rsid w:val="00745BFD"/>
    <w:rsid w:val="007610EB"/>
    <w:rsid w:val="00767639"/>
    <w:rsid w:val="00767D95"/>
    <w:rsid w:val="00784976"/>
    <w:rsid w:val="00794F9C"/>
    <w:rsid w:val="007B3C0B"/>
    <w:rsid w:val="007B3C56"/>
    <w:rsid w:val="007C45D8"/>
    <w:rsid w:val="007F21BF"/>
    <w:rsid w:val="007F5C38"/>
    <w:rsid w:val="00813B12"/>
    <w:rsid w:val="008224BE"/>
    <w:rsid w:val="00822A13"/>
    <w:rsid w:val="0082572E"/>
    <w:rsid w:val="008300B9"/>
    <w:rsid w:val="00841053"/>
    <w:rsid w:val="0084722A"/>
    <w:rsid w:val="0085100D"/>
    <w:rsid w:val="00853FE7"/>
    <w:rsid w:val="00870516"/>
    <w:rsid w:val="00877C5B"/>
    <w:rsid w:val="0089597A"/>
    <w:rsid w:val="00896EBE"/>
    <w:rsid w:val="0089780D"/>
    <w:rsid w:val="008B370D"/>
    <w:rsid w:val="008B73F3"/>
    <w:rsid w:val="008C1C7B"/>
    <w:rsid w:val="008C3F1D"/>
    <w:rsid w:val="008D29F0"/>
    <w:rsid w:val="008D4378"/>
    <w:rsid w:val="0090175D"/>
    <w:rsid w:val="009152CA"/>
    <w:rsid w:val="00922C40"/>
    <w:rsid w:val="00932359"/>
    <w:rsid w:val="009517E9"/>
    <w:rsid w:val="009548CB"/>
    <w:rsid w:val="00961FB9"/>
    <w:rsid w:val="00962731"/>
    <w:rsid w:val="00973468"/>
    <w:rsid w:val="009908D6"/>
    <w:rsid w:val="00992491"/>
    <w:rsid w:val="00992814"/>
    <w:rsid w:val="00995D93"/>
    <w:rsid w:val="009A11A2"/>
    <w:rsid w:val="009A38F6"/>
    <w:rsid w:val="009B3BDE"/>
    <w:rsid w:val="009D3142"/>
    <w:rsid w:val="009E61C5"/>
    <w:rsid w:val="00A06C09"/>
    <w:rsid w:val="00A351C1"/>
    <w:rsid w:val="00A37FDF"/>
    <w:rsid w:val="00A426C7"/>
    <w:rsid w:val="00A629BA"/>
    <w:rsid w:val="00A73D08"/>
    <w:rsid w:val="00A806A9"/>
    <w:rsid w:val="00A92EDB"/>
    <w:rsid w:val="00A94BA3"/>
    <w:rsid w:val="00AA2902"/>
    <w:rsid w:val="00AB5277"/>
    <w:rsid w:val="00AD4432"/>
    <w:rsid w:val="00B030B7"/>
    <w:rsid w:val="00B13296"/>
    <w:rsid w:val="00B20EBE"/>
    <w:rsid w:val="00B2210F"/>
    <w:rsid w:val="00B2351E"/>
    <w:rsid w:val="00B26C7F"/>
    <w:rsid w:val="00B37AB7"/>
    <w:rsid w:val="00B452D1"/>
    <w:rsid w:val="00B54E23"/>
    <w:rsid w:val="00B57443"/>
    <w:rsid w:val="00B65C14"/>
    <w:rsid w:val="00B66DFF"/>
    <w:rsid w:val="00B70023"/>
    <w:rsid w:val="00B80A1E"/>
    <w:rsid w:val="00B8434D"/>
    <w:rsid w:val="00BA0B39"/>
    <w:rsid w:val="00BB2450"/>
    <w:rsid w:val="00BB4AD3"/>
    <w:rsid w:val="00BB4CD3"/>
    <w:rsid w:val="00BB7041"/>
    <w:rsid w:val="00BC12A9"/>
    <w:rsid w:val="00BC6B2F"/>
    <w:rsid w:val="00BD2C4D"/>
    <w:rsid w:val="00BD34E3"/>
    <w:rsid w:val="00BD3594"/>
    <w:rsid w:val="00BE6861"/>
    <w:rsid w:val="00C06F49"/>
    <w:rsid w:val="00C1311B"/>
    <w:rsid w:val="00C142FA"/>
    <w:rsid w:val="00C154F5"/>
    <w:rsid w:val="00C32367"/>
    <w:rsid w:val="00C34ECD"/>
    <w:rsid w:val="00C36CC7"/>
    <w:rsid w:val="00C463C2"/>
    <w:rsid w:val="00C52CC5"/>
    <w:rsid w:val="00C55BA8"/>
    <w:rsid w:val="00C57334"/>
    <w:rsid w:val="00C81402"/>
    <w:rsid w:val="00C9474A"/>
    <w:rsid w:val="00CB15BA"/>
    <w:rsid w:val="00CB26E2"/>
    <w:rsid w:val="00CC0562"/>
    <w:rsid w:val="00CD7150"/>
    <w:rsid w:val="00CE72E2"/>
    <w:rsid w:val="00CE73AE"/>
    <w:rsid w:val="00CF18DD"/>
    <w:rsid w:val="00CF1E27"/>
    <w:rsid w:val="00CF2006"/>
    <w:rsid w:val="00CF7161"/>
    <w:rsid w:val="00D0550D"/>
    <w:rsid w:val="00D076DD"/>
    <w:rsid w:val="00D121A6"/>
    <w:rsid w:val="00D20A3A"/>
    <w:rsid w:val="00D45E13"/>
    <w:rsid w:val="00D557BA"/>
    <w:rsid w:val="00D648C1"/>
    <w:rsid w:val="00D70F10"/>
    <w:rsid w:val="00D73E39"/>
    <w:rsid w:val="00D812B1"/>
    <w:rsid w:val="00D93E42"/>
    <w:rsid w:val="00D94971"/>
    <w:rsid w:val="00DA2671"/>
    <w:rsid w:val="00DD2C31"/>
    <w:rsid w:val="00DE2038"/>
    <w:rsid w:val="00DE2764"/>
    <w:rsid w:val="00DE6B9D"/>
    <w:rsid w:val="00DF3B5B"/>
    <w:rsid w:val="00DF3F6E"/>
    <w:rsid w:val="00DF6291"/>
    <w:rsid w:val="00E033F5"/>
    <w:rsid w:val="00E17A7C"/>
    <w:rsid w:val="00E34976"/>
    <w:rsid w:val="00E555F7"/>
    <w:rsid w:val="00E57D7B"/>
    <w:rsid w:val="00E70274"/>
    <w:rsid w:val="00E76AB5"/>
    <w:rsid w:val="00E922D3"/>
    <w:rsid w:val="00E9571B"/>
    <w:rsid w:val="00EA5B7C"/>
    <w:rsid w:val="00EA7474"/>
    <w:rsid w:val="00EB2CE7"/>
    <w:rsid w:val="00EC4AD6"/>
    <w:rsid w:val="00EE0A3F"/>
    <w:rsid w:val="00EF4A4D"/>
    <w:rsid w:val="00F11BB3"/>
    <w:rsid w:val="00F12365"/>
    <w:rsid w:val="00F276A5"/>
    <w:rsid w:val="00F42EE4"/>
    <w:rsid w:val="00F43065"/>
    <w:rsid w:val="00F53F66"/>
    <w:rsid w:val="00F716C4"/>
    <w:rsid w:val="00F91F38"/>
    <w:rsid w:val="00F92B8E"/>
    <w:rsid w:val="00F95723"/>
    <w:rsid w:val="00FA26FF"/>
    <w:rsid w:val="00FA65D3"/>
    <w:rsid w:val="00FB4B41"/>
    <w:rsid w:val="00FD17BF"/>
    <w:rsid w:val="00FD5B5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0BBBFF4"/>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boxtext">
    <w:name w:val="boxtext"/>
    <w:basedOn w:val="Normal"/>
    <w:rsid w:val="00F276A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169A-70AC-4269-BCF1-AAF42DF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DAWR</cp:lastModifiedBy>
  <cp:revision>2</cp:revision>
  <cp:lastPrinted>2018-10-23T22:31:00Z</cp:lastPrinted>
  <dcterms:created xsi:type="dcterms:W3CDTF">2018-10-29T00:40:00Z</dcterms:created>
  <dcterms:modified xsi:type="dcterms:W3CDTF">2018-10-29T00:40:00Z</dcterms:modified>
</cp:coreProperties>
</file>