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4E47B" w14:textId="77777777" w:rsidR="00703828" w:rsidRPr="00E318F7" w:rsidRDefault="00703828" w:rsidP="00703828">
      <w:pPr>
        <w:rPr>
          <w:rFonts w:ascii="Times New Roman" w:hAnsi="Times New Roman" w:cs="Times New Roman"/>
          <w:sz w:val="28"/>
        </w:rPr>
      </w:pPr>
      <w:r w:rsidRPr="00E318F7">
        <w:rPr>
          <w:rFonts w:ascii="Times New Roman" w:hAnsi="Times New Roman" w:cs="Times New Roman"/>
          <w:noProof/>
          <w:lang w:eastAsia="en-AU"/>
        </w:rPr>
        <w:drawing>
          <wp:inline distT="0" distB="0" distL="0" distR="0" wp14:anchorId="1F154631" wp14:editId="0E328126">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94E0F42" w14:textId="77777777" w:rsidR="00703828" w:rsidRPr="00E318F7" w:rsidRDefault="00703828" w:rsidP="00703828">
      <w:pPr>
        <w:rPr>
          <w:rFonts w:ascii="Times New Roman" w:hAnsi="Times New Roman" w:cs="Times New Roman"/>
          <w:sz w:val="19"/>
        </w:rPr>
      </w:pPr>
    </w:p>
    <w:p w14:paraId="22AC493F" w14:textId="77777777" w:rsidR="00703828" w:rsidRPr="00E318F7" w:rsidRDefault="0093766A" w:rsidP="00703828">
      <w:pPr>
        <w:pStyle w:val="ShortT"/>
      </w:pPr>
      <w:r>
        <w:t>Radiocommunications (</w:t>
      </w:r>
      <w:r w:rsidR="00700DEA">
        <w:t>VHF Radiotelephone Equipment – Maritime Mobile Service) Standard</w:t>
      </w:r>
      <w:r w:rsidR="004303DD">
        <w:t xml:space="preserve"> 201</w:t>
      </w:r>
      <w:r w:rsidR="00D36897">
        <w:t>8</w:t>
      </w:r>
    </w:p>
    <w:p w14:paraId="4682A970" w14:textId="77777777" w:rsidR="00703828" w:rsidRPr="00E318F7" w:rsidRDefault="00703828" w:rsidP="00703828">
      <w:pPr>
        <w:pStyle w:val="SignCoverPageStart"/>
        <w:spacing w:before="0" w:line="240" w:lineRule="auto"/>
        <w:rPr>
          <w:szCs w:val="22"/>
        </w:rPr>
      </w:pPr>
    </w:p>
    <w:p w14:paraId="1DAB0655" w14:textId="77777777" w:rsidR="00703828" w:rsidRPr="001E45EA" w:rsidRDefault="00703828" w:rsidP="00E0761D">
      <w:pPr>
        <w:pStyle w:val="SignCoverPageStart"/>
        <w:spacing w:before="0" w:line="240" w:lineRule="auto"/>
        <w:jc w:val="left"/>
        <w:rPr>
          <w:szCs w:val="22"/>
        </w:rPr>
      </w:pPr>
      <w:r w:rsidRPr="00E318F7">
        <w:rPr>
          <w:szCs w:val="22"/>
        </w:rPr>
        <w:t xml:space="preserve">The Australian Communications and Media Authority makes the following </w:t>
      </w:r>
      <w:r w:rsidR="004303DD">
        <w:rPr>
          <w:szCs w:val="22"/>
        </w:rPr>
        <w:t>standard</w:t>
      </w:r>
      <w:r w:rsidR="001E45EA" w:rsidRPr="001E45EA">
        <w:rPr>
          <w:szCs w:val="22"/>
        </w:rPr>
        <w:t xml:space="preserve"> </w:t>
      </w:r>
      <w:r w:rsidR="001E45EA">
        <w:rPr>
          <w:szCs w:val="22"/>
        </w:rPr>
        <w:t xml:space="preserve">under </w:t>
      </w:r>
      <w:r w:rsidR="009B45CF">
        <w:rPr>
          <w:szCs w:val="22"/>
        </w:rPr>
        <w:t>subsection</w:t>
      </w:r>
      <w:r w:rsidR="004303DD">
        <w:rPr>
          <w:szCs w:val="22"/>
        </w:rPr>
        <w:t xml:space="preserve"> 162(1)</w:t>
      </w:r>
      <w:r w:rsidR="001E45EA">
        <w:t xml:space="preserve"> of the </w:t>
      </w:r>
      <w:r w:rsidR="004303DD">
        <w:rPr>
          <w:i/>
        </w:rPr>
        <w:t>Radiocommunications Act 1992</w:t>
      </w:r>
      <w:r w:rsidR="001E45EA">
        <w:t>.</w:t>
      </w:r>
    </w:p>
    <w:p w14:paraId="451E99C9" w14:textId="16F9B344" w:rsidR="00703828" w:rsidRDefault="00703828" w:rsidP="00703828">
      <w:pPr>
        <w:keepNext/>
        <w:spacing w:before="300" w:line="240" w:lineRule="atLeast"/>
        <w:ind w:right="397"/>
        <w:jc w:val="both"/>
        <w:rPr>
          <w:rFonts w:ascii="Times New Roman" w:hAnsi="Times New Roman" w:cs="Times New Roman"/>
        </w:rPr>
      </w:pPr>
      <w:r w:rsidRPr="00E318F7">
        <w:rPr>
          <w:rFonts w:ascii="Times New Roman" w:hAnsi="Times New Roman" w:cs="Times New Roman"/>
        </w:rPr>
        <w:t>Dated</w:t>
      </w:r>
      <w:bookmarkStart w:id="0" w:name="BKCheck15B_1"/>
      <w:bookmarkEnd w:id="0"/>
      <w:r w:rsidRPr="00E318F7">
        <w:rPr>
          <w:rFonts w:ascii="Times New Roman" w:hAnsi="Times New Roman" w:cs="Times New Roman"/>
        </w:rPr>
        <w:t>:</w:t>
      </w:r>
      <w:r w:rsidR="002C3070">
        <w:rPr>
          <w:rFonts w:ascii="Times New Roman" w:hAnsi="Times New Roman" w:cs="Times New Roman"/>
        </w:rPr>
        <w:t xml:space="preserve"> 23 November 2018</w:t>
      </w:r>
    </w:p>
    <w:p w14:paraId="045EFFF0" w14:textId="77777777" w:rsidR="002C3070" w:rsidRPr="00E318F7" w:rsidRDefault="002C3070" w:rsidP="00703828">
      <w:pPr>
        <w:keepNext/>
        <w:spacing w:before="300" w:line="240" w:lineRule="atLeast"/>
        <w:ind w:right="397"/>
        <w:jc w:val="both"/>
        <w:rPr>
          <w:rFonts w:ascii="Times New Roman" w:hAnsi="Times New Roman" w:cs="Times New Roman"/>
        </w:rPr>
      </w:pPr>
    </w:p>
    <w:p w14:paraId="62B14681" w14:textId="1B4F1DD6" w:rsidR="002C3070" w:rsidRDefault="002C3070" w:rsidP="002C3070">
      <w:pPr>
        <w:tabs>
          <w:tab w:val="left" w:pos="3119"/>
        </w:tabs>
        <w:spacing w:after="0" w:line="300" w:lineRule="atLeast"/>
        <w:ind w:right="375"/>
        <w:jc w:val="right"/>
        <w:rPr>
          <w:rFonts w:ascii="Times New Roman" w:hAnsi="Times New Roman" w:cs="Times New Roman"/>
        </w:rPr>
      </w:pPr>
      <w:proofErr w:type="spellStart"/>
      <w:r>
        <w:rPr>
          <w:rFonts w:ascii="Times New Roman" w:hAnsi="Times New Roman" w:cs="Times New Roman"/>
        </w:rPr>
        <w:t>Nerida</w:t>
      </w:r>
      <w:proofErr w:type="spellEnd"/>
      <w:r>
        <w:rPr>
          <w:rFonts w:ascii="Times New Roman" w:hAnsi="Times New Roman" w:cs="Times New Roman"/>
        </w:rPr>
        <w:t xml:space="preserve"> O’Loughlin</w:t>
      </w:r>
    </w:p>
    <w:p w14:paraId="69DD50DE" w14:textId="17A19237" w:rsidR="002C3070" w:rsidRDefault="00D26669" w:rsidP="002C3070">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41FE829F" w14:textId="36800F72" w:rsidR="00703828" w:rsidRDefault="00703828" w:rsidP="002C3070">
      <w:pPr>
        <w:tabs>
          <w:tab w:val="left" w:pos="3119"/>
        </w:tabs>
        <w:spacing w:after="0" w:line="300" w:lineRule="atLeast"/>
        <w:ind w:right="375"/>
        <w:jc w:val="right"/>
        <w:rPr>
          <w:rFonts w:ascii="Times New Roman" w:hAnsi="Times New Roman" w:cs="Times New Roman"/>
        </w:rPr>
      </w:pPr>
      <w:r w:rsidRPr="00E318F7">
        <w:rPr>
          <w:rFonts w:ascii="Times New Roman" w:hAnsi="Times New Roman" w:cs="Times New Roman"/>
        </w:rPr>
        <w:t>Member</w:t>
      </w:r>
      <w:bookmarkStart w:id="1" w:name="Minister"/>
    </w:p>
    <w:p w14:paraId="5477165F" w14:textId="43EC2C07" w:rsidR="002C3070" w:rsidRDefault="002C3070" w:rsidP="002C3070">
      <w:pPr>
        <w:tabs>
          <w:tab w:val="left" w:pos="3119"/>
        </w:tabs>
        <w:spacing w:after="0" w:line="300" w:lineRule="atLeast"/>
        <w:ind w:right="375"/>
        <w:jc w:val="right"/>
        <w:rPr>
          <w:rFonts w:ascii="Times New Roman" w:hAnsi="Times New Roman" w:cs="Times New Roman"/>
        </w:rPr>
      </w:pPr>
    </w:p>
    <w:p w14:paraId="5661D019" w14:textId="46DB3137" w:rsidR="00D26669" w:rsidRDefault="00D26669" w:rsidP="002C3070">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Fiona Cameron</w:t>
      </w:r>
    </w:p>
    <w:p w14:paraId="6446542C" w14:textId="302475E1" w:rsidR="00D26669" w:rsidRPr="00E318F7" w:rsidRDefault="00D26669" w:rsidP="002C3070">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5BE5D5FE" w14:textId="77777777" w:rsidR="00703828" w:rsidRPr="00D26669" w:rsidRDefault="0081244E" w:rsidP="002C3070">
      <w:pPr>
        <w:tabs>
          <w:tab w:val="left" w:pos="3119"/>
        </w:tabs>
        <w:spacing w:after="0" w:line="300" w:lineRule="atLeast"/>
        <w:ind w:right="375"/>
        <w:jc w:val="right"/>
        <w:rPr>
          <w:rFonts w:ascii="Times New Roman" w:hAnsi="Times New Roman" w:cs="Times New Roman"/>
          <w:strike/>
        </w:rPr>
      </w:pPr>
      <w:r>
        <w:rPr>
          <w:rFonts w:ascii="Times New Roman" w:hAnsi="Times New Roman" w:cs="Times New Roman"/>
        </w:rPr>
        <w:t>Member</w:t>
      </w:r>
      <w:r w:rsidR="00703828" w:rsidRPr="00E318F7">
        <w:rPr>
          <w:rFonts w:ascii="Times New Roman" w:hAnsi="Times New Roman" w:cs="Times New Roman"/>
        </w:rPr>
        <w:t>/</w:t>
      </w:r>
      <w:r w:rsidR="00703828" w:rsidRPr="00D26669">
        <w:rPr>
          <w:rFonts w:ascii="Times New Roman" w:hAnsi="Times New Roman" w:cs="Times New Roman"/>
          <w:strike/>
        </w:rPr>
        <w:t>General Manager</w:t>
      </w:r>
      <w:bookmarkEnd w:id="1"/>
    </w:p>
    <w:p w14:paraId="1B4F4F03" w14:textId="77777777" w:rsidR="00703828" w:rsidRPr="00E318F7" w:rsidRDefault="00703828" w:rsidP="00703828">
      <w:pPr>
        <w:pStyle w:val="SignCoverPageEnd"/>
        <w:rPr>
          <w:szCs w:val="22"/>
        </w:rPr>
      </w:pPr>
    </w:p>
    <w:p w14:paraId="4C96E27B" w14:textId="77777777" w:rsidR="00703828" w:rsidRPr="00E318F7" w:rsidRDefault="00703828" w:rsidP="00703828">
      <w:pPr>
        <w:pStyle w:val="SignCoverPageEnd"/>
        <w:rPr>
          <w:szCs w:val="22"/>
        </w:rPr>
      </w:pPr>
      <w:r w:rsidRPr="00E318F7">
        <w:rPr>
          <w:szCs w:val="22"/>
        </w:rPr>
        <w:t>Australian Communications and M</w:t>
      </w:r>
      <w:bookmarkStart w:id="2" w:name="_GoBack"/>
      <w:bookmarkEnd w:id="2"/>
      <w:r w:rsidRPr="00E318F7">
        <w:rPr>
          <w:szCs w:val="22"/>
        </w:rPr>
        <w:t>edia Authority</w:t>
      </w:r>
    </w:p>
    <w:p w14:paraId="537B71F5" w14:textId="77777777" w:rsidR="0017734A" w:rsidRPr="00E318F7" w:rsidRDefault="0017734A">
      <w:pPr>
        <w:rPr>
          <w:rFonts w:ascii="Times New Roman" w:hAnsi="Times New Roman" w:cs="Times New Roman"/>
        </w:rPr>
      </w:pPr>
    </w:p>
    <w:p w14:paraId="41CFA5B6" w14:textId="77777777" w:rsidR="0017734A" w:rsidRPr="00E318F7" w:rsidRDefault="0017734A">
      <w:pPr>
        <w:rPr>
          <w:rFonts w:ascii="Times New Roman" w:hAnsi="Times New Roman" w:cs="Times New Roman"/>
        </w:rPr>
      </w:pPr>
    </w:p>
    <w:p w14:paraId="56150B8F" w14:textId="77777777" w:rsidR="0017734A" w:rsidRPr="00E318F7" w:rsidRDefault="0017734A">
      <w:pPr>
        <w:rPr>
          <w:rFonts w:ascii="Times New Roman" w:hAnsi="Times New Roman" w:cs="Times New Roman"/>
        </w:rPr>
        <w:sectPr w:rsidR="0017734A" w:rsidRPr="00E318F7" w:rsidSect="002F0E3F">
          <w:headerReference w:type="default" r:id="rId13"/>
          <w:footerReference w:type="default" r:id="rId14"/>
          <w:headerReference w:type="first" r:id="rId15"/>
          <w:pgSz w:w="11906" w:h="16838"/>
          <w:pgMar w:top="1440" w:right="1440" w:bottom="1440" w:left="1440" w:header="708" w:footer="708" w:gutter="0"/>
          <w:pgNumType w:start="1"/>
          <w:cols w:space="708"/>
          <w:titlePg/>
          <w:docGrid w:linePitch="360"/>
        </w:sectPr>
      </w:pPr>
    </w:p>
    <w:p w14:paraId="006961FE" w14:textId="77777777" w:rsidR="00B7359B" w:rsidRPr="00E53EBA" w:rsidRDefault="00B7359B" w:rsidP="00E53EBA">
      <w:pPr>
        <w:rPr>
          <w:rFonts w:ascii="Times New Roman" w:hAnsi="Times New Roman" w:cs="Times New Roman"/>
          <w:b/>
          <w:sz w:val="32"/>
          <w:szCs w:val="32"/>
        </w:rPr>
      </w:pPr>
      <w:bookmarkStart w:id="3" w:name="_Toc444596031"/>
      <w:r w:rsidRPr="00E53EBA">
        <w:rPr>
          <w:rFonts w:ascii="Times New Roman" w:hAnsi="Times New Roman" w:cs="Times New Roman"/>
          <w:b/>
          <w:sz w:val="32"/>
          <w:szCs w:val="32"/>
        </w:rPr>
        <w:lastRenderedPageBreak/>
        <w:t>Part 1—Preliminary</w:t>
      </w:r>
    </w:p>
    <w:p w14:paraId="65E0F61B" w14:textId="77777777" w:rsidR="00F31EC9" w:rsidRPr="008E3E51" w:rsidRDefault="00F31EC9" w:rsidP="00F31EC9">
      <w:pPr>
        <w:pStyle w:val="ActHead5"/>
      </w:pPr>
      <w:proofErr w:type="gramStart"/>
      <w:r w:rsidRPr="008E3E51">
        <w:rPr>
          <w:rStyle w:val="CharSectno"/>
        </w:rPr>
        <w:t>1</w:t>
      </w:r>
      <w:r w:rsidRPr="008E3E51">
        <w:t xml:space="preserve">  Name</w:t>
      </w:r>
      <w:proofErr w:type="gramEnd"/>
    </w:p>
    <w:p w14:paraId="024E69CB" w14:textId="77777777" w:rsidR="00F31EC9" w:rsidRPr="008E3E51" w:rsidRDefault="00F31EC9" w:rsidP="00F31EC9">
      <w:pPr>
        <w:pStyle w:val="subsection"/>
      </w:pPr>
      <w:r w:rsidRPr="008E3E51">
        <w:tab/>
      </w:r>
      <w:r w:rsidRPr="008E3E51">
        <w:tab/>
        <w:t xml:space="preserve">This </w:t>
      </w:r>
      <w:r w:rsidR="00F52640">
        <w:t xml:space="preserve">standard </w:t>
      </w:r>
      <w:r w:rsidRPr="008E3E51">
        <w:t xml:space="preserve">is the </w:t>
      </w:r>
      <w:bookmarkStart w:id="4" w:name="BKCheck15B_3"/>
      <w:bookmarkEnd w:id="4"/>
      <w:r w:rsidR="00D95FAE">
        <w:rPr>
          <w:i/>
        </w:rPr>
        <w:t>Radiocommunications (</w:t>
      </w:r>
      <w:r w:rsidR="00700DEA">
        <w:rPr>
          <w:i/>
        </w:rPr>
        <w:t>VHF Radiotelephone Equipment – Maritime Mobile Service)</w:t>
      </w:r>
      <w:r w:rsidR="00D95FAE">
        <w:rPr>
          <w:i/>
        </w:rPr>
        <w:t xml:space="preserve"> Standard 201</w:t>
      </w:r>
      <w:r w:rsidR="001C1967">
        <w:rPr>
          <w:i/>
        </w:rPr>
        <w:t>8</w:t>
      </w:r>
      <w:r w:rsidR="00D95FAE">
        <w:rPr>
          <w:i/>
        </w:rPr>
        <w:t>.</w:t>
      </w:r>
    </w:p>
    <w:p w14:paraId="153D358A" w14:textId="77777777" w:rsidR="00F31EC9" w:rsidRPr="008E3E51" w:rsidRDefault="00F31EC9" w:rsidP="00F31EC9">
      <w:pPr>
        <w:pStyle w:val="ActHead5"/>
      </w:pPr>
      <w:bookmarkStart w:id="5" w:name="_Toc444596032"/>
      <w:proofErr w:type="gramStart"/>
      <w:r w:rsidRPr="008E3E51">
        <w:rPr>
          <w:rStyle w:val="CharSectno"/>
        </w:rPr>
        <w:t>2</w:t>
      </w:r>
      <w:r w:rsidRPr="008E3E51">
        <w:t xml:space="preserve">  Commencement</w:t>
      </w:r>
      <w:bookmarkEnd w:id="5"/>
      <w:proofErr w:type="gramEnd"/>
    </w:p>
    <w:p w14:paraId="683BA9BA" w14:textId="77777777" w:rsidR="00F31EC9" w:rsidRDefault="00F31EC9" w:rsidP="00F31EC9">
      <w:pPr>
        <w:pStyle w:val="subsection"/>
      </w:pPr>
      <w:r>
        <w:tab/>
      </w:r>
      <w:r w:rsidRPr="008E3E51">
        <w:tab/>
        <w:t>This</w:t>
      </w:r>
      <w:r w:rsidR="00677DD3">
        <w:t xml:space="preserve"> standard</w:t>
      </w:r>
      <w:r>
        <w:t xml:space="preserve"> commences at the start of the day after it is registered</w:t>
      </w:r>
      <w:r w:rsidR="00BC30F7">
        <w:t xml:space="preserve"> on the Federal Register of Legislation</w:t>
      </w:r>
      <w:r>
        <w:t xml:space="preserve">. </w:t>
      </w:r>
    </w:p>
    <w:p w14:paraId="53EB370F" w14:textId="77777777" w:rsidR="00F31EC9" w:rsidRDefault="00F31EC9" w:rsidP="004C5941">
      <w:pPr>
        <w:pStyle w:val="LI-BodyTextNote"/>
        <w:spacing w:before="122"/>
        <w:ind w:left="1985" w:hanging="851"/>
      </w:pPr>
      <w:r w:rsidRPr="00F61B09">
        <w:t>Note:</w:t>
      </w:r>
      <w:r w:rsidRPr="00F61B09">
        <w:tab/>
      </w:r>
      <w:r w:rsidR="00BC30F7">
        <w:t>T</w:t>
      </w:r>
      <w:r>
        <w:t xml:space="preserve">he Federal Register of Legislation </w:t>
      </w:r>
      <w:r w:rsidRPr="00572BB1">
        <w:t xml:space="preserve">may </w:t>
      </w:r>
      <w:r>
        <w:t xml:space="preserve">be accessed at </w:t>
      </w:r>
      <w:hyperlink r:id="rId16" w:history="1">
        <w:r w:rsidR="001C3477" w:rsidRPr="00B03694">
          <w:rPr>
            <w:rStyle w:val="Hyperlink"/>
            <w:rFonts w:eastAsiaTheme="majorEastAsia"/>
          </w:rPr>
          <w:t>www.legislation.gov.au</w:t>
        </w:r>
      </w:hyperlink>
      <w:r>
        <w:t>.</w:t>
      </w:r>
    </w:p>
    <w:p w14:paraId="01AC2946" w14:textId="77777777" w:rsidR="00F31EC9" w:rsidRPr="008E3E51" w:rsidRDefault="00F31EC9" w:rsidP="00F31EC9">
      <w:pPr>
        <w:pStyle w:val="ActHead5"/>
      </w:pPr>
      <w:bookmarkStart w:id="6" w:name="_Toc444596033"/>
      <w:proofErr w:type="gramStart"/>
      <w:r w:rsidRPr="008E3E51">
        <w:rPr>
          <w:rStyle w:val="CharSectno"/>
        </w:rPr>
        <w:t>3</w:t>
      </w:r>
      <w:r w:rsidRPr="008E3E51">
        <w:t xml:space="preserve">  Authority</w:t>
      </w:r>
      <w:bookmarkEnd w:id="6"/>
      <w:proofErr w:type="gramEnd"/>
    </w:p>
    <w:p w14:paraId="44B80858" w14:textId="77777777" w:rsidR="00F31EC9" w:rsidRPr="008E3E51" w:rsidRDefault="00F31EC9" w:rsidP="00F31EC9">
      <w:pPr>
        <w:pStyle w:val="subsection"/>
      </w:pPr>
      <w:r w:rsidRPr="008E3E51">
        <w:tab/>
      </w:r>
      <w:r w:rsidRPr="008E3E51">
        <w:tab/>
        <w:t xml:space="preserve">This </w:t>
      </w:r>
      <w:r w:rsidR="00677DD3">
        <w:t>standard</w:t>
      </w:r>
      <w:r>
        <w:t xml:space="preserve"> i</w:t>
      </w:r>
      <w:r w:rsidR="00CA50E6">
        <w:t xml:space="preserve">s made under </w:t>
      </w:r>
      <w:r w:rsidR="009B45CF">
        <w:t>subsection</w:t>
      </w:r>
      <w:r w:rsidR="00CA50E6">
        <w:rPr>
          <w:szCs w:val="22"/>
        </w:rPr>
        <w:t xml:space="preserve"> 162(1)</w:t>
      </w:r>
      <w:r w:rsidR="00CA50E6">
        <w:t xml:space="preserve"> of the </w:t>
      </w:r>
      <w:r w:rsidR="00CA50E6">
        <w:rPr>
          <w:i/>
        </w:rPr>
        <w:t>Radiocommunications Act 1992.</w:t>
      </w:r>
    </w:p>
    <w:p w14:paraId="6324EE5D" w14:textId="77777777" w:rsidR="00F31EC9" w:rsidRPr="000D6066" w:rsidRDefault="00F31EC9" w:rsidP="00F31EC9">
      <w:pPr>
        <w:pStyle w:val="ActHead5"/>
        <w:rPr>
          <w:i/>
        </w:rPr>
      </w:pPr>
      <w:bookmarkStart w:id="7" w:name="_Toc444596034"/>
      <w:proofErr w:type="gramStart"/>
      <w:r w:rsidRPr="00E53EBA">
        <w:rPr>
          <w:rStyle w:val="CharSectno"/>
        </w:rPr>
        <w:t>4</w:t>
      </w:r>
      <w:r w:rsidRPr="008E3E51">
        <w:t xml:space="preserve">  </w:t>
      </w:r>
      <w:r w:rsidR="001E45EA">
        <w:t>Repeal</w:t>
      </w:r>
      <w:proofErr w:type="gramEnd"/>
      <w:r w:rsidR="00044E44">
        <w:t xml:space="preserve"> of </w:t>
      </w:r>
      <w:r w:rsidR="000D6066">
        <w:t xml:space="preserve">the </w:t>
      </w:r>
      <w:r w:rsidR="00FE78C0">
        <w:rPr>
          <w:i/>
        </w:rPr>
        <w:t>Radiocommunications (</w:t>
      </w:r>
      <w:r w:rsidR="00700DEA">
        <w:rPr>
          <w:i/>
        </w:rPr>
        <w:t>VHF Radiotelephone Equipment – Maritime Mobile Service) Standard</w:t>
      </w:r>
      <w:r w:rsidR="00CA50E6">
        <w:rPr>
          <w:i/>
        </w:rPr>
        <w:t xml:space="preserve"> 20</w:t>
      </w:r>
      <w:r w:rsidR="00700DEA">
        <w:rPr>
          <w:i/>
        </w:rPr>
        <w:t>14</w:t>
      </w:r>
    </w:p>
    <w:p w14:paraId="1AD940D3" w14:textId="77777777" w:rsidR="00F31EC9" w:rsidRPr="00ED59F5" w:rsidRDefault="00F31EC9" w:rsidP="00F31EC9">
      <w:pPr>
        <w:pStyle w:val="subsection"/>
        <w:rPr>
          <w:rStyle w:val="CharSectno"/>
        </w:rPr>
      </w:pPr>
      <w:r>
        <w:tab/>
      </w:r>
      <w:r w:rsidRPr="008E3E51">
        <w:tab/>
      </w:r>
      <w:r w:rsidR="00E618B6" w:rsidRPr="00ED59F5">
        <w:t>The</w:t>
      </w:r>
      <w:r w:rsidR="001A2B69" w:rsidRPr="00ED59F5">
        <w:t xml:space="preserve"> </w:t>
      </w:r>
      <w:r w:rsidR="00FE78C0">
        <w:rPr>
          <w:i/>
        </w:rPr>
        <w:t>Radiocommunications (</w:t>
      </w:r>
      <w:r w:rsidR="00700DEA">
        <w:rPr>
          <w:i/>
        </w:rPr>
        <w:t>VHF Radiotelephone Equipment – Maritime Mobile Service) Standard 2014</w:t>
      </w:r>
      <w:r w:rsidR="00CA50E6" w:rsidRPr="00ED59F5">
        <w:rPr>
          <w:i/>
        </w:rPr>
        <w:t xml:space="preserve"> </w:t>
      </w:r>
      <w:r w:rsidR="00700DEA">
        <w:t>[</w:t>
      </w:r>
      <w:r w:rsidR="00700DEA" w:rsidRPr="00700DEA">
        <w:t>F2014L01246</w:t>
      </w:r>
      <w:r w:rsidR="00700DEA">
        <w:t>]</w:t>
      </w:r>
      <w:r w:rsidR="00CA50E6" w:rsidRPr="00ED59F5">
        <w:rPr>
          <w:i/>
        </w:rPr>
        <w:t xml:space="preserve"> </w:t>
      </w:r>
      <w:r w:rsidR="001A2B69" w:rsidRPr="00ED59F5">
        <w:t>is repealed</w:t>
      </w:r>
      <w:r w:rsidR="006437D6" w:rsidRPr="00ED59F5">
        <w:t>.</w:t>
      </w:r>
      <w:r w:rsidR="00FB1145" w:rsidRPr="00ED59F5">
        <w:t xml:space="preserve"> </w:t>
      </w:r>
    </w:p>
    <w:p w14:paraId="1B98ACBB" w14:textId="77777777" w:rsidR="00ED59F5" w:rsidRPr="00ED59F5" w:rsidRDefault="00ED59F5" w:rsidP="00ED59F5">
      <w:pPr>
        <w:pStyle w:val="ActHead5"/>
      </w:pPr>
      <w:proofErr w:type="gramStart"/>
      <w:r w:rsidRPr="00E53EBA">
        <w:rPr>
          <w:rStyle w:val="CharSectno"/>
        </w:rPr>
        <w:t>5</w:t>
      </w:r>
      <w:r w:rsidRPr="00ED59F5">
        <w:t xml:space="preserve">  </w:t>
      </w:r>
      <w:r w:rsidR="00191EC7">
        <w:t>Background</w:t>
      </w:r>
      <w:proofErr w:type="gramEnd"/>
      <w:r w:rsidR="00191EC7">
        <w:t xml:space="preserve"> </w:t>
      </w:r>
    </w:p>
    <w:p w14:paraId="4B273FC0" w14:textId="4EE688A8" w:rsidR="00ED59F5" w:rsidRDefault="00ED59F5" w:rsidP="00ED59F5">
      <w:pPr>
        <w:pStyle w:val="subsection"/>
      </w:pPr>
      <w:r w:rsidRPr="00ED59F5">
        <w:tab/>
        <w:t>(1)</w:t>
      </w:r>
      <w:r w:rsidRPr="00ED59F5">
        <w:tab/>
      </w:r>
      <w:r w:rsidR="00677DD3">
        <w:t>This</w:t>
      </w:r>
      <w:r w:rsidR="00417B0B">
        <w:t xml:space="preserve"> standard</w:t>
      </w:r>
      <w:r w:rsidR="00300508">
        <w:t xml:space="preserve"> applies to </w:t>
      </w:r>
      <w:proofErr w:type="gramStart"/>
      <w:r w:rsidR="00974962">
        <w:t>particular</w:t>
      </w:r>
      <w:r w:rsidR="00300508">
        <w:t xml:space="preserve"> radiocommunications</w:t>
      </w:r>
      <w:proofErr w:type="gramEnd"/>
      <w:r w:rsidR="00300508">
        <w:t xml:space="preserve"> devices, as </w:t>
      </w:r>
      <w:r w:rsidR="00190142">
        <w:t>provided by</w:t>
      </w:r>
      <w:r w:rsidR="00300508">
        <w:t xml:space="preserve"> </w:t>
      </w:r>
      <w:r w:rsidR="00300508" w:rsidRPr="00EE1F1E">
        <w:t>section</w:t>
      </w:r>
      <w:r w:rsidR="007B5F2B">
        <w:t> </w:t>
      </w:r>
      <w:r w:rsidR="00300508" w:rsidRPr="00EE1F1E">
        <w:t>1</w:t>
      </w:r>
      <w:r w:rsidR="003C3D9D" w:rsidRPr="00EE1F1E">
        <w:t>3</w:t>
      </w:r>
      <w:r w:rsidR="00300508">
        <w:t xml:space="preserve">, and </w:t>
      </w:r>
      <w:r w:rsidR="00417B0B">
        <w:t>is</w:t>
      </w:r>
      <w:r w:rsidR="000D27F6">
        <w:t xml:space="preserve"> made for</w:t>
      </w:r>
      <w:r w:rsidR="00470C2E">
        <w:t xml:space="preserve"> </w:t>
      </w:r>
      <w:r w:rsidR="00700DEA">
        <w:t>performance of those devices</w:t>
      </w:r>
      <w:r w:rsidRPr="00ED59F5">
        <w:t>.</w:t>
      </w:r>
    </w:p>
    <w:p w14:paraId="3BC57CF8" w14:textId="77777777" w:rsidR="001427B9" w:rsidRDefault="001427B9" w:rsidP="004C5941">
      <w:pPr>
        <w:pStyle w:val="LI-BodyTextNote"/>
        <w:spacing w:before="122"/>
        <w:ind w:left="1985" w:hanging="851"/>
      </w:pPr>
      <w:r w:rsidRPr="00F61B09">
        <w:t>Note:</w:t>
      </w:r>
      <w:r w:rsidRPr="00F61B09">
        <w:tab/>
      </w:r>
      <w:r w:rsidR="001D50B9">
        <w:t xml:space="preserve">A </w:t>
      </w:r>
      <w:r w:rsidR="008562C8">
        <w:t>radioco</w:t>
      </w:r>
      <w:r w:rsidR="00445872">
        <w:t>mmunications device</w:t>
      </w:r>
      <w:r w:rsidR="001D50B9">
        <w:t xml:space="preserve"> to which this standard applies</w:t>
      </w:r>
      <w:r w:rsidR="00D02220">
        <w:t xml:space="preserve"> </w:t>
      </w:r>
      <w:r w:rsidR="007E7EA3">
        <w:t xml:space="preserve">is referred to as an </w:t>
      </w:r>
      <w:r w:rsidR="007E7EA3" w:rsidRPr="0094531E">
        <w:rPr>
          <w:b/>
          <w:i/>
        </w:rPr>
        <w:t>item</w:t>
      </w:r>
      <w:r>
        <w:t>.</w:t>
      </w:r>
    </w:p>
    <w:p w14:paraId="2258163B" w14:textId="77777777" w:rsidR="00ED59F5" w:rsidRPr="00ED59F5" w:rsidRDefault="00677DD3" w:rsidP="00ED59F5">
      <w:pPr>
        <w:pStyle w:val="subsection"/>
      </w:pPr>
      <w:r>
        <w:tab/>
        <w:t>(2)</w:t>
      </w:r>
      <w:r>
        <w:tab/>
        <w:t>This</w:t>
      </w:r>
      <w:r w:rsidR="00ED59F5" w:rsidRPr="00ED59F5">
        <w:t xml:space="preserve"> standard consists </w:t>
      </w:r>
      <w:r w:rsidR="00875F27">
        <w:t xml:space="preserve">only </w:t>
      </w:r>
      <w:r w:rsidR="00ED59F5" w:rsidRPr="00ED59F5">
        <w:t xml:space="preserve">of </w:t>
      </w:r>
      <w:r w:rsidR="00875F27">
        <w:t xml:space="preserve">such </w:t>
      </w:r>
      <w:r w:rsidR="00ED59F5" w:rsidRPr="00ED59F5">
        <w:t xml:space="preserve">requirements </w:t>
      </w:r>
      <w:r w:rsidR="00EC6D3B">
        <w:t>as</w:t>
      </w:r>
      <w:r w:rsidR="00FE78C0">
        <w:t xml:space="preserve"> are</w:t>
      </w:r>
      <w:r w:rsidR="00ED59F5" w:rsidRPr="00ED59F5">
        <w:t xml:space="preserve"> </w:t>
      </w:r>
      <w:r w:rsidR="00ED59F5">
        <w:t xml:space="preserve">necessary or convenient </w:t>
      </w:r>
      <w:proofErr w:type="gramStart"/>
      <w:r w:rsidR="00ED59F5">
        <w:t xml:space="preserve">for the </w:t>
      </w:r>
      <w:r w:rsidR="00417B0B">
        <w:t>purpose</w:t>
      </w:r>
      <w:r w:rsidR="00EC6580">
        <w:t xml:space="preserve"> of</w:t>
      </w:r>
      <w:proofErr w:type="gramEnd"/>
      <w:r w:rsidR="00EC6580">
        <w:t xml:space="preserve"> containing interference to radiocommunications.</w:t>
      </w:r>
    </w:p>
    <w:p w14:paraId="28598AA2" w14:textId="77777777" w:rsidR="005A76D4" w:rsidRPr="00E53EBA" w:rsidRDefault="005A76D4" w:rsidP="00E53EBA"/>
    <w:p w14:paraId="0E284158" w14:textId="77777777" w:rsidR="005A76D4" w:rsidRPr="00E53EBA" w:rsidRDefault="005A76D4" w:rsidP="00E53EBA">
      <w:pPr>
        <w:rPr>
          <w:rFonts w:ascii="Times New Roman" w:hAnsi="Times New Roman" w:cs="Times New Roman"/>
          <w:b/>
          <w:sz w:val="32"/>
        </w:rPr>
      </w:pPr>
      <w:r w:rsidRPr="00E53EBA">
        <w:rPr>
          <w:rFonts w:ascii="Times New Roman" w:hAnsi="Times New Roman" w:cs="Times New Roman"/>
          <w:b/>
          <w:sz w:val="32"/>
        </w:rPr>
        <w:t>Part 2—Interpretation</w:t>
      </w:r>
    </w:p>
    <w:p w14:paraId="395F944D" w14:textId="77777777" w:rsidR="00F31EC9" w:rsidRPr="008E3E51" w:rsidRDefault="00D50111" w:rsidP="00367034">
      <w:pPr>
        <w:pStyle w:val="ActHead5"/>
      </w:pPr>
      <w:proofErr w:type="gramStart"/>
      <w:r w:rsidRPr="00E53EBA">
        <w:rPr>
          <w:rStyle w:val="CharSectno"/>
        </w:rPr>
        <w:t>6</w:t>
      </w:r>
      <w:r w:rsidR="00F31EC9">
        <w:t xml:space="preserve">  </w:t>
      </w:r>
      <w:r w:rsidR="00DF279E">
        <w:t>D</w:t>
      </w:r>
      <w:r w:rsidR="00F31EC9" w:rsidRPr="008E3E51">
        <w:t>efinitions</w:t>
      </w:r>
      <w:bookmarkEnd w:id="7"/>
      <w:proofErr w:type="gramEnd"/>
    </w:p>
    <w:p w14:paraId="22C924D1" w14:textId="77777777" w:rsidR="00F31EC9" w:rsidRPr="008E3E51" w:rsidRDefault="00F31EC9" w:rsidP="00F31EC9">
      <w:pPr>
        <w:pStyle w:val="subsection"/>
      </w:pPr>
      <w:r w:rsidRPr="008E3E51">
        <w:tab/>
      </w:r>
      <w:r w:rsidRPr="008E3E51">
        <w:tab/>
        <w:t xml:space="preserve">In this </w:t>
      </w:r>
      <w:r w:rsidR="00677DD3">
        <w:t>standard</w:t>
      </w:r>
      <w:r w:rsidRPr="008E3E51">
        <w:t>:</w:t>
      </w:r>
    </w:p>
    <w:p w14:paraId="19962D69" w14:textId="77777777" w:rsidR="00700B52" w:rsidRPr="00700B52" w:rsidRDefault="00700B52" w:rsidP="000619BE">
      <w:pPr>
        <w:pStyle w:val="Definition"/>
      </w:pPr>
      <w:r>
        <w:rPr>
          <w:b/>
          <w:i/>
        </w:rPr>
        <w:t xml:space="preserve">ACMA transition period </w:t>
      </w:r>
      <w:r>
        <w:t>has the meaning given by section 17.</w:t>
      </w:r>
    </w:p>
    <w:p w14:paraId="3158D390" w14:textId="77777777" w:rsidR="007C68C7" w:rsidRPr="007C68C7" w:rsidRDefault="007C68C7" w:rsidP="000619BE">
      <w:pPr>
        <w:pStyle w:val="Definition"/>
      </w:pPr>
      <w:r>
        <w:rPr>
          <w:b/>
          <w:i/>
        </w:rPr>
        <w:t>applicable</w:t>
      </w:r>
      <w:r w:rsidR="00851550">
        <w:rPr>
          <w:b/>
          <w:i/>
        </w:rPr>
        <w:t xml:space="preserve"> industry standard</w:t>
      </w:r>
      <w:r>
        <w:t>, in relation to an item, has the meaning</w:t>
      </w:r>
      <w:r w:rsidR="00AD3050">
        <w:t xml:space="preserve"> given by </w:t>
      </w:r>
      <w:r w:rsidR="003C3D9D" w:rsidRPr="00EE1F1E">
        <w:t>section 8</w:t>
      </w:r>
      <w:r w:rsidR="00AD3050">
        <w:t>.</w:t>
      </w:r>
    </w:p>
    <w:p w14:paraId="37B8FA8E" w14:textId="208429C1" w:rsidR="00887E5D" w:rsidRPr="005C5A43" w:rsidRDefault="00887E5D" w:rsidP="006B660B">
      <w:pPr>
        <w:pStyle w:val="Definition"/>
        <w:rPr>
          <w:szCs w:val="22"/>
        </w:rPr>
      </w:pPr>
      <w:r w:rsidRPr="005C5A43">
        <w:rPr>
          <w:b/>
          <w:bCs/>
          <w:i/>
          <w:iCs/>
          <w:szCs w:val="22"/>
        </w:rPr>
        <w:t xml:space="preserve">AS/NZS </w:t>
      </w:r>
      <w:r w:rsidR="005C5A43" w:rsidRPr="005C5A43">
        <w:rPr>
          <w:b/>
          <w:bCs/>
          <w:i/>
          <w:iCs/>
          <w:szCs w:val="22"/>
        </w:rPr>
        <w:t>ETSI EN 301 025</w:t>
      </w:r>
      <w:r w:rsidR="00894E51">
        <w:rPr>
          <w:b/>
          <w:bCs/>
          <w:i/>
          <w:iCs/>
          <w:szCs w:val="22"/>
        </w:rPr>
        <w:t>:2018</w:t>
      </w:r>
      <w:r w:rsidRPr="005C5A43">
        <w:rPr>
          <w:szCs w:val="22"/>
        </w:rPr>
        <w:t xml:space="preserve"> means the Australian/New Zealand Standard </w:t>
      </w:r>
      <w:r w:rsidRPr="005C5A43">
        <w:rPr>
          <w:iCs/>
          <w:szCs w:val="22"/>
        </w:rPr>
        <w:t xml:space="preserve">AS/NZS </w:t>
      </w:r>
      <w:r w:rsidR="005C5A43" w:rsidRPr="005C5A43">
        <w:rPr>
          <w:iCs/>
          <w:szCs w:val="22"/>
        </w:rPr>
        <w:t>ETSI EN 301 025</w:t>
      </w:r>
      <w:r w:rsidR="00EE1F1E">
        <w:rPr>
          <w:iCs/>
          <w:szCs w:val="22"/>
        </w:rPr>
        <w:t xml:space="preserve"> - </w:t>
      </w:r>
      <w:r w:rsidR="005C5A43" w:rsidRPr="005C5A43">
        <w:rPr>
          <w:i/>
          <w:iCs/>
          <w:szCs w:val="22"/>
        </w:rPr>
        <w:t xml:space="preserve">VHF radiotelephone equipment for general communications and associated equipment for Class “D” Digital Selective Calling (DSC) </w:t>
      </w:r>
      <w:r w:rsidRPr="005C5A43">
        <w:rPr>
          <w:iCs/>
          <w:szCs w:val="22"/>
        </w:rPr>
        <w:t xml:space="preserve">published by </w:t>
      </w:r>
      <w:r w:rsidR="00E17206" w:rsidRPr="005C5A43">
        <w:rPr>
          <w:iCs/>
          <w:szCs w:val="22"/>
        </w:rPr>
        <w:t>Standards Australia</w:t>
      </w:r>
      <w:r w:rsidR="005C5A43" w:rsidRPr="00EE1F1E">
        <w:rPr>
          <w:iCs/>
          <w:szCs w:val="22"/>
        </w:rPr>
        <w:t>.</w:t>
      </w:r>
      <w:r w:rsidR="00E17206" w:rsidRPr="005C5A43">
        <w:rPr>
          <w:iCs/>
          <w:szCs w:val="22"/>
        </w:rPr>
        <w:t xml:space="preserve"> </w:t>
      </w:r>
    </w:p>
    <w:p w14:paraId="4E70D8C0" w14:textId="61E73B15" w:rsidR="00887E5D" w:rsidRDefault="00887E5D" w:rsidP="00887E5D">
      <w:pPr>
        <w:pStyle w:val="Definition"/>
        <w:rPr>
          <w:iCs/>
          <w:szCs w:val="22"/>
        </w:rPr>
      </w:pPr>
      <w:r w:rsidRPr="005C5A43">
        <w:rPr>
          <w:b/>
          <w:bCs/>
          <w:i/>
          <w:iCs/>
          <w:szCs w:val="22"/>
        </w:rPr>
        <w:t xml:space="preserve">AS/NZS </w:t>
      </w:r>
      <w:r w:rsidR="005C5A43" w:rsidRPr="005C5A43">
        <w:rPr>
          <w:b/>
          <w:bCs/>
          <w:i/>
          <w:iCs/>
          <w:szCs w:val="22"/>
        </w:rPr>
        <w:t>ETSI EN 301 178</w:t>
      </w:r>
      <w:r w:rsidR="002D3270">
        <w:rPr>
          <w:b/>
          <w:bCs/>
          <w:i/>
          <w:iCs/>
          <w:szCs w:val="22"/>
        </w:rPr>
        <w:t>:2018</w:t>
      </w:r>
      <w:r w:rsidRPr="005C5A43">
        <w:rPr>
          <w:szCs w:val="22"/>
        </w:rPr>
        <w:t xml:space="preserve"> means the Australian/New Zealand Standard </w:t>
      </w:r>
      <w:r w:rsidRPr="005C5A43">
        <w:rPr>
          <w:iCs/>
          <w:szCs w:val="22"/>
        </w:rPr>
        <w:t xml:space="preserve">AS/NZS </w:t>
      </w:r>
      <w:r w:rsidR="005C5A43" w:rsidRPr="005C5A43">
        <w:rPr>
          <w:iCs/>
          <w:szCs w:val="22"/>
        </w:rPr>
        <w:t>ETSI EN 301 178</w:t>
      </w:r>
      <w:r w:rsidR="00124F08" w:rsidRPr="005C5A43">
        <w:rPr>
          <w:iCs/>
          <w:szCs w:val="22"/>
        </w:rPr>
        <w:t xml:space="preserve"> </w:t>
      </w:r>
      <w:r w:rsidR="00124F08" w:rsidRPr="005C5A43">
        <w:rPr>
          <w:szCs w:val="22"/>
        </w:rPr>
        <w:t>–</w:t>
      </w:r>
      <w:r w:rsidR="005C5A43" w:rsidRPr="005C5A43">
        <w:rPr>
          <w:i/>
          <w:iCs/>
          <w:szCs w:val="22"/>
        </w:rPr>
        <w:t xml:space="preserve"> Portable Very High Frequency (VHF) radiotelephone equipment for the maritime mobile service operating in the VHF bands (for non-GMDSS applications only) </w:t>
      </w:r>
      <w:r w:rsidRPr="005C5A43">
        <w:rPr>
          <w:iCs/>
          <w:szCs w:val="22"/>
        </w:rPr>
        <w:t>published by</w:t>
      </w:r>
      <w:r w:rsidR="00124F08" w:rsidRPr="005C5A43">
        <w:rPr>
          <w:iCs/>
          <w:szCs w:val="22"/>
        </w:rPr>
        <w:t xml:space="preserve"> Standards Australia</w:t>
      </w:r>
      <w:r w:rsidR="005C5A43" w:rsidRPr="00EE1F1E">
        <w:rPr>
          <w:iCs/>
          <w:szCs w:val="22"/>
        </w:rPr>
        <w:t>.</w:t>
      </w:r>
    </w:p>
    <w:p w14:paraId="5A381C4F" w14:textId="47EE6606" w:rsidR="00EE7362" w:rsidRPr="00EE7362" w:rsidRDefault="00EE7362" w:rsidP="00887E5D">
      <w:pPr>
        <w:pStyle w:val="Definition"/>
        <w:rPr>
          <w:szCs w:val="22"/>
        </w:rPr>
      </w:pPr>
      <w:r>
        <w:rPr>
          <w:b/>
          <w:bCs/>
          <w:i/>
          <w:iCs/>
          <w:szCs w:val="22"/>
        </w:rPr>
        <w:t xml:space="preserve">AS/NZS ETSI </w:t>
      </w:r>
      <w:r w:rsidR="008B58DC">
        <w:rPr>
          <w:b/>
          <w:bCs/>
          <w:i/>
          <w:iCs/>
          <w:szCs w:val="22"/>
        </w:rPr>
        <w:t xml:space="preserve">EN </w:t>
      </w:r>
      <w:r>
        <w:rPr>
          <w:b/>
          <w:bCs/>
          <w:i/>
          <w:iCs/>
          <w:szCs w:val="22"/>
        </w:rPr>
        <w:t>302 885</w:t>
      </w:r>
      <w:r w:rsidR="006E12B6">
        <w:rPr>
          <w:b/>
          <w:bCs/>
          <w:i/>
          <w:iCs/>
          <w:szCs w:val="22"/>
        </w:rPr>
        <w:t>:2018</w:t>
      </w:r>
      <w:r>
        <w:rPr>
          <w:b/>
          <w:bCs/>
          <w:i/>
          <w:iCs/>
          <w:szCs w:val="22"/>
        </w:rPr>
        <w:t xml:space="preserve"> </w:t>
      </w:r>
      <w:r>
        <w:rPr>
          <w:bCs/>
          <w:iCs/>
          <w:szCs w:val="22"/>
        </w:rPr>
        <w:t xml:space="preserve">means the Australian/New Zealand Standard AS/NZS ETSI </w:t>
      </w:r>
      <w:r w:rsidR="008B58DC">
        <w:rPr>
          <w:bCs/>
          <w:iCs/>
          <w:szCs w:val="22"/>
        </w:rPr>
        <w:t xml:space="preserve">EN </w:t>
      </w:r>
      <w:r>
        <w:rPr>
          <w:bCs/>
          <w:iCs/>
          <w:szCs w:val="22"/>
        </w:rPr>
        <w:t xml:space="preserve">302 885 – </w:t>
      </w:r>
      <w:r w:rsidRPr="00EE7362">
        <w:rPr>
          <w:bCs/>
          <w:i/>
          <w:iCs/>
          <w:szCs w:val="22"/>
        </w:rPr>
        <w:t>Portable Very High</w:t>
      </w:r>
      <w:r>
        <w:rPr>
          <w:bCs/>
          <w:i/>
          <w:iCs/>
          <w:szCs w:val="22"/>
        </w:rPr>
        <w:t xml:space="preserve"> Frequency (VHF) radiotelephone equipment for </w:t>
      </w:r>
      <w:r>
        <w:rPr>
          <w:bCs/>
          <w:i/>
          <w:iCs/>
          <w:szCs w:val="22"/>
        </w:rPr>
        <w:lastRenderedPageBreak/>
        <w:t>the maritime mobile service operating in the VHF bands with integrated handheld class H DSC</w:t>
      </w:r>
      <w:r>
        <w:rPr>
          <w:bCs/>
          <w:iCs/>
          <w:szCs w:val="22"/>
        </w:rPr>
        <w:t xml:space="preserve"> published by Standards Australia</w:t>
      </w:r>
      <w:r w:rsidR="00EE1F1E" w:rsidRPr="00EE1F1E">
        <w:rPr>
          <w:bCs/>
          <w:iCs/>
          <w:szCs w:val="22"/>
        </w:rPr>
        <w:t>.</w:t>
      </w:r>
      <w:r>
        <w:rPr>
          <w:bCs/>
          <w:iCs/>
          <w:szCs w:val="22"/>
        </w:rPr>
        <w:t xml:space="preserve"> </w:t>
      </w:r>
    </w:p>
    <w:p w14:paraId="35A2E561" w14:textId="77777777" w:rsidR="00F36B63" w:rsidRDefault="00F36B63" w:rsidP="00F36B63">
      <w:pPr>
        <w:pStyle w:val="Definition"/>
      </w:pPr>
      <w:r>
        <w:rPr>
          <w:b/>
          <w:i/>
        </w:rPr>
        <w:t>Chair</w:t>
      </w:r>
      <w:r>
        <w:rPr>
          <w:i/>
        </w:rPr>
        <w:t xml:space="preserve"> </w:t>
      </w:r>
      <w:r>
        <w:t xml:space="preserve">means </w:t>
      </w:r>
      <w:r w:rsidR="00272E35">
        <w:t xml:space="preserve">the </w:t>
      </w:r>
      <w:r>
        <w:t>Chair of the ACMA.</w:t>
      </w:r>
    </w:p>
    <w:p w14:paraId="45469C8B" w14:textId="77777777" w:rsidR="00B06AC4" w:rsidRPr="00B06AC4" w:rsidRDefault="00B06AC4" w:rsidP="000619BE">
      <w:pPr>
        <w:pStyle w:val="Definition"/>
      </w:pPr>
      <w:r>
        <w:rPr>
          <w:b/>
          <w:i/>
        </w:rPr>
        <w:t>commencement day</w:t>
      </w:r>
      <w:r>
        <w:t xml:space="preserve"> means the day on which this standard commences.</w:t>
      </w:r>
    </w:p>
    <w:p w14:paraId="40F06653" w14:textId="29CEB757" w:rsidR="00F40F9B" w:rsidRPr="00F40F9B" w:rsidRDefault="00F40F9B" w:rsidP="000619BE">
      <w:pPr>
        <w:pStyle w:val="Definition"/>
        <w:rPr>
          <w:szCs w:val="22"/>
        </w:rPr>
      </w:pPr>
      <w:r>
        <w:rPr>
          <w:b/>
          <w:i/>
          <w:szCs w:val="22"/>
        </w:rPr>
        <w:t xml:space="preserve">DSC </w:t>
      </w:r>
      <w:r w:rsidRPr="00AC3783">
        <w:rPr>
          <w:szCs w:val="22"/>
        </w:rPr>
        <w:t>or</w:t>
      </w:r>
      <w:r>
        <w:rPr>
          <w:b/>
          <w:i/>
          <w:szCs w:val="22"/>
        </w:rPr>
        <w:t xml:space="preserve"> digital selective</w:t>
      </w:r>
      <w:r w:rsidR="006604F8">
        <w:rPr>
          <w:b/>
          <w:i/>
          <w:szCs w:val="22"/>
        </w:rPr>
        <w:t>-</w:t>
      </w:r>
      <w:r>
        <w:rPr>
          <w:b/>
          <w:i/>
          <w:szCs w:val="22"/>
        </w:rPr>
        <w:t xml:space="preserve">calling </w:t>
      </w:r>
      <w:r>
        <w:rPr>
          <w:szCs w:val="22"/>
        </w:rPr>
        <w:t xml:space="preserve">means </w:t>
      </w:r>
      <w:r w:rsidRPr="00F40F9B">
        <w:rPr>
          <w:szCs w:val="22"/>
        </w:rPr>
        <w:t>a standard for sending pre-defined digital messages via the medium-frequency (MF), high-frequency (HF) and very</w:t>
      </w:r>
      <w:r w:rsidR="00F158C3">
        <w:rPr>
          <w:szCs w:val="22"/>
        </w:rPr>
        <w:noBreakHyphen/>
      </w:r>
      <w:r w:rsidRPr="00F40F9B">
        <w:rPr>
          <w:szCs w:val="22"/>
        </w:rPr>
        <w:t>high</w:t>
      </w:r>
      <w:r w:rsidR="00F158C3">
        <w:rPr>
          <w:szCs w:val="22"/>
        </w:rPr>
        <w:noBreakHyphen/>
      </w:r>
      <w:r w:rsidRPr="00F40F9B">
        <w:rPr>
          <w:szCs w:val="22"/>
        </w:rPr>
        <w:t xml:space="preserve">frequency (VHF) maritime radio systems. </w:t>
      </w:r>
    </w:p>
    <w:p w14:paraId="61925238" w14:textId="77777777" w:rsidR="00EE7362" w:rsidRDefault="00EE7362" w:rsidP="000619BE">
      <w:pPr>
        <w:pStyle w:val="Definition"/>
        <w:rPr>
          <w:szCs w:val="22"/>
        </w:rPr>
      </w:pPr>
      <w:r>
        <w:rPr>
          <w:b/>
          <w:i/>
          <w:szCs w:val="22"/>
        </w:rPr>
        <w:t xml:space="preserve">ETSI EN 301 025 </w:t>
      </w:r>
      <w:r>
        <w:rPr>
          <w:szCs w:val="22"/>
        </w:rPr>
        <w:t xml:space="preserve">means the </w:t>
      </w:r>
      <w:r>
        <w:rPr>
          <w:i/>
          <w:szCs w:val="22"/>
        </w:rPr>
        <w:t>VHF radiotelephone equipment for general communications and associated equipment for Class “D”</w:t>
      </w:r>
      <w:r w:rsidR="006E12B6">
        <w:rPr>
          <w:i/>
          <w:szCs w:val="22"/>
        </w:rPr>
        <w:t xml:space="preserve"> Digital Selective Calling (DSC)</w:t>
      </w:r>
      <w:r>
        <w:rPr>
          <w:i/>
          <w:szCs w:val="22"/>
        </w:rPr>
        <w:t>; Harmonised Standard covering the essential requirements of articles 3.2 and 3.3(g) of Directive 2014/53/EU</w:t>
      </w:r>
      <w:r>
        <w:rPr>
          <w:szCs w:val="22"/>
        </w:rPr>
        <w:t xml:space="preserve">, published by the </w:t>
      </w:r>
      <w:r w:rsidRPr="00330ED9">
        <w:rPr>
          <w:szCs w:val="22"/>
        </w:rPr>
        <w:t>European Telecommunications Standards Institute</w:t>
      </w:r>
      <w:r>
        <w:rPr>
          <w:szCs w:val="22"/>
        </w:rPr>
        <w:t>.</w:t>
      </w:r>
    </w:p>
    <w:p w14:paraId="456926E7" w14:textId="01D3E4B3" w:rsidR="00EE7362" w:rsidRDefault="00EE7362" w:rsidP="000619BE">
      <w:pPr>
        <w:pStyle w:val="Definition"/>
        <w:rPr>
          <w:szCs w:val="22"/>
        </w:rPr>
      </w:pPr>
      <w:r w:rsidRPr="007C2FAD">
        <w:rPr>
          <w:b/>
          <w:i/>
          <w:szCs w:val="22"/>
        </w:rPr>
        <w:t>ETSI EN 30</w:t>
      </w:r>
      <w:r w:rsidR="00DC2417">
        <w:rPr>
          <w:b/>
          <w:i/>
          <w:szCs w:val="22"/>
        </w:rPr>
        <w:t>1</w:t>
      </w:r>
      <w:r w:rsidRPr="007C2FAD">
        <w:rPr>
          <w:b/>
          <w:i/>
          <w:szCs w:val="22"/>
        </w:rPr>
        <w:t xml:space="preserve"> 178</w:t>
      </w:r>
      <w:r w:rsidRPr="007C2FAD">
        <w:rPr>
          <w:i/>
          <w:szCs w:val="22"/>
        </w:rPr>
        <w:t xml:space="preserve"> </w:t>
      </w:r>
      <w:r w:rsidRPr="007C2FAD">
        <w:rPr>
          <w:szCs w:val="22"/>
        </w:rPr>
        <w:t>means the</w:t>
      </w:r>
      <w:r>
        <w:rPr>
          <w:szCs w:val="22"/>
        </w:rPr>
        <w:t xml:space="preserve"> </w:t>
      </w:r>
      <w:r>
        <w:rPr>
          <w:i/>
          <w:szCs w:val="22"/>
        </w:rPr>
        <w:t>Portable Very High Frequency (VHF) radiotelephone equipment for the mar</w:t>
      </w:r>
      <w:r w:rsidR="00925C64">
        <w:rPr>
          <w:i/>
          <w:szCs w:val="22"/>
        </w:rPr>
        <w:t>i</w:t>
      </w:r>
      <w:r>
        <w:rPr>
          <w:i/>
          <w:szCs w:val="22"/>
        </w:rPr>
        <w:t>time mobile service operating in the VHF bands (for non-GMDSS applications only); Harmonised Standard covering the essential requirements of article 3.2 of Directive 2014/53/EU</w:t>
      </w:r>
      <w:r>
        <w:rPr>
          <w:szCs w:val="22"/>
        </w:rPr>
        <w:t>, published by the European Telecommunications</w:t>
      </w:r>
      <w:r w:rsidR="00925C64">
        <w:rPr>
          <w:szCs w:val="22"/>
        </w:rPr>
        <w:t xml:space="preserve"> Standards Institute.</w:t>
      </w:r>
    </w:p>
    <w:p w14:paraId="6E064FB8" w14:textId="77777777" w:rsidR="00925C64" w:rsidRPr="00925C64" w:rsidRDefault="00925C64" w:rsidP="000619BE">
      <w:pPr>
        <w:pStyle w:val="Definition"/>
        <w:rPr>
          <w:i/>
        </w:rPr>
      </w:pPr>
      <w:r w:rsidRPr="00925C64">
        <w:rPr>
          <w:b/>
          <w:i/>
        </w:rPr>
        <w:t>ETSI EN 302 885</w:t>
      </w:r>
      <w:r w:rsidRPr="00925C64">
        <w:rPr>
          <w:i/>
        </w:rPr>
        <w:t xml:space="preserve"> </w:t>
      </w:r>
      <w:r w:rsidRPr="00925C64">
        <w:t>means the</w:t>
      </w:r>
      <w:r w:rsidRPr="00925C64">
        <w:rPr>
          <w:i/>
        </w:rPr>
        <w:t xml:space="preserve"> Portable Very High Frequency (VHF) radiotelephone equipment for the maritime mobile service operating in the VHF bands with integrated handheld class H DSC; Harmonised Standard covering the essential requirements of articles 3.2 and 3.3(g) of Directive 2014/53/EU, </w:t>
      </w:r>
      <w:r w:rsidRPr="00925C64">
        <w:t>published by the European Telecommunications Standards Institute.</w:t>
      </w:r>
    </w:p>
    <w:p w14:paraId="032D43F4" w14:textId="77777777" w:rsidR="00613DA1" w:rsidRDefault="00613DA1" w:rsidP="000619BE">
      <w:pPr>
        <w:pStyle w:val="Definition"/>
      </w:pPr>
      <w:r>
        <w:rPr>
          <w:b/>
          <w:i/>
        </w:rPr>
        <w:t>exempt item</w:t>
      </w:r>
      <w:r>
        <w:rPr>
          <w:i/>
        </w:rPr>
        <w:t xml:space="preserve"> </w:t>
      </w:r>
      <w:r>
        <w:t>means a radiocommunications device that:</w:t>
      </w:r>
    </w:p>
    <w:p w14:paraId="7A948FB9" w14:textId="77777777" w:rsidR="000A4A06" w:rsidRDefault="004A4B75" w:rsidP="00E0761D">
      <w:pPr>
        <w:pStyle w:val="DraftingParagraph"/>
        <w:numPr>
          <w:ilvl w:val="0"/>
          <w:numId w:val="11"/>
        </w:numPr>
        <w:tabs>
          <w:tab w:val="clear" w:pos="1191"/>
          <w:tab w:val="left" w:pos="1276"/>
        </w:tabs>
        <w:spacing w:before="40" w:after="0" w:line="240" w:lineRule="auto"/>
        <w:ind w:left="1701" w:hanging="425"/>
        <w:jc w:val="left"/>
        <w:rPr>
          <w:sz w:val="22"/>
          <w:szCs w:val="22"/>
        </w:rPr>
      </w:pPr>
      <w:r>
        <w:rPr>
          <w:sz w:val="22"/>
          <w:szCs w:val="22"/>
        </w:rPr>
        <w:t xml:space="preserve">is imported solely for use in </w:t>
      </w:r>
      <w:r w:rsidR="00A64931">
        <w:rPr>
          <w:sz w:val="22"/>
          <w:szCs w:val="22"/>
        </w:rPr>
        <w:t xml:space="preserve">Australia in </w:t>
      </w:r>
      <w:r>
        <w:rPr>
          <w:sz w:val="22"/>
          <w:szCs w:val="22"/>
        </w:rPr>
        <w:t>connection with a significant event;</w:t>
      </w:r>
      <w:r w:rsidR="003C3D9D" w:rsidDel="003C3D9D">
        <w:rPr>
          <w:sz w:val="22"/>
          <w:szCs w:val="22"/>
        </w:rPr>
        <w:t xml:space="preserve"> </w:t>
      </w:r>
    </w:p>
    <w:p w14:paraId="305AB33B" w14:textId="77777777" w:rsidR="0031099E" w:rsidRDefault="0031099E" w:rsidP="00E0761D">
      <w:pPr>
        <w:pStyle w:val="DraftingParagraph"/>
        <w:numPr>
          <w:ilvl w:val="0"/>
          <w:numId w:val="11"/>
        </w:numPr>
        <w:tabs>
          <w:tab w:val="clear" w:pos="1191"/>
          <w:tab w:val="left" w:pos="1276"/>
        </w:tabs>
        <w:spacing w:before="40" w:after="0" w:line="240" w:lineRule="auto"/>
        <w:ind w:left="1701" w:hanging="425"/>
        <w:jc w:val="left"/>
        <w:rPr>
          <w:sz w:val="22"/>
          <w:szCs w:val="22"/>
        </w:rPr>
      </w:pPr>
      <w:r>
        <w:rPr>
          <w:sz w:val="22"/>
          <w:szCs w:val="22"/>
        </w:rPr>
        <w:t>if there is a requirement that the device is tested or inspected before it may be used in Australia – meets the requirement</w:t>
      </w:r>
      <w:r w:rsidR="00207D6B">
        <w:rPr>
          <w:sz w:val="22"/>
          <w:szCs w:val="22"/>
        </w:rPr>
        <w:t>;</w:t>
      </w:r>
    </w:p>
    <w:p w14:paraId="229AB521" w14:textId="77777777" w:rsidR="0031099E" w:rsidRDefault="0031099E" w:rsidP="00E0761D">
      <w:pPr>
        <w:pStyle w:val="DraftingParagraph"/>
        <w:numPr>
          <w:ilvl w:val="0"/>
          <w:numId w:val="11"/>
        </w:numPr>
        <w:tabs>
          <w:tab w:val="clear" w:pos="1191"/>
          <w:tab w:val="left" w:pos="1276"/>
        </w:tabs>
        <w:spacing w:before="40" w:after="0" w:line="240" w:lineRule="auto"/>
        <w:ind w:left="1701" w:hanging="425"/>
        <w:jc w:val="left"/>
        <w:rPr>
          <w:sz w:val="22"/>
          <w:szCs w:val="22"/>
        </w:rPr>
      </w:pPr>
      <w:r>
        <w:rPr>
          <w:sz w:val="22"/>
          <w:szCs w:val="22"/>
        </w:rPr>
        <w:t>if there is a condition or requirement imposed on the use of the device in Australia – is used in compliance with that condition or requirement; and</w:t>
      </w:r>
    </w:p>
    <w:p w14:paraId="24236C89" w14:textId="77777777" w:rsidR="0031099E" w:rsidRPr="00AC3783" w:rsidRDefault="000D6749" w:rsidP="00E0761D">
      <w:pPr>
        <w:pStyle w:val="DraftingParagraph"/>
        <w:numPr>
          <w:ilvl w:val="0"/>
          <w:numId w:val="11"/>
        </w:numPr>
        <w:tabs>
          <w:tab w:val="clear" w:pos="1191"/>
          <w:tab w:val="left" w:pos="1276"/>
        </w:tabs>
        <w:spacing w:before="40" w:after="0" w:line="240" w:lineRule="auto"/>
        <w:ind w:left="1701" w:hanging="425"/>
        <w:jc w:val="left"/>
        <w:rPr>
          <w:sz w:val="22"/>
          <w:szCs w:val="22"/>
        </w:rPr>
      </w:pPr>
      <w:r w:rsidRPr="00F52640">
        <w:rPr>
          <w:sz w:val="22"/>
          <w:szCs w:val="22"/>
        </w:rPr>
        <w:t xml:space="preserve">is used </w:t>
      </w:r>
      <w:r w:rsidR="00A97826" w:rsidRPr="00F52640">
        <w:rPr>
          <w:sz w:val="22"/>
          <w:szCs w:val="22"/>
        </w:rPr>
        <w:t xml:space="preserve">in Australia </w:t>
      </w:r>
      <w:r w:rsidR="004A4B75" w:rsidRPr="00F52640">
        <w:rPr>
          <w:sz w:val="22"/>
          <w:szCs w:val="22"/>
        </w:rPr>
        <w:t>only at the location, and for the duration, of the significant event</w:t>
      </w:r>
      <w:r w:rsidR="0031099E" w:rsidRPr="00F52640">
        <w:rPr>
          <w:sz w:val="22"/>
          <w:szCs w:val="22"/>
        </w:rPr>
        <w:t>.</w:t>
      </w:r>
      <w:r w:rsidR="00613DA1" w:rsidRPr="00F52640">
        <w:rPr>
          <w:sz w:val="22"/>
          <w:szCs w:val="22"/>
        </w:rPr>
        <w:t xml:space="preserve"> </w:t>
      </w:r>
    </w:p>
    <w:p w14:paraId="7E078A6C" w14:textId="77777777" w:rsidR="0031099E" w:rsidRPr="0031099E" w:rsidRDefault="0031099E" w:rsidP="00EC147C">
      <w:pPr>
        <w:pStyle w:val="DraftingParagraph"/>
        <w:numPr>
          <w:ilvl w:val="0"/>
          <w:numId w:val="0"/>
        </w:numPr>
        <w:tabs>
          <w:tab w:val="clear" w:pos="1191"/>
        </w:tabs>
        <w:spacing w:before="180" w:after="0" w:line="240" w:lineRule="auto"/>
        <w:ind w:left="1134"/>
        <w:rPr>
          <w:i/>
          <w:sz w:val="22"/>
          <w:szCs w:val="22"/>
        </w:rPr>
      </w:pPr>
      <w:r w:rsidRPr="0031099E">
        <w:rPr>
          <w:b/>
          <w:i/>
          <w:sz w:val="22"/>
          <w:szCs w:val="22"/>
        </w:rPr>
        <w:t>included in a class of items</w:t>
      </w:r>
      <w:r w:rsidRPr="0031099E">
        <w:rPr>
          <w:i/>
          <w:sz w:val="22"/>
          <w:szCs w:val="22"/>
        </w:rPr>
        <w:t xml:space="preserve"> </w:t>
      </w:r>
      <w:r w:rsidRPr="0031099E">
        <w:rPr>
          <w:sz w:val="22"/>
          <w:szCs w:val="22"/>
        </w:rPr>
        <w:t xml:space="preserve">has the meaning given by </w:t>
      </w:r>
      <w:r w:rsidRPr="007661FE">
        <w:rPr>
          <w:sz w:val="22"/>
          <w:szCs w:val="22"/>
        </w:rPr>
        <w:t xml:space="preserve">section </w:t>
      </w:r>
      <w:r w:rsidR="003C3D9D" w:rsidRPr="007661FE">
        <w:rPr>
          <w:sz w:val="22"/>
          <w:szCs w:val="22"/>
        </w:rPr>
        <w:t>9</w:t>
      </w:r>
      <w:r w:rsidRPr="0031099E">
        <w:rPr>
          <w:sz w:val="22"/>
          <w:szCs w:val="22"/>
        </w:rPr>
        <w:t>.</w:t>
      </w:r>
    </w:p>
    <w:p w14:paraId="02565C75" w14:textId="52EC2333" w:rsidR="00DD4BA4" w:rsidRDefault="00EE1F1E" w:rsidP="0076020B">
      <w:pPr>
        <w:pStyle w:val="Definition"/>
      </w:pPr>
      <w:r>
        <w:rPr>
          <w:b/>
          <w:i/>
        </w:rPr>
        <w:t>integrated handheld class H DSC</w:t>
      </w:r>
      <w:r w:rsidRPr="00EE1F1E">
        <w:rPr>
          <w:i/>
        </w:rPr>
        <w:t xml:space="preserve"> </w:t>
      </w:r>
      <w:r w:rsidRPr="00EE1F1E">
        <w:t>means a portable radiotelephone transmitter and re</w:t>
      </w:r>
      <w:r>
        <w:t>ceiver incorporating class H DSC</w:t>
      </w:r>
      <w:r w:rsidR="00F40F9B">
        <w:t>,</w:t>
      </w:r>
      <w:r w:rsidRPr="00EE1F1E">
        <w:t xml:space="preserve"> as defined </w:t>
      </w:r>
      <w:r w:rsidR="00DD4BA4">
        <w:t xml:space="preserve">in </w:t>
      </w:r>
      <w:r w:rsidRPr="00EE1F1E">
        <w:t>ITU-R Recommendation M.493</w:t>
      </w:r>
      <w:r w:rsidR="00F40F9B">
        <w:t xml:space="preserve">. </w:t>
      </w:r>
    </w:p>
    <w:p w14:paraId="46259480" w14:textId="77777777" w:rsidR="00F251FD" w:rsidRPr="00F36B63" w:rsidRDefault="00F36B63" w:rsidP="0076020B">
      <w:pPr>
        <w:pStyle w:val="Definition"/>
      </w:pPr>
      <w:r>
        <w:rPr>
          <w:b/>
          <w:i/>
        </w:rPr>
        <w:t>item</w:t>
      </w:r>
      <w:r>
        <w:t xml:space="preserve"> means </w:t>
      </w:r>
      <w:r w:rsidRPr="00BB5392">
        <w:rPr>
          <w:bCs/>
          <w:iCs/>
          <w:szCs w:val="22"/>
        </w:rPr>
        <w:t>a radiocommunications device</w:t>
      </w:r>
      <w:r w:rsidR="00300508">
        <w:rPr>
          <w:bCs/>
          <w:iCs/>
          <w:szCs w:val="22"/>
        </w:rPr>
        <w:t xml:space="preserve"> </w:t>
      </w:r>
      <w:r w:rsidRPr="00BB5392">
        <w:rPr>
          <w:bCs/>
          <w:iCs/>
          <w:szCs w:val="22"/>
        </w:rPr>
        <w:t xml:space="preserve">to which this </w:t>
      </w:r>
      <w:r w:rsidR="00DB1E79">
        <w:rPr>
          <w:bCs/>
          <w:iCs/>
          <w:szCs w:val="22"/>
        </w:rPr>
        <w:t>standard</w:t>
      </w:r>
      <w:r w:rsidRPr="00BB5392">
        <w:rPr>
          <w:bCs/>
          <w:iCs/>
          <w:szCs w:val="22"/>
        </w:rPr>
        <w:t xml:space="preserve"> applies,</w:t>
      </w:r>
      <w:r>
        <w:rPr>
          <w:bCs/>
          <w:iCs/>
          <w:szCs w:val="22"/>
        </w:rPr>
        <w:t xml:space="preserve"> as provided by </w:t>
      </w:r>
      <w:r w:rsidR="00F34140" w:rsidRPr="007661FE">
        <w:rPr>
          <w:bCs/>
          <w:iCs/>
          <w:szCs w:val="22"/>
        </w:rPr>
        <w:t>section 1</w:t>
      </w:r>
      <w:r w:rsidR="003C3D9D" w:rsidRPr="007661FE">
        <w:rPr>
          <w:bCs/>
          <w:iCs/>
          <w:szCs w:val="22"/>
        </w:rPr>
        <w:t>3</w:t>
      </w:r>
      <w:r w:rsidRPr="00BE0F05">
        <w:rPr>
          <w:bCs/>
          <w:iCs/>
          <w:szCs w:val="22"/>
        </w:rPr>
        <w:t>,</w:t>
      </w:r>
      <w:r>
        <w:rPr>
          <w:bCs/>
          <w:iCs/>
          <w:szCs w:val="22"/>
        </w:rPr>
        <w:t xml:space="preserve"> and includes a modified item</w:t>
      </w:r>
      <w:r>
        <w:t>.</w:t>
      </w:r>
    </w:p>
    <w:p w14:paraId="2ABEBB7C" w14:textId="77777777" w:rsidR="00F40F9B" w:rsidRPr="00F40F9B" w:rsidRDefault="00F40F9B" w:rsidP="00F40F9B">
      <w:pPr>
        <w:pStyle w:val="Definition"/>
      </w:pPr>
      <w:r>
        <w:rPr>
          <w:b/>
          <w:i/>
        </w:rPr>
        <w:t>ITU-R Recommendation M.49</w:t>
      </w:r>
      <w:r w:rsidR="00F52640">
        <w:rPr>
          <w:b/>
          <w:i/>
        </w:rPr>
        <w:t>3</w:t>
      </w:r>
      <w:r>
        <w:rPr>
          <w:b/>
          <w:i/>
        </w:rPr>
        <w:t xml:space="preserve"> </w:t>
      </w:r>
      <w:r>
        <w:t>means the ITU-R Recommendation M.49</w:t>
      </w:r>
      <w:r w:rsidR="00F52640">
        <w:t>3</w:t>
      </w:r>
      <w:r>
        <w:t xml:space="preserve"> </w:t>
      </w:r>
      <w:r w:rsidRPr="00F40F9B">
        <w:rPr>
          <w:i/>
        </w:rPr>
        <w:t>Digital selective-calling system for use in the maritime mobile service</w:t>
      </w:r>
      <w:r>
        <w:rPr>
          <w:i/>
        </w:rPr>
        <w:t xml:space="preserve">, </w:t>
      </w:r>
      <w:r>
        <w:t xml:space="preserve">as in force from time to time, published by the International Telecommunication Union, available at </w:t>
      </w:r>
      <w:hyperlink r:id="rId17" w:history="1">
        <w:r w:rsidRPr="001D428B">
          <w:rPr>
            <w:rStyle w:val="Hyperlink"/>
          </w:rPr>
          <w:t>www.itu.int</w:t>
        </w:r>
      </w:hyperlink>
      <w:r>
        <w:t xml:space="preserve">. </w:t>
      </w:r>
    </w:p>
    <w:p w14:paraId="722B4B60" w14:textId="77777777" w:rsidR="00DA7429" w:rsidRDefault="00DA7429" w:rsidP="000619BE">
      <w:pPr>
        <w:pStyle w:val="Definition"/>
      </w:pPr>
      <w:r>
        <w:rPr>
          <w:b/>
          <w:i/>
        </w:rPr>
        <w:t xml:space="preserve">limited coast station </w:t>
      </w:r>
      <w:r>
        <w:t>means:</w:t>
      </w:r>
    </w:p>
    <w:p w14:paraId="01F79F16" w14:textId="77777777" w:rsidR="00DA7429" w:rsidRPr="00AC3783" w:rsidRDefault="00DA7429" w:rsidP="00EE1F1E">
      <w:pPr>
        <w:pStyle w:val="DraftingParagraph"/>
        <w:numPr>
          <w:ilvl w:val="0"/>
          <w:numId w:val="37"/>
        </w:numPr>
        <w:tabs>
          <w:tab w:val="clear" w:pos="1191"/>
          <w:tab w:val="left" w:pos="1276"/>
        </w:tabs>
        <w:spacing w:before="40" w:after="0" w:line="240" w:lineRule="auto"/>
        <w:jc w:val="left"/>
        <w:rPr>
          <w:sz w:val="22"/>
          <w:szCs w:val="22"/>
        </w:rPr>
      </w:pPr>
      <w:r w:rsidRPr="00AC3783">
        <w:rPr>
          <w:sz w:val="22"/>
          <w:szCs w:val="22"/>
        </w:rPr>
        <w:t xml:space="preserve"> a limited coast assigned system station;</w:t>
      </w:r>
    </w:p>
    <w:p w14:paraId="139EB030" w14:textId="77777777" w:rsidR="00DA7429" w:rsidRPr="00AC3783" w:rsidRDefault="00DA7429" w:rsidP="00EE1F1E">
      <w:pPr>
        <w:pStyle w:val="DraftingParagraph"/>
        <w:numPr>
          <w:ilvl w:val="0"/>
          <w:numId w:val="37"/>
        </w:numPr>
        <w:tabs>
          <w:tab w:val="clear" w:pos="1191"/>
          <w:tab w:val="left" w:pos="1276"/>
        </w:tabs>
        <w:spacing w:before="40" w:after="0" w:line="240" w:lineRule="auto"/>
        <w:jc w:val="left"/>
        <w:rPr>
          <w:sz w:val="22"/>
          <w:szCs w:val="22"/>
        </w:rPr>
      </w:pPr>
      <w:r w:rsidRPr="00AC3783">
        <w:rPr>
          <w:sz w:val="22"/>
          <w:szCs w:val="22"/>
        </w:rPr>
        <w:t xml:space="preserve">a limited coast marine rescue station; or </w:t>
      </w:r>
    </w:p>
    <w:p w14:paraId="49D9E6D3" w14:textId="77777777" w:rsidR="00DA7429" w:rsidRPr="00AC3783" w:rsidRDefault="00DA7429" w:rsidP="00EE1F1E">
      <w:pPr>
        <w:pStyle w:val="DraftingParagraph"/>
        <w:numPr>
          <w:ilvl w:val="0"/>
          <w:numId w:val="37"/>
        </w:numPr>
        <w:tabs>
          <w:tab w:val="clear" w:pos="1191"/>
          <w:tab w:val="left" w:pos="1276"/>
        </w:tabs>
        <w:spacing w:before="40" w:after="0" w:line="240" w:lineRule="auto"/>
        <w:jc w:val="left"/>
        <w:rPr>
          <w:sz w:val="22"/>
          <w:szCs w:val="22"/>
        </w:rPr>
      </w:pPr>
      <w:r w:rsidRPr="00AC3783">
        <w:rPr>
          <w:sz w:val="22"/>
          <w:szCs w:val="22"/>
        </w:rPr>
        <w:t xml:space="preserve">a limited coast </w:t>
      </w:r>
      <w:proofErr w:type="gramStart"/>
      <w:r w:rsidRPr="00AC3783">
        <w:rPr>
          <w:sz w:val="22"/>
          <w:szCs w:val="22"/>
        </w:rPr>
        <w:t>non assigned</w:t>
      </w:r>
      <w:proofErr w:type="gramEnd"/>
      <w:r w:rsidRPr="00AC3783">
        <w:rPr>
          <w:sz w:val="22"/>
          <w:szCs w:val="22"/>
        </w:rPr>
        <w:t xml:space="preserve"> station.  </w:t>
      </w:r>
    </w:p>
    <w:p w14:paraId="4778FEC6" w14:textId="77777777" w:rsidR="000619BE" w:rsidRDefault="000619BE" w:rsidP="000619BE">
      <w:pPr>
        <w:pStyle w:val="Definition"/>
        <w:rPr>
          <w:i/>
        </w:rPr>
      </w:pPr>
      <w:r>
        <w:rPr>
          <w:b/>
          <w:i/>
        </w:rPr>
        <w:t>manufacturer</w:t>
      </w:r>
      <w:r w:rsidR="00F36B63">
        <w:t>, in relation to an item</w:t>
      </w:r>
      <w:r w:rsidRPr="00E0474D">
        <w:t>, includes (but is not limited to)</w:t>
      </w:r>
      <w:r>
        <w:t xml:space="preserve"> </w:t>
      </w:r>
      <w:r w:rsidR="00F36B63">
        <w:t>a person who modifies the item</w:t>
      </w:r>
      <w:r>
        <w:t>.</w:t>
      </w:r>
    </w:p>
    <w:p w14:paraId="07D2CEC5" w14:textId="77777777" w:rsidR="00925C64" w:rsidRPr="00925C64" w:rsidRDefault="00925C64" w:rsidP="006153A6">
      <w:pPr>
        <w:pStyle w:val="Definition"/>
      </w:pPr>
      <w:r>
        <w:rPr>
          <w:b/>
          <w:i/>
        </w:rPr>
        <w:lastRenderedPageBreak/>
        <w:t xml:space="preserve">maritime mobile service VHF frequencies </w:t>
      </w:r>
      <w:r>
        <w:t xml:space="preserve">means the frequencies specified </w:t>
      </w:r>
      <w:r w:rsidR="0057635A">
        <w:t xml:space="preserve">in the spectrum plan that may be used </w:t>
      </w:r>
      <w:proofErr w:type="gramStart"/>
      <w:r w:rsidR="0057635A">
        <w:t>for the purpose of</w:t>
      </w:r>
      <w:proofErr w:type="gramEnd"/>
      <w:r w:rsidR="0057635A">
        <w:t xml:space="preserve"> maritime mobile services that exceed 30 </w:t>
      </w:r>
      <w:r w:rsidR="00DA53AC">
        <w:t xml:space="preserve">MHz but do not exceed 300 </w:t>
      </w:r>
      <w:proofErr w:type="spellStart"/>
      <w:r w:rsidR="00DA53AC">
        <w:t>MHz.</w:t>
      </w:r>
      <w:proofErr w:type="spellEnd"/>
    </w:p>
    <w:p w14:paraId="3D531111" w14:textId="77777777" w:rsidR="00726DAC" w:rsidRPr="0038518A" w:rsidRDefault="00726DAC" w:rsidP="006153A6">
      <w:pPr>
        <w:pStyle w:val="Definition"/>
      </w:pPr>
      <w:r w:rsidRPr="0038518A">
        <w:rPr>
          <w:b/>
          <w:i/>
        </w:rPr>
        <w:t>modifie</w:t>
      </w:r>
      <w:r w:rsidR="00E54C33" w:rsidRPr="0038518A">
        <w:rPr>
          <w:b/>
          <w:i/>
        </w:rPr>
        <w:t>d</w:t>
      </w:r>
      <w:r w:rsidR="00E54C33" w:rsidRPr="0038518A">
        <w:t>, in relation to a</w:t>
      </w:r>
      <w:r w:rsidR="00F36B63" w:rsidRPr="0038518A">
        <w:t>n item</w:t>
      </w:r>
      <w:r w:rsidR="00FD1EA6">
        <w:t xml:space="preserve"> or</w:t>
      </w:r>
      <w:r w:rsidR="00EC4D1D">
        <w:t xml:space="preserve"> any other</w:t>
      </w:r>
      <w:r w:rsidR="00FD1EA6">
        <w:t xml:space="preserve"> device</w:t>
      </w:r>
      <w:r w:rsidR="00E54C33" w:rsidRPr="0038518A">
        <w:t>, means modified or altered in a material respec</w:t>
      </w:r>
      <w:r w:rsidR="0038518A" w:rsidRPr="0038518A">
        <w:t>t</w:t>
      </w:r>
      <w:r w:rsidR="00B10FA5">
        <w:t xml:space="preserve"> (after the</w:t>
      </w:r>
      <w:r w:rsidR="00FD1EA6">
        <w:t xml:space="preserve"> </w:t>
      </w:r>
      <w:r w:rsidR="00156F22">
        <w:t xml:space="preserve">item or other </w:t>
      </w:r>
      <w:r w:rsidR="00FD1EA6">
        <w:t>device</w:t>
      </w:r>
      <w:r w:rsidR="00E54C33" w:rsidRPr="0038518A">
        <w:t xml:space="preserve"> was manufactured or imported) by</w:t>
      </w:r>
      <w:r w:rsidR="00076D43" w:rsidRPr="0038518A">
        <w:t>,</w:t>
      </w:r>
      <w:r w:rsidR="00E54C33" w:rsidRPr="0038518A">
        <w:t xml:space="preserve"> or on behalf of, the manufacturer or importer of the </w:t>
      </w:r>
      <w:r w:rsidR="00156F22">
        <w:t xml:space="preserve">item or other </w:t>
      </w:r>
      <w:r w:rsidR="00FD1EA6">
        <w:t>device</w:t>
      </w:r>
      <w:r w:rsidR="00E54C33" w:rsidRPr="0038518A">
        <w:t>.</w:t>
      </w:r>
    </w:p>
    <w:p w14:paraId="36C2872D" w14:textId="77777777" w:rsidR="00726DAC" w:rsidRPr="006E1EE0" w:rsidRDefault="00F36B63" w:rsidP="00F31EC9">
      <w:pPr>
        <w:pStyle w:val="Definition"/>
      </w:pPr>
      <w:r w:rsidRPr="006E1EE0">
        <w:rPr>
          <w:b/>
          <w:i/>
        </w:rPr>
        <w:t>modified item</w:t>
      </w:r>
      <w:r w:rsidR="00F419E1" w:rsidRPr="006E1EE0">
        <w:t xml:space="preserve"> means:</w:t>
      </w:r>
    </w:p>
    <w:p w14:paraId="5FC8A68F" w14:textId="77777777" w:rsidR="00F419E1" w:rsidRPr="006E1EE0" w:rsidRDefault="00F419E1" w:rsidP="00E0761D">
      <w:pPr>
        <w:pStyle w:val="DraftingParagraph"/>
        <w:numPr>
          <w:ilvl w:val="0"/>
          <w:numId w:val="23"/>
        </w:numPr>
        <w:tabs>
          <w:tab w:val="clear" w:pos="1191"/>
          <w:tab w:val="left" w:pos="1276"/>
        </w:tabs>
        <w:spacing w:before="40" w:after="0" w:line="240" w:lineRule="auto"/>
        <w:ind w:left="1701" w:hanging="425"/>
        <w:jc w:val="left"/>
        <w:rPr>
          <w:sz w:val="22"/>
          <w:szCs w:val="22"/>
        </w:rPr>
      </w:pPr>
      <w:r w:rsidRPr="006E1EE0">
        <w:rPr>
          <w:sz w:val="22"/>
          <w:szCs w:val="22"/>
        </w:rPr>
        <w:t xml:space="preserve">an </w:t>
      </w:r>
      <w:r w:rsidR="00F36B63" w:rsidRPr="006E1EE0">
        <w:rPr>
          <w:sz w:val="22"/>
          <w:szCs w:val="22"/>
        </w:rPr>
        <w:t>item</w:t>
      </w:r>
      <w:r w:rsidRPr="006E1EE0">
        <w:rPr>
          <w:sz w:val="22"/>
          <w:szCs w:val="22"/>
        </w:rPr>
        <w:t xml:space="preserve"> that has been modified</w:t>
      </w:r>
      <w:r w:rsidR="00313AF5" w:rsidRPr="006E1EE0">
        <w:rPr>
          <w:sz w:val="22"/>
          <w:szCs w:val="22"/>
        </w:rPr>
        <w:t xml:space="preserve"> and, for the avoidance of doubt, is the item as modified</w:t>
      </w:r>
      <w:r w:rsidR="00FD1EA6">
        <w:rPr>
          <w:sz w:val="22"/>
          <w:szCs w:val="22"/>
        </w:rPr>
        <w:t>; or</w:t>
      </w:r>
    </w:p>
    <w:p w14:paraId="2FAA944A" w14:textId="77777777" w:rsidR="00F419E1" w:rsidRPr="006E1EE0" w:rsidRDefault="006E1EE0" w:rsidP="00E0761D">
      <w:pPr>
        <w:pStyle w:val="DraftingParagraph"/>
        <w:numPr>
          <w:ilvl w:val="0"/>
          <w:numId w:val="23"/>
        </w:numPr>
        <w:tabs>
          <w:tab w:val="clear" w:pos="1191"/>
          <w:tab w:val="left" w:pos="1276"/>
        </w:tabs>
        <w:spacing w:before="40" w:after="0" w:line="240" w:lineRule="auto"/>
        <w:ind w:left="1701" w:hanging="425"/>
        <w:jc w:val="left"/>
        <w:rPr>
          <w:sz w:val="22"/>
          <w:szCs w:val="22"/>
        </w:rPr>
      </w:pPr>
      <w:r w:rsidRPr="006E1EE0">
        <w:rPr>
          <w:sz w:val="22"/>
          <w:szCs w:val="22"/>
        </w:rPr>
        <w:t>a</w:t>
      </w:r>
      <w:r w:rsidR="00B10FA5">
        <w:rPr>
          <w:sz w:val="22"/>
          <w:szCs w:val="22"/>
        </w:rPr>
        <w:t xml:space="preserve"> </w:t>
      </w:r>
      <w:r w:rsidR="00613DA1" w:rsidRPr="006E1EE0">
        <w:rPr>
          <w:sz w:val="22"/>
          <w:szCs w:val="22"/>
        </w:rPr>
        <w:t>device that has been modified in such a way that it becomes an item.</w:t>
      </w:r>
    </w:p>
    <w:p w14:paraId="3E07BAA4" w14:textId="77777777" w:rsidR="00F36B63" w:rsidRPr="007661FE" w:rsidRDefault="00F36B63" w:rsidP="00EC147C">
      <w:pPr>
        <w:pStyle w:val="DraftingParagraph"/>
        <w:numPr>
          <w:ilvl w:val="0"/>
          <w:numId w:val="0"/>
        </w:numPr>
        <w:spacing w:before="180" w:after="0" w:line="240" w:lineRule="auto"/>
        <w:ind w:left="1463" w:hanging="357"/>
        <w:jc w:val="left"/>
        <w:rPr>
          <w:sz w:val="22"/>
          <w:szCs w:val="22"/>
        </w:rPr>
      </w:pPr>
      <w:r w:rsidRPr="00F36B63">
        <w:rPr>
          <w:b/>
          <w:i/>
          <w:sz w:val="22"/>
          <w:szCs w:val="22"/>
        </w:rPr>
        <w:t>original item</w:t>
      </w:r>
      <w:r w:rsidRPr="00F36B63">
        <w:rPr>
          <w:sz w:val="22"/>
          <w:szCs w:val="22"/>
        </w:rPr>
        <w:t xml:space="preserve"> </w:t>
      </w:r>
      <w:r w:rsidRPr="00F36B63">
        <w:rPr>
          <w:color w:val="000000"/>
          <w:sz w:val="22"/>
          <w:szCs w:val="22"/>
        </w:rPr>
        <w:t xml:space="preserve">has the meaning given by </w:t>
      </w:r>
      <w:r w:rsidR="00C26CF7" w:rsidRPr="007661FE">
        <w:rPr>
          <w:color w:val="000000"/>
          <w:sz w:val="22"/>
          <w:szCs w:val="22"/>
        </w:rPr>
        <w:t xml:space="preserve">paragraph </w:t>
      </w:r>
      <w:r w:rsidR="003C3D9D" w:rsidRPr="007661FE">
        <w:rPr>
          <w:color w:val="000000"/>
          <w:sz w:val="22"/>
          <w:szCs w:val="22"/>
        </w:rPr>
        <w:t>9</w:t>
      </w:r>
      <w:r w:rsidRPr="007661FE">
        <w:rPr>
          <w:color w:val="000000"/>
          <w:sz w:val="22"/>
          <w:szCs w:val="22"/>
        </w:rPr>
        <w:t>(1)(b).</w:t>
      </w:r>
    </w:p>
    <w:p w14:paraId="499004A9" w14:textId="77777777" w:rsidR="00726DAC" w:rsidRPr="007661FE" w:rsidRDefault="00726DAC" w:rsidP="00E0761D">
      <w:pPr>
        <w:pStyle w:val="Definition"/>
        <w:ind w:left="384" w:firstLine="720"/>
        <w:jc w:val="both"/>
      </w:pPr>
      <w:r w:rsidRPr="007661FE">
        <w:rPr>
          <w:b/>
          <w:i/>
        </w:rPr>
        <w:t xml:space="preserve">original modified </w:t>
      </w:r>
      <w:r w:rsidR="00F36B63" w:rsidRPr="007661FE">
        <w:rPr>
          <w:b/>
          <w:i/>
        </w:rPr>
        <w:t>item</w:t>
      </w:r>
      <w:r w:rsidRPr="007661FE">
        <w:rPr>
          <w:i/>
        </w:rPr>
        <w:t xml:space="preserve"> </w:t>
      </w:r>
      <w:r w:rsidR="008D0BC8" w:rsidRPr="007661FE">
        <w:rPr>
          <w:color w:val="000000"/>
          <w:szCs w:val="22"/>
        </w:rPr>
        <w:t xml:space="preserve">has the meaning given by paragraph </w:t>
      </w:r>
      <w:r w:rsidR="003C3D9D" w:rsidRPr="007661FE">
        <w:rPr>
          <w:color w:val="000000"/>
          <w:szCs w:val="22"/>
        </w:rPr>
        <w:t>9</w:t>
      </w:r>
      <w:r w:rsidR="008D0BC8" w:rsidRPr="007661FE">
        <w:rPr>
          <w:color w:val="000000"/>
          <w:szCs w:val="22"/>
        </w:rPr>
        <w:t>(2)(b)</w:t>
      </w:r>
      <w:r w:rsidRPr="007661FE">
        <w:t>.</w:t>
      </w:r>
    </w:p>
    <w:p w14:paraId="350FB47E" w14:textId="77777777" w:rsidR="00DA181F" w:rsidRPr="00DA181F" w:rsidRDefault="00DA181F" w:rsidP="00F36B63">
      <w:pPr>
        <w:pStyle w:val="Definition"/>
        <w:ind w:left="384" w:firstLine="720"/>
      </w:pPr>
      <w:r w:rsidRPr="007661FE">
        <w:rPr>
          <w:b/>
          <w:i/>
        </w:rPr>
        <w:t xml:space="preserve">relevant </w:t>
      </w:r>
      <w:r w:rsidR="009574D4" w:rsidRPr="007661FE">
        <w:rPr>
          <w:b/>
          <w:i/>
        </w:rPr>
        <w:t>date</w:t>
      </w:r>
      <w:r w:rsidRPr="007661FE">
        <w:t xml:space="preserve">, for an item, has the meaning </w:t>
      </w:r>
      <w:r w:rsidR="00EE7362" w:rsidRPr="007661FE">
        <w:t xml:space="preserve">given </w:t>
      </w:r>
      <w:r w:rsidRPr="007661FE">
        <w:t>by section</w:t>
      </w:r>
      <w:r w:rsidR="00475D1C" w:rsidRPr="007661FE">
        <w:t xml:space="preserve"> 1</w:t>
      </w:r>
      <w:r w:rsidR="003C3D9D" w:rsidRPr="007661FE">
        <w:t>1</w:t>
      </w:r>
      <w:r w:rsidRPr="007661FE">
        <w:t>.</w:t>
      </w:r>
    </w:p>
    <w:p w14:paraId="368C0B3C" w14:textId="77777777" w:rsidR="00726DAC" w:rsidRDefault="000619BE" w:rsidP="006153A6">
      <w:pPr>
        <w:pStyle w:val="Definition"/>
      </w:pPr>
      <w:r>
        <w:rPr>
          <w:b/>
          <w:i/>
        </w:rPr>
        <w:t>replacement standard</w:t>
      </w:r>
      <w:r w:rsidR="008707FE">
        <w:t>, in relation to an applicable industry standard,</w:t>
      </w:r>
      <w:r w:rsidR="006153A6" w:rsidRPr="00BB5392">
        <w:rPr>
          <w:color w:val="000000"/>
          <w:szCs w:val="22"/>
        </w:rPr>
        <w:t xml:space="preserve"> means</w:t>
      </w:r>
      <w:r w:rsidR="006247B9">
        <w:rPr>
          <w:color w:val="000000"/>
          <w:szCs w:val="22"/>
        </w:rPr>
        <w:t xml:space="preserve"> an instrument</w:t>
      </w:r>
      <w:r>
        <w:rPr>
          <w:color w:val="000000"/>
          <w:szCs w:val="22"/>
        </w:rPr>
        <w:t xml:space="preserve"> that </w:t>
      </w:r>
      <w:r w:rsidR="00EE7362">
        <w:rPr>
          <w:color w:val="000000"/>
          <w:szCs w:val="22"/>
        </w:rPr>
        <w:t>replace</w:t>
      </w:r>
      <w:r w:rsidR="007766ED">
        <w:rPr>
          <w:color w:val="000000"/>
          <w:szCs w:val="22"/>
        </w:rPr>
        <w:t>s</w:t>
      </w:r>
      <w:r>
        <w:rPr>
          <w:color w:val="000000"/>
          <w:szCs w:val="22"/>
        </w:rPr>
        <w:t xml:space="preserve"> </w:t>
      </w:r>
      <w:r w:rsidR="00EE7362">
        <w:rPr>
          <w:color w:val="000000"/>
          <w:szCs w:val="22"/>
        </w:rPr>
        <w:t>an</w:t>
      </w:r>
      <w:r w:rsidR="00DA3A33">
        <w:rPr>
          <w:color w:val="000000"/>
          <w:szCs w:val="22"/>
        </w:rPr>
        <w:t xml:space="preserve"> </w:t>
      </w:r>
      <w:r w:rsidR="008707FE">
        <w:rPr>
          <w:color w:val="000000"/>
          <w:szCs w:val="22"/>
        </w:rPr>
        <w:t xml:space="preserve">applicable </w:t>
      </w:r>
      <w:r w:rsidR="008707FE">
        <w:t>industry standard</w:t>
      </w:r>
      <w:r w:rsidR="00DA3A33">
        <w:t>.</w:t>
      </w:r>
    </w:p>
    <w:p w14:paraId="3597BEE2" w14:textId="77777777" w:rsidR="00EE1F1E" w:rsidRDefault="00EE1F1E" w:rsidP="006153A6">
      <w:pPr>
        <w:pStyle w:val="Definition"/>
        <w:rPr>
          <w:b/>
          <w:i/>
        </w:rPr>
      </w:pPr>
      <w:r w:rsidRPr="00EE1F1E">
        <w:rPr>
          <w:b/>
          <w:i/>
        </w:rPr>
        <w:t>shipborne fixed installation of a radiotel</w:t>
      </w:r>
      <w:r>
        <w:rPr>
          <w:b/>
          <w:i/>
        </w:rPr>
        <w:t>ephone transmitter and receiver</w:t>
      </w:r>
      <w:r w:rsidRPr="00EE1F1E">
        <w:t xml:space="preserve"> means a radiotelephone transmitter and receiver installation that is permanently installed on a ship.</w:t>
      </w:r>
    </w:p>
    <w:p w14:paraId="1982C5E3" w14:textId="77777777" w:rsidR="00726DAC" w:rsidRDefault="00726DAC" w:rsidP="006153A6">
      <w:pPr>
        <w:pStyle w:val="Definition"/>
        <w:rPr>
          <w:color w:val="000000"/>
          <w:szCs w:val="22"/>
        </w:rPr>
      </w:pPr>
      <w:r>
        <w:rPr>
          <w:b/>
          <w:i/>
        </w:rPr>
        <w:t xml:space="preserve">significant event </w:t>
      </w:r>
      <w:r>
        <w:t>means</w:t>
      </w:r>
      <w:r w:rsidR="006153A6" w:rsidRPr="006153A6">
        <w:rPr>
          <w:color w:val="000000"/>
          <w:szCs w:val="22"/>
        </w:rPr>
        <w:t xml:space="preserve"> </w:t>
      </w:r>
      <w:r w:rsidR="006153A6" w:rsidRPr="00BB5392">
        <w:rPr>
          <w:color w:val="000000"/>
          <w:szCs w:val="22"/>
        </w:rPr>
        <w:t>an event at a location or locations specified in a notice approved by the Chair and published on the ACMA’s website at</w:t>
      </w:r>
      <w:r w:rsidR="006153A6">
        <w:rPr>
          <w:color w:val="000000"/>
          <w:szCs w:val="22"/>
        </w:rPr>
        <w:t xml:space="preserve"> </w:t>
      </w:r>
      <w:hyperlink r:id="rId18" w:history="1">
        <w:r w:rsidR="000619BE" w:rsidRPr="00423B8C">
          <w:rPr>
            <w:rStyle w:val="Hyperlink"/>
            <w:szCs w:val="22"/>
          </w:rPr>
          <w:t>www.acma.gov.au</w:t>
        </w:r>
      </w:hyperlink>
      <w:r w:rsidR="006153A6">
        <w:rPr>
          <w:color w:val="000000"/>
          <w:szCs w:val="22"/>
        </w:rPr>
        <w:t>.</w:t>
      </w:r>
    </w:p>
    <w:p w14:paraId="48EE4A84" w14:textId="77777777" w:rsidR="00F84C77" w:rsidRDefault="00F84C77" w:rsidP="00F84C77">
      <w:pPr>
        <w:pStyle w:val="Definition"/>
      </w:pPr>
      <w:r>
        <w:rPr>
          <w:b/>
          <w:i/>
        </w:rPr>
        <w:t>transition period</w:t>
      </w:r>
      <w:r w:rsidRPr="00703276">
        <w:t>,</w:t>
      </w:r>
      <w:r>
        <w:t xml:space="preserve"> for an amendment or the replacement of an applicable industry standard, has the meaning given by </w:t>
      </w:r>
      <w:r w:rsidRPr="00F741FE">
        <w:t>section 12.</w:t>
      </w:r>
      <w:r>
        <w:t xml:space="preserve"> </w:t>
      </w:r>
    </w:p>
    <w:p w14:paraId="78AD7481" w14:textId="77777777" w:rsidR="00F31EC9" w:rsidRPr="00420112" w:rsidRDefault="00F31EC9" w:rsidP="00AC3783">
      <w:pPr>
        <w:pStyle w:val="notepara"/>
        <w:tabs>
          <w:tab w:val="left" w:pos="1985"/>
        </w:tabs>
        <w:spacing w:before="122" w:line="240" w:lineRule="auto"/>
        <w:ind w:left="1985" w:hanging="851"/>
      </w:pPr>
      <w:r w:rsidRPr="00F52640">
        <w:t>Note</w:t>
      </w:r>
      <w:r w:rsidR="00E45822" w:rsidRPr="00420112">
        <w:t xml:space="preserve"> 1</w:t>
      </w:r>
      <w:r w:rsidRPr="00420112">
        <w:t>:</w:t>
      </w:r>
      <w:r w:rsidRPr="00420112">
        <w:tab/>
      </w:r>
      <w:proofErr w:type="gramStart"/>
      <w:r w:rsidRPr="00420112">
        <w:t>A number of</w:t>
      </w:r>
      <w:proofErr w:type="gramEnd"/>
      <w:r w:rsidRPr="00420112">
        <w:t xml:space="preserve"> other expressions used in this </w:t>
      </w:r>
      <w:r w:rsidR="00DB1E79" w:rsidRPr="00420112">
        <w:t>standard</w:t>
      </w:r>
      <w:r w:rsidRPr="00420112">
        <w:t xml:space="preserve"> are defined in the Act</w:t>
      </w:r>
      <w:r w:rsidR="003B0FD3" w:rsidRPr="00420112">
        <w:t xml:space="preserve"> </w:t>
      </w:r>
      <w:r w:rsidR="00F52640" w:rsidRPr="00420112">
        <w:t>or</w:t>
      </w:r>
      <w:r w:rsidR="003B0FD3" w:rsidRPr="00420112">
        <w:t xml:space="preserve"> </w:t>
      </w:r>
      <w:r w:rsidR="006E12B6" w:rsidRPr="00420112">
        <w:t xml:space="preserve">in Schedule 1 of </w:t>
      </w:r>
      <w:r w:rsidR="003B0FD3" w:rsidRPr="00420112">
        <w:t>the</w:t>
      </w:r>
      <w:r w:rsidR="003B0FD3" w:rsidRPr="00AC3783">
        <w:t xml:space="preserve"> </w:t>
      </w:r>
      <w:r w:rsidR="003B0FD3" w:rsidRPr="00420112">
        <w:rPr>
          <w:i/>
        </w:rPr>
        <w:t>Radiocommunications (Interpretation</w:t>
      </w:r>
      <w:r w:rsidR="006247B9" w:rsidRPr="00420112">
        <w:rPr>
          <w:i/>
        </w:rPr>
        <w:t>)</w:t>
      </w:r>
      <w:r w:rsidR="003B0FD3" w:rsidRPr="00420112">
        <w:rPr>
          <w:i/>
        </w:rPr>
        <w:t xml:space="preserve"> Determination 2015</w:t>
      </w:r>
      <w:r w:rsidRPr="00F52640">
        <w:t>, including the following:</w:t>
      </w:r>
      <w:r w:rsidR="00280A53" w:rsidRPr="00420112">
        <w:t xml:space="preserve"> </w:t>
      </w:r>
    </w:p>
    <w:p w14:paraId="315B6ECD" w14:textId="77777777" w:rsidR="002744F4" w:rsidRDefault="002744F4" w:rsidP="002744F4">
      <w:pPr>
        <w:pStyle w:val="notepara"/>
        <w:numPr>
          <w:ilvl w:val="0"/>
          <w:numId w:val="22"/>
        </w:numPr>
        <w:tabs>
          <w:tab w:val="left" w:pos="2410"/>
        </w:tabs>
        <w:ind w:left="1985" w:firstLine="0"/>
      </w:pPr>
      <w:r>
        <w:t>ACMA (see section 5 of the Act);</w:t>
      </w:r>
    </w:p>
    <w:p w14:paraId="1BB684B8" w14:textId="77777777" w:rsidR="00280A53" w:rsidRDefault="00247148">
      <w:pPr>
        <w:pStyle w:val="notepara"/>
        <w:numPr>
          <w:ilvl w:val="0"/>
          <w:numId w:val="22"/>
        </w:numPr>
        <w:tabs>
          <w:tab w:val="left" w:pos="2410"/>
        </w:tabs>
        <w:ind w:left="1985" w:firstLine="0"/>
      </w:pPr>
      <w:r>
        <w:t>Act (see section 4 of the</w:t>
      </w:r>
      <w:r w:rsidR="002744F4">
        <w:t xml:space="preserve"> determination);</w:t>
      </w:r>
    </w:p>
    <w:p w14:paraId="440E3CF1" w14:textId="77777777" w:rsidR="006E2286" w:rsidRDefault="006E2286">
      <w:pPr>
        <w:pStyle w:val="notepara"/>
        <w:numPr>
          <w:ilvl w:val="0"/>
          <w:numId w:val="22"/>
        </w:numPr>
        <w:tabs>
          <w:tab w:val="left" w:pos="2410"/>
        </w:tabs>
        <w:ind w:left="1985" w:firstLine="0"/>
      </w:pPr>
      <w:r>
        <w:t>Australia (see section 5</w:t>
      </w:r>
      <w:r w:rsidR="003B0FD3">
        <w:t xml:space="preserve"> of the Act</w:t>
      </w:r>
      <w:r>
        <w:t>);</w:t>
      </w:r>
    </w:p>
    <w:p w14:paraId="7144C8EF" w14:textId="77777777" w:rsidR="006E1EE0" w:rsidRDefault="006E1EE0" w:rsidP="00E609DD">
      <w:pPr>
        <w:pStyle w:val="notepara"/>
        <w:numPr>
          <w:ilvl w:val="0"/>
          <w:numId w:val="22"/>
        </w:numPr>
        <w:tabs>
          <w:tab w:val="left" w:pos="2410"/>
        </w:tabs>
        <w:ind w:left="1985" w:firstLine="0"/>
      </w:pPr>
      <w:r>
        <w:t>device (</w:t>
      </w:r>
      <w:r w:rsidR="009D6AF8">
        <w:t xml:space="preserve">see </w:t>
      </w:r>
      <w:r>
        <w:t>section 5 and subsection 9(1)</w:t>
      </w:r>
      <w:r w:rsidR="003B0FD3">
        <w:t xml:space="preserve"> of the Act</w:t>
      </w:r>
      <w:r>
        <w:t>);</w:t>
      </w:r>
    </w:p>
    <w:p w14:paraId="76DD5B6D" w14:textId="77777777" w:rsidR="005A003F" w:rsidRDefault="005A003F" w:rsidP="00220A7C">
      <w:pPr>
        <w:pStyle w:val="notepara"/>
        <w:numPr>
          <w:ilvl w:val="0"/>
          <w:numId w:val="22"/>
        </w:numPr>
        <w:tabs>
          <w:tab w:val="left" w:pos="2410"/>
        </w:tabs>
        <w:ind w:left="2410" w:hanging="425"/>
      </w:pPr>
      <w:r>
        <w:t>G</w:t>
      </w:r>
      <w:r w:rsidR="00420112">
        <w:t>lobal Maritime Distress and Safety System (G</w:t>
      </w:r>
      <w:r>
        <w:t>MDSS</w:t>
      </w:r>
      <w:r w:rsidR="00420112">
        <w:t>) (see Schedule 1 of the determination)</w:t>
      </w:r>
      <w:r w:rsidR="00D93064">
        <w:t>;</w:t>
      </w:r>
    </w:p>
    <w:p w14:paraId="2509664D" w14:textId="77777777" w:rsidR="00420112" w:rsidRDefault="00420112" w:rsidP="00420112">
      <w:pPr>
        <w:pStyle w:val="notepara"/>
        <w:numPr>
          <w:ilvl w:val="0"/>
          <w:numId w:val="22"/>
        </w:numPr>
        <w:tabs>
          <w:tab w:val="left" w:pos="2410"/>
        </w:tabs>
        <w:ind w:left="1985" w:firstLine="0"/>
      </w:pPr>
      <w:r>
        <w:t>import (see section 5 of the Act);</w:t>
      </w:r>
    </w:p>
    <w:p w14:paraId="74A65BA1" w14:textId="77777777" w:rsidR="00DA7429" w:rsidRDefault="00DA7429" w:rsidP="00E609DD">
      <w:pPr>
        <w:pStyle w:val="notepara"/>
        <w:numPr>
          <w:ilvl w:val="0"/>
          <w:numId w:val="22"/>
        </w:numPr>
        <w:tabs>
          <w:tab w:val="left" w:pos="2410"/>
        </w:tabs>
        <w:ind w:left="1985" w:firstLine="0"/>
      </w:pPr>
      <w:r>
        <w:t>limited coast assigned system station</w:t>
      </w:r>
      <w:r w:rsidR="00420112">
        <w:t xml:space="preserve"> (see Schedule 1 of the determination)</w:t>
      </w:r>
      <w:r w:rsidR="00F15BDC">
        <w:t>;</w:t>
      </w:r>
    </w:p>
    <w:p w14:paraId="2D163084" w14:textId="082690B5" w:rsidR="00DA7429" w:rsidRDefault="00DA7429" w:rsidP="00E609DD">
      <w:pPr>
        <w:pStyle w:val="notepara"/>
        <w:numPr>
          <w:ilvl w:val="0"/>
          <w:numId w:val="22"/>
        </w:numPr>
        <w:tabs>
          <w:tab w:val="left" w:pos="2410"/>
        </w:tabs>
        <w:ind w:left="1985" w:firstLine="0"/>
      </w:pPr>
      <w:r>
        <w:t>limited coast marine rescue</w:t>
      </w:r>
      <w:r w:rsidR="008B58DC">
        <w:t xml:space="preserve"> station</w:t>
      </w:r>
      <w:r w:rsidR="00420112">
        <w:t xml:space="preserve"> (see Schedule 1 of the determination)</w:t>
      </w:r>
      <w:r>
        <w:t>;</w:t>
      </w:r>
    </w:p>
    <w:p w14:paraId="475009B3" w14:textId="77777777" w:rsidR="00F15BDC" w:rsidRDefault="00DA7429" w:rsidP="00E609DD">
      <w:pPr>
        <w:pStyle w:val="notepara"/>
        <w:numPr>
          <w:ilvl w:val="0"/>
          <w:numId w:val="22"/>
        </w:numPr>
        <w:tabs>
          <w:tab w:val="left" w:pos="2410"/>
        </w:tabs>
        <w:ind w:left="1985" w:firstLine="0"/>
      </w:pPr>
      <w:r>
        <w:t xml:space="preserve">limited coast non </w:t>
      </w:r>
      <w:proofErr w:type="gramStart"/>
      <w:r>
        <w:t>assigned  station</w:t>
      </w:r>
      <w:proofErr w:type="gramEnd"/>
      <w:r w:rsidR="00420112">
        <w:t xml:space="preserve"> (see Schedule 1 of the determination)</w:t>
      </w:r>
      <w:r>
        <w:t>;</w:t>
      </w:r>
      <w:r w:rsidR="00F15BDC">
        <w:t xml:space="preserve"> </w:t>
      </w:r>
    </w:p>
    <w:p w14:paraId="6490F862" w14:textId="77777777" w:rsidR="00AF5789" w:rsidRDefault="00AF5789" w:rsidP="00E609DD">
      <w:pPr>
        <w:pStyle w:val="notepara"/>
        <w:numPr>
          <w:ilvl w:val="0"/>
          <w:numId w:val="22"/>
        </w:numPr>
        <w:tabs>
          <w:tab w:val="left" w:pos="2410"/>
        </w:tabs>
        <w:ind w:left="1985" w:firstLine="0"/>
      </w:pPr>
      <w:r>
        <w:t xml:space="preserve">maritime mobile service </w:t>
      </w:r>
      <w:r w:rsidR="00420112">
        <w:t>(see Schedule 1 of the determination)</w:t>
      </w:r>
      <w:r>
        <w:t>;</w:t>
      </w:r>
    </w:p>
    <w:p w14:paraId="2895B812" w14:textId="77777777" w:rsidR="00DA53AC" w:rsidRDefault="00BA2FAF" w:rsidP="006B660B">
      <w:pPr>
        <w:pStyle w:val="notepara"/>
        <w:numPr>
          <w:ilvl w:val="0"/>
          <w:numId w:val="22"/>
        </w:numPr>
        <w:tabs>
          <w:tab w:val="left" w:pos="2410"/>
        </w:tabs>
        <w:ind w:left="1985" w:firstLine="0"/>
      </w:pPr>
      <w:r>
        <w:t>radiocommunications device (</w:t>
      </w:r>
      <w:r w:rsidR="00F92E8B">
        <w:t xml:space="preserve">see section 5 and </w:t>
      </w:r>
      <w:r>
        <w:t>subsection 7(1)</w:t>
      </w:r>
      <w:r w:rsidR="003B0FD3">
        <w:t xml:space="preserve"> of the Act</w:t>
      </w:r>
      <w:r>
        <w:t>)</w:t>
      </w:r>
      <w:r w:rsidR="00DA53AC">
        <w:t>; and</w:t>
      </w:r>
    </w:p>
    <w:p w14:paraId="12C356AB" w14:textId="77777777" w:rsidR="00395A40" w:rsidRDefault="00DA53AC" w:rsidP="006B660B">
      <w:pPr>
        <w:pStyle w:val="notepara"/>
        <w:numPr>
          <w:ilvl w:val="0"/>
          <w:numId w:val="22"/>
        </w:numPr>
        <w:tabs>
          <w:tab w:val="left" w:pos="2410"/>
        </w:tabs>
        <w:ind w:left="1985" w:firstLine="0"/>
      </w:pPr>
      <w:r>
        <w:t>spectrum plan (see section 5 of the Act)</w:t>
      </w:r>
      <w:r w:rsidR="00BA2FAF">
        <w:t>.</w:t>
      </w:r>
    </w:p>
    <w:p w14:paraId="6AE0A693" w14:textId="77777777" w:rsidR="00395A40" w:rsidRDefault="00395A40" w:rsidP="006B660B">
      <w:pPr>
        <w:pStyle w:val="notepara"/>
        <w:tabs>
          <w:tab w:val="left" w:pos="1985"/>
        </w:tabs>
        <w:spacing w:before="122" w:line="240" w:lineRule="auto"/>
        <w:ind w:left="1985" w:hanging="851"/>
      </w:pPr>
      <w:r w:rsidRPr="008E3E51">
        <w:t>Note</w:t>
      </w:r>
      <w:r>
        <w:t xml:space="preserve"> 2: </w:t>
      </w:r>
      <w:r>
        <w:tab/>
        <w:t xml:space="preserve">See paragraph 3(2)(g) of the </w:t>
      </w:r>
      <w:r w:rsidRPr="00DB1D59">
        <w:rPr>
          <w:i/>
        </w:rPr>
        <w:t>Radiocommunications (Interpretation</w:t>
      </w:r>
      <w:r>
        <w:rPr>
          <w:i/>
        </w:rPr>
        <w:t>)</w:t>
      </w:r>
      <w:r w:rsidRPr="00DB1D59">
        <w:rPr>
          <w:i/>
        </w:rPr>
        <w:t xml:space="preserve"> Determination 2015</w:t>
      </w:r>
      <w:r>
        <w:rPr>
          <w:i/>
        </w:rPr>
        <w:t>,</w:t>
      </w:r>
      <w:r>
        <w:t xml:space="preserve"> which is made under subsection 64(1) of the </w:t>
      </w:r>
      <w:r w:rsidRPr="00686BCB">
        <w:rPr>
          <w:i/>
        </w:rPr>
        <w:t>Australian Communications and Media Authority Act 2005</w:t>
      </w:r>
      <w:r>
        <w:t>,</w:t>
      </w:r>
      <w:r>
        <w:rPr>
          <w:i/>
        </w:rPr>
        <w:t xml:space="preserve"> </w:t>
      </w:r>
      <w:r>
        <w:t>for the application of that determination to this standard.</w:t>
      </w:r>
    </w:p>
    <w:p w14:paraId="4763480B" w14:textId="77777777" w:rsidR="00103115" w:rsidRPr="008E3E51" w:rsidRDefault="00D71B24" w:rsidP="00103115">
      <w:pPr>
        <w:pStyle w:val="ActHead5"/>
        <w:ind w:left="0" w:firstLine="0"/>
      </w:pPr>
      <w:proofErr w:type="gramStart"/>
      <w:r w:rsidRPr="00E53EBA">
        <w:rPr>
          <w:rStyle w:val="CharSectno"/>
        </w:rPr>
        <w:t>7</w:t>
      </w:r>
      <w:r w:rsidR="00103115">
        <w:t xml:space="preserve">  References</w:t>
      </w:r>
      <w:proofErr w:type="gramEnd"/>
      <w:r w:rsidR="00103115">
        <w:t xml:space="preserve"> to other instruments</w:t>
      </w:r>
    </w:p>
    <w:p w14:paraId="46CFA48A" w14:textId="77777777" w:rsidR="00FA2E43" w:rsidRDefault="006671E1" w:rsidP="00E24C34">
      <w:pPr>
        <w:pStyle w:val="subsection"/>
      </w:pPr>
      <w:r>
        <w:tab/>
      </w:r>
      <w:r>
        <w:tab/>
      </w:r>
      <w:r w:rsidR="00677DD3">
        <w:t>In this standard</w:t>
      </w:r>
      <w:r w:rsidR="00BE4BC7">
        <w:t>, unles</w:t>
      </w:r>
      <w:r w:rsidR="00E24C34">
        <w:t>s the contrary intention appear</w:t>
      </w:r>
      <w:r w:rsidR="00420112">
        <w:t>s</w:t>
      </w:r>
      <w:r w:rsidR="00E24C34">
        <w:t xml:space="preserve"> </w:t>
      </w:r>
      <w:r w:rsidR="00BE4BC7">
        <w:t xml:space="preserve">a reference to </w:t>
      </w:r>
      <w:r w:rsidR="00434B53">
        <w:t xml:space="preserve">any </w:t>
      </w:r>
      <w:r w:rsidR="00F87D34">
        <w:t xml:space="preserve">other </w:t>
      </w:r>
      <w:r w:rsidR="00BE4BC7">
        <w:t xml:space="preserve">legislative instrument is a reference to that </w:t>
      </w:r>
      <w:r w:rsidR="00F87D34">
        <w:t xml:space="preserve">other </w:t>
      </w:r>
      <w:r w:rsidR="00BE4BC7">
        <w:t>legislative instrumen</w:t>
      </w:r>
      <w:r w:rsidR="00BE4BC7" w:rsidRPr="00DB796B">
        <w:t>t as in force from time to time</w:t>
      </w:r>
      <w:r w:rsidR="00E24C34">
        <w:t>.</w:t>
      </w:r>
    </w:p>
    <w:p w14:paraId="26E8141B" w14:textId="77777777" w:rsidR="00BE4BC7" w:rsidRDefault="00BE4BC7" w:rsidP="00342B17">
      <w:pPr>
        <w:pStyle w:val="notetext"/>
      </w:pPr>
      <w:r w:rsidRPr="008E3E51">
        <w:t>Note</w:t>
      </w:r>
      <w:r>
        <w:t xml:space="preserve"> 1</w:t>
      </w:r>
      <w:r w:rsidRPr="008E3E51">
        <w:t>:</w:t>
      </w:r>
      <w:r w:rsidRPr="008E3E51">
        <w:tab/>
      </w:r>
      <w:r w:rsidRPr="00696F3B">
        <w:t xml:space="preserve">For references to Commonwealth Acts, see section 10 of the </w:t>
      </w:r>
      <w:r w:rsidRPr="00696F3B">
        <w:rPr>
          <w:i/>
        </w:rPr>
        <w:t>Acts Interpretation Act 1901</w:t>
      </w:r>
      <w:r w:rsidRPr="00696F3B">
        <w:t xml:space="preserve">; and see also subsection 13(1) of the </w:t>
      </w:r>
      <w:r>
        <w:rPr>
          <w:i/>
        </w:rPr>
        <w:t>Legislation</w:t>
      </w:r>
      <w:r w:rsidRPr="00696F3B">
        <w:rPr>
          <w:i/>
        </w:rPr>
        <w:t xml:space="preserve"> Act 2003</w:t>
      </w:r>
      <w:r w:rsidRPr="00696F3B">
        <w:t xml:space="preserve"> for the application of the </w:t>
      </w:r>
      <w:r w:rsidRPr="00696F3B">
        <w:rPr>
          <w:i/>
        </w:rPr>
        <w:t>Acts Interpretation Act 1901</w:t>
      </w:r>
      <w:r w:rsidRPr="00696F3B">
        <w:t xml:space="preserve"> to legislative instruments.</w:t>
      </w:r>
    </w:p>
    <w:p w14:paraId="30581EB6" w14:textId="77777777" w:rsidR="00BE4BC7" w:rsidRDefault="00BE4BC7" w:rsidP="00342B17">
      <w:pPr>
        <w:pStyle w:val="notetext"/>
      </w:pPr>
      <w:r w:rsidRPr="008E3E51">
        <w:lastRenderedPageBreak/>
        <w:t>Note</w:t>
      </w:r>
      <w:r>
        <w:t xml:space="preserve"> 2</w:t>
      </w:r>
      <w:r w:rsidRPr="008E3E51">
        <w:t>:</w:t>
      </w:r>
      <w:r w:rsidRPr="008E3E51">
        <w:tab/>
      </w:r>
      <w:r>
        <w:t>All</w:t>
      </w:r>
      <w:r w:rsidRPr="00696F3B">
        <w:t xml:space="preserve"> Commonwealth Acts</w:t>
      </w:r>
      <w:r>
        <w:t xml:space="preserve"> and legislative instruments are registered on the Federal Register of Legislation. </w:t>
      </w:r>
    </w:p>
    <w:p w14:paraId="3F9EE9DC" w14:textId="77777777" w:rsidR="00DF0694" w:rsidRPr="008E3E51" w:rsidRDefault="00DF0694" w:rsidP="00DF0694">
      <w:pPr>
        <w:pStyle w:val="ActHead5"/>
        <w:ind w:left="0" w:firstLine="0"/>
      </w:pPr>
      <w:proofErr w:type="gramStart"/>
      <w:r w:rsidRPr="00E53EBA">
        <w:rPr>
          <w:rStyle w:val="CharSectno"/>
        </w:rPr>
        <w:t>8</w:t>
      </w:r>
      <w:r>
        <w:t xml:space="preserve">  Applicable</w:t>
      </w:r>
      <w:proofErr w:type="gramEnd"/>
      <w:r>
        <w:t xml:space="preserve"> industry standard</w:t>
      </w:r>
    </w:p>
    <w:p w14:paraId="4E7E6A2C" w14:textId="77777777" w:rsidR="00184F43" w:rsidRDefault="00420112" w:rsidP="00DF0694">
      <w:pPr>
        <w:pStyle w:val="subsection"/>
      </w:pPr>
      <w:r>
        <w:tab/>
      </w:r>
      <w:r>
        <w:tab/>
      </w:r>
      <w:r w:rsidR="00184F43">
        <w:t xml:space="preserve">In this standard the </w:t>
      </w:r>
      <w:r w:rsidR="00184F43" w:rsidRPr="00420112">
        <w:t>applicable industry standard</w:t>
      </w:r>
      <w:r w:rsidR="00184F43">
        <w:t xml:space="preserve"> for an item has the meaning determined using the following table:</w:t>
      </w:r>
    </w:p>
    <w:tbl>
      <w:tblPr>
        <w:tblW w:w="7320" w:type="dxa"/>
        <w:tblInd w:w="1068" w:type="dxa"/>
        <w:tblLayout w:type="fixed"/>
        <w:tblLook w:val="01E0" w:firstRow="1" w:lastRow="1" w:firstColumn="1" w:lastColumn="1" w:noHBand="0" w:noVBand="0"/>
      </w:tblPr>
      <w:tblGrid>
        <w:gridCol w:w="917"/>
        <w:gridCol w:w="2923"/>
        <w:gridCol w:w="3480"/>
      </w:tblGrid>
      <w:tr w:rsidR="00184F43" w:rsidRPr="00207B46" w14:paraId="3FAE62E8" w14:textId="77777777" w:rsidTr="00475482">
        <w:trPr>
          <w:cantSplit/>
          <w:tblHeader/>
        </w:trPr>
        <w:tc>
          <w:tcPr>
            <w:tcW w:w="917" w:type="dxa"/>
            <w:tcBorders>
              <w:bottom w:val="single" w:sz="4" w:space="0" w:color="auto"/>
            </w:tcBorders>
            <w:shd w:val="clear" w:color="auto" w:fill="auto"/>
          </w:tcPr>
          <w:p w14:paraId="62BBFE3D" w14:textId="77777777" w:rsidR="00184F43" w:rsidRPr="00207B46" w:rsidRDefault="00184F43" w:rsidP="00475482">
            <w:pPr>
              <w:pStyle w:val="subsection"/>
              <w:rPr>
                <w:b/>
              </w:rPr>
            </w:pPr>
            <w:r w:rsidRPr="00207B46">
              <w:rPr>
                <w:b/>
              </w:rPr>
              <w:t>Item</w:t>
            </w:r>
          </w:p>
        </w:tc>
        <w:tc>
          <w:tcPr>
            <w:tcW w:w="2923" w:type="dxa"/>
            <w:tcBorders>
              <w:bottom w:val="single" w:sz="4" w:space="0" w:color="auto"/>
            </w:tcBorders>
            <w:shd w:val="clear" w:color="auto" w:fill="auto"/>
          </w:tcPr>
          <w:p w14:paraId="61154559" w14:textId="77777777" w:rsidR="00184F43" w:rsidRPr="00207B46" w:rsidRDefault="00184F43" w:rsidP="00475482">
            <w:pPr>
              <w:pStyle w:val="subsection"/>
              <w:rPr>
                <w:b/>
              </w:rPr>
            </w:pPr>
            <w:r w:rsidRPr="00207B46">
              <w:rPr>
                <w:b/>
              </w:rPr>
              <w:t>If...</w:t>
            </w:r>
          </w:p>
        </w:tc>
        <w:tc>
          <w:tcPr>
            <w:tcW w:w="3480" w:type="dxa"/>
            <w:tcBorders>
              <w:bottom w:val="single" w:sz="4" w:space="0" w:color="auto"/>
            </w:tcBorders>
            <w:shd w:val="clear" w:color="auto" w:fill="auto"/>
          </w:tcPr>
          <w:p w14:paraId="08124359" w14:textId="77777777" w:rsidR="00184F43" w:rsidRPr="00207B46" w:rsidRDefault="00184F43" w:rsidP="00184F43">
            <w:pPr>
              <w:pStyle w:val="subsection"/>
              <w:rPr>
                <w:b/>
              </w:rPr>
            </w:pPr>
            <w:r w:rsidRPr="00207B46">
              <w:rPr>
                <w:b/>
              </w:rPr>
              <w:t xml:space="preserve">the applicable industry standard for the </w:t>
            </w:r>
            <w:r>
              <w:rPr>
                <w:b/>
              </w:rPr>
              <w:t>item</w:t>
            </w:r>
            <w:r w:rsidRPr="00207B46">
              <w:rPr>
                <w:b/>
              </w:rPr>
              <w:t xml:space="preserve"> is...</w:t>
            </w:r>
          </w:p>
        </w:tc>
      </w:tr>
      <w:tr w:rsidR="00184F43" w:rsidRPr="00207B46" w14:paraId="699C2F06" w14:textId="77777777" w:rsidTr="00184F43">
        <w:trPr>
          <w:cantSplit/>
          <w:trHeight w:val="978"/>
        </w:trPr>
        <w:tc>
          <w:tcPr>
            <w:tcW w:w="917" w:type="dxa"/>
            <w:tcBorders>
              <w:top w:val="single" w:sz="4" w:space="0" w:color="auto"/>
            </w:tcBorders>
            <w:shd w:val="clear" w:color="auto" w:fill="auto"/>
          </w:tcPr>
          <w:p w14:paraId="20153341" w14:textId="77777777" w:rsidR="00184F43" w:rsidRPr="00207B46" w:rsidRDefault="00184F43" w:rsidP="00475482">
            <w:pPr>
              <w:pStyle w:val="subsection"/>
            </w:pPr>
            <w:r w:rsidRPr="00207B46">
              <w:t>1</w:t>
            </w:r>
          </w:p>
        </w:tc>
        <w:tc>
          <w:tcPr>
            <w:tcW w:w="2923" w:type="dxa"/>
            <w:tcBorders>
              <w:top w:val="single" w:sz="4" w:space="0" w:color="auto"/>
            </w:tcBorders>
            <w:shd w:val="clear" w:color="auto" w:fill="auto"/>
          </w:tcPr>
          <w:p w14:paraId="685BF756" w14:textId="77777777" w:rsidR="00816932" w:rsidRPr="00D54CD3" w:rsidRDefault="00184F43" w:rsidP="00A42A5B">
            <w:pPr>
              <w:pStyle w:val="subsection"/>
              <w:tabs>
                <w:tab w:val="clear" w:pos="1021"/>
                <w:tab w:val="right" w:pos="0"/>
              </w:tabs>
              <w:ind w:left="0" w:firstLine="0"/>
              <w:rPr>
                <w:szCs w:val="22"/>
              </w:rPr>
            </w:pPr>
            <w:r w:rsidRPr="00D54CD3">
              <w:rPr>
                <w:szCs w:val="22"/>
              </w:rPr>
              <w:t xml:space="preserve">The item is </w:t>
            </w:r>
            <w:r w:rsidR="00936091" w:rsidRPr="00D54CD3">
              <w:rPr>
                <w:szCs w:val="22"/>
              </w:rPr>
              <w:t>a shipborne</w:t>
            </w:r>
            <w:r w:rsidR="000033AB">
              <w:rPr>
                <w:szCs w:val="22"/>
              </w:rPr>
              <w:t xml:space="preserve"> </w:t>
            </w:r>
            <w:r w:rsidR="00936091" w:rsidRPr="00B30401">
              <w:rPr>
                <w:szCs w:val="22"/>
              </w:rPr>
              <w:t>fixed</w:t>
            </w:r>
            <w:r w:rsidR="000000F9">
              <w:rPr>
                <w:szCs w:val="22"/>
              </w:rPr>
              <w:t xml:space="preserve"> </w:t>
            </w:r>
            <w:r w:rsidR="00936091" w:rsidRPr="00B30401">
              <w:rPr>
                <w:szCs w:val="22"/>
              </w:rPr>
              <w:t>installation</w:t>
            </w:r>
            <w:r w:rsidR="000000F9">
              <w:rPr>
                <w:szCs w:val="22"/>
              </w:rPr>
              <w:t>,</w:t>
            </w:r>
            <w:r w:rsidR="00D54CD3">
              <w:rPr>
                <w:szCs w:val="22"/>
              </w:rPr>
              <w:t xml:space="preserve"> </w:t>
            </w:r>
            <w:r w:rsidR="00A42A5B">
              <w:rPr>
                <w:szCs w:val="22"/>
              </w:rPr>
              <w:t>or a limited coast station</w:t>
            </w:r>
            <w:r w:rsidR="000000F9">
              <w:rPr>
                <w:szCs w:val="22"/>
              </w:rPr>
              <w:t>,</w:t>
            </w:r>
            <w:r w:rsidR="00A42A5B">
              <w:rPr>
                <w:szCs w:val="22"/>
              </w:rPr>
              <w:t xml:space="preserve"> that uses a </w:t>
            </w:r>
            <w:r w:rsidR="00B30401" w:rsidRPr="00D93223">
              <w:rPr>
                <w:szCs w:val="22"/>
              </w:rPr>
              <w:t>radiotelephone transmitter and receiver</w:t>
            </w:r>
            <w:r w:rsidR="00F15BDC">
              <w:rPr>
                <w:szCs w:val="22"/>
              </w:rPr>
              <w:t xml:space="preserve">. </w:t>
            </w:r>
          </w:p>
        </w:tc>
        <w:tc>
          <w:tcPr>
            <w:tcW w:w="3480" w:type="dxa"/>
            <w:tcBorders>
              <w:top w:val="single" w:sz="4" w:space="0" w:color="auto"/>
            </w:tcBorders>
            <w:shd w:val="clear" w:color="auto" w:fill="auto"/>
          </w:tcPr>
          <w:p w14:paraId="2B2C9D52" w14:textId="43944DA0" w:rsidR="00184F43" w:rsidRPr="00207B46" w:rsidRDefault="00184F43" w:rsidP="00275DC4">
            <w:pPr>
              <w:pStyle w:val="subsection"/>
              <w:tabs>
                <w:tab w:val="clear" w:pos="1021"/>
              </w:tabs>
              <w:ind w:left="0" w:firstLine="0"/>
            </w:pPr>
            <w:r>
              <w:t xml:space="preserve">AS/NZS ETSI </w:t>
            </w:r>
            <w:r w:rsidR="008B58DC">
              <w:t xml:space="preserve">EN </w:t>
            </w:r>
            <w:r>
              <w:t>301 025</w:t>
            </w:r>
            <w:r w:rsidR="000740E6">
              <w:t xml:space="preserve"> or ETSI EN 301 </w:t>
            </w:r>
            <w:r w:rsidR="00275DC4">
              <w:t>025</w:t>
            </w:r>
          </w:p>
        </w:tc>
      </w:tr>
      <w:tr w:rsidR="00184F43" w:rsidRPr="00207B46" w14:paraId="7F8470F2" w14:textId="77777777" w:rsidTr="00184F43">
        <w:trPr>
          <w:cantSplit/>
        </w:trPr>
        <w:tc>
          <w:tcPr>
            <w:tcW w:w="917" w:type="dxa"/>
            <w:shd w:val="clear" w:color="auto" w:fill="auto"/>
          </w:tcPr>
          <w:p w14:paraId="27C4EA06" w14:textId="77777777" w:rsidR="00184F43" w:rsidRPr="00207B46" w:rsidRDefault="00184F43" w:rsidP="00475482">
            <w:pPr>
              <w:pStyle w:val="subsection"/>
            </w:pPr>
            <w:r w:rsidRPr="00207B46">
              <w:t>2</w:t>
            </w:r>
          </w:p>
        </w:tc>
        <w:tc>
          <w:tcPr>
            <w:tcW w:w="2923" w:type="dxa"/>
            <w:shd w:val="clear" w:color="auto" w:fill="auto"/>
          </w:tcPr>
          <w:p w14:paraId="4852B0C9" w14:textId="77777777" w:rsidR="00184F43" w:rsidRPr="00207B46" w:rsidRDefault="00184F43" w:rsidP="00B30401">
            <w:pPr>
              <w:pStyle w:val="subsection"/>
              <w:tabs>
                <w:tab w:val="clear" w:pos="1021"/>
                <w:tab w:val="right" w:pos="0"/>
              </w:tabs>
              <w:ind w:left="0" w:firstLine="0"/>
            </w:pPr>
            <w:r>
              <w:t>The item is</w:t>
            </w:r>
            <w:r w:rsidR="00936091">
              <w:t xml:space="preserve"> a portable</w:t>
            </w:r>
            <w:r w:rsidR="0063145A">
              <w:t xml:space="preserve"> </w:t>
            </w:r>
            <w:r w:rsidR="00B967CE">
              <w:t>radiotelephone transmitter and receiver not forming part of the Global Maritime Distress and Safety System (GMDSS)</w:t>
            </w:r>
            <w:r w:rsidR="00D54CD3">
              <w:rPr>
                <w:szCs w:val="22"/>
              </w:rPr>
              <w:t xml:space="preserve"> </w:t>
            </w:r>
          </w:p>
        </w:tc>
        <w:tc>
          <w:tcPr>
            <w:tcW w:w="3480" w:type="dxa"/>
            <w:shd w:val="clear" w:color="auto" w:fill="auto"/>
          </w:tcPr>
          <w:p w14:paraId="2754E93C" w14:textId="34C99900" w:rsidR="00184F43" w:rsidRPr="00207B46" w:rsidRDefault="00184F43" w:rsidP="00475482">
            <w:pPr>
              <w:pStyle w:val="subsection"/>
              <w:tabs>
                <w:tab w:val="clear" w:pos="1021"/>
              </w:tabs>
              <w:ind w:left="0" w:firstLine="0"/>
            </w:pPr>
            <w:r>
              <w:t xml:space="preserve">AS/NZS ETSI </w:t>
            </w:r>
            <w:r w:rsidR="008B58DC">
              <w:t xml:space="preserve">EN </w:t>
            </w:r>
            <w:r>
              <w:t>301 178</w:t>
            </w:r>
            <w:r w:rsidR="000740E6">
              <w:t xml:space="preserve"> or ETSI EN 301 178</w:t>
            </w:r>
          </w:p>
        </w:tc>
      </w:tr>
      <w:tr w:rsidR="00184F43" w:rsidRPr="00207B46" w14:paraId="389CE6E9" w14:textId="77777777" w:rsidTr="00475482">
        <w:trPr>
          <w:cantSplit/>
        </w:trPr>
        <w:tc>
          <w:tcPr>
            <w:tcW w:w="917" w:type="dxa"/>
            <w:tcBorders>
              <w:bottom w:val="single" w:sz="4" w:space="0" w:color="auto"/>
            </w:tcBorders>
            <w:shd w:val="clear" w:color="auto" w:fill="auto"/>
          </w:tcPr>
          <w:p w14:paraId="16EDDF10" w14:textId="77777777" w:rsidR="00184F43" w:rsidRPr="00207B46" w:rsidRDefault="00184F43" w:rsidP="00475482">
            <w:pPr>
              <w:pStyle w:val="subsection"/>
            </w:pPr>
            <w:r>
              <w:t>3</w:t>
            </w:r>
          </w:p>
        </w:tc>
        <w:tc>
          <w:tcPr>
            <w:tcW w:w="2923" w:type="dxa"/>
            <w:tcBorders>
              <w:bottom w:val="single" w:sz="4" w:space="0" w:color="auto"/>
            </w:tcBorders>
            <w:shd w:val="clear" w:color="auto" w:fill="auto"/>
          </w:tcPr>
          <w:p w14:paraId="3E933910" w14:textId="77777777" w:rsidR="00816932" w:rsidRDefault="00184F43" w:rsidP="00B30401">
            <w:pPr>
              <w:pStyle w:val="subsection"/>
              <w:tabs>
                <w:tab w:val="clear" w:pos="1021"/>
                <w:tab w:val="right" w:pos="0"/>
              </w:tabs>
              <w:ind w:left="0" w:firstLine="0"/>
              <w:rPr>
                <w:szCs w:val="22"/>
              </w:rPr>
            </w:pPr>
            <w:r>
              <w:t xml:space="preserve">The item is </w:t>
            </w:r>
            <w:r w:rsidR="00936091">
              <w:t xml:space="preserve">a portable </w:t>
            </w:r>
            <w:r w:rsidR="00B967CE">
              <w:t xml:space="preserve">radiotelephone </w:t>
            </w:r>
            <w:r w:rsidR="0063145A">
              <w:t xml:space="preserve">transmitter and receiver </w:t>
            </w:r>
            <w:r w:rsidR="00B967CE">
              <w:t xml:space="preserve">with integrated handheld class H DSC </w:t>
            </w:r>
            <w:r w:rsidR="00D54CD3">
              <w:rPr>
                <w:szCs w:val="22"/>
              </w:rPr>
              <w:t xml:space="preserve"> </w:t>
            </w:r>
          </w:p>
          <w:p w14:paraId="3100E2E5" w14:textId="77777777" w:rsidR="00816932" w:rsidRPr="00816932" w:rsidRDefault="00816932" w:rsidP="00B30401">
            <w:pPr>
              <w:pStyle w:val="subsection"/>
              <w:tabs>
                <w:tab w:val="clear" w:pos="1021"/>
                <w:tab w:val="right" w:pos="0"/>
              </w:tabs>
              <w:ind w:left="0" w:firstLine="0"/>
              <w:rPr>
                <w:szCs w:val="22"/>
              </w:rPr>
            </w:pPr>
          </w:p>
        </w:tc>
        <w:tc>
          <w:tcPr>
            <w:tcW w:w="3480" w:type="dxa"/>
            <w:tcBorders>
              <w:bottom w:val="single" w:sz="4" w:space="0" w:color="auto"/>
            </w:tcBorders>
            <w:shd w:val="clear" w:color="auto" w:fill="auto"/>
          </w:tcPr>
          <w:p w14:paraId="0A0D3AFE" w14:textId="34FF53B7" w:rsidR="00184F43" w:rsidRDefault="00184F43" w:rsidP="00475482">
            <w:pPr>
              <w:pStyle w:val="subsection"/>
              <w:tabs>
                <w:tab w:val="clear" w:pos="1021"/>
              </w:tabs>
              <w:ind w:left="0" w:firstLine="0"/>
            </w:pPr>
            <w:r>
              <w:t xml:space="preserve">AS/NZS ETSI </w:t>
            </w:r>
            <w:r w:rsidR="008B58DC">
              <w:t xml:space="preserve">EN </w:t>
            </w:r>
            <w:r>
              <w:t>302 885</w:t>
            </w:r>
            <w:r w:rsidR="000740E6">
              <w:t xml:space="preserve"> or ETSI EN 302 885</w:t>
            </w:r>
          </w:p>
        </w:tc>
      </w:tr>
    </w:tbl>
    <w:p w14:paraId="76533ACE" w14:textId="77777777" w:rsidR="003A54EA" w:rsidRDefault="003A54EA" w:rsidP="003A54EA">
      <w:pPr>
        <w:pStyle w:val="Definition"/>
        <w:tabs>
          <w:tab w:val="left" w:pos="1985"/>
        </w:tabs>
        <w:spacing w:before="122"/>
        <w:ind w:left="1985" w:hanging="851"/>
        <w:rPr>
          <w:sz w:val="18"/>
          <w:szCs w:val="18"/>
        </w:rPr>
      </w:pPr>
      <w:r w:rsidRPr="004B7714">
        <w:rPr>
          <w:sz w:val="18"/>
          <w:szCs w:val="18"/>
        </w:rPr>
        <w:t>Note</w:t>
      </w:r>
      <w:r>
        <w:rPr>
          <w:sz w:val="18"/>
          <w:szCs w:val="18"/>
        </w:rPr>
        <w:t xml:space="preserve"> 1</w:t>
      </w:r>
      <w:r w:rsidRPr="004B7714">
        <w:rPr>
          <w:sz w:val="18"/>
          <w:szCs w:val="18"/>
        </w:rPr>
        <w:t>:</w:t>
      </w:r>
      <w:r w:rsidRPr="004B7714">
        <w:rPr>
          <w:sz w:val="18"/>
          <w:szCs w:val="18"/>
        </w:rPr>
        <w:tab/>
      </w:r>
      <w:r>
        <w:rPr>
          <w:sz w:val="18"/>
          <w:szCs w:val="18"/>
        </w:rPr>
        <w:t xml:space="preserve">An applicable industry standard is incorporated as in force at the times mentioned in </w:t>
      </w:r>
      <w:r w:rsidRPr="00F741FE">
        <w:rPr>
          <w:sz w:val="18"/>
          <w:szCs w:val="18"/>
        </w:rPr>
        <w:t>section 15</w:t>
      </w:r>
      <w:r w:rsidR="008C7AC5">
        <w:rPr>
          <w:sz w:val="18"/>
          <w:szCs w:val="18"/>
        </w:rPr>
        <w:t xml:space="preserve"> (with the modifications specified in Schedule 1)</w:t>
      </w:r>
      <w:r w:rsidRPr="00F741FE">
        <w:rPr>
          <w:sz w:val="18"/>
          <w:szCs w:val="18"/>
        </w:rPr>
        <w:t>.</w:t>
      </w:r>
      <w:r>
        <w:rPr>
          <w:sz w:val="18"/>
          <w:szCs w:val="18"/>
        </w:rPr>
        <w:t xml:space="preserve">    </w:t>
      </w:r>
    </w:p>
    <w:p w14:paraId="7203D995" w14:textId="77777777" w:rsidR="00150D0F" w:rsidRDefault="003A54EA" w:rsidP="00705C61">
      <w:pPr>
        <w:pStyle w:val="Definition"/>
        <w:tabs>
          <w:tab w:val="left" w:pos="1985"/>
        </w:tabs>
        <w:spacing w:before="122"/>
        <w:ind w:left="1985" w:hanging="851"/>
        <w:rPr>
          <w:sz w:val="18"/>
          <w:szCs w:val="18"/>
        </w:rPr>
      </w:pPr>
      <w:r>
        <w:rPr>
          <w:sz w:val="18"/>
          <w:szCs w:val="18"/>
        </w:rPr>
        <w:t>Note 2:</w:t>
      </w:r>
      <w:r>
        <w:rPr>
          <w:sz w:val="18"/>
          <w:szCs w:val="18"/>
        </w:rPr>
        <w:tab/>
        <w:t xml:space="preserve">A copy of each AS/NZS applicable industry standard could, at the time of making this instrument, be obtained for a fee from SAI Global Pty Limited’s website at </w:t>
      </w:r>
      <w:hyperlink r:id="rId19" w:history="1">
        <w:r w:rsidRPr="00641ACB">
          <w:rPr>
            <w:rStyle w:val="Hyperlink"/>
            <w:sz w:val="18"/>
            <w:szCs w:val="18"/>
          </w:rPr>
          <w:t>https://infostore.saiglobal.com/</w:t>
        </w:r>
      </w:hyperlink>
      <w:r>
        <w:rPr>
          <w:sz w:val="18"/>
          <w:szCs w:val="18"/>
        </w:rPr>
        <w:t xml:space="preserve"> or may be viewed at an office of the ACMA on request and subject to licensing conditions. A copy of each ETSI standard could, at the time of making this instrument, </w:t>
      </w:r>
      <w:r w:rsidRPr="000740E6">
        <w:rPr>
          <w:sz w:val="18"/>
          <w:szCs w:val="18"/>
        </w:rPr>
        <w:t xml:space="preserve">be obtained from the European Telecommunications Standards Institute’s website at </w:t>
      </w:r>
      <w:hyperlink r:id="rId20" w:history="1">
        <w:r w:rsidR="00602B8A" w:rsidRPr="00933AA2">
          <w:rPr>
            <w:rStyle w:val="Hyperlink"/>
            <w:sz w:val="18"/>
            <w:szCs w:val="18"/>
          </w:rPr>
          <w:t>http://www.etsi.org/standards</w:t>
        </w:r>
      </w:hyperlink>
      <w:r w:rsidR="00602B8A">
        <w:rPr>
          <w:sz w:val="18"/>
          <w:szCs w:val="18"/>
        </w:rPr>
        <w:t xml:space="preserve"> </w:t>
      </w:r>
      <w:r w:rsidRPr="000740E6">
        <w:rPr>
          <w:sz w:val="18"/>
          <w:szCs w:val="18"/>
        </w:rPr>
        <w:t xml:space="preserve">free of charge. </w:t>
      </w:r>
    </w:p>
    <w:p w14:paraId="70E849DC" w14:textId="6524AEB8" w:rsidR="009028EF" w:rsidRPr="00D022A1" w:rsidRDefault="009028EF" w:rsidP="00705C61">
      <w:pPr>
        <w:pStyle w:val="Definition"/>
        <w:tabs>
          <w:tab w:val="left" w:pos="1985"/>
        </w:tabs>
        <w:spacing w:before="122"/>
        <w:ind w:left="1985" w:hanging="851"/>
        <w:rPr>
          <w:sz w:val="18"/>
          <w:szCs w:val="18"/>
        </w:rPr>
      </w:pPr>
      <w:r w:rsidRPr="00782839">
        <w:rPr>
          <w:sz w:val="18"/>
          <w:szCs w:val="18"/>
        </w:rPr>
        <w:t>Note 3:</w:t>
      </w:r>
      <w:r w:rsidRPr="00782839">
        <w:rPr>
          <w:sz w:val="18"/>
          <w:szCs w:val="18"/>
        </w:rPr>
        <w:tab/>
      </w:r>
      <w:r w:rsidR="006A4B61" w:rsidRPr="00782839">
        <w:rPr>
          <w:sz w:val="18"/>
          <w:szCs w:val="18"/>
        </w:rPr>
        <w:t>If a</w:t>
      </w:r>
      <w:r w:rsidR="00D022A1" w:rsidRPr="00782839">
        <w:rPr>
          <w:sz w:val="18"/>
          <w:szCs w:val="18"/>
        </w:rPr>
        <w:t>n</w:t>
      </w:r>
      <w:r w:rsidR="006A4B61" w:rsidRPr="00782839">
        <w:rPr>
          <w:sz w:val="18"/>
          <w:szCs w:val="18"/>
        </w:rPr>
        <w:t xml:space="preserve"> item is a limited coast station </w:t>
      </w:r>
      <w:r w:rsidR="00B80CC9" w:rsidRPr="00782839">
        <w:rPr>
          <w:sz w:val="18"/>
          <w:szCs w:val="18"/>
        </w:rPr>
        <w:t xml:space="preserve">that is </w:t>
      </w:r>
      <w:r w:rsidR="006A4B61" w:rsidRPr="00782839">
        <w:rPr>
          <w:sz w:val="18"/>
          <w:szCs w:val="18"/>
        </w:rPr>
        <w:t xml:space="preserve">operated on land as part of </w:t>
      </w:r>
      <w:r w:rsidR="000521F5" w:rsidRPr="00782839">
        <w:rPr>
          <w:sz w:val="18"/>
          <w:szCs w:val="18"/>
        </w:rPr>
        <w:t>the maritime mobile service</w:t>
      </w:r>
      <w:r w:rsidR="00D022A1" w:rsidRPr="00782839">
        <w:rPr>
          <w:sz w:val="18"/>
          <w:szCs w:val="18"/>
        </w:rPr>
        <w:t xml:space="preserve">, the </w:t>
      </w:r>
      <w:r w:rsidR="00D022A1" w:rsidRPr="00782839">
        <w:rPr>
          <w:i/>
          <w:sz w:val="18"/>
          <w:szCs w:val="18"/>
        </w:rPr>
        <w:t>Radiocommunications (Analogue Speech (Angle Modulated) Equipment) Standard 2014</w:t>
      </w:r>
      <w:r w:rsidR="006A4B61" w:rsidRPr="00782839">
        <w:rPr>
          <w:sz w:val="18"/>
          <w:szCs w:val="18"/>
        </w:rPr>
        <w:t xml:space="preserve"> </w:t>
      </w:r>
      <w:r w:rsidR="00BC08BB" w:rsidRPr="00782839">
        <w:rPr>
          <w:sz w:val="18"/>
          <w:szCs w:val="18"/>
        </w:rPr>
        <w:t>(the ASAME Standard) may</w:t>
      </w:r>
      <w:r w:rsidR="00BC6A3F" w:rsidRPr="00782839">
        <w:rPr>
          <w:sz w:val="18"/>
          <w:szCs w:val="18"/>
        </w:rPr>
        <w:t xml:space="preserve"> </w:t>
      </w:r>
      <w:r w:rsidR="00D022A1" w:rsidRPr="00782839">
        <w:rPr>
          <w:sz w:val="18"/>
          <w:szCs w:val="18"/>
        </w:rPr>
        <w:t xml:space="preserve">apply to that station. </w:t>
      </w:r>
      <w:r w:rsidR="00BC08BB" w:rsidRPr="00782839">
        <w:rPr>
          <w:sz w:val="18"/>
          <w:szCs w:val="18"/>
        </w:rPr>
        <w:t>If the ASAME Standard applies to the station, c</w:t>
      </w:r>
      <w:r w:rsidR="00D022A1" w:rsidRPr="00782839">
        <w:rPr>
          <w:sz w:val="18"/>
          <w:szCs w:val="18"/>
        </w:rPr>
        <w:t>ompliance with AS/NZS ETSI E</w:t>
      </w:r>
      <w:r w:rsidR="000521F5" w:rsidRPr="00782839">
        <w:rPr>
          <w:sz w:val="18"/>
          <w:szCs w:val="18"/>
        </w:rPr>
        <w:t>N</w:t>
      </w:r>
      <w:r w:rsidR="00D022A1" w:rsidRPr="00782839">
        <w:rPr>
          <w:sz w:val="18"/>
          <w:szCs w:val="18"/>
        </w:rPr>
        <w:t xml:space="preserve"> 301 025 or ET</w:t>
      </w:r>
      <w:r w:rsidR="000521F5" w:rsidRPr="00782839">
        <w:rPr>
          <w:sz w:val="18"/>
          <w:szCs w:val="18"/>
        </w:rPr>
        <w:t>SI</w:t>
      </w:r>
      <w:r w:rsidR="00D022A1" w:rsidRPr="00782839">
        <w:rPr>
          <w:sz w:val="18"/>
          <w:szCs w:val="18"/>
        </w:rPr>
        <w:t xml:space="preserve"> EN 301 025 will ensure compliance with the </w:t>
      </w:r>
      <w:r w:rsidR="00FC24FC">
        <w:rPr>
          <w:sz w:val="18"/>
          <w:szCs w:val="18"/>
        </w:rPr>
        <w:t>ASAME Standard</w:t>
      </w:r>
      <w:r w:rsidR="00BC08BB" w:rsidRPr="00782839">
        <w:rPr>
          <w:sz w:val="18"/>
          <w:szCs w:val="18"/>
        </w:rPr>
        <w:t>.</w:t>
      </w:r>
      <w:r w:rsidR="00D022A1" w:rsidRPr="00782839">
        <w:rPr>
          <w:sz w:val="18"/>
          <w:szCs w:val="18"/>
        </w:rPr>
        <w:t xml:space="preserve"> </w:t>
      </w:r>
    </w:p>
    <w:p w14:paraId="18BF26F0" w14:textId="77777777" w:rsidR="00A40398" w:rsidRPr="00DA5CC3" w:rsidRDefault="00DF0694" w:rsidP="00A40398">
      <w:pPr>
        <w:pStyle w:val="ActHead5"/>
      </w:pPr>
      <w:proofErr w:type="gramStart"/>
      <w:r w:rsidRPr="00E53EBA">
        <w:rPr>
          <w:rStyle w:val="CharSectno"/>
        </w:rPr>
        <w:t>9</w:t>
      </w:r>
      <w:r w:rsidR="00A40398" w:rsidRPr="00DA5CC3">
        <w:t xml:space="preserve">  Class</w:t>
      </w:r>
      <w:proofErr w:type="gramEnd"/>
      <w:r w:rsidR="00A40398" w:rsidRPr="00DA5CC3">
        <w:t xml:space="preserve"> of </w:t>
      </w:r>
      <w:r w:rsidR="00D91C09">
        <w:t>items</w:t>
      </w:r>
    </w:p>
    <w:p w14:paraId="784577C3" w14:textId="77777777" w:rsidR="00DA5CC3" w:rsidRPr="00DA5CC3" w:rsidRDefault="00677DD3" w:rsidP="00DA5CC3">
      <w:pPr>
        <w:pStyle w:val="subsection"/>
      </w:pPr>
      <w:r>
        <w:tab/>
        <w:t>(1)</w:t>
      </w:r>
      <w:r>
        <w:tab/>
        <w:t>In this standard</w:t>
      </w:r>
      <w:r w:rsidR="00DA5CC3" w:rsidRPr="00DA5CC3">
        <w:t>:</w:t>
      </w:r>
    </w:p>
    <w:p w14:paraId="1C1064FC" w14:textId="77777777" w:rsidR="00A40398" w:rsidRPr="00DA5CC3" w:rsidRDefault="00A40398" w:rsidP="00A40398">
      <w:pPr>
        <w:pStyle w:val="paragraph"/>
      </w:pPr>
      <w:r w:rsidRPr="00DA5CC3">
        <w:tab/>
        <w:t>(a)</w:t>
      </w:r>
      <w:r w:rsidRPr="00DA5CC3">
        <w:tab/>
        <w:t xml:space="preserve">an </w:t>
      </w:r>
      <w:r w:rsidR="00312073">
        <w:t>item</w:t>
      </w:r>
      <w:r w:rsidR="001379E4">
        <w:t>,</w:t>
      </w:r>
      <w:r w:rsidR="00D91C09">
        <w:t xml:space="preserve"> </w:t>
      </w:r>
      <w:r w:rsidRPr="00DA5CC3">
        <w:t xml:space="preserve">other </w:t>
      </w:r>
      <w:r w:rsidR="001379E4">
        <w:t>than a modified item,</w:t>
      </w:r>
      <w:r w:rsidRPr="00DA5CC3">
        <w:t xml:space="preserve"> is</w:t>
      </w:r>
      <w:r w:rsidRPr="00DA5CC3">
        <w:rPr>
          <w:b/>
          <w:i/>
        </w:rPr>
        <w:t xml:space="preserve"> included in a class of </w:t>
      </w:r>
      <w:r w:rsidR="00076D43">
        <w:rPr>
          <w:b/>
          <w:i/>
        </w:rPr>
        <w:t>item</w:t>
      </w:r>
      <w:r w:rsidR="00DA5CC3">
        <w:rPr>
          <w:b/>
          <w:i/>
        </w:rPr>
        <w:t>s</w:t>
      </w:r>
      <w:r w:rsidRPr="00DA5CC3">
        <w:rPr>
          <w:b/>
          <w:i/>
        </w:rPr>
        <w:t xml:space="preserve"> </w:t>
      </w:r>
      <w:r w:rsidRPr="00DA5CC3">
        <w:t xml:space="preserve">if the </w:t>
      </w:r>
      <w:r w:rsidR="00312073">
        <w:t>item</w:t>
      </w:r>
      <w:r w:rsidRPr="00DA5CC3">
        <w:t>:</w:t>
      </w:r>
    </w:p>
    <w:p w14:paraId="3BFED5D0" w14:textId="77777777" w:rsidR="00A40398" w:rsidRPr="00DA5CC3" w:rsidRDefault="00A40398" w:rsidP="00A40398">
      <w:pPr>
        <w:pStyle w:val="paragraphsub"/>
      </w:pPr>
      <w:r w:rsidRPr="00DA5CC3">
        <w:tab/>
        <w:t>(i)</w:t>
      </w:r>
      <w:r w:rsidRPr="00DA5CC3">
        <w:tab/>
        <w:t xml:space="preserve">is identical to each other </w:t>
      </w:r>
      <w:r w:rsidR="00312073">
        <w:t>item</w:t>
      </w:r>
      <w:r w:rsidRPr="00DA5CC3">
        <w:t xml:space="preserve"> </w:t>
      </w:r>
      <w:r w:rsidR="00ED23AA">
        <w:t>in</w:t>
      </w:r>
      <w:r w:rsidRPr="00DA5CC3">
        <w:t xml:space="preserve"> the </w:t>
      </w:r>
      <w:r w:rsidR="00312073">
        <w:t>class (irrespective of when the items</w:t>
      </w:r>
      <w:r w:rsidRPr="00DA5CC3">
        <w:t xml:space="preserve"> were manufactured or imported); and</w:t>
      </w:r>
    </w:p>
    <w:p w14:paraId="3A5D643B" w14:textId="77777777" w:rsidR="00A40398" w:rsidRPr="00DA5CC3" w:rsidRDefault="00A40398" w:rsidP="00A40398">
      <w:pPr>
        <w:pStyle w:val="paragraphsub"/>
      </w:pPr>
      <w:r w:rsidRPr="00DA5CC3">
        <w:tab/>
        <w:t>(ii)</w:t>
      </w:r>
      <w:r w:rsidRPr="00DA5CC3">
        <w:tab/>
        <w:t>has the same manufacturer</w:t>
      </w:r>
      <w:r w:rsidR="00312073">
        <w:t xml:space="preserve"> or importer as each other item</w:t>
      </w:r>
      <w:r w:rsidRPr="00DA5CC3">
        <w:t>; and</w:t>
      </w:r>
    </w:p>
    <w:p w14:paraId="2BDAF2D8" w14:textId="77777777" w:rsidR="00A40398" w:rsidRPr="00DA5CC3" w:rsidRDefault="00A40398" w:rsidP="00A40398">
      <w:pPr>
        <w:pStyle w:val="paragraph"/>
        <w:tabs>
          <w:tab w:val="left" w:pos="2160"/>
          <w:tab w:val="left" w:pos="2880"/>
          <w:tab w:val="left" w:pos="3600"/>
          <w:tab w:val="center" w:pos="4513"/>
        </w:tabs>
      </w:pPr>
      <w:r w:rsidRPr="00DA5CC3">
        <w:tab/>
        <w:t>(b)</w:t>
      </w:r>
      <w:r w:rsidRPr="00DA5CC3">
        <w:tab/>
        <w:t xml:space="preserve">the </w:t>
      </w:r>
      <w:r w:rsidRPr="00DA5CC3">
        <w:rPr>
          <w:b/>
          <w:i/>
        </w:rPr>
        <w:t xml:space="preserve">original </w:t>
      </w:r>
      <w:r w:rsidR="00076D43">
        <w:rPr>
          <w:b/>
          <w:i/>
        </w:rPr>
        <w:t>item</w:t>
      </w:r>
      <w:r w:rsidRPr="00DA5CC3">
        <w:t xml:space="preserve">, </w:t>
      </w:r>
      <w:r w:rsidR="00DA5CC3" w:rsidRPr="00DA5CC3">
        <w:t>in relation to the class</w:t>
      </w:r>
      <w:r w:rsidRPr="00DA5CC3">
        <w:t xml:space="preserve">, is the </w:t>
      </w:r>
      <w:r w:rsidR="00312073">
        <w:t>item</w:t>
      </w:r>
      <w:r w:rsidRPr="00DA5CC3">
        <w:t xml:space="preserve"> </w:t>
      </w:r>
      <w:r w:rsidR="00ED23AA">
        <w:t>in</w:t>
      </w:r>
      <w:r w:rsidRPr="00DA5CC3">
        <w:t xml:space="preserve"> the class that was the first to be manufactured</w:t>
      </w:r>
      <w:r w:rsidR="00DA5CC3" w:rsidRPr="00DA5CC3">
        <w:t xml:space="preserve"> in Australia</w:t>
      </w:r>
      <w:r w:rsidRPr="00DA5CC3">
        <w:t xml:space="preserve"> or imported.</w:t>
      </w:r>
    </w:p>
    <w:p w14:paraId="09A2FFEB" w14:textId="77777777" w:rsidR="00DA5CC3" w:rsidRPr="00DA5CC3" w:rsidRDefault="00DA5CC3" w:rsidP="00DA5CC3">
      <w:pPr>
        <w:pStyle w:val="subsection"/>
      </w:pPr>
      <w:bookmarkStart w:id="8" w:name="_Toc210624164"/>
      <w:r>
        <w:tab/>
        <w:t>(2</w:t>
      </w:r>
      <w:r w:rsidR="00677DD3">
        <w:t>)</w:t>
      </w:r>
      <w:r w:rsidR="00677DD3">
        <w:tab/>
        <w:t>In this standard</w:t>
      </w:r>
      <w:r w:rsidRPr="00DA5CC3">
        <w:t>:</w:t>
      </w:r>
    </w:p>
    <w:p w14:paraId="4D409DBB" w14:textId="77777777" w:rsidR="00DA5CC3" w:rsidRPr="00DA5CC3" w:rsidRDefault="00A35452" w:rsidP="00DA5CC3">
      <w:pPr>
        <w:pStyle w:val="paragraph"/>
      </w:pPr>
      <w:r>
        <w:tab/>
        <w:t>(a)</w:t>
      </w:r>
      <w:r>
        <w:tab/>
        <w:t>a modified item</w:t>
      </w:r>
      <w:r w:rsidR="00DA5CC3" w:rsidRPr="00DA5CC3">
        <w:t xml:space="preserve"> is</w:t>
      </w:r>
      <w:r w:rsidR="00DA5CC3">
        <w:rPr>
          <w:b/>
          <w:i/>
        </w:rPr>
        <w:t xml:space="preserve"> included in a clas</w:t>
      </w:r>
      <w:r w:rsidR="00076D43">
        <w:rPr>
          <w:b/>
          <w:i/>
        </w:rPr>
        <w:t>s of items</w:t>
      </w:r>
      <w:r w:rsidR="00DA5CC3" w:rsidRPr="00DA5CC3">
        <w:rPr>
          <w:b/>
          <w:i/>
        </w:rPr>
        <w:t xml:space="preserve"> </w:t>
      </w:r>
      <w:r w:rsidR="00DA5CC3" w:rsidRPr="00DA5CC3">
        <w:t>if:</w:t>
      </w:r>
    </w:p>
    <w:p w14:paraId="42EFF416" w14:textId="77777777" w:rsidR="000730C2" w:rsidRDefault="00DA5CC3" w:rsidP="00541E37">
      <w:pPr>
        <w:pStyle w:val="paragraphsub"/>
      </w:pPr>
      <w:r w:rsidRPr="00DA5CC3">
        <w:lastRenderedPageBreak/>
        <w:tab/>
        <w:t>(i)</w:t>
      </w:r>
      <w:r w:rsidRPr="00DA5CC3">
        <w:tab/>
      </w:r>
      <w:r w:rsidR="000730C2">
        <w:t xml:space="preserve">the modification </w:t>
      </w:r>
      <w:r w:rsidR="001379E4">
        <w:t>made to create</w:t>
      </w:r>
      <w:r w:rsidR="000730C2">
        <w:t xml:space="preserve"> that </w:t>
      </w:r>
      <w:r w:rsidR="00A35452">
        <w:t>item</w:t>
      </w:r>
      <w:r w:rsidR="000730C2">
        <w:t xml:space="preserve"> </w:t>
      </w:r>
      <w:r w:rsidRPr="00DA5CC3">
        <w:t xml:space="preserve">is identical to </w:t>
      </w:r>
      <w:r w:rsidR="000730C2">
        <w:t xml:space="preserve">the modification </w:t>
      </w:r>
      <w:r w:rsidR="001379E4">
        <w:t>made to create</w:t>
      </w:r>
      <w:r w:rsidR="00647A35">
        <w:t xml:space="preserve"> </w:t>
      </w:r>
      <w:r w:rsidR="000730C2">
        <w:t>each other</w:t>
      </w:r>
      <w:r w:rsidRPr="00DA5CC3">
        <w:t xml:space="preserve"> </w:t>
      </w:r>
      <w:r w:rsidR="003079FD">
        <w:t>item</w:t>
      </w:r>
      <w:r w:rsidR="00ED23AA">
        <w:t xml:space="preserve"> in</w:t>
      </w:r>
      <w:r w:rsidRPr="00DA5CC3">
        <w:t xml:space="preserve"> the class (irrespective of when the </w:t>
      </w:r>
      <w:r w:rsidR="00647A35">
        <w:t>modifications were made</w:t>
      </w:r>
      <w:r w:rsidR="00EF37C9">
        <w:t xml:space="preserve">); </w:t>
      </w:r>
    </w:p>
    <w:p w14:paraId="0A73D214" w14:textId="77777777" w:rsidR="00280A53" w:rsidRDefault="00DA5CC3" w:rsidP="000730C2">
      <w:pPr>
        <w:pStyle w:val="paragraphsub"/>
      </w:pPr>
      <w:r w:rsidRPr="00DA5CC3">
        <w:tab/>
        <w:t>(ii)</w:t>
      </w:r>
      <w:r w:rsidRPr="00DA5CC3">
        <w:tab/>
      </w:r>
      <w:r w:rsidR="000730C2">
        <w:t xml:space="preserve">the modified </w:t>
      </w:r>
      <w:r w:rsidR="00A35452">
        <w:t>item</w:t>
      </w:r>
      <w:r w:rsidR="000730C2">
        <w:t xml:space="preserve"> is, in all other respects, identical to each other </w:t>
      </w:r>
      <w:r w:rsidR="00A35452">
        <w:t>item</w:t>
      </w:r>
      <w:r w:rsidR="000730C2">
        <w:t xml:space="preserve"> (irrespective of when the </w:t>
      </w:r>
      <w:r w:rsidR="00A35452">
        <w:t>items</w:t>
      </w:r>
      <w:r w:rsidR="000730C2">
        <w:t xml:space="preserve"> were manufactured or imported)</w:t>
      </w:r>
      <w:r w:rsidRPr="00DA5CC3">
        <w:t>; and</w:t>
      </w:r>
    </w:p>
    <w:p w14:paraId="184EF3D4" w14:textId="77777777" w:rsidR="000730C2" w:rsidRPr="00DA5CC3" w:rsidRDefault="00280A53" w:rsidP="000730C2">
      <w:pPr>
        <w:pStyle w:val="paragraphsub"/>
      </w:pPr>
      <w:r>
        <w:tab/>
      </w:r>
      <w:r w:rsidR="000730C2" w:rsidRPr="00DA5CC3">
        <w:t>(i</w:t>
      </w:r>
      <w:r w:rsidR="000730C2">
        <w:t>i</w:t>
      </w:r>
      <w:r w:rsidR="000730C2" w:rsidRPr="00DA5CC3">
        <w:t>i)</w:t>
      </w:r>
      <w:r w:rsidR="000730C2" w:rsidRPr="00DA5CC3">
        <w:tab/>
      </w:r>
      <w:r w:rsidR="00A35452">
        <w:t>the modified item</w:t>
      </w:r>
      <w:r w:rsidR="000730C2">
        <w:t xml:space="preserve"> has the same </w:t>
      </w:r>
      <w:r w:rsidR="000730C2" w:rsidRPr="00DA5CC3">
        <w:t xml:space="preserve">manufacturer </w:t>
      </w:r>
      <w:r w:rsidR="00A35452">
        <w:t>or importer as each other item</w:t>
      </w:r>
      <w:r w:rsidR="000730C2" w:rsidRPr="00DA5CC3">
        <w:t>; and</w:t>
      </w:r>
    </w:p>
    <w:p w14:paraId="27ECC616" w14:textId="77777777" w:rsidR="000730C2" w:rsidRPr="00C36857" w:rsidRDefault="000730C2" w:rsidP="000730C2">
      <w:pPr>
        <w:pStyle w:val="paragraph"/>
        <w:tabs>
          <w:tab w:val="left" w:pos="2160"/>
          <w:tab w:val="left" w:pos="2880"/>
          <w:tab w:val="left" w:pos="3600"/>
          <w:tab w:val="center" w:pos="4513"/>
        </w:tabs>
      </w:pPr>
      <w:r w:rsidRPr="00DA5CC3">
        <w:tab/>
        <w:t>(b)</w:t>
      </w:r>
      <w:r w:rsidRPr="00DA5CC3">
        <w:tab/>
        <w:t xml:space="preserve">the </w:t>
      </w:r>
      <w:r w:rsidRPr="00DA5CC3">
        <w:rPr>
          <w:b/>
          <w:i/>
        </w:rPr>
        <w:t>original</w:t>
      </w:r>
      <w:r w:rsidR="00C26CF7">
        <w:rPr>
          <w:b/>
          <w:i/>
        </w:rPr>
        <w:t xml:space="preserve"> modified</w:t>
      </w:r>
      <w:r w:rsidRPr="00DA5CC3">
        <w:rPr>
          <w:b/>
          <w:i/>
        </w:rPr>
        <w:t xml:space="preserve"> </w:t>
      </w:r>
      <w:r w:rsidR="00076D43">
        <w:rPr>
          <w:b/>
          <w:i/>
        </w:rPr>
        <w:t>item</w:t>
      </w:r>
      <w:r w:rsidRPr="00DA5CC3">
        <w:t xml:space="preserve">, in relation to the class, is the </w:t>
      </w:r>
      <w:r w:rsidR="00A35452">
        <w:t>item</w:t>
      </w:r>
      <w:r w:rsidR="00ED23AA">
        <w:t xml:space="preserve"> in</w:t>
      </w:r>
      <w:r w:rsidRPr="00DA5CC3">
        <w:t xml:space="preserve"> the </w:t>
      </w:r>
      <w:r w:rsidRPr="00C36857">
        <w:t>class that was the first to be</w:t>
      </w:r>
      <w:r w:rsidR="00647A35">
        <w:t xml:space="preserve"> created</w:t>
      </w:r>
      <w:r w:rsidRPr="00C36857">
        <w:t xml:space="preserve"> in Australia or imported.</w:t>
      </w:r>
      <w:r w:rsidRPr="00C36857">
        <w:tab/>
      </w:r>
    </w:p>
    <w:p w14:paraId="41780B11" w14:textId="77777777" w:rsidR="00DC0691" w:rsidRPr="00C36857" w:rsidRDefault="00DF0694" w:rsidP="00DC0691">
      <w:pPr>
        <w:pStyle w:val="ActHead5"/>
      </w:pPr>
      <w:proofErr w:type="gramStart"/>
      <w:r w:rsidRPr="00E53EBA">
        <w:rPr>
          <w:rStyle w:val="CharSectno"/>
        </w:rPr>
        <w:t>10</w:t>
      </w:r>
      <w:r w:rsidR="00AC49DF">
        <w:t xml:space="preserve">  Date</w:t>
      </w:r>
      <w:proofErr w:type="gramEnd"/>
      <w:r w:rsidR="002A0B17">
        <w:t xml:space="preserve"> a modified item</w:t>
      </w:r>
      <w:r w:rsidR="00647A35">
        <w:t xml:space="preserve"> is created</w:t>
      </w:r>
    </w:p>
    <w:bookmarkEnd w:id="8"/>
    <w:p w14:paraId="354D532F" w14:textId="77777777" w:rsidR="007F5C12" w:rsidRDefault="007F5C12" w:rsidP="007F5C12">
      <w:pPr>
        <w:pStyle w:val="paragraph"/>
        <w:tabs>
          <w:tab w:val="clear" w:pos="1531"/>
          <w:tab w:val="left" w:pos="993"/>
        </w:tabs>
        <w:spacing w:before="180"/>
        <w:ind w:left="1134" w:hanging="1134"/>
      </w:pPr>
      <w:r w:rsidRPr="00C36857">
        <w:rPr>
          <w:rFonts w:eastAsiaTheme="minorHAnsi"/>
        </w:rPr>
        <w:tab/>
      </w:r>
      <w:r w:rsidRPr="00C36857">
        <w:rPr>
          <w:rFonts w:eastAsiaTheme="minorHAnsi"/>
        </w:rPr>
        <w:tab/>
      </w:r>
      <w:r>
        <w:t>In this standard, a</w:t>
      </w:r>
      <w:r w:rsidRPr="00C36857">
        <w:t xml:space="preserve"> reference</w:t>
      </w:r>
      <w:r w:rsidR="0009635D">
        <w:t xml:space="preserve"> to</w:t>
      </w:r>
      <w:r w:rsidR="00AC49DF">
        <w:t xml:space="preserve"> the date</w:t>
      </w:r>
      <w:r w:rsidR="00D174AF">
        <w:t xml:space="preserve"> a modified item is cr</w:t>
      </w:r>
      <w:r w:rsidR="00AC49DF">
        <w:t>eated is a reference to the date</w:t>
      </w:r>
      <w:r w:rsidR="00D174AF">
        <w:t xml:space="preserve"> of making of</w:t>
      </w:r>
      <w:r w:rsidR="003E1279">
        <w:t xml:space="preserve"> the modification which </w:t>
      </w:r>
      <w:r w:rsidR="00BB4516">
        <w:t>creates</w:t>
      </w:r>
      <w:r w:rsidR="00D174AF">
        <w:t xml:space="preserve"> that item.</w:t>
      </w:r>
      <w:r w:rsidRPr="00C36857">
        <w:t xml:space="preserve"> </w:t>
      </w:r>
    </w:p>
    <w:p w14:paraId="727CFAE7" w14:textId="77777777" w:rsidR="00DA181F" w:rsidRPr="00C36857" w:rsidRDefault="00475D1C" w:rsidP="00DA181F">
      <w:pPr>
        <w:pStyle w:val="ActHead5"/>
      </w:pPr>
      <w:proofErr w:type="gramStart"/>
      <w:r w:rsidRPr="00E53EBA">
        <w:rPr>
          <w:rStyle w:val="CharSectno"/>
        </w:rPr>
        <w:t>1</w:t>
      </w:r>
      <w:r w:rsidR="00DF0694" w:rsidRPr="00E53EBA">
        <w:rPr>
          <w:rStyle w:val="CharSectno"/>
        </w:rPr>
        <w:t>1</w:t>
      </w:r>
      <w:r w:rsidR="00E53EBA">
        <w:t xml:space="preserve"> </w:t>
      </w:r>
      <w:r w:rsidR="00DA181F">
        <w:t xml:space="preserve"> Relevant</w:t>
      </w:r>
      <w:proofErr w:type="gramEnd"/>
      <w:r w:rsidR="00DA181F">
        <w:t xml:space="preserve"> </w:t>
      </w:r>
      <w:r w:rsidR="009574D4">
        <w:t>date</w:t>
      </w:r>
      <w:r w:rsidR="00DA181F">
        <w:t xml:space="preserve"> for an item</w:t>
      </w:r>
    </w:p>
    <w:p w14:paraId="3FB25F09" w14:textId="77777777" w:rsidR="00F252B7" w:rsidRDefault="00DA181F" w:rsidP="00DA181F">
      <w:pPr>
        <w:pStyle w:val="paragraph"/>
        <w:tabs>
          <w:tab w:val="clear" w:pos="1531"/>
          <w:tab w:val="left" w:pos="993"/>
        </w:tabs>
        <w:spacing w:before="180"/>
        <w:ind w:left="1134" w:hanging="1134"/>
      </w:pPr>
      <w:r w:rsidRPr="00C36857">
        <w:rPr>
          <w:rFonts w:eastAsiaTheme="minorHAnsi"/>
        </w:rPr>
        <w:tab/>
      </w:r>
      <w:r w:rsidRPr="00C36857">
        <w:rPr>
          <w:rFonts w:eastAsiaTheme="minorHAnsi"/>
        </w:rPr>
        <w:tab/>
      </w:r>
      <w:r>
        <w:t xml:space="preserve">In this standard, </w:t>
      </w:r>
      <w:r w:rsidR="00787ABB">
        <w:t xml:space="preserve">a reference to </w:t>
      </w:r>
      <w:r w:rsidR="00407A4E">
        <w:t>a</w:t>
      </w:r>
      <w:r>
        <w:t xml:space="preserve"> </w:t>
      </w:r>
      <w:r w:rsidRPr="00407A4E">
        <w:rPr>
          <w:b/>
          <w:i/>
        </w:rPr>
        <w:t xml:space="preserve">relevant </w:t>
      </w:r>
      <w:r w:rsidR="009574D4">
        <w:rPr>
          <w:b/>
          <w:i/>
        </w:rPr>
        <w:t>date</w:t>
      </w:r>
      <w:r>
        <w:t xml:space="preserve"> for an item</w:t>
      </w:r>
      <w:r w:rsidR="00787ABB">
        <w:t xml:space="preserve"> is a reference to</w:t>
      </w:r>
      <w:r w:rsidR="00F252B7">
        <w:t>:</w:t>
      </w:r>
      <w:r>
        <w:t xml:space="preserve"> </w:t>
      </w:r>
    </w:p>
    <w:p w14:paraId="38F4C47F" w14:textId="77777777" w:rsidR="003E43F3" w:rsidRPr="00B06AC4" w:rsidRDefault="003E43F3" w:rsidP="003E43F3">
      <w:pPr>
        <w:pStyle w:val="paragraph"/>
      </w:pPr>
      <w:r w:rsidRPr="00B06AC4">
        <w:tab/>
        <w:t>(a)</w:t>
      </w:r>
      <w:r w:rsidRPr="00B06AC4">
        <w:tab/>
      </w:r>
      <w:r w:rsidR="00753DCF">
        <w:t xml:space="preserve">in </w:t>
      </w:r>
      <w:r>
        <w:t>the case of an item, other than a modified item –</w:t>
      </w:r>
      <w:r w:rsidRPr="009E02BC">
        <w:t xml:space="preserve"> </w:t>
      </w:r>
      <w:r>
        <w:t>each of the following:</w:t>
      </w:r>
      <w:r w:rsidR="00395A40" w:rsidDel="00395A40">
        <w:t xml:space="preserve"> </w:t>
      </w:r>
    </w:p>
    <w:p w14:paraId="21230904" w14:textId="77777777" w:rsidR="003E43F3" w:rsidRDefault="003E43F3" w:rsidP="006B660B">
      <w:pPr>
        <w:pStyle w:val="paragraph"/>
        <w:tabs>
          <w:tab w:val="clear" w:pos="1531"/>
          <w:tab w:val="right" w:pos="1985"/>
        </w:tabs>
        <w:ind w:left="2127" w:hanging="2127"/>
      </w:pPr>
      <w:r w:rsidRPr="00DA5CC3">
        <w:tab/>
        <w:t>(i)</w:t>
      </w:r>
      <w:r w:rsidRPr="00DA5CC3">
        <w:tab/>
      </w:r>
      <w:r>
        <w:t xml:space="preserve">the </w:t>
      </w:r>
      <w:r w:rsidR="009574D4">
        <w:t>date</w:t>
      </w:r>
      <w:r>
        <w:t xml:space="preserve"> the item is manufactured in Australia or imported; </w:t>
      </w:r>
    </w:p>
    <w:p w14:paraId="581D9FDD" w14:textId="77777777" w:rsidR="003E43F3" w:rsidRDefault="003E43F3" w:rsidP="003E43F3">
      <w:pPr>
        <w:pStyle w:val="paragraphsub"/>
      </w:pPr>
      <w:r w:rsidRPr="00DA5CC3">
        <w:tab/>
        <w:t>(ii)</w:t>
      </w:r>
      <w:r w:rsidRPr="00DA5CC3">
        <w:tab/>
      </w:r>
      <w:r>
        <w:t xml:space="preserve">if the item is included in a class of items – the </w:t>
      </w:r>
      <w:r w:rsidR="009574D4">
        <w:t>date</w:t>
      </w:r>
      <w:r w:rsidR="00ED23AA">
        <w:t xml:space="preserve"> the original item in</w:t>
      </w:r>
      <w:r>
        <w:t xml:space="preserve"> the class was manufactured in Australia or imported;</w:t>
      </w:r>
    </w:p>
    <w:p w14:paraId="038AD115" w14:textId="77777777" w:rsidR="003E43F3" w:rsidRDefault="003E43F3" w:rsidP="003E43F3">
      <w:pPr>
        <w:pStyle w:val="paragraph"/>
      </w:pPr>
      <w:r w:rsidRPr="00B06AC4">
        <w:tab/>
        <w:t>(b)</w:t>
      </w:r>
      <w:r w:rsidRPr="00B06AC4">
        <w:tab/>
      </w:r>
      <w:r>
        <w:t>in the case of a modified item – each of the following:</w:t>
      </w:r>
    </w:p>
    <w:p w14:paraId="7F83C667" w14:textId="77777777" w:rsidR="003E43F3" w:rsidRDefault="003E43F3" w:rsidP="003E43F3">
      <w:pPr>
        <w:pStyle w:val="paragraphsub"/>
      </w:pPr>
      <w:r w:rsidRPr="00DA5CC3">
        <w:tab/>
        <w:t>(i)</w:t>
      </w:r>
      <w:r w:rsidRPr="00DA5CC3">
        <w:tab/>
      </w:r>
      <w:r>
        <w:t xml:space="preserve">the </w:t>
      </w:r>
      <w:r w:rsidR="009574D4">
        <w:t>date</w:t>
      </w:r>
      <w:r>
        <w:t xml:space="preserve"> the modified item is created in Australia or imported; </w:t>
      </w:r>
    </w:p>
    <w:p w14:paraId="7D5F4AF6" w14:textId="77777777" w:rsidR="003E43F3" w:rsidRDefault="003E43F3" w:rsidP="003E43F3">
      <w:pPr>
        <w:pStyle w:val="paragraphsub"/>
      </w:pPr>
      <w:r w:rsidRPr="00DA5CC3">
        <w:tab/>
        <w:t>(ii)</w:t>
      </w:r>
      <w:r w:rsidRPr="00DA5CC3">
        <w:tab/>
      </w:r>
      <w:r>
        <w:t xml:space="preserve">if the modified item is included in a class of items – the </w:t>
      </w:r>
      <w:r w:rsidR="009574D4">
        <w:t>date</w:t>
      </w:r>
      <w:r w:rsidR="00ED23AA">
        <w:t xml:space="preserve"> the original modified item in</w:t>
      </w:r>
      <w:r>
        <w:t xml:space="preserve"> the class wa</w:t>
      </w:r>
      <w:r w:rsidR="00337543">
        <w:t>s created</w:t>
      </w:r>
      <w:r>
        <w:t xml:space="preserve"> in Australia or imported.</w:t>
      </w:r>
    </w:p>
    <w:p w14:paraId="4BCBAEC9" w14:textId="77777777" w:rsidR="00337543" w:rsidRDefault="00337543" w:rsidP="00337543">
      <w:pPr>
        <w:pStyle w:val="notetext"/>
      </w:pPr>
      <w:r>
        <w:t>Exampl</w:t>
      </w:r>
      <w:r w:rsidRPr="00442619">
        <w:t>e:</w:t>
      </w:r>
      <w:r w:rsidRPr="00442619">
        <w:tab/>
      </w:r>
      <w:r>
        <w:t xml:space="preserve">Under </w:t>
      </w:r>
      <w:r w:rsidR="00475D1C" w:rsidRPr="00F741FE">
        <w:t>subsection 1</w:t>
      </w:r>
      <w:r w:rsidR="003C3D9D" w:rsidRPr="00F741FE">
        <w:t>5</w:t>
      </w:r>
      <w:r w:rsidRPr="00F741FE">
        <w:t>(1),</w:t>
      </w:r>
      <w:r>
        <w:t xml:space="preserve"> i</w:t>
      </w:r>
      <w:r w:rsidRPr="00442619">
        <w:t>f</w:t>
      </w:r>
      <w:r w:rsidR="005F7398">
        <w:t xml:space="preserve"> a relevant date for an item does not occur during a</w:t>
      </w:r>
      <w:r w:rsidR="00DF6C09">
        <w:t xml:space="preserve"> transition period </w:t>
      </w:r>
      <w:r w:rsidR="00E764DF">
        <w:t xml:space="preserve">in relation to an applicable industry standard </w:t>
      </w:r>
      <w:r w:rsidR="005F7398">
        <w:t>and the</w:t>
      </w:r>
      <w:r>
        <w:t xml:space="preserve"> item</w:t>
      </w:r>
      <w:r w:rsidRPr="00442619">
        <w:rPr>
          <w:szCs w:val="22"/>
        </w:rPr>
        <w:t xml:space="preserve"> complies with </w:t>
      </w:r>
      <w:r w:rsidR="00E764DF">
        <w:rPr>
          <w:szCs w:val="22"/>
        </w:rPr>
        <w:t>the</w:t>
      </w:r>
      <w:r w:rsidR="000C1623">
        <w:rPr>
          <w:szCs w:val="22"/>
        </w:rPr>
        <w:t xml:space="preserve"> applicable</w:t>
      </w:r>
      <w:r>
        <w:rPr>
          <w:szCs w:val="22"/>
        </w:rPr>
        <w:t xml:space="preserve"> </w:t>
      </w:r>
      <w:r w:rsidR="000C1623">
        <w:t>industry standard</w:t>
      </w:r>
      <w:r w:rsidR="005F7398">
        <w:rPr>
          <w:szCs w:val="22"/>
        </w:rPr>
        <w:t xml:space="preserve"> as in force</w:t>
      </w:r>
      <w:r w:rsidR="003A73D9">
        <w:rPr>
          <w:szCs w:val="22"/>
        </w:rPr>
        <w:t xml:space="preserve"> at the relevant</w:t>
      </w:r>
      <w:r w:rsidR="00E45A56">
        <w:rPr>
          <w:szCs w:val="22"/>
        </w:rPr>
        <w:t xml:space="preserve"> </w:t>
      </w:r>
      <w:r w:rsidR="009574D4">
        <w:rPr>
          <w:szCs w:val="22"/>
        </w:rPr>
        <w:t>date</w:t>
      </w:r>
      <w:r w:rsidR="005F7398">
        <w:rPr>
          <w:szCs w:val="22"/>
        </w:rPr>
        <w:t>,</w:t>
      </w:r>
      <w:r w:rsidRPr="00442619">
        <w:rPr>
          <w:szCs w:val="22"/>
        </w:rPr>
        <w:t xml:space="preserve"> the ite</w:t>
      </w:r>
      <w:r w:rsidR="003A73D9">
        <w:rPr>
          <w:szCs w:val="22"/>
        </w:rPr>
        <w:t>m meets the requirements of the</w:t>
      </w:r>
      <w:r w:rsidRPr="00442619">
        <w:rPr>
          <w:szCs w:val="22"/>
        </w:rPr>
        <w:t xml:space="preserve"> subsection</w:t>
      </w:r>
      <w:r w:rsidR="000C1623">
        <w:rPr>
          <w:szCs w:val="22"/>
        </w:rPr>
        <w:t xml:space="preserve"> in relation to th</w:t>
      </w:r>
      <w:r w:rsidR="00301DC5">
        <w:rPr>
          <w:szCs w:val="22"/>
        </w:rPr>
        <w:t>at</w:t>
      </w:r>
      <w:r w:rsidR="000C1623">
        <w:rPr>
          <w:szCs w:val="22"/>
        </w:rPr>
        <w:t xml:space="preserve"> standard</w:t>
      </w:r>
      <w:r w:rsidR="00F34140">
        <w:rPr>
          <w:szCs w:val="22"/>
        </w:rPr>
        <w:t>.</w:t>
      </w:r>
    </w:p>
    <w:p w14:paraId="5FFD32C1" w14:textId="77777777" w:rsidR="00337543" w:rsidRDefault="00337543" w:rsidP="00337543">
      <w:pPr>
        <w:pStyle w:val="notetext"/>
        <w:ind w:firstLine="0"/>
        <w:rPr>
          <w:szCs w:val="22"/>
        </w:rPr>
      </w:pPr>
      <w:r>
        <w:t>If</w:t>
      </w:r>
      <w:r>
        <w:rPr>
          <w:szCs w:val="22"/>
        </w:rPr>
        <w:t>:</w:t>
      </w:r>
      <w:r w:rsidRPr="00442619">
        <w:rPr>
          <w:szCs w:val="22"/>
        </w:rPr>
        <w:t xml:space="preserve"> </w:t>
      </w:r>
    </w:p>
    <w:p w14:paraId="0F90F8DF" w14:textId="77777777" w:rsidR="00BD2733" w:rsidRDefault="008B3B69" w:rsidP="00337543">
      <w:pPr>
        <w:pStyle w:val="notetext"/>
        <w:numPr>
          <w:ilvl w:val="0"/>
          <w:numId w:val="29"/>
        </w:numPr>
        <w:spacing w:before="40" w:line="198" w:lineRule="exact"/>
        <w:ind w:left="2342" w:hanging="357"/>
        <w:rPr>
          <w:szCs w:val="22"/>
        </w:rPr>
      </w:pPr>
      <w:r>
        <w:t>a modified item that is included in a class of items complies</w:t>
      </w:r>
      <w:r w:rsidRPr="00442619">
        <w:rPr>
          <w:szCs w:val="22"/>
        </w:rPr>
        <w:t xml:space="preserve"> with</w:t>
      </w:r>
      <w:r>
        <w:rPr>
          <w:szCs w:val="22"/>
        </w:rPr>
        <w:t xml:space="preserve"> </w:t>
      </w:r>
      <w:r w:rsidR="00BD2733">
        <w:rPr>
          <w:szCs w:val="22"/>
        </w:rPr>
        <w:t>either:</w:t>
      </w:r>
    </w:p>
    <w:p w14:paraId="47A845EC" w14:textId="77777777" w:rsidR="00337543" w:rsidRDefault="00E764DF" w:rsidP="00672CED">
      <w:pPr>
        <w:pStyle w:val="notetext"/>
        <w:numPr>
          <w:ilvl w:val="1"/>
          <w:numId w:val="29"/>
        </w:numPr>
        <w:spacing w:before="40" w:line="198" w:lineRule="exact"/>
        <w:ind w:left="2835" w:hanging="283"/>
        <w:rPr>
          <w:szCs w:val="22"/>
        </w:rPr>
      </w:pPr>
      <w:r>
        <w:rPr>
          <w:szCs w:val="22"/>
        </w:rPr>
        <w:t>an</w:t>
      </w:r>
      <w:r w:rsidR="000C1623">
        <w:rPr>
          <w:szCs w:val="22"/>
        </w:rPr>
        <w:t xml:space="preserve"> applicable</w:t>
      </w:r>
      <w:r w:rsidR="00337543">
        <w:rPr>
          <w:szCs w:val="22"/>
        </w:rPr>
        <w:t xml:space="preserve"> </w:t>
      </w:r>
      <w:r w:rsidR="000C1623">
        <w:t>industry standard</w:t>
      </w:r>
      <w:r w:rsidR="00337543">
        <w:t xml:space="preserve"> </w:t>
      </w:r>
      <w:r w:rsidR="00337543">
        <w:rPr>
          <w:szCs w:val="22"/>
        </w:rPr>
        <w:t xml:space="preserve">as in force at the </w:t>
      </w:r>
      <w:r w:rsidR="009574D4">
        <w:rPr>
          <w:szCs w:val="22"/>
        </w:rPr>
        <w:t>date</w:t>
      </w:r>
      <w:r w:rsidR="00337543">
        <w:rPr>
          <w:szCs w:val="22"/>
        </w:rPr>
        <w:t xml:space="preserve"> the </w:t>
      </w:r>
      <w:r w:rsidR="00C05812">
        <w:rPr>
          <w:szCs w:val="22"/>
        </w:rPr>
        <w:t xml:space="preserve">modified </w:t>
      </w:r>
      <w:r w:rsidR="00337543">
        <w:rPr>
          <w:szCs w:val="22"/>
        </w:rPr>
        <w:t xml:space="preserve">item is created in Australia or imported; or </w:t>
      </w:r>
    </w:p>
    <w:p w14:paraId="1D8F5071" w14:textId="77777777" w:rsidR="00BD2733" w:rsidRDefault="00E764DF" w:rsidP="00672CED">
      <w:pPr>
        <w:pStyle w:val="notetext"/>
        <w:numPr>
          <w:ilvl w:val="1"/>
          <w:numId w:val="29"/>
        </w:numPr>
        <w:spacing w:before="40" w:line="198" w:lineRule="exact"/>
        <w:ind w:left="2835" w:hanging="283"/>
        <w:rPr>
          <w:szCs w:val="22"/>
        </w:rPr>
      </w:pPr>
      <w:r>
        <w:rPr>
          <w:szCs w:val="22"/>
        </w:rPr>
        <w:t>an</w:t>
      </w:r>
      <w:r w:rsidR="000C1623">
        <w:rPr>
          <w:szCs w:val="22"/>
        </w:rPr>
        <w:t xml:space="preserve"> applicable</w:t>
      </w:r>
      <w:r w:rsidR="00337543">
        <w:rPr>
          <w:szCs w:val="22"/>
        </w:rPr>
        <w:t xml:space="preserve"> </w:t>
      </w:r>
      <w:r w:rsidR="000C1623">
        <w:t>industry standard</w:t>
      </w:r>
      <w:r w:rsidR="00337543">
        <w:t xml:space="preserve"> </w:t>
      </w:r>
      <w:r w:rsidR="00337543">
        <w:rPr>
          <w:szCs w:val="22"/>
        </w:rPr>
        <w:t xml:space="preserve">as in force at the </w:t>
      </w:r>
      <w:r w:rsidR="00C05812">
        <w:rPr>
          <w:szCs w:val="22"/>
        </w:rPr>
        <w:t>date</w:t>
      </w:r>
      <w:r w:rsidR="00337543">
        <w:rPr>
          <w:szCs w:val="22"/>
        </w:rPr>
        <w:t xml:space="preserve"> the original </w:t>
      </w:r>
      <w:r w:rsidR="00C05812">
        <w:rPr>
          <w:szCs w:val="22"/>
        </w:rPr>
        <w:t xml:space="preserve">modified </w:t>
      </w:r>
      <w:r w:rsidR="00337543">
        <w:rPr>
          <w:szCs w:val="22"/>
        </w:rPr>
        <w:t xml:space="preserve">item </w:t>
      </w:r>
      <w:r w:rsidR="00ED23AA">
        <w:rPr>
          <w:szCs w:val="22"/>
        </w:rPr>
        <w:t>in</w:t>
      </w:r>
      <w:r w:rsidR="00337543">
        <w:rPr>
          <w:szCs w:val="22"/>
        </w:rPr>
        <w:t xml:space="preserve"> the class was created in Australia or imported;</w:t>
      </w:r>
      <w:r w:rsidR="00BD2733">
        <w:rPr>
          <w:szCs w:val="22"/>
        </w:rPr>
        <w:t xml:space="preserve"> and</w:t>
      </w:r>
      <w:r w:rsidR="00337543">
        <w:rPr>
          <w:szCs w:val="22"/>
        </w:rPr>
        <w:t xml:space="preserve"> </w:t>
      </w:r>
    </w:p>
    <w:p w14:paraId="1E0DD37F" w14:textId="77777777" w:rsidR="00C86C06" w:rsidRDefault="00BD2733" w:rsidP="00C86C06">
      <w:pPr>
        <w:pStyle w:val="notetext"/>
        <w:numPr>
          <w:ilvl w:val="0"/>
          <w:numId w:val="29"/>
        </w:numPr>
        <w:spacing w:before="40" w:line="198" w:lineRule="exact"/>
        <w:ind w:left="2342" w:hanging="357"/>
        <w:rPr>
          <w:szCs w:val="22"/>
        </w:rPr>
      </w:pPr>
      <w:r>
        <w:rPr>
          <w:szCs w:val="22"/>
        </w:rPr>
        <w:t>that date does not occur during a</w:t>
      </w:r>
      <w:r w:rsidR="00F84C77">
        <w:rPr>
          <w:szCs w:val="22"/>
        </w:rPr>
        <w:t xml:space="preserve"> </w:t>
      </w:r>
      <w:r w:rsidR="00DF6C09">
        <w:rPr>
          <w:szCs w:val="22"/>
        </w:rPr>
        <w:t xml:space="preserve">transition period </w:t>
      </w:r>
      <w:r w:rsidR="00E764DF">
        <w:rPr>
          <w:szCs w:val="22"/>
        </w:rPr>
        <w:t>in relation to th</w:t>
      </w:r>
      <w:r w:rsidR="00301DC5">
        <w:rPr>
          <w:szCs w:val="22"/>
        </w:rPr>
        <w:t>e applicable industry</w:t>
      </w:r>
      <w:r w:rsidR="00E764DF">
        <w:rPr>
          <w:szCs w:val="22"/>
        </w:rPr>
        <w:t xml:space="preserve"> standard</w:t>
      </w:r>
      <w:r>
        <w:rPr>
          <w:szCs w:val="22"/>
        </w:rPr>
        <w:t>;</w:t>
      </w:r>
    </w:p>
    <w:p w14:paraId="13777DD1" w14:textId="77777777" w:rsidR="00A72A01" w:rsidRDefault="00BD2733" w:rsidP="00BD2733">
      <w:pPr>
        <w:pStyle w:val="notetext"/>
        <w:spacing w:before="40" w:line="198" w:lineRule="exact"/>
        <w:ind w:firstLine="0"/>
      </w:pPr>
      <w:r>
        <w:rPr>
          <w:szCs w:val="22"/>
        </w:rPr>
        <w:t>the</w:t>
      </w:r>
      <w:r w:rsidR="00337543" w:rsidRPr="00442619">
        <w:rPr>
          <w:szCs w:val="22"/>
        </w:rPr>
        <w:t xml:space="preserve"> </w:t>
      </w:r>
      <w:r w:rsidR="00C05812">
        <w:rPr>
          <w:szCs w:val="22"/>
        </w:rPr>
        <w:t xml:space="preserve">first-mentioned </w:t>
      </w:r>
      <w:r w:rsidR="00337543" w:rsidRPr="00442619">
        <w:rPr>
          <w:szCs w:val="22"/>
        </w:rPr>
        <w:t>item</w:t>
      </w:r>
      <w:r w:rsidR="00337543">
        <w:rPr>
          <w:szCs w:val="22"/>
        </w:rPr>
        <w:t xml:space="preserve"> meets the requirements of </w:t>
      </w:r>
      <w:r w:rsidR="00337543" w:rsidRPr="00F741FE">
        <w:rPr>
          <w:szCs w:val="22"/>
        </w:rPr>
        <w:t>subsection</w:t>
      </w:r>
      <w:r w:rsidR="00475D1C" w:rsidRPr="00F741FE">
        <w:rPr>
          <w:szCs w:val="22"/>
        </w:rPr>
        <w:t xml:space="preserve"> 1</w:t>
      </w:r>
      <w:r w:rsidR="003C3D9D" w:rsidRPr="00F741FE">
        <w:rPr>
          <w:szCs w:val="22"/>
        </w:rPr>
        <w:t>5</w:t>
      </w:r>
      <w:r w:rsidR="00337543" w:rsidRPr="00F741FE">
        <w:rPr>
          <w:szCs w:val="22"/>
        </w:rPr>
        <w:t>(1)</w:t>
      </w:r>
      <w:r w:rsidR="000C1623">
        <w:rPr>
          <w:szCs w:val="22"/>
        </w:rPr>
        <w:t xml:space="preserve"> in relation to th</w:t>
      </w:r>
      <w:r w:rsidR="00301DC5">
        <w:rPr>
          <w:szCs w:val="22"/>
        </w:rPr>
        <w:t>at</w:t>
      </w:r>
      <w:r w:rsidR="000C1623">
        <w:rPr>
          <w:szCs w:val="22"/>
        </w:rPr>
        <w:t xml:space="preserve"> standard</w:t>
      </w:r>
      <w:r w:rsidR="00337543" w:rsidRPr="00442619">
        <w:t xml:space="preserve">. </w:t>
      </w:r>
    </w:p>
    <w:p w14:paraId="6A2263C2" w14:textId="77777777" w:rsidR="00C36857" w:rsidRPr="00C36857" w:rsidRDefault="00D71B24" w:rsidP="00C36857">
      <w:pPr>
        <w:pStyle w:val="ActHead5"/>
      </w:pPr>
      <w:proofErr w:type="gramStart"/>
      <w:r w:rsidRPr="00E53EBA">
        <w:rPr>
          <w:rStyle w:val="CharSectno"/>
        </w:rPr>
        <w:t>1</w:t>
      </w:r>
      <w:r w:rsidR="00F84C77" w:rsidRPr="00E53EBA">
        <w:rPr>
          <w:rStyle w:val="CharSectno"/>
        </w:rPr>
        <w:t>2</w:t>
      </w:r>
      <w:r w:rsidR="00C36857" w:rsidRPr="00C36857">
        <w:t xml:space="preserve">  </w:t>
      </w:r>
      <w:r w:rsidR="00F84C77">
        <w:t>T</w:t>
      </w:r>
      <w:r w:rsidR="00C36857" w:rsidRPr="00C36857">
        <w:t>ransition</w:t>
      </w:r>
      <w:proofErr w:type="gramEnd"/>
      <w:r w:rsidR="00C36857" w:rsidRPr="00C36857">
        <w:t xml:space="preserve"> period</w:t>
      </w:r>
    </w:p>
    <w:p w14:paraId="445A0974" w14:textId="77777777" w:rsidR="00C36857" w:rsidRPr="00C36857" w:rsidRDefault="00677DD3" w:rsidP="00C36857">
      <w:pPr>
        <w:pStyle w:val="subsection"/>
      </w:pPr>
      <w:r>
        <w:tab/>
      </w:r>
      <w:r>
        <w:tab/>
      </w:r>
      <w:r w:rsidR="002744F4">
        <w:t>For the purposes of</w:t>
      </w:r>
      <w:r>
        <w:t xml:space="preserve"> this standard</w:t>
      </w:r>
      <w:r w:rsidR="00C36857" w:rsidRPr="00C36857">
        <w:t xml:space="preserve">, if </w:t>
      </w:r>
      <w:r w:rsidR="003D2EA2">
        <w:t>an applicable</w:t>
      </w:r>
      <w:r w:rsidR="00DA3A33">
        <w:t xml:space="preserve"> </w:t>
      </w:r>
      <w:r w:rsidR="003D2EA2">
        <w:t>industry standard</w:t>
      </w:r>
      <w:r w:rsidR="00C36857" w:rsidRPr="00C36857">
        <w:t xml:space="preserve"> is amended or replaced, there is a </w:t>
      </w:r>
      <w:r w:rsidR="00C36857" w:rsidRPr="00C36857">
        <w:rPr>
          <w:b/>
          <w:i/>
        </w:rPr>
        <w:t>transition period</w:t>
      </w:r>
      <w:r w:rsidR="003D2EA2" w:rsidRPr="006B660B">
        <w:t xml:space="preserve"> in relation to the applicable industry standard</w:t>
      </w:r>
      <w:r w:rsidR="00C36857" w:rsidRPr="00C36857">
        <w:t>, being a period of one year commencing on the day th</w:t>
      </w:r>
      <w:r w:rsidR="00301DC5">
        <w:t>at</w:t>
      </w:r>
      <w:r w:rsidR="003D2EA2">
        <w:t xml:space="preserve"> standard</w:t>
      </w:r>
      <w:r w:rsidR="00C36857" w:rsidRPr="00C36857">
        <w:t xml:space="preserve"> is amended or replaced. </w:t>
      </w:r>
    </w:p>
    <w:p w14:paraId="4D298A45" w14:textId="77777777" w:rsidR="00C36857" w:rsidRPr="00C36857" w:rsidRDefault="0009635D" w:rsidP="00342B17">
      <w:pPr>
        <w:pStyle w:val="notetext"/>
      </w:pPr>
      <w:r>
        <w:t>Note 1:</w:t>
      </w:r>
      <w:r>
        <w:tab/>
        <w:t xml:space="preserve">See </w:t>
      </w:r>
      <w:r w:rsidRPr="00F741FE">
        <w:t>subsection 1</w:t>
      </w:r>
      <w:r w:rsidR="003C3D9D" w:rsidRPr="00F741FE">
        <w:t>5</w:t>
      </w:r>
      <w:r w:rsidR="00475D1C" w:rsidRPr="00F741FE">
        <w:t>(2</w:t>
      </w:r>
      <w:r w:rsidRPr="00F741FE">
        <w:t>)</w:t>
      </w:r>
      <w:r w:rsidR="00C36857" w:rsidRPr="00C36857">
        <w:t xml:space="preserve"> in relation to a transition period.</w:t>
      </w:r>
    </w:p>
    <w:p w14:paraId="4DAA5ED2" w14:textId="77777777" w:rsidR="007E3AAC" w:rsidRDefault="00C36857" w:rsidP="00E53EBA">
      <w:pPr>
        <w:pStyle w:val="notetext"/>
        <w:rPr>
          <w:rStyle w:val="CharSectno"/>
          <w:sz w:val="32"/>
          <w:szCs w:val="32"/>
        </w:rPr>
      </w:pPr>
      <w:r w:rsidRPr="00C36857">
        <w:t>Note 2:</w:t>
      </w:r>
      <w:r w:rsidRPr="00C36857">
        <w:tab/>
        <w:t xml:space="preserve">If </w:t>
      </w:r>
      <w:r w:rsidR="00E764DF">
        <w:t>an</w:t>
      </w:r>
      <w:r w:rsidR="003D2EA2">
        <w:t xml:space="preserve"> applicable</w:t>
      </w:r>
      <w:r w:rsidRPr="00C36857">
        <w:t xml:space="preserve"> </w:t>
      </w:r>
      <w:r w:rsidR="003D2EA2">
        <w:t>industry standard</w:t>
      </w:r>
      <w:r w:rsidR="00DA3A33">
        <w:t xml:space="preserve"> </w:t>
      </w:r>
      <w:r w:rsidRPr="00C36857">
        <w:t>is amended or replaced during a transition period</w:t>
      </w:r>
      <w:r w:rsidR="00E764DF">
        <w:t xml:space="preserve"> in relation to the applicable industry standard</w:t>
      </w:r>
      <w:r w:rsidRPr="00C36857">
        <w:t xml:space="preserve">, there is another transition period which overlaps with the first-mentioned period.  See </w:t>
      </w:r>
      <w:r w:rsidRPr="00F741FE">
        <w:t xml:space="preserve">subsection </w:t>
      </w:r>
      <w:r w:rsidR="00475D1C" w:rsidRPr="00F741FE">
        <w:t>1</w:t>
      </w:r>
      <w:r w:rsidR="003C3D9D" w:rsidRPr="00F741FE">
        <w:t>5</w:t>
      </w:r>
      <w:r w:rsidR="00475D1C" w:rsidRPr="00F741FE">
        <w:t>(3</w:t>
      </w:r>
      <w:r w:rsidR="0009635D" w:rsidRPr="00F741FE">
        <w:t>)</w:t>
      </w:r>
      <w:r w:rsidRPr="00C36857">
        <w:t xml:space="preserve"> in relation to overlapping transition periods.</w:t>
      </w:r>
      <w:r w:rsidR="00E53EBA">
        <w:t xml:space="preserve"> </w:t>
      </w:r>
      <w:bookmarkEnd w:id="3"/>
    </w:p>
    <w:p w14:paraId="1C046B65" w14:textId="77777777" w:rsidR="00E53EBA" w:rsidRPr="00E53EBA" w:rsidRDefault="00E53EBA" w:rsidP="00E53EBA"/>
    <w:p w14:paraId="7098B1A5" w14:textId="77777777" w:rsidR="006F5CF2" w:rsidRPr="00AC3783" w:rsidRDefault="006F5CF2" w:rsidP="00AC3783">
      <w:pPr>
        <w:keepNext/>
        <w:keepLines/>
        <w:rPr>
          <w:b/>
        </w:rPr>
      </w:pPr>
      <w:r w:rsidRPr="00AC3783">
        <w:rPr>
          <w:rFonts w:ascii="Times New Roman" w:hAnsi="Times New Roman" w:cs="Times New Roman"/>
          <w:b/>
          <w:sz w:val="32"/>
          <w:szCs w:val="32"/>
        </w:rPr>
        <w:lastRenderedPageBreak/>
        <w:t xml:space="preserve">Part </w:t>
      </w:r>
      <w:r w:rsidR="00FC5543" w:rsidRPr="00AC3783">
        <w:rPr>
          <w:rFonts w:ascii="Times New Roman" w:hAnsi="Times New Roman" w:cs="Times New Roman"/>
          <w:b/>
          <w:sz w:val="32"/>
          <w:szCs w:val="32"/>
        </w:rPr>
        <w:t>3</w:t>
      </w:r>
      <w:r w:rsidRPr="00AC3783">
        <w:rPr>
          <w:rFonts w:ascii="Times New Roman" w:hAnsi="Times New Roman" w:cs="Times New Roman"/>
          <w:b/>
          <w:sz w:val="32"/>
        </w:rPr>
        <w:t>—</w:t>
      </w:r>
      <w:r w:rsidR="00FC5543" w:rsidRPr="00AC3783">
        <w:rPr>
          <w:rFonts w:ascii="Times New Roman" w:hAnsi="Times New Roman" w:cs="Times New Roman"/>
          <w:b/>
          <w:sz w:val="32"/>
        </w:rPr>
        <w:t>Application and requirements</w:t>
      </w:r>
      <w:r w:rsidR="00CC2EEC" w:rsidRPr="00AC3783">
        <w:rPr>
          <w:rFonts w:ascii="Times New Roman" w:hAnsi="Times New Roman" w:cs="Times New Roman"/>
          <w:b/>
          <w:sz w:val="32"/>
        </w:rPr>
        <w:t xml:space="preserve"> </w:t>
      </w:r>
    </w:p>
    <w:p w14:paraId="2CE3EA5F" w14:textId="77777777" w:rsidR="00ED59F5" w:rsidRPr="00C36857" w:rsidRDefault="00D71B24" w:rsidP="00AC3783">
      <w:pPr>
        <w:pStyle w:val="ActHead5"/>
      </w:pPr>
      <w:bookmarkStart w:id="9" w:name="_Toc444596036"/>
      <w:proofErr w:type="gramStart"/>
      <w:r w:rsidRPr="00E53EBA">
        <w:rPr>
          <w:rStyle w:val="CharSectno"/>
        </w:rPr>
        <w:t>1</w:t>
      </w:r>
      <w:r w:rsidR="00F84C77" w:rsidRPr="00E53EBA">
        <w:rPr>
          <w:rStyle w:val="CharSectno"/>
        </w:rPr>
        <w:t>3</w:t>
      </w:r>
      <w:r w:rsidR="00ED59F5" w:rsidRPr="00C36857">
        <w:t xml:space="preserve">  Application</w:t>
      </w:r>
      <w:proofErr w:type="gramEnd"/>
      <w:r w:rsidR="00677DD3">
        <w:t xml:space="preserve"> </w:t>
      </w:r>
    </w:p>
    <w:p w14:paraId="3EA319DA" w14:textId="77777777" w:rsidR="00DD1C5D" w:rsidRDefault="00ED59F5" w:rsidP="00DD1C5D">
      <w:pPr>
        <w:pStyle w:val="subsection"/>
      </w:pPr>
      <w:r w:rsidRPr="00C36857">
        <w:tab/>
      </w:r>
      <w:r w:rsidRPr="00C36857">
        <w:tab/>
      </w:r>
      <w:r w:rsidRPr="00DD1C5D">
        <w:t>T</w:t>
      </w:r>
      <w:r w:rsidR="00677DD3" w:rsidRPr="00DD1C5D">
        <w:t>his</w:t>
      </w:r>
      <w:r w:rsidR="0017160D" w:rsidRPr="00DD1C5D">
        <w:t xml:space="preserve"> standard </w:t>
      </w:r>
      <w:r w:rsidRPr="00DD1C5D">
        <w:t xml:space="preserve">applies to a radiocommunications device </w:t>
      </w:r>
      <w:r w:rsidR="00D9760D" w:rsidRPr="00DD1C5D">
        <w:t>that</w:t>
      </w:r>
      <w:r w:rsidR="00DD1C5D">
        <w:t>:</w:t>
      </w:r>
    </w:p>
    <w:p w14:paraId="122383C9" w14:textId="77777777" w:rsidR="00F67057" w:rsidRDefault="00F67057" w:rsidP="00F67057">
      <w:pPr>
        <w:pStyle w:val="paragraph"/>
      </w:pPr>
      <w:r>
        <w:tab/>
        <w:t>(a)</w:t>
      </w:r>
      <w:r>
        <w:tab/>
        <w:t>is a radiotelephone transmitter and/or radiotelephone receiver; and</w:t>
      </w:r>
    </w:p>
    <w:p w14:paraId="77836359" w14:textId="77777777" w:rsidR="00F67057" w:rsidRDefault="00F67057" w:rsidP="00F67057">
      <w:pPr>
        <w:pStyle w:val="paragraph"/>
      </w:pPr>
      <w:r>
        <w:tab/>
        <w:t>(b)</w:t>
      </w:r>
      <w:r>
        <w:tab/>
        <w:t>operates on 1 or more of the maritime mobile service VHF frequencies;</w:t>
      </w:r>
    </w:p>
    <w:p w14:paraId="0687496B" w14:textId="77777777" w:rsidR="00F67057" w:rsidRDefault="00F67057" w:rsidP="00F67057">
      <w:pPr>
        <w:pStyle w:val="paragraph"/>
        <w:tabs>
          <w:tab w:val="clear" w:pos="1531"/>
        </w:tabs>
        <w:ind w:left="1134" w:hanging="1134"/>
      </w:pPr>
      <w:r>
        <w:tab/>
        <w:t>unless the device is an exempt item.</w:t>
      </w:r>
    </w:p>
    <w:p w14:paraId="0F18398F" w14:textId="77777777" w:rsidR="00B7359B" w:rsidRPr="00442619" w:rsidRDefault="00D71B24" w:rsidP="00F67057">
      <w:pPr>
        <w:pStyle w:val="ActHead5"/>
      </w:pPr>
      <w:bookmarkStart w:id="10" w:name="_Toc444596038"/>
      <w:bookmarkEnd w:id="9"/>
      <w:proofErr w:type="gramStart"/>
      <w:r w:rsidRPr="00E53EBA">
        <w:rPr>
          <w:rStyle w:val="CharSectno"/>
        </w:rPr>
        <w:t>1</w:t>
      </w:r>
      <w:r w:rsidR="00F84C77" w:rsidRPr="00E53EBA">
        <w:rPr>
          <w:rStyle w:val="CharSectno"/>
        </w:rPr>
        <w:t>4</w:t>
      </w:r>
      <w:r w:rsidR="00B7359B" w:rsidRPr="00442619">
        <w:t xml:space="preserve">  </w:t>
      </w:r>
      <w:r w:rsidR="00CC2EEC">
        <w:t>Requirements</w:t>
      </w:r>
      <w:proofErr w:type="gramEnd"/>
      <w:r w:rsidR="00CC2EEC">
        <w:t xml:space="preserve">  </w:t>
      </w:r>
    </w:p>
    <w:p w14:paraId="2F64D275" w14:textId="19AF14F5" w:rsidR="00FC5543" w:rsidRPr="00442619" w:rsidRDefault="00FC5543" w:rsidP="00FC5543">
      <w:pPr>
        <w:pStyle w:val="subsection"/>
      </w:pPr>
      <w:r w:rsidRPr="00442619">
        <w:tab/>
      </w:r>
      <w:r w:rsidRPr="00442619">
        <w:tab/>
      </w:r>
      <w:r w:rsidR="00AC6B1C">
        <w:t>A</w:t>
      </w:r>
      <w:r w:rsidR="005A4ED9">
        <w:t>n item</w:t>
      </w:r>
      <w:r w:rsidR="00724235">
        <w:t xml:space="preserve"> </w:t>
      </w:r>
      <w:r w:rsidR="00AC6B1C">
        <w:t xml:space="preserve">must meet </w:t>
      </w:r>
      <w:r w:rsidRPr="00442619">
        <w:t>the requirements of subsection</w:t>
      </w:r>
      <w:r w:rsidR="007B5BAD">
        <w:t>s</w:t>
      </w:r>
      <w:r w:rsidRPr="00442619">
        <w:t xml:space="preserve"> </w:t>
      </w:r>
      <w:r w:rsidR="00475D1C" w:rsidRPr="00F741FE">
        <w:t>1</w:t>
      </w:r>
      <w:r w:rsidR="003C3D9D" w:rsidRPr="00F741FE">
        <w:t>5</w:t>
      </w:r>
      <w:r w:rsidR="00475D1C" w:rsidRPr="00F741FE">
        <w:t>(1), (2)</w:t>
      </w:r>
      <w:r w:rsidR="005C5EFD" w:rsidRPr="00F741FE">
        <w:t>,</w:t>
      </w:r>
      <w:r w:rsidRPr="00F741FE">
        <w:t xml:space="preserve"> (3)</w:t>
      </w:r>
      <w:r w:rsidR="005C5EFD" w:rsidRPr="00F741FE">
        <w:t xml:space="preserve"> or (4)</w:t>
      </w:r>
      <w:r w:rsidR="00771F8E">
        <w:t xml:space="preserve"> </w:t>
      </w:r>
      <w:r w:rsidR="009C1E8E">
        <w:t xml:space="preserve">in relation to each applicable industry standard </w:t>
      </w:r>
      <w:proofErr w:type="gramStart"/>
      <w:r w:rsidR="00771F8E">
        <w:t>in order to</w:t>
      </w:r>
      <w:proofErr w:type="gramEnd"/>
      <w:r w:rsidR="00771F8E">
        <w:t xml:space="preserve"> comply with this standard</w:t>
      </w:r>
      <w:r w:rsidRPr="00442619">
        <w:t>.</w:t>
      </w:r>
    </w:p>
    <w:p w14:paraId="49EA8C20" w14:textId="77777777" w:rsidR="00442619" w:rsidRPr="00442619" w:rsidRDefault="00D71B24" w:rsidP="00442619">
      <w:pPr>
        <w:pStyle w:val="ActHead5"/>
      </w:pPr>
      <w:proofErr w:type="gramStart"/>
      <w:r w:rsidRPr="00E53EBA">
        <w:rPr>
          <w:rStyle w:val="CharSectno"/>
        </w:rPr>
        <w:t>1</w:t>
      </w:r>
      <w:r w:rsidR="00F84C77" w:rsidRPr="00E53EBA">
        <w:rPr>
          <w:rStyle w:val="CharSectno"/>
        </w:rPr>
        <w:t>5</w:t>
      </w:r>
      <w:r w:rsidR="00442619" w:rsidRPr="00442619">
        <w:t xml:space="preserve">  Standard</w:t>
      </w:r>
      <w:proofErr w:type="gramEnd"/>
      <w:r w:rsidR="00442619" w:rsidRPr="00442619">
        <w:t xml:space="preserve"> for </w:t>
      </w:r>
      <w:r w:rsidR="00BB0CC7">
        <w:t>items</w:t>
      </w:r>
    </w:p>
    <w:p w14:paraId="460E7540" w14:textId="77777777" w:rsidR="005F7398" w:rsidRDefault="003975E6" w:rsidP="003975E6">
      <w:pPr>
        <w:pStyle w:val="subsection"/>
      </w:pPr>
      <w:r w:rsidRPr="00B06AC4">
        <w:tab/>
      </w:r>
      <w:r w:rsidR="00F84C77">
        <w:t>(1</w:t>
      </w:r>
      <w:r>
        <w:t>)</w:t>
      </w:r>
      <w:r>
        <w:tab/>
      </w:r>
      <w:r w:rsidR="00442619" w:rsidRPr="00442619">
        <w:t>If</w:t>
      </w:r>
      <w:r w:rsidR="005F7398">
        <w:t>:</w:t>
      </w:r>
    </w:p>
    <w:p w14:paraId="33B4F8FC" w14:textId="77777777" w:rsidR="005F7398" w:rsidRDefault="005F7398" w:rsidP="005F7398">
      <w:pPr>
        <w:pStyle w:val="paragraph"/>
      </w:pPr>
      <w:r>
        <w:tab/>
        <w:t>(a</w:t>
      </w:r>
      <w:r w:rsidRPr="00B06AC4">
        <w:t>)</w:t>
      </w:r>
      <w:r w:rsidRPr="00B06AC4">
        <w:tab/>
      </w:r>
      <w:r>
        <w:t>a relevant date for an item does not occur</w:t>
      </w:r>
      <w:r w:rsidRPr="00F30151">
        <w:t xml:space="preserve"> during a</w:t>
      </w:r>
      <w:r w:rsidR="005067F2">
        <w:t xml:space="preserve"> </w:t>
      </w:r>
      <w:r w:rsidRPr="00F30151">
        <w:t>transition period</w:t>
      </w:r>
      <w:r w:rsidR="00266003">
        <w:t xml:space="preserve"> in relation to an applicable industry standard</w:t>
      </w:r>
      <w:r w:rsidRPr="00F30151">
        <w:t>; and</w:t>
      </w:r>
    </w:p>
    <w:p w14:paraId="40C0A221" w14:textId="77777777" w:rsidR="005F7398" w:rsidRDefault="005F7398" w:rsidP="005F7398">
      <w:pPr>
        <w:pStyle w:val="paragraph"/>
        <w:rPr>
          <w:szCs w:val="22"/>
        </w:rPr>
      </w:pPr>
      <w:r>
        <w:tab/>
        <w:t>(b</w:t>
      </w:r>
      <w:r w:rsidRPr="00B06AC4">
        <w:t>)</w:t>
      </w:r>
      <w:r w:rsidRPr="00B06AC4">
        <w:tab/>
      </w:r>
      <w:r>
        <w:t>the</w:t>
      </w:r>
      <w:r w:rsidRPr="000C5EFE">
        <w:rPr>
          <w:szCs w:val="22"/>
        </w:rPr>
        <w:t xml:space="preserve"> </w:t>
      </w:r>
      <w:r w:rsidR="00BB0CC7" w:rsidRPr="000C5EFE">
        <w:rPr>
          <w:szCs w:val="22"/>
        </w:rPr>
        <w:t>item</w:t>
      </w:r>
      <w:r w:rsidR="00442619" w:rsidRPr="00442619">
        <w:rPr>
          <w:szCs w:val="22"/>
        </w:rPr>
        <w:t xml:space="preserve"> complies with </w:t>
      </w:r>
      <w:r w:rsidR="00266003">
        <w:rPr>
          <w:szCs w:val="22"/>
        </w:rPr>
        <w:t>the</w:t>
      </w:r>
      <w:r w:rsidR="009C1E8E">
        <w:rPr>
          <w:szCs w:val="22"/>
        </w:rPr>
        <w:t xml:space="preserve"> applicable</w:t>
      </w:r>
      <w:r w:rsidR="00DA3A33">
        <w:rPr>
          <w:szCs w:val="22"/>
        </w:rPr>
        <w:t xml:space="preserve"> </w:t>
      </w:r>
      <w:r w:rsidR="009C1E8E" w:rsidRPr="000C5EFE">
        <w:rPr>
          <w:szCs w:val="22"/>
        </w:rPr>
        <w:t>industry standard</w:t>
      </w:r>
      <w:r w:rsidR="00B273FF">
        <w:rPr>
          <w:szCs w:val="22"/>
        </w:rPr>
        <w:t xml:space="preserve"> as in force at </w:t>
      </w:r>
      <w:r w:rsidR="003C4089">
        <w:rPr>
          <w:szCs w:val="22"/>
        </w:rPr>
        <w:t>the relevant</w:t>
      </w:r>
      <w:r w:rsidR="00B273FF">
        <w:rPr>
          <w:szCs w:val="22"/>
        </w:rPr>
        <w:t xml:space="preserve"> </w:t>
      </w:r>
      <w:r w:rsidR="009574D4">
        <w:rPr>
          <w:szCs w:val="22"/>
        </w:rPr>
        <w:t>date</w:t>
      </w:r>
      <w:r w:rsidR="008C7AC5">
        <w:rPr>
          <w:szCs w:val="22"/>
        </w:rPr>
        <w:t xml:space="preserve"> (with the modifications specified in Schedule 1)</w:t>
      </w:r>
      <w:r>
        <w:rPr>
          <w:szCs w:val="22"/>
        </w:rPr>
        <w:t>;</w:t>
      </w:r>
      <w:r w:rsidR="00442619" w:rsidRPr="00442619">
        <w:rPr>
          <w:szCs w:val="22"/>
        </w:rPr>
        <w:t xml:space="preserve"> </w:t>
      </w:r>
    </w:p>
    <w:p w14:paraId="3918A9E0" w14:textId="77777777" w:rsidR="005F7398" w:rsidRDefault="005F7398" w:rsidP="005F7398">
      <w:pPr>
        <w:pStyle w:val="paragraph"/>
        <w:tabs>
          <w:tab w:val="clear" w:pos="1531"/>
          <w:tab w:val="right" w:pos="993"/>
        </w:tabs>
        <w:ind w:left="1134" w:hanging="1134"/>
      </w:pPr>
      <w:r>
        <w:tab/>
      </w:r>
      <w:r>
        <w:tab/>
        <w:t>the item meets the requirements of this subsection</w:t>
      </w:r>
      <w:r w:rsidR="009C1E8E">
        <w:t xml:space="preserve"> </w:t>
      </w:r>
      <w:r w:rsidR="00301DC5">
        <w:t>in relation to that</w:t>
      </w:r>
      <w:r w:rsidR="009C1E8E">
        <w:t xml:space="preserve"> standard</w:t>
      </w:r>
      <w:r w:rsidRPr="00B06AC4">
        <w:t>.</w:t>
      </w:r>
    </w:p>
    <w:p w14:paraId="0239C0B5" w14:textId="77777777" w:rsidR="001357D2" w:rsidRPr="00B06AC4" w:rsidRDefault="001357D2" w:rsidP="001357D2">
      <w:pPr>
        <w:pStyle w:val="subsection"/>
      </w:pPr>
      <w:r w:rsidRPr="00B06AC4">
        <w:tab/>
      </w:r>
      <w:r>
        <w:t>(</w:t>
      </w:r>
      <w:r w:rsidR="00F84C77">
        <w:t>2</w:t>
      </w:r>
      <w:r>
        <w:t>)</w:t>
      </w:r>
      <w:r>
        <w:tab/>
      </w:r>
      <w:r w:rsidRPr="002B0B0E">
        <w:t>If</w:t>
      </w:r>
      <w:r>
        <w:t>:</w:t>
      </w:r>
    </w:p>
    <w:p w14:paraId="7CA29A6B" w14:textId="77777777" w:rsidR="001357D2" w:rsidRDefault="001357D2" w:rsidP="001357D2">
      <w:pPr>
        <w:pStyle w:val="paragraph"/>
      </w:pPr>
      <w:r>
        <w:tab/>
        <w:t>(a</w:t>
      </w:r>
      <w:r w:rsidRPr="00B06AC4">
        <w:t>)</w:t>
      </w:r>
      <w:r w:rsidRPr="00B06AC4">
        <w:tab/>
      </w:r>
      <w:r w:rsidR="00407A4E">
        <w:t>a</w:t>
      </w:r>
      <w:r w:rsidR="00B273FF">
        <w:t xml:space="preserve"> relevant </w:t>
      </w:r>
      <w:r w:rsidR="009574D4">
        <w:t>date</w:t>
      </w:r>
      <w:r w:rsidR="00B273FF">
        <w:t xml:space="preserve"> for an item occurs</w:t>
      </w:r>
      <w:r w:rsidRPr="00F30151">
        <w:t xml:space="preserve"> during a transition period</w:t>
      </w:r>
      <w:r w:rsidR="00CB667D">
        <w:t xml:space="preserve"> in relation to an applicable industry standard</w:t>
      </w:r>
      <w:r w:rsidRPr="00F30151">
        <w:t>; and</w:t>
      </w:r>
    </w:p>
    <w:p w14:paraId="050B03B2" w14:textId="77777777" w:rsidR="001357D2" w:rsidRPr="00B06AC4" w:rsidRDefault="001357D2" w:rsidP="001357D2">
      <w:pPr>
        <w:pStyle w:val="paragraph"/>
      </w:pPr>
      <w:r>
        <w:tab/>
        <w:t>(b</w:t>
      </w:r>
      <w:r w:rsidRPr="00B06AC4">
        <w:t>)</w:t>
      </w:r>
      <w:r w:rsidRPr="00B06AC4">
        <w:tab/>
      </w:r>
      <w:r w:rsidR="00B273FF">
        <w:t xml:space="preserve">the item </w:t>
      </w:r>
      <w:r>
        <w:t>complies with</w:t>
      </w:r>
      <w:r w:rsidRPr="00B06AC4">
        <w:t>:</w:t>
      </w:r>
    </w:p>
    <w:p w14:paraId="129981C8" w14:textId="60BE8DE8" w:rsidR="001357D2" w:rsidRPr="00B06AC4" w:rsidRDefault="001357D2" w:rsidP="001357D2">
      <w:pPr>
        <w:pStyle w:val="paragraphsub"/>
      </w:pPr>
      <w:r w:rsidRPr="00B06AC4">
        <w:tab/>
        <w:t>(</w:t>
      </w:r>
      <w:r>
        <w:t>i)</w:t>
      </w:r>
      <w:r>
        <w:tab/>
      </w:r>
      <w:r w:rsidR="00CB667D">
        <w:t>the</w:t>
      </w:r>
      <w:r w:rsidR="009C1E8E">
        <w:t xml:space="preserve"> applicable</w:t>
      </w:r>
      <w:r w:rsidRPr="002B0B0E">
        <w:t xml:space="preserve"> </w:t>
      </w:r>
      <w:r w:rsidR="009C1E8E">
        <w:t>industry standard</w:t>
      </w:r>
      <w:r>
        <w:rPr>
          <w:i/>
        </w:rPr>
        <w:t xml:space="preserve"> </w:t>
      </w:r>
      <w:r w:rsidRPr="002B0B0E">
        <w:t>as in force</w:t>
      </w:r>
      <w:r>
        <w:t xml:space="preserve"> immediately before the commencement of the transition period</w:t>
      </w:r>
      <w:r w:rsidR="006D2D73">
        <w:t xml:space="preserve"> (with the modifications specified in Schedule 1)</w:t>
      </w:r>
      <w:r>
        <w:t xml:space="preserve">; </w:t>
      </w:r>
      <w:r w:rsidR="007B5BAD">
        <w:t>or</w:t>
      </w:r>
    </w:p>
    <w:p w14:paraId="26149F63" w14:textId="77777777" w:rsidR="00F83ABB" w:rsidRDefault="001357D2" w:rsidP="001357D2">
      <w:pPr>
        <w:pStyle w:val="paragraphsub"/>
      </w:pPr>
      <w:r w:rsidRPr="00B06AC4">
        <w:tab/>
        <w:t>(ii</w:t>
      </w:r>
      <w:r>
        <w:t>)</w:t>
      </w:r>
      <w:r>
        <w:tab/>
      </w:r>
      <w:r w:rsidRPr="002B0B0E">
        <w:t xml:space="preserve">the </w:t>
      </w:r>
      <w:r w:rsidR="009C1E8E">
        <w:t>applicable industry standard</w:t>
      </w:r>
      <w:r w:rsidRPr="002B0B0E">
        <w:t xml:space="preserve"> as in force</w:t>
      </w:r>
      <w:r>
        <w:t xml:space="preserve"> at the commencement of the transition period</w:t>
      </w:r>
      <w:r w:rsidR="006D2D73">
        <w:t xml:space="preserve"> (with the modifications specified in Schedule 1)</w:t>
      </w:r>
      <w:r>
        <w:t>;</w:t>
      </w:r>
      <w:r w:rsidR="00F83ABB">
        <w:t xml:space="preserve"> or</w:t>
      </w:r>
    </w:p>
    <w:p w14:paraId="0033689E" w14:textId="77777777" w:rsidR="001357D2" w:rsidRPr="00B06AC4" w:rsidRDefault="00F83ABB" w:rsidP="00F83ABB">
      <w:pPr>
        <w:pStyle w:val="paragraphsub"/>
      </w:pPr>
      <w:r w:rsidRPr="00B06AC4">
        <w:tab/>
        <w:t>(ii</w:t>
      </w:r>
      <w:r w:rsidR="00650389">
        <w:t>i</w:t>
      </w:r>
      <w:r>
        <w:t>)</w:t>
      </w:r>
      <w:r>
        <w:tab/>
        <w:t>a replacement standard</w:t>
      </w:r>
      <w:r w:rsidRPr="002B0B0E">
        <w:t xml:space="preserve"> as in force</w:t>
      </w:r>
      <w:r>
        <w:t xml:space="preserve"> at the commencement of the transition period;</w:t>
      </w:r>
    </w:p>
    <w:p w14:paraId="4F412C18" w14:textId="7C54F642" w:rsidR="001357D2" w:rsidRDefault="001357D2" w:rsidP="001357D2">
      <w:pPr>
        <w:pStyle w:val="paragraph"/>
        <w:tabs>
          <w:tab w:val="clear" w:pos="1531"/>
          <w:tab w:val="right" w:pos="993"/>
        </w:tabs>
        <w:ind w:left="1134" w:hanging="1134"/>
      </w:pPr>
      <w:r>
        <w:tab/>
      </w:r>
      <w:r>
        <w:tab/>
        <w:t>the item meets the requirements of this subsection</w:t>
      </w:r>
      <w:r w:rsidR="009C1E8E">
        <w:t xml:space="preserve"> in relation to th</w:t>
      </w:r>
      <w:r w:rsidR="00301DC5">
        <w:t>at</w:t>
      </w:r>
      <w:r w:rsidR="009C1E8E">
        <w:t xml:space="preserve"> </w:t>
      </w:r>
      <w:r w:rsidR="00306E8E">
        <w:t>applicable</w:t>
      </w:r>
      <w:r w:rsidR="00B207C8">
        <w:t xml:space="preserve"> industry</w:t>
      </w:r>
      <w:r w:rsidR="00306E8E">
        <w:t xml:space="preserve"> </w:t>
      </w:r>
      <w:r w:rsidR="009C1E8E">
        <w:t>standard</w:t>
      </w:r>
      <w:r w:rsidRPr="00B06AC4">
        <w:t>.</w:t>
      </w:r>
    </w:p>
    <w:p w14:paraId="1245857E" w14:textId="77777777" w:rsidR="00733337" w:rsidRPr="00B06AC4" w:rsidRDefault="00733337" w:rsidP="00733337">
      <w:pPr>
        <w:pStyle w:val="subsection"/>
      </w:pPr>
      <w:r w:rsidRPr="00B06AC4">
        <w:tab/>
      </w:r>
      <w:r>
        <w:t>(</w:t>
      </w:r>
      <w:r w:rsidR="00F84C77">
        <w:t>3</w:t>
      </w:r>
      <w:r>
        <w:t>)</w:t>
      </w:r>
      <w:r>
        <w:tab/>
      </w:r>
      <w:r w:rsidRPr="002B0B0E">
        <w:t>If</w:t>
      </w:r>
      <w:r>
        <w:t>:</w:t>
      </w:r>
    </w:p>
    <w:p w14:paraId="101EDC70" w14:textId="77777777" w:rsidR="00733337" w:rsidRPr="00B06AC4" w:rsidRDefault="00733337" w:rsidP="00733337">
      <w:pPr>
        <w:pStyle w:val="paragraph"/>
      </w:pPr>
      <w:r w:rsidRPr="00B06AC4">
        <w:tab/>
        <w:t>(a)</w:t>
      </w:r>
      <w:r w:rsidRPr="00B06AC4">
        <w:tab/>
      </w:r>
      <w:r>
        <w:t>a</w:t>
      </w:r>
      <w:r w:rsidR="005067F2">
        <w:t xml:space="preserve"> </w:t>
      </w:r>
      <w:r>
        <w:t>transition</w:t>
      </w:r>
      <w:r w:rsidR="00F151E6">
        <w:t xml:space="preserve"> period overlaps with another </w:t>
      </w:r>
      <w:r>
        <w:t>transition period</w:t>
      </w:r>
      <w:r w:rsidR="00CB667D">
        <w:t xml:space="preserve"> in relation to an applicable industry standard</w:t>
      </w:r>
      <w:r w:rsidRPr="002B0B0E">
        <w:t xml:space="preserve">; </w:t>
      </w:r>
    </w:p>
    <w:p w14:paraId="0AFB67DE" w14:textId="77777777" w:rsidR="00733337" w:rsidRDefault="00733337" w:rsidP="00733337">
      <w:pPr>
        <w:pStyle w:val="paragraph"/>
      </w:pPr>
      <w:r w:rsidRPr="00B06AC4">
        <w:tab/>
        <w:t>(b)</w:t>
      </w:r>
      <w:r w:rsidRPr="00B06AC4">
        <w:tab/>
      </w:r>
      <w:r w:rsidR="00C94FE9">
        <w:t>a</w:t>
      </w:r>
      <w:r w:rsidR="00B273FF">
        <w:t xml:space="preserve"> relevant </w:t>
      </w:r>
      <w:r w:rsidR="009574D4">
        <w:t>date</w:t>
      </w:r>
      <w:r w:rsidR="00B273FF">
        <w:t xml:space="preserve"> for an item occurs</w:t>
      </w:r>
      <w:r>
        <w:t xml:space="preserve"> during the period of overlap; and</w:t>
      </w:r>
    </w:p>
    <w:p w14:paraId="69CC6572" w14:textId="77777777" w:rsidR="00733337" w:rsidRPr="00B06AC4" w:rsidRDefault="00733337" w:rsidP="00733337">
      <w:pPr>
        <w:pStyle w:val="paragraph"/>
      </w:pPr>
      <w:r>
        <w:tab/>
        <w:t>(c</w:t>
      </w:r>
      <w:r w:rsidRPr="00B06AC4">
        <w:t>)</w:t>
      </w:r>
      <w:r w:rsidRPr="00B06AC4">
        <w:tab/>
      </w:r>
      <w:r>
        <w:t>the item complies with</w:t>
      </w:r>
      <w:r w:rsidRPr="00B06AC4">
        <w:t>:</w:t>
      </w:r>
    </w:p>
    <w:p w14:paraId="615CB049" w14:textId="7A351CAF" w:rsidR="003C405B" w:rsidRDefault="00733337" w:rsidP="00733337">
      <w:pPr>
        <w:pStyle w:val="paragraphsub"/>
      </w:pPr>
      <w:r w:rsidRPr="00B06AC4">
        <w:tab/>
        <w:t>(</w:t>
      </w:r>
      <w:r>
        <w:t>i)</w:t>
      </w:r>
      <w:r>
        <w:tab/>
      </w:r>
      <w:r w:rsidR="00CB667D">
        <w:t>the</w:t>
      </w:r>
      <w:r w:rsidR="00AB7E4D">
        <w:t xml:space="preserve"> applicable</w:t>
      </w:r>
      <w:r w:rsidRPr="002B0B0E">
        <w:t xml:space="preserve"> </w:t>
      </w:r>
      <w:r w:rsidR="00AB7E4D">
        <w:t>industry standard</w:t>
      </w:r>
      <w:r>
        <w:rPr>
          <w:i/>
        </w:rPr>
        <w:t xml:space="preserve"> </w:t>
      </w:r>
      <w:r w:rsidRPr="002B0B0E">
        <w:t>as in force</w:t>
      </w:r>
      <w:r>
        <w:t xml:space="preserve"> immediately before the commencement of the earliest of those transition period</w:t>
      </w:r>
      <w:r w:rsidR="001357D2">
        <w:t>s</w:t>
      </w:r>
      <w:r w:rsidR="006D2D73">
        <w:t xml:space="preserve"> (with the modifications specified in Schedule 1)</w:t>
      </w:r>
      <w:r>
        <w:t xml:space="preserve">; </w:t>
      </w:r>
      <w:r w:rsidR="00B207C8">
        <w:t>or</w:t>
      </w:r>
    </w:p>
    <w:p w14:paraId="3BE3D39C" w14:textId="77777777" w:rsidR="00475D1C" w:rsidRDefault="00475D1C" w:rsidP="00475D1C">
      <w:pPr>
        <w:pStyle w:val="paragraphsub"/>
      </w:pPr>
      <w:r w:rsidRPr="00B06AC4">
        <w:tab/>
        <w:t>(ii</w:t>
      </w:r>
      <w:r>
        <w:t>)</w:t>
      </w:r>
      <w:r>
        <w:tab/>
      </w:r>
      <w:r w:rsidRPr="002B0B0E">
        <w:t>the</w:t>
      </w:r>
      <w:r w:rsidR="00AB7E4D">
        <w:t xml:space="preserve"> applicable</w:t>
      </w:r>
      <w:r w:rsidRPr="002B0B0E">
        <w:t xml:space="preserve"> </w:t>
      </w:r>
      <w:r w:rsidR="00AB7E4D">
        <w:t>industry standard</w:t>
      </w:r>
      <w:r w:rsidRPr="002B0B0E">
        <w:t xml:space="preserve"> as in force</w:t>
      </w:r>
      <w:r>
        <w:t xml:space="preserve"> at the commencement of any one of those transition periods</w:t>
      </w:r>
      <w:r w:rsidR="006D2D73">
        <w:t xml:space="preserve"> (with the modifications specified in Schedule 1)</w:t>
      </w:r>
      <w:r>
        <w:t>;</w:t>
      </w:r>
      <w:r w:rsidR="00F83ABB">
        <w:t xml:space="preserve"> or</w:t>
      </w:r>
      <w:r>
        <w:t xml:space="preserve"> </w:t>
      </w:r>
    </w:p>
    <w:p w14:paraId="2E39E183" w14:textId="77777777" w:rsidR="00F83ABB" w:rsidRPr="00B06AC4" w:rsidRDefault="00F83ABB" w:rsidP="00F83ABB">
      <w:pPr>
        <w:pStyle w:val="paragraphsub"/>
      </w:pPr>
      <w:r w:rsidRPr="00B06AC4">
        <w:tab/>
        <w:t>(</w:t>
      </w:r>
      <w:r>
        <w:t>i</w:t>
      </w:r>
      <w:r w:rsidRPr="00B06AC4">
        <w:t>ii</w:t>
      </w:r>
      <w:r>
        <w:t>)</w:t>
      </w:r>
      <w:r>
        <w:tab/>
        <w:t>a replacement standard</w:t>
      </w:r>
      <w:r w:rsidRPr="002B0B0E">
        <w:t xml:space="preserve"> as in force</w:t>
      </w:r>
      <w:r>
        <w:t xml:space="preserve"> at the commencement of the transition period</w:t>
      </w:r>
      <w:r w:rsidR="00B6619C">
        <w:t xml:space="preserve"> </w:t>
      </w:r>
      <w:r w:rsidR="00346247">
        <w:t>for that replacement of the applicable industry standard</w:t>
      </w:r>
      <w:r>
        <w:t xml:space="preserve">; </w:t>
      </w:r>
    </w:p>
    <w:p w14:paraId="7D8D3042" w14:textId="77777777" w:rsidR="00301DC5" w:rsidRDefault="00475D1C" w:rsidP="006B660B">
      <w:pPr>
        <w:pStyle w:val="paragraph"/>
        <w:tabs>
          <w:tab w:val="clear" w:pos="1531"/>
          <w:tab w:val="right" w:pos="993"/>
        </w:tabs>
        <w:ind w:left="1134" w:hanging="1134"/>
      </w:pPr>
      <w:r>
        <w:tab/>
      </w:r>
      <w:r>
        <w:tab/>
        <w:t>the item meets the requirements of this subsection</w:t>
      </w:r>
      <w:r w:rsidR="00AB7E4D">
        <w:t xml:space="preserve"> in relation to th</w:t>
      </w:r>
      <w:r w:rsidR="00301DC5">
        <w:t>at</w:t>
      </w:r>
      <w:r w:rsidR="00AB7E4D">
        <w:t xml:space="preserve"> </w:t>
      </w:r>
      <w:r w:rsidR="009F4ABE">
        <w:t xml:space="preserve">applicable industry </w:t>
      </w:r>
      <w:r w:rsidR="00AB7E4D">
        <w:t>standard</w:t>
      </w:r>
      <w:r w:rsidRPr="00B06AC4">
        <w:t>.</w:t>
      </w:r>
    </w:p>
    <w:p w14:paraId="2C8153BB" w14:textId="77777777" w:rsidR="005C5EFD" w:rsidRDefault="005C5EFD" w:rsidP="00FC24FC">
      <w:pPr>
        <w:pStyle w:val="subsection"/>
        <w:keepNext/>
        <w:keepLines/>
      </w:pPr>
      <w:r>
        <w:lastRenderedPageBreak/>
        <w:tab/>
        <w:t>(4)</w:t>
      </w:r>
      <w:r>
        <w:tab/>
      </w:r>
      <w:r w:rsidRPr="00442619">
        <w:t>If</w:t>
      </w:r>
      <w:r>
        <w:t>:</w:t>
      </w:r>
    </w:p>
    <w:p w14:paraId="7875FB3B" w14:textId="77777777" w:rsidR="005C5EFD" w:rsidRDefault="005C5EFD" w:rsidP="00FC24FC">
      <w:pPr>
        <w:pStyle w:val="paragraph"/>
        <w:keepNext/>
        <w:keepLines/>
      </w:pPr>
      <w:r>
        <w:tab/>
        <w:t>(a</w:t>
      </w:r>
      <w:r w:rsidRPr="00B06AC4">
        <w:t>)</w:t>
      </w:r>
      <w:r w:rsidRPr="00B06AC4">
        <w:tab/>
      </w:r>
      <w:r>
        <w:t>a relevant date for an item occurs after</w:t>
      </w:r>
      <w:r w:rsidRPr="00F30151">
        <w:t xml:space="preserve"> a transition period</w:t>
      </w:r>
      <w:r w:rsidR="00D90DDD">
        <w:t xml:space="preserve"> </w:t>
      </w:r>
      <w:r w:rsidR="00346247">
        <w:t>for the replacement of</w:t>
      </w:r>
      <w:r w:rsidR="00D90DDD">
        <w:t xml:space="preserve"> an applicable industry standard</w:t>
      </w:r>
      <w:r>
        <w:t>; and</w:t>
      </w:r>
    </w:p>
    <w:p w14:paraId="6133FF84" w14:textId="77777777" w:rsidR="005C5EFD" w:rsidRDefault="005C5EFD" w:rsidP="00FC24FC">
      <w:pPr>
        <w:pStyle w:val="paragraph"/>
        <w:keepNext/>
        <w:keepLines/>
        <w:rPr>
          <w:szCs w:val="22"/>
        </w:rPr>
      </w:pPr>
      <w:r>
        <w:tab/>
        <w:t>(b</w:t>
      </w:r>
      <w:r w:rsidRPr="00B06AC4">
        <w:t>)</w:t>
      </w:r>
      <w:r w:rsidRPr="00B06AC4">
        <w:tab/>
      </w:r>
      <w:r>
        <w:t>the item</w:t>
      </w:r>
      <w:r w:rsidRPr="00442619">
        <w:rPr>
          <w:szCs w:val="22"/>
        </w:rPr>
        <w:t xml:space="preserve"> complies with</w:t>
      </w:r>
      <w:r>
        <w:rPr>
          <w:szCs w:val="22"/>
        </w:rPr>
        <w:t xml:space="preserve"> the replacement standard as in force at the commencement of the transition period; </w:t>
      </w:r>
      <w:r w:rsidRPr="00442619">
        <w:rPr>
          <w:szCs w:val="22"/>
        </w:rPr>
        <w:t xml:space="preserve"> </w:t>
      </w:r>
    </w:p>
    <w:p w14:paraId="22DE592D" w14:textId="77777777" w:rsidR="005C5EFD" w:rsidRDefault="005C5EFD" w:rsidP="00FC24FC">
      <w:pPr>
        <w:pStyle w:val="paragraph"/>
        <w:keepNext/>
        <w:keepLines/>
        <w:tabs>
          <w:tab w:val="clear" w:pos="1531"/>
          <w:tab w:val="right" w:pos="993"/>
        </w:tabs>
        <w:ind w:left="1134" w:hanging="1134"/>
      </w:pPr>
      <w:r>
        <w:tab/>
      </w:r>
      <w:r>
        <w:tab/>
        <w:t xml:space="preserve">the item meets the requirements of this subsection in relation to that </w:t>
      </w:r>
      <w:r w:rsidR="00461601">
        <w:t xml:space="preserve">applicable industry </w:t>
      </w:r>
      <w:r>
        <w:t>standard</w:t>
      </w:r>
      <w:r w:rsidRPr="00B06AC4">
        <w:t>.</w:t>
      </w:r>
    </w:p>
    <w:p w14:paraId="470FCE3E" w14:textId="77777777" w:rsidR="00301DC5" w:rsidRDefault="00301DC5" w:rsidP="00FC24FC">
      <w:pPr>
        <w:pStyle w:val="notetext"/>
        <w:keepNext/>
        <w:keepLines/>
      </w:pPr>
      <w:r>
        <w:t>Note</w:t>
      </w:r>
      <w:r w:rsidR="00BA38B0">
        <w:t xml:space="preserve"> 1</w:t>
      </w:r>
      <w:r>
        <w:t>:</w:t>
      </w:r>
      <w:r>
        <w:tab/>
        <w:t>An item, in the case mentioned in each subsection, meets the requirements of the subsection in relation to the applicable industry standard, irrespective of whether there is another relevant date for the item or when that date occurs.</w:t>
      </w:r>
    </w:p>
    <w:p w14:paraId="4467F185" w14:textId="77777777" w:rsidR="00BA38B0" w:rsidRDefault="00BA38B0" w:rsidP="00FC24FC">
      <w:pPr>
        <w:pStyle w:val="notetext"/>
        <w:keepNext/>
        <w:keepLines/>
      </w:pPr>
      <w:r>
        <w:t>Note 2:</w:t>
      </w:r>
      <w:r>
        <w:tab/>
      </w:r>
      <w:r w:rsidR="00537618">
        <w:t xml:space="preserve">Part 4 sets out savings and transitional arrangements whereby an </w:t>
      </w:r>
      <w:r w:rsidR="006212B6">
        <w:t xml:space="preserve">item </w:t>
      </w:r>
      <w:r w:rsidR="00537618">
        <w:t xml:space="preserve">may be taken to comply with relevant requirements in these subsections in certain circumstances. </w:t>
      </w:r>
    </w:p>
    <w:p w14:paraId="62A962B7" w14:textId="77777777" w:rsidR="00301DC5" w:rsidRPr="00E53EBA" w:rsidRDefault="00301DC5" w:rsidP="00E53EBA"/>
    <w:bookmarkEnd w:id="10"/>
    <w:p w14:paraId="173CF9CC" w14:textId="77777777" w:rsidR="00B06AC4" w:rsidRPr="00E53EBA" w:rsidRDefault="00475D1C" w:rsidP="00FC24FC">
      <w:pPr>
        <w:keepNext/>
        <w:keepLines/>
        <w:spacing w:after="0" w:line="240" w:lineRule="auto"/>
        <w:rPr>
          <w:rFonts w:ascii="Times New Roman" w:hAnsi="Times New Roman" w:cs="Times New Roman"/>
          <w:b/>
          <w:sz w:val="32"/>
          <w:szCs w:val="32"/>
        </w:rPr>
      </w:pPr>
      <w:r w:rsidRPr="00E53EBA">
        <w:rPr>
          <w:rFonts w:ascii="Times New Roman" w:hAnsi="Times New Roman" w:cs="Times New Roman"/>
          <w:b/>
          <w:sz w:val="32"/>
          <w:szCs w:val="32"/>
        </w:rPr>
        <w:t>P</w:t>
      </w:r>
      <w:r w:rsidR="00B06AC4" w:rsidRPr="00E53EBA">
        <w:rPr>
          <w:rFonts w:ascii="Times New Roman" w:hAnsi="Times New Roman" w:cs="Times New Roman"/>
          <w:b/>
          <w:sz w:val="32"/>
          <w:szCs w:val="32"/>
        </w:rPr>
        <w:t>art 4—Savings and transitional arrangements</w:t>
      </w:r>
    </w:p>
    <w:p w14:paraId="1947CF7E" w14:textId="77777777" w:rsidR="00B918EC" w:rsidRPr="00B06AC4" w:rsidRDefault="00B918EC" w:rsidP="00B918EC">
      <w:pPr>
        <w:pStyle w:val="ActHead5"/>
      </w:pPr>
      <w:proofErr w:type="gramStart"/>
      <w:r w:rsidRPr="00E53EBA">
        <w:rPr>
          <w:rStyle w:val="CharSectno"/>
        </w:rPr>
        <w:t>1</w:t>
      </w:r>
      <w:r w:rsidR="00F84C77" w:rsidRPr="00E53EBA">
        <w:rPr>
          <w:rStyle w:val="CharSectno"/>
        </w:rPr>
        <w:t>6</w:t>
      </w:r>
      <w:r>
        <w:t xml:space="preserve">  Items</w:t>
      </w:r>
      <w:proofErr w:type="gramEnd"/>
      <w:r w:rsidRPr="00994476">
        <w:t xml:space="preserve"> </w:t>
      </w:r>
      <w:r>
        <w:t xml:space="preserve">for which relevant </w:t>
      </w:r>
      <w:r w:rsidR="009574D4">
        <w:t>date</w:t>
      </w:r>
      <w:r>
        <w:t xml:space="preserve"> occurred before </w:t>
      </w:r>
      <w:r w:rsidRPr="00994476">
        <w:t>commencement</w:t>
      </w:r>
      <w:r>
        <w:t xml:space="preserve"> day</w:t>
      </w:r>
    </w:p>
    <w:p w14:paraId="72EFDA14" w14:textId="77777777" w:rsidR="00A17FD4" w:rsidRPr="00B06AC4" w:rsidRDefault="00A17FD4" w:rsidP="00A17FD4">
      <w:pPr>
        <w:pStyle w:val="subsection"/>
      </w:pPr>
      <w:r>
        <w:tab/>
      </w:r>
      <w:r w:rsidRPr="00B06AC4">
        <w:tab/>
      </w:r>
      <w:r w:rsidRPr="002B0B0E">
        <w:t>If</w:t>
      </w:r>
      <w:r w:rsidRPr="00B06AC4">
        <w:t>:</w:t>
      </w:r>
    </w:p>
    <w:p w14:paraId="768E3224" w14:textId="77777777" w:rsidR="00A17FD4" w:rsidRPr="00B06AC4" w:rsidRDefault="00A17FD4" w:rsidP="00A17FD4">
      <w:pPr>
        <w:pStyle w:val="paragraph"/>
      </w:pPr>
      <w:r w:rsidRPr="00B06AC4">
        <w:tab/>
        <w:t>(a)</w:t>
      </w:r>
      <w:r w:rsidRPr="00B06AC4">
        <w:tab/>
      </w:r>
      <w:r>
        <w:t xml:space="preserve">a relevant </w:t>
      </w:r>
      <w:r w:rsidR="009574D4">
        <w:t>date</w:t>
      </w:r>
      <w:r>
        <w:t xml:space="preserve"> for an item occurred</w:t>
      </w:r>
      <w:r w:rsidRPr="002B0B0E">
        <w:t xml:space="preserve"> before the</w:t>
      </w:r>
      <w:r>
        <w:t xml:space="preserve"> commencement day; and</w:t>
      </w:r>
    </w:p>
    <w:p w14:paraId="4826791A" w14:textId="77777777" w:rsidR="00A17FD4" w:rsidRDefault="00A17FD4" w:rsidP="00A17FD4">
      <w:pPr>
        <w:pStyle w:val="paragraph"/>
      </w:pPr>
      <w:r w:rsidRPr="00B06AC4">
        <w:tab/>
        <w:t>(b)</w:t>
      </w:r>
      <w:r w:rsidRPr="00B06AC4">
        <w:tab/>
      </w:r>
      <w:r>
        <w:t>the item complies</w:t>
      </w:r>
      <w:r w:rsidRPr="00E32177">
        <w:t xml:space="preserve"> </w:t>
      </w:r>
      <w:r w:rsidRPr="002B0B0E">
        <w:t xml:space="preserve">with the </w:t>
      </w:r>
      <w:r w:rsidR="00154811">
        <w:rPr>
          <w:i/>
        </w:rPr>
        <w:t xml:space="preserve">Radiocommunications (VHF Radiotelephone Equipment – </w:t>
      </w:r>
      <w:r w:rsidR="001310F3">
        <w:rPr>
          <w:i/>
        </w:rPr>
        <w:t xml:space="preserve">Maritime </w:t>
      </w:r>
      <w:r w:rsidR="00154811">
        <w:rPr>
          <w:i/>
        </w:rPr>
        <w:t xml:space="preserve">Mobile Service) Standard 2014 </w:t>
      </w:r>
      <w:r w:rsidRPr="002B0B0E">
        <w:t>as in force immediately before the</w:t>
      </w:r>
      <w:r>
        <w:t xml:space="preserve"> commencement day;</w:t>
      </w:r>
    </w:p>
    <w:p w14:paraId="0700B530" w14:textId="77777777" w:rsidR="002332A2" w:rsidRDefault="00A17FD4" w:rsidP="00ED62A5">
      <w:pPr>
        <w:pStyle w:val="paragraph"/>
        <w:tabs>
          <w:tab w:val="clear" w:pos="1531"/>
          <w:tab w:val="right" w:pos="993"/>
        </w:tabs>
        <w:ind w:left="1134" w:hanging="1134"/>
      </w:pPr>
      <w:r>
        <w:tab/>
      </w:r>
      <w:r>
        <w:tab/>
        <w:t>the item i</w:t>
      </w:r>
      <w:r w:rsidRPr="002B0B0E">
        <w:t>s taken to comply with</w:t>
      </w:r>
      <w:r>
        <w:t xml:space="preserve"> this standard</w:t>
      </w:r>
      <w:r w:rsidRPr="00B06AC4">
        <w:t>.</w:t>
      </w:r>
    </w:p>
    <w:p w14:paraId="4133A4A4" w14:textId="77777777" w:rsidR="008118EF" w:rsidRDefault="008118EF" w:rsidP="008118EF">
      <w:pPr>
        <w:pStyle w:val="notetext"/>
      </w:pPr>
      <w:r>
        <w:t>Note</w:t>
      </w:r>
      <w:r w:rsidR="006C6FCE">
        <w:t>:</w:t>
      </w:r>
      <w:r w:rsidR="006C6FCE">
        <w:tab/>
      </w:r>
      <w:r w:rsidR="00115CC3">
        <w:t>An</w:t>
      </w:r>
      <w:r w:rsidR="0039528A">
        <w:t xml:space="preserve"> item, i</w:t>
      </w:r>
      <w:r w:rsidR="00A77050">
        <w:t>n that</w:t>
      </w:r>
      <w:r w:rsidR="0039528A">
        <w:t xml:space="preserve"> case, </w:t>
      </w:r>
      <w:r>
        <w:t xml:space="preserve">is taken to comply with this standard, </w:t>
      </w:r>
      <w:r w:rsidR="008A2AF2">
        <w:t xml:space="preserve">irrespective of whether there is another relevant date for the item or when </w:t>
      </w:r>
      <w:r w:rsidR="00A77050">
        <w:t>that</w:t>
      </w:r>
      <w:r w:rsidR="008A2AF2">
        <w:t xml:space="preserve"> date occurs</w:t>
      </w:r>
      <w:r>
        <w:t>.</w:t>
      </w:r>
    </w:p>
    <w:p w14:paraId="753FF5E0" w14:textId="77777777" w:rsidR="00CE0EAD" w:rsidRDefault="00F84C77" w:rsidP="00F84C77">
      <w:pPr>
        <w:pStyle w:val="ActHead5"/>
      </w:pPr>
      <w:proofErr w:type="gramStart"/>
      <w:r w:rsidRPr="00E53EBA">
        <w:rPr>
          <w:rStyle w:val="CharSectno"/>
        </w:rPr>
        <w:t>17</w:t>
      </w:r>
      <w:r>
        <w:t xml:space="preserve">  Items</w:t>
      </w:r>
      <w:proofErr w:type="gramEnd"/>
      <w:r>
        <w:t xml:space="preserve"> for which relevant date occurs </w:t>
      </w:r>
      <w:r w:rsidR="00BA38B0">
        <w:t xml:space="preserve">during </w:t>
      </w:r>
      <w:r>
        <w:t>the ACMA transition period</w:t>
      </w:r>
    </w:p>
    <w:p w14:paraId="31C88B76" w14:textId="77777777" w:rsidR="00F84C77" w:rsidRDefault="00220C8B" w:rsidP="00220C8B">
      <w:pPr>
        <w:pStyle w:val="subsection"/>
      </w:pPr>
      <w:r>
        <w:tab/>
        <w:t>(1)</w:t>
      </w:r>
      <w:r>
        <w:tab/>
        <w:t xml:space="preserve">For the purpose of this standard, the </w:t>
      </w:r>
      <w:r w:rsidRPr="00220C8B">
        <w:rPr>
          <w:b/>
          <w:i/>
        </w:rPr>
        <w:t>ACMA transition period</w:t>
      </w:r>
      <w:r>
        <w:rPr>
          <w:b/>
          <w:i/>
        </w:rPr>
        <w:t xml:space="preserve"> </w:t>
      </w:r>
      <w:r>
        <w:t xml:space="preserve">is </w:t>
      </w:r>
      <w:r w:rsidR="00BA38B0">
        <w:t xml:space="preserve">the period of one year commencing on the </w:t>
      </w:r>
      <w:r w:rsidR="000C5CA7">
        <w:t>commencement day</w:t>
      </w:r>
      <w:r w:rsidR="00BA38B0">
        <w:t xml:space="preserve">. </w:t>
      </w:r>
    </w:p>
    <w:p w14:paraId="759AF5B8" w14:textId="77777777" w:rsidR="00BA38B0" w:rsidRDefault="00BA38B0" w:rsidP="00220C8B">
      <w:pPr>
        <w:pStyle w:val="subsection"/>
      </w:pPr>
      <w:r>
        <w:tab/>
        <w:t>(2)</w:t>
      </w:r>
      <w:r>
        <w:tab/>
        <w:t>If:</w:t>
      </w:r>
    </w:p>
    <w:p w14:paraId="54D19B77" w14:textId="77777777" w:rsidR="00BA38B0" w:rsidRDefault="00BA38B0" w:rsidP="00BA38B0">
      <w:pPr>
        <w:pStyle w:val="paragraph"/>
      </w:pPr>
      <w:r>
        <w:tab/>
        <w:t>(a)</w:t>
      </w:r>
      <w:r>
        <w:tab/>
        <w:t>a relevant date for an item occurs during the ACMA transition period; and</w:t>
      </w:r>
    </w:p>
    <w:p w14:paraId="0845F562" w14:textId="77777777" w:rsidR="00BA38B0" w:rsidRDefault="00BA38B0" w:rsidP="00BA38B0">
      <w:pPr>
        <w:pStyle w:val="paragraph"/>
      </w:pPr>
      <w:r>
        <w:tab/>
        <w:t>(b)</w:t>
      </w:r>
      <w:r>
        <w:tab/>
        <w:t xml:space="preserve">the item complies with the </w:t>
      </w:r>
      <w:r>
        <w:rPr>
          <w:i/>
        </w:rPr>
        <w:t xml:space="preserve">Radiocommunications (VHF Radiotelephone Equipment – </w:t>
      </w:r>
      <w:r w:rsidR="001310F3">
        <w:rPr>
          <w:i/>
        </w:rPr>
        <w:t xml:space="preserve">Maritime </w:t>
      </w:r>
      <w:r>
        <w:rPr>
          <w:i/>
        </w:rPr>
        <w:t xml:space="preserve">Mobile Service) Standard 2014 </w:t>
      </w:r>
      <w:r>
        <w:t>as in force immediately before the commencement day;</w:t>
      </w:r>
    </w:p>
    <w:p w14:paraId="7EE35936" w14:textId="77777777" w:rsidR="00BA38B0" w:rsidRDefault="00BA38B0" w:rsidP="00BA38B0">
      <w:pPr>
        <w:pStyle w:val="paragraph"/>
        <w:tabs>
          <w:tab w:val="clear" w:pos="1531"/>
          <w:tab w:val="right" w:pos="993"/>
        </w:tabs>
        <w:ind w:left="1134" w:hanging="1134"/>
      </w:pPr>
      <w:r>
        <w:tab/>
      </w:r>
      <w:r>
        <w:tab/>
        <w:t>the item is taken to comply with this standard.</w:t>
      </w:r>
    </w:p>
    <w:p w14:paraId="72E257B0" w14:textId="77777777" w:rsidR="006D2D73" w:rsidRDefault="00BA38B0" w:rsidP="00BA38B0">
      <w:pPr>
        <w:pStyle w:val="notetext"/>
      </w:pPr>
      <w:r>
        <w:t>Note:</w:t>
      </w:r>
      <w:r>
        <w:tab/>
        <w:t>An item, in that case, is taken to comply with this standard, irrespective of whether there is another relevant date for the item or when that date occurs.</w:t>
      </w:r>
    </w:p>
    <w:p w14:paraId="704AEA81" w14:textId="77777777" w:rsidR="00705C61" w:rsidRDefault="00705C61">
      <w:pPr>
        <w:rPr>
          <w:rFonts w:ascii="Times New Roman" w:eastAsia="Times New Roman" w:hAnsi="Times New Roman" w:cs="Times New Roman"/>
          <w:sz w:val="18"/>
          <w:szCs w:val="20"/>
          <w:lang w:eastAsia="en-AU"/>
        </w:rPr>
        <w:sectPr w:rsidR="00705C61" w:rsidSect="00957210">
          <w:headerReference w:type="default" r:id="rId21"/>
          <w:pgSz w:w="11906" w:h="16838"/>
          <w:pgMar w:top="1440" w:right="1440" w:bottom="1440" w:left="1440" w:header="708" w:footer="708" w:gutter="0"/>
          <w:cols w:space="708"/>
          <w:docGrid w:linePitch="360"/>
        </w:sectPr>
      </w:pPr>
    </w:p>
    <w:p w14:paraId="0513428A" w14:textId="77777777" w:rsidR="006D2D73" w:rsidRDefault="006D2D73" w:rsidP="006D2D73">
      <w:pPr>
        <w:pStyle w:val="ActHead5"/>
        <w:spacing w:before="0"/>
        <w:ind w:left="0" w:firstLine="0"/>
        <w:rPr>
          <w:sz w:val="32"/>
          <w:szCs w:val="32"/>
        </w:rPr>
      </w:pPr>
      <w:r w:rsidRPr="00EC147C">
        <w:rPr>
          <w:rStyle w:val="CharSectno"/>
          <w:sz w:val="32"/>
          <w:szCs w:val="32"/>
        </w:rPr>
        <w:lastRenderedPageBreak/>
        <w:t>Schedule 1</w:t>
      </w:r>
      <w:r w:rsidRPr="00EC147C">
        <w:rPr>
          <w:sz w:val="32"/>
          <w:szCs w:val="32"/>
        </w:rPr>
        <w:t>—Modifications of applicable industry standards</w:t>
      </w:r>
    </w:p>
    <w:p w14:paraId="4EEC5C5B" w14:textId="77777777" w:rsidR="006D2D73" w:rsidRPr="006D2D73" w:rsidRDefault="006D2D73" w:rsidP="006D2D73">
      <w:pPr>
        <w:pStyle w:val="subsection"/>
      </w:pPr>
      <w:r>
        <w:tab/>
      </w:r>
      <w:r>
        <w:tab/>
        <w:t>(section 15)</w:t>
      </w:r>
    </w:p>
    <w:p w14:paraId="5CA0000D" w14:textId="3965C1CD" w:rsidR="006D2D73" w:rsidRPr="00041850" w:rsidRDefault="006D2D73" w:rsidP="006D2D73">
      <w:pPr>
        <w:pStyle w:val="ItemHead"/>
        <w:spacing w:before="280" w:after="240"/>
        <w:rPr>
          <w:rFonts w:ascii="Times New Roman" w:hAnsi="Times New Roman"/>
        </w:rPr>
      </w:pPr>
      <w:proofErr w:type="gramStart"/>
      <w:r w:rsidRPr="00041850">
        <w:rPr>
          <w:rFonts w:ascii="Times New Roman" w:hAnsi="Times New Roman"/>
        </w:rPr>
        <w:t xml:space="preserve">1  </w:t>
      </w:r>
      <w:r w:rsidRPr="00041850">
        <w:rPr>
          <w:rFonts w:ascii="Times New Roman" w:hAnsi="Times New Roman"/>
        </w:rPr>
        <w:tab/>
      </w:r>
      <w:proofErr w:type="gramEnd"/>
      <w:r w:rsidRPr="00041850">
        <w:rPr>
          <w:rFonts w:ascii="Times New Roman" w:hAnsi="Times New Roman"/>
        </w:rPr>
        <w:t xml:space="preserve">Modifications of AS/NZS ETSI </w:t>
      </w:r>
      <w:r w:rsidR="008B58DC">
        <w:rPr>
          <w:rFonts w:ascii="Times New Roman" w:hAnsi="Times New Roman"/>
        </w:rPr>
        <w:t xml:space="preserve">EN </w:t>
      </w:r>
      <w:r w:rsidRPr="00041850">
        <w:rPr>
          <w:rFonts w:ascii="Times New Roman" w:hAnsi="Times New Roman"/>
        </w:rPr>
        <w:t>301 025 and ETSI EN 301 025</w:t>
      </w:r>
    </w:p>
    <w:tbl>
      <w:tblPr>
        <w:tblStyle w:val="TableGrid"/>
        <w:tblW w:w="0" w:type="auto"/>
        <w:tblInd w:w="137" w:type="dxa"/>
        <w:tblLook w:val="04A0" w:firstRow="1" w:lastRow="0" w:firstColumn="1" w:lastColumn="0" w:noHBand="0" w:noVBand="1"/>
      </w:tblPr>
      <w:tblGrid>
        <w:gridCol w:w="711"/>
        <w:gridCol w:w="1417"/>
        <w:gridCol w:w="6751"/>
      </w:tblGrid>
      <w:tr w:rsidR="006D2D73" w14:paraId="3579FD1B" w14:textId="77777777" w:rsidTr="00EE1F1E">
        <w:tc>
          <w:tcPr>
            <w:tcW w:w="711" w:type="dxa"/>
          </w:tcPr>
          <w:p w14:paraId="012EC945" w14:textId="77777777" w:rsidR="006D2D73" w:rsidRPr="001B1478" w:rsidRDefault="006D2D73" w:rsidP="00475482">
            <w:pPr>
              <w:pStyle w:val="subsection"/>
              <w:ind w:left="0" w:firstLine="0"/>
              <w:rPr>
                <w:b/>
              </w:rPr>
            </w:pPr>
            <w:r w:rsidRPr="001B1478">
              <w:rPr>
                <w:b/>
              </w:rPr>
              <w:t>Item</w:t>
            </w:r>
          </w:p>
        </w:tc>
        <w:tc>
          <w:tcPr>
            <w:tcW w:w="1417" w:type="dxa"/>
          </w:tcPr>
          <w:p w14:paraId="7AEC07AC" w14:textId="77777777" w:rsidR="006D2D73" w:rsidRPr="001B1478" w:rsidRDefault="006D2D73" w:rsidP="00475482">
            <w:pPr>
              <w:pStyle w:val="subsection"/>
              <w:ind w:left="0" w:firstLine="0"/>
              <w:rPr>
                <w:b/>
              </w:rPr>
            </w:pPr>
            <w:r w:rsidRPr="001B1478">
              <w:rPr>
                <w:b/>
              </w:rPr>
              <w:t>Provision</w:t>
            </w:r>
          </w:p>
        </w:tc>
        <w:tc>
          <w:tcPr>
            <w:tcW w:w="6751" w:type="dxa"/>
          </w:tcPr>
          <w:p w14:paraId="4BEF46BF" w14:textId="77777777" w:rsidR="006D2D73" w:rsidRPr="001B1478" w:rsidRDefault="006D2D73" w:rsidP="00475482">
            <w:pPr>
              <w:pStyle w:val="subsection"/>
              <w:ind w:left="0" w:firstLine="0"/>
              <w:rPr>
                <w:b/>
              </w:rPr>
            </w:pPr>
            <w:r>
              <w:rPr>
                <w:b/>
              </w:rPr>
              <w:t>Modification</w:t>
            </w:r>
          </w:p>
        </w:tc>
      </w:tr>
      <w:tr w:rsidR="0069363D" w14:paraId="5D15EE61" w14:textId="77777777" w:rsidTr="00A84CE3">
        <w:tc>
          <w:tcPr>
            <w:tcW w:w="711" w:type="dxa"/>
          </w:tcPr>
          <w:p w14:paraId="23EFC7FB" w14:textId="77777777" w:rsidR="0069363D" w:rsidRDefault="0069363D" w:rsidP="00475482">
            <w:pPr>
              <w:pStyle w:val="subsection"/>
              <w:ind w:left="0" w:firstLine="0"/>
            </w:pPr>
            <w:r>
              <w:t>1.1</w:t>
            </w:r>
          </w:p>
        </w:tc>
        <w:tc>
          <w:tcPr>
            <w:tcW w:w="1417" w:type="dxa"/>
          </w:tcPr>
          <w:p w14:paraId="40D7B37D" w14:textId="77777777" w:rsidR="0069363D" w:rsidRDefault="0069363D" w:rsidP="00475482">
            <w:pPr>
              <w:pStyle w:val="subsection"/>
              <w:ind w:left="0" w:firstLine="0"/>
            </w:pPr>
            <w:r>
              <w:t xml:space="preserve">Paragraph 1 of Clause 1 </w:t>
            </w:r>
          </w:p>
        </w:tc>
        <w:tc>
          <w:tcPr>
            <w:tcW w:w="6751" w:type="dxa"/>
          </w:tcPr>
          <w:p w14:paraId="2E0D8AF1" w14:textId="77777777" w:rsidR="00041850" w:rsidRDefault="0069363D" w:rsidP="0069363D">
            <w:pPr>
              <w:pStyle w:val="subsection"/>
              <w:ind w:left="0" w:firstLine="0"/>
            </w:pPr>
            <w:r>
              <w:t>This paragraph of this clause applies as if it read</w:t>
            </w:r>
            <w:r w:rsidR="00041850">
              <w:t>:</w:t>
            </w:r>
          </w:p>
          <w:p w14:paraId="589812CC" w14:textId="23185E70" w:rsidR="0069363D" w:rsidRDefault="00041850" w:rsidP="00A84CE3">
            <w:pPr>
              <w:pStyle w:val="subsection"/>
              <w:ind w:left="0" w:firstLine="0"/>
            </w:pPr>
            <w:r>
              <w:t>“</w:t>
            </w:r>
            <w:r w:rsidR="0069363D">
              <w:t>The present document covers the minimum requirements for general communication for shipborne fixed installation</w:t>
            </w:r>
            <w:r w:rsidR="001310F3">
              <w:t>s</w:t>
            </w:r>
            <w:r w:rsidR="0069363D">
              <w:t xml:space="preserve"> and </w:t>
            </w:r>
            <w:r w:rsidR="003F69EB">
              <w:t xml:space="preserve">limited </w:t>
            </w:r>
            <w:r w:rsidR="0069363D">
              <w:t xml:space="preserve">coast station equipment using a VHF radiotelephone operating in certain frequency bands allocated </w:t>
            </w:r>
            <w:r>
              <w:t>to the maritime mobile service using either 25 kHz or 25 kH</w:t>
            </w:r>
            <w:r w:rsidR="001310F3">
              <w:t>z</w:t>
            </w:r>
            <w:r>
              <w:t xml:space="preserve"> and 12</w:t>
            </w:r>
            <w:r w:rsidR="00BB3275">
              <w:t>.</w:t>
            </w:r>
            <w:r>
              <w:t>5 kHz channels and associated equipment for DSC – class D. The present document does not cover requirements for the integrated GNSS receiver locating function.”</w:t>
            </w:r>
          </w:p>
        </w:tc>
      </w:tr>
      <w:tr w:rsidR="00041850" w14:paraId="57A1E6D1" w14:textId="77777777" w:rsidTr="00EE1F1E">
        <w:tc>
          <w:tcPr>
            <w:tcW w:w="711" w:type="dxa"/>
          </w:tcPr>
          <w:p w14:paraId="2D66EA03" w14:textId="77777777" w:rsidR="00041850" w:rsidRDefault="00041850" w:rsidP="00475482">
            <w:pPr>
              <w:pStyle w:val="subsection"/>
              <w:ind w:left="0" w:firstLine="0"/>
            </w:pPr>
            <w:r>
              <w:t>1.2</w:t>
            </w:r>
          </w:p>
        </w:tc>
        <w:tc>
          <w:tcPr>
            <w:tcW w:w="1417" w:type="dxa"/>
          </w:tcPr>
          <w:p w14:paraId="602C48B5" w14:textId="77777777" w:rsidR="00041850" w:rsidRDefault="00041850" w:rsidP="00475482">
            <w:pPr>
              <w:pStyle w:val="subsection"/>
              <w:ind w:left="0" w:firstLine="0"/>
            </w:pPr>
            <w:r>
              <w:t>Paragraph 4 of Clause 1</w:t>
            </w:r>
          </w:p>
        </w:tc>
        <w:tc>
          <w:tcPr>
            <w:tcW w:w="6751" w:type="dxa"/>
          </w:tcPr>
          <w:p w14:paraId="1DEE3CDF" w14:textId="77777777" w:rsidR="00041850" w:rsidRDefault="00041850" w:rsidP="0069363D">
            <w:pPr>
              <w:pStyle w:val="subsection"/>
              <w:ind w:left="0" w:firstLine="0"/>
            </w:pPr>
            <w:r>
              <w:t>This paragraph of this clause do</w:t>
            </w:r>
            <w:r w:rsidR="00C97B3D">
              <w:t>es</w:t>
            </w:r>
            <w:r>
              <w:t xml:space="preserve"> not apply </w:t>
            </w:r>
          </w:p>
        </w:tc>
      </w:tr>
      <w:tr w:rsidR="006D2D73" w14:paraId="5233D0BE" w14:textId="77777777" w:rsidTr="00EE1F1E">
        <w:tc>
          <w:tcPr>
            <w:tcW w:w="711" w:type="dxa"/>
          </w:tcPr>
          <w:p w14:paraId="7920B56A" w14:textId="77777777" w:rsidR="006D2D73" w:rsidRDefault="006D2D73" w:rsidP="00475482">
            <w:pPr>
              <w:pStyle w:val="subsection"/>
              <w:ind w:left="0" w:firstLine="0"/>
            </w:pPr>
            <w:r>
              <w:t>1</w:t>
            </w:r>
            <w:r w:rsidR="0069363D">
              <w:t>.2</w:t>
            </w:r>
          </w:p>
        </w:tc>
        <w:tc>
          <w:tcPr>
            <w:tcW w:w="1417" w:type="dxa"/>
          </w:tcPr>
          <w:p w14:paraId="76DCAD5F" w14:textId="77777777" w:rsidR="006D2D73" w:rsidRDefault="0069363D" w:rsidP="00475482">
            <w:pPr>
              <w:pStyle w:val="subsection"/>
              <w:ind w:left="0" w:firstLine="0"/>
            </w:pPr>
            <w:r>
              <w:t>Clause 4.1</w:t>
            </w:r>
          </w:p>
        </w:tc>
        <w:tc>
          <w:tcPr>
            <w:tcW w:w="6751" w:type="dxa"/>
          </w:tcPr>
          <w:p w14:paraId="0AF41E1C" w14:textId="77777777" w:rsidR="006D2D73" w:rsidRDefault="0069363D" w:rsidP="00475482">
            <w:pPr>
              <w:pStyle w:val="subsection"/>
              <w:ind w:left="0" w:firstLine="0"/>
            </w:pPr>
            <w:r>
              <w:t>This clause does not apply.</w:t>
            </w:r>
          </w:p>
        </w:tc>
      </w:tr>
      <w:tr w:rsidR="006D2D73" w14:paraId="2E069050" w14:textId="77777777" w:rsidTr="00EE1F1E">
        <w:tc>
          <w:tcPr>
            <w:tcW w:w="711" w:type="dxa"/>
          </w:tcPr>
          <w:p w14:paraId="28DBE82F" w14:textId="77777777" w:rsidR="006D2D73" w:rsidRDefault="006D2D73" w:rsidP="00475482">
            <w:pPr>
              <w:pStyle w:val="subsection"/>
              <w:ind w:left="0" w:firstLine="0"/>
            </w:pPr>
            <w:r>
              <w:t>1.</w:t>
            </w:r>
            <w:r w:rsidR="0069363D">
              <w:t>3</w:t>
            </w:r>
          </w:p>
        </w:tc>
        <w:tc>
          <w:tcPr>
            <w:tcW w:w="1417" w:type="dxa"/>
          </w:tcPr>
          <w:p w14:paraId="176720C7" w14:textId="77777777" w:rsidR="006D2D73" w:rsidRDefault="0069363D" w:rsidP="00475482">
            <w:pPr>
              <w:pStyle w:val="subsection"/>
              <w:ind w:left="0" w:firstLine="0"/>
            </w:pPr>
            <w:r>
              <w:t>Clause 4.2</w:t>
            </w:r>
          </w:p>
        </w:tc>
        <w:tc>
          <w:tcPr>
            <w:tcW w:w="6751" w:type="dxa"/>
          </w:tcPr>
          <w:p w14:paraId="6A6133A1" w14:textId="77777777" w:rsidR="006D2D73" w:rsidRDefault="0069363D" w:rsidP="00475482">
            <w:pPr>
              <w:pStyle w:val="subsection"/>
              <w:ind w:left="0" w:firstLine="0"/>
            </w:pPr>
            <w:r>
              <w:t>This clause does not apply.</w:t>
            </w:r>
          </w:p>
        </w:tc>
      </w:tr>
      <w:tr w:rsidR="006D2D73" w14:paraId="33D4F213" w14:textId="77777777" w:rsidTr="00EE1F1E">
        <w:tc>
          <w:tcPr>
            <w:tcW w:w="711" w:type="dxa"/>
          </w:tcPr>
          <w:p w14:paraId="4CDB2B52" w14:textId="77777777" w:rsidR="006D2D73" w:rsidRDefault="006D2D73" w:rsidP="00475482">
            <w:pPr>
              <w:pStyle w:val="subsection"/>
              <w:ind w:left="0" w:firstLine="0"/>
            </w:pPr>
            <w:r>
              <w:t>1.</w:t>
            </w:r>
            <w:r w:rsidR="0069363D">
              <w:t>4</w:t>
            </w:r>
          </w:p>
        </w:tc>
        <w:tc>
          <w:tcPr>
            <w:tcW w:w="1417" w:type="dxa"/>
          </w:tcPr>
          <w:p w14:paraId="0F19D5F7" w14:textId="77777777" w:rsidR="006D2D73" w:rsidRDefault="0069363D" w:rsidP="00475482">
            <w:pPr>
              <w:pStyle w:val="subsection"/>
              <w:ind w:left="0" w:firstLine="0"/>
            </w:pPr>
            <w:r>
              <w:t>Paragraphs 1 and 2 of Clause 4.3</w:t>
            </w:r>
          </w:p>
        </w:tc>
        <w:tc>
          <w:tcPr>
            <w:tcW w:w="6751" w:type="dxa"/>
          </w:tcPr>
          <w:p w14:paraId="6D320ACB" w14:textId="77777777" w:rsidR="006D2D73" w:rsidRDefault="0069363D" w:rsidP="00041850">
            <w:pPr>
              <w:pStyle w:val="subsection"/>
              <w:ind w:left="0" w:firstLine="0"/>
            </w:pPr>
            <w:r>
              <w:t>T</w:t>
            </w:r>
            <w:r w:rsidR="00041850">
              <w:t>hese paragraphs of this clause</w:t>
            </w:r>
            <w:r>
              <w:t xml:space="preserve"> do not apply.</w:t>
            </w:r>
          </w:p>
        </w:tc>
      </w:tr>
      <w:tr w:rsidR="001310F3" w14:paraId="0B54D206" w14:textId="77777777" w:rsidTr="00EE1F1E">
        <w:tc>
          <w:tcPr>
            <w:tcW w:w="711" w:type="dxa"/>
          </w:tcPr>
          <w:p w14:paraId="0B57A523" w14:textId="77777777" w:rsidR="001310F3" w:rsidRDefault="001310F3" w:rsidP="00475482">
            <w:pPr>
              <w:pStyle w:val="subsection"/>
              <w:ind w:left="0" w:firstLine="0"/>
            </w:pPr>
            <w:r>
              <w:t>1.5</w:t>
            </w:r>
          </w:p>
        </w:tc>
        <w:tc>
          <w:tcPr>
            <w:tcW w:w="1417" w:type="dxa"/>
          </w:tcPr>
          <w:p w14:paraId="3C66E836" w14:textId="77777777" w:rsidR="001310F3" w:rsidRDefault="001310F3" w:rsidP="00475482">
            <w:pPr>
              <w:pStyle w:val="subsection"/>
              <w:ind w:left="0" w:firstLine="0"/>
            </w:pPr>
            <w:r>
              <w:t>Paragraph 2 of Clause 4.4</w:t>
            </w:r>
          </w:p>
        </w:tc>
        <w:tc>
          <w:tcPr>
            <w:tcW w:w="6751" w:type="dxa"/>
          </w:tcPr>
          <w:p w14:paraId="52E737CF" w14:textId="77777777" w:rsidR="001310F3" w:rsidRDefault="001310F3" w:rsidP="00475482">
            <w:pPr>
              <w:pStyle w:val="subsection"/>
              <w:ind w:left="0" w:firstLine="0"/>
            </w:pPr>
            <w:r>
              <w:t>This paragraph of this clause does not apply</w:t>
            </w:r>
          </w:p>
        </w:tc>
      </w:tr>
      <w:tr w:rsidR="0069363D" w14:paraId="755A5260" w14:textId="77777777" w:rsidTr="00EE1F1E">
        <w:tc>
          <w:tcPr>
            <w:tcW w:w="711" w:type="dxa"/>
          </w:tcPr>
          <w:p w14:paraId="5009F124" w14:textId="77777777" w:rsidR="0069363D" w:rsidRDefault="0069363D" w:rsidP="00475482">
            <w:pPr>
              <w:pStyle w:val="subsection"/>
              <w:ind w:left="0" w:firstLine="0"/>
            </w:pPr>
            <w:r>
              <w:t>1.</w:t>
            </w:r>
            <w:r w:rsidR="001310F3">
              <w:t>6</w:t>
            </w:r>
          </w:p>
        </w:tc>
        <w:tc>
          <w:tcPr>
            <w:tcW w:w="1417" w:type="dxa"/>
          </w:tcPr>
          <w:p w14:paraId="2874DE6D" w14:textId="77777777" w:rsidR="0069363D" w:rsidRDefault="0069363D" w:rsidP="00475482">
            <w:pPr>
              <w:pStyle w:val="subsection"/>
              <w:ind w:left="0" w:firstLine="0"/>
            </w:pPr>
            <w:r>
              <w:t>Clause 4.7</w:t>
            </w:r>
          </w:p>
        </w:tc>
        <w:tc>
          <w:tcPr>
            <w:tcW w:w="6751" w:type="dxa"/>
          </w:tcPr>
          <w:p w14:paraId="2685C81A" w14:textId="77777777" w:rsidR="0069363D" w:rsidRDefault="0069363D" w:rsidP="00475482">
            <w:pPr>
              <w:pStyle w:val="subsection"/>
              <w:ind w:left="0" w:firstLine="0"/>
            </w:pPr>
            <w:r>
              <w:t>This clause does not apply.</w:t>
            </w:r>
          </w:p>
        </w:tc>
      </w:tr>
      <w:tr w:rsidR="0069363D" w14:paraId="694CB23C" w14:textId="77777777" w:rsidTr="00EE1F1E">
        <w:tc>
          <w:tcPr>
            <w:tcW w:w="711" w:type="dxa"/>
          </w:tcPr>
          <w:p w14:paraId="25173146" w14:textId="77777777" w:rsidR="0069363D" w:rsidRDefault="0069363D" w:rsidP="00475482">
            <w:pPr>
              <w:pStyle w:val="subsection"/>
              <w:ind w:left="0" w:firstLine="0"/>
            </w:pPr>
            <w:r>
              <w:t>1.</w:t>
            </w:r>
            <w:r w:rsidR="001310F3">
              <w:t>7</w:t>
            </w:r>
          </w:p>
        </w:tc>
        <w:tc>
          <w:tcPr>
            <w:tcW w:w="1417" w:type="dxa"/>
          </w:tcPr>
          <w:p w14:paraId="05CA22C6" w14:textId="77777777" w:rsidR="0069363D" w:rsidRDefault="0069363D" w:rsidP="00475482">
            <w:pPr>
              <w:pStyle w:val="subsection"/>
              <w:ind w:left="0" w:firstLine="0"/>
            </w:pPr>
            <w:r>
              <w:t>Clause 4.8</w:t>
            </w:r>
          </w:p>
        </w:tc>
        <w:tc>
          <w:tcPr>
            <w:tcW w:w="6751" w:type="dxa"/>
          </w:tcPr>
          <w:p w14:paraId="36A4BF53" w14:textId="77777777" w:rsidR="0069363D" w:rsidRDefault="0069363D" w:rsidP="00475482">
            <w:pPr>
              <w:pStyle w:val="subsection"/>
              <w:ind w:left="0" w:firstLine="0"/>
            </w:pPr>
            <w:r>
              <w:t>This clause does not apply.</w:t>
            </w:r>
          </w:p>
        </w:tc>
      </w:tr>
      <w:tr w:rsidR="0069363D" w14:paraId="30429FE5" w14:textId="77777777" w:rsidTr="00EE1F1E">
        <w:tc>
          <w:tcPr>
            <w:tcW w:w="711" w:type="dxa"/>
          </w:tcPr>
          <w:p w14:paraId="3E5E94E5" w14:textId="77777777" w:rsidR="0069363D" w:rsidRDefault="0069363D" w:rsidP="00475482">
            <w:pPr>
              <w:pStyle w:val="subsection"/>
              <w:ind w:left="0" w:firstLine="0"/>
            </w:pPr>
            <w:r>
              <w:t>1.</w:t>
            </w:r>
            <w:r w:rsidR="001310F3">
              <w:t>8</w:t>
            </w:r>
          </w:p>
        </w:tc>
        <w:tc>
          <w:tcPr>
            <w:tcW w:w="1417" w:type="dxa"/>
          </w:tcPr>
          <w:p w14:paraId="4D82DAA6" w14:textId="77777777" w:rsidR="0069363D" w:rsidRDefault="0069363D" w:rsidP="00475482">
            <w:pPr>
              <w:pStyle w:val="subsection"/>
              <w:ind w:left="0" w:firstLine="0"/>
            </w:pPr>
            <w:r>
              <w:t>Paragraphs 2 and 3 of Clause 4.9</w:t>
            </w:r>
          </w:p>
        </w:tc>
        <w:tc>
          <w:tcPr>
            <w:tcW w:w="6751" w:type="dxa"/>
          </w:tcPr>
          <w:p w14:paraId="300AFAC2" w14:textId="77777777" w:rsidR="0069363D" w:rsidRDefault="0069363D" w:rsidP="00041850">
            <w:pPr>
              <w:pStyle w:val="subsection"/>
              <w:ind w:left="0" w:firstLine="0"/>
            </w:pPr>
            <w:r>
              <w:t>Th</w:t>
            </w:r>
            <w:r w:rsidR="00041850">
              <w:t>ese paragraphs of this clause do</w:t>
            </w:r>
            <w:r>
              <w:t xml:space="preserve"> not apply. </w:t>
            </w:r>
          </w:p>
        </w:tc>
      </w:tr>
      <w:tr w:rsidR="0069363D" w14:paraId="68EEB603" w14:textId="77777777" w:rsidTr="00EE1F1E">
        <w:tc>
          <w:tcPr>
            <w:tcW w:w="711" w:type="dxa"/>
          </w:tcPr>
          <w:p w14:paraId="06FCEF9C" w14:textId="77777777" w:rsidR="0069363D" w:rsidRDefault="0069363D" w:rsidP="00475482">
            <w:pPr>
              <w:pStyle w:val="subsection"/>
              <w:ind w:left="0" w:firstLine="0"/>
            </w:pPr>
            <w:r>
              <w:t>1.</w:t>
            </w:r>
            <w:r w:rsidR="001310F3">
              <w:t>9</w:t>
            </w:r>
          </w:p>
        </w:tc>
        <w:tc>
          <w:tcPr>
            <w:tcW w:w="1417" w:type="dxa"/>
          </w:tcPr>
          <w:p w14:paraId="3080D7DD" w14:textId="77777777" w:rsidR="0069363D" w:rsidRDefault="0069363D" w:rsidP="00475482">
            <w:pPr>
              <w:pStyle w:val="subsection"/>
              <w:ind w:left="0" w:firstLine="0"/>
            </w:pPr>
            <w:r>
              <w:t>Clause 4.10</w:t>
            </w:r>
          </w:p>
        </w:tc>
        <w:tc>
          <w:tcPr>
            <w:tcW w:w="6751" w:type="dxa"/>
          </w:tcPr>
          <w:p w14:paraId="59E608DC" w14:textId="77777777" w:rsidR="0069363D" w:rsidRDefault="0069363D" w:rsidP="0069363D">
            <w:pPr>
              <w:pStyle w:val="subsection"/>
              <w:ind w:left="0" w:firstLine="0"/>
            </w:pPr>
            <w:r>
              <w:t>This clause does not apply.</w:t>
            </w:r>
          </w:p>
        </w:tc>
      </w:tr>
      <w:tr w:rsidR="0069363D" w14:paraId="6E6D5B72" w14:textId="77777777" w:rsidTr="00EE1F1E">
        <w:tc>
          <w:tcPr>
            <w:tcW w:w="711" w:type="dxa"/>
          </w:tcPr>
          <w:p w14:paraId="28C985FB" w14:textId="77777777" w:rsidR="0069363D" w:rsidRDefault="0069363D" w:rsidP="00475482">
            <w:pPr>
              <w:pStyle w:val="subsection"/>
              <w:ind w:left="0" w:firstLine="0"/>
            </w:pPr>
            <w:r>
              <w:t>1.</w:t>
            </w:r>
            <w:r w:rsidR="001310F3">
              <w:t>10</w:t>
            </w:r>
          </w:p>
        </w:tc>
        <w:tc>
          <w:tcPr>
            <w:tcW w:w="1417" w:type="dxa"/>
          </w:tcPr>
          <w:p w14:paraId="5625AF72" w14:textId="77777777" w:rsidR="0069363D" w:rsidRDefault="0069363D" w:rsidP="00475482">
            <w:pPr>
              <w:pStyle w:val="subsection"/>
              <w:ind w:left="0" w:firstLine="0"/>
            </w:pPr>
            <w:r>
              <w:t>Clause 4.11</w:t>
            </w:r>
          </w:p>
        </w:tc>
        <w:tc>
          <w:tcPr>
            <w:tcW w:w="6751" w:type="dxa"/>
          </w:tcPr>
          <w:p w14:paraId="7EC88A44" w14:textId="77777777" w:rsidR="0069363D" w:rsidRDefault="0069363D" w:rsidP="0069363D">
            <w:pPr>
              <w:pStyle w:val="subsection"/>
              <w:ind w:left="0" w:firstLine="0"/>
            </w:pPr>
            <w:r>
              <w:t>This clause does not apply.</w:t>
            </w:r>
          </w:p>
        </w:tc>
      </w:tr>
      <w:tr w:rsidR="0069363D" w14:paraId="3A25D822" w14:textId="77777777" w:rsidTr="00EE1F1E">
        <w:tc>
          <w:tcPr>
            <w:tcW w:w="711" w:type="dxa"/>
          </w:tcPr>
          <w:p w14:paraId="745A1148" w14:textId="77777777" w:rsidR="0069363D" w:rsidRDefault="0069363D" w:rsidP="00475482">
            <w:pPr>
              <w:pStyle w:val="subsection"/>
              <w:ind w:left="0" w:firstLine="0"/>
            </w:pPr>
            <w:r>
              <w:t>1.1</w:t>
            </w:r>
            <w:r w:rsidR="001310F3">
              <w:t>1</w:t>
            </w:r>
          </w:p>
        </w:tc>
        <w:tc>
          <w:tcPr>
            <w:tcW w:w="1417" w:type="dxa"/>
          </w:tcPr>
          <w:p w14:paraId="3E55F483" w14:textId="77777777" w:rsidR="0069363D" w:rsidRDefault="0069363D" w:rsidP="00475482">
            <w:pPr>
              <w:pStyle w:val="subsection"/>
              <w:ind w:left="0" w:firstLine="0"/>
            </w:pPr>
            <w:r>
              <w:t>Clause 5.1</w:t>
            </w:r>
          </w:p>
        </w:tc>
        <w:tc>
          <w:tcPr>
            <w:tcW w:w="6751" w:type="dxa"/>
          </w:tcPr>
          <w:p w14:paraId="02921B16" w14:textId="77777777" w:rsidR="0069363D" w:rsidRDefault="0069363D" w:rsidP="0069363D">
            <w:pPr>
              <w:pStyle w:val="subsection"/>
              <w:ind w:left="0" w:firstLine="0"/>
            </w:pPr>
            <w:r>
              <w:t>This clause does not apply.</w:t>
            </w:r>
          </w:p>
        </w:tc>
      </w:tr>
      <w:tr w:rsidR="00730841" w14:paraId="2FC1A9B4" w14:textId="77777777" w:rsidTr="00EE1F1E">
        <w:tc>
          <w:tcPr>
            <w:tcW w:w="711" w:type="dxa"/>
          </w:tcPr>
          <w:p w14:paraId="58E17295" w14:textId="77777777" w:rsidR="00730841" w:rsidRDefault="00730841" w:rsidP="00730841">
            <w:pPr>
              <w:pStyle w:val="subsection"/>
              <w:ind w:left="0" w:firstLine="0"/>
            </w:pPr>
            <w:r>
              <w:t>1.12</w:t>
            </w:r>
          </w:p>
        </w:tc>
        <w:tc>
          <w:tcPr>
            <w:tcW w:w="1417" w:type="dxa"/>
          </w:tcPr>
          <w:p w14:paraId="5BF5B3FD" w14:textId="77777777" w:rsidR="00730841" w:rsidRDefault="00730841" w:rsidP="00730841">
            <w:pPr>
              <w:pStyle w:val="subsection"/>
              <w:ind w:left="0" w:firstLine="0"/>
            </w:pPr>
            <w:r>
              <w:t>Section 7</w:t>
            </w:r>
          </w:p>
        </w:tc>
        <w:tc>
          <w:tcPr>
            <w:tcW w:w="6751" w:type="dxa"/>
          </w:tcPr>
          <w:p w14:paraId="7C06E665" w14:textId="77777777" w:rsidR="00730841" w:rsidRDefault="00730841" w:rsidP="00730841">
            <w:pPr>
              <w:pStyle w:val="subsection"/>
              <w:ind w:left="0" w:firstLine="0"/>
            </w:pPr>
            <w:r>
              <w:t>This section does not apply</w:t>
            </w:r>
            <w:r w:rsidR="00C53D90">
              <w:t>.</w:t>
            </w:r>
          </w:p>
        </w:tc>
      </w:tr>
      <w:tr w:rsidR="00730841" w14:paraId="19BD6983" w14:textId="77777777" w:rsidTr="00EE1F1E">
        <w:tc>
          <w:tcPr>
            <w:tcW w:w="711" w:type="dxa"/>
          </w:tcPr>
          <w:p w14:paraId="33981F5B" w14:textId="77777777" w:rsidR="00730841" w:rsidRDefault="00730841" w:rsidP="00730841">
            <w:pPr>
              <w:pStyle w:val="subsection"/>
              <w:ind w:left="0" w:firstLine="0"/>
            </w:pPr>
            <w:r>
              <w:t>1.13</w:t>
            </w:r>
          </w:p>
        </w:tc>
        <w:tc>
          <w:tcPr>
            <w:tcW w:w="1417" w:type="dxa"/>
          </w:tcPr>
          <w:p w14:paraId="6DF7AC0A" w14:textId="77777777" w:rsidR="00730841" w:rsidRDefault="00730841" w:rsidP="00730841">
            <w:pPr>
              <w:pStyle w:val="subsection"/>
              <w:ind w:left="0" w:firstLine="0"/>
            </w:pPr>
            <w:r>
              <w:t>Clause 9.1</w:t>
            </w:r>
          </w:p>
        </w:tc>
        <w:tc>
          <w:tcPr>
            <w:tcW w:w="6751" w:type="dxa"/>
          </w:tcPr>
          <w:p w14:paraId="518FEE7F" w14:textId="77777777" w:rsidR="00730841" w:rsidRDefault="00730841" w:rsidP="00730841">
            <w:pPr>
              <w:pStyle w:val="subsection"/>
              <w:ind w:left="0" w:firstLine="0"/>
            </w:pPr>
            <w:r>
              <w:t>This clause does not apply.</w:t>
            </w:r>
          </w:p>
        </w:tc>
      </w:tr>
      <w:tr w:rsidR="00730841" w14:paraId="4D939425" w14:textId="77777777" w:rsidTr="00EE1F1E">
        <w:tc>
          <w:tcPr>
            <w:tcW w:w="711" w:type="dxa"/>
          </w:tcPr>
          <w:p w14:paraId="1285853C" w14:textId="77777777" w:rsidR="00730841" w:rsidRDefault="00730841" w:rsidP="00730841">
            <w:pPr>
              <w:pStyle w:val="subsection"/>
              <w:ind w:left="0" w:firstLine="0"/>
            </w:pPr>
            <w:r>
              <w:t>1.14</w:t>
            </w:r>
          </w:p>
        </w:tc>
        <w:tc>
          <w:tcPr>
            <w:tcW w:w="1417" w:type="dxa"/>
          </w:tcPr>
          <w:p w14:paraId="2754FC94" w14:textId="77777777" w:rsidR="00730841" w:rsidRDefault="00730841" w:rsidP="00730841">
            <w:pPr>
              <w:pStyle w:val="subsection"/>
              <w:ind w:left="0" w:firstLine="0"/>
            </w:pPr>
            <w:r>
              <w:t>Clause 9.2</w:t>
            </w:r>
          </w:p>
        </w:tc>
        <w:tc>
          <w:tcPr>
            <w:tcW w:w="6751" w:type="dxa"/>
          </w:tcPr>
          <w:p w14:paraId="026A92EF" w14:textId="77777777" w:rsidR="00730841" w:rsidRDefault="00730841" w:rsidP="00730841">
            <w:pPr>
              <w:pStyle w:val="subsection"/>
              <w:ind w:left="0" w:firstLine="0"/>
            </w:pPr>
            <w:r>
              <w:t>This clause does not apply.</w:t>
            </w:r>
          </w:p>
        </w:tc>
      </w:tr>
      <w:tr w:rsidR="00730841" w14:paraId="3F9F11DA" w14:textId="77777777" w:rsidTr="00EE1F1E">
        <w:tc>
          <w:tcPr>
            <w:tcW w:w="711" w:type="dxa"/>
          </w:tcPr>
          <w:p w14:paraId="31A72790" w14:textId="77777777" w:rsidR="00730841" w:rsidRDefault="00730841" w:rsidP="00730841">
            <w:pPr>
              <w:pStyle w:val="subsection"/>
              <w:ind w:left="0" w:firstLine="0"/>
            </w:pPr>
            <w:r>
              <w:t>1.15</w:t>
            </w:r>
          </w:p>
        </w:tc>
        <w:tc>
          <w:tcPr>
            <w:tcW w:w="1417" w:type="dxa"/>
          </w:tcPr>
          <w:p w14:paraId="74A57ACD" w14:textId="77777777" w:rsidR="00730841" w:rsidRDefault="00730841" w:rsidP="00730841">
            <w:pPr>
              <w:pStyle w:val="subsection"/>
              <w:ind w:left="0" w:firstLine="0"/>
            </w:pPr>
            <w:r>
              <w:t>Clause 9.11</w:t>
            </w:r>
          </w:p>
        </w:tc>
        <w:tc>
          <w:tcPr>
            <w:tcW w:w="6751" w:type="dxa"/>
          </w:tcPr>
          <w:p w14:paraId="0B651338" w14:textId="77777777" w:rsidR="00730841" w:rsidRDefault="00730841" w:rsidP="00730841">
            <w:pPr>
              <w:pStyle w:val="subsection"/>
              <w:ind w:left="0" w:firstLine="0"/>
            </w:pPr>
            <w:r>
              <w:t>This clause does not apply.</w:t>
            </w:r>
          </w:p>
        </w:tc>
      </w:tr>
      <w:tr w:rsidR="00730841" w14:paraId="107E85DF" w14:textId="77777777" w:rsidTr="00EE1F1E">
        <w:tc>
          <w:tcPr>
            <w:tcW w:w="711" w:type="dxa"/>
          </w:tcPr>
          <w:p w14:paraId="547CAF1C" w14:textId="77777777" w:rsidR="00730841" w:rsidRDefault="00730841" w:rsidP="00730841">
            <w:pPr>
              <w:pStyle w:val="subsection"/>
              <w:ind w:left="0" w:firstLine="0"/>
            </w:pPr>
            <w:r>
              <w:t>1.16</w:t>
            </w:r>
          </w:p>
        </w:tc>
        <w:tc>
          <w:tcPr>
            <w:tcW w:w="1417" w:type="dxa"/>
          </w:tcPr>
          <w:p w14:paraId="4E56B9FC" w14:textId="77777777" w:rsidR="00730841" w:rsidRDefault="00730841" w:rsidP="00730841">
            <w:pPr>
              <w:pStyle w:val="subsection"/>
              <w:ind w:left="0" w:firstLine="0"/>
            </w:pPr>
            <w:r>
              <w:t>Clause 9.13</w:t>
            </w:r>
          </w:p>
        </w:tc>
        <w:tc>
          <w:tcPr>
            <w:tcW w:w="6751" w:type="dxa"/>
          </w:tcPr>
          <w:p w14:paraId="7029D934" w14:textId="77777777" w:rsidR="00730841" w:rsidRDefault="00730841" w:rsidP="00730841">
            <w:pPr>
              <w:pStyle w:val="subsection"/>
              <w:ind w:left="0" w:firstLine="0"/>
            </w:pPr>
            <w:r>
              <w:t>This clause does not apply.</w:t>
            </w:r>
          </w:p>
        </w:tc>
      </w:tr>
    </w:tbl>
    <w:p w14:paraId="60E277BA" w14:textId="2705FA2A" w:rsidR="006D2D73" w:rsidRDefault="006D2D73" w:rsidP="006D2D73">
      <w:pPr>
        <w:pStyle w:val="Definition"/>
        <w:tabs>
          <w:tab w:val="left" w:pos="1985"/>
        </w:tabs>
        <w:spacing w:before="240"/>
        <w:ind w:left="1571" w:hanging="851"/>
        <w:rPr>
          <w:sz w:val="18"/>
          <w:szCs w:val="18"/>
        </w:rPr>
      </w:pPr>
      <w:r w:rsidRPr="004B7714">
        <w:rPr>
          <w:sz w:val="18"/>
          <w:szCs w:val="18"/>
        </w:rPr>
        <w:t>Note:</w:t>
      </w:r>
      <w:r w:rsidRPr="004B7714">
        <w:rPr>
          <w:sz w:val="18"/>
          <w:szCs w:val="18"/>
        </w:rPr>
        <w:tab/>
      </w:r>
      <w:r w:rsidR="00041850" w:rsidRPr="00041850">
        <w:rPr>
          <w:sz w:val="18"/>
          <w:szCs w:val="18"/>
        </w:rPr>
        <w:t xml:space="preserve">AS/NZS ETSI </w:t>
      </w:r>
      <w:r w:rsidR="008B58DC">
        <w:rPr>
          <w:sz w:val="18"/>
          <w:szCs w:val="18"/>
        </w:rPr>
        <w:t xml:space="preserve">EN  </w:t>
      </w:r>
      <w:r w:rsidR="00041850" w:rsidRPr="00041850">
        <w:rPr>
          <w:sz w:val="18"/>
          <w:szCs w:val="18"/>
        </w:rPr>
        <w:t>301 025 and ETSI EN 301 025</w:t>
      </w:r>
      <w:r w:rsidRPr="00B67377">
        <w:rPr>
          <w:sz w:val="18"/>
          <w:szCs w:val="18"/>
        </w:rPr>
        <w:t xml:space="preserve"> </w:t>
      </w:r>
      <w:r w:rsidR="00041850">
        <w:rPr>
          <w:sz w:val="18"/>
          <w:szCs w:val="18"/>
        </w:rPr>
        <w:t>are</w:t>
      </w:r>
      <w:r w:rsidRPr="00B67377">
        <w:rPr>
          <w:sz w:val="18"/>
          <w:szCs w:val="18"/>
        </w:rPr>
        <w:t xml:space="preserve"> incorporated as in force at the times mentioned in </w:t>
      </w:r>
      <w:r w:rsidRPr="00041850">
        <w:rPr>
          <w:sz w:val="18"/>
          <w:szCs w:val="18"/>
        </w:rPr>
        <w:t>section 15</w:t>
      </w:r>
      <w:r w:rsidRPr="00B67377">
        <w:rPr>
          <w:sz w:val="18"/>
          <w:szCs w:val="18"/>
        </w:rPr>
        <w:t xml:space="preserve"> with the </w:t>
      </w:r>
      <w:r>
        <w:rPr>
          <w:sz w:val="18"/>
          <w:szCs w:val="18"/>
        </w:rPr>
        <w:t>modification</w:t>
      </w:r>
      <w:r w:rsidRPr="00B67377">
        <w:rPr>
          <w:sz w:val="18"/>
          <w:szCs w:val="18"/>
        </w:rPr>
        <w:t>s specified in the</w:t>
      </w:r>
      <w:r>
        <w:rPr>
          <w:sz w:val="18"/>
          <w:szCs w:val="18"/>
        </w:rPr>
        <w:t xml:space="preserve"> above</w:t>
      </w:r>
      <w:r w:rsidRPr="00B67377">
        <w:rPr>
          <w:sz w:val="18"/>
          <w:szCs w:val="18"/>
        </w:rPr>
        <w:t xml:space="preserve"> table</w:t>
      </w:r>
      <w:r>
        <w:rPr>
          <w:sz w:val="18"/>
          <w:szCs w:val="18"/>
        </w:rPr>
        <w:t>.</w:t>
      </w:r>
    </w:p>
    <w:p w14:paraId="6B1811DB" w14:textId="77777777" w:rsidR="006D2D73" w:rsidRPr="00475482" w:rsidRDefault="006D2D73" w:rsidP="006D2D73">
      <w:pPr>
        <w:pStyle w:val="ItemHead"/>
        <w:spacing w:before="280" w:after="240"/>
        <w:rPr>
          <w:rFonts w:ascii="Times New Roman" w:hAnsi="Times New Roman"/>
        </w:rPr>
      </w:pPr>
      <w:proofErr w:type="gramStart"/>
      <w:r w:rsidRPr="00475482">
        <w:rPr>
          <w:rFonts w:ascii="Times New Roman" w:hAnsi="Times New Roman"/>
        </w:rPr>
        <w:lastRenderedPageBreak/>
        <w:t xml:space="preserve">2  </w:t>
      </w:r>
      <w:r w:rsidRPr="00475482">
        <w:rPr>
          <w:rFonts w:ascii="Times New Roman" w:hAnsi="Times New Roman"/>
        </w:rPr>
        <w:tab/>
      </w:r>
      <w:proofErr w:type="gramEnd"/>
      <w:r w:rsidRPr="00475482">
        <w:rPr>
          <w:rFonts w:ascii="Times New Roman" w:hAnsi="Times New Roman"/>
        </w:rPr>
        <w:t xml:space="preserve">Modifications of </w:t>
      </w:r>
      <w:r w:rsidR="00041850" w:rsidRPr="00475482">
        <w:rPr>
          <w:rFonts w:ascii="Times New Roman" w:hAnsi="Times New Roman"/>
        </w:rPr>
        <w:t xml:space="preserve">AS/NZS ETSI EN 301 178 and ETSI EN 301 178 </w:t>
      </w:r>
    </w:p>
    <w:tbl>
      <w:tblPr>
        <w:tblStyle w:val="TableGrid"/>
        <w:tblW w:w="0" w:type="auto"/>
        <w:tblInd w:w="137" w:type="dxa"/>
        <w:tblLook w:val="04A0" w:firstRow="1" w:lastRow="0" w:firstColumn="1" w:lastColumn="0" w:noHBand="0" w:noVBand="1"/>
      </w:tblPr>
      <w:tblGrid>
        <w:gridCol w:w="711"/>
        <w:gridCol w:w="1417"/>
        <w:gridCol w:w="6751"/>
      </w:tblGrid>
      <w:tr w:rsidR="006D2D73" w14:paraId="670A2153" w14:textId="77777777" w:rsidTr="002D3270">
        <w:tc>
          <w:tcPr>
            <w:tcW w:w="711" w:type="dxa"/>
          </w:tcPr>
          <w:p w14:paraId="1571DEFF" w14:textId="77777777" w:rsidR="006D2D73" w:rsidRPr="001B1478" w:rsidRDefault="006D2D73" w:rsidP="00475482">
            <w:pPr>
              <w:pStyle w:val="subsection"/>
              <w:ind w:left="0" w:firstLine="0"/>
              <w:rPr>
                <w:b/>
              </w:rPr>
            </w:pPr>
            <w:r w:rsidRPr="001B1478">
              <w:rPr>
                <w:b/>
              </w:rPr>
              <w:t>Item</w:t>
            </w:r>
          </w:p>
        </w:tc>
        <w:tc>
          <w:tcPr>
            <w:tcW w:w="1417" w:type="dxa"/>
          </w:tcPr>
          <w:p w14:paraId="4C84876C" w14:textId="77777777" w:rsidR="006D2D73" w:rsidRPr="001B1478" w:rsidRDefault="006D2D73" w:rsidP="00475482">
            <w:pPr>
              <w:pStyle w:val="subsection"/>
              <w:ind w:left="0" w:firstLine="0"/>
              <w:rPr>
                <w:b/>
              </w:rPr>
            </w:pPr>
            <w:r w:rsidRPr="001B1478">
              <w:rPr>
                <w:b/>
              </w:rPr>
              <w:t>Provision</w:t>
            </w:r>
          </w:p>
        </w:tc>
        <w:tc>
          <w:tcPr>
            <w:tcW w:w="6751" w:type="dxa"/>
          </w:tcPr>
          <w:p w14:paraId="134C0936" w14:textId="77777777" w:rsidR="006D2D73" w:rsidRPr="001B1478" w:rsidRDefault="006D2D73" w:rsidP="00475482">
            <w:pPr>
              <w:pStyle w:val="subsection"/>
              <w:ind w:left="0" w:firstLine="0"/>
              <w:rPr>
                <w:b/>
              </w:rPr>
            </w:pPr>
            <w:r>
              <w:rPr>
                <w:b/>
              </w:rPr>
              <w:t>Modification</w:t>
            </w:r>
          </w:p>
        </w:tc>
      </w:tr>
      <w:tr w:rsidR="006D2D73" w14:paraId="0F86992A" w14:textId="77777777" w:rsidTr="002D3270">
        <w:tc>
          <w:tcPr>
            <w:tcW w:w="711" w:type="dxa"/>
          </w:tcPr>
          <w:p w14:paraId="0AAD5CA6" w14:textId="77777777" w:rsidR="006D2D73" w:rsidRDefault="006D2D73" w:rsidP="00475482">
            <w:pPr>
              <w:pStyle w:val="subsection"/>
              <w:ind w:left="0" w:firstLine="0"/>
            </w:pPr>
            <w:r>
              <w:t>2.1</w:t>
            </w:r>
          </w:p>
        </w:tc>
        <w:tc>
          <w:tcPr>
            <w:tcW w:w="1417" w:type="dxa"/>
          </w:tcPr>
          <w:p w14:paraId="37C80A92" w14:textId="77777777" w:rsidR="006D2D73" w:rsidRDefault="00041850" w:rsidP="00475482">
            <w:pPr>
              <w:pStyle w:val="subsection"/>
              <w:ind w:left="0" w:firstLine="0"/>
            </w:pPr>
            <w:r>
              <w:t>Paragraph 3 of Clause 1</w:t>
            </w:r>
          </w:p>
        </w:tc>
        <w:tc>
          <w:tcPr>
            <w:tcW w:w="6751" w:type="dxa"/>
          </w:tcPr>
          <w:p w14:paraId="104A5AB5" w14:textId="77777777" w:rsidR="006D2D73" w:rsidRDefault="00041850" w:rsidP="00475482">
            <w:pPr>
              <w:pStyle w:val="subsection"/>
              <w:ind w:left="0" w:firstLine="0"/>
            </w:pPr>
            <w:r>
              <w:t>This paragraph of this clause does not apply.</w:t>
            </w:r>
          </w:p>
        </w:tc>
      </w:tr>
      <w:tr w:rsidR="006D2D73" w14:paraId="1CC1992C" w14:textId="77777777" w:rsidTr="002D3270">
        <w:tc>
          <w:tcPr>
            <w:tcW w:w="711" w:type="dxa"/>
          </w:tcPr>
          <w:p w14:paraId="39AE97B5" w14:textId="77777777" w:rsidR="006D2D73" w:rsidRDefault="006D2D73" w:rsidP="00475482">
            <w:pPr>
              <w:pStyle w:val="subsection"/>
              <w:ind w:left="0" w:firstLine="0"/>
            </w:pPr>
            <w:r>
              <w:t>2.2</w:t>
            </w:r>
          </w:p>
        </w:tc>
        <w:tc>
          <w:tcPr>
            <w:tcW w:w="1417" w:type="dxa"/>
          </w:tcPr>
          <w:p w14:paraId="79FEBE1C" w14:textId="77777777" w:rsidR="006D2D73" w:rsidRDefault="00041850" w:rsidP="00475482">
            <w:pPr>
              <w:pStyle w:val="subsection"/>
              <w:ind w:left="0" w:firstLine="0"/>
            </w:pPr>
            <w:r>
              <w:t>Paragraphs 1, 2, 3, 4, 5, 8, 13 and 14 of Clause 4.1</w:t>
            </w:r>
          </w:p>
        </w:tc>
        <w:tc>
          <w:tcPr>
            <w:tcW w:w="6751" w:type="dxa"/>
          </w:tcPr>
          <w:p w14:paraId="3CD043B0" w14:textId="77777777" w:rsidR="006D2D73" w:rsidRDefault="00041850" w:rsidP="00475482">
            <w:pPr>
              <w:pStyle w:val="subsection"/>
              <w:ind w:left="0" w:firstLine="0"/>
            </w:pPr>
            <w:r>
              <w:t xml:space="preserve">These paragraphs of this clause do not apply. </w:t>
            </w:r>
          </w:p>
        </w:tc>
      </w:tr>
      <w:tr w:rsidR="006D2D73" w14:paraId="0659CB7E" w14:textId="77777777" w:rsidTr="002D3270">
        <w:tc>
          <w:tcPr>
            <w:tcW w:w="711" w:type="dxa"/>
          </w:tcPr>
          <w:p w14:paraId="4A1DE57B" w14:textId="77777777" w:rsidR="006D2D73" w:rsidRDefault="006D2D73" w:rsidP="00475482">
            <w:pPr>
              <w:pStyle w:val="subsection"/>
              <w:ind w:left="0" w:firstLine="0"/>
            </w:pPr>
            <w:r>
              <w:t>2.3</w:t>
            </w:r>
          </w:p>
        </w:tc>
        <w:tc>
          <w:tcPr>
            <w:tcW w:w="1417" w:type="dxa"/>
          </w:tcPr>
          <w:p w14:paraId="77F977DF" w14:textId="77777777" w:rsidR="006D2D73" w:rsidRDefault="00041850" w:rsidP="00475482">
            <w:pPr>
              <w:pStyle w:val="subsection"/>
              <w:ind w:left="0" w:firstLine="0"/>
            </w:pPr>
            <w:r>
              <w:t>Clause 4.3</w:t>
            </w:r>
          </w:p>
        </w:tc>
        <w:tc>
          <w:tcPr>
            <w:tcW w:w="6751" w:type="dxa"/>
          </w:tcPr>
          <w:p w14:paraId="38789E33" w14:textId="77777777" w:rsidR="006D2D73" w:rsidRDefault="00041850" w:rsidP="00475482">
            <w:pPr>
              <w:pStyle w:val="subsection"/>
              <w:ind w:left="0" w:firstLine="0"/>
            </w:pPr>
            <w:r>
              <w:t>This clause does not apply.</w:t>
            </w:r>
          </w:p>
        </w:tc>
      </w:tr>
      <w:tr w:rsidR="00041850" w14:paraId="6CC242EE" w14:textId="77777777" w:rsidTr="002D3270">
        <w:tc>
          <w:tcPr>
            <w:tcW w:w="711" w:type="dxa"/>
          </w:tcPr>
          <w:p w14:paraId="3DE066C2" w14:textId="77777777" w:rsidR="00041850" w:rsidRDefault="00475482" w:rsidP="00475482">
            <w:pPr>
              <w:pStyle w:val="subsection"/>
              <w:ind w:left="0" w:firstLine="0"/>
            </w:pPr>
            <w:r>
              <w:t>2.4</w:t>
            </w:r>
          </w:p>
        </w:tc>
        <w:tc>
          <w:tcPr>
            <w:tcW w:w="1417" w:type="dxa"/>
          </w:tcPr>
          <w:p w14:paraId="64D2ECFA" w14:textId="77777777" w:rsidR="00041850" w:rsidRDefault="00475482" w:rsidP="00475482">
            <w:pPr>
              <w:pStyle w:val="subsection"/>
              <w:ind w:left="0" w:firstLine="0"/>
            </w:pPr>
            <w:r>
              <w:t>Clause 4.4</w:t>
            </w:r>
          </w:p>
        </w:tc>
        <w:tc>
          <w:tcPr>
            <w:tcW w:w="6751" w:type="dxa"/>
          </w:tcPr>
          <w:p w14:paraId="0ADA1E1F" w14:textId="77777777" w:rsidR="00041850" w:rsidRDefault="00475482" w:rsidP="00475482">
            <w:pPr>
              <w:pStyle w:val="subsection"/>
              <w:ind w:left="0" w:firstLine="0"/>
            </w:pPr>
            <w:r>
              <w:t>This clause does not apply.</w:t>
            </w:r>
          </w:p>
        </w:tc>
      </w:tr>
      <w:tr w:rsidR="00475482" w14:paraId="50066250" w14:textId="77777777" w:rsidTr="002D3270">
        <w:tc>
          <w:tcPr>
            <w:tcW w:w="711" w:type="dxa"/>
          </w:tcPr>
          <w:p w14:paraId="738EA316" w14:textId="77777777" w:rsidR="00475482" w:rsidRDefault="00475482" w:rsidP="00475482">
            <w:pPr>
              <w:pStyle w:val="subsection"/>
              <w:ind w:left="0" w:firstLine="0"/>
            </w:pPr>
            <w:r>
              <w:t>2.5</w:t>
            </w:r>
          </w:p>
        </w:tc>
        <w:tc>
          <w:tcPr>
            <w:tcW w:w="1417" w:type="dxa"/>
          </w:tcPr>
          <w:p w14:paraId="4213824C" w14:textId="77777777" w:rsidR="00475482" w:rsidRDefault="00475482" w:rsidP="00475482">
            <w:pPr>
              <w:pStyle w:val="subsection"/>
              <w:ind w:left="0" w:firstLine="0"/>
            </w:pPr>
            <w:r>
              <w:t>Paragraphs 2, 3 and 4 of Clause 4.5</w:t>
            </w:r>
          </w:p>
        </w:tc>
        <w:tc>
          <w:tcPr>
            <w:tcW w:w="6751" w:type="dxa"/>
          </w:tcPr>
          <w:p w14:paraId="017A6878" w14:textId="77777777" w:rsidR="00475482" w:rsidRDefault="00475482" w:rsidP="00475482">
            <w:pPr>
              <w:pStyle w:val="subsection"/>
              <w:ind w:left="0" w:firstLine="0"/>
            </w:pPr>
            <w:r>
              <w:t>These paragraphs of this clause do not apply.</w:t>
            </w:r>
          </w:p>
        </w:tc>
      </w:tr>
      <w:tr w:rsidR="00475482" w14:paraId="66D00273" w14:textId="77777777" w:rsidTr="002D3270">
        <w:tc>
          <w:tcPr>
            <w:tcW w:w="711" w:type="dxa"/>
          </w:tcPr>
          <w:p w14:paraId="1FF6830A" w14:textId="77777777" w:rsidR="00475482" w:rsidRDefault="00475482" w:rsidP="00475482">
            <w:pPr>
              <w:pStyle w:val="subsection"/>
              <w:ind w:left="0" w:firstLine="0"/>
            </w:pPr>
            <w:r>
              <w:t>2.6</w:t>
            </w:r>
          </w:p>
        </w:tc>
        <w:tc>
          <w:tcPr>
            <w:tcW w:w="1417" w:type="dxa"/>
          </w:tcPr>
          <w:p w14:paraId="4F0DCBC2" w14:textId="77777777" w:rsidR="00475482" w:rsidRDefault="00475482" w:rsidP="00475482">
            <w:pPr>
              <w:pStyle w:val="subsection"/>
              <w:ind w:left="0" w:firstLine="0"/>
            </w:pPr>
            <w:r>
              <w:t>Clause 5.1</w:t>
            </w:r>
          </w:p>
        </w:tc>
        <w:tc>
          <w:tcPr>
            <w:tcW w:w="6751" w:type="dxa"/>
          </w:tcPr>
          <w:p w14:paraId="5F4EA2FF" w14:textId="77777777" w:rsidR="00475482" w:rsidRDefault="00475482" w:rsidP="00475482">
            <w:pPr>
              <w:pStyle w:val="subsection"/>
              <w:ind w:left="0" w:firstLine="0"/>
            </w:pPr>
            <w:r>
              <w:t>This clause does not apply.</w:t>
            </w:r>
          </w:p>
        </w:tc>
      </w:tr>
      <w:tr w:rsidR="00475482" w14:paraId="7CB70860" w14:textId="77777777" w:rsidTr="002D3270">
        <w:tc>
          <w:tcPr>
            <w:tcW w:w="711" w:type="dxa"/>
          </w:tcPr>
          <w:p w14:paraId="54FAF29B" w14:textId="77777777" w:rsidR="00475482" w:rsidRDefault="00475482" w:rsidP="00475482">
            <w:pPr>
              <w:pStyle w:val="subsection"/>
              <w:ind w:left="0" w:firstLine="0"/>
            </w:pPr>
            <w:r>
              <w:t>2.7</w:t>
            </w:r>
          </w:p>
        </w:tc>
        <w:tc>
          <w:tcPr>
            <w:tcW w:w="1417" w:type="dxa"/>
          </w:tcPr>
          <w:p w14:paraId="3A3A15AD" w14:textId="0FC899A9" w:rsidR="00475482" w:rsidRDefault="00475482" w:rsidP="00475482">
            <w:pPr>
              <w:pStyle w:val="subsection"/>
              <w:ind w:left="0" w:firstLine="0"/>
            </w:pPr>
            <w:r>
              <w:t>Clause 5.2</w:t>
            </w:r>
            <w:r w:rsidR="008B58DC">
              <w:t>.</w:t>
            </w:r>
            <w:r>
              <w:t>1</w:t>
            </w:r>
          </w:p>
        </w:tc>
        <w:tc>
          <w:tcPr>
            <w:tcW w:w="6751" w:type="dxa"/>
          </w:tcPr>
          <w:p w14:paraId="615E60DE" w14:textId="77777777" w:rsidR="00475482" w:rsidRDefault="00475482" w:rsidP="00475482">
            <w:pPr>
              <w:pStyle w:val="subsection"/>
              <w:ind w:left="0" w:firstLine="0"/>
            </w:pPr>
            <w:r>
              <w:t>This clause does not apply.</w:t>
            </w:r>
          </w:p>
        </w:tc>
      </w:tr>
      <w:tr w:rsidR="00730841" w14:paraId="1FBA3E3D" w14:textId="77777777" w:rsidTr="002D3270">
        <w:tc>
          <w:tcPr>
            <w:tcW w:w="711" w:type="dxa"/>
          </w:tcPr>
          <w:p w14:paraId="14C94204" w14:textId="77777777" w:rsidR="00730841" w:rsidRDefault="00730841" w:rsidP="00730841">
            <w:pPr>
              <w:pStyle w:val="subsection"/>
              <w:ind w:left="0" w:firstLine="0"/>
            </w:pPr>
            <w:r>
              <w:t>2.8</w:t>
            </w:r>
          </w:p>
        </w:tc>
        <w:tc>
          <w:tcPr>
            <w:tcW w:w="1417" w:type="dxa"/>
          </w:tcPr>
          <w:p w14:paraId="07F63FBD" w14:textId="77777777" w:rsidR="00730841" w:rsidRDefault="00730841" w:rsidP="00730841">
            <w:pPr>
              <w:pStyle w:val="subsection"/>
              <w:ind w:left="0" w:firstLine="0"/>
            </w:pPr>
            <w:r>
              <w:t>Section 7</w:t>
            </w:r>
          </w:p>
        </w:tc>
        <w:tc>
          <w:tcPr>
            <w:tcW w:w="6751" w:type="dxa"/>
          </w:tcPr>
          <w:p w14:paraId="0CF7F68D" w14:textId="77777777" w:rsidR="00730841" w:rsidRDefault="00730841" w:rsidP="00730841">
            <w:pPr>
              <w:pStyle w:val="subsection"/>
              <w:ind w:left="0" w:firstLine="0"/>
            </w:pPr>
            <w:r>
              <w:t>This section does not apply</w:t>
            </w:r>
            <w:r w:rsidR="00C53D90">
              <w:t>.</w:t>
            </w:r>
          </w:p>
        </w:tc>
      </w:tr>
      <w:tr w:rsidR="00730841" w14:paraId="665F46A8" w14:textId="77777777" w:rsidTr="002D3270">
        <w:tc>
          <w:tcPr>
            <w:tcW w:w="711" w:type="dxa"/>
          </w:tcPr>
          <w:p w14:paraId="46F27AC8" w14:textId="77777777" w:rsidR="00730841" w:rsidRDefault="00730841" w:rsidP="00730841">
            <w:pPr>
              <w:pStyle w:val="subsection"/>
              <w:ind w:left="0" w:firstLine="0"/>
            </w:pPr>
            <w:r>
              <w:t>2.9</w:t>
            </w:r>
          </w:p>
        </w:tc>
        <w:tc>
          <w:tcPr>
            <w:tcW w:w="1417" w:type="dxa"/>
          </w:tcPr>
          <w:p w14:paraId="5F5D3594" w14:textId="77777777" w:rsidR="00730841" w:rsidRDefault="00730841" w:rsidP="00730841">
            <w:pPr>
              <w:pStyle w:val="subsection"/>
              <w:ind w:left="0" w:firstLine="0"/>
            </w:pPr>
            <w:r>
              <w:t>Clause 9.1</w:t>
            </w:r>
          </w:p>
        </w:tc>
        <w:tc>
          <w:tcPr>
            <w:tcW w:w="6751" w:type="dxa"/>
          </w:tcPr>
          <w:p w14:paraId="15DD5053" w14:textId="77777777" w:rsidR="00730841" w:rsidRDefault="00730841" w:rsidP="00730841">
            <w:pPr>
              <w:pStyle w:val="subsection"/>
              <w:ind w:left="0" w:firstLine="0"/>
            </w:pPr>
            <w:r>
              <w:t>This clause does not apply.</w:t>
            </w:r>
          </w:p>
        </w:tc>
      </w:tr>
      <w:tr w:rsidR="00730841" w14:paraId="720BCBBB" w14:textId="77777777" w:rsidTr="002D3270">
        <w:tc>
          <w:tcPr>
            <w:tcW w:w="711" w:type="dxa"/>
          </w:tcPr>
          <w:p w14:paraId="7026984F" w14:textId="77777777" w:rsidR="00730841" w:rsidRDefault="00730841" w:rsidP="00730841">
            <w:pPr>
              <w:pStyle w:val="subsection"/>
              <w:ind w:left="0" w:firstLine="0"/>
            </w:pPr>
            <w:r>
              <w:t>2.10</w:t>
            </w:r>
          </w:p>
        </w:tc>
        <w:tc>
          <w:tcPr>
            <w:tcW w:w="1417" w:type="dxa"/>
          </w:tcPr>
          <w:p w14:paraId="13AE0384" w14:textId="77777777" w:rsidR="00730841" w:rsidRDefault="00730841" w:rsidP="00730841">
            <w:pPr>
              <w:pStyle w:val="subsection"/>
              <w:ind w:left="0" w:firstLine="0"/>
            </w:pPr>
            <w:r>
              <w:t>Clause 9.2</w:t>
            </w:r>
          </w:p>
        </w:tc>
        <w:tc>
          <w:tcPr>
            <w:tcW w:w="6751" w:type="dxa"/>
          </w:tcPr>
          <w:p w14:paraId="15C99953" w14:textId="77777777" w:rsidR="00730841" w:rsidRDefault="00730841" w:rsidP="00730841">
            <w:pPr>
              <w:pStyle w:val="subsection"/>
              <w:ind w:left="0" w:firstLine="0"/>
            </w:pPr>
            <w:r>
              <w:t>This clause does not apply.</w:t>
            </w:r>
          </w:p>
        </w:tc>
      </w:tr>
      <w:tr w:rsidR="00730841" w14:paraId="784BC21F" w14:textId="77777777" w:rsidTr="002D3270">
        <w:tc>
          <w:tcPr>
            <w:tcW w:w="711" w:type="dxa"/>
          </w:tcPr>
          <w:p w14:paraId="4993C92F" w14:textId="77777777" w:rsidR="00730841" w:rsidRDefault="00730841" w:rsidP="00730841">
            <w:pPr>
              <w:pStyle w:val="subsection"/>
              <w:ind w:left="0" w:firstLine="0"/>
            </w:pPr>
            <w:r>
              <w:t>2.11</w:t>
            </w:r>
          </w:p>
        </w:tc>
        <w:tc>
          <w:tcPr>
            <w:tcW w:w="1417" w:type="dxa"/>
          </w:tcPr>
          <w:p w14:paraId="4599DA7A" w14:textId="77777777" w:rsidR="00730841" w:rsidRDefault="00730841" w:rsidP="00730841">
            <w:pPr>
              <w:pStyle w:val="subsection"/>
              <w:ind w:left="0" w:firstLine="0"/>
            </w:pPr>
            <w:r>
              <w:t>Clause 9.11</w:t>
            </w:r>
          </w:p>
        </w:tc>
        <w:tc>
          <w:tcPr>
            <w:tcW w:w="6751" w:type="dxa"/>
          </w:tcPr>
          <w:p w14:paraId="3A5F6252" w14:textId="77777777" w:rsidR="00730841" w:rsidRDefault="00730841" w:rsidP="00730841">
            <w:pPr>
              <w:pStyle w:val="subsection"/>
              <w:ind w:left="0" w:firstLine="0"/>
            </w:pPr>
            <w:r>
              <w:t>This clause does not apply.</w:t>
            </w:r>
          </w:p>
        </w:tc>
      </w:tr>
      <w:tr w:rsidR="00730841" w14:paraId="5655340F" w14:textId="77777777" w:rsidTr="002D3270">
        <w:tc>
          <w:tcPr>
            <w:tcW w:w="711" w:type="dxa"/>
          </w:tcPr>
          <w:p w14:paraId="0D631367" w14:textId="77777777" w:rsidR="00730841" w:rsidRDefault="00730841" w:rsidP="00730841">
            <w:pPr>
              <w:pStyle w:val="subsection"/>
              <w:ind w:left="0" w:firstLine="0"/>
            </w:pPr>
            <w:r>
              <w:t>2.12</w:t>
            </w:r>
          </w:p>
        </w:tc>
        <w:tc>
          <w:tcPr>
            <w:tcW w:w="1417" w:type="dxa"/>
          </w:tcPr>
          <w:p w14:paraId="2CEC1EE0" w14:textId="77777777" w:rsidR="00730841" w:rsidRDefault="00730841" w:rsidP="00730841">
            <w:pPr>
              <w:pStyle w:val="subsection"/>
              <w:ind w:left="0" w:firstLine="0"/>
            </w:pPr>
            <w:r>
              <w:t>Clause 9.13</w:t>
            </w:r>
          </w:p>
        </w:tc>
        <w:tc>
          <w:tcPr>
            <w:tcW w:w="6751" w:type="dxa"/>
          </w:tcPr>
          <w:p w14:paraId="796943A6" w14:textId="77777777" w:rsidR="00730841" w:rsidRDefault="00730841" w:rsidP="00730841">
            <w:pPr>
              <w:pStyle w:val="subsection"/>
              <w:ind w:left="0" w:firstLine="0"/>
            </w:pPr>
            <w:r>
              <w:t>This clause does not apply.</w:t>
            </w:r>
          </w:p>
        </w:tc>
      </w:tr>
    </w:tbl>
    <w:p w14:paraId="1DBB0DED" w14:textId="77777777" w:rsidR="006D2D73" w:rsidRPr="00B67377" w:rsidRDefault="006D2D73" w:rsidP="006D2D73">
      <w:pPr>
        <w:pStyle w:val="Definition"/>
        <w:tabs>
          <w:tab w:val="left" w:pos="1985"/>
        </w:tabs>
        <w:spacing w:before="240"/>
        <w:ind w:left="1571" w:hanging="851"/>
        <w:rPr>
          <w:sz w:val="18"/>
          <w:szCs w:val="18"/>
        </w:rPr>
      </w:pPr>
      <w:r w:rsidRPr="004B7714">
        <w:rPr>
          <w:sz w:val="18"/>
          <w:szCs w:val="18"/>
        </w:rPr>
        <w:t>Note:</w:t>
      </w:r>
      <w:r w:rsidRPr="004B7714">
        <w:rPr>
          <w:sz w:val="18"/>
          <w:szCs w:val="18"/>
        </w:rPr>
        <w:tab/>
      </w:r>
      <w:r w:rsidR="00475482">
        <w:rPr>
          <w:sz w:val="18"/>
          <w:szCs w:val="18"/>
        </w:rPr>
        <w:t xml:space="preserve">AS/NZS ETSI EN 301 178 and ETSI EN 301 178 are </w:t>
      </w:r>
      <w:r w:rsidRPr="00B67377">
        <w:rPr>
          <w:sz w:val="18"/>
          <w:szCs w:val="18"/>
        </w:rPr>
        <w:t xml:space="preserve">incorporated as in force at the times mentioned in </w:t>
      </w:r>
      <w:r w:rsidRPr="00475482">
        <w:rPr>
          <w:sz w:val="18"/>
          <w:szCs w:val="18"/>
        </w:rPr>
        <w:t>section 15</w:t>
      </w:r>
      <w:r w:rsidRPr="00B67377">
        <w:rPr>
          <w:sz w:val="18"/>
          <w:szCs w:val="18"/>
        </w:rPr>
        <w:t xml:space="preserve"> with the </w:t>
      </w:r>
      <w:r>
        <w:rPr>
          <w:sz w:val="18"/>
          <w:szCs w:val="18"/>
        </w:rPr>
        <w:t>modification</w:t>
      </w:r>
      <w:r w:rsidRPr="00B67377">
        <w:rPr>
          <w:sz w:val="18"/>
          <w:szCs w:val="18"/>
        </w:rPr>
        <w:t>s specified in the</w:t>
      </w:r>
      <w:r>
        <w:rPr>
          <w:sz w:val="18"/>
          <w:szCs w:val="18"/>
        </w:rPr>
        <w:t xml:space="preserve"> above</w:t>
      </w:r>
      <w:r w:rsidRPr="00B67377">
        <w:rPr>
          <w:sz w:val="18"/>
          <w:szCs w:val="18"/>
        </w:rPr>
        <w:t xml:space="preserve"> table</w:t>
      </w:r>
      <w:r>
        <w:rPr>
          <w:sz w:val="18"/>
          <w:szCs w:val="18"/>
        </w:rPr>
        <w:t>.</w:t>
      </w:r>
    </w:p>
    <w:p w14:paraId="2C11F4D9" w14:textId="77777777" w:rsidR="006D2D73" w:rsidRDefault="00475482" w:rsidP="00475482">
      <w:pPr>
        <w:pStyle w:val="ItemHead"/>
        <w:spacing w:before="280" w:after="240"/>
        <w:rPr>
          <w:rFonts w:ascii="Times New Roman" w:hAnsi="Times New Roman"/>
        </w:rPr>
      </w:pPr>
      <w:r>
        <w:rPr>
          <w:rFonts w:ascii="Times New Roman" w:hAnsi="Times New Roman"/>
        </w:rPr>
        <w:t>3</w:t>
      </w:r>
      <w:r>
        <w:rPr>
          <w:rFonts w:ascii="Times New Roman" w:hAnsi="Times New Roman"/>
        </w:rPr>
        <w:tab/>
        <w:t xml:space="preserve">Modifications of AS/NZS ETSI EN 302 885 and ETSI EN 302 885 </w:t>
      </w:r>
    </w:p>
    <w:tbl>
      <w:tblPr>
        <w:tblStyle w:val="TableGrid"/>
        <w:tblW w:w="0" w:type="auto"/>
        <w:tblInd w:w="137" w:type="dxa"/>
        <w:tblLook w:val="04A0" w:firstRow="1" w:lastRow="0" w:firstColumn="1" w:lastColumn="0" w:noHBand="0" w:noVBand="1"/>
      </w:tblPr>
      <w:tblGrid>
        <w:gridCol w:w="709"/>
        <w:gridCol w:w="1417"/>
        <w:gridCol w:w="6753"/>
      </w:tblGrid>
      <w:tr w:rsidR="00475482" w14:paraId="7074CFBD" w14:textId="77777777" w:rsidTr="00475482">
        <w:tc>
          <w:tcPr>
            <w:tcW w:w="709" w:type="dxa"/>
          </w:tcPr>
          <w:p w14:paraId="47EAE1B4" w14:textId="77777777" w:rsidR="00475482" w:rsidRPr="001B1478" w:rsidRDefault="00475482" w:rsidP="00475482">
            <w:pPr>
              <w:pStyle w:val="subsection"/>
              <w:ind w:left="0" w:firstLine="0"/>
              <w:rPr>
                <w:b/>
              </w:rPr>
            </w:pPr>
            <w:r w:rsidRPr="001B1478">
              <w:rPr>
                <w:b/>
              </w:rPr>
              <w:t>Item</w:t>
            </w:r>
          </w:p>
        </w:tc>
        <w:tc>
          <w:tcPr>
            <w:tcW w:w="1417" w:type="dxa"/>
          </w:tcPr>
          <w:p w14:paraId="18E18B10" w14:textId="77777777" w:rsidR="00475482" w:rsidRPr="001B1478" w:rsidRDefault="00475482" w:rsidP="00475482">
            <w:pPr>
              <w:pStyle w:val="subsection"/>
              <w:ind w:left="0" w:firstLine="0"/>
              <w:rPr>
                <w:b/>
              </w:rPr>
            </w:pPr>
            <w:r w:rsidRPr="001B1478">
              <w:rPr>
                <w:b/>
              </w:rPr>
              <w:t>Provision</w:t>
            </w:r>
          </w:p>
        </w:tc>
        <w:tc>
          <w:tcPr>
            <w:tcW w:w="6753" w:type="dxa"/>
          </w:tcPr>
          <w:p w14:paraId="1FA0A208" w14:textId="77777777" w:rsidR="00475482" w:rsidRPr="001B1478" w:rsidRDefault="00475482" w:rsidP="00475482">
            <w:pPr>
              <w:pStyle w:val="subsection"/>
              <w:ind w:left="0" w:firstLine="0"/>
              <w:rPr>
                <w:b/>
              </w:rPr>
            </w:pPr>
            <w:r>
              <w:rPr>
                <w:b/>
              </w:rPr>
              <w:t>Modification</w:t>
            </w:r>
          </w:p>
        </w:tc>
      </w:tr>
      <w:tr w:rsidR="00475482" w14:paraId="135FAD3E" w14:textId="77777777" w:rsidTr="00475482">
        <w:tc>
          <w:tcPr>
            <w:tcW w:w="709" w:type="dxa"/>
          </w:tcPr>
          <w:p w14:paraId="4C5286C3" w14:textId="77777777" w:rsidR="00475482" w:rsidRDefault="00475482" w:rsidP="00475482">
            <w:pPr>
              <w:pStyle w:val="subsection"/>
              <w:ind w:left="0" w:firstLine="0"/>
            </w:pPr>
            <w:r>
              <w:t>3.1</w:t>
            </w:r>
          </w:p>
        </w:tc>
        <w:tc>
          <w:tcPr>
            <w:tcW w:w="1417" w:type="dxa"/>
          </w:tcPr>
          <w:p w14:paraId="1508BF7C" w14:textId="77777777" w:rsidR="00475482" w:rsidRDefault="00475482" w:rsidP="00475482">
            <w:pPr>
              <w:pStyle w:val="subsection"/>
              <w:ind w:left="0" w:firstLine="0"/>
            </w:pPr>
            <w:r>
              <w:t>Paragraph 3 of Clause 1</w:t>
            </w:r>
          </w:p>
        </w:tc>
        <w:tc>
          <w:tcPr>
            <w:tcW w:w="6753" w:type="dxa"/>
          </w:tcPr>
          <w:p w14:paraId="0BA6A6F5" w14:textId="77777777" w:rsidR="00475482" w:rsidRDefault="00475482" w:rsidP="00475482">
            <w:pPr>
              <w:pStyle w:val="subsection"/>
              <w:ind w:left="0" w:firstLine="0"/>
            </w:pPr>
            <w:r>
              <w:t>This paragraph of this clause does not apply.</w:t>
            </w:r>
          </w:p>
        </w:tc>
      </w:tr>
      <w:tr w:rsidR="00475482" w14:paraId="675536C4" w14:textId="77777777" w:rsidTr="00475482">
        <w:tc>
          <w:tcPr>
            <w:tcW w:w="709" w:type="dxa"/>
          </w:tcPr>
          <w:p w14:paraId="5885EBC1" w14:textId="77777777" w:rsidR="00475482" w:rsidRDefault="00475482" w:rsidP="00475482">
            <w:pPr>
              <w:pStyle w:val="subsection"/>
              <w:ind w:left="0" w:firstLine="0"/>
            </w:pPr>
            <w:r>
              <w:t>3.2</w:t>
            </w:r>
          </w:p>
        </w:tc>
        <w:tc>
          <w:tcPr>
            <w:tcW w:w="1417" w:type="dxa"/>
          </w:tcPr>
          <w:p w14:paraId="24B228DA" w14:textId="77777777" w:rsidR="00475482" w:rsidRDefault="008C1CB6" w:rsidP="00475482">
            <w:pPr>
              <w:pStyle w:val="subsection"/>
              <w:ind w:left="0" w:firstLine="0"/>
            </w:pPr>
            <w:r>
              <w:t>Clause 4.0</w:t>
            </w:r>
          </w:p>
        </w:tc>
        <w:tc>
          <w:tcPr>
            <w:tcW w:w="6753" w:type="dxa"/>
          </w:tcPr>
          <w:p w14:paraId="61D5EF96" w14:textId="77777777" w:rsidR="00475482" w:rsidRDefault="008C1CB6" w:rsidP="00475482">
            <w:pPr>
              <w:pStyle w:val="subsection"/>
              <w:ind w:left="0" w:firstLine="0"/>
            </w:pPr>
            <w:r>
              <w:t>This clause does not apply.</w:t>
            </w:r>
          </w:p>
        </w:tc>
      </w:tr>
      <w:tr w:rsidR="00475482" w14:paraId="2239EC1C" w14:textId="77777777" w:rsidTr="00475482">
        <w:tc>
          <w:tcPr>
            <w:tcW w:w="709" w:type="dxa"/>
          </w:tcPr>
          <w:p w14:paraId="4B22DEE9" w14:textId="77777777" w:rsidR="00475482" w:rsidRDefault="00475482" w:rsidP="00475482">
            <w:pPr>
              <w:pStyle w:val="subsection"/>
              <w:ind w:left="0" w:firstLine="0"/>
            </w:pPr>
            <w:r>
              <w:t>3.3</w:t>
            </w:r>
          </w:p>
        </w:tc>
        <w:tc>
          <w:tcPr>
            <w:tcW w:w="1417" w:type="dxa"/>
          </w:tcPr>
          <w:p w14:paraId="13CE6517" w14:textId="77777777" w:rsidR="00475482" w:rsidRDefault="008C1CB6" w:rsidP="008C1CB6">
            <w:pPr>
              <w:pStyle w:val="subsection"/>
              <w:ind w:left="0" w:firstLine="0"/>
            </w:pPr>
            <w:r>
              <w:t xml:space="preserve">Paragraphs 1, 2, 3, 4, 6, 7, 9 and 15 of Clause 4.1 </w:t>
            </w:r>
          </w:p>
        </w:tc>
        <w:tc>
          <w:tcPr>
            <w:tcW w:w="6753" w:type="dxa"/>
          </w:tcPr>
          <w:p w14:paraId="7008F207" w14:textId="77777777" w:rsidR="00475482" w:rsidRDefault="00475482" w:rsidP="008C1CB6">
            <w:pPr>
              <w:pStyle w:val="subsection"/>
              <w:ind w:left="0" w:firstLine="0"/>
            </w:pPr>
            <w:r>
              <w:t>T</w:t>
            </w:r>
            <w:r w:rsidR="008C1CB6">
              <w:t>hese paragraphs of this clause do</w:t>
            </w:r>
            <w:r>
              <w:t xml:space="preserve"> not apply.</w:t>
            </w:r>
          </w:p>
        </w:tc>
      </w:tr>
      <w:tr w:rsidR="00475482" w14:paraId="59627370" w14:textId="77777777" w:rsidTr="00475482">
        <w:tc>
          <w:tcPr>
            <w:tcW w:w="709" w:type="dxa"/>
          </w:tcPr>
          <w:p w14:paraId="2323A180" w14:textId="77777777" w:rsidR="00475482" w:rsidRDefault="00475482" w:rsidP="00475482">
            <w:pPr>
              <w:pStyle w:val="subsection"/>
              <w:ind w:left="0" w:firstLine="0"/>
            </w:pPr>
            <w:r>
              <w:t>3.4</w:t>
            </w:r>
          </w:p>
        </w:tc>
        <w:tc>
          <w:tcPr>
            <w:tcW w:w="1417" w:type="dxa"/>
          </w:tcPr>
          <w:p w14:paraId="28F76F3D" w14:textId="77777777" w:rsidR="00475482" w:rsidRDefault="008C1CB6" w:rsidP="00475482">
            <w:pPr>
              <w:pStyle w:val="subsection"/>
              <w:ind w:left="0" w:firstLine="0"/>
            </w:pPr>
            <w:r>
              <w:t>Clause 4.3</w:t>
            </w:r>
          </w:p>
        </w:tc>
        <w:tc>
          <w:tcPr>
            <w:tcW w:w="6753" w:type="dxa"/>
          </w:tcPr>
          <w:p w14:paraId="3773326E" w14:textId="77777777" w:rsidR="00475482" w:rsidRDefault="008C1CB6" w:rsidP="00475482">
            <w:pPr>
              <w:pStyle w:val="subsection"/>
              <w:ind w:left="0" w:firstLine="0"/>
            </w:pPr>
            <w:r>
              <w:t>This clause does not apply.</w:t>
            </w:r>
          </w:p>
        </w:tc>
      </w:tr>
      <w:tr w:rsidR="00475482" w14:paraId="0D9F502E" w14:textId="77777777" w:rsidTr="00475482">
        <w:tc>
          <w:tcPr>
            <w:tcW w:w="709" w:type="dxa"/>
          </w:tcPr>
          <w:p w14:paraId="30F3627C" w14:textId="77777777" w:rsidR="00475482" w:rsidRDefault="00475482" w:rsidP="00475482">
            <w:pPr>
              <w:pStyle w:val="subsection"/>
              <w:ind w:left="0" w:firstLine="0"/>
            </w:pPr>
            <w:r>
              <w:t>3.5</w:t>
            </w:r>
          </w:p>
        </w:tc>
        <w:tc>
          <w:tcPr>
            <w:tcW w:w="1417" w:type="dxa"/>
          </w:tcPr>
          <w:p w14:paraId="0415FDE0" w14:textId="77777777" w:rsidR="00475482" w:rsidRDefault="008C1CB6" w:rsidP="00475482">
            <w:pPr>
              <w:pStyle w:val="subsection"/>
              <w:ind w:left="0" w:firstLine="0"/>
            </w:pPr>
            <w:r>
              <w:t>Clause 4.4</w:t>
            </w:r>
          </w:p>
        </w:tc>
        <w:tc>
          <w:tcPr>
            <w:tcW w:w="6753" w:type="dxa"/>
          </w:tcPr>
          <w:p w14:paraId="5AB93125" w14:textId="77777777" w:rsidR="00475482" w:rsidRDefault="008C1CB6" w:rsidP="00475482">
            <w:pPr>
              <w:pStyle w:val="subsection"/>
              <w:ind w:left="0" w:firstLine="0"/>
            </w:pPr>
            <w:r>
              <w:t>This clause does not apply.</w:t>
            </w:r>
          </w:p>
        </w:tc>
      </w:tr>
      <w:tr w:rsidR="00475482" w14:paraId="4E36FFB5" w14:textId="77777777" w:rsidTr="00475482">
        <w:tc>
          <w:tcPr>
            <w:tcW w:w="709" w:type="dxa"/>
          </w:tcPr>
          <w:p w14:paraId="33D3B23A" w14:textId="77777777" w:rsidR="00475482" w:rsidRDefault="00475482" w:rsidP="00475482">
            <w:pPr>
              <w:pStyle w:val="subsection"/>
              <w:ind w:left="0" w:firstLine="0"/>
            </w:pPr>
            <w:r>
              <w:t>3.6</w:t>
            </w:r>
          </w:p>
        </w:tc>
        <w:tc>
          <w:tcPr>
            <w:tcW w:w="1417" w:type="dxa"/>
          </w:tcPr>
          <w:p w14:paraId="5B6939C7" w14:textId="77777777" w:rsidR="00475482" w:rsidRDefault="008C1CB6" w:rsidP="00475482">
            <w:pPr>
              <w:pStyle w:val="subsection"/>
              <w:ind w:left="0" w:firstLine="0"/>
            </w:pPr>
            <w:r>
              <w:t>Paragraphs 2 and 3 of Clause 4.5</w:t>
            </w:r>
          </w:p>
        </w:tc>
        <w:tc>
          <w:tcPr>
            <w:tcW w:w="6753" w:type="dxa"/>
          </w:tcPr>
          <w:p w14:paraId="6EDA77E8" w14:textId="77777777" w:rsidR="00475482" w:rsidRDefault="008C1CB6" w:rsidP="00475482">
            <w:pPr>
              <w:pStyle w:val="subsection"/>
              <w:ind w:left="0" w:firstLine="0"/>
            </w:pPr>
            <w:r>
              <w:t>These paragraphs of this clause do not apply.</w:t>
            </w:r>
          </w:p>
        </w:tc>
      </w:tr>
      <w:tr w:rsidR="00475482" w14:paraId="0400ED73" w14:textId="77777777" w:rsidTr="00475482">
        <w:tc>
          <w:tcPr>
            <w:tcW w:w="709" w:type="dxa"/>
          </w:tcPr>
          <w:p w14:paraId="2EFCA97B" w14:textId="77777777" w:rsidR="00475482" w:rsidRDefault="00475482" w:rsidP="00475482">
            <w:pPr>
              <w:pStyle w:val="subsection"/>
              <w:ind w:left="0" w:firstLine="0"/>
            </w:pPr>
            <w:r>
              <w:lastRenderedPageBreak/>
              <w:t>3.7</w:t>
            </w:r>
          </w:p>
        </w:tc>
        <w:tc>
          <w:tcPr>
            <w:tcW w:w="1417" w:type="dxa"/>
          </w:tcPr>
          <w:p w14:paraId="2DFEAEA6" w14:textId="77777777" w:rsidR="00475482" w:rsidRDefault="008C1CB6" w:rsidP="00475482">
            <w:pPr>
              <w:pStyle w:val="subsection"/>
              <w:ind w:left="0" w:firstLine="0"/>
            </w:pPr>
            <w:r>
              <w:t>Clause 5.0</w:t>
            </w:r>
          </w:p>
        </w:tc>
        <w:tc>
          <w:tcPr>
            <w:tcW w:w="6753" w:type="dxa"/>
          </w:tcPr>
          <w:p w14:paraId="1E7EDD6A" w14:textId="77777777" w:rsidR="00475482" w:rsidRDefault="00475482" w:rsidP="00475482">
            <w:pPr>
              <w:pStyle w:val="subsection"/>
              <w:ind w:left="0" w:firstLine="0"/>
            </w:pPr>
            <w:r>
              <w:t>This clause does not apply.</w:t>
            </w:r>
          </w:p>
        </w:tc>
      </w:tr>
      <w:tr w:rsidR="00475482" w14:paraId="3B841CA6" w14:textId="77777777" w:rsidTr="00475482">
        <w:tc>
          <w:tcPr>
            <w:tcW w:w="709" w:type="dxa"/>
          </w:tcPr>
          <w:p w14:paraId="32A20243" w14:textId="77777777" w:rsidR="00475482" w:rsidRDefault="00475482" w:rsidP="00475482">
            <w:pPr>
              <w:pStyle w:val="subsection"/>
              <w:ind w:left="0" w:firstLine="0"/>
            </w:pPr>
            <w:r>
              <w:t>3.8</w:t>
            </w:r>
          </w:p>
        </w:tc>
        <w:tc>
          <w:tcPr>
            <w:tcW w:w="1417" w:type="dxa"/>
          </w:tcPr>
          <w:p w14:paraId="0C3D81A2" w14:textId="77777777" w:rsidR="00475482" w:rsidRDefault="008C1CB6" w:rsidP="00475482">
            <w:pPr>
              <w:pStyle w:val="subsection"/>
              <w:ind w:left="0" w:firstLine="0"/>
            </w:pPr>
            <w:r>
              <w:t>Clause 5</w:t>
            </w:r>
            <w:r w:rsidR="00475482">
              <w:t>.1</w:t>
            </w:r>
          </w:p>
        </w:tc>
        <w:tc>
          <w:tcPr>
            <w:tcW w:w="6753" w:type="dxa"/>
          </w:tcPr>
          <w:p w14:paraId="2EA2EDA8" w14:textId="77777777" w:rsidR="00475482" w:rsidRDefault="00475482" w:rsidP="00475482">
            <w:pPr>
              <w:pStyle w:val="subsection"/>
              <w:ind w:left="0" w:firstLine="0"/>
            </w:pPr>
            <w:r>
              <w:t>This clause does not apply.</w:t>
            </w:r>
          </w:p>
        </w:tc>
      </w:tr>
      <w:tr w:rsidR="00475482" w14:paraId="1660DFE4" w14:textId="77777777" w:rsidTr="00475482">
        <w:tc>
          <w:tcPr>
            <w:tcW w:w="709" w:type="dxa"/>
          </w:tcPr>
          <w:p w14:paraId="564BE53E" w14:textId="77777777" w:rsidR="00475482" w:rsidRDefault="00475482" w:rsidP="00475482">
            <w:pPr>
              <w:pStyle w:val="subsection"/>
              <w:ind w:left="0" w:firstLine="0"/>
            </w:pPr>
            <w:r>
              <w:t>3.9</w:t>
            </w:r>
          </w:p>
        </w:tc>
        <w:tc>
          <w:tcPr>
            <w:tcW w:w="1417" w:type="dxa"/>
          </w:tcPr>
          <w:p w14:paraId="38A66CAA" w14:textId="77777777" w:rsidR="00475482" w:rsidRDefault="008C1CB6" w:rsidP="00475482">
            <w:pPr>
              <w:pStyle w:val="subsection"/>
              <w:ind w:left="0" w:firstLine="0"/>
            </w:pPr>
            <w:r>
              <w:t>Clause 5.3</w:t>
            </w:r>
          </w:p>
        </w:tc>
        <w:tc>
          <w:tcPr>
            <w:tcW w:w="6753" w:type="dxa"/>
          </w:tcPr>
          <w:p w14:paraId="63A39A3C" w14:textId="77777777" w:rsidR="00475482" w:rsidRDefault="00475482" w:rsidP="00475482">
            <w:pPr>
              <w:pStyle w:val="subsection"/>
              <w:ind w:left="0" w:firstLine="0"/>
            </w:pPr>
            <w:r>
              <w:t>This clause does not apply.</w:t>
            </w:r>
          </w:p>
        </w:tc>
      </w:tr>
      <w:tr w:rsidR="00C53D90" w14:paraId="54F35E70" w14:textId="77777777" w:rsidTr="00475482">
        <w:tc>
          <w:tcPr>
            <w:tcW w:w="709" w:type="dxa"/>
          </w:tcPr>
          <w:p w14:paraId="1D79FD7B" w14:textId="77777777" w:rsidR="00C53D90" w:rsidRDefault="00C53D90" w:rsidP="00C53D90">
            <w:pPr>
              <w:pStyle w:val="subsection"/>
              <w:ind w:left="0" w:firstLine="0"/>
            </w:pPr>
            <w:r>
              <w:t>3.10</w:t>
            </w:r>
          </w:p>
        </w:tc>
        <w:tc>
          <w:tcPr>
            <w:tcW w:w="1417" w:type="dxa"/>
          </w:tcPr>
          <w:p w14:paraId="6BFE0E61" w14:textId="77777777" w:rsidR="00C53D90" w:rsidRDefault="00C53D90" w:rsidP="00C53D90">
            <w:pPr>
              <w:pStyle w:val="subsection"/>
              <w:ind w:left="0" w:firstLine="0"/>
            </w:pPr>
            <w:r>
              <w:t>Section 7</w:t>
            </w:r>
          </w:p>
        </w:tc>
        <w:tc>
          <w:tcPr>
            <w:tcW w:w="6753" w:type="dxa"/>
          </w:tcPr>
          <w:p w14:paraId="0C7A9002" w14:textId="77777777" w:rsidR="00C53D90" w:rsidRDefault="00C53D90" w:rsidP="00C53D90">
            <w:pPr>
              <w:pStyle w:val="subsection"/>
              <w:ind w:left="0" w:firstLine="0"/>
            </w:pPr>
            <w:r>
              <w:t xml:space="preserve">This section does not apply. </w:t>
            </w:r>
          </w:p>
        </w:tc>
      </w:tr>
      <w:tr w:rsidR="00C53D90" w14:paraId="4C1D8D42" w14:textId="77777777" w:rsidTr="00475482">
        <w:tc>
          <w:tcPr>
            <w:tcW w:w="709" w:type="dxa"/>
          </w:tcPr>
          <w:p w14:paraId="177AD3FE" w14:textId="77777777" w:rsidR="00C53D90" w:rsidRDefault="00C53D90" w:rsidP="00C53D90">
            <w:pPr>
              <w:pStyle w:val="subsection"/>
              <w:ind w:left="0" w:firstLine="0"/>
            </w:pPr>
            <w:r>
              <w:t>3.11</w:t>
            </w:r>
          </w:p>
        </w:tc>
        <w:tc>
          <w:tcPr>
            <w:tcW w:w="1417" w:type="dxa"/>
          </w:tcPr>
          <w:p w14:paraId="5E2380ED" w14:textId="77777777" w:rsidR="00C53D90" w:rsidRDefault="00C53D90" w:rsidP="00C53D90">
            <w:pPr>
              <w:pStyle w:val="subsection"/>
              <w:ind w:left="0" w:firstLine="0"/>
            </w:pPr>
            <w:r>
              <w:t>Clause 9.1</w:t>
            </w:r>
          </w:p>
        </w:tc>
        <w:tc>
          <w:tcPr>
            <w:tcW w:w="6753" w:type="dxa"/>
          </w:tcPr>
          <w:p w14:paraId="1315F325" w14:textId="77777777" w:rsidR="00C53D90" w:rsidRDefault="00C53D90" w:rsidP="00C53D90">
            <w:pPr>
              <w:pStyle w:val="subsection"/>
              <w:ind w:left="0" w:firstLine="0"/>
            </w:pPr>
            <w:r>
              <w:t>This clause does not apply.</w:t>
            </w:r>
          </w:p>
        </w:tc>
      </w:tr>
      <w:tr w:rsidR="00C53D90" w14:paraId="69C2A2B6" w14:textId="77777777" w:rsidTr="00475482">
        <w:tc>
          <w:tcPr>
            <w:tcW w:w="709" w:type="dxa"/>
          </w:tcPr>
          <w:p w14:paraId="24C10D5F" w14:textId="77777777" w:rsidR="00C53D90" w:rsidRDefault="00C53D90" w:rsidP="00C53D90">
            <w:pPr>
              <w:pStyle w:val="subsection"/>
              <w:ind w:left="0" w:firstLine="0"/>
            </w:pPr>
            <w:r>
              <w:t>3.12</w:t>
            </w:r>
          </w:p>
        </w:tc>
        <w:tc>
          <w:tcPr>
            <w:tcW w:w="1417" w:type="dxa"/>
          </w:tcPr>
          <w:p w14:paraId="1D2ABAAC" w14:textId="77777777" w:rsidR="00C53D90" w:rsidRDefault="00C53D90" w:rsidP="00C53D90">
            <w:pPr>
              <w:pStyle w:val="subsection"/>
              <w:ind w:left="0" w:firstLine="0"/>
            </w:pPr>
            <w:r>
              <w:t>Clause 9.2</w:t>
            </w:r>
          </w:p>
        </w:tc>
        <w:tc>
          <w:tcPr>
            <w:tcW w:w="6753" w:type="dxa"/>
          </w:tcPr>
          <w:p w14:paraId="0B482511" w14:textId="77777777" w:rsidR="00C53D90" w:rsidRDefault="00C53D90" w:rsidP="00C53D90">
            <w:pPr>
              <w:pStyle w:val="subsection"/>
              <w:ind w:left="0" w:firstLine="0"/>
            </w:pPr>
            <w:r>
              <w:t>This clause does not apply.</w:t>
            </w:r>
          </w:p>
        </w:tc>
      </w:tr>
      <w:tr w:rsidR="00C53D90" w14:paraId="0CE01D47" w14:textId="77777777" w:rsidTr="00475482">
        <w:tc>
          <w:tcPr>
            <w:tcW w:w="709" w:type="dxa"/>
          </w:tcPr>
          <w:p w14:paraId="6AE92064" w14:textId="77777777" w:rsidR="00C53D90" w:rsidRDefault="00C53D90" w:rsidP="00C53D90">
            <w:pPr>
              <w:pStyle w:val="subsection"/>
              <w:ind w:left="0" w:firstLine="0"/>
            </w:pPr>
            <w:r>
              <w:t>3.13</w:t>
            </w:r>
          </w:p>
        </w:tc>
        <w:tc>
          <w:tcPr>
            <w:tcW w:w="1417" w:type="dxa"/>
          </w:tcPr>
          <w:p w14:paraId="0C8C9B56" w14:textId="77777777" w:rsidR="00C53D90" w:rsidRDefault="00C53D90" w:rsidP="00C53D90">
            <w:pPr>
              <w:pStyle w:val="subsection"/>
              <w:ind w:left="0" w:firstLine="0"/>
            </w:pPr>
            <w:r>
              <w:t>Clause 9.11</w:t>
            </w:r>
          </w:p>
        </w:tc>
        <w:tc>
          <w:tcPr>
            <w:tcW w:w="6753" w:type="dxa"/>
          </w:tcPr>
          <w:p w14:paraId="092FE13A" w14:textId="77777777" w:rsidR="00C53D90" w:rsidRDefault="00C53D90" w:rsidP="00C53D90">
            <w:pPr>
              <w:pStyle w:val="subsection"/>
              <w:ind w:left="0" w:firstLine="0"/>
            </w:pPr>
            <w:r>
              <w:t>This clause does not apply.</w:t>
            </w:r>
          </w:p>
        </w:tc>
      </w:tr>
      <w:tr w:rsidR="00C53D90" w14:paraId="6E7F11F6" w14:textId="77777777" w:rsidTr="00475482">
        <w:tc>
          <w:tcPr>
            <w:tcW w:w="709" w:type="dxa"/>
          </w:tcPr>
          <w:p w14:paraId="0CCFF0E8" w14:textId="77777777" w:rsidR="00C53D90" w:rsidRDefault="00C53D90" w:rsidP="00C53D90">
            <w:pPr>
              <w:pStyle w:val="subsection"/>
              <w:ind w:left="0" w:firstLine="0"/>
            </w:pPr>
            <w:r>
              <w:t>3.14</w:t>
            </w:r>
          </w:p>
        </w:tc>
        <w:tc>
          <w:tcPr>
            <w:tcW w:w="1417" w:type="dxa"/>
          </w:tcPr>
          <w:p w14:paraId="2059AC08" w14:textId="77777777" w:rsidR="00C53D90" w:rsidRDefault="00C53D90" w:rsidP="00C53D90">
            <w:pPr>
              <w:pStyle w:val="subsection"/>
              <w:ind w:left="0" w:firstLine="0"/>
            </w:pPr>
            <w:r>
              <w:t>Clause 9.13</w:t>
            </w:r>
          </w:p>
        </w:tc>
        <w:tc>
          <w:tcPr>
            <w:tcW w:w="6753" w:type="dxa"/>
          </w:tcPr>
          <w:p w14:paraId="2B2967C7" w14:textId="77777777" w:rsidR="00C53D90" w:rsidRDefault="00C53D90" w:rsidP="00C53D90">
            <w:pPr>
              <w:pStyle w:val="subsection"/>
              <w:ind w:left="0" w:firstLine="0"/>
            </w:pPr>
            <w:r>
              <w:t>This clause does not apply.</w:t>
            </w:r>
          </w:p>
        </w:tc>
      </w:tr>
    </w:tbl>
    <w:p w14:paraId="1BE0EDF3" w14:textId="77777777" w:rsidR="00475482" w:rsidRPr="002D3270" w:rsidRDefault="00296781" w:rsidP="00296781">
      <w:pPr>
        <w:pStyle w:val="Definition"/>
        <w:tabs>
          <w:tab w:val="left" w:pos="1985"/>
        </w:tabs>
        <w:spacing w:before="240"/>
        <w:ind w:left="1571" w:hanging="851"/>
        <w:rPr>
          <w:sz w:val="18"/>
          <w:szCs w:val="18"/>
        </w:rPr>
      </w:pPr>
      <w:r w:rsidRPr="002D3270">
        <w:rPr>
          <w:sz w:val="18"/>
          <w:szCs w:val="18"/>
        </w:rPr>
        <w:t>Note:</w:t>
      </w:r>
      <w:r w:rsidRPr="002D3270">
        <w:rPr>
          <w:sz w:val="18"/>
          <w:szCs w:val="18"/>
        </w:rPr>
        <w:tab/>
        <w:t xml:space="preserve">AS/NZS ETSI EN 302 885 and ETSI EN 302 885 are incorporated as in force at the times mentioned in section 15 with the modifications specified in the above table. </w:t>
      </w:r>
    </w:p>
    <w:sectPr w:rsidR="00475482" w:rsidRPr="002D3270" w:rsidSect="00957210">
      <w:head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37AEF" w14:textId="77777777" w:rsidR="00802661" w:rsidRDefault="00802661" w:rsidP="0017734A">
      <w:pPr>
        <w:spacing w:after="0" w:line="240" w:lineRule="auto"/>
      </w:pPr>
      <w:r>
        <w:separator/>
      </w:r>
    </w:p>
  </w:endnote>
  <w:endnote w:type="continuationSeparator" w:id="0">
    <w:p w14:paraId="3BEA2312" w14:textId="77777777" w:rsidR="00802661" w:rsidRDefault="00802661"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NeueW01-75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8A639" w14:textId="77777777" w:rsidR="006928BC" w:rsidRDefault="006928BC" w:rsidP="00381B3D">
    <w:pPr>
      <w:pStyle w:val="Footer"/>
      <w:pBdr>
        <w:top w:val="single" w:sz="4" w:space="1" w:color="auto"/>
      </w:pBdr>
      <w:jc w:val="center"/>
      <w:rPr>
        <w:rFonts w:ascii="Times New Roman" w:hAnsi="Times New Roman" w:cs="Times New Roman"/>
        <w:i/>
        <w:sz w:val="18"/>
        <w:szCs w:val="18"/>
      </w:rPr>
    </w:pPr>
  </w:p>
  <w:p w14:paraId="794DAA27" w14:textId="77777777" w:rsidR="006928BC" w:rsidRPr="00703828" w:rsidRDefault="006928BC" w:rsidP="00381B3D">
    <w:pPr>
      <w:pStyle w:val="Footer"/>
      <w:pBdr>
        <w:top w:val="single" w:sz="4" w:space="1" w:color="auto"/>
      </w:pBdr>
      <w:jc w:val="center"/>
      <w:rPr>
        <w:rFonts w:ascii="Times New Roman" w:hAnsi="Times New Roman" w:cs="Times New Roman"/>
        <w:i/>
        <w:sz w:val="18"/>
        <w:szCs w:val="18"/>
      </w:rPr>
    </w:pPr>
    <w:r w:rsidRPr="00705C61">
      <w:rPr>
        <w:rFonts w:ascii="Times New Roman" w:hAnsi="Times New Roman" w:cs="Times New Roman"/>
        <w:i/>
        <w:sz w:val="18"/>
        <w:szCs w:val="18"/>
      </w:rPr>
      <w:t>Radiocommunications (VHF Radiotelephone Equipment – Maritime Mobile Service) Standard 2018</w:t>
    </w:r>
  </w:p>
  <w:p w14:paraId="244CC531" w14:textId="77777777" w:rsidR="006928BC" w:rsidRPr="00705C61" w:rsidRDefault="00E53EBA" w:rsidP="00E53EBA">
    <w:pPr>
      <w:pStyle w:val="Footer"/>
      <w:jc w:val="right"/>
      <w:rPr>
        <w:rFonts w:ascii="Arial" w:hAnsi="Arial" w:cs="Arial"/>
        <w:noProof/>
        <w:sz w:val="18"/>
        <w:szCs w:val="18"/>
      </w:rPr>
    </w:pPr>
    <w:r w:rsidRPr="00705C61">
      <w:rPr>
        <w:rFonts w:ascii="Arial" w:hAnsi="Arial" w:cs="Arial"/>
        <w:noProof/>
        <w:sz w:val="18"/>
        <w:szCs w:val="18"/>
      </w:rPr>
      <w:fldChar w:fldCharType="begin"/>
    </w:r>
    <w:r w:rsidRPr="00705C61">
      <w:rPr>
        <w:rFonts w:ascii="Arial" w:hAnsi="Arial" w:cs="Arial"/>
        <w:noProof/>
        <w:sz w:val="18"/>
        <w:szCs w:val="18"/>
      </w:rPr>
      <w:instrText xml:space="preserve"> PAGE   \* MERGEFORMAT </w:instrText>
    </w:r>
    <w:r w:rsidRPr="00705C61">
      <w:rPr>
        <w:rFonts w:ascii="Arial" w:hAnsi="Arial" w:cs="Arial"/>
        <w:noProof/>
        <w:sz w:val="18"/>
        <w:szCs w:val="18"/>
      </w:rPr>
      <w:fldChar w:fldCharType="separate"/>
    </w:r>
    <w:r w:rsidR="000E2775">
      <w:rPr>
        <w:rFonts w:ascii="Arial" w:hAnsi="Arial" w:cs="Arial"/>
        <w:noProof/>
        <w:sz w:val="18"/>
        <w:szCs w:val="18"/>
      </w:rPr>
      <w:t>2</w:t>
    </w:r>
    <w:r w:rsidRPr="00705C61">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A910D" w14:textId="77777777" w:rsidR="00802661" w:rsidRDefault="00802661" w:rsidP="0017734A">
      <w:pPr>
        <w:spacing w:after="0" w:line="240" w:lineRule="auto"/>
      </w:pPr>
      <w:r>
        <w:separator/>
      </w:r>
    </w:p>
  </w:footnote>
  <w:footnote w:type="continuationSeparator" w:id="0">
    <w:p w14:paraId="5C81441C" w14:textId="77777777" w:rsidR="00802661" w:rsidRDefault="00802661" w:rsidP="0017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CEF9A" w14:textId="77777777" w:rsidR="006928BC" w:rsidRDefault="006928BC">
    <w:pPr>
      <w:pStyle w:val="Header"/>
    </w:pPr>
  </w:p>
  <w:p w14:paraId="5870C9ED" w14:textId="77777777" w:rsidR="006928BC" w:rsidRDefault="006928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C6B7F" w14:textId="77777777" w:rsidR="006928BC" w:rsidRDefault="006928BC" w:rsidP="00E7332E">
    <w:pPr>
      <w:pStyle w:val="Header"/>
      <w:tabs>
        <w:tab w:val="clear" w:pos="4513"/>
        <w:tab w:val="clear" w:pos="9026"/>
        <w:tab w:val="left" w:pos="320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B955F" w14:textId="420229B9" w:rsidR="00E53EBA" w:rsidRPr="00E53EBA" w:rsidRDefault="00E53EBA" w:rsidP="00E53EBA">
    <w:pPr>
      <w:pStyle w:val="Header"/>
      <w:pBdr>
        <w:bottom w:val="single" w:sz="4" w:space="1" w:color="auto"/>
      </w:pBdr>
      <w:rPr>
        <w:rFonts w:ascii="Arial" w:hAnsi="Arial" w:cs="Arial"/>
        <w:sz w:val="20"/>
      </w:rPr>
    </w:pPr>
    <w:r w:rsidRPr="00E53EBA">
      <w:rPr>
        <w:rFonts w:ascii="Arial" w:hAnsi="Arial" w:cs="Arial"/>
        <w:sz w:val="20"/>
      </w:rPr>
      <w:t xml:space="preserve">Section </w:t>
    </w:r>
    <w:r w:rsidRPr="00E53EBA">
      <w:rPr>
        <w:rFonts w:ascii="Arial" w:hAnsi="Arial" w:cs="Arial"/>
        <w:sz w:val="20"/>
      </w:rPr>
      <w:fldChar w:fldCharType="begin"/>
    </w:r>
    <w:r w:rsidRPr="00E53EBA">
      <w:rPr>
        <w:rFonts w:ascii="Arial" w:hAnsi="Arial" w:cs="Arial"/>
        <w:sz w:val="20"/>
      </w:rPr>
      <w:instrText xml:space="preserve"> STYLEREF  CharSectno  \* MERGEFORMAT </w:instrText>
    </w:r>
    <w:r w:rsidRPr="00E53EBA">
      <w:rPr>
        <w:rFonts w:ascii="Arial" w:hAnsi="Arial" w:cs="Arial"/>
        <w:sz w:val="20"/>
      </w:rPr>
      <w:fldChar w:fldCharType="separate"/>
    </w:r>
    <w:r w:rsidR="00D26669">
      <w:rPr>
        <w:rFonts w:ascii="Arial" w:hAnsi="Arial" w:cs="Arial"/>
        <w:noProof/>
        <w:sz w:val="20"/>
      </w:rPr>
      <w:t>16</w:t>
    </w:r>
    <w:r w:rsidRPr="00E53EBA">
      <w:rPr>
        <w:rFonts w:ascii="Arial" w:hAnsi="Arial" w:cs="Arial"/>
        <w:sz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96D94" w14:textId="4C05379B" w:rsidR="00705C61" w:rsidRDefault="00705C61" w:rsidP="00E53EBA">
    <w:pPr>
      <w:pStyle w:val="Header"/>
      <w:pBdr>
        <w:bottom w:val="single" w:sz="4" w:space="1" w:color="auto"/>
      </w:pBdr>
      <w:rPr>
        <w:rFonts w:ascii="Arial" w:hAnsi="Arial" w:cs="Arial"/>
        <w:sz w:val="20"/>
      </w:rPr>
    </w:pPr>
    <w:r w:rsidRPr="00E53EBA">
      <w:rPr>
        <w:rFonts w:ascii="Arial" w:hAnsi="Arial" w:cs="Arial"/>
        <w:sz w:val="20"/>
      </w:rPr>
      <w:fldChar w:fldCharType="begin"/>
    </w:r>
    <w:r w:rsidRPr="00E53EBA">
      <w:rPr>
        <w:rFonts w:ascii="Arial" w:hAnsi="Arial" w:cs="Arial"/>
        <w:sz w:val="20"/>
      </w:rPr>
      <w:instrText xml:space="preserve"> STYLEREF  CharSectno  \* MERGEFORMAT </w:instrText>
    </w:r>
    <w:r w:rsidRPr="00E53EBA">
      <w:rPr>
        <w:rFonts w:ascii="Arial" w:hAnsi="Arial" w:cs="Arial"/>
        <w:sz w:val="20"/>
      </w:rPr>
      <w:fldChar w:fldCharType="separate"/>
    </w:r>
    <w:r w:rsidR="00D26669">
      <w:rPr>
        <w:rFonts w:ascii="Arial" w:hAnsi="Arial" w:cs="Arial"/>
        <w:noProof/>
        <w:sz w:val="20"/>
      </w:rPr>
      <w:t>Schedule 1</w:t>
    </w:r>
    <w:r w:rsidRPr="00E53EBA">
      <w:rPr>
        <w:rFonts w:ascii="Arial" w:hAnsi="Arial" w:cs="Arial"/>
        <w:sz w:val="20"/>
      </w:rPr>
      <w:fldChar w:fldCharType="end"/>
    </w:r>
  </w:p>
  <w:p w14:paraId="587DBA25" w14:textId="77777777" w:rsidR="00705C61" w:rsidRPr="00E53EBA" w:rsidRDefault="00705C61" w:rsidP="00E53EBA">
    <w:pPr>
      <w:pStyle w:val="Header"/>
      <w:pBdr>
        <w:bottom w:val="single" w:sz="4" w:space="1" w:color="auto"/>
      </w:pBd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837D6"/>
    <w:multiLevelType w:val="hybridMultilevel"/>
    <w:tmpl w:val="C7988430"/>
    <w:lvl w:ilvl="0" w:tplc="BBE48DA6">
      <w:start w:val="1"/>
      <w:numFmt w:val="lowerLetter"/>
      <w:pStyle w:val="DraftingParagraph"/>
      <w:lvlText w:val="(%1)"/>
      <w:lvlJc w:val="left"/>
      <w:pPr>
        <w:ind w:left="1920" w:hanging="360"/>
      </w:pPr>
      <w:rPr>
        <w:rFonts w:hint="default"/>
      </w:rPr>
    </w:lvl>
    <w:lvl w:ilvl="1" w:tplc="0C090019">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1" w15:restartNumberingAfterBreak="0">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B425C8C"/>
    <w:multiLevelType w:val="hybridMultilevel"/>
    <w:tmpl w:val="8DDEDF84"/>
    <w:lvl w:ilvl="0" w:tplc="B1EE667E">
      <w:start w:val="2"/>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F2F7294"/>
    <w:multiLevelType w:val="hybridMultilevel"/>
    <w:tmpl w:val="618A4078"/>
    <w:lvl w:ilvl="0" w:tplc="819A5D0E">
      <w:start w:val="2"/>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 w15:restartNumberingAfterBreak="0">
    <w:nsid w:val="257527B9"/>
    <w:multiLevelType w:val="hybridMultilevel"/>
    <w:tmpl w:val="93D4C986"/>
    <w:lvl w:ilvl="0" w:tplc="9AC2862A">
      <w:start w:val="1"/>
      <w:numFmt w:val="lowerLetter"/>
      <w:lvlText w:val="(%1)"/>
      <w:lvlJc w:val="left"/>
      <w:pPr>
        <w:ind w:left="2360" w:hanging="375"/>
      </w:pPr>
      <w:rPr>
        <w:rFonts w:hint="default"/>
      </w:rPr>
    </w:lvl>
    <w:lvl w:ilvl="1" w:tplc="0C090019">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6" w15:restartNumberingAfterBreak="0">
    <w:nsid w:val="2BEE0398"/>
    <w:multiLevelType w:val="hybridMultilevel"/>
    <w:tmpl w:val="714E2378"/>
    <w:lvl w:ilvl="0" w:tplc="6E760B44">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E006A0B"/>
    <w:multiLevelType w:val="hybridMultilevel"/>
    <w:tmpl w:val="C1EE7C22"/>
    <w:lvl w:ilvl="0" w:tplc="EE9C7B2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305432"/>
    <w:multiLevelType w:val="hybridMultilevel"/>
    <w:tmpl w:val="9ADEB7A0"/>
    <w:lvl w:ilvl="0" w:tplc="791455DE">
      <w:start w:val="1"/>
      <w:numFmt w:val="lowerLetter"/>
      <w:lvlText w:val="(%1)"/>
      <w:lvlJc w:val="left"/>
      <w:pPr>
        <w:ind w:left="1636" w:hanging="360"/>
      </w:pPr>
      <w:rPr>
        <w:rFonts w:hint="default"/>
      </w:rPr>
    </w:lvl>
    <w:lvl w:ilvl="1" w:tplc="0C090019" w:tentative="1">
      <w:start w:val="1"/>
      <w:numFmt w:val="lowerLetter"/>
      <w:lvlText w:val="%2."/>
      <w:lvlJc w:val="left"/>
      <w:pPr>
        <w:ind w:left="1803" w:hanging="360"/>
      </w:pPr>
    </w:lvl>
    <w:lvl w:ilvl="2" w:tplc="0C09001B" w:tentative="1">
      <w:start w:val="1"/>
      <w:numFmt w:val="lowerRoman"/>
      <w:lvlText w:val="%3."/>
      <w:lvlJc w:val="right"/>
      <w:pPr>
        <w:ind w:left="2523" w:hanging="180"/>
      </w:pPr>
    </w:lvl>
    <w:lvl w:ilvl="3" w:tplc="0C09000F" w:tentative="1">
      <w:start w:val="1"/>
      <w:numFmt w:val="decimal"/>
      <w:lvlText w:val="%4."/>
      <w:lvlJc w:val="left"/>
      <w:pPr>
        <w:ind w:left="3243" w:hanging="360"/>
      </w:pPr>
    </w:lvl>
    <w:lvl w:ilvl="4" w:tplc="0C090019" w:tentative="1">
      <w:start w:val="1"/>
      <w:numFmt w:val="lowerLetter"/>
      <w:lvlText w:val="%5."/>
      <w:lvlJc w:val="left"/>
      <w:pPr>
        <w:ind w:left="3963" w:hanging="360"/>
      </w:pPr>
    </w:lvl>
    <w:lvl w:ilvl="5" w:tplc="0C09001B" w:tentative="1">
      <w:start w:val="1"/>
      <w:numFmt w:val="lowerRoman"/>
      <w:lvlText w:val="%6."/>
      <w:lvlJc w:val="right"/>
      <w:pPr>
        <w:ind w:left="4683" w:hanging="180"/>
      </w:pPr>
    </w:lvl>
    <w:lvl w:ilvl="6" w:tplc="0C09000F" w:tentative="1">
      <w:start w:val="1"/>
      <w:numFmt w:val="decimal"/>
      <w:lvlText w:val="%7."/>
      <w:lvlJc w:val="left"/>
      <w:pPr>
        <w:ind w:left="5403" w:hanging="360"/>
      </w:pPr>
    </w:lvl>
    <w:lvl w:ilvl="7" w:tplc="0C090019" w:tentative="1">
      <w:start w:val="1"/>
      <w:numFmt w:val="lowerLetter"/>
      <w:lvlText w:val="%8."/>
      <w:lvlJc w:val="left"/>
      <w:pPr>
        <w:ind w:left="6123" w:hanging="360"/>
      </w:pPr>
    </w:lvl>
    <w:lvl w:ilvl="8" w:tplc="0C09001B" w:tentative="1">
      <w:start w:val="1"/>
      <w:numFmt w:val="lowerRoman"/>
      <w:lvlText w:val="%9."/>
      <w:lvlJc w:val="right"/>
      <w:pPr>
        <w:ind w:left="6843" w:hanging="180"/>
      </w:pPr>
    </w:lvl>
  </w:abstractNum>
  <w:abstractNum w:abstractNumId="10" w15:restartNumberingAfterBreak="0">
    <w:nsid w:val="359B3244"/>
    <w:multiLevelType w:val="hybridMultilevel"/>
    <w:tmpl w:val="46EC384C"/>
    <w:lvl w:ilvl="0" w:tplc="E64A5B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D6A59C0"/>
    <w:multiLevelType w:val="hybridMultilevel"/>
    <w:tmpl w:val="438A6328"/>
    <w:lvl w:ilvl="0" w:tplc="54EC5FC6">
      <w:start w:val="1"/>
      <w:numFmt w:val="lowerRoman"/>
      <w:lvlText w:val="(%1)"/>
      <w:lvlJc w:val="left"/>
      <w:pPr>
        <w:ind w:left="3054" w:hanging="360"/>
      </w:pPr>
      <w:rPr>
        <w:rFonts w:ascii="Times New Roman" w:eastAsia="Times New Roman" w:hAnsi="Times New Roman" w:cs="Times New Roman"/>
      </w:rPr>
    </w:lvl>
    <w:lvl w:ilvl="1" w:tplc="0C090019" w:tentative="1">
      <w:start w:val="1"/>
      <w:numFmt w:val="lowerLetter"/>
      <w:lvlText w:val="%2."/>
      <w:lvlJc w:val="left"/>
      <w:pPr>
        <w:ind w:left="3774" w:hanging="360"/>
      </w:pPr>
    </w:lvl>
    <w:lvl w:ilvl="2" w:tplc="0C09001B" w:tentative="1">
      <w:start w:val="1"/>
      <w:numFmt w:val="lowerRoman"/>
      <w:lvlText w:val="%3."/>
      <w:lvlJc w:val="right"/>
      <w:pPr>
        <w:ind w:left="4494" w:hanging="180"/>
      </w:pPr>
    </w:lvl>
    <w:lvl w:ilvl="3" w:tplc="0C09000F" w:tentative="1">
      <w:start w:val="1"/>
      <w:numFmt w:val="decimal"/>
      <w:lvlText w:val="%4."/>
      <w:lvlJc w:val="left"/>
      <w:pPr>
        <w:ind w:left="5214" w:hanging="360"/>
      </w:pPr>
    </w:lvl>
    <w:lvl w:ilvl="4" w:tplc="0C090019" w:tentative="1">
      <w:start w:val="1"/>
      <w:numFmt w:val="lowerLetter"/>
      <w:lvlText w:val="%5."/>
      <w:lvlJc w:val="left"/>
      <w:pPr>
        <w:ind w:left="5934" w:hanging="360"/>
      </w:pPr>
    </w:lvl>
    <w:lvl w:ilvl="5" w:tplc="0C09001B" w:tentative="1">
      <w:start w:val="1"/>
      <w:numFmt w:val="lowerRoman"/>
      <w:lvlText w:val="%6."/>
      <w:lvlJc w:val="right"/>
      <w:pPr>
        <w:ind w:left="6654" w:hanging="180"/>
      </w:pPr>
    </w:lvl>
    <w:lvl w:ilvl="6" w:tplc="0C09000F" w:tentative="1">
      <w:start w:val="1"/>
      <w:numFmt w:val="decimal"/>
      <w:lvlText w:val="%7."/>
      <w:lvlJc w:val="left"/>
      <w:pPr>
        <w:ind w:left="7374" w:hanging="360"/>
      </w:pPr>
    </w:lvl>
    <w:lvl w:ilvl="7" w:tplc="0C090019" w:tentative="1">
      <w:start w:val="1"/>
      <w:numFmt w:val="lowerLetter"/>
      <w:lvlText w:val="%8."/>
      <w:lvlJc w:val="left"/>
      <w:pPr>
        <w:ind w:left="8094" w:hanging="360"/>
      </w:pPr>
    </w:lvl>
    <w:lvl w:ilvl="8" w:tplc="0C09001B" w:tentative="1">
      <w:start w:val="1"/>
      <w:numFmt w:val="lowerRoman"/>
      <w:lvlText w:val="%9."/>
      <w:lvlJc w:val="right"/>
      <w:pPr>
        <w:ind w:left="8814" w:hanging="180"/>
      </w:pPr>
    </w:lvl>
  </w:abstractNum>
  <w:abstractNum w:abstractNumId="13" w15:restartNumberingAfterBreak="0">
    <w:nsid w:val="3E4F2615"/>
    <w:multiLevelType w:val="hybridMultilevel"/>
    <w:tmpl w:val="C7F6D1B6"/>
    <w:lvl w:ilvl="0" w:tplc="3F38C888">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EF9106E"/>
    <w:multiLevelType w:val="hybridMultilevel"/>
    <w:tmpl w:val="00783840"/>
    <w:lvl w:ilvl="0" w:tplc="32F0985C">
      <w:start w:val="1"/>
      <w:numFmt w:val="lowerLetter"/>
      <w:lvlText w:val="(%1)"/>
      <w:lvlJc w:val="left"/>
      <w:pPr>
        <w:ind w:left="2345" w:hanging="360"/>
      </w:pPr>
      <w:rPr>
        <w:rFonts w:hint="default"/>
      </w:rPr>
    </w:lvl>
    <w:lvl w:ilvl="1" w:tplc="A748EEF6">
      <w:start w:val="1"/>
      <w:numFmt w:val="lowerRoman"/>
      <w:lvlText w:val="(%2)"/>
      <w:lvlJc w:val="right"/>
      <w:pPr>
        <w:ind w:left="3065" w:hanging="360"/>
      </w:pPr>
      <w:rPr>
        <w:rFonts w:ascii="Times New Roman" w:eastAsia="Times New Roman" w:hAnsi="Times New Roman" w:cs="Times New Roman" w:hint="default"/>
      </w:r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5" w15:restartNumberingAfterBreak="0">
    <w:nsid w:val="42F0433B"/>
    <w:multiLevelType w:val="hybridMultilevel"/>
    <w:tmpl w:val="123E4F5C"/>
    <w:lvl w:ilvl="0" w:tplc="52E0D7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8BC21B5"/>
    <w:multiLevelType w:val="hybridMultilevel"/>
    <w:tmpl w:val="00783840"/>
    <w:lvl w:ilvl="0" w:tplc="32F0985C">
      <w:start w:val="1"/>
      <w:numFmt w:val="lowerLetter"/>
      <w:lvlText w:val="(%1)"/>
      <w:lvlJc w:val="left"/>
      <w:pPr>
        <w:ind w:left="2345" w:hanging="360"/>
      </w:pPr>
      <w:rPr>
        <w:rFonts w:hint="default"/>
      </w:rPr>
    </w:lvl>
    <w:lvl w:ilvl="1" w:tplc="A748EEF6">
      <w:start w:val="1"/>
      <w:numFmt w:val="lowerRoman"/>
      <w:lvlText w:val="(%2)"/>
      <w:lvlJc w:val="right"/>
      <w:pPr>
        <w:ind w:left="3065" w:hanging="360"/>
      </w:pPr>
      <w:rPr>
        <w:rFonts w:ascii="Times New Roman" w:eastAsia="Times New Roman" w:hAnsi="Times New Roman" w:cs="Times New Roman" w:hint="default"/>
      </w:r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8" w15:restartNumberingAfterBreak="0">
    <w:nsid w:val="4D9B02C9"/>
    <w:multiLevelType w:val="hybridMultilevel"/>
    <w:tmpl w:val="CE8693B6"/>
    <w:lvl w:ilvl="0" w:tplc="ABB2665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3941141"/>
    <w:multiLevelType w:val="hybridMultilevel"/>
    <w:tmpl w:val="6DC0D266"/>
    <w:lvl w:ilvl="0" w:tplc="F0AA30B2">
      <w:start w:val="2"/>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57517E00"/>
    <w:multiLevelType w:val="hybridMultilevel"/>
    <w:tmpl w:val="93D4C986"/>
    <w:lvl w:ilvl="0" w:tplc="9AC2862A">
      <w:start w:val="1"/>
      <w:numFmt w:val="lowerLetter"/>
      <w:lvlText w:val="(%1)"/>
      <w:lvlJc w:val="left"/>
      <w:pPr>
        <w:ind w:left="2360" w:hanging="375"/>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21" w15:restartNumberingAfterBreak="0">
    <w:nsid w:val="5E720248"/>
    <w:multiLevelType w:val="hybridMultilevel"/>
    <w:tmpl w:val="E7FC31E4"/>
    <w:lvl w:ilvl="0" w:tplc="93AEE83C">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95951D6"/>
    <w:multiLevelType w:val="hybridMultilevel"/>
    <w:tmpl w:val="86C48A9E"/>
    <w:lvl w:ilvl="0" w:tplc="5BDC5C78">
      <w:start w:val="1"/>
      <w:numFmt w:val="lowerLetter"/>
      <w:lvlText w:val="(%1)"/>
      <w:lvlJc w:val="left"/>
      <w:pPr>
        <w:ind w:left="1495" w:hanging="360"/>
      </w:pPr>
      <w:rPr>
        <w:rFonts w:hint="default"/>
        <w:b w:val="0"/>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24" w15:restartNumberingAfterBreak="0">
    <w:nsid w:val="6EB260F7"/>
    <w:multiLevelType w:val="hybridMultilevel"/>
    <w:tmpl w:val="2E48E4EA"/>
    <w:lvl w:ilvl="0" w:tplc="0662480A">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5" w15:restartNumberingAfterBreak="0">
    <w:nsid w:val="74867B4F"/>
    <w:multiLevelType w:val="hybridMultilevel"/>
    <w:tmpl w:val="87C639D8"/>
    <w:lvl w:ilvl="0" w:tplc="527E1DC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70438ED"/>
    <w:multiLevelType w:val="hybridMultilevel"/>
    <w:tmpl w:val="A02E7B04"/>
    <w:lvl w:ilvl="0" w:tplc="C2861DD4">
      <w:start w:val="9"/>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7" w15:restartNumberingAfterBreak="0">
    <w:nsid w:val="7D5041D2"/>
    <w:multiLevelType w:val="hybridMultilevel"/>
    <w:tmpl w:val="34C830D6"/>
    <w:lvl w:ilvl="0" w:tplc="44D2869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7E41638A"/>
    <w:multiLevelType w:val="hybridMultilevel"/>
    <w:tmpl w:val="0D06EEB8"/>
    <w:lvl w:ilvl="0" w:tplc="39C4A45C">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29"/>
  </w:num>
  <w:num w:numId="3">
    <w:abstractNumId w:val="16"/>
  </w:num>
  <w:num w:numId="4">
    <w:abstractNumId w:val="22"/>
  </w:num>
  <w:num w:numId="5">
    <w:abstractNumId w:val="11"/>
  </w:num>
  <w:num w:numId="6">
    <w:abstractNumId w:val="2"/>
  </w:num>
  <w:num w:numId="7">
    <w:abstractNumId w:val="1"/>
  </w:num>
  <w:num w:numId="8">
    <w:abstractNumId w:val="0"/>
    <w:lvlOverride w:ilvl="0">
      <w:startOverride w:val="1"/>
    </w:lvlOverride>
  </w:num>
  <w:num w:numId="9">
    <w:abstractNumId w:val="0"/>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18"/>
  </w:num>
  <w:num w:numId="14">
    <w:abstractNumId w:val="28"/>
  </w:num>
  <w:num w:numId="15">
    <w:abstractNumId w:val="27"/>
  </w:num>
  <w:num w:numId="16">
    <w:abstractNumId w:val="26"/>
  </w:num>
  <w:num w:numId="17">
    <w:abstractNumId w:val="4"/>
  </w:num>
  <w:num w:numId="18">
    <w:abstractNumId w:val="6"/>
  </w:num>
  <w:num w:numId="19">
    <w:abstractNumId w:val="12"/>
  </w:num>
  <w:num w:numId="20">
    <w:abstractNumId w:val="24"/>
  </w:num>
  <w:num w:numId="21">
    <w:abstractNumId w:val="9"/>
  </w:num>
  <w:num w:numId="22">
    <w:abstractNumId w:val="5"/>
  </w:num>
  <w:num w:numId="23">
    <w:abstractNumId w:val="0"/>
    <w:lvlOverride w:ilvl="0">
      <w:startOverride w:val="1"/>
    </w:lvlOverride>
  </w:num>
  <w:num w:numId="24">
    <w:abstractNumId w:val="8"/>
  </w:num>
  <w:num w:numId="25">
    <w:abstractNumId w:val="21"/>
  </w:num>
  <w:num w:numId="26">
    <w:abstractNumId w:val="19"/>
  </w:num>
  <w:num w:numId="27">
    <w:abstractNumId w:val="13"/>
  </w:num>
  <w:num w:numId="28">
    <w:abstractNumId w:val="3"/>
  </w:num>
  <w:num w:numId="29">
    <w:abstractNumId w:val="17"/>
  </w:num>
  <w:num w:numId="30">
    <w:abstractNumId w:val="10"/>
  </w:num>
  <w:num w:numId="31">
    <w:abstractNumId w:val="14"/>
  </w:num>
  <w:num w:numId="32">
    <w:abstractNumId w:val="20"/>
  </w:num>
  <w:num w:numId="33">
    <w:abstractNumId w:val="23"/>
  </w:num>
  <w:num w:numId="34">
    <w:abstractNumId w:val="25"/>
  </w:num>
  <w:num w:numId="35">
    <w:abstractNumId w:val="15"/>
  </w:num>
  <w:num w:numId="36">
    <w:abstractNumId w:val="0"/>
    <w:lvlOverride w:ilvl="0">
      <w:startOverride w:val="1"/>
    </w:lvlOverride>
  </w:num>
  <w:num w:numId="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00F9"/>
    <w:rsid w:val="00002546"/>
    <w:rsid w:val="000033AB"/>
    <w:rsid w:val="00005BAD"/>
    <w:rsid w:val="00006CE9"/>
    <w:rsid w:val="0001073D"/>
    <w:rsid w:val="000241C4"/>
    <w:rsid w:val="00033DC6"/>
    <w:rsid w:val="000340E0"/>
    <w:rsid w:val="00041850"/>
    <w:rsid w:val="00044E44"/>
    <w:rsid w:val="0005111A"/>
    <w:rsid w:val="000521F5"/>
    <w:rsid w:val="0005336C"/>
    <w:rsid w:val="000619BE"/>
    <w:rsid w:val="00061D18"/>
    <w:rsid w:val="00063EDE"/>
    <w:rsid w:val="000644A3"/>
    <w:rsid w:val="0006570D"/>
    <w:rsid w:val="000730C2"/>
    <w:rsid w:val="00073AAF"/>
    <w:rsid w:val="000740E6"/>
    <w:rsid w:val="0007419F"/>
    <w:rsid w:val="00076D43"/>
    <w:rsid w:val="00085F19"/>
    <w:rsid w:val="00087F5A"/>
    <w:rsid w:val="00092055"/>
    <w:rsid w:val="0009635D"/>
    <w:rsid w:val="00097890"/>
    <w:rsid w:val="000A36FE"/>
    <w:rsid w:val="000A4A04"/>
    <w:rsid w:val="000A4A06"/>
    <w:rsid w:val="000C1623"/>
    <w:rsid w:val="000C5CA7"/>
    <w:rsid w:val="000C5EFE"/>
    <w:rsid w:val="000D27F6"/>
    <w:rsid w:val="000D29A3"/>
    <w:rsid w:val="000D6066"/>
    <w:rsid w:val="000D6749"/>
    <w:rsid w:val="000E2775"/>
    <w:rsid w:val="000E35B9"/>
    <w:rsid w:val="000F1010"/>
    <w:rsid w:val="000F1CE3"/>
    <w:rsid w:val="000F2057"/>
    <w:rsid w:val="000F302E"/>
    <w:rsid w:val="000F7B56"/>
    <w:rsid w:val="00102B43"/>
    <w:rsid w:val="00103115"/>
    <w:rsid w:val="0011352B"/>
    <w:rsid w:val="0011446B"/>
    <w:rsid w:val="00115CC3"/>
    <w:rsid w:val="001246A5"/>
    <w:rsid w:val="00124F08"/>
    <w:rsid w:val="001310F3"/>
    <w:rsid w:val="001311AA"/>
    <w:rsid w:val="00133E3D"/>
    <w:rsid w:val="0013508E"/>
    <w:rsid w:val="001357D2"/>
    <w:rsid w:val="00136391"/>
    <w:rsid w:val="001379E4"/>
    <w:rsid w:val="001427B9"/>
    <w:rsid w:val="0014729E"/>
    <w:rsid w:val="001479FD"/>
    <w:rsid w:val="00150D0F"/>
    <w:rsid w:val="00152CE6"/>
    <w:rsid w:val="00154811"/>
    <w:rsid w:val="001556C1"/>
    <w:rsid w:val="00155DEB"/>
    <w:rsid w:val="00156F22"/>
    <w:rsid w:val="00160F8E"/>
    <w:rsid w:val="001648CD"/>
    <w:rsid w:val="0017160D"/>
    <w:rsid w:val="00173DD2"/>
    <w:rsid w:val="0017734A"/>
    <w:rsid w:val="0018373A"/>
    <w:rsid w:val="00183F81"/>
    <w:rsid w:val="00184F43"/>
    <w:rsid w:val="00190142"/>
    <w:rsid w:val="00191EC7"/>
    <w:rsid w:val="0019213F"/>
    <w:rsid w:val="001931A2"/>
    <w:rsid w:val="00197C09"/>
    <w:rsid w:val="001A1CED"/>
    <w:rsid w:val="001A2B69"/>
    <w:rsid w:val="001A4B39"/>
    <w:rsid w:val="001B05D6"/>
    <w:rsid w:val="001B2574"/>
    <w:rsid w:val="001B5BA0"/>
    <w:rsid w:val="001B7D77"/>
    <w:rsid w:val="001C0747"/>
    <w:rsid w:val="001C1967"/>
    <w:rsid w:val="001C1AD1"/>
    <w:rsid w:val="001C2D34"/>
    <w:rsid w:val="001C3477"/>
    <w:rsid w:val="001D50B9"/>
    <w:rsid w:val="001E0709"/>
    <w:rsid w:val="001E1B29"/>
    <w:rsid w:val="001E45EA"/>
    <w:rsid w:val="001E46E9"/>
    <w:rsid w:val="001F4CD7"/>
    <w:rsid w:val="00205D9F"/>
    <w:rsid w:val="00207D6B"/>
    <w:rsid w:val="00211F95"/>
    <w:rsid w:val="00215098"/>
    <w:rsid w:val="00220A7C"/>
    <w:rsid w:val="00220C8B"/>
    <w:rsid w:val="00220F8D"/>
    <w:rsid w:val="00223545"/>
    <w:rsid w:val="002332A2"/>
    <w:rsid w:val="002351EF"/>
    <w:rsid w:val="002359DE"/>
    <w:rsid w:val="00240D1E"/>
    <w:rsid w:val="00241049"/>
    <w:rsid w:val="002456E5"/>
    <w:rsid w:val="0024615C"/>
    <w:rsid w:val="00247148"/>
    <w:rsid w:val="002531C8"/>
    <w:rsid w:val="002569B5"/>
    <w:rsid w:val="00261DE3"/>
    <w:rsid w:val="00262242"/>
    <w:rsid w:val="00262CA8"/>
    <w:rsid w:val="00266003"/>
    <w:rsid w:val="002715AF"/>
    <w:rsid w:val="00271CC1"/>
    <w:rsid w:val="00272E35"/>
    <w:rsid w:val="00273E7B"/>
    <w:rsid w:val="002744F4"/>
    <w:rsid w:val="00275DC4"/>
    <w:rsid w:val="00280389"/>
    <w:rsid w:val="00280A53"/>
    <w:rsid w:val="00287264"/>
    <w:rsid w:val="00290606"/>
    <w:rsid w:val="00290C3C"/>
    <w:rsid w:val="00291C8D"/>
    <w:rsid w:val="00293512"/>
    <w:rsid w:val="0029447C"/>
    <w:rsid w:val="00296781"/>
    <w:rsid w:val="002A0B17"/>
    <w:rsid w:val="002A40E5"/>
    <w:rsid w:val="002A5985"/>
    <w:rsid w:val="002B0B0E"/>
    <w:rsid w:val="002B1AC6"/>
    <w:rsid w:val="002B6168"/>
    <w:rsid w:val="002B623B"/>
    <w:rsid w:val="002B73D8"/>
    <w:rsid w:val="002C0EE9"/>
    <w:rsid w:val="002C3070"/>
    <w:rsid w:val="002C3B9D"/>
    <w:rsid w:val="002D3270"/>
    <w:rsid w:val="002E08F6"/>
    <w:rsid w:val="002E40B4"/>
    <w:rsid w:val="002E55C3"/>
    <w:rsid w:val="002E5B01"/>
    <w:rsid w:val="002E5EF9"/>
    <w:rsid w:val="002E7964"/>
    <w:rsid w:val="002E7A0D"/>
    <w:rsid w:val="002F0E3F"/>
    <w:rsid w:val="002F7598"/>
    <w:rsid w:val="00300508"/>
    <w:rsid w:val="00301DC5"/>
    <w:rsid w:val="00304C99"/>
    <w:rsid w:val="00306E8E"/>
    <w:rsid w:val="003079FD"/>
    <w:rsid w:val="00310692"/>
    <w:rsid w:val="0031099E"/>
    <w:rsid w:val="00312073"/>
    <w:rsid w:val="003137BD"/>
    <w:rsid w:val="00313AF5"/>
    <w:rsid w:val="003166CF"/>
    <w:rsid w:val="0032150F"/>
    <w:rsid w:val="00337543"/>
    <w:rsid w:val="00342B17"/>
    <w:rsid w:val="00346247"/>
    <w:rsid w:val="00346BA4"/>
    <w:rsid w:val="00354494"/>
    <w:rsid w:val="0035712B"/>
    <w:rsid w:val="0036688B"/>
    <w:rsid w:val="00367034"/>
    <w:rsid w:val="00367109"/>
    <w:rsid w:val="00370FD0"/>
    <w:rsid w:val="00372D68"/>
    <w:rsid w:val="00375B02"/>
    <w:rsid w:val="0037787A"/>
    <w:rsid w:val="00381B3D"/>
    <w:rsid w:val="0038518A"/>
    <w:rsid w:val="00392527"/>
    <w:rsid w:val="00393C86"/>
    <w:rsid w:val="00395204"/>
    <w:rsid w:val="0039528A"/>
    <w:rsid w:val="00395945"/>
    <w:rsid w:val="00395A40"/>
    <w:rsid w:val="003973D0"/>
    <w:rsid w:val="003975E6"/>
    <w:rsid w:val="003A198B"/>
    <w:rsid w:val="003A3AC0"/>
    <w:rsid w:val="003A54EA"/>
    <w:rsid w:val="003A6E55"/>
    <w:rsid w:val="003A73D9"/>
    <w:rsid w:val="003B0DFB"/>
    <w:rsid w:val="003B0FD3"/>
    <w:rsid w:val="003B1293"/>
    <w:rsid w:val="003B153B"/>
    <w:rsid w:val="003B2C48"/>
    <w:rsid w:val="003B64CF"/>
    <w:rsid w:val="003B70D6"/>
    <w:rsid w:val="003C0096"/>
    <w:rsid w:val="003C3D9D"/>
    <w:rsid w:val="003C405B"/>
    <w:rsid w:val="003C4089"/>
    <w:rsid w:val="003C669F"/>
    <w:rsid w:val="003C712D"/>
    <w:rsid w:val="003D2EA2"/>
    <w:rsid w:val="003E1279"/>
    <w:rsid w:val="003E26D0"/>
    <w:rsid w:val="003E43F3"/>
    <w:rsid w:val="003F69EB"/>
    <w:rsid w:val="004044FB"/>
    <w:rsid w:val="0040520D"/>
    <w:rsid w:val="00407A4E"/>
    <w:rsid w:val="00416E07"/>
    <w:rsid w:val="00417B0B"/>
    <w:rsid w:val="00417B8B"/>
    <w:rsid w:val="00420112"/>
    <w:rsid w:val="00421A65"/>
    <w:rsid w:val="00424038"/>
    <w:rsid w:val="004303DD"/>
    <w:rsid w:val="00430993"/>
    <w:rsid w:val="004311B7"/>
    <w:rsid w:val="00434B53"/>
    <w:rsid w:val="004361D9"/>
    <w:rsid w:val="00440610"/>
    <w:rsid w:val="00442619"/>
    <w:rsid w:val="00445872"/>
    <w:rsid w:val="00446BE1"/>
    <w:rsid w:val="004507C6"/>
    <w:rsid w:val="004531B6"/>
    <w:rsid w:val="00461601"/>
    <w:rsid w:val="00467F55"/>
    <w:rsid w:val="00470C2E"/>
    <w:rsid w:val="0047300F"/>
    <w:rsid w:val="00475482"/>
    <w:rsid w:val="00475D1C"/>
    <w:rsid w:val="00485B53"/>
    <w:rsid w:val="004A4B75"/>
    <w:rsid w:val="004B2ED4"/>
    <w:rsid w:val="004B7714"/>
    <w:rsid w:val="004B7B66"/>
    <w:rsid w:val="004C5941"/>
    <w:rsid w:val="004D6B79"/>
    <w:rsid w:val="004E097C"/>
    <w:rsid w:val="004E3164"/>
    <w:rsid w:val="004E3442"/>
    <w:rsid w:val="00500870"/>
    <w:rsid w:val="00501D73"/>
    <w:rsid w:val="00502445"/>
    <w:rsid w:val="005067F2"/>
    <w:rsid w:val="005070F6"/>
    <w:rsid w:val="00507D03"/>
    <w:rsid w:val="005146F2"/>
    <w:rsid w:val="00522EDC"/>
    <w:rsid w:val="00524EE6"/>
    <w:rsid w:val="005274C0"/>
    <w:rsid w:val="00537618"/>
    <w:rsid w:val="00541E37"/>
    <w:rsid w:val="0054373D"/>
    <w:rsid w:val="00547452"/>
    <w:rsid w:val="005575EC"/>
    <w:rsid w:val="00565572"/>
    <w:rsid w:val="00565F46"/>
    <w:rsid w:val="0057635A"/>
    <w:rsid w:val="00581B4B"/>
    <w:rsid w:val="00581C1F"/>
    <w:rsid w:val="00583F0E"/>
    <w:rsid w:val="00585395"/>
    <w:rsid w:val="00591A30"/>
    <w:rsid w:val="005957A6"/>
    <w:rsid w:val="005A003F"/>
    <w:rsid w:val="005A3582"/>
    <w:rsid w:val="005A37F5"/>
    <w:rsid w:val="005A42FA"/>
    <w:rsid w:val="005A4ED9"/>
    <w:rsid w:val="005A66B6"/>
    <w:rsid w:val="005A7025"/>
    <w:rsid w:val="005A76D4"/>
    <w:rsid w:val="005C0555"/>
    <w:rsid w:val="005C2B0D"/>
    <w:rsid w:val="005C47C3"/>
    <w:rsid w:val="005C5A43"/>
    <w:rsid w:val="005C5EFD"/>
    <w:rsid w:val="005D43B5"/>
    <w:rsid w:val="005E067F"/>
    <w:rsid w:val="005E1784"/>
    <w:rsid w:val="005E2EC7"/>
    <w:rsid w:val="005E7E1A"/>
    <w:rsid w:val="005F0472"/>
    <w:rsid w:val="005F21AD"/>
    <w:rsid w:val="005F474D"/>
    <w:rsid w:val="005F7398"/>
    <w:rsid w:val="00600412"/>
    <w:rsid w:val="00602B8A"/>
    <w:rsid w:val="00613DA1"/>
    <w:rsid w:val="006153A6"/>
    <w:rsid w:val="006207A8"/>
    <w:rsid w:val="006212B6"/>
    <w:rsid w:val="006247B9"/>
    <w:rsid w:val="006312D7"/>
    <w:rsid w:val="0063145A"/>
    <w:rsid w:val="00631B1F"/>
    <w:rsid w:val="00634EE0"/>
    <w:rsid w:val="0063526F"/>
    <w:rsid w:val="006365BE"/>
    <w:rsid w:val="00640849"/>
    <w:rsid w:val="00643026"/>
    <w:rsid w:val="006437D6"/>
    <w:rsid w:val="006453A3"/>
    <w:rsid w:val="00647A35"/>
    <w:rsid w:val="00650389"/>
    <w:rsid w:val="006543CF"/>
    <w:rsid w:val="006604F8"/>
    <w:rsid w:val="006631C4"/>
    <w:rsid w:val="00663CBE"/>
    <w:rsid w:val="00664CB2"/>
    <w:rsid w:val="006671E1"/>
    <w:rsid w:val="00672CED"/>
    <w:rsid w:val="00676523"/>
    <w:rsid w:val="006766B5"/>
    <w:rsid w:val="00677DD3"/>
    <w:rsid w:val="00681361"/>
    <w:rsid w:val="00686010"/>
    <w:rsid w:val="00686108"/>
    <w:rsid w:val="00686BCB"/>
    <w:rsid w:val="00692387"/>
    <w:rsid w:val="006928BC"/>
    <w:rsid w:val="00693229"/>
    <w:rsid w:val="00693501"/>
    <w:rsid w:val="0069363D"/>
    <w:rsid w:val="00693D4F"/>
    <w:rsid w:val="00697847"/>
    <w:rsid w:val="006A1760"/>
    <w:rsid w:val="006A4B61"/>
    <w:rsid w:val="006B07FC"/>
    <w:rsid w:val="006B602E"/>
    <w:rsid w:val="006B660B"/>
    <w:rsid w:val="006B7DFB"/>
    <w:rsid w:val="006C0251"/>
    <w:rsid w:val="006C2ED5"/>
    <w:rsid w:val="006C3B4C"/>
    <w:rsid w:val="006C6FCE"/>
    <w:rsid w:val="006D2D73"/>
    <w:rsid w:val="006D36DE"/>
    <w:rsid w:val="006D4BD4"/>
    <w:rsid w:val="006D4CD7"/>
    <w:rsid w:val="006D5D8C"/>
    <w:rsid w:val="006D7EC0"/>
    <w:rsid w:val="006E03FC"/>
    <w:rsid w:val="006E12B6"/>
    <w:rsid w:val="006E1EE0"/>
    <w:rsid w:val="006E2286"/>
    <w:rsid w:val="006E25F8"/>
    <w:rsid w:val="006E5682"/>
    <w:rsid w:val="006F5CF2"/>
    <w:rsid w:val="006F662B"/>
    <w:rsid w:val="006F7DDD"/>
    <w:rsid w:val="006F7E52"/>
    <w:rsid w:val="00700A35"/>
    <w:rsid w:val="00700B52"/>
    <w:rsid w:val="00700DEA"/>
    <w:rsid w:val="00703276"/>
    <w:rsid w:val="00703828"/>
    <w:rsid w:val="00705C61"/>
    <w:rsid w:val="0070740A"/>
    <w:rsid w:val="00710653"/>
    <w:rsid w:val="0071142C"/>
    <w:rsid w:val="00721966"/>
    <w:rsid w:val="00724235"/>
    <w:rsid w:val="00726DAC"/>
    <w:rsid w:val="00730841"/>
    <w:rsid w:val="00731F80"/>
    <w:rsid w:val="00733337"/>
    <w:rsid w:val="00733FB0"/>
    <w:rsid w:val="00746AD9"/>
    <w:rsid w:val="00750F1D"/>
    <w:rsid w:val="00751286"/>
    <w:rsid w:val="00753DCF"/>
    <w:rsid w:val="0076020B"/>
    <w:rsid w:val="00763880"/>
    <w:rsid w:val="007661FE"/>
    <w:rsid w:val="00767209"/>
    <w:rsid w:val="00770264"/>
    <w:rsid w:val="00771F8E"/>
    <w:rsid w:val="00772919"/>
    <w:rsid w:val="007766ED"/>
    <w:rsid w:val="00776B4F"/>
    <w:rsid w:val="0078231F"/>
    <w:rsid w:val="00782839"/>
    <w:rsid w:val="00782ADA"/>
    <w:rsid w:val="007835A5"/>
    <w:rsid w:val="00786F6F"/>
    <w:rsid w:val="00787ABB"/>
    <w:rsid w:val="007908B0"/>
    <w:rsid w:val="00792695"/>
    <w:rsid w:val="007A20A9"/>
    <w:rsid w:val="007B5757"/>
    <w:rsid w:val="007B5BAD"/>
    <w:rsid w:val="007B5F2B"/>
    <w:rsid w:val="007B7C1B"/>
    <w:rsid w:val="007C68C7"/>
    <w:rsid w:val="007D093E"/>
    <w:rsid w:val="007E1466"/>
    <w:rsid w:val="007E3AAC"/>
    <w:rsid w:val="007E446C"/>
    <w:rsid w:val="007E4A8A"/>
    <w:rsid w:val="007E7EA3"/>
    <w:rsid w:val="007F3405"/>
    <w:rsid w:val="007F42B1"/>
    <w:rsid w:val="007F4B30"/>
    <w:rsid w:val="007F58A6"/>
    <w:rsid w:val="007F5C12"/>
    <w:rsid w:val="007F6DAE"/>
    <w:rsid w:val="00800926"/>
    <w:rsid w:val="00802661"/>
    <w:rsid w:val="008044FF"/>
    <w:rsid w:val="00806469"/>
    <w:rsid w:val="00806F78"/>
    <w:rsid w:val="008118EF"/>
    <w:rsid w:val="00812305"/>
    <w:rsid w:val="0081244E"/>
    <w:rsid w:val="00812A22"/>
    <w:rsid w:val="008136CD"/>
    <w:rsid w:val="00816932"/>
    <w:rsid w:val="00822990"/>
    <w:rsid w:val="00834A26"/>
    <w:rsid w:val="00835322"/>
    <w:rsid w:val="00851550"/>
    <w:rsid w:val="0085325D"/>
    <w:rsid w:val="00854BC1"/>
    <w:rsid w:val="00854E86"/>
    <w:rsid w:val="00855FE2"/>
    <w:rsid w:val="008562C8"/>
    <w:rsid w:val="008607BC"/>
    <w:rsid w:val="0086239F"/>
    <w:rsid w:val="008707FE"/>
    <w:rsid w:val="00875F27"/>
    <w:rsid w:val="00876513"/>
    <w:rsid w:val="0088079E"/>
    <w:rsid w:val="00882CA3"/>
    <w:rsid w:val="008843C5"/>
    <w:rsid w:val="008860DA"/>
    <w:rsid w:val="00887E5D"/>
    <w:rsid w:val="00892659"/>
    <w:rsid w:val="0089278F"/>
    <w:rsid w:val="00894E51"/>
    <w:rsid w:val="00895EE2"/>
    <w:rsid w:val="00896A23"/>
    <w:rsid w:val="00896DE9"/>
    <w:rsid w:val="00897EAF"/>
    <w:rsid w:val="008A2812"/>
    <w:rsid w:val="008A2AF2"/>
    <w:rsid w:val="008A3C43"/>
    <w:rsid w:val="008A6BCB"/>
    <w:rsid w:val="008A6FA0"/>
    <w:rsid w:val="008A77A9"/>
    <w:rsid w:val="008A7DDF"/>
    <w:rsid w:val="008B26E3"/>
    <w:rsid w:val="008B3B69"/>
    <w:rsid w:val="008B58DC"/>
    <w:rsid w:val="008C1CB6"/>
    <w:rsid w:val="008C7AC5"/>
    <w:rsid w:val="008D0BC8"/>
    <w:rsid w:val="008D5B5D"/>
    <w:rsid w:val="008D642E"/>
    <w:rsid w:val="008E50DB"/>
    <w:rsid w:val="008F015D"/>
    <w:rsid w:val="008F088E"/>
    <w:rsid w:val="008F0D09"/>
    <w:rsid w:val="008F67F7"/>
    <w:rsid w:val="009028EF"/>
    <w:rsid w:val="00902FF0"/>
    <w:rsid w:val="00903870"/>
    <w:rsid w:val="009052BA"/>
    <w:rsid w:val="00911328"/>
    <w:rsid w:val="0091792E"/>
    <w:rsid w:val="00925C64"/>
    <w:rsid w:val="009272B9"/>
    <w:rsid w:val="00930725"/>
    <w:rsid w:val="00930CD0"/>
    <w:rsid w:val="00936091"/>
    <w:rsid w:val="0093766A"/>
    <w:rsid w:val="00941D2D"/>
    <w:rsid w:val="00941F50"/>
    <w:rsid w:val="00944A4A"/>
    <w:rsid w:val="00944FD3"/>
    <w:rsid w:val="0094531E"/>
    <w:rsid w:val="00946611"/>
    <w:rsid w:val="00947FBD"/>
    <w:rsid w:val="00954745"/>
    <w:rsid w:val="00957210"/>
    <w:rsid w:val="009574D4"/>
    <w:rsid w:val="00966602"/>
    <w:rsid w:val="00966DA5"/>
    <w:rsid w:val="00967DAE"/>
    <w:rsid w:val="009747EC"/>
    <w:rsid w:val="00974962"/>
    <w:rsid w:val="0097712C"/>
    <w:rsid w:val="00983986"/>
    <w:rsid w:val="00987A5F"/>
    <w:rsid w:val="0099039D"/>
    <w:rsid w:val="009911A0"/>
    <w:rsid w:val="00994476"/>
    <w:rsid w:val="009A3BA0"/>
    <w:rsid w:val="009A4F23"/>
    <w:rsid w:val="009A4F56"/>
    <w:rsid w:val="009A6E39"/>
    <w:rsid w:val="009A7019"/>
    <w:rsid w:val="009A7B4D"/>
    <w:rsid w:val="009A7D7F"/>
    <w:rsid w:val="009B3E70"/>
    <w:rsid w:val="009B45CF"/>
    <w:rsid w:val="009C1E8E"/>
    <w:rsid w:val="009C6D3D"/>
    <w:rsid w:val="009D09FD"/>
    <w:rsid w:val="009D6AF8"/>
    <w:rsid w:val="009E02BC"/>
    <w:rsid w:val="009E0F15"/>
    <w:rsid w:val="009E1916"/>
    <w:rsid w:val="009E2417"/>
    <w:rsid w:val="009E4694"/>
    <w:rsid w:val="009F0ADD"/>
    <w:rsid w:val="009F3237"/>
    <w:rsid w:val="009F4ABE"/>
    <w:rsid w:val="00A00995"/>
    <w:rsid w:val="00A018AA"/>
    <w:rsid w:val="00A031AB"/>
    <w:rsid w:val="00A11929"/>
    <w:rsid w:val="00A1289F"/>
    <w:rsid w:val="00A17FD4"/>
    <w:rsid w:val="00A24C51"/>
    <w:rsid w:val="00A250CA"/>
    <w:rsid w:val="00A26EF7"/>
    <w:rsid w:val="00A32BE9"/>
    <w:rsid w:val="00A35452"/>
    <w:rsid w:val="00A35853"/>
    <w:rsid w:val="00A40398"/>
    <w:rsid w:val="00A40D95"/>
    <w:rsid w:val="00A4140D"/>
    <w:rsid w:val="00A42A5B"/>
    <w:rsid w:val="00A527BA"/>
    <w:rsid w:val="00A533E4"/>
    <w:rsid w:val="00A549A6"/>
    <w:rsid w:val="00A642F6"/>
    <w:rsid w:val="00A64931"/>
    <w:rsid w:val="00A6523D"/>
    <w:rsid w:val="00A72A01"/>
    <w:rsid w:val="00A77050"/>
    <w:rsid w:val="00A772CE"/>
    <w:rsid w:val="00A81F1D"/>
    <w:rsid w:val="00A84CE3"/>
    <w:rsid w:val="00A85EAE"/>
    <w:rsid w:val="00A87309"/>
    <w:rsid w:val="00A965A3"/>
    <w:rsid w:val="00A97826"/>
    <w:rsid w:val="00AA2BD9"/>
    <w:rsid w:val="00AA6B42"/>
    <w:rsid w:val="00AB24F2"/>
    <w:rsid w:val="00AB7E4D"/>
    <w:rsid w:val="00AC0F82"/>
    <w:rsid w:val="00AC184F"/>
    <w:rsid w:val="00AC31D7"/>
    <w:rsid w:val="00AC3783"/>
    <w:rsid w:val="00AC49DF"/>
    <w:rsid w:val="00AC5C0F"/>
    <w:rsid w:val="00AC5FC8"/>
    <w:rsid w:val="00AC6B1C"/>
    <w:rsid w:val="00AD14AA"/>
    <w:rsid w:val="00AD178A"/>
    <w:rsid w:val="00AD1EEA"/>
    <w:rsid w:val="00AD3050"/>
    <w:rsid w:val="00AD70BB"/>
    <w:rsid w:val="00AE0C73"/>
    <w:rsid w:val="00AE1ECA"/>
    <w:rsid w:val="00AE50D5"/>
    <w:rsid w:val="00AE6B09"/>
    <w:rsid w:val="00AE72F6"/>
    <w:rsid w:val="00AF3582"/>
    <w:rsid w:val="00AF4E54"/>
    <w:rsid w:val="00AF5789"/>
    <w:rsid w:val="00B06990"/>
    <w:rsid w:val="00B06AC4"/>
    <w:rsid w:val="00B07CF4"/>
    <w:rsid w:val="00B10FA5"/>
    <w:rsid w:val="00B13B65"/>
    <w:rsid w:val="00B14BEA"/>
    <w:rsid w:val="00B156B4"/>
    <w:rsid w:val="00B207C8"/>
    <w:rsid w:val="00B22FA4"/>
    <w:rsid w:val="00B273FF"/>
    <w:rsid w:val="00B30401"/>
    <w:rsid w:val="00B34A4D"/>
    <w:rsid w:val="00B351B6"/>
    <w:rsid w:val="00B355E3"/>
    <w:rsid w:val="00B451EB"/>
    <w:rsid w:val="00B4656B"/>
    <w:rsid w:val="00B53FC8"/>
    <w:rsid w:val="00B607FC"/>
    <w:rsid w:val="00B6619C"/>
    <w:rsid w:val="00B661EE"/>
    <w:rsid w:val="00B67377"/>
    <w:rsid w:val="00B7034A"/>
    <w:rsid w:val="00B716D8"/>
    <w:rsid w:val="00B73299"/>
    <w:rsid w:val="00B7359B"/>
    <w:rsid w:val="00B76268"/>
    <w:rsid w:val="00B80CC9"/>
    <w:rsid w:val="00B87519"/>
    <w:rsid w:val="00B90F17"/>
    <w:rsid w:val="00B918EC"/>
    <w:rsid w:val="00B94518"/>
    <w:rsid w:val="00B967CE"/>
    <w:rsid w:val="00BA130D"/>
    <w:rsid w:val="00BA2FAF"/>
    <w:rsid w:val="00BA307B"/>
    <w:rsid w:val="00BA38B0"/>
    <w:rsid w:val="00BA4326"/>
    <w:rsid w:val="00BA7DB7"/>
    <w:rsid w:val="00BB0CC7"/>
    <w:rsid w:val="00BB2079"/>
    <w:rsid w:val="00BB3275"/>
    <w:rsid w:val="00BB4516"/>
    <w:rsid w:val="00BC06CC"/>
    <w:rsid w:val="00BC08BB"/>
    <w:rsid w:val="00BC30F7"/>
    <w:rsid w:val="00BC403C"/>
    <w:rsid w:val="00BC6A21"/>
    <w:rsid w:val="00BC6A3F"/>
    <w:rsid w:val="00BD1712"/>
    <w:rsid w:val="00BD2733"/>
    <w:rsid w:val="00BD77C9"/>
    <w:rsid w:val="00BE095C"/>
    <w:rsid w:val="00BE0F05"/>
    <w:rsid w:val="00BE3C89"/>
    <w:rsid w:val="00BE4BC7"/>
    <w:rsid w:val="00BE6D4F"/>
    <w:rsid w:val="00BE6F48"/>
    <w:rsid w:val="00C00657"/>
    <w:rsid w:val="00C04BC4"/>
    <w:rsid w:val="00C05812"/>
    <w:rsid w:val="00C12537"/>
    <w:rsid w:val="00C227FB"/>
    <w:rsid w:val="00C25DB4"/>
    <w:rsid w:val="00C26CF7"/>
    <w:rsid w:val="00C337E6"/>
    <w:rsid w:val="00C34CDB"/>
    <w:rsid w:val="00C36237"/>
    <w:rsid w:val="00C36857"/>
    <w:rsid w:val="00C420C5"/>
    <w:rsid w:val="00C4678C"/>
    <w:rsid w:val="00C47B0A"/>
    <w:rsid w:val="00C47C21"/>
    <w:rsid w:val="00C515A1"/>
    <w:rsid w:val="00C518FE"/>
    <w:rsid w:val="00C5287B"/>
    <w:rsid w:val="00C53D90"/>
    <w:rsid w:val="00C6078A"/>
    <w:rsid w:val="00C60E44"/>
    <w:rsid w:val="00C614B3"/>
    <w:rsid w:val="00C7492E"/>
    <w:rsid w:val="00C74C78"/>
    <w:rsid w:val="00C76D9C"/>
    <w:rsid w:val="00C8064A"/>
    <w:rsid w:val="00C86C06"/>
    <w:rsid w:val="00C9014C"/>
    <w:rsid w:val="00C9448D"/>
    <w:rsid w:val="00C94FE9"/>
    <w:rsid w:val="00C97B3D"/>
    <w:rsid w:val="00CA50E6"/>
    <w:rsid w:val="00CB4FF0"/>
    <w:rsid w:val="00CB667D"/>
    <w:rsid w:val="00CB7288"/>
    <w:rsid w:val="00CB75AD"/>
    <w:rsid w:val="00CC28D4"/>
    <w:rsid w:val="00CC2EEC"/>
    <w:rsid w:val="00CC64DD"/>
    <w:rsid w:val="00CD02BE"/>
    <w:rsid w:val="00CD2FCD"/>
    <w:rsid w:val="00CD47EB"/>
    <w:rsid w:val="00CE0EAD"/>
    <w:rsid w:val="00CE1121"/>
    <w:rsid w:val="00CE1BD2"/>
    <w:rsid w:val="00CF0466"/>
    <w:rsid w:val="00CF1365"/>
    <w:rsid w:val="00CF49CD"/>
    <w:rsid w:val="00CF4A41"/>
    <w:rsid w:val="00CF6E4C"/>
    <w:rsid w:val="00D0062A"/>
    <w:rsid w:val="00D02220"/>
    <w:rsid w:val="00D022A1"/>
    <w:rsid w:val="00D15825"/>
    <w:rsid w:val="00D174AF"/>
    <w:rsid w:val="00D23BF3"/>
    <w:rsid w:val="00D24063"/>
    <w:rsid w:val="00D24829"/>
    <w:rsid w:val="00D26669"/>
    <w:rsid w:val="00D26701"/>
    <w:rsid w:val="00D31F3F"/>
    <w:rsid w:val="00D35363"/>
    <w:rsid w:val="00D36897"/>
    <w:rsid w:val="00D46091"/>
    <w:rsid w:val="00D50111"/>
    <w:rsid w:val="00D50F67"/>
    <w:rsid w:val="00D510ED"/>
    <w:rsid w:val="00D518CD"/>
    <w:rsid w:val="00D51F9A"/>
    <w:rsid w:val="00D54CD3"/>
    <w:rsid w:val="00D56CCA"/>
    <w:rsid w:val="00D60DA8"/>
    <w:rsid w:val="00D62DCD"/>
    <w:rsid w:val="00D65F59"/>
    <w:rsid w:val="00D71B24"/>
    <w:rsid w:val="00D728DC"/>
    <w:rsid w:val="00D753AE"/>
    <w:rsid w:val="00D75F9F"/>
    <w:rsid w:val="00D90DDD"/>
    <w:rsid w:val="00D91C09"/>
    <w:rsid w:val="00D92CF9"/>
    <w:rsid w:val="00D93064"/>
    <w:rsid w:val="00D95FAE"/>
    <w:rsid w:val="00D9650E"/>
    <w:rsid w:val="00D9760D"/>
    <w:rsid w:val="00DA155A"/>
    <w:rsid w:val="00DA181F"/>
    <w:rsid w:val="00DA3A33"/>
    <w:rsid w:val="00DA3F1E"/>
    <w:rsid w:val="00DA53AC"/>
    <w:rsid w:val="00DA578C"/>
    <w:rsid w:val="00DA5CC3"/>
    <w:rsid w:val="00DA7429"/>
    <w:rsid w:val="00DB1D59"/>
    <w:rsid w:val="00DB1E79"/>
    <w:rsid w:val="00DB25B2"/>
    <w:rsid w:val="00DB49AA"/>
    <w:rsid w:val="00DB796B"/>
    <w:rsid w:val="00DC0691"/>
    <w:rsid w:val="00DC0CDF"/>
    <w:rsid w:val="00DC0FD7"/>
    <w:rsid w:val="00DC17CB"/>
    <w:rsid w:val="00DC1906"/>
    <w:rsid w:val="00DC2417"/>
    <w:rsid w:val="00DC31AF"/>
    <w:rsid w:val="00DD1C5D"/>
    <w:rsid w:val="00DD4BA4"/>
    <w:rsid w:val="00DE009B"/>
    <w:rsid w:val="00DE4E9C"/>
    <w:rsid w:val="00DE68BC"/>
    <w:rsid w:val="00DF0694"/>
    <w:rsid w:val="00DF279E"/>
    <w:rsid w:val="00DF6C09"/>
    <w:rsid w:val="00DF736B"/>
    <w:rsid w:val="00DF77EB"/>
    <w:rsid w:val="00E03583"/>
    <w:rsid w:val="00E05FF5"/>
    <w:rsid w:val="00E0761D"/>
    <w:rsid w:val="00E1191F"/>
    <w:rsid w:val="00E12A2E"/>
    <w:rsid w:val="00E13491"/>
    <w:rsid w:val="00E17206"/>
    <w:rsid w:val="00E24C34"/>
    <w:rsid w:val="00E2698C"/>
    <w:rsid w:val="00E318F7"/>
    <w:rsid w:val="00E32177"/>
    <w:rsid w:val="00E341DB"/>
    <w:rsid w:val="00E42305"/>
    <w:rsid w:val="00E43CFB"/>
    <w:rsid w:val="00E44689"/>
    <w:rsid w:val="00E45822"/>
    <w:rsid w:val="00E458FD"/>
    <w:rsid w:val="00E45A56"/>
    <w:rsid w:val="00E469AF"/>
    <w:rsid w:val="00E52821"/>
    <w:rsid w:val="00E53EBA"/>
    <w:rsid w:val="00E54C33"/>
    <w:rsid w:val="00E5522B"/>
    <w:rsid w:val="00E6098F"/>
    <w:rsid w:val="00E609DD"/>
    <w:rsid w:val="00E618B6"/>
    <w:rsid w:val="00E61CFA"/>
    <w:rsid w:val="00E61EF7"/>
    <w:rsid w:val="00E644DD"/>
    <w:rsid w:val="00E65410"/>
    <w:rsid w:val="00E71905"/>
    <w:rsid w:val="00E7332E"/>
    <w:rsid w:val="00E75305"/>
    <w:rsid w:val="00E75FF3"/>
    <w:rsid w:val="00E764DF"/>
    <w:rsid w:val="00E779EC"/>
    <w:rsid w:val="00E77BE0"/>
    <w:rsid w:val="00E8054C"/>
    <w:rsid w:val="00E90B30"/>
    <w:rsid w:val="00E92B81"/>
    <w:rsid w:val="00E934DA"/>
    <w:rsid w:val="00E947C5"/>
    <w:rsid w:val="00EA0E27"/>
    <w:rsid w:val="00EA7315"/>
    <w:rsid w:val="00EA7E1C"/>
    <w:rsid w:val="00EB1C83"/>
    <w:rsid w:val="00EC147C"/>
    <w:rsid w:val="00EC4D1D"/>
    <w:rsid w:val="00EC54C3"/>
    <w:rsid w:val="00EC5B45"/>
    <w:rsid w:val="00EC6580"/>
    <w:rsid w:val="00EC6D3B"/>
    <w:rsid w:val="00ED12FB"/>
    <w:rsid w:val="00ED2218"/>
    <w:rsid w:val="00ED23AA"/>
    <w:rsid w:val="00ED2E8B"/>
    <w:rsid w:val="00ED3A93"/>
    <w:rsid w:val="00ED43BA"/>
    <w:rsid w:val="00ED59F5"/>
    <w:rsid w:val="00ED62A5"/>
    <w:rsid w:val="00EE1F1E"/>
    <w:rsid w:val="00EE1FA4"/>
    <w:rsid w:val="00EE7362"/>
    <w:rsid w:val="00EE7A9E"/>
    <w:rsid w:val="00EF37C9"/>
    <w:rsid w:val="00F07A2C"/>
    <w:rsid w:val="00F1183F"/>
    <w:rsid w:val="00F1448E"/>
    <w:rsid w:val="00F14D6F"/>
    <w:rsid w:val="00F151E6"/>
    <w:rsid w:val="00F158C3"/>
    <w:rsid w:val="00F15BDC"/>
    <w:rsid w:val="00F17397"/>
    <w:rsid w:val="00F251FD"/>
    <w:rsid w:val="00F252B7"/>
    <w:rsid w:val="00F260B5"/>
    <w:rsid w:val="00F30151"/>
    <w:rsid w:val="00F31EC9"/>
    <w:rsid w:val="00F34140"/>
    <w:rsid w:val="00F36004"/>
    <w:rsid w:val="00F36B63"/>
    <w:rsid w:val="00F40F9B"/>
    <w:rsid w:val="00F419E1"/>
    <w:rsid w:val="00F42765"/>
    <w:rsid w:val="00F5214E"/>
    <w:rsid w:val="00F52640"/>
    <w:rsid w:val="00F55007"/>
    <w:rsid w:val="00F61AF9"/>
    <w:rsid w:val="00F62C1E"/>
    <w:rsid w:val="00F67057"/>
    <w:rsid w:val="00F728FE"/>
    <w:rsid w:val="00F741FE"/>
    <w:rsid w:val="00F77DB5"/>
    <w:rsid w:val="00F814EB"/>
    <w:rsid w:val="00F823F7"/>
    <w:rsid w:val="00F82CC6"/>
    <w:rsid w:val="00F83ABB"/>
    <w:rsid w:val="00F84C77"/>
    <w:rsid w:val="00F856A6"/>
    <w:rsid w:val="00F85CA2"/>
    <w:rsid w:val="00F85ED9"/>
    <w:rsid w:val="00F87D34"/>
    <w:rsid w:val="00F90642"/>
    <w:rsid w:val="00F92B15"/>
    <w:rsid w:val="00F92E8B"/>
    <w:rsid w:val="00FA1C72"/>
    <w:rsid w:val="00FA2E43"/>
    <w:rsid w:val="00FB0622"/>
    <w:rsid w:val="00FB1145"/>
    <w:rsid w:val="00FB497C"/>
    <w:rsid w:val="00FB59C1"/>
    <w:rsid w:val="00FC24FC"/>
    <w:rsid w:val="00FC5543"/>
    <w:rsid w:val="00FC69E6"/>
    <w:rsid w:val="00FD0C5A"/>
    <w:rsid w:val="00FD1EA6"/>
    <w:rsid w:val="00FD323F"/>
    <w:rsid w:val="00FD5A55"/>
    <w:rsid w:val="00FD7A70"/>
    <w:rsid w:val="00FD7F93"/>
    <w:rsid w:val="00FE4187"/>
    <w:rsid w:val="00FE78C0"/>
    <w:rsid w:val="00FF0BB4"/>
    <w:rsid w:val="00FF23E2"/>
    <w:rsid w:val="00FF3A75"/>
    <w:rsid w:val="00FF600A"/>
    <w:rsid w:val="00FF6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A37E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nhideWhenUsed/>
    <w:rsid w:val="00F31EC9"/>
    <w:rPr>
      <w:sz w:val="16"/>
      <w:szCs w:val="16"/>
    </w:rPr>
  </w:style>
  <w:style w:type="paragraph" w:styleId="CommentText">
    <w:name w:val="annotation text"/>
    <w:basedOn w:val="Normal"/>
    <w:link w:val="CommentTextChar"/>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paragraph" w:customStyle="1" w:styleId="DraftingParagraph">
    <w:name w:val="Drafting: Paragraph"/>
    <w:basedOn w:val="Normal"/>
    <w:qFormat/>
    <w:rsid w:val="003C669F"/>
    <w:pPr>
      <w:numPr>
        <w:numId w:val="8"/>
      </w:numPr>
      <w:tabs>
        <w:tab w:val="right" w:pos="1191"/>
      </w:tabs>
      <w:spacing w:before="120" w:after="120" w:line="260" w:lineRule="exact"/>
      <w:jc w:val="both"/>
    </w:pPr>
    <w:rPr>
      <w:rFonts w:ascii="Times New Roman" w:eastAsia="Times New Roman" w:hAnsi="Times New Roman" w:cs="Times New Roman"/>
      <w:sz w:val="24"/>
      <w:szCs w:val="24"/>
    </w:rPr>
  </w:style>
  <w:style w:type="paragraph" w:customStyle="1" w:styleId="R2">
    <w:name w:val="R2"/>
    <w:aliases w:val="(2)"/>
    <w:basedOn w:val="Normal"/>
    <w:uiPriority w:val="99"/>
    <w:rsid w:val="00EA0E27"/>
    <w:pPr>
      <w:keepLines/>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definition0">
    <w:name w:val="definition"/>
    <w:basedOn w:val="Normal"/>
    <w:rsid w:val="000619BE"/>
    <w:pPr>
      <w:spacing w:before="80" w:after="0" w:line="260" w:lineRule="exact"/>
      <w:ind w:left="964"/>
      <w:jc w:val="both"/>
    </w:pPr>
    <w:rPr>
      <w:rFonts w:ascii="Times New Roman" w:eastAsia="Times New Roman" w:hAnsi="Times New Roman" w:cs="Times New Roman"/>
      <w:sz w:val="24"/>
      <w:szCs w:val="24"/>
      <w:lang w:eastAsia="en-AU"/>
    </w:rPr>
  </w:style>
  <w:style w:type="paragraph" w:customStyle="1" w:styleId="HR">
    <w:name w:val="HR"/>
    <w:aliases w:val="Regulation Heading"/>
    <w:basedOn w:val="Normal"/>
    <w:next w:val="R1"/>
    <w:rsid w:val="000619BE"/>
    <w:pPr>
      <w:keepNext/>
      <w:keepLines/>
      <w:spacing w:before="360" w:after="0" w:line="240" w:lineRule="auto"/>
      <w:ind w:left="964" w:hanging="964"/>
    </w:pPr>
    <w:rPr>
      <w:rFonts w:ascii="Arial" w:eastAsia="Times New Roman" w:hAnsi="Arial" w:cs="Times New Roman"/>
      <w:b/>
      <w:sz w:val="24"/>
      <w:szCs w:val="24"/>
      <w:lang w:eastAsia="en-AU"/>
    </w:rPr>
  </w:style>
  <w:style w:type="paragraph" w:customStyle="1" w:styleId="R1">
    <w:name w:val="R1"/>
    <w:aliases w:val="1. or 1.(1)"/>
    <w:basedOn w:val="Normal"/>
    <w:next w:val="R2"/>
    <w:link w:val="R1Char"/>
    <w:rsid w:val="000619BE"/>
    <w:pPr>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character" w:customStyle="1" w:styleId="R1Char">
    <w:name w:val="R1 Char"/>
    <w:aliases w:val="1. or 1.(1) Char"/>
    <w:basedOn w:val="DefaultParagraphFont"/>
    <w:link w:val="R1"/>
    <w:rsid w:val="000619BE"/>
    <w:rPr>
      <w:rFonts w:ascii="Times New Roman" w:eastAsia="Times New Roman" w:hAnsi="Times New Roman" w:cs="Times New Roman"/>
      <w:sz w:val="24"/>
      <w:szCs w:val="24"/>
      <w:lang w:eastAsia="en-AU"/>
    </w:rPr>
  </w:style>
  <w:style w:type="paragraph" w:customStyle="1" w:styleId="P1">
    <w:name w:val="P1"/>
    <w:aliases w:val="(a)"/>
    <w:basedOn w:val="Normal"/>
    <w:rsid w:val="000619BE"/>
    <w:pPr>
      <w:keepLines/>
      <w:tabs>
        <w:tab w:val="right" w:pos="1191"/>
      </w:tabs>
      <w:spacing w:before="60" w:after="0" w:line="260" w:lineRule="exact"/>
      <w:ind w:left="1418" w:hanging="1418"/>
      <w:jc w:val="both"/>
    </w:pPr>
    <w:rPr>
      <w:rFonts w:ascii="Times New Roman" w:eastAsia="Times New Roman" w:hAnsi="Times New Roman" w:cs="Times New Roman"/>
      <w:sz w:val="24"/>
      <w:szCs w:val="24"/>
      <w:lang w:eastAsia="en-AU"/>
    </w:rPr>
  </w:style>
  <w:style w:type="table" w:styleId="TableGrid">
    <w:name w:val="Table Grid"/>
    <w:basedOn w:val="TableNormal"/>
    <w:uiPriority w:val="39"/>
    <w:rsid w:val="00CE0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Head">
    <w:name w:val="ItemHead"/>
    <w:aliases w:val="ih"/>
    <w:basedOn w:val="Normal"/>
    <w:next w:val="Normal"/>
    <w:rsid w:val="00A11929"/>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styleId="FollowedHyperlink">
    <w:name w:val="FollowedHyperlink"/>
    <w:basedOn w:val="DefaultParagraphFont"/>
    <w:uiPriority w:val="99"/>
    <w:semiHidden/>
    <w:unhideWhenUsed/>
    <w:rsid w:val="003A54EA"/>
    <w:rPr>
      <w:color w:val="954F72" w:themeColor="followedHyperlink"/>
      <w:u w:val="single"/>
    </w:rPr>
  </w:style>
  <w:style w:type="paragraph" w:customStyle="1" w:styleId="paragraphsub0">
    <w:name w:val="paragraphsub"/>
    <w:basedOn w:val="Normal"/>
    <w:rsid w:val="00B156B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54CD3"/>
    <w:rPr>
      <w:rFonts w:ascii="HelveticaNeueW01-75Bold" w:hAnsi="HelveticaNeueW01-75Bold" w:hint="default"/>
      <w:b w:val="0"/>
      <w:bCs w:val="0"/>
    </w:rPr>
  </w:style>
  <w:style w:type="paragraph" w:customStyle="1" w:styleId="FooterDraft">
    <w:name w:val="FooterDraft"/>
    <w:basedOn w:val="Normal"/>
    <w:rsid w:val="005E7E1A"/>
    <w:pPr>
      <w:spacing w:after="0" w:line="240" w:lineRule="auto"/>
      <w:jc w:val="center"/>
    </w:pPr>
    <w:rPr>
      <w:rFonts w:ascii="Arial" w:eastAsia="Times New Roman" w:hAnsi="Arial" w:cs="Times New Roman"/>
      <w:b/>
      <w:sz w:val="4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532888">
      <w:bodyDiv w:val="1"/>
      <w:marLeft w:val="0"/>
      <w:marRight w:val="0"/>
      <w:marTop w:val="0"/>
      <w:marBottom w:val="0"/>
      <w:divBdr>
        <w:top w:val="none" w:sz="0" w:space="0" w:color="auto"/>
        <w:left w:val="none" w:sz="0" w:space="0" w:color="auto"/>
        <w:bottom w:val="none" w:sz="0" w:space="0" w:color="auto"/>
        <w:right w:val="none" w:sz="0" w:space="0" w:color="auto"/>
      </w:divBdr>
      <w:divsChild>
        <w:div w:id="1238057269">
          <w:marLeft w:val="0"/>
          <w:marRight w:val="0"/>
          <w:marTop w:val="0"/>
          <w:marBottom w:val="0"/>
          <w:divBdr>
            <w:top w:val="none" w:sz="0" w:space="0" w:color="auto"/>
            <w:left w:val="none" w:sz="0" w:space="0" w:color="auto"/>
            <w:bottom w:val="none" w:sz="0" w:space="0" w:color="auto"/>
            <w:right w:val="none" w:sz="0" w:space="0" w:color="auto"/>
          </w:divBdr>
          <w:divsChild>
            <w:div w:id="212811295">
              <w:marLeft w:val="0"/>
              <w:marRight w:val="0"/>
              <w:marTop w:val="0"/>
              <w:marBottom w:val="0"/>
              <w:divBdr>
                <w:top w:val="none" w:sz="0" w:space="0" w:color="auto"/>
                <w:left w:val="none" w:sz="0" w:space="0" w:color="auto"/>
                <w:bottom w:val="none" w:sz="0" w:space="0" w:color="auto"/>
                <w:right w:val="none" w:sz="0" w:space="0" w:color="auto"/>
              </w:divBdr>
              <w:divsChild>
                <w:div w:id="1626350441">
                  <w:marLeft w:val="0"/>
                  <w:marRight w:val="0"/>
                  <w:marTop w:val="0"/>
                  <w:marBottom w:val="0"/>
                  <w:divBdr>
                    <w:top w:val="none" w:sz="0" w:space="0" w:color="auto"/>
                    <w:left w:val="none" w:sz="0" w:space="0" w:color="auto"/>
                    <w:bottom w:val="none" w:sz="0" w:space="0" w:color="auto"/>
                    <w:right w:val="none" w:sz="0" w:space="0" w:color="auto"/>
                  </w:divBdr>
                  <w:divsChild>
                    <w:div w:id="939021647">
                      <w:marLeft w:val="0"/>
                      <w:marRight w:val="0"/>
                      <w:marTop w:val="0"/>
                      <w:marBottom w:val="0"/>
                      <w:divBdr>
                        <w:top w:val="none" w:sz="0" w:space="0" w:color="auto"/>
                        <w:left w:val="none" w:sz="0" w:space="0" w:color="auto"/>
                        <w:bottom w:val="none" w:sz="0" w:space="0" w:color="auto"/>
                        <w:right w:val="none" w:sz="0" w:space="0" w:color="auto"/>
                      </w:divBdr>
                      <w:divsChild>
                        <w:div w:id="707603400">
                          <w:marLeft w:val="0"/>
                          <w:marRight w:val="0"/>
                          <w:marTop w:val="0"/>
                          <w:marBottom w:val="0"/>
                          <w:divBdr>
                            <w:top w:val="none" w:sz="0" w:space="0" w:color="auto"/>
                            <w:left w:val="none" w:sz="0" w:space="0" w:color="auto"/>
                            <w:bottom w:val="none" w:sz="0" w:space="0" w:color="auto"/>
                            <w:right w:val="none" w:sz="0" w:space="0" w:color="auto"/>
                          </w:divBdr>
                          <w:divsChild>
                            <w:div w:id="1321302676">
                              <w:marLeft w:val="0"/>
                              <w:marRight w:val="0"/>
                              <w:marTop w:val="0"/>
                              <w:marBottom w:val="0"/>
                              <w:divBdr>
                                <w:top w:val="none" w:sz="0" w:space="0" w:color="auto"/>
                                <w:left w:val="none" w:sz="0" w:space="0" w:color="auto"/>
                                <w:bottom w:val="none" w:sz="0" w:space="0" w:color="auto"/>
                                <w:right w:val="none" w:sz="0" w:space="0" w:color="auto"/>
                              </w:divBdr>
                              <w:divsChild>
                                <w:div w:id="1202591057">
                                  <w:marLeft w:val="0"/>
                                  <w:marRight w:val="0"/>
                                  <w:marTop w:val="0"/>
                                  <w:marBottom w:val="0"/>
                                  <w:divBdr>
                                    <w:top w:val="none" w:sz="0" w:space="0" w:color="auto"/>
                                    <w:left w:val="none" w:sz="0" w:space="0" w:color="auto"/>
                                    <w:bottom w:val="none" w:sz="0" w:space="0" w:color="auto"/>
                                    <w:right w:val="none" w:sz="0" w:space="0" w:color="auto"/>
                                  </w:divBdr>
                                  <w:divsChild>
                                    <w:div w:id="1847818931">
                                      <w:marLeft w:val="0"/>
                                      <w:marRight w:val="0"/>
                                      <w:marTop w:val="0"/>
                                      <w:marBottom w:val="0"/>
                                      <w:divBdr>
                                        <w:top w:val="none" w:sz="0" w:space="0" w:color="auto"/>
                                        <w:left w:val="none" w:sz="0" w:space="0" w:color="auto"/>
                                        <w:bottom w:val="none" w:sz="0" w:space="0" w:color="auto"/>
                                        <w:right w:val="none" w:sz="0" w:space="0" w:color="auto"/>
                                      </w:divBdr>
                                      <w:divsChild>
                                        <w:div w:id="1097605252">
                                          <w:marLeft w:val="0"/>
                                          <w:marRight w:val="0"/>
                                          <w:marTop w:val="0"/>
                                          <w:marBottom w:val="0"/>
                                          <w:divBdr>
                                            <w:top w:val="none" w:sz="0" w:space="0" w:color="auto"/>
                                            <w:left w:val="none" w:sz="0" w:space="0" w:color="auto"/>
                                            <w:bottom w:val="none" w:sz="0" w:space="0" w:color="auto"/>
                                            <w:right w:val="none" w:sz="0" w:space="0" w:color="auto"/>
                                          </w:divBdr>
                                          <w:divsChild>
                                            <w:div w:id="2059670518">
                                              <w:marLeft w:val="0"/>
                                              <w:marRight w:val="0"/>
                                              <w:marTop w:val="0"/>
                                              <w:marBottom w:val="0"/>
                                              <w:divBdr>
                                                <w:top w:val="none" w:sz="0" w:space="0" w:color="auto"/>
                                                <w:left w:val="none" w:sz="0" w:space="0" w:color="auto"/>
                                                <w:bottom w:val="none" w:sz="0" w:space="0" w:color="auto"/>
                                                <w:right w:val="none" w:sz="0" w:space="0" w:color="auto"/>
                                              </w:divBdr>
                                              <w:divsChild>
                                                <w:div w:id="1991247735">
                                                  <w:marLeft w:val="0"/>
                                                  <w:marRight w:val="0"/>
                                                  <w:marTop w:val="0"/>
                                                  <w:marBottom w:val="0"/>
                                                  <w:divBdr>
                                                    <w:top w:val="none" w:sz="0" w:space="0" w:color="auto"/>
                                                    <w:left w:val="none" w:sz="0" w:space="0" w:color="auto"/>
                                                    <w:bottom w:val="none" w:sz="0" w:space="0" w:color="auto"/>
                                                    <w:right w:val="none" w:sz="0" w:space="0" w:color="auto"/>
                                                  </w:divBdr>
                                                  <w:divsChild>
                                                    <w:div w:id="302203344">
                                                      <w:marLeft w:val="0"/>
                                                      <w:marRight w:val="0"/>
                                                      <w:marTop w:val="0"/>
                                                      <w:marBottom w:val="0"/>
                                                      <w:divBdr>
                                                        <w:top w:val="none" w:sz="0" w:space="0" w:color="auto"/>
                                                        <w:left w:val="none" w:sz="0" w:space="0" w:color="auto"/>
                                                        <w:bottom w:val="none" w:sz="0" w:space="0" w:color="auto"/>
                                                        <w:right w:val="none" w:sz="0" w:space="0" w:color="auto"/>
                                                      </w:divBdr>
                                                      <w:divsChild>
                                                        <w:div w:id="116662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1466579296">
      <w:bodyDiv w:val="1"/>
      <w:marLeft w:val="0"/>
      <w:marRight w:val="0"/>
      <w:marTop w:val="0"/>
      <w:marBottom w:val="0"/>
      <w:divBdr>
        <w:top w:val="none" w:sz="0" w:space="0" w:color="auto"/>
        <w:left w:val="none" w:sz="0" w:space="0" w:color="auto"/>
        <w:bottom w:val="none" w:sz="0" w:space="0" w:color="auto"/>
        <w:right w:val="none" w:sz="0" w:space="0" w:color="auto"/>
      </w:divBdr>
      <w:divsChild>
        <w:div w:id="1356348009">
          <w:marLeft w:val="0"/>
          <w:marRight w:val="0"/>
          <w:marTop w:val="0"/>
          <w:marBottom w:val="0"/>
          <w:divBdr>
            <w:top w:val="none" w:sz="0" w:space="0" w:color="auto"/>
            <w:left w:val="none" w:sz="0" w:space="0" w:color="auto"/>
            <w:bottom w:val="none" w:sz="0" w:space="0" w:color="auto"/>
            <w:right w:val="none" w:sz="0" w:space="0" w:color="auto"/>
          </w:divBdr>
          <w:divsChild>
            <w:div w:id="994451187">
              <w:marLeft w:val="0"/>
              <w:marRight w:val="0"/>
              <w:marTop w:val="0"/>
              <w:marBottom w:val="0"/>
              <w:divBdr>
                <w:top w:val="none" w:sz="0" w:space="0" w:color="auto"/>
                <w:left w:val="none" w:sz="0" w:space="0" w:color="auto"/>
                <w:bottom w:val="none" w:sz="0" w:space="0" w:color="auto"/>
                <w:right w:val="none" w:sz="0" w:space="0" w:color="auto"/>
              </w:divBdr>
              <w:divsChild>
                <w:div w:id="1510410959">
                  <w:marLeft w:val="0"/>
                  <w:marRight w:val="0"/>
                  <w:marTop w:val="0"/>
                  <w:marBottom w:val="0"/>
                  <w:divBdr>
                    <w:top w:val="none" w:sz="0" w:space="0" w:color="auto"/>
                    <w:left w:val="none" w:sz="0" w:space="0" w:color="auto"/>
                    <w:bottom w:val="none" w:sz="0" w:space="0" w:color="auto"/>
                    <w:right w:val="none" w:sz="0" w:space="0" w:color="auto"/>
                  </w:divBdr>
                  <w:divsChild>
                    <w:div w:id="37707151">
                      <w:marLeft w:val="0"/>
                      <w:marRight w:val="0"/>
                      <w:marTop w:val="0"/>
                      <w:marBottom w:val="0"/>
                      <w:divBdr>
                        <w:top w:val="none" w:sz="0" w:space="0" w:color="auto"/>
                        <w:left w:val="none" w:sz="0" w:space="0" w:color="auto"/>
                        <w:bottom w:val="none" w:sz="0" w:space="0" w:color="auto"/>
                        <w:right w:val="none" w:sz="0" w:space="0" w:color="auto"/>
                      </w:divBdr>
                      <w:divsChild>
                        <w:div w:id="2058505455">
                          <w:marLeft w:val="0"/>
                          <w:marRight w:val="0"/>
                          <w:marTop w:val="0"/>
                          <w:marBottom w:val="0"/>
                          <w:divBdr>
                            <w:top w:val="none" w:sz="0" w:space="0" w:color="auto"/>
                            <w:left w:val="none" w:sz="0" w:space="0" w:color="auto"/>
                            <w:bottom w:val="none" w:sz="0" w:space="0" w:color="auto"/>
                            <w:right w:val="none" w:sz="0" w:space="0" w:color="auto"/>
                          </w:divBdr>
                          <w:divsChild>
                            <w:div w:id="1552956210">
                              <w:marLeft w:val="0"/>
                              <w:marRight w:val="0"/>
                              <w:marTop w:val="0"/>
                              <w:marBottom w:val="0"/>
                              <w:divBdr>
                                <w:top w:val="none" w:sz="0" w:space="0" w:color="auto"/>
                                <w:left w:val="none" w:sz="0" w:space="0" w:color="auto"/>
                                <w:bottom w:val="none" w:sz="0" w:space="0" w:color="auto"/>
                                <w:right w:val="none" w:sz="0" w:space="0" w:color="auto"/>
                              </w:divBdr>
                              <w:divsChild>
                                <w:div w:id="1435590575">
                                  <w:marLeft w:val="0"/>
                                  <w:marRight w:val="0"/>
                                  <w:marTop w:val="0"/>
                                  <w:marBottom w:val="0"/>
                                  <w:divBdr>
                                    <w:top w:val="none" w:sz="0" w:space="0" w:color="auto"/>
                                    <w:left w:val="none" w:sz="0" w:space="0" w:color="auto"/>
                                    <w:bottom w:val="none" w:sz="0" w:space="0" w:color="auto"/>
                                    <w:right w:val="none" w:sz="0" w:space="0" w:color="auto"/>
                                  </w:divBdr>
                                  <w:divsChild>
                                    <w:div w:id="611089619">
                                      <w:marLeft w:val="0"/>
                                      <w:marRight w:val="0"/>
                                      <w:marTop w:val="0"/>
                                      <w:marBottom w:val="0"/>
                                      <w:divBdr>
                                        <w:top w:val="none" w:sz="0" w:space="0" w:color="auto"/>
                                        <w:left w:val="none" w:sz="0" w:space="0" w:color="auto"/>
                                        <w:bottom w:val="none" w:sz="0" w:space="0" w:color="auto"/>
                                        <w:right w:val="none" w:sz="0" w:space="0" w:color="auto"/>
                                      </w:divBdr>
                                      <w:divsChild>
                                        <w:div w:id="584924802">
                                          <w:marLeft w:val="0"/>
                                          <w:marRight w:val="0"/>
                                          <w:marTop w:val="0"/>
                                          <w:marBottom w:val="0"/>
                                          <w:divBdr>
                                            <w:top w:val="none" w:sz="0" w:space="0" w:color="auto"/>
                                            <w:left w:val="none" w:sz="0" w:space="0" w:color="auto"/>
                                            <w:bottom w:val="none" w:sz="0" w:space="0" w:color="auto"/>
                                            <w:right w:val="none" w:sz="0" w:space="0" w:color="auto"/>
                                          </w:divBdr>
                                          <w:divsChild>
                                            <w:div w:id="118888507">
                                              <w:marLeft w:val="0"/>
                                              <w:marRight w:val="0"/>
                                              <w:marTop w:val="0"/>
                                              <w:marBottom w:val="0"/>
                                              <w:divBdr>
                                                <w:top w:val="none" w:sz="0" w:space="0" w:color="auto"/>
                                                <w:left w:val="none" w:sz="0" w:space="0" w:color="auto"/>
                                                <w:bottom w:val="none" w:sz="0" w:space="0" w:color="auto"/>
                                                <w:right w:val="none" w:sz="0" w:space="0" w:color="auto"/>
                                              </w:divBdr>
                                              <w:divsChild>
                                                <w:div w:id="1087994819">
                                                  <w:marLeft w:val="0"/>
                                                  <w:marRight w:val="0"/>
                                                  <w:marTop w:val="0"/>
                                                  <w:marBottom w:val="0"/>
                                                  <w:divBdr>
                                                    <w:top w:val="none" w:sz="0" w:space="0" w:color="auto"/>
                                                    <w:left w:val="none" w:sz="0" w:space="0" w:color="auto"/>
                                                    <w:bottom w:val="none" w:sz="0" w:space="0" w:color="auto"/>
                                                    <w:right w:val="none" w:sz="0" w:space="0" w:color="auto"/>
                                                  </w:divBdr>
                                                  <w:divsChild>
                                                    <w:div w:id="2134472781">
                                                      <w:marLeft w:val="0"/>
                                                      <w:marRight w:val="0"/>
                                                      <w:marTop w:val="0"/>
                                                      <w:marBottom w:val="0"/>
                                                      <w:divBdr>
                                                        <w:top w:val="none" w:sz="0" w:space="0" w:color="auto"/>
                                                        <w:left w:val="none" w:sz="0" w:space="0" w:color="auto"/>
                                                        <w:bottom w:val="none" w:sz="0" w:space="0" w:color="auto"/>
                                                        <w:right w:val="none" w:sz="0" w:space="0" w:color="auto"/>
                                                      </w:divBdr>
                                                      <w:divsChild>
                                                        <w:div w:id="72417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0837234">
      <w:bodyDiv w:val="1"/>
      <w:marLeft w:val="0"/>
      <w:marRight w:val="0"/>
      <w:marTop w:val="0"/>
      <w:marBottom w:val="0"/>
      <w:divBdr>
        <w:top w:val="none" w:sz="0" w:space="0" w:color="auto"/>
        <w:left w:val="none" w:sz="0" w:space="0" w:color="auto"/>
        <w:bottom w:val="none" w:sz="0" w:space="0" w:color="auto"/>
        <w:right w:val="none" w:sz="0" w:space="0" w:color="auto"/>
      </w:divBdr>
      <w:divsChild>
        <w:div w:id="901520896">
          <w:marLeft w:val="0"/>
          <w:marRight w:val="0"/>
          <w:marTop w:val="0"/>
          <w:marBottom w:val="0"/>
          <w:divBdr>
            <w:top w:val="none" w:sz="0" w:space="0" w:color="auto"/>
            <w:left w:val="none" w:sz="0" w:space="0" w:color="auto"/>
            <w:bottom w:val="none" w:sz="0" w:space="0" w:color="auto"/>
            <w:right w:val="none" w:sz="0" w:space="0" w:color="auto"/>
          </w:divBdr>
          <w:divsChild>
            <w:div w:id="1336834675">
              <w:marLeft w:val="0"/>
              <w:marRight w:val="0"/>
              <w:marTop w:val="0"/>
              <w:marBottom w:val="0"/>
              <w:divBdr>
                <w:top w:val="none" w:sz="0" w:space="0" w:color="auto"/>
                <w:left w:val="none" w:sz="0" w:space="0" w:color="auto"/>
                <w:bottom w:val="none" w:sz="0" w:space="0" w:color="auto"/>
                <w:right w:val="none" w:sz="0" w:space="0" w:color="auto"/>
              </w:divBdr>
              <w:divsChild>
                <w:div w:id="1405254683">
                  <w:marLeft w:val="0"/>
                  <w:marRight w:val="0"/>
                  <w:marTop w:val="0"/>
                  <w:marBottom w:val="0"/>
                  <w:divBdr>
                    <w:top w:val="none" w:sz="0" w:space="0" w:color="auto"/>
                    <w:left w:val="none" w:sz="0" w:space="0" w:color="auto"/>
                    <w:bottom w:val="none" w:sz="0" w:space="0" w:color="auto"/>
                    <w:right w:val="none" w:sz="0" w:space="0" w:color="auto"/>
                  </w:divBdr>
                  <w:divsChild>
                    <w:div w:id="405349010">
                      <w:marLeft w:val="0"/>
                      <w:marRight w:val="0"/>
                      <w:marTop w:val="0"/>
                      <w:marBottom w:val="0"/>
                      <w:divBdr>
                        <w:top w:val="none" w:sz="0" w:space="0" w:color="auto"/>
                        <w:left w:val="none" w:sz="0" w:space="0" w:color="auto"/>
                        <w:bottom w:val="none" w:sz="0" w:space="0" w:color="auto"/>
                        <w:right w:val="none" w:sz="0" w:space="0" w:color="auto"/>
                      </w:divBdr>
                      <w:divsChild>
                        <w:div w:id="735663371">
                          <w:marLeft w:val="0"/>
                          <w:marRight w:val="0"/>
                          <w:marTop w:val="0"/>
                          <w:marBottom w:val="0"/>
                          <w:divBdr>
                            <w:top w:val="none" w:sz="0" w:space="0" w:color="auto"/>
                            <w:left w:val="none" w:sz="0" w:space="0" w:color="auto"/>
                            <w:bottom w:val="none" w:sz="0" w:space="0" w:color="auto"/>
                            <w:right w:val="none" w:sz="0" w:space="0" w:color="auto"/>
                          </w:divBdr>
                          <w:divsChild>
                            <w:div w:id="612320058">
                              <w:marLeft w:val="0"/>
                              <w:marRight w:val="0"/>
                              <w:marTop w:val="0"/>
                              <w:marBottom w:val="0"/>
                              <w:divBdr>
                                <w:top w:val="none" w:sz="0" w:space="0" w:color="auto"/>
                                <w:left w:val="none" w:sz="0" w:space="0" w:color="auto"/>
                                <w:bottom w:val="none" w:sz="0" w:space="0" w:color="auto"/>
                                <w:right w:val="none" w:sz="0" w:space="0" w:color="auto"/>
                              </w:divBdr>
                              <w:divsChild>
                                <w:div w:id="39787706">
                                  <w:marLeft w:val="0"/>
                                  <w:marRight w:val="0"/>
                                  <w:marTop w:val="0"/>
                                  <w:marBottom w:val="0"/>
                                  <w:divBdr>
                                    <w:top w:val="none" w:sz="0" w:space="0" w:color="auto"/>
                                    <w:left w:val="none" w:sz="0" w:space="0" w:color="auto"/>
                                    <w:bottom w:val="none" w:sz="0" w:space="0" w:color="auto"/>
                                    <w:right w:val="none" w:sz="0" w:space="0" w:color="auto"/>
                                  </w:divBdr>
                                  <w:divsChild>
                                    <w:div w:id="1640763887">
                                      <w:marLeft w:val="0"/>
                                      <w:marRight w:val="0"/>
                                      <w:marTop w:val="0"/>
                                      <w:marBottom w:val="0"/>
                                      <w:divBdr>
                                        <w:top w:val="none" w:sz="0" w:space="0" w:color="auto"/>
                                        <w:left w:val="none" w:sz="0" w:space="0" w:color="auto"/>
                                        <w:bottom w:val="none" w:sz="0" w:space="0" w:color="auto"/>
                                        <w:right w:val="none" w:sz="0" w:space="0" w:color="auto"/>
                                      </w:divBdr>
                                      <w:divsChild>
                                        <w:div w:id="1228690377">
                                          <w:marLeft w:val="0"/>
                                          <w:marRight w:val="0"/>
                                          <w:marTop w:val="0"/>
                                          <w:marBottom w:val="0"/>
                                          <w:divBdr>
                                            <w:top w:val="none" w:sz="0" w:space="0" w:color="auto"/>
                                            <w:left w:val="none" w:sz="0" w:space="0" w:color="auto"/>
                                            <w:bottom w:val="none" w:sz="0" w:space="0" w:color="auto"/>
                                            <w:right w:val="none" w:sz="0" w:space="0" w:color="auto"/>
                                          </w:divBdr>
                                          <w:divsChild>
                                            <w:div w:id="204635747">
                                              <w:marLeft w:val="0"/>
                                              <w:marRight w:val="0"/>
                                              <w:marTop w:val="0"/>
                                              <w:marBottom w:val="0"/>
                                              <w:divBdr>
                                                <w:top w:val="none" w:sz="0" w:space="0" w:color="auto"/>
                                                <w:left w:val="none" w:sz="0" w:space="0" w:color="auto"/>
                                                <w:bottom w:val="none" w:sz="0" w:space="0" w:color="auto"/>
                                                <w:right w:val="none" w:sz="0" w:space="0" w:color="auto"/>
                                              </w:divBdr>
                                              <w:divsChild>
                                                <w:div w:id="364453373">
                                                  <w:marLeft w:val="0"/>
                                                  <w:marRight w:val="0"/>
                                                  <w:marTop w:val="0"/>
                                                  <w:marBottom w:val="0"/>
                                                  <w:divBdr>
                                                    <w:top w:val="none" w:sz="0" w:space="0" w:color="auto"/>
                                                    <w:left w:val="none" w:sz="0" w:space="0" w:color="auto"/>
                                                    <w:bottom w:val="none" w:sz="0" w:space="0" w:color="auto"/>
                                                    <w:right w:val="none" w:sz="0" w:space="0" w:color="auto"/>
                                                  </w:divBdr>
                                                  <w:divsChild>
                                                    <w:div w:id="705986493">
                                                      <w:marLeft w:val="0"/>
                                                      <w:marRight w:val="0"/>
                                                      <w:marTop w:val="0"/>
                                                      <w:marBottom w:val="0"/>
                                                      <w:divBdr>
                                                        <w:top w:val="none" w:sz="0" w:space="0" w:color="auto"/>
                                                        <w:left w:val="none" w:sz="0" w:space="0" w:color="auto"/>
                                                        <w:bottom w:val="none" w:sz="0" w:space="0" w:color="auto"/>
                                                        <w:right w:val="none" w:sz="0" w:space="0" w:color="auto"/>
                                                      </w:divBdr>
                                                      <w:divsChild>
                                                        <w:div w:id="114940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acma.gov.a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itu.int" TargetMode="Externa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hyperlink" Target="http://www.etsi.org/standard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infostore.saiglobal.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UQVA7MFFXVNW-1492724726-3366</_dlc_DocId>
    <_dlc_DocIdUrl xmlns="04b8ec43-391f-4ce4-8841-d6a482add564">
      <Url>http://collaboration/organisation/auth/Chair/Auth/_layouts/15/DocIdRedir.aspx?ID=UQVA7MFFXVNW-1492724726-3366</Url>
      <Description>UQVA7MFFXVNW-1492724726-3366</Description>
    </_dlc_DocIdUrl>
    <Category xmlns="3f364d92-07cb-4b3e-a872-160096f8dd54">(none)</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ED60E87A37DD4FB76D81CDE0E41536" ma:contentTypeVersion="6" ma:contentTypeDescription="Create a new document." ma:contentTypeScope="" ma:versionID="63184fef7fe675da515023c66e38a6d0">
  <xsd:schema xmlns:xsd="http://www.w3.org/2001/XMLSchema" xmlns:xs="http://www.w3.org/2001/XMLSchema" xmlns:p="http://schemas.microsoft.com/office/2006/metadata/properties" xmlns:ns2="04b8ec43-391f-4ce4-8841-d6a482add564" xmlns:ns3="3f364d92-07cb-4b3e-a872-160096f8dd54" targetNamespace="http://schemas.microsoft.com/office/2006/metadata/properties" ma:root="true" ma:fieldsID="014f185616fecdd5a119a0b760501d53" ns2:_="" ns3:_="">
    <xsd:import namespace="04b8ec43-391f-4ce4-8841-d6a482add564"/>
    <xsd:import namespace="3f364d92-07cb-4b3e-a872-160096f8dd54"/>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364d92-07cb-4b3e-a872-160096f8dd54"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228E0-4AA1-40B5-944C-3EDE931A11A0}">
  <ds:schemaRefs>
    <ds:schemaRef ds:uri="http://purl.org/dc/terms/"/>
    <ds:schemaRef ds:uri="http://schemas.microsoft.com/office/2006/documentManagement/types"/>
    <ds:schemaRef ds:uri="http://purl.org/dc/dcmitype/"/>
    <ds:schemaRef ds:uri="04b8ec43-391f-4ce4-8841-d6a482add564"/>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3f364d92-07cb-4b3e-a872-160096f8dd54"/>
    <ds:schemaRef ds:uri="http://www.w3.org/XML/1998/namespace"/>
  </ds:schemaRefs>
</ds:datastoreItem>
</file>

<file path=customXml/itemProps2.xml><?xml version="1.0" encoding="utf-8"?>
<ds:datastoreItem xmlns:ds="http://schemas.openxmlformats.org/officeDocument/2006/customXml" ds:itemID="{A212754F-9481-464C-B4DB-62686626B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3f364d92-07cb-4b3e-a872-160096f8d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7A6C93-453B-42E8-9463-556A563D7BB0}">
  <ds:schemaRefs>
    <ds:schemaRef ds:uri="http://schemas.microsoft.com/sharepoint/events"/>
  </ds:schemaRefs>
</ds:datastoreItem>
</file>

<file path=customXml/itemProps4.xml><?xml version="1.0" encoding="utf-8"?>
<ds:datastoreItem xmlns:ds="http://schemas.openxmlformats.org/officeDocument/2006/customXml" ds:itemID="{A99BA4C5-99B9-4141-B9B4-C1763EE5F075}">
  <ds:schemaRefs>
    <ds:schemaRef ds:uri="http://schemas.microsoft.com/sharepoint/v3/contenttype/forms"/>
  </ds:schemaRefs>
</ds:datastoreItem>
</file>

<file path=customXml/itemProps5.xml><?xml version="1.0" encoding="utf-8"?>
<ds:datastoreItem xmlns:ds="http://schemas.openxmlformats.org/officeDocument/2006/customXml" ds:itemID="{8FD21BBB-E436-4211-A87F-65105EA65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3261</Words>
  <Characters>18592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2018-11-19T23:41:00Z</dcterms:created>
  <dcterms:modified xsi:type="dcterms:W3CDTF">2018-11-25T23:44:00Z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0x0101009AED60E87A37DD4FB76D81CDE0E41536</vt:lpwstr>
  </property>
  <property fmtid="{D5CDD505-2E9C-101B-9397-08002B2CF9AE}" pid="3" name="_dlc_DocIdItemGuid">
    <vt:lpwstr>66534951-7d45-4a04-af14-6768189402ee</vt:lpwstr>
  </property>
</Properties>
</file>