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A63FA" w14:textId="321810DC" w:rsidR="00A60687" w:rsidRPr="000B1FE7" w:rsidRDefault="00A60687" w:rsidP="00A60687">
      <w:pPr>
        <w:pStyle w:val="Heading1"/>
        <w:rPr>
          <w:sz w:val="32"/>
          <w:szCs w:val="32"/>
        </w:rPr>
      </w:pPr>
      <w:r w:rsidRPr="000B1FE7">
        <w:rPr>
          <w:sz w:val="32"/>
          <w:szCs w:val="32"/>
        </w:rPr>
        <w:t>E</w:t>
      </w:r>
      <w:r w:rsidR="000B1FE7" w:rsidRPr="000B1FE7">
        <w:rPr>
          <w:sz w:val="32"/>
          <w:szCs w:val="32"/>
        </w:rPr>
        <w:t>xplanatory</w:t>
      </w:r>
      <w:r w:rsidRPr="000B1FE7">
        <w:rPr>
          <w:sz w:val="32"/>
          <w:szCs w:val="32"/>
        </w:rPr>
        <w:t xml:space="preserve"> S</w:t>
      </w:r>
      <w:r w:rsidR="000B1FE7" w:rsidRPr="000B1FE7">
        <w:rPr>
          <w:sz w:val="32"/>
          <w:szCs w:val="32"/>
        </w:rPr>
        <w:t>tatement</w:t>
      </w:r>
    </w:p>
    <w:p w14:paraId="26882224" w14:textId="12F5A8C5" w:rsidR="00F930A6" w:rsidRPr="00A60687" w:rsidRDefault="00F66D58" w:rsidP="000B1FE7">
      <w:pPr>
        <w:pStyle w:val="Heading2"/>
      </w:pPr>
      <w:r>
        <w:t>Freedom of Information (Disclosure Log – Exempt Documents) Determination 2018</w:t>
      </w:r>
      <w:r w:rsidR="00F930A6" w:rsidRPr="00A60687">
        <w:t xml:space="preserve"> </w:t>
      </w:r>
    </w:p>
    <w:p w14:paraId="568A5C7D" w14:textId="7199E9D7" w:rsidR="00A60687" w:rsidRPr="00F66D58" w:rsidRDefault="00A60687" w:rsidP="00A60687">
      <w:pPr>
        <w:rPr>
          <w:sz w:val="24"/>
          <w:szCs w:val="24"/>
        </w:rPr>
      </w:pPr>
      <w:r w:rsidRPr="00A60687">
        <w:rPr>
          <w:sz w:val="24"/>
          <w:szCs w:val="24"/>
        </w:rPr>
        <w:t>Issued by the authority of the Australian Information Commissioner (Commissioner) under</w:t>
      </w:r>
      <w:r w:rsidR="00F66D58">
        <w:rPr>
          <w:sz w:val="24"/>
          <w:szCs w:val="24"/>
        </w:rPr>
        <w:t xml:space="preserve"> </w:t>
      </w:r>
      <w:r w:rsidRPr="00A60687">
        <w:rPr>
          <w:sz w:val="24"/>
          <w:szCs w:val="24"/>
        </w:rPr>
        <w:t xml:space="preserve">the </w:t>
      </w:r>
      <w:r w:rsidR="00F66D58">
        <w:rPr>
          <w:i/>
          <w:sz w:val="24"/>
          <w:szCs w:val="24"/>
        </w:rPr>
        <w:t xml:space="preserve">Freedom of Information Act 1982 </w:t>
      </w:r>
      <w:r w:rsidR="007B70BE">
        <w:rPr>
          <w:sz w:val="24"/>
          <w:szCs w:val="24"/>
        </w:rPr>
        <w:t>(Cth) (</w:t>
      </w:r>
      <w:r w:rsidR="00622516">
        <w:rPr>
          <w:sz w:val="24"/>
          <w:szCs w:val="24"/>
        </w:rPr>
        <w:t>Act</w:t>
      </w:r>
      <w:r w:rsidR="00F66D58">
        <w:rPr>
          <w:sz w:val="24"/>
          <w:szCs w:val="24"/>
        </w:rPr>
        <w:t>).</w:t>
      </w:r>
    </w:p>
    <w:p w14:paraId="63DC932B" w14:textId="3C5B78A0" w:rsidR="00A60687" w:rsidRPr="00A60687" w:rsidRDefault="00A60687" w:rsidP="00A60687">
      <w:pPr>
        <w:rPr>
          <w:b/>
          <w:sz w:val="24"/>
          <w:szCs w:val="24"/>
        </w:rPr>
      </w:pPr>
      <w:r w:rsidRPr="00A60687">
        <w:rPr>
          <w:sz w:val="24"/>
          <w:szCs w:val="24"/>
        </w:rPr>
        <w:t xml:space="preserve">This explanatory statement relates to the </w:t>
      </w:r>
      <w:r w:rsidR="00F66D58">
        <w:rPr>
          <w:i/>
          <w:sz w:val="24"/>
          <w:szCs w:val="24"/>
        </w:rPr>
        <w:t xml:space="preserve">Freedom of Information (Disclosure Log – Exempt Documents) Determination 2018 </w:t>
      </w:r>
      <w:r w:rsidR="007B70BE">
        <w:rPr>
          <w:sz w:val="24"/>
          <w:szCs w:val="24"/>
        </w:rPr>
        <w:t>(</w:t>
      </w:r>
      <w:r w:rsidR="00F66D58">
        <w:rPr>
          <w:sz w:val="24"/>
          <w:szCs w:val="24"/>
        </w:rPr>
        <w:t>Determination)</w:t>
      </w:r>
      <w:r w:rsidRPr="00A60687">
        <w:rPr>
          <w:sz w:val="24"/>
          <w:szCs w:val="24"/>
        </w:rPr>
        <w:t>.</w:t>
      </w:r>
    </w:p>
    <w:p w14:paraId="2006C246" w14:textId="153A255E" w:rsidR="00A60687" w:rsidRPr="00A60687" w:rsidRDefault="00A60687" w:rsidP="00A60687">
      <w:pPr>
        <w:rPr>
          <w:sz w:val="24"/>
          <w:szCs w:val="24"/>
        </w:rPr>
      </w:pPr>
      <w:r w:rsidRPr="00A60687">
        <w:rPr>
          <w:sz w:val="24"/>
          <w:szCs w:val="24"/>
        </w:rPr>
        <w:t>This explanatory statement fulfils the Commissioner’s obligations under s</w:t>
      </w:r>
      <w:r w:rsidR="003475DD">
        <w:rPr>
          <w:sz w:val="24"/>
          <w:szCs w:val="24"/>
        </w:rPr>
        <w:t>ubsection</w:t>
      </w:r>
      <w:r w:rsidRPr="00A60687">
        <w:rPr>
          <w:sz w:val="24"/>
          <w:szCs w:val="24"/>
        </w:rPr>
        <w:t xml:space="preserve"> 15G(4) of the </w:t>
      </w:r>
      <w:r w:rsidRPr="00487985">
        <w:rPr>
          <w:i/>
          <w:sz w:val="24"/>
          <w:szCs w:val="24"/>
        </w:rPr>
        <w:t>Legislation Act 2003</w:t>
      </w:r>
      <w:r w:rsidR="007B70BE">
        <w:rPr>
          <w:sz w:val="24"/>
          <w:szCs w:val="24"/>
        </w:rPr>
        <w:t xml:space="preserve"> (</w:t>
      </w:r>
      <w:r w:rsidRPr="00A60687">
        <w:rPr>
          <w:sz w:val="24"/>
          <w:szCs w:val="24"/>
        </w:rPr>
        <w:t>Legislation Act).</w:t>
      </w:r>
      <w:r w:rsidR="002E201E">
        <w:rPr>
          <w:sz w:val="24"/>
          <w:szCs w:val="24"/>
        </w:rPr>
        <w:t xml:space="preserve"> </w:t>
      </w:r>
    </w:p>
    <w:p w14:paraId="3E57AF40" w14:textId="702632DF" w:rsidR="00A60687" w:rsidRPr="00A60687" w:rsidRDefault="00A60687" w:rsidP="00A60687">
      <w:pPr>
        <w:pStyle w:val="Heading2"/>
      </w:pPr>
      <w:r w:rsidRPr="00A60687">
        <w:t xml:space="preserve">Authority for the making of </w:t>
      </w:r>
      <w:r w:rsidR="00F66D58">
        <w:t>Determination</w:t>
      </w:r>
      <w:r w:rsidRPr="00A60687">
        <w:t xml:space="preserve"> </w:t>
      </w:r>
    </w:p>
    <w:p w14:paraId="44522CF7" w14:textId="2A06670C" w:rsidR="003C1723" w:rsidRDefault="00A60687" w:rsidP="00A60687">
      <w:pPr>
        <w:rPr>
          <w:sz w:val="24"/>
          <w:szCs w:val="24"/>
        </w:rPr>
      </w:pPr>
      <w:r w:rsidRPr="00487985">
        <w:rPr>
          <w:rFonts w:eastAsia="Calibri" w:cs="Times New Roman"/>
          <w:sz w:val="24"/>
          <w:szCs w:val="24"/>
        </w:rPr>
        <w:t>The Commissioner is empowered by s</w:t>
      </w:r>
      <w:r w:rsidR="003475DD" w:rsidRPr="00487985">
        <w:rPr>
          <w:rFonts w:eastAsia="Calibri" w:cs="Times New Roman"/>
          <w:sz w:val="24"/>
          <w:szCs w:val="24"/>
        </w:rPr>
        <w:t>ubsection</w:t>
      </w:r>
      <w:r w:rsidRPr="00487985">
        <w:rPr>
          <w:rFonts w:eastAsia="Calibri" w:cs="Times New Roman"/>
          <w:sz w:val="24"/>
          <w:szCs w:val="24"/>
        </w:rPr>
        <w:t xml:space="preserve"> </w:t>
      </w:r>
      <w:r w:rsidR="00F66D58" w:rsidRPr="00487985">
        <w:rPr>
          <w:rFonts w:eastAsia="Calibri" w:cs="Times New Roman"/>
          <w:sz w:val="24"/>
          <w:szCs w:val="24"/>
        </w:rPr>
        <w:t>11C(2)</w:t>
      </w:r>
      <w:r w:rsidRPr="00487985">
        <w:rPr>
          <w:rFonts w:eastAsia="Calibri" w:cs="Times New Roman"/>
          <w:sz w:val="24"/>
          <w:szCs w:val="24"/>
        </w:rPr>
        <w:t xml:space="preserve"> of the </w:t>
      </w:r>
      <w:r w:rsidR="00622516" w:rsidRPr="00487985">
        <w:rPr>
          <w:rFonts w:eastAsia="Calibri" w:cs="Times New Roman"/>
          <w:sz w:val="24"/>
          <w:szCs w:val="24"/>
        </w:rPr>
        <w:t>Act</w:t>
      </w:r>
      <w:r w:rsidRPr="00487985">
        <w:rPr>
          <w:rFonts w:eastAsia="Calibri" w:cs="Times New Roman"/>
          <w:sz w:val="24"/>
          <w:szCs w:val="24"/>
        </w:rPr>
        <w:t xml:space="preserve"> to make </w:t>
      </w:r>
      <w:r w:rsidR="00F66D58" w:rsidRPr="00487985">
        <w:rPr>
          <w:rFonts w:eastAsia="Calibri" w:cs="Times New Roman"/>
          <w:sz w:val="24"/>
          <w:szCs w:val="24"/>
        </w:rPr>
        <w:t>the Determination</w:t>
      </w:r>
      <w:r w:rsidR="00F66D58">
        <w:rPr>
          <w:sz w:val="24"/>
          <w:szCs w:val="24"/>
        </w:rPr>
        <w:t>.</w:t>
      </w:r>
      <w:r w:rsidRPr="00A60687">
        <w:rPr>
          <w:sz w:val="24"/>
          <w:szCs w:val="24"/>
        </w:rPr>
        <w:t xml:space="preserve"> </w:t>
      </w:r>
    </w:p>
    <w:p w14:paraId="226BF80E" w14:textId="137ADB17" w:rsidR="00A60687" w:rsidRPr="00A60687" w:rsidRDefault="00A60687" w:rsidP="000B1FE7">
      <w:pPr>
        <w:pStyle w:val="Heading2"/>
      </w:pPr>
      <w:r w:rsidRPr="00A60687">
        <w:t xml:space="preserve">Purpose of </w:t>
      </w:r>
      <w:r w:rsidR="00F66D58" w:rsidRPr="000B1FE7">
        <w:t>Determination</w:t>
      </w:r>
    </w:p>
    <w:p w14:paraId="542AA0E9" w14:textId="26FF1D62" w:rsidR="003872A7" w:rsidRPr="003872A7" w:rsidRDefault="003872A7" w:rsidP="003872A7">
      <w:pPr>
        <w:rPr>
          <w:sz w:val="24"/>
          <w:szCs w:val="24"/>
        </w:rPr>
      </w:pPr>
      <w:r w:rsidRPr="003872A7">
        <w:rPr>
          <w:sz w:val="24"/>
          <w:szCs w:val="24"/>
        </w:rPr>
        <w:t>S</w:t>
      </w:r>
      <w:r w:rsidR="006F3E4F">
        <w:rPr>
          <w:sz w:val="24"/>
          <w:szCs w:val="24"/>
        </w:rPr>
        <w:t>ubs</w:t>
      </w:r>
      <w:r w:rsidRPr="003872A7">
        <w:rPr>
          <w:sz w:val="24"/>
          <w:szCs w:val="24"/>
        </w:rPr>
        <w:t xml:space="preserve">ection 11C(3) of the </w:t>
      </w:r>
      <w:r w:rsidR="00622516">
        <w:rPr>
          <w:sz w:val="24"/>
          <w:szCs w:val="24"/>
        </w:rPr>
        <w:t>Act</w:t>
      </w:r>
      <w:r w:rsidRPr="003872A7">
        <w:rPr>
          <w:sz w:val="24"/>
          <w:szCs w:val="24"/>
        </w:rPr>
        <w:t xml:space="preserve"> requires agencies and Ministers to publish information that has been released in response to each freedom of information access request on their websites subject to certain exceptions. This publication is known as a ‘disclosure log’.</w:t>
      </w:r>
    </w:p>
    <w:p w14:paraId="026BDD38" w14:textId="77777777" w:rsidR="003872A7" w:rsidRPr="003872A7" w:rsidRDefault="003872A7" w:rsidP="003872A7">
      <w:pPr>
        <w:rPr>
          <w:sz w:val="24"/>
          <w:szCs w:val="24"/>
        </w:rPr>
      </w:pPr>
      <w:r w:rsidRPr="003872A7">
        <w:rPr>
          <w:sz w:val="24"/>
          <w:szCs w:val="24"/>
        </w:rPr>
        <w:t xml:space="preserve">The disclosure log requirement does not apply to any of the following: </w:t>
      </w:r>
    </w:p>
    <w:p w14:paraId="7F126743" w14:textId="77777777" w:rsidR="003872A7" w:rsidRPr="003872A7" w:rsidRDefault="003872A7" w:rsidP="008152FE">
      <w:pPr>
        <w:numPr>
          <w:ilvl w:val="0"/>
          <w:numId w:val="15"/>
        </w:numPr>
        <w:rPr>
          <w:sz w:val="24"/>
          <w:szCs w:val="24"/>
        </w:rPr>
      </w:pPr>
      <w:r w:rsidRPr="003872A7">
        <w:rPr>
          <w:sz w:val="24"/>
          <w:szCs w:val="24"/>
        </w:rPr>
        <w:t xml:space="preserve">personal information about any person, if it would be ‘unreasonable’ to publish the information (s 11C(1)(a)) </w:t>
      </w:r>
    </w:p>
    <w:p w14:paraId="00105ED8" w14:textId="77777777" w:rsidR="003872A7" w:rsidRPr="003872A7" w:rsidRDefault="003872A7" w:rsidP="008152FE">
      <w:pPr>
        <w:numPr>
          <w:ilvl w:val="0"/>
          <w:numId w:val="15"/>
        </w:numPr>
        <w:rPr>
          <w:sz w:val="24"/>
          <w:szCs w:val="24"/>
        </w:rPr>
      </w:pPr>
      <w:r w:rsidRPr="003872A7">
        <w:rPr>
          <w:sz w:val="24"/>
          <w:szCs w:val="24"/>
        </w:rPr>
        <w:t xml:space="preserve">information about the business, commercial, financial or professional affairs of any person, if publication of that information would be ‘unreasonable’ (s 11C(1)(b)) </w:t>
      </w:r>
    </w:p>
    <w:p w14:paraId="0F13456F" w14:textId="77777777" w:rsidR="003872A7" w:rsidRPr="003872A7" w:rsidRDefault="003872A7" w:rsidP="008152FE">
      <w:pPr>
        <w:numPr>
          <w:ilvl w:val="0"/>
          <w:numId w:val="15"/>
        </w:numPr>
        <w:rPr>
          <w:sz w:val="24"/>
          <w:szCs w:val="24"/>
        </w:rPr>
      </w:pPr>
      <w:r w:rsidRPr="003872A7">
        <w:rPr>
          <w:sz w:val="24"/>
          <w:szCs w:val="24"/>
        </w:rPr>
        <w:t xml:space="preserve">other information of a kind determined by the Information Commissioner if publication of that information would be ‘unreasonable’ (s 11C(1)(c)) </w:t>
      </w:r>
    </w:p>
    <w:p w14:paraId="715B794E" w14:textId="7BB18928" w:rsidR="003872A7" w:rsidRPr="003872A7" w:rsidRDefault="003872A7" w:rsidP="008152FE">
      <w:pPr>
        <w:numPr>
          <w:ilvl w:val="0"/>
          <w:numId w:val="15"/>
        </w:numPr>
        <w:rPr>
          <w:sz w:val="24"/>
          <w:szCs w:val="24"/>
        </w:rPr>
      </w:pPr>
      <w:r w:rsidRPr="003872A7">
        <w:rPr>
          <w:sz w:val="24"/>
          <w:szCs w:val="24"/>
        </w:rPr>
        <w:t xml:space="preserve">any information if it is not reasonably practicable to publish the information because of the extent of modifications that would need to be made to delete information listed in </w:t>
      </w:r>
      <w:r w:rsidR="00F7586F">
        <w:rPr>
          <w:sz w:val="24"/>
          <w:szCs w:val="24"/>
        </w:rPr>
        <w:t>a) to c) above</w:t>
      </w:r>
      <w:r w:rsidRPr="003872A7">
        <w:rPr>
          <w:sz w:val="24"/>
          <w:szCs w:val="24"/>
        </w:rPr>
        <w:t xml:space="preserve"> (s 11C(1)(d)). </w:t>
      </w:r>
    </w:p>
    <w:p w14:paraId="15D9DB6E" w14:textId="38E9FA32" w:rsidR="00682A70" w:rsidRDefault="007B01CE" w:rsidP="00682A70">
      <w:pPr>
        <w:rPr>
          <w:sz w:val="24"/>
          <w:szCs w:val="24"/>
        </w:rPr>
      </w:pPr>
      <w:r>
        <w:rPr>
          <w:sz w:val="24"/>
          <w:szCs w:val="24"/>
          <w:lang w:val="en-GB"/>
        </w:rPr>
        <w:t>The Determination</w:t>
      </w:r>
      <w:r w:rsidR="003872A7" w:rsidRPr="003872A7">
        <w:rPr>
          <w:sz w:val="24"/>
          <w:szCs w:val="24"/>
          <w:lang w:val="en-GB"/>
        </w:rPr>
        <w:t xml:space="preserve"> </w:t>
      </w:r>
      <w:r w:rsidR="00682A70">
        <w:rPr>
          <w:sz w:val="24"/>
          <w:szCs w:val="24"/>
          <w:lang w:val="en-GB"/>
        </w:rPr>
        <w:t xml:space="preserve">specifies two kinds of information for the purposes of s 11C(1)(c) being information in a document if the document </w:t>
      </w:r>
      <w:r w:rsidR="003872A7" w:rsidRPr="003872A7">
        <w:rPr>
          <w:sz w:val="24"/>
          <w:szCs w:val="24"/>
          <w:lang w:val="en-GB"/>
        </w:rPr>
        <w:t>was an exempt document a</w:t>
      </w:r>
      <w:r w:rsidR="002E0A13">
        <w:rPr>
          <w:sz w:val="24"/>
          <w:szCs w:val="24"/>
          <w:lang w:val="en-GB"/>
        </w:rPr>
        <w:t xml:space="preserve">t the time of its release to a freedom of information request applicant (FOI </w:t>
      </w:r>
      <w:r w:rsidR="003872A7" w:rsidRPr="003872A7">
        <w:rPr>
          <w:sz w:val="24"/>
          <w:szCs w:val="24"/>
          <w:lang w:val="en-GB"/>
        </w:rPr>
        <w:t>applicant</w:t>
      </w:r>
      <w:r w:rsidR="002E0A13">
        <w:rPr>
          <w:sz w:val="24"/>
          <w:szCs w:val="24"/>
          <w:lang w:val="en-GB"/>
        </w:rPr>
        <w:t>)</w:t>
      </w:r>
      <w:r w:rsidR="003872A7" w:rsidRPr="003872A7">
        <w:rPr>
          <w:sz w:val="24"/>
          <w:szCs w:val="24"/>
        </w:rPr>
        <w:t xml:space="preserve"> or </w:t>
      </w:r>
      <w:r w:rsidR="00682A70">
        <w:rPr>
          <w:sz w:val="24"/>
          <w:szCs w:val="24"/>
        </w:rPr>
        <w:t xml:space="preserve">it </w:t>
      </w:r>
      <w:r w:rsidR="003872A7" w:rsidRPr="003872A7">
        <w:rPr>
          <w:sz w:val="24"/>
          <w:szCs w:val="24"/>
        </w:rPr>
        <w:t xml:space="preserve">would have been an exempt document had it been requested by someone other than the </w:t>
      </w:r>
      <w:r w:rsidR="002E0A13">
        <w:rPr>
          <w:sz w:val="24"/>
          <w:szCs w:val="24"/>
        </w:rPr>
        <w:t xml:space="preserve">FOI </w:t>
      </w:r>
      <w:r w:rsidR="003872A7" w:rsidRPr="003872A7">
        <w:rPr>
          <w:sz w:val="24"/>
          <w:szCs w:val="24"/>
        </w:rPr>
        <w:t>applicant</w:t>
      </w:r>
      <w:r w:rsidR="00682A70">
        <w:rPr>
          <w:sz w:val="24"/>
          <w:szCs w:val="24"/>
        </w:rPr>
        <w:t xml:space="preserve">. </w:t>
      </w:r>
    </w:p>
    <w:p w14:paraId="5D49A5DB" w14:textId="7DEF1CEF" w:rsidR="003872A7" w:rsidRPr="00682A70" w:rsidRDefault="00682A70" w:rsidP="00682A70">
      <w:pPr>
        <w:rPr>
          <w:sz w:val="24"/>
          <w:szCs w:val="24"/>
          <w:lang w:val="en-GB"/>
        </w:rPr>
      </w:pPr>
      <w:r>
        <w:rPr>
          <w:sz w:val="24"/>
          <w:szCs w:val="24"/>
        </w:rPr>
        <w:t>The effec</w:t>
      </w:r>
      <w:r w:rsidR="002E0A13">
        <w:rPr>
          <w:sz w:val="24"/>
          <w:szCs w:val="24"/>
        </w:rPr>
        <w:t>t of the D</w:t>
      </w:r>
      <w:r>
        <w:rPr>
          <w:sz w:val="24"/>
          <w:szCs w:val="24"/>
        </w:rPr>
        <w:t xml:space="preserve">etermination is that if information in a document released to an FOI applicant </w:t>
      </w:r>
      <w:r w:rsidR="00C4445D">
        <w:rPr>
          <w:sz w:val="24"/>
          <w:szCs w:val="24"/>
        </w:rPr>
        <w:t>is of a kind specified in section 6 of the D</w:t>
      </w:r>
      <w:r>
        <w:rPr>
          <w:sz w:val="24"/>
          <w:szCs w:val="24"/>
        </w:rPr>
        <w:t>etermination then the agency or Minister is not required to publish the information on a disclosure log if it would be unreasonable to do so</w:t>
      </w:r>
      <w:r w:rsidR="003872A7" w:rsidRPr="003872A7">
        <w:rPr>
          <w:sz w:val="24"/>
          <w:szCs w:val="24"/>
        </w:rPr>
        <w:t>.</w:t>
      </w:r>
    </w:p>
    <w:p w14:paraId="44954F2F" w14:textId="4EF4EB2F" w:rsidR="007B70BE" w:rsidRDefault="007B70BE" w:rsidP="003872A7">
      <w:pPr>
        <w:rPr>
          <w:sz w:val="24"/>
          <w:szCs w:val="24"/>
        </w:rPr>
      </w:pPr>
      <w:r>
        <w:rPr>
          <w:sz w:val="24"/>
          <w:szCs w:val="24"/>
        </w:rPr>
        <w:lastRenderedPageBreak/>
        <w:t>The D</w:t>
      </w:r>
      <w:r w:rsidR="003872A7" w:rsidRPr="003872A7">
        <w:rPr>
          <w:sz w:val="24"/>
          <w:szCs w:val="24"/>
        </w:rPr>
        <w:t xml:space="preserve">etermination is in </w:t>
      </w:r>
      <w:r>
        <w:rPr>
          <w:sz w:val="24"/>
          <w:szCs w:val="24"/>
        </w:rPr>
        <w:t>substance the same as</w:t>
      </w:r>
      <w:r w:rsidR="003872A7" w:rsidRPr="003872A7">
        <w:rPr>
          <w:sz w:val="24"/>
          <w:szCs w:val="24"/>
        </w:rPr>
        <w:t xml:space="preserve"> Disclosure Log Determination No. 2013-1, which was made by the </w:t>
      </w:r>
      <w:r>
        <w:rPr>
          <w:sz w:val="24"/>
          <w:szCs w:val="24"/>
        </w:rPr>
        <w:t xml:space="preserve">Australian </w:t>
      </w:r>
      <w:r w:rsidR="003872A7" w:rsidRPr="003872A7">
        <w:rPr>
          <w:sz w:val="24"/>
          <w:szCs w:val="24"/>
        </w:rPr>
        <w:t xml:space="preserve">Information Commissioner on 14 October 2013 and came into force on 17 October 2013 for a period of </w:t>
      </w:r>
      <w:r w:rsidR="006F3E4F">
        <w:rPr>
          <w:sz w:val="24"/>
          <w:szCs w:val="24"/>
        </w:rPr>
        <w:t>five</w:t>
      </w:r>
      <w:r w:rsidR="003872A7" w:rsidRPr="003872A7">
        <w:rPr>
          <w:sz w:val="24"/>
          <w:szCs w:val="24"/>
        </w:rPr>
        <w:t xml:space="preserve"> years.</w:t>
      </w:r>
    </w:p>
    <w:p w14:paraId="6D6CA862" w14:textId="4CBC7BC5" w:rsidR="003872A7" w:rsidRPr="003872A7" w:rsidRDefault="006F3E4F" w:rsidP="003872A7">
      <w:pPr>
        <w:rPr>
          <w:sz w:val="24"/>
          <w:szCs w:val="24"/>
        </w:rPr>
      </w:pPr>
      <w:r>
        <w:rPr>
          <w:sz w:val="24"/>
          <w:szCs w:val="24"/>
        </w:rPr>
        <w:t>The five</w:t>
      </w:r>
      <w:r w:rsidR="003872A7" w:rsidRPr="003872A7">
        <w:rPr>
          <w:sz w:val="24"/>
          <w:szCs w:val="24"/>
        </w:rPr>
        <w:t xml:space="preserve"> year period of </w:t>
      </w:r>
      <w:r w:rsidR="007B70BE">
        <w:rPr>
          <w:sz w:val="24"/>
          <w:szCs w:val="24"/>
        </w:rPr>
        <w:t>the</w:t>
      </w:r>
      <w:r w:rsidR="007B01CE">
        <w:rPr>
          <w:sz w:val="24"/>
          <w:szCs w:val="24"/>
        </w:rPr>
        <w:t xml:space="preserve"> Determination</w:t>
      </w:r>
      <w:r w:rsidR="003872A7" w:rsidRPr="003872A7">
        <w:rPr>
          <w:sz w:val="24"/>
          <w:szCs w:val="24"/>
        </w:rPr>
        <w:t xml:space="preserve"> reflects the Commissioner’s view that </w:t>
      </w:r>
      <w:r w:rsidR="007B70BE" w:rsidRPr="003872A7">
        <w:rPr>
          <w:sz w:val="24"/>
          <w:szCs w:val="24"/>
        </w:rPr>
        <w:t>Disclosure Log Determination No. 2013-1</w:t>
      </w:r>
      <w:r w:rsidR="007B70BE">
        <w:rPr>
          <w:sz w:val="24"/>
          <w:szCs w:val="24"/>
        </w:rPr>
        <w:t xml:space="preserve"> </w:t>
      </w:r>
      <w:r w:rsidR="003872A7" w:rsidRPr="003872A7">
        <w:rPr>
          <w:sz w:val="24"/>
          <w:szCs w:val="24"/>
        </w:rPr>
        <w:t xml:space="preserve">operated effectively during the past </w:t>
      </w:r>
      <w:r>
        <w:rPr>
          <w:sz w:val="24"/>
          <w:szCs w:val="24"/>
        </w:rPr>
        <w:t>five</w:t>
      </w:r>
      <w:r w:rsidR="003872A7" w:rsidRPr="003872A7">
        <w:rPr>
          <w:sz w:val="24"/>
          <w:szCs w:val="24"/>
        </w:rPr>
        <w:t xml:space="preserve"> years and </w:t>
      </w:r>
      <w:r w:rsidR="00C4445D">
        <w:rPr>
          <w:sz w:val="24"/>
          <w:szCs w:val="24"/>
        </w:rPr>
        <w:t xml:space="preserve">the substantive provision </w:t>
      </w:r>
      <w:r w:rsidR="003872A7" w:rsidRPr="003872A7">
        <w:rPr>
          <w:sz w:val="24"/>
          <w:szCs w:val="24"/>
        </w:rPr>
        <w:t xml:space="preserve">continues to be warranted for </w:t>
      </w:r>
      <w:r w:rsidR="00C4445D">
        <w:rPr>
          <w:sz w:val="24"/>
          <w:szCs w:val="24"/>
        </w:rPr>
        <w:t xml:space="preserve">the </w:t>
      </w:r>
      <w:r w:rsidR="003872A7" w:rsidRPr="003872A7">
        <w:rPr>
          <w:sz w:val="24"/>
          <w:szCs w:val="24"/>
        </w:rPr>
        <w:t>reasons outlined in this statement.</w:t>
      </w:r>
    </w:p>
    <w:p w14:paraId="46673CF1" w14:textId="5317A8CB" w:rsidR="007B01CE" w:rsidRPr="000B1FE7" w:rsidRDefault="007B01CE" w:rsidP="000B1FE7">
      <w:pPr>
        <w:pStyle w:val="Heading2"/>
      </w:pPr>
      <w:r w:rsidRPr="007B01CE">
        <w:t>Rea</w:t>
      </w:r>
      <w:r w:rsidR="00C4445D">
        <w:t>sons for making the D</w:t>
      </w:r>
      <w:r w:rsidRPr="000B1FE7">
        <w:t>etermination</w:t>
      </w:r>
    </w:p>
    <w:p w14:paraId="0199B5D5" w14:textId="0EC73CEF" w:rsidR="007B01CE" w:rsidRPr="007B01CE" w:rsidRDefault="007B01CE" w:rsidP="007B01CE">
      <w:pPr>
        <w:keepNext/>
        <w:keepLines/>
        <w:spacing w:after="0" w:line="240" w:lineRule="auto"/>
        <w:contextualSpacing/>
        <w:rPr>
          <w:rFonts w:eastAsia="Calibri" w:cs="Times New Roman"/>
          <w:sz w:val="24"/>
          <w:szCs w:val="24"/>
        </w:rPr>
      </w:pPr>
      <w:r w:rsidRPr="007B01CE">
        <w:rPr>
          <w:rFonts w:eastAsia="Calibri" w:cs="Times New Roman"/>
          <w:sz w:val="24"/>
          <w:szCs w:val="24"/>
        </w:rPr>
        <w:t xml:space="preserve">The </w:t>
      </w:r>
      <w:r w:rsidR="00622516">
        <w:rPr>
          <w:rFonts w:eastAsia="Calibri" w:cs="Times New Roman"/>
          <w:sz w:val="24"/>
          <w:szCs w:val="24"/>
        </w:rPr>
        <w:t>Act</w:t>
      </w:r>
      <w:r w:rsidRPr="007B01CE">
        <w:rPr>
          <w:rFonts w:eastAsia="Calibri" w:cs="Times New Roman"/>
          <w:sz w:val="24"/>
          <w:szCs w:val="24"/>
        </w:rPr>
        <w:t xml:space="preserve"> gives every person a legally enforceable right to obtain access to documents of an agency and official documents of a Minister other than exempt documents (s 11). The phrase ‘exempt document’ is defined in ss 4 and 31B as meaning: </w:t>
      </w:r>
    </w:p>
    <w:p w14:paraId="00E15C6A" w14:textId="77777777" w:rsidR="007B01CE" w:rsidRPr="007B01CE" w:rsidRDefault="007B01CE" w:rsidP="008152FE">
      <w:pPr>
        <w:keepNext/>
        <w:keepLines/>
        <w:numPr>
          <w:ilvl w:val="0"/>
          <w:numId w:val="18"/>
        </w:numPr>
        <w:spacing w:before="120" w:after="120" w:line="240" w:lineRule="auto"/>
        <w:ind w:hanging="357"/>
        <w:rPr>
          <w:rFonts w:eastAsia="Calibri" w:cs="Times New Roman"/>
          <w:sz w:val="24"/>
          <w:szCs w:val="24"/>
        </w:rPr>
      </w:pPr>
      <w:r w:rsidRPr="007B01CE">
        <w:rPr>
          <w:rFonts w:eastAsia="Calibri" w:cs="Times New Roman"/>
          <w:sz w:val="24"/>
          <w:szCs w:val="24"/>
        </w:rPr>
        <w:t>a document that is exempt under Part IV Division 2</w:t>
      </w:r>
    </w:p>
    <w:p w14:paraId="60A2EC2E" w14:textId="77777777" w:rsidR="007B01CE" w:rsidRPr="007B01CE" w:rsidRDefault="007B01CE" w:rsidP="008152FE">
      <w:pPr>
        <w:numPr>
          <w:ilvl w:val="0"/>
          <w:numId w:val="18"/>
        </w:numPr>
        <w:spacing w:before="120" w:after="120" w:line="240" w:lineRule="auto"/>
        <w:ind w:hanging="357"/>
        <w:rPr>
          <w:rFonts w:eastAsia="Calibri" w:cs="Times New Roman"/>
          <w:sz w:val="24"/>
          <w:szCs w:val="24"/>
        </w:rPr>
      </w:pPr>
      <w:r w:rsidRPr="007B01CE">
        <w:rPr>
          <w:rFonts w:eastAsia="Calibri" w:cs="Times New Roman"/>
          <w:sz w:val="24"/>
          <w:szCs w:val="24"/>
        </w:rPr>
        <w:t>a document that is conditionally exempt under Part IV Division 3, if access to the document at that time would, on balance, be contrary to the public interest</w:t>
      </w:r>
    </w:p>
    <w:p w14:paraId="654B835A" w14:textId="2865E4FA" w:rsidR="007B01CE" w:rsidRPr="007B01CE" w:rsidRDefault="007B01CE" w:rsidP="008152FE">
      <w:pPr>
        <w:numPr>
          <w:ilvl w:val="0"/>
          <w:numId w:val="18"/>
        </w:numPr>
        <w:spacing w:before="120" w:after="120" w:line="240" w:lineRule="auto"/>
        <w:ind w:hanging="357"/>
        <w:rPr>
          <w:rFonts w:eastAsia="Calibri" w:cs="Times New Roman"/>
          <w:sz w:val="24"/>
          <w:szCs w:val="24"/>
        </w:rPr>
      </w:pPr>
      <w:r w:rsidRPr="007B01CE">
        <w:rPr>
          <w:rFonts w:eastAsia="Calibri" w:cs="Times New Roman"/>
          <w:sz w:val="24"/>
          <w:szCs w:val="24"/>
        </w:rPr>
        <w:t>a document in respect of which an agency, person or body is exempt from the operation of the</w:t>
      </w:r>
      <w:r w:rsidR="005A4CB5">
        <w:rPr>
          <w:rFonts w:eastAsia="Calibri" w:cs="Times New Roman"/>
          <w:sz w:val="24"/>
          <w:szCs w:val="24"/>
        </w:rPr>
        <w:t xml:space="preserve"> </w:t>
      </w:r>
      <w:r w:rsidR="00622516">
        <w:rPr>
          <w:rFonts w:eastAsia="Calibri" w:cs="Times New Roman"/>
          <w:sz w:val="24"/>
          <w:szCs w:val="24"/>
        </w:rPr>
        <w:t>Act</w:t>
      </w:r>
      <w:r w:rsidRPr="007B01CE">
        <w:rPr>
          <w:rFonts w:eastAsia="Calibri" w:cs="Times New Roman"/>
          <w:sz w:val="24"/>
          <w:szCs w:val="24"/>
        </w:rPr>
        <w:t xml:space="preserve"> under s 7, and</w:t>
      </w:r>
    </w:p>
    <w:p w14:paraId="1CFAEEBC" w14:textId="77777777" w:rsidR="007B01CE" w:rsidRPr="007B01CE" w:rsidRDefault="007B01CE" w:rsidP="008152FE">
      <w:pPr>
        <w:numPr>
          <w:ilvl w:val="0"/>
          <w:numId w:val="18"/>
        </w:numPr>
        <w:spacing w:before="120" w:after="120" w:line="240" w:lineRule="auto"/>
        <w:ind w:hanging="357"/>
        <w:rPr>
          <w:rFonts w:eastAsia="Calibri" w:cs="Times New Roman"/>
          <w:sz w:val="24"/>
          <w:szCs w:val="24"/>
        </w:rPr>
      </w:pPr>
      <w:r w:rsidRPr="007B01CE">
        <w:rPr>
          <w:rFonts w:eastAsia="Calibri" w:cs="Times New Roman"/>
          <w:sz w:val="24"/>
          <w:szCs w:val="24"/>
        </w:rPr>
        <w:t xml:space="preserve">an official document of a Minister that contains some matter that does not relate to the affairs of an agency or Department of State. </w:t>
      </w:r>
    </w:p>
    <w:p w14:paraId="61A5705F" w14:textId="3169FD51" w:rsidR="007B01CE" w:rsidRPr="007B01CE" w:rsidRDefault="007B01CE" w:rsidP="007B01CE">
      <w:pPr>
        <w:spacing w:before="240" w:after="0" w:line="240" w:lineRule="auto"/>
        <w:rPr>
          <w:rFonts w:eastAsia="Calibri" w:cs="Times New Roman"/>
          <w:sz w:val="24"/>
          <w:szCs w:val="24"/>
        </w:rPr>
      </w:pPr>
      <w:r w:rsidRPr="007B01CE">
        <w:rPr>
          <w:rFonts w:eastAsia="Calibri" w:cs="Times New Roman"/>
          <w:sz w:val="24"/>
          <w:szCs w:val="24"/>
        </w:rPr>
        <w:t xml:space="preserve">The </w:t>
      </w:r>
      <w:r w:rsidR="00622516">
        <w:rPr>
          <w:rFonts w:eastAsia="Calibri" w:cs="Times New Roman"/>
          <w:sz w:val="24"/>
          <w:szCs w:val="24"/>
        </w:rPr>
        <w:t>Act</w:t>
      </w:r>
      <w:r w:rsidRPr="007B01CE">
        <w:rPr>
          <w:rFonts w:eastAsia="Calibri" w:cs="Times New Roman"/>
          <w:sz w:val="24"/>
          <w:szCs w:val="24"/>
        </w:rPr>
        <w:t xml:space="preserve"> does not limit an agency’s or Minister’s power to give access to information or a document that is exempt under the </w:t>
      </w:r>
      <w:r w:rsidR="00622516">
        <w:rPr>
          <w:rFonts w:eastAsia="Calibri" w:cs="Times New Roman"/>
          <w:sz w:val="24"/>
          <w:szCs w:val="24"/>
        </w:rPr>
        <w:t>Act</w:t>
      </w:r>
      <w:r w:rsidRPr="007B01CE">
        <w:rPr>
          <w:rFonts w:eastAsia="Calibri" w:cs="Times New Roman"/>
          <w:sz w:val="24"/>
          <w:szCs w:val="24"/>
        </w:rPr>
        <w:t xml:space="preserve"> (s 3A).</w:t>
      </w:r>
    </w:p>
    <w:p w14:paraId="7C472741" w14:textId="7C2D7B86" w:rsidR="002E0A13" w:rsidRDefault="00C4445D" w:rsidP="00487985">
      <w:pPr>
        <w:spacing w:before="240" w:line="240" w:lineRule="auto"/>
        <w:rPr>
          <w:rFonts w:eastAsia="Calibri" w:cs="Times New Roman"/>
          <w:sz w:val="24"/>
          <w:szCs w:val="24"/>
        </w:rPr>
      </w:pPr>
      <w:r>
        <w:rPr>
          <w:rFonts w:eastAsia="Calibri" w:cs="Times New Roman"/>
          <w:sz w:val="24"/>
          <w:szCs w:val="24"/>
        </w:rPr>
        <w:t>S</w:t>
      </w:r>
      <w:r w:rsidR="00EC07D1">
        <w:rPr>
          <w:rFonts w:eastAsia="Calibri" w:cs="Times New Roman"/>
          <w:sz w:val="24"/>
          <w:szCs w:val="24"/>
        </w:rPr>
        <w:t>ubs</w:t>
      </w:r>
      <w:r>
        <w:rPr>
          <w:rFonts w:eastAsia="Calibri" w:cs="Times New Roman"/>
          <w:sz w:val="24"/>
          <w:szCs w:val="24"/>
        </w:rPr>
        <w:t>ection</w:t>
      </w:r>
      <w:r w:rsidR="007B01CE" w:rsidRPr="007B01CE">
        <w:rPr>
          <w:rFonts w:eastAsia="Calibri" w:cs="Times New Roman"/>
          <w:sz w:val="24"/>
          <w:szCs w:val="24"/>
        </w:rPr>
        <w:t xml:space="preserve"> </w:t>
      </w:r>
      <w:r>
        <w:rPr>
          <w:rFonts w:eastAsia="Calibri" w:cs="Times New Roman"/>
          <w:sz w:val="24"/>
          <w:szCs w:val="20"/>
        </w:rPr>
        <w:t>6</w:t>
      </w:r>
      <w:r w:rsidR="00EC07D1">
        <w:rPr>
          <w:rFonts w:eastAsia="Calibri" w:cs="Times New Roman"/>
          <w:sz w:val="24"/>
          <w:szCs w:val="20"/>
        </w:rPr>
        <w:t>(1)</w:t>
      </w:r>
      <w:r w:rsidR="007B01CE" w:rsidRPr="007B01CE">
        <w:rPr>
          <w:rFonts w:eastAsia="Calibri" w:cs="Times New Roman"/>
          <w:sz w:val="24"/>
          <w:szCs w:val="24"/>
        </w:rPr>
        <w:t xml:space="preserve"> of </w:t>
      </w:r>
      <w:r w:rsidR="00E767B5" w:rsidRPr="0055310B">
        <w:rPr>
          <w:rFonts w:eastAsia="Calibri" w:cs="Times New Roman"/>
          <w:sz w:val="24"/>
          <w:szCs w:val="24"/>
        </w:rPr>
        <w:t>the Determination</w:t>
      </w:r>
      <w:r w:rsidR="007B01CE" w:rsidRPr="007B01CE">
        <w:rPr>
          <w:rFonts w:eastAsia="Calibri" w:cs="Times New Roman"/>
          <w:sz w:val="24"/>
          <w:szCs w:val="24"/>
        </w:rPr>
        <w:t xml:space="preserve"> </w:t>
      </w:r>
      <w:r w:rsidR="002E0A13">
        <w:rPr>
          <w:rFonts w:eastAsia="Calibri" w:cs="Times New Roman"/>
          <w:sz w:val="24"/>
          <w:szCs w:val="24"/>
        </w:rPr>
        <w:t xml:space="preserve">specifies two kinds of information for the purposes of </w:t>
      </w:r>
      <w:r w:rsidR="0043046D">
        <w:rPr>
          <w:sz w:val="24"/>
          <w:szCs w:val="24"/>
          <w:lang w:val="en-GB"/>
        </w:rPr>
        <w:t>paragraph</w:t>
      </w:r>
      <w:r w:rsidR="002E0A13">
        <w:rPr>
          <w:sz w:val="24"/>
          <w:szCs w:val="24"/>
          <w:lang w:val="en-GB"/>
        </w:rPr>
        <w:t xml:space="preserve"> 11C(1)(c) of the Act</w:t>
      </w:r>
      <w:r w:rsidR="002E0A13">
        <w:rPr>
          <w:rFonts w:eastAsia="Calibri" w:cs="Times New Roman"/>
          <w:sz w:val="24"/>
          <w:szCs w:val="24"/>
        </w:rPr>
        <w:t xml:space="preserve">. </w:t>
      </w:r>
      <w:r w:rsidR="00F7586F">
        <w:rPr>
          <w:rFonts w:eastAsia="Calibri" w:cs="Times New Roman"/>
          <w:sz w:val="24"/>
          <w:szCs w:val="24"/>
        </w:rPr>
        <w:t>The effect is, that if</w:t>
      </w:r>
      <w:r w:rsidR="002E0A13">
        <w:rPr>
          <w:rFonts w:eastAsia="Calibri" w:cs="Times New Roman"/>
          <w:sz w:val="24"/>
          <w:szCs w:val="24"/>
        </w:rPr>
        <w:t xml:space="preserve"> an agency or Minister</w:t>
      </w:r>
      <w:r w:rsidR="00F7586F">
        <w:rPr>
          <w:rFonts w:eastAsia="Calibri" w:cs="Times New Roman"/>
          <w:sz w:val="24"/>
          <w:szCs w:val="24"/>
        </w:rPr>
        <w:t xml:space="preserve"> has</w:t>
      </w:r>
      <w:r w:rsidR="002E0A13">
        <w:rPr>
          <w:rFonts w:eastAsia="Calibri" w:cs="Times New Roman"/>
          <w:sz w:val="24"/>
          <w:szCs w:val="24"/>
        </w:rPr>
        <w:t xml:space="preserve"> released information to an FOI applicant of a kind that falls within </w:t>
      </w:r>
      <w:r w:rsidR="00EC07D1">
        <w:rPr>
          <w:rFonts w:eastAsia="Calibri" w:cs="Times New Roman"/>
          <w:sz w:val="24"/>
          <w:szCs w:val="24"/>
        </w:rPr>
        <w:t>subsection</w:t>
      </w:r>
      <w:r w:rsidR="00EC07D1" w:rsidRPr="007B01CE">
        <w:rPr>
          <w:rFonts w:eastAsia="Calibri" w:cs="Times New Roman"/>
          <w:sz w:val="24"/>
          <w:szCs w:val="24"/>
        </w:rPr>
        <w:t xml:space="preserve"> </w:t>
      </w:r>
      <w:r w:rsidR="00EC07D1">
        <w:rPr>
          <w:rFonts w:eastAsia="Calibri" w:cs="Times New Roman"/>
          <w:sz w:val="24"/>
          <w:szCs w:val="20"/>
        </w:rPr>
        <w:t>6(1)</w:t>
      </w:r>
      <w:r w:rsidR="00F7586F">
        <w:rPr>
          <w:rFonts w:eastAsia="Calibri" w:cs="Times New Roman"/>
          <w:sz w:val="24"/>
          <w:szCs w:val="24"/>
        </w:rPr>
        <w:t xml:space="preserve"> </w:t>
      </w:r>
      <w:r w:rsidR="00F7586F" w:rsidRPr="00F7586F">
        <w:rPr>
          <w:rFonts w:eastAsia="Calibri" w:cs="Times New Roman"/>
          <w:sz w:val="24"/>
          <w:szCs w:val="24"/>
          <w:u w:val="single"/>
        </w:rPr>
        <w:t>and</w:t>
      </w:r>
      <w:r w:rsidR="00F7586F">
        <w:rPr>
          <w:rFonts w:eastAsia="Calibri" w:cs="Times New Roman"/>
          <w:sz w:val="24"/>
          <w:szCs w:val="24"/>
        </w:rPr>
        <w:t xml:space="preserve"> the agency or</w:t>
      </w:r>
      <w:r w:rsidR="002E0A13">
        <w:rPr>
          <w:rFonts w:eastAsia="Calibri" w:cs="Times New Roman"/>
          <w:sz w:val="24"/>
          <w:szCs w:val="24"/>
        </w:rPr>
        <w:t xml:space="preserve"> Minister determines it would be unreasonable to publish that information, </w:t>
      </w:r>
      <w:r w:rsidR="00F7586F">
        <w:rPr>
          <w:rFonts w:eastAsia="Calibri" w:cs="Times New Roman"/>
          <w:sz w:val="24"/>
          <w:szCs w:val="24"/>
        </w:rPr>
        <w:t>they are relieved from</w:t>
      </w:r>
      <w:r w:rsidR="002E0A13">
        <w:rPr>
          <w:rFonts w:eastAsia="Calibri" w:cs="Times New Roman"/>
          <w:sz w:val="24"/>
          <w:szCs w:val="24"/>
        </w:rPr>
        <w:t xml:space="preserve"> publish</w:t>
      </w:r>
      <w:r w:rsidR="00F7586F">
        <w:rPr>
          <w:rFonts w:eastAsia="Calibri" w:cs="Times New Roman"/>
          <w:sz w:val="24"/>
          <w:szCs w:val="24"/>
        </w:rPr>
        <w:t>ing</w:t>
      </w:r>
      <w:r w:rsidR="002E0A13">
        <w:rPr>
          <w:rFonts w:eastAsia="Calibri" w:cs="Times New Roman"/>
          <w:sz w:val="24"/>
          <w:szCs w:val="24"/>
        </w:rPr>
        <w:t xml:space="preserve"> the information on a disclosure log. </w:t>
      </w:r>
    </w:p>
    <w:p w14:paraId="41EA5F3E" w14:textId="4F54D52A" w:rsidR="00487985" w:rsidRDefault="00487985" w:rsidP="00487985">
      <w:pPr>
        <w:pStyle w:val="Heading3"/>
      </w:pPr>
      <w:r>
        <w:t xml:space="preserve">Paragraph </w:t>
      </w:r>
      <w:r>
        <w:rPr>
          <w:szCs w:val="20"/>
        </w:rPr>
        <w:t>6(</w:t>
      </w:r>
      <w:r w:rsidRPr="007B01CE">
        <w:rPr>
          <w:szCs w:val="20"/>
        </w:rPr>
        <w:t>1</w:t>
      </w:r>
      <w:r>
        <w:rPr>
          <w:szCs w:val="20"/>
        </w:rPr>
        <w:t>)</w:t>
      </w:r>
      <w:r>
        <w:t>(a</w:t>
      </w:r>
      <w:r w:rsidRPr="007B01CE">
        <w:t xml:space="preserve">) </w:t>
      </w:r>
    </w:p>
    <w:p w14:paraId="22D4D0B1" w14:textId="3691D3B8" w:rsidR="007B01CE" w:rsidRPr="007B01CE" w:rsidRDefault="007F0570" w:rsidP="00487985">
      <w:pPr>
        <w:spacing w:before="120" w:line="240" w:lineRule="auto"/>
        <w:rPr>
          <w:rFonts w:eastAsia="Calibri" w:cs="Times New Roman"/>
          <w:sz w:val="24"/>
          <w:szCs w:val="24"/>
        </w:rPr>
      </w:pPr>
      <w:r w:rsidRPr="007B01CE">
        <w:rPr>
          <w:rFonts w:eastAsia="Calibri" w:cs="Times New Roman"/>
          <w:sz w:val="24"/>
          <w:szCs w:val="24"/>
        </w:rPr>
        <w:t xml:space="preserve">The </w:t>
      </w:r>
      <w:r>
        <w:rPr>
          <w:rFonts w:eastAsia="Calibri" w:cs="Times New Roman"/>
          <w:sz w:val="24"/>
          <w:szCs w:val="24"/>
        </w:rPr>
        <w:t>Commissioner determining the kind of information in p</w:t>
      </w:r>
      <w:r w:rsidRPr="007B01CE">
        <w:rPr>
          <w:rFonts w:eastAsia="Calibri" w:cs="Times New Roman"/>
          <w:sz w:val="24"/>
          <w:szCs w:val="24"/>
        </w:rPr>
        <w:t xml:space="preserve">aragraph </w:t>
      </w:r>
      <w:r>
        <w:rPr>
          <w:rFonts w:eastAsia="Calibri" w:cs="Times New Roman"/>
          <w:sz w:val="24"/>
          <w:szCs w:val="20"/>
        </w:rPr>
        <w:t>6(</w:t>
      </w:r>
      <w:r w:rsidRPr="007B01CE">
        <w:rPr>
          <w:rFonts w:eastAsia="Calibri" w:cs="Times New Roman"/>
          <w:sz w:val="24"/>
          <w:szCs w:val="20"/>
        </w:rPr>
        <w:t>1</w:t>
      </w:r>
      <w:r>
        <w:rPr>
          <w:rFonts w:eastAsia="Calibri" w:cs="Times New Roman"/>
          <w:sz w:val="24"/>
          <w:szCs w:val="20"/>
        </w:rPr>
        <w:t>)</w:t>
      </w:r>
      <w:r>
        <w:rPr>
          <w:rFonts w:eastAsia="Calibri" w:cs="Times New Roman"/>
          <w:sz w:val="24"/>
          <w:szCs w:val="24"/>
        </w:rPr>
        <w:t>(a</w:t>
      </w:r>
      <w:r w:rsidRPr="007B01CE">
        <w:rPr>
          <w:rFonts w:eastAsia="Calibri" w:cs="Times New Roman"/>
          <w:sz w:val="24"/>
          <w:szCs w:val="24"/>
        </w:rPr>
        <w:t xml:space="preserve">) recognises </w:t>
      </w:r>
      <w:r>
        <w:rPr>
          <w:rFonts w:eastAsia="Calibri" w:cs="Times New Roman"/>
          <w:sz w:val="24"/>
          <w:szCs w:val="24"/>
        </w:rPr>
        <w:t xml:space="preserve">that an </w:t>
      </w:r>
      <w:r w:rsidR="007B01CE" w:rsidRPr="007B01CE">
        <w:rPr>
          <w:rFonts w:eastAsia="Calibri" w:cs="Times New Roman"/>
          <w:sz w:val="24"/>
          <w:szCs w:val="24"/>
        </w:rPr>
        <w:t xml:space="preserve">agency or Minister </w:t>
      </w:r>
      <w:r>
        <w:rPr>
          <w:rFonts w:eastAsia="Calibri" w:cs="Times New Roman"/>
          <w:sz w:val="24"/>
          <w:szCs w:val="24"/>
        </w:rPr>
        <w:t xml:space="preserve">may </w:t>
      </w:r>
      <w:r w:rsidR="007B01CE" w:rsidRPr="007B01CE">
        <w:rPr>
          <w:rFonts w:eastAsia="Calibri" w:cs="Times New Roman"/>
          <w:sz w:val="24"/>
          <w:szCs w:val="24"/>
        </w:rPr>
        <w:t xml:space="preserve">decide that it is appropriate to provide access to </w:t>
      </w:r>
      <w:r>
        <w:rPr>
          <w:rFonts w:eastAsia="Calibri" w:cs="Times New Roman"/>
          <w:sz w:val="24"/>
          <w:szCs w:val="24"/>
        </w:rPr>
        <w:t>an exempt document to a</w:t>
      </w:r>
      <w:r w:rsidR="007B01CE" w:rsidRPr="007B01CE">
        <w:rPr>
          <w:rFonts w:eastAsia="Calibri" w:cs="Times New Roman"/>
          <w:sz w:val="24"/>
          <w:szCs w:val="24"/>
        </w:rPr>
        <w:t xml:space="preserve"> particular </w:t>
      </w:r>
      <w:r w:rsidR="002E0A13">
        <w:rPr>
          <w:rFonts w:eastAsia="Calibri" w:cs="Times New Roman"/>
          <w:sz w:val="24"/>
          <w:szCs w:val="24"/>
        </w:rPr>
        <w:t xml:space="preserve">FOI </w:t>
      </w:r>
      <w:r w:rsidR="007B01CE" w:rsidRPr="007B01CE">
        <w:rPr>
          <w:rFonts w:eastAsia="Calibri" w:cs="Times New Roman"/>
          <w:sz w:val="24"/>
          <w:szCs w:val="24"/>
        </w:rPr>
        <w:t xml:space="preserve">applicant but </w:t>
      </w:r>
      <w:r>
        <w:rPr>
          <w:rFonts w:eastAsia="Calibri" w:cs="Times New Roman"/>
          <w:sz w:val="24"/>
          <w:szCs w:val="24"/>
        </w:rPr>
        <w:t xml:space="preserve">that </w:t>
      </w:r>
      <w:r w:rsidR="007B01CE" w:rsidRPr="007B01CE">
        <w:rPr>
          <w:rFonts w:eastAsia="Calibri" w:cs="Times New Roman"/>
          <w:sz w:val="24"/>
          <w:szCs w:val="24"/>
        </w:rPr>
        <w:t xml:space="preserve">it would be unreasonable to publish the document more widely. For example, an agency may have released an exempt document to a particular </w:t>
      </w:r>
      <w:r w:rsidR="002E0A13">
        <w:rPr>
          <w:rFonts w:eastAsia="Calibri" w:cs="Times New Roman"/>
          <w:sz w:val="24"/>
          <w:szCs w:val="24"/>
        </w:rPr>
        <w:t xml:space="preserve">FOI </w:t>
      </w:r>
      <w:r w:rsidR="007B01CE" w:rsidRPr="007B01CE">
        <w:rPr>
          <w:rFonts w:eastAsia="Calibri" w:cs="Times New Roman"/>
          <w:sz w:val="24"/>
          <w:szCs w:val="24"/>
        </w:rPr>
        <w:t xml:space="preserve">applicant in connection with a research project, in connection with legal proceedings in which the </w:t>
      </w:r>
      <w:r w:rsidR="002E0A13">
        <w:rPr>
          <w:rFonts w:eastAsia="Calibri" w:cs="Times New Roman"/>
          <w:sz w:val="24"/>
          <w:szCs w:val="24"/>
        </w:rPr>
        <w:t xml:space="preserve">FOI </w:t>
      </w:r>
      <w:r w:rsidR="007B01CE" w:rsidRPr="007B01CE">
        <w:rPr>
          <w:rFonts w:eastAsia="Calibri" w:cs="Times New Roman"/>
          <w:sz w:val="24"/>
          <w:szCs w:val="24"/>
        </w:rPr>
        <w:t>applicant is involved, or because the confidential nature of information in a document would not be jeopardised by selective release</w:t>
      </w:r>
      <w:r w:rsidR="0043046D">
        <w:rPr>
          <w:rFonts w:eastAsia="Calibri" w:cs="Times New Roman"/>
          <w:sz w:val="24"/>
          <w:szCs w:val="24"/>
        </w:rPr>
        <w:t xml:space="preserve"> to a particular FOI applicant</w:t>
      </w:r>
      <w:r w:rsidR="007B01CE" w:rsidRPr="007B01CE">
        <w:rPr>
          <w:rFonts w:eastAsia="Calibri" w:cs="Times New Roman"/>
          <w:sz w:val="24"/>
          <w:szCs w:val="24"/>
        </w:rPr>
        <w:t xml:space="preserve">. In these circumstances, the agency or Minister may decide that it is unreasonable to publish this information more widely in a disclosure log. </w:t>
      </w:r>
    </w:p>
    <w:p w14:paraId="3D9E9C6A" w14:textId="77777777" w:rsidR="00487985" w:rsidRDefault="00487985" w:rsidP="00487985">
      <w:pPr>
        <w:pStyle w:val="Heading3"/>
      </w:pPr>
      <w:r>
        <w:t xml:space="preserve">Paragraph </w:t>
      </w:r>
      <w:r>
        <w:rPr>
          <w:szCs w:val="20"/>
        </w:rPr>
        <w:t>6(</w:t>
      </w:r>
      <w:r w:rsidRPr="007B01CE">
        <w:rPr>
          <w:szCs w:val="20"/>
        </w:rPr>
        <w:t>1</w:t>
      </w:r>
      <w:r>
        <w:rPr>
          <w:szCs w:val="20"/>
        </w:rPr>
        <w:t>)</w:t>
      </w:r>
      <w:r>
        <w:t>(</w:t>
      </w:r>
      <w:r w:rsidRPr="007B01CE">
        <w:t xml:space="preserve">b) </w:t>
      </w:r>
    </w:p>
    <w:p w14:paraId="420E5637" w14:textId="77777777" w:rsidR="007F0570" w:rsidRDefault="002E0A13" w:rsidP="007F0570">
      <w:pPr>
        <w:spacing w:before="120" w:line="240" w:lineRule="auto"/>
        <w:rPr>
          <w:rFonts w:eastAsia="Calibri" w:cs="Times New Roman"/>
          <w:sz w:val="24"/>
        </w:rPr>
      </w:pPr>
      <w:r w:rsidRPr="007B01CE">
        <w:rPr>
          <w:rFonts w:eastAsia="Calibri" w:cs="Times New Roman"/>
          <w:sz w:val="24"/>
          <w:szCs w:val="24"/>
        </w:rPr>
        <w:t xml:space="preserve">The </w:t>
      </w:r>
      <w:r>
        <w:rPr>
          <w:rFonts w:eastAsia="Calibri" w:cs="Times New Roman"/>
          <w:sz w:val="24"/>
          <w:szCs w:val="24"/>
        </w:rPr>
        <w:t>Commissioner determining the kind of information in p</w:t>
      </w:r>
      <w:r w:rsidR="007B01CE" w:rsidRPr="007B01CE">
        <w:rPr>
          <w:rFonts w:eastAsia="Calibri" w:cs="Times New Roman"/>
          <w:sz w:val="24"/>
          <w:szCs w:val="24"/>
        </w:rPr>
        <w:t xml:space="preserve">aragraph </w:t>
      </w:r>
      <w:r w:rsidR="006F3E4F">
        <w:rPr>
          <w:rFonts w:eastAsia="Calibri" w:cs="Times New Roman"/>
          <w:sz w:val="24"/>
          <w:szCs w:val="20"/>
        </w:rPr>
        <w:t>6(</w:t>
      </w:r>
      <w:r w:rsidR="006F3E4F" w:rsidRPr="007B01CE">
        <w:rPr>
          <w:rFonts w:eastAsia="Calibri" w:cs="Times New Roman"/>
          <w:sz w:val="24"/>
          <w:szCs w:val="20"/>
        </w:rPr>
        <w:t>1</w:t>
      </w:r>
      <w:r w:rsidR="006F3E4F">
        <w:rPr>
          <w:rFonts w:eastAsia="Calibri" w:cs="Times New Roman"/>
          <w:sz w:val="24"/>
          <w:szCs w:val="20"/>
        </w:rPr>
        <w:t>)</w:t>
      </w:r>
      <w:r w:rsidR="006F3E4F">
        <w:rPr>
          <w:rFonts w:eastAsia="Calibri" w:cs="Times New Roman"/>
          <w:sz w:val="24"/>
          <w:szCs w:val="24"/>
        </w:rPr>
        <w:t>(</w:t>
      </w:r>
      <w:r w:rsidR="007B01CE" w:rsidRPr="007B01CE">
        <w:rPr>
          <w:rFonts w:eastAsia="Calibri" w:cs="Times New Roman"/>
          <w:sz w:val="24"/>
          <w:szCs w:val="24"/>
        </w:rPr>
        <w:t>b) recognises that the exempt status of a document can depend on the identity of the</w:t>
      </w:r>
      <w:r w:rsidR="0043046D">
        <w:rPr>
          <w:rFonts w:eastAsia="Calibri" w:cs="Times New Roman"/>
          <w:sz w:val="24"/>
          <w:szCs w:val="24"/>
        </w:rPr>
        <w:t xml:space="preserve"> FOI</w:t>
      </w:r>
      <w:r w:rsidR="007B01CE" w:rsidRPr="007B01CE">
        <w:rPr>
          <w:rFonts w:eastAsia="Calibri" w:cs="Times New Roman"/>
          <w:sz w:val="24"/>
          <w:szCs w:val="24"/>
        </w:rPr>
        <w:t xml:space="preserve"> applicant. That is, a document may not be an exempt document when it is released to a particular </w:t>
      </w:r>
      <w:r w:rsidR="0043046D">
        <w:rPr>
          <w:rFonts w:eastAsia="Calibri" w:cs="Times New Roman"/>
          <w:sz w:val="24"/>
          <w:szCs w:val="24"/>
        </w:rPr>
        <w:t xml:space="preserve">FOI </w:t>
      </w:r>
      <w:r w:rsidR="007B01CE" w:rsidRPr="007B01CE">
        <w:rPr>
          <w:rFonts w:eastAsia="Calibri" w:cs="Times New Roman"/>
          <w:sz w:val="24"/>
          <w:szCs w:val="24"/>
        </w:rPr>
        <w:t xml:space="preserve">applicant, </w:t>
      </w:r>
      <w:r w:rsidR="007B01CE" w:rsidRPr="007B01CE">
        <w:rPr>
          <w:rFonts w:eastAsia="Calibri" w:cs="Times New Roman"/>
          <w:sz w:val="24"/>
          <w:szCs w:val="24"/>
        </w:rPr>
        <w:lastRenderedPageBreak/>
        <w:t xml:space="preserve">but would be an exempt document if another person sought access to it. </w:t>
      </w:r>
      <w:r w:rsidR="007B01CE" w:rsidRPr="007B01CE">
        <w:rPr>
          <w:rFonts w:eastAsia="Calibri" w:cs="Times New Roman"/>
          <w:sz w:val="24"/>
        </w:rPr>
        <w:t>For example,</w:t>
      </w:r>
      <w:r w:rsidR="007B01CE" w:rsidRPr="007B01CE">
        <w:rPr>
          <w:rFonts w:eastAsia="Calibri" w:cs="Times New Roman"/>
          <w:sz w:val="24"/>
          <w:lang w:val="en-GB"/>
        </w:rPr>
        <w:t xml:space="preserve"> the</w:t>
      </w:r>
      <w:r w:rsidR="007B70BE">
        <w:rPr>
          <w:rFonts w:eastAsia="Calibri" w:cs="Times New Roman"/>
          <w:sz w:val="24"/>
          <w:lang w:val="en-GB"/>
        </w:rPr>
        <w:t xml:space="preserve"> </w:t>
      </w:r>
      <w:r w:rsidR="00622516">
        <w:rPr>
          <w:rFonts w:eastAsia="Calibri" w:cs="Times New Roman"/>
          <w:sz w:val="24"/>
          <w:lang w:val="en-GB"/>
        </w:rPr>
        <w:t>Act</w:t>
      </w:r>
      <w:r w:rsidR="007B01CE" w:rsidRPr="007B01CE">
        <w:rPr>
          <w:rFonts w:eastAsia="Calibri" w:cs="Times New Roman"/>
          <w:sz w:val="24"/>
          <w:lang w:val="en-GB"/>
        </w:rPr>
        <w:t xml:space="preserve"> provides that an exemption may be claimed for documents </w:t>
      </w:r>
      <w:r w:rsidR="007B01CE" w:rsidRPr="007B01CE">
        <w:rPr>
          <w:rFonts w:eastAsia="Calibri" w:cs="Times New Roman"/>
          <w:sz w:val="24"/>
        </w:rPr>
        <w:t>to which secrecy provisions in other enactments apply. Circumstances may arise where a secrecy provision allows release of a document to a particular recipient, but would prohibit its release to a different recipient.</w:t>
      </w:r>
    </w:p>
    <w:p w14:paraId="1DB0004F" w14:textId="0C548D81" w:rsidR="00487985" w:rsidRDefault="007B01CE" w:rsidP="007F0570">
      <w:pPr>
        <w:spacing w:before="120" w:line="240" w:lineRule="auto"/>
        <w:rPr>
          <w:rFonts w:eastAsia="Calibri" w:cs="Times New Roman"/>
          <w:sz w:val="24"/>
        </w:rPr>
      </w:pPr>
      <w:r w:rsidRPr="007B01CE">
        <w:rPr>
          <w:rFonts w:eastAsia="Calibri" w:cs="Times New Roman"/>
          <w:sz w:val="24"/>
        </w:rPr>
        <w:t xml:space="preserve">This would establish the conditions for the </w:t>
      </w:r>
      <w:r w:rsidR="0043046D">
        <w:rPr>
          <w:rFonts w:eastAsia="Calibri" w:cs="Times New Roman"/>
          <w:sz w:val="24"/>
        </w:rPr>
        <w:t>use</w:t>
      </w:r>
      <w:r w:rsidRPr="007B01CE">
        <w:rPr>
          <w:rFonts w:eastAsia="Calibri" w:cs="Times New Roman"/>
          <w:sz w:val="24"/>
        </w:rPr>
        <w:t xml:space="preserve"> of paragraph </w:t>
      </w:r>
      <w:r w:rsidR="006F3E4F">
        <w:rPr>
          <w:rFonts w:eastAsia="Calibri" w:cs="Times New Roman"/>
          <w:sz w:val="24"/>
          <w:szCs w:val="20"/>
        </w:rPr>
        <w:t>6(</w:t>
      </w:r>
      <w:r w:rsidR="006F3E4F" w:rsidRPr="007B01CE">
        <w:rPr>
          <w:rFonts w:eastAsia="Calibri" w:cs="Times New Roman"/>
          <w:sz w:val="24"/>
          <w:szCs w:val="20"/>
        </w:rPr>
        <w:t>1</w:t>
      </w:r>
      <w:r w:rsidR="006F3E4F">
        <w:rPr>
          <w:rFonts w:eastAsia="Calibri" w:cs="Times New Roman"/>
          <w:sz w:val="24"/>
          <w:szCs w:val="20"/>
        </w:rPr>
        <w:t>)</w:t>
      </w:r>
      <w:r w:rsidRPr="007B01CE">
        <w:rPr>
          <w:rFonts w:eastAsia="Calibri" w:cs="Times New Roman"/>
          <w:sz w:val="24"/>
        </w:rPr>
        <w:t xml:space="preserve">(b) because the document may be an exempt document if requested by someone other than a particular </w:t>
      </w:r>
      <w:r w:rsidR="0043046D">
        <w:rPr>
          <w:rFonts w:eastAsia="Calibri" w:cs="Times New Roman"/>
          <w:sz w:val="24"/>
        </w:rPr>
        <w:t xml:space="preserve">FOI </w:t>
      </w:r>
      <w:r w:rsidRPr="007B01CE">
        <w:rPr>
          <w:rFonts w:eastAsia="Calibri" w:cs="Times New Roman"/>
          <w:sz w:val="24"/>
        </w:rPr>
        <w:t xml:space="preserve">applicant. In this case, </w:t>
      </w:r>
      <w:r w:rsidR="007F0570">
        <w:rPr>
          <w:rFonts w:eastAsia="Calibri" w:cs="Times New Roman"/>
          <w:sz w:val="24"/>
        </w:rPr>
        <w:t xml:space="preserve">specifying this kind of information in </w:t>
      </w:r>
      <w:r w:rsidRPr="007B01CE">
        <w:rPr>
          <w:rFonts w:eastAsia="Calibri" w:cs="Times New Roman"/>
          <w:sz w:val="24"/>
        </w:rPr>
        <w:t xml:space="preserve">paragraph </w:t>
      </w:r>
      <w:r w:rsidR="006F3E4F">
        <w:rPr>
          <w:rFonts w:eastAsia="Calibri" w:cs="Times New Roman"/>
          <w:sz w:val="24"/>
          <w:szCs w:val="20"/>
        </w:rPr>
        <w:t>6(</w:t>
      </w:r>
      <w:r w:rsidR="006F3E4F" w:rsidRPr="007B01CE">
        <w:rPr>
          <w:rFonts w:eastAsia="Calibri" w:cs="Times New Roman"/>
          <w:sz w:val="24"/>
          <w:szCs w:val="20"/>
        </w:rPr>
        <w:t>1</w:t>
      </w:r>
      <w:r w:rsidR="006F3E4F">
        <w:rPr>
          <w:rFonts w:eastAsia="Calibri" w:cs="Times New Roman"/>
          <w:sz w:val="24"/>
          <w:szCs w:val="20"/>
        </w:rPr>
        <w:t>)</w:t>
      </w:r>
      <w:r w:rsidR="006F3E4F">
        <w:rPr>
          <w:rFonts w:eastAsia="Calibri" w:cs="Times New Roman"/>
          <w:sz w:val="24"/>
        </w:rPr>
        <w:t>(</w:t>
      </w:r>
      <w:r w:rsidR="007F0570">
        <w:rPr>
          <w:rFonts w:eastAsia="Calibri" w:cs="Times New Roman"/>
          <w:sz w:val="24"/>
        </w:rPr>
        <w:t xml:space="preserve">b) </w:t>
      </w:r>
      <w:r w:rsidRPr="007B01CE">
        <w:rPr>
          <w:rFonts w:eastAsia="Calibri" w:cs="Times New Roman"/>
          <w:sz w:val="24"/>
        </w:rPr>
        <w:t>removes doubt about</w:t>
      </w:r>
      <w:r w:rsidR="00487985">
        <w:rPr>
          <w:rFonts w:eastAsia="Calibri" w:cs="Times New Roman"/>
          <w:sz w:val="24"/>
        </w:rPr>
        <w:t xml:space="preserve"> how disclosure log publication </w:t>
      </w:r>
      <w:r w:rsidRPr="007B01CE">
        <w:rPr>
          <w:rFonts w:eastAsia="Calibri" w:cs="Times New Roman"/>
          <w:sz w:val="24"/>
        </w:rPr>
        <w:t xml:space="preserve">requirements interact with secrecy provisions in other legislation </w:t>
      </w:r>
      <w:r w:rsidRPr="007B01CE">
        <w:rPr>
          <w:rFonts w:eastAsia="Calibri" w:cs="Times New Roman"/>
          <w:sz w:val="24"/>
          <w:szCs w:val="20"/>
        </w:rPr>
        <w:t xml:space="preserve">by </w:t>
      </w:r>
      <w:r w:rsidR="007F0570">
        <w:rPr>
          <w:rFonts w:eastAsia="Calibri" w:cs="Times New Roman"/>
          <w:sz w:val="24"/>
          <w:szCs w:val="20"/>
        </w:rPr>
        <w:t>relieving</w:t>
      </w:r>
      <w:r w:rsidRPr="007B01CE">
        <w:rPr>
          <w:rFonts w:eastAsia="Calibri" w:cs="Times New Roman"/>
          <w:sz w:val="24"/>
          <w:szCs w:val="20"/>
        </w:rPr>
        <w:t xml:space="preserve"> an agency or Minister </w:t>
      </w:r>
      <w:r w:rsidR="007F0570">
        <w:rPr>
          <w:rFonts w:eastAsia="Calibri" w:cs="Times New Roman"/>
          <w:sz w:val="24"/>
          <w:szCs w:val="20"/>
        </w:rPr>
        <w:t>from having to</w:t>
      </w:r>
      <w:r w:rsidRPr="007B01CE">
        <w:rPr>
          <w:rFonts w:eastAsia="Calibri" w:cs="Times New Roman"/>
          <w:sz w:val="24"/>
          <w:szCs w:val="20"/>
        </w:rPr>
        <w:t xml:space="preserve"> publish </w:t>
      </w:r>
      <w:r w:rsidR="007F0570">
        <w:rPr>
          <w:rFonts w:eastAsia="Calibri" w:cs="Times New Roman"/>
          <w:sz w:val="24"/>
          <w:szCs w:val="20"/>
        </w:rPr>
        <w:t>on a disclosure log a document</w:t>
      </w:r>
      <w:r w:rsidR="00EC07D1">
        <w:rPr>
          <w:rFonts w:eastAsia="Calibri" w:cs="Times New Roman"/>
          <w:sz w:val="24"/>
          <w:szCs w:val="20"/>
        </w:rPr>
        <w:t xml:space="preserve"> released </w:t>
      </w:r>
      <w:r w:rsidR="007F0570">
        <w:rPr>
          <w:rFonts w:eastAsia="Calibri" w:cs="Times New Roman"/>
          <w:sz w:val="24"/>
          <w:szCs w:val="20"/>
        </w:rPr>
        <w:t xml:space="preserve">to a particular FOI applicant </w:t>
      </w:r>
      <w:r w:rsidRPr="007B01CE">
        <w:rPr>
          <w:rFonts w:eastAsia="Calibri" w:cs="Times New Roman"/>
          <w:sz w:val="24"/>
          <w:szCs w:val="20"/>
        </w:rPr>
        <w:t>if it would be unreasonable to do so</w:t>
      </w:r>
      <w:r w:rsidRPr="007B01CE">
        <w:rPr>
          <w:rFonts w:eastAsia="Calibri" w:cs="Times New Roman"/>
          <w:sz w:val="24"/>
        </w:rPr>
        <w:t xml:space="preserve">. </w:t>
      </w:r>
    </w:p>
    <w:p w14:paraId="49401D44" w14:textId="7FC402E5" w:rsidR="00EC07D1" w:rsidRPr="00EC07D1" w:rsidRDefault="007B01CE" w:rsidP="00487985">
      <w:pPr>
        <w:spacing w:before="240" w:line="240" w:lineRule="auto"/>
        <w:rPr>
          <w:rFonts w:eastAsia="Calibri" w:cs="Times New Roman"/>
          <w:sz w:val="24"/>
        </w:rPr>
      </w:pPr>
      <w:r w:rsidRPr="007B01CE">
        <w:rPr>
          <w:rFonts w:eastAsia="Calibri" w:cs="Times New Roman"/>
          <w:sz w:val="24"/>
        </w:rPr>
        <w:t xml:space="preserve">Similar considerations could apply to documents that would fall under other exemptions in the </w:t>
      </w:r>
      <w:r w:rsidR="00622516">
        <w:rPr>
          <w:rFonts w:eastAsia="Calibri" w:cs="Times New Roman"/>
          <w:sz w:val="24"/>
        </w:rPr>
        <w:t>Act</w:t>
      </w:r>
      <w:r w:rsidRPr="007B01CE">
        <w:rPr>
          <w:rFonts w:eastAsia="Calibri" w:cs="Times New Roman"/>
          <w:sz w:val="24"/>
        </w:rPr>
        <w:t xml:space="preserve"> if requested by anyone other than the </w:t>
      </w:r>
      <w:r w:rsidR="0043046D">
        <w:rPr>
          <w:rFonts w:eastAsia="Calibri" w:cs="Times New Roman"/>
          <w:sz w:val="24"/>
        </w:rPr>
        <w:t xml:space="preserve">particular FOI </w:t>
      </w:r>
      <w:r w:rsidRPr="007B01CE">
        <w:rPr>
          <w:rFonts w:eastAsia="Calibri" w:cs="Times New Roman"/>
          <w:sz w:val="24"/>
        </w:rPr>
        <w:t xml:space="preserve">applicant, but that do not explicitly fall under one of the </w:t>
      </w:r>
      <w:r w:rsidR="0043046D">
        <w:rPr>
          <w:rFonts w:eastAsia="Calibri" w:cs="Times New Roman"/>
          <w:sz w:val="24"/>
        </w:rPr>
        <w:t xml:space="preserve">other </w:t>
      </w:r>
      <w:r w:rsidRPr="007B01CE">
        <w:rPr>
          <w:rFonts w:eastAsia="Calibri" w:cs="Times New Roman"/>
          <w:sz w:val="24"/>
        </w:rPr>
        <w:t xml:space="preserve">exclusions from disclosure log publication in </w:t>
      </w:r>
      <w:r w:rsidRPr="00487985">
        <w:rPr>
          <w:sz w:val="24"/>
          <w:szCs w:val="24"/>
        </w:rPr>
        <w:t>s</w:t>
      </w:r>
      <w:r w:rsidR="00E30166" w:rsidRPr="00487985">
        <w:rPr>
          <w:sz w:val="24"/>
          <w:szCs w:val="24"/>
        </w:rPr>
        <w:t>ubsection</w:t>
      </w:r>
      <w:r w:rsidRPr="00487985">
        <w:rPr>
          <w:sz w:val="24"/>
          <w:szCs w:val="24"/>
        </w:rPr>
        <w:t xml:space="preserve"> 11C(1)</w:t>
      </w:r>
      <w:r w:rsidR="0043046D" w:rsidRPr="00487985">
        <w:rPr>
          <w:sz w:val="24"/>
          <w:szCs w:val="24"/>
        </w:rPr>
        <w:t xml:space="preserve"> of</w:t>
      </w:r>
      <w:r w:rsidR="0043046D">
        <w:rPr>
          <w:rFonts w:eastAsia="Calibri" w:cs="Times New Roman"/>
          <w:sz w:val="24"/>
        </w:rPr>
        <w:t xml:space="preserve"> the Act</w:t>
      </w:r>
      <w:r w:rsidRPr="007B01CE">
        <w:rPr>
          <w:rFonts w:eastAsia="Calibri" w:cs="Times New Roman"/>
          <w:sz w:val="24"/>
        </w:rPr>
        <w:t xml:space="preserve">. </w:t>
      </w:r>
    </w:p>
    <w:p w14:paraId="3A9CA757" w14:textId="77777777" w:rsidR="007B01CE" w:rsidRPr="007B01CE" w:rsidRDefault="007B01CE" w:rsidP="000B1FE7">
      <w:pPr>
        <w:pStyle w:val="Heading2"/>
      </w:pPr>
      <w:r w:rsidRPr="007B01CE">
        <w:t>Operation</w:t>
      </w:r>
    </w:p>
    <w:p w14:paraId="25FF1836" w14:textId="77777777" w:rsidR="000B1FE7" w:rsidRDefault="000B1FE7" w:rsidP="007B01CE">
      <w:pPr>
        <w:spacing w:before="120" w:after="0" w:line="240" w:lineRule="auto"/>
      </w:pPr>
      <w:r w:rsidRPr="00487985">
        <w:rPr>
          <w:sz w:val="24"/>
          <w:szCs w:val="24"/>
        </w:rPr>
        <w:t>The Determination</w:t>
      </w:r>
      <w:r w:rsidRPr="000B1FE7">
        <w:rPr>
          <w:rFonts w:eastAsia="Calibri" w:cs="Times New Roman"/>
          <w:sz w:val="24"/>
          <w:szCs w:val="24"/>
        </w:rPr>
        <w:t xml:space="preserve"> commences at the start of the day after the day </w:t>
      </w:r>
      <w:r w:rsidRPr="000B1FE7">
        <w:rPr>
          <w:sz w:val="24"/>
          <w:szCs w:val="24"/>
        </w:rPr>
        <w:t>it is registered on the Federal Register of Legislation maintained under section 15A of the Legislation Act 2003</w:t>
      </w:r>
      <w:r>
        <w:t>.</w:t>
      </w:r>
    </w:p>
    <w:p w14:paraId="26CC8D3F" w14:textId="4D7FC044" w:rsidR="007B01CE" w:rsidRDefault="00E30166" w:rsidP="007B01CE">
      <w:pPr>
        <w:spacing w:before="120" w:after="0" w:line="240" w:lineRule="auto"/>
        <w:rPr>
          <w:rFonts w:eastAsia="Calibri" w:cs="Times New Roman"/>
          <w:sz w:val="24"/>
          <w:szCs w:val="24"/>
        </w:rPr>
      </w:pPr>
      <w:r>
        <w:rPr>
          <w:rFonts w:eastAsia="Calibri" w:cs="Times New Roman"/>
          <w:sz w:val="24"/>
          <w:szCs w:val="24"/>
        </w:rPr>
        <w:t>The D</w:t>
      </w:r>
      <w:r w:rsidR="007B01CE" w:rsidRPr="007B01CE">
        <w:rPr>
          <w:rFonts w:eastAsia="Calibri" w:cs="Times New Roman"/>
          <w:sz w:val="24"/>
          <w:szCs w:val="24"/>
        </w:rPr>
        <w:t>etermination will r</w:t>
      </w:r>
      <w:r w:rsidR="000B1FE7">
        <w:rPr>
          <w:rFonts w:eastAsia="Calibri" w:cs="Times New Roman"/>
          <w:sz w:val="24"/>
          <w:szCs w:val="24"/>
        </w:rPr>
        <w:t>emain in force for a period of five years from the day it commences</w:t>
      </w:r>
      <w:r w:rsidR="00EA315A">
        <w:rPr>
          <w:rFonts w:eastAsia="Calibri" w:cs="Times New Roman"/>
          <w:sz w:val="24"/>
          <w:szCs w:val="24"/>
        </w:rPr>
        <w:t xml:space="preserve"> and is repealed at the end of that period.</w:t>
      </w:r>
    </w:p>
    <w:p w14:paraId="65D2D1D0" w14:textId="370A7120" w:rsidR="000B1FE7" w:rsidRPr="000B1FE7" w:rsidRDefault="000B1FE7" w:rsidP="00487985">
      <w:pPr>
        <w:spacing w:before="120" w:line="240" w:lineRule="auto"/>
        <w:rPr>
          <w:rFonts w:eastAsia="Calibri" w:cs="Times New Roman"/>
          <w:sz w:val="24"/>
          <w:szCs w:val="24"/>
        </w:rPr>
      </w:pPr>
      <w:r>
        <w:rPr>
          <w:rFonts w:eastAsia="Calibri" w:cs="Times New Roman"/>
          <w:sz w:val="24"/>
          <w:szCs w:val="24"/>
        </w:rPr>
        <w:t xml:space="preserve">The Determination </w:t>
      </w:r>
      <w:r w:rsidR="00EA315A">
        <w:rPr>
          <w:rFonts w:eastAsia="Calibri" w:cs="Times New Roman"/>
          <w:sz w:val="24"/>
          <w:szCs w:val="24"/>
        </w:rPr>
        <w:t xml:space="preserve">also </w:t>
      </w:r>
      <w:r>
        <w:rPr>
          <w:rFonts w:eastAsia="Calibri" w:cs="Times New Roman"/>
          <w:sz w:val="24"/>
          <w:szCs w:val="24"/>
        </w:rPr>
        <w:t xml:space="preserve">repeals the previous determination; </w:t>
      </w:r>
      <w:r w:rsidRPr="000B1FE7">
        <w:rPr>
          <w:rFonts w:eastAsia="Calibri" w:cs="Times New Roman"/>
          <w:sz w:val="24"/>
          <w:szCs w:val="24"/>
        </w:rPr>
        <w:t>Disclosure Log Determination No. 2013-1 (Exempt Documents) F2013L01798</w:t>
      </w:r>
      <w:r>
        <w:rPr>
          <w:rFonts w:eastAsia="Calibri" w:cs="Times New Roman"/>
          <w:sz w:val="24"/>
          <w:szCs w:val="24"/>
        </w:rPr>
        <w:t xml:space="preserve">. </w:t>
      </w:r>
    </w:p>
    <w:p w14:paraId="10537F29" w14:textId="1FFB3BAE" w:rsidR="007B01CE" w:rsidRPr="007B01CE" w:rsidRDefault="007B01CE" w:rsidP="000B1FE7">
      <w:pPr>
        <w:pStyle w:val="Heading2"/>
      </w:pPr>
      <w:r w:rsidRPr="000B1FE7">
        <w:t>Definitions</w:t>
      </w:r>
    </w:p>
    <w:p w14:paraId="6E41F021" w14:textId="3A66710B" w:rsidR="007B01CE" w:rsidRPr="007B01CE" w:rsidRDefault="000B1FE7" w:rsidP="007B01CE">
      <w:pPr>
        <w:spacing w:before="120" w:after="0" w:line="240" w:lineRule="auto"/>
        <w:contextualSpacing/>
        <w:rPr>
          <w:rFonts w:eastAsia="Calibri" w:cs="Calibri"/>
          <w:color w:val="000000"/>
          <w:sz w:val="24"/>
          <w:szCs w:val="20"/>
        </w:rPr>
      </w:pPr>
      <w:r>
        <w:rPr>
          <w:rFonts w:eastAsia="Calibri" w:cs="Calibri"/>
          <w:color w:val="000000"/>
          <w:sz w:val="24"/>
          <w:szCs w:val="20"/>
        </w:rPr>
        <w:t>In the</w:t>
      </w:r>
      <w:r w:rsidR="007B01CE" w:rsidRPr="007B01CE">
        <w:rPr>
          <w:rFonts w:eastAsia="Calibri" w:cs="Calibri"/>
          <w:color w:val="000000"/>
          <w:sz w:val="24"/>
          <w:szCs w:val="20"/>
        </w:rPr>
        <w:t xml:space="preserve"> determination:</w:t>
      </w:r>
    </w:p>
    <w:p w14:paraId="50E18539" w14:textId="755E0FB5" w:rsidR="00622516" w:rsidRPr="00622516" w:rsidRDefault="00622516" w:rsidP="008152FE">
      <w:pPr>
        <w:numPr>
          <w:ilvl w:val="0"/>
          <w:numId w:val="17"/>
        </w:numPr>
        <w:spacing w:before="120" w:after="0" w:line="240" w:lineRule="auto"/>
        <w:ind w:hanging="578"/>
        <w:rPr>
          <w:rFonts w:eastAsia="Calibri" w:cs="Times New Roman"/>
          <w:sz w:val="24"/>
          <w:szCs w:val="20"/>
        </w:rPr>
      </w:pPr>
      <w:r w:rsidRPr="00622516">
        <w:rPr>
          <w:rFonts w:eastAsia="Calibri" w:cs="Times New Roman"/>
          <w:b/>
          <w:i/>
          <w:sz w:val="24"/>
          <w:szCs w:val="20"/>
        </w:rPr>
        <w:t xml:space="preserve">Act </w:t>
      </w:r>
      <w:r>
        <w:rPr>
          <w:rFonts w:eastAsia="Calibri" w:cs="Times New Roman"/>
          <w:sz w:val="24"/>
          <w:szCs w:val="20"/>
        </w:rPr>
        <w:t xml:space="preserve">means the </w:t>
      </w:r>
      <w:r>
        <w:rPr>
          <w:i/>
          <w:sz w:val="24"/>
          <w:szCs w:val="24"/>
        </w:rPr>
        <w:t xml:space="preserve">Freedom of Information Act 1982 </w:t>
      </w:r>
      <w:r>
        <w:rPr>
          <w:sz w:val="24"/>
          <w:szCs w:val="24"/>
        </w:rPr>
        <w:t>(Cth)</w:t>
      </w:r>
    </w:p>
    <w:p w14:paraId="67D701DD" w14:textId="6AC31D05" w:rsidR="007B01CE" w:rsidRDefault="00622516" w:rsidP="000B1FE7">
      <w:pPr>
        <w:numPr>
          <w:ilvl w:val="0"/>
          <w:numId w:val="17"/>
        </w:numPr>
        <w:spacing w:before="120" w:after="120" w:line="240" w:lineRule="auto"/>
        <w:ind w:hanging="578"/>
        <w:rPr>
          <w:rFonts w:eastAsia="Calibri" w:cs="Calibri"/>
          <w:color w:val="000000"/>
          <w:sz w:val="24"/>
          <w:szCs w:val="20"/>
        </w:rPr>
      </w:pPr>
      <w:r w:rsidRPr="00622516">
        <w:rPr>
          <w:rFonts w:eastAsia="Calibri" w:cs="Times New Roman"/>
          <w:b/>
          <w:i/>
          <w:sz w:val="24"/>
          <w:szCs w:val="20"/>
        </w:rPr>
        <w:t>D</w:t>
      </w:r>
      <w:r w:rsidR="007B01CE" w:rsidRPr="00622516">
        <w:rPr>
          <w:rFonts w:eastAsia="Calibri" w:cs="Times New Roman"/>
          <w:b/>
          <w:i/>
          <w:sz w:val="24"/>
          <w:szCs w:val="20"/>
        </w:rPr>
        <w:t>isclosure</w:t>
      </w:r>
      <w:r w:rsidR="007B01CE" w:rsidRPr="00622516">
        <w:rPr>
          <w:rFonts w:eastAsia="Calibri" w:cs="Calibri"/>
          <w:b/>
          <w:i/>
          <w:color w:val="000000"/>
          <w:sz w:val="24"/>
          <w:szCs w:val="20"/>
        </w:rPr>
        <w:t xml:space="preserve"> log</w:t>
      </w:r>
      <w:r w:rsidR="007B01CE" w:rsidRPr="007B01CE">
        <w:rPr>
          <w:rFonts w:eastAsia="Calibri" w:cs="Calibri"/>
          <w:color w:val="000000"/>
          <w:sz w:val="24"/>
          <w:szCs w:val="20"/>
        </w:rPr>
        <w:t xml:space="preserve"> means the publication under s</w:t>
      </w:r>
      <w:r w:rsidR="00E30166">
        <w:rPr>
          <w:rFonts w:eastAsia="Calibri" w:cs="Calibri"/>
          <w:color w:val="000000"/>
          <w:sz w:val="24"/>
          <w:szCs w:val="20"/>
        </w:rPr>
        <w:t>ection</w:t>
      </w:r>
      <w:r w:rsidR="007B01CE" w:rsidRPr="007B01CE">
        <w:rPr>
          <w:rFonts w:eastAsia="Calibri" w:cs="Calibri"/>
          <w:color w:val="000000"/>
          <w:sz w:val="24"/>
          <w:szCs w:val="20"/>
        </w:rPr>
        <w:t xml:space="preserve"> 11C of information that has been released to an applicant under the </w:t>
      </w:r>
      <w:r>
        <w:rPr>
          <w:rFonts w:eastAsia="Calibri" w:cs="Calibri"/>
          <w:color w:val="000000"/>
          <w:sz w:val="24"/>
          <w:szCs w:val="20"/>
        </w:rPr>
        <w:t>Act</w:t>
      </w:r>
      <w:r w:rsidR="007B01CE" w:rsidRPr="007B01CE">
        <w:rPr>
          <w:rFonts w:eastAsia="Calibri" w:cs="Calibri"/>
          <w:color w:val="000000"/>
          <w:sz w:val="24"/>
          <w:szCs w:val="20"/>
        </w:rPr>
        <w:t>.</w:t>
      </w:r>
    </w:p>
    <w:p w14:paraId="5A3D25F3" w14:textId="44B90D11" w:rsidR="00622516" w:rsidRDefault="00622516" w:rsidP="00487985">
      <w:pPr>
        <w:numPr>
          <w:ilvl w:val="0"/>
          <w:numId w:val="17"/>
        </w:numPr>
        <w:spacing w:before="120" w:line="240" w:lineRule="auto"/>
        <w:ind w:hanging="578"/>
        <w:rPr>
          <w:rFonts w:eastAsia="Calibri" w:cs="Times New Roman"/>
          <w:sz w:val="24"/>
          <w:szCs w:val="20"/>
        </w:rPr>
      </w:pPr>
      <w:r>
        <w:rPr>
          <w:rFonts w:eastAsia="Calibri" w:cs="Times New Roman"/>
          <w:sz w:val="24"/>
          <w:szCs w:val="20"/>
        </w:rPr>
        <w:t>‘</w:t>
      </w:r>
      <w:r w:rsidRPr="00622516">
        <w:rPr>
          <w:rFonts w:eastAsia="Calibri" w:cs="Times New Roman"/>
          <w:sz w:val="24"/>
          <w:szCs w:val="20"/>
        </w:rPr>
        <w:t>agency</w:t>
      </w:r>
      <w:r>
        <w:rPr>
          <w:rFonts w:eastAsia="Calibri" w:cs="Times New Roman"/>
          <w:sz w:val="24"/>
          <w:szCs w:val="20"/>
        </w:rPr>
        <w:t>’</w:t>
      </w:r>
      <w:r w:rsidRPr="00622516">
        <w:rPr>
          <w:rFonts w:eastAsia="Calibri" w:cs="Times New Roman"/>
          <w:sz w:val="24"/>
          <w:szCs w:val="20"/>
        </w:rPr>
        <w:t xml:space="preserve">, </w:t>
      </w:r>
      <w:r>
        <w:rPr>
          <w:rFonts w:eastAsia="Calibri" w:cs="Times New Roman"/>
          <w:sz w:val="24"/>
          <w:szCs w:val="20"/>
        </w:rPr>
        <w:t>‘</w:t>
      </w:r>
      <w:r w:rsidRPr="00622516">
        <w:rPr>
          <w:rFonts w:eastAsia="Calibri" w:cs="Times New Roman"/>
          <w:sz w:val="24"/>
          <w:szCs w:val="20"/>
        </w:rPr>
        <w:t>applicant</w:t>
      </w:r>
      <w:r>
        <w:rPr>
          <w:rFonts w:eastAsia="Calibri" w:cs="Times New Roman"/>
          <w:sz w:val="24"/>
          <w:szCs w:val="20"/>
        </w:rPr>
        <w:t>’</w:t>
      </w:r>
      <w:r w:rsidRPr="007B01CE">
        <w:rPr>
          <w:rFonts w:eastAsia="Calibri" w:cs="Times New Roman"/>
          <w:sz w:val="24"/>
          <w:szCs w:val="20"/>
        </w:rPr>
        <w:t xml:space="preserve"> and </w:t>
      </w:r>
      <w:r>
        <w:rPr>
          <w:rFonts w:eastAsia="Calibri" w:cs="Times New Roman"/>
          <w:sz w:val="24"/>
          <w:szCs w:val="20"/>
        </w:rPr>
        <w:t>‘</w:t>
      </w:r>
      <w:r w:rsidRPr="00622516">
        <w:rPr>
          <w:rFonts w:eastAsia="Calibri" w:cs="Times New Roman"/>
          <w:sz w:val="24"/>
          <w:szCs w:val="20"/>
        </w:rPr>
        <w:t>exempt document</w:t>
      </w:r>
      <w:r>
        <w:rPr>
          <w:rFonts w:eastAsia="Calibri" w:cs="Times New Roman"/>
          <w:sz w:val="24"/>
          <w:szCs w:val="20"/>
        </w:rPr>
        <w:t>’</w:t>
      </w:r>
      <w:r w:rsidRPr="007B01CE">
        <w:rPr>
          <w:rFonts w:eastAsia="Calibri" w:cs="Times New Roman"/>
          <w:sz w:val="24"/>
          <w:szCs w:val="20"/>
        </w:rPr>
        <w:t xml:space="preserve"> have the same meaning as in section 4 of the </w:t>
      </w:r>
      <w:r>
        <w:rPr>
          <w:rFonts w:eastAsia="Calibri" w:cs="Times New Roman"/>
          <w:sz w:val="24"/>
          <w:szCs w:val="20"/>
        </w:rPr>
        <w:t>Act</w:t>
      </w:r>
    </w:p>
    <w:p w14:paraId="3E6F5E1E" w14:textId="77777777" w:rsidR="007B01CE" w:rsidRPr="007B01CE" w:rsidRDefault="007B01CE" w:rsidP="000B1FE7">
      <w:pPr>
        <w:pStyle w:val="Heading2"/>
      </w:pPr>
      <w:r w:rsidRPr="007B01CE">
        <w:t>Consultation</w:t>
      </w:r>
    </w:p>
    <w:p w14:paraId="517A6EC7" w14:textId="77777777" w:rsidR="007B01CE" w:rsidRPr="007B01CE" w:rsidRDefault="007B01CE" w:rsidP="00487985">
      <w:pPr>
        <w:spacing w:before="120" w:after="0" w:line="240" w:lineRule="auto"/>
        <w:rPr>
          <w:rFonts w:eastAsia="Calibri" w:cs="Times New Roman"/>
          <w:sz w:val="24"/>
          <w:szCs w:val="20"/>
        </w:rPr>
      </w:pPr>
      <w:r w:rsidRPr="007B01CE">
        <w:rPr>
          <w:rFonts w:eastAsia="Calibri" w:cs="Times New Roman"/>
          <w:sz w:val="24"/>
          <w:szCs w:val="20"/>
        </w:rPr>
        <w:t>In October 2018, the Information Commissioner undertook consultation in relation to the renewal of Determination No. 2013-1 and sought public comment. The consultation was available on the OAIC’s website over a two week consultation period.</w:t>
      </w:r>
      <w:r w:rsidRPr="0055310B">
        <w:rPr>
          <w:rFonts w:eastAsia="Calibri" w:cs="Times New Roman"/>
          <w:sz w:val="24"/>
          <w:szCs w:val="20"/>
          <w:vertAlign w:val="superscript"/>
        </w:rPr>
        <w:footnoteReference w:id="1"/>
      </w:r>
      <w:r w:rsidRPr="007B01CE">
        <w:rPr>
          <w:rFonts w:eastAsia="Calibri" w:cs="Times New Roman"/>
          <w:sz w:val="24"/>
          <w:szCs w:val="20"/>
        </w:rPr>
        <w:t xml:space="preserve"> The OAIC also contacted relevant stakeholders directly by email to inform them about the consultation.</w:t>
      </w:r>
    </w:p>
    <w:p w14:paraId="60F8A5E0" w14:textId="77777777" w:rsidR="007B01CE" w:rsidRPr="007B01CE" w:rsidRDefault="007B01CE" w:rsidP="007B01CE">
      <w:pPr>
        <w:spacing w:before="100" w:beforeAutospacing="1" w:after="220" w:line="240" w:lineRule="auto"/>
        <w:rPr>
          <w:rFonts w:eastAsia="Calibri" w:cs="Times New Roman"/>
          <w:sz w:val="24"/>
          <w:szCs w:val="20"/>
        </w:rPr>
      </w:pPr>
      <w:r w:rsidRPr="007B01CE">
        <w:rPr>
          <w:rFonts w:eastAsia="Calibri" w:cs="Times New Roman"/>
          <w:sz w:val="24"/>
          <w:szCs w:val="20"/>
        </w:rPr>
        <w:lastRenderedPageBreak/>
        <w:t>The OAIC received three written submissions in response to this consultation. Two submissions were from Australian Government agencies which supported renewing Determination No. 2013-1. One submission was from a private entity.</w:t>
      </w:r>
    </w:p>
    <w:p w14:paraId="3E007D8F" w14:textId="3B19E139" w:rsidR="007B01CE" w:rsidRPr="007B01CE" w:rsidRDefault="007B01CE" w:rsidP="007B01CE">
      <w:pPr>
        <w:spacing w:before="100" w:beforeAutospacing="1" w:after="220" w:line="240" w:lineRule="auto"/>
        <w:rPr>
          <w:rFonts w:eastAsia="Calibri" w:cs="Times New Roman"/>
          <w:sz w:val="24"/>
          <w:szCs w:val="20"/>
        </w:rPr>
      </w:pPr>
      <w:r w:rsidRPr="007B01CE">
        <w:rPr>
          <w:rFonts w:eastAsia="Calibri" w:cs="Times New Roman"/>
          <w:sz w:val="24"/>
          <w:szCs w:val="20"/>
        </w:rPr>
        <w:t xml:space="preserve">The Information Commissioner took these submissions into account in preparing </w:t>
      </w:r>
      <w:r w:rsidR="00E767B5" w:rsidRPr="0055310B">
        <w:rPr>
          <w:rFonts w:eastAsia="Calibri" w:cs="Times New Roman"/>
          <w:sz w:val="24"/>
          <w:szCs w:val="20"/>
        </w:rPr>
        <w:t>the Determination</w:t>
      </w:r>
      <w:r w:rsidRPr="007B01CE">
        <w:rPr>
          <w:rFonts w:eastAsia="Calibri" w:cs="Times New Roman"/>
          <w:sz w:val="24"/>
          <w:szCs w:val="20"/>
        </w:rPr>
        <w:t xml:space="preserve"> and this explanatory statement. </w:t>
      </w:r>
    </w:p>
    <w:p w14:paraId="33DDA21A" w14:textId="77777777" w:rsidR="007B01CE" w:rsidRPr="007B01CE" w:rsidRDefault="007B01CE" w:rsidP="000B1FE7">
      <w:pPr>
        <w:pStyle w:val="Heading2"/>
      </w:pPr>
      <w:r w:rsidRPr="007B01CE">
        <w:t>Statement of Compatibility with Human Rights</w:t>
      </w:r>
    </w:p>
    <w:p w14:paraId="58A0A067" w14:textId="77777777" w:rsidR="007B01CE" w:rsidRPr="007B01CE" w:rsidRDefault="007B01CE" w:rsidP="007B01CE">
      <w:pPr>
        <w:spacing w:after="240" w:line="240" w:lineRule="auto"/>
        <w:rPr>
          <w:rFonts w:eastAsia="Calibri" w:cs="Times New Roman"/>
          <w:sz w:val="24"/>
          <w:szCs w:val="20"/>
        </w:rPr>
      </w:pPr>
      <w:r w:rsidRPr="007B01CE">
        <w:rPr>
          <w:rFonts w:eastAsia="Calibri" w:cs="Times New Roman"/>
          <w:sz w:val="24"/>
          <w:szCs w:val="20"/>
        </w:rPr>
        <w:t xml:space="preserve">This Statement of Compatibility with Human Rights has been prepared in accordance with Part 3 of the </w:t>
      </w:r>
      <w:r w:rsidRPr="007B01CE">
        <w:rPr>
          <w:rFonts w:eastAsia="Calibri" w:cs="Times New Roman"/>
          <w:i/>
          <w:sz w:val="24"/>
          <w:szCs w:val="20"/>
        </w:rPr>
        <w:t>Human Rights (Parliamentary Scrutiny) Act 2011</w:t>
      </w:r>
      <w:r w:rsidRPr="007B01CE">
        <w:rPr>
          <w:rFonts w:eastAsia="Calibri" w:cs="Times New Roman"/>
          <w:sz w:val="24"/>
          <w:szCs w:val="20"/>
        </w:rPr>
        <w:t>.</w:t>
      </w:r>
    </w:p>
    <w:p w14:paraId="25366AE8" w14:textId="75CA03F4" w:rsidR="007B01CE" w:rsidRPr="007B01CE" w:rsidRDefault="00E30166" w:rsidP="007B01CE">
      <w:pPr>
        <w:spacing w:after="240" w:line="240" w:lineRule="auto"/>
        <w:rPr>
          <w:rFonts w:eastAsia="Calibri" w:cs="Times New Roman"/>
          <w:sz w:val="24"/>
          <w:szCs w:val="20"/>
        </w:rPr>
      </w:pPr>
      <w:r>
        <w:rPr>
          <w:rFonts w:eastAsia="Calibri" w:cs="Times New Roman"/>
          <w:sz w:val="24"/>
          <w:szCs w:val="20"/>
        </w:rPr>
        <w:t xml:space="preserve">The </w:t>
      </w:r>
      <w:r w:rsidR="007B01CE" w:rsidRPr="007B01CE">
        <w:rPr>
          <w:rFonts w:eastAsia="Calibri" w:cs="Times New Roman"/>
          <w:sz w:val="24"/>
          <w:szCs w:val="20"/>
        </w:rPr>
        <w:t xml:space="preserve">Determination is compatible with the human rights and freedoms recognised or declared in the international instruments listed in section 3 of the </w:t>
      </w:r>
      <w:r w:rsidR="007B01CE" w:rsidRPr="007B01CE">
        <w:rPr>
          <w:rFonts w:eastAsia="Calibri" w:cs="Times New Roman"/>
          <w:i/>
          <w:sz w:val="24"/>
          <w:szCs w:val="20"/>
        </w:rPr>
        <w:t>Human Rights (Parliamentary Scrutiny) Act 2011</w:t>
      </w:r>
      <w:r w:rsidR="007B01CE" w:rsidRPr="007B01CE">
        <w:rPr>
          <w:rFonts w:eastAsia="Calibri" w:cs="Times New Roman"/>
          <w:sz w:val="24"/>
          <w:szCs w:val="20"/>
        </w:rPr>
        <w:t>.</w:t>
      </w:r>
    </w:p>
    <w:p w14:paraId="33B017CE" w14:textId="77777777" w:rsidR="007B01CE" w:rsidRPr="007B01CE" w:rsidRDefault="007B01CE" w:rsidP="007B01CE">
      <w:pPr>
        <w:pStyle w:val="Heading3"/>
      </w:pPr>
      <w:r w:rsidRPr="007B01CE">
        <w:t>Overview of the determination</w:t>
      </w:r>
    </w:p>
    <w:p w14:paraId="058E054B" w14:textId="3B1E53AC" w:rsidR="007B01CE" w:rsidRPr="007B01CE" w:rsidRDefault="00E767B5" w:rsidP="00487985">
      <w:pPr>
        <w:keepLines/>
        <w:spacing w:before="120" w:after="120" w:line="240" w:lineRule="auto"/>
        <w:outlineLvl w:val="2"/>
        <w:rPr>
          <w:rFonts w:eastAsia="Times New Roman" w:cs="Times New Roman"/>
          <w:sz w:val="24"/>
          <w:lang w:eastAsia="en-AU"/>
        </w:rPr>
      </w:pPr>
      <w:r w:rsidRPr="0055310B">
        <w:rPr>
          <w:rFonts w:eastAsia="Times New Roman" w:cs="Times New Roman"/>
          <w:sz w:val="24"/>
          <w:lang w:eastAsia="en-AU"/>
        </w:rPr>
        <w:t>The Determination</w:t>
      </w:r>
      <w:r w:rsidR="007B01CE" w:rsidRPr="007B01CE">
        <w:rPr>
          <w:rFonts w:eastAsia="Times New Roman" w:cs="Times New Roman"/>
          <w:sz w:val="24"/>
          <w:lang w:eastAsia="en-AU"/>
        </w:rPr>
        <w:t xml:space="preserve"> </w:t>
      </w:r>
      <w:r w:rsidR="00CB7D8D">
        <w:rPr>
          <w:rFonts w:eastAsia="Times New Roman" w:cs="Times New Roman"/>
          <w:sz w:val="24"/>
          <w:lang w:eastAsia="en-AU"/>
        </w:rPr>
        <w:t>specifies two kinds of information which</w:t>
      </w:r>
      <w:r w:rsidR="007B01CE" w:rsidRPr="007B01CE">
        <w:rPr>
          <w:rFonts w:eastAsia="Times New Roman" w:cs="Times New Roman"/>
          <w:sz w:val="24"/>
          <w:lang w:eastAsia="en-AU"/>
        </w:rPr>
        <w:t xml:space="preserve"> agencies and Ministers the</w:t>
      </w:r>
      <w:r w:rsidR="00CB7D8D">
        <w:rPr>
          <w:rFonts w:eastAsia="Times New Roman" w:cs="Times New Roman"/>
          <w:sz w:val="24"/>
          <w:lang w:eastAsia="en-AU"/>
        </w:rPr>
        <w:t>n have the</w:t>
      </w:r>
      <w:r w:rsidR="007B01CE" w:rsidRPr="007B01CE">
        <w:rPr>
          <w:rFonts w:eastAsia="Times New Roman" w:cs="Times New Roman"/>
          <w:sz w:val="24"/>
          <w:lang w:eastAsia="en-AU"/>
        </w:rPr>
        <w:t xml:space="preserve"> discretion to decide that it would be unreasonable to publish on a disclosure log</w:t>
      </w:r>
      <w:r w:rsidR="00CB7D8D">
        <w:rPr>
          <w:rFonts w:eastAsia="Times New Roman" w:cs="Times New Roman"/>
          <w:sz w:val="24"/>
          <w:lang w:eastAsia="en-AU"/>
        </w:rPr>
        <w:t>. The kinds of</w:t>
      </w:r>
      <w:r w:rsidR="007B01CE" w:rsidRPr="007B01CE">
        <w:rPr>
          <w:rFonts w:eastAsia="Times New Roman" w:cs="Times New Roman"/>
          <w:sz w:val="24"/>
          <w:lang w:eastAsia="en-AU"/>
        </w:rPr>
        <w:t xml:space="preserve"> information </w:t>
      </w:r>
      <w:r w:rsidR="00CB7D8D">
        <w:rPr>
          <w:rFonts w:eastAsia="Times New Roman" w:cs="Times New Roman"/>
          <w:sz w:val="24"/>
          <w:lang w:eastAsia="en-AU"/>
        </w:rPr>
        <w:t xml:space="preserve">are information </w:t>
      </w:r>
      <w:r w:rsidR="007B01CE" w:rsidRPr="007B01CE">
        <w:rPr>
          <w:rFonts w:eastAsia="Times New Roman" w:cs="Times New Roman"/>
          <w:sz w:val="24"/>
          <w:lang w:eastAsia="en-AU"/>
        </w:rPr>
        <w:t xml:space="preserve">in a document released to an </w:t>
      </w:r>
      <w:r w:rsidR="00CB7D8D">
        <w:rPr>
          <w:rFonts w:eastAsia="Times New Roman" w:cs="Times New Roman"/>
          <w:sz w:val="24"/>
          <w:lang w:eastAsia="en-AU"/>
        </w:rPr>
        <w:t xml:space="preserve">FOI </w:t>
      </w:r>
      <w:r w:rsidR="007B01CE" w:rsidRPr="007B01CE">
        <w:rPr>
          <w:rFonts w:eastAsia="Times New Roman" w:cs="Times New Roman"/>
          <w:sz w:val="24"/>
          <w:lang w:eastAsia="en-AU"/>
        </w:rPr>
        <w:t xml:space="preserve">applicant that: </w:t>
      </w:r>
    </w:p>
    <w:p w14:paraId="346DBE5A" w14:textId="3AA41EBD" w:rsidR="007B01CE" w:rsidRPr="007B01CE" w:rsidRDefault="007B01CE" w:rsidP="008152FE">
      <w:pPr>
        <w:numPr>
          <w:ilvl w:val="0"/>
          <w:numId w:val="19"/>
        </w:numPr>
        <w:spacing w:before="120" w:after="0" w:line="240" w:lineRule="auto"/>
        <w:ind w:hanging="357"/>
        <w:rPr>
          <w:rFonts w:eastAsia="Calibri" w:cs="Times New Roman"/>
          <w:sz w:val="24"/>
          <w:szCs w:val="24"/>
          <w:lang w:eastAsia="en-AU"/>
        </w:rPr>
      </w:pPr>
      <w:r w:rsidRPr="007B01CE">
        <w:rPr>
          <w:rFonts w:eastAsia="Calibri" w:cs="Times New Roman"/>
          <w:sz w:val="24"/>
          <w:szCs w:val="24"/>
          <w:lang w:eastAsia="en-AU"/>
        </w:rPr>
        <w:t xml:space="preserve">is exempt under the </w:t>
      </w:r>
      <w:r w:rsidR="00622516">
        <w:rPr>
          <w:rFonts w:eastAsia="Calibri" w:cs="Times New Roman"/>
          <w:sz w:val="24"/>
          <w:szCs w:val="24"/>
          <w:lang w:eastAsia="en-AU"/>
        </w:rPr>
        <w:t>Act</w:t>
      </w:r>
      <w:r w:rsidRPr="007B01CE">
        <w:rPr>
          <w:rFonts w:eastAsia="Calibri" w:cs="Times New Roman"/>
          <w:sz w:val="24"/>
          <w:szCs w:val="24"/>
          <w:lang w:eastAsia="en-AU"/>
        </w:rPr>
        <w:t xml:space="preserve">, or </w:t>
      </w:r>
    </w:p>
    <w:p w14:paraId="712C4DB2" w14:textId="77777777" w:rsidR="007B01CE" w:rsidRPr="007B01CE" w:rsidRDefault="007B01CE" w:rsidP="008152FE">
      <w:pPr>
        <w:numPr>
          <w:ilvl w:val="0"/>
          <w:numId w:val="19"/>
        </w:numPr>
        <w:spacing w:before="120" w:after="240" w:line="240" w:lineRule="auto"/>
        <w:ind w:hanging="357"/>
        <w:rPr>
          <w:rFonts w:eastAsia="Calibri" w:cs="Times New Roman"/>
          <w:sz w:val="24"/>
          <w:szCs w:val="24"/>
          <w:lang w:eastAsia="en-AU"/>
        </w:rPr>
      </w:pPr>
      <w:r w:rsidRPr="007B01CE">
        <w:rPr>
          <w:rFonts w:eastAsia="Calibri" w:cs="Times New Roman"/>
          <w:sz w:val="24"/>
          <w:szCs w:val="24"/>
          <w:lang w:eastAsia="en-AU"/>
        </w:rPr>
        <w:t>would be exempt if requested by anyone other than the applicant.</w:t>
      </w:r>
    </w:p>
    <w:p w14:paraId="4BAD9F0C" w14:textId="77777777" w:rsidR="007B01CE" w:rsidRPr="007B01CE" w:rsidRDefault="007B01CE" w:rsidP="007B01CE">
      <w:pPr>
        <w:pStyle w:val="Heading3"/>
      </w:pPr>
      <w:r w:rsidRPr="007B01CE">
        <w:t>Human rights implications</w:t>
      </w:r>
    </w:p>
    <w:p w14:paraId="5EBB7316" w14:textId="1C8DCF92" w:rsidR="007B01CE" w:rsidRPr="007B01CE" w:rsidRDefault="00E767B5" w:rsidP="007B01CE">
      <w:pPr>
        <w:spacing w:after="240" w:line="240" w:lineRule="auto"/>
        <w:rPr>
          <w:rFonts w:eastAsia="Calibri" w:cs="Times New Roman"/>
          <w:sz w:val="24"/>
          <w:szCs w:val="20"/>
        </w:rPr>
      </w:pPr>
      <w:r w:rsidRPr="0055310B">
        <w:rPr>
          <w:rFonts w:eastAsia="Calibri" w:cs="Times New Roman"/>
          <w:sz w:val="24"/>
          <w:szCs w:val="20"/>
        </w:rPr>
        <w:t>The Determination</w:t>
      </w:r>
      <w:r w:rsidR="007B01CE" w:rsidRPr="007B01CE">
        <w:rPr>
          <w:rFonts w:eastAsia="Calibri" w:cs="Times New Roman"/>
          <w:sz w:val="24"/>
          <w:szCs w:val="20"/>
        </w:rPr>
        <w:t xml:space="preserve"> engages the right to freedom of expression in Article 19 of the </w:t>
      </w:r>
      <w:r w:rsidR="007B01CE" w:rsidRPr="007B01CE">
        <w:rPr>
          <w:rFonts w:eastAsia="Calibri" w:cs="Times New Roman"/>
          <w:i/>
          <w:sz w:val="24"/>
          <w:szCs w:val="20"/>
        </w:rPr>
        <w:t xml:space="preserve">International Covenant on Civil and Political Rights </w:t>
      </w:r>
      <w:r w:rsidR="007B01CE" w:rsidRPr="007B01CE">
        <w:rPr>
          <w:rFonts w:eastAsia="Calibri" w:cs="Times New Roman"/>
          <w:sz w:val="24"/>
          <w:szCs w:val="20"/>
        </w:rPr>
        <w:t>(ICCPR). Specifically, Article 19(2) of the ICCPR provides that:</w:t>
      </w:r>
    </w:p>
    <w:p w14:paraId="583B0A21" w14:textId="77777777" w:rsidR="007B01CE" w:rsidRPr="007B01CE" w:rsidRDefault="007B01CE" w:rsidP="007B01CE">
      <w:pPr>
        <w:spacing w:after="240" w:line="240" w:lineRule="auto"/>
        <w:ind w:left="709"/>
        <w:rPr>
          <w:rFonts w:eastAsia="Calibri" w:cs="Times New Roman"/>
          <w:szCs w:val="20"/>
        </w:rPr>
      </w:pPr>
      <w:r w:rsidRPr="007B01CE">
        <w:rPr>
          <w:rFonts w:eastAsia="Calibri" w:cs="Times New Roman"/>
          <w:szCs w:val="20"/>
        </w:rPr>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6C00667B" w14:textId="43EC361D" w:rsidR="007B01CE" w:rsidRPr="007B01CE" w:rsidRDefault="007B01CE" w:rsidP="007B01CE">
      <w:pPr>
        <w:spacing w:after="240" w:line="240" w:lineRule="auto"/>
        <w:rPr>
          <w:rFonts w:eastAsia="Calibri" w:cs="Times New Roman"/>
          <w:sz w:val="24"/>
          <w:szCs w:val="20"/>
        </w:rPr>
      </w:pPr>
      <w:r w:rsidRPr="007B01CE">
        <w:rPr>
          <w:rFonts w:eastAsia="Calibri" w:cs="Times New Roman"/>
          <w:sz w:val="24"/>
          <w:szCs w:val="20"/>
        </w:rPr>
        <w:t xml:space="preserve">Paragraph </w:t>
      </w:r>
      <w:r w:rsidR="00E30166">
        <w:rPr>
          <w:rFonts w:eastAsia="Calibri" w:cs="Times New Roman"/>
          <w:sz w:val="24"/>
          <w:szCs w:val="20"/>
        </w:rPr>
        <w:t>6(</w:t>
      </w:r>
      <w:r w:rsidR="00E30166" w:rsidRPr="007B01CE">
        <w:rPr>
          <w:rFonts w:eastAsia="Calibri" w:cs="Times New Roman"/>
          <w:sz w:val="24"/>
          <w:szCs w:val="20"/>
        </w:rPr>
        <w:t>1</w:t>
      </w:r>
      <w:r w:rsidR="00E30166">
        <w:rPr>
          <w:rFonts w:eastAsia="Calibri" w:cs="Times New Roman"/>
          <w:sz w:val="24"/>
          <w:szCs w:val="20"/>
        </w:rPr>
        <w:t>)</w:t>
      </w:r>
      <w:r w:rsidRPr="007B01CE">
        <w:rPr>
          <w:rFonts w:eastAsia="Calibri" w:cs="Times New Roman"/>
          <w:sz w:val="24"/>
          <w:szCs w:val="20"/>
        </w:rPr>
        <w:t xml:space="preserve">(a) of </w:t>
      </w:r>
      <w:r w:rsidR="00E767B5" w:rsidRPr="0055310B">
        <w:rPr>
          <w:rFonts w:eastAsia="Calibri" w:cs="Times New Roman"/>
          <w:sz w:val="24"/>
          <w:szCs w:val="20"/>
        </w:rPr>
        <w:t>the Determination</w:t>
      </w:r>
      <w:r w:rsidRPr="007B01CE">
        <w:rPr>
          <w:rFonts w:eastAsia="Calibri" w:cs="Times New Roman"/>
          <w:sz w:val="24"/>
          <w:szCs w:val="20"/>
        </w:rPr>
        <w:t xml:space="preserve"> facilitates increased access for individual applicants to exempt documents in cases where the agency or Minister may otherwise have refused access only out of concern about publishing information in the documents on a disclosure log. This increased access advances Article 19(2) of the ICCPR.</w:t>
      </w:r>
    </w:p>
    <w:p w14:paraId="66687C5C" w14:textId="2D1A249D" w:rsidR="007B01CE" w:rsidRPr="007B01CE" w:rsidRDefault="007B01CE" w:rsidP="007B01CE">
      <w:pPr>
        <w:spacing w:after="240" w:line="240" w:lineRule="auto"/>
        <w:rPr>
          <w:rFonts w:eastAsia="Calibri" w:cs="Times New Roman"/>
          <w:sz w:val="24"/>
          <w:szCs w:val="20"/>
        </w:rPr>
      </w:pPr>
      <w:r w:rsidRPr="007B01CE">
        <w:rPr>
          <w:rFonts w:eastAsia="Calibri" w:cs="Times New Roman"/>
          <w:sz w:val="24"/>
          <w:szCs w:val="20"/>
        </w:rPr>
        <w:t xml:space="preserve">However, an argument could be made that </w:t>
      </w:r>
      <w:r w:rsidR="00E767B5" w:rsidRPr="0055310B">
        <w:rPr>
          <w:rFonts w:eastAsia="Calibri" w:cs="Times New Roman"/>
          <w:sz w:val="24"/>
          <w:szCs w:val="20"/>
        </w:rPr>
        <w:t xml:space="preserve">the </w:t>
      </w:r>
      <w:r w:rsidRPr="007B01CE">
        <w:rPr>
          <w:rFonts w:eastAsia="Calibri" w:cs="Times New Roman"/>
          <w:sz w:val="24"/>
          <w:szCs w:val="20"/>
        </w:rPr>
        <w:t xml:space="preserve">Determination restricts the rights of people other than individual applicants under Article 19(2) of the ICCPR. The </w:t>
      </w:r>
      <w:r w:rsidR="00622516">
        <w:rPr>
          <w:rFonts w:eastAsia="Calibri" w:cs="Times New Roman"/>
          <w:sz w:val="24"/>
          <w:szCs w:val="20"/>
        </w:rPr>
        <w:t>Act</w:t>
      </w:r>
      <w:r w:rsidRPr="007B01CE">
        <w:rPr>
          <w:rFonts w:eastAsia="Calibri" w:cs="Times New Roman"/>
          <w:sz w:val="24"/>
          <w:szCs w:val="20"/>
        </w:rPr>
        <w:t xml:space="preserve"> disclosure log requirements facilitate general public access to information released to individual applicants. </w:t>
      </w:r>
      <w:r w:rsidR="00E767B5" w:rsidRPr="0055310B">
        <w:rPr>
          <w:rFonts w:eastAsia="Calibri" w:cs="Times New Roman"/>
          <w:sz w:val="24"/>
          <w:szCs w:val="20"/>
        </w:rPr>
        <w:t xml:space="preserve">The </w:t>
      </w:r>
      <w:r w:rsidRPr="007B01CE">
        <w:rPr>
          <w:rFonts w:eastAsia="Calibri" w:cs="Times New Roman"/>
          <w:sz w:val="24"/>
          <w:szCs w:val="20"/>
        </w:rPr>
        <w:t>Determination</w:t>
      </w:r>
      <w:r w:rsidR="00E767B5" w:rsidRPr="0055310B">
        <w:rPr>
          <w:rFonts w:eastAsia="Calibri" w:cs="Times New Roman"/>
          <w:sz w:val="24"/>
          <w:szCs w:val="20"/>
        </w:rPr>
        <w:t xml:space="preserve"> </w:t>
      </w:r>
      <w:r w:rsidRPr="007B01CE">
        <w:rPr>
          <w:rFonts w:eastAsia="Calibri" w:cs="Times New Roman"/>
          <w:sz w:val="24"/>
          <w:szCs w:val="20"/>
        </w:rPr>
        <w:t>restricts the amount of information published on the disclosure log.</w:t>
      </w:r>
    </w:p>
    <w:p w14:paraId="5177C30B" w14:textId="0186E62F" w:rsidR="007B01CE" w:rsidRPr="007B01CE" w:rsidRDefault="007B01CE" w:rsidP="007B01CE">
      <w:pPr>
        <w:spacing w:after="240" w:line="240" w:lineRule="auto"/>
        <w:rPr>
          <w:rFonts w:eastAsia="Calibri" w:cs="Times New Roman"/>
          <w:sz w:val="24"/>
          <w:szCs w:val="20"/>
        </w:rPr>
      </w:pPr>
      <w:r w:rsidRPr="007B01CE">
        <w:rPr>
          <w:rFonts w:eastAsia="Calibri" w:cs="Times New Roman"/>
          <w:sz w:val="24"/>
          <w:szCs w:val="20"/>
        </w:rPr>
        <w:t xml:space="preserve">However, these restrictions must be balanced with the increased access to information </w:t>
      </w:r>
      <w:r w:rsidR="00E767B5" w:rsidRPr="0055310B">
        <w:rPr>
          <w:rFonts w:eastAsia="Calibri" w:cs="Times New Roman"/>
          <w:sz w:val="24"/>
          <w:szCs w:val="20"/>
        </w:rPr>
        <w:t xml:space="preserve">the </w:t>
      </w:r>
      <w:r w:rsidRPr="007B01CE">
        <w:rPr>
          <w:rFonts w:eastAsia="Calibri" w:cs="Times New Roman"/>
          <w:sz w:val="24"/>
          <w:szCs w:val="20"/>
        </w:rPr>
        <w:t>Determination provides to individual applicants, as described above. The restrictions should also be considered in light of Article 19(3) of the ICCPR, which provides that:</w:t>
      </w:r>
    </w:p>
    <w:p w14:paraId="7A824CDE" w14:textId="77777777" w:rsidR="007B01CE" w:rsidRPr="007B01CE" w:rsidRDefault="007B01CE" w:rsidP="007B01CE">
      <w:pPr>
        <w:spacing w:after="240" w:line="240" w:lineRule="auto"/>
        <w:ind w:left="709"/>
        <w:rPr>
          <w:rFonts w:eastAsia="Calibri" w:cs="Times New Roman"/>
          <w:szCs w:val="20"/>
        </w:rPr>
      </w:pPr>
      <w:r w:rsidRPr="007B01CE">
        <w:rPr>
          <w:rFonts w:eastAsia="Calibri" w:cs="Times New Roman"/>
          <w:szCs w:val="20"/>
        </w:rPr>
        <w:lastRenderedPageBreak/>
        <w:t>The exercise of the rights provided for in paragraph 2 of this article carries with it special duties and responsibilities. It may therefore be subject to certain restrictions, but these shall only be such as are provided by law and are necessary:</w:t>
      </w:r>
    </w:p>
    <w:p w14:paraId="73CBD29D" w14:textId="77777777" w:rsidR="007B01CE" w:rsidRPr="007B01CE" w:rsidRDefault="007B01CE" w:rsidP="00487985">
      <w:pPr>
        <w:spacing w:after="240" w:line="240" w:lineRule="auto"/>
        <w:ind w:left="1429" w:firstLine="11"/>
        <w:rPr>
          <w:rFonts w:eastAsia="Calibri" w:cs="Times New Roman"/>
          <w:szCs w:val="20"/>
        </w:rPr>
      </w:pPr>
      <w:r w:rsidRPr="007B01CE">
        <w:rPr>
          <w:rFonts w:eastAsia="Calibri" w:cs="Times New Roman"/>
          <w:szCs w:val="20"/>
        </w:rPr>
        <w:t>(a) For respect of the rights or reputations of others;</w:t>
      </w:r>
    </w:p>
    <w:p w14:paraId="6D5BB583" w14:textId="77777777" w:rsidR="007B01CE" w:rsidRPr="007B01CE" w:rsidRDefault="007B01CE" w:rsidP="00487985">
      <w:pPr>
        <w:spacing w:after="240" w:line="240" w:lineRule="auto"/>
        <w:ind w:left="1429"/>
        <w:rPr>
          <w:rFonts w:eastAsia="Calibri" w:cs="Times New Roman"/>
          <w:b/>
          <w:bCs/>
          <w:i/>
          <w:szCs w:val="20"/>
        </w:rPr>
      </w:pPr>
      <w:r w:rsidRPr="007B01CE">
        <w:rPr>
          <w:rFonts w:eastAsia="Calibri" w:cs="Times New Roman"/>
          <w:szCs w:val="20"/>
        </w:rPr>
        <w:t>(b) For the protection of national security or of public order (ordre public), or of public health or morals.</w:t>
      </w:r>
    </w:p>
    <w:p w14:paraId="724F52C1" w14:textId="12A8210F" w:rsidR="007B01CE" w:rsidRPr="007B01CE" w:rsidRDefault="00E767B5" w:rsidP="007B01CE">
      <w:pPr>
        <w:spacing w:after="240" w:line="240" w:lineRule="auto"/>
        <w:rPr>
          <w:rFonts w:eastAsia="Calibri" w:cs="Times New Roman"/>
          <w:sz w:val="24"/>
          <w:szCs w:val="20"/>
        </w:rPr>
      </w:pPr>
      <w:r w:rsidRPr="0055310B">
        <w:rPr>
          <w:rFonts w:eastAsia="Calibri" w:cs="Times New Roman"/>
          <w:sz w:val="24"/>
          <w:szCs w:val="20"/>
        </w:rPr>
        <w:t xml:space="preserve">The </w:t>
      </w:r>
      <w:r w:rsidR="007B01CE" w:rsidRPr="007B01CE">
        <w:rPr>
          <w:rFonts w:eastAsia="Calibri" w:cs="Times New Roman"/>
          <w:sz w:val="24"/>
          <w:szCs w:val="20"/>
        </w:rPr>
        <w:t xml:space="preserve">Determination only operates when documents are exempt from release under the </w:t>
      </w:r>
      <w:r w:rsidR="00622516">
        <w:rPr>
          <w:rFonts w:eastAsia="Calibri" w:cs="Times New Roman"/>
          <w:sz w:val="24"/>
          <w:szCs w:val="20"/>
        </w:rPr>
        <w:t>Act</w:t>
      </w:r>
      <w:r w:rsidR="007B01CE" w:rsidRPr="007B01CE">
        <w:rPr>
          <w:rFonts w:eastAsia="Calibri" w:cs="Times New Roman"/>
          <w:sz w:val="24"/>
          <w:szCs w:val="20"/>
        </w:rPr>
        <w:t xml:space="preserve">, or in the case of paragraph </w:t>
      </w:r>
      <w:r w:rsidR="005A4CB5">
        <w:rPr>
          <w:rFonts w:eastAsia="Calibri" w:cs="Times New Roman"/>
          <w:sz w:val="24"/>
          <w:szCs w:val="20"/>
        </w:rPr>
        <w:t>6(</w:t>
      </w:r>
      <w:r w:rsidR="007B01CE" w:rsidRPr="007B01CE">
        <w:rPr>
          <w:rFonts w:eastAsia="Calibri" w:cs="Times New Roman"/>
          <w:sz w:val="24"/>
          <w:szCs w:val="20"/>
        </w:rPr>
        <w:t>1</w:t>
      </w:r>
      <w:r w:rsidR="005A4CB5">
        <w:rPr>
          <w:rFonts w:eastAsia="Calibri" w:cs="Times New Roman"/>
          <w:sz w:val="24"/>
          <w:szCs w:val="20"/>
        </w:rPr>
        <w:t>)</w:t>
      </w:r>
      <w:r w:rsidR="007B01CE" w:rsidRPr="007B01CE">
        <w:rPr>
          <w:rFonts w:eastAsia="Calibri" w:cs="Times New Roman"/>
          <w:sz w:val="24"/>
          <w:szCs w:val="20"/>
        </w:rPr>
        <w:t xml:space="preserve">(b), when the documents would be exempt if requested by anyone other than the </w:t>
      </w:r>
      <w:r w:rsidR="00CB7D8D">
        <w:rPr>
          <w:rFonts w:eastAsia="Calibri" w:cs="Times New Roman"/>
          <w:sz w:val="24"/>
          <w:szCs w:val="20"/>
        </w:rPr>
        <w:t xml:space="preserve">particular FOI </w:t>
      </w:r>
      <w:r w:rsidR="007B01CE" w:rsidRPr="007B01CE">
        <w:rPr>
          <w:rFonts w:eastAsia="Calibri" w:cs="Times New Roman"/>
          <w:sz w:val="24"/>
          <w:szCs w:val="20"/>
        </w:rPr>
        <w:t xml:space="preserve">applicant. Exemptions in the </w:t>
      </w:r>
      <w:r w:rsidR="00622516">
        <w:rPr>
          <w:rFonts w:eastAsia="Calibri" w:cs="Times New Roman"/>
          <w:sz w:val="24"/>
          <w:szCs w:val="20"/>
        </w:rPr>
        <w:t>Act</w:t>
      </w:r>
      <w:r w:rsidR="007B01CE" w:rsidRPr="007B01CE">
        <w:rPr>
          <w:rFonts w:eastAsia="Calibri" w:cs="Times New Roman"/>
          <w:sz w:val="24"/>
          <w:szCs w:val="20"/>
        </w:rPr>
        <w:t xml:space="preserve"> allow agencies and Ministers to refuse access to specific kinds of documents, such as documents affecting national security, defence or international relations, Cabinet documents or documents affecting law enforcement and protection of public safety. The scope of the exemptions contained in the </w:t>
      </w:r>
      <w:r w:rsidR="00622516">
        <w:rPr>
          <w:rFonts w:eastAsia="Calibri" w:cs="Times New Roman"/>
          <w:sz w:val="24"/>
          <w:szCs w:val="20"/>
        </w:rPr>
        <w:t>Act</w:t>
      </w:r>
      <w:r w:rsidR="007B01CE" w:rsidRPr="007B01CE">
        <w:rPr>
          <w:rFonts w:eastAsia="Calibri" w:cs="Times New Roman"/>
          <w:sz w:val="24"/>
          <w:szCs w:val="20"/>
        </w:rPr>
        <w:t xml:space="preserve"> is generally consistent with Article 19(3) of the ICCPR.</w:t>
      </w:r>
    </w:p>
    <w:p w14:paraId="6826B32B" w14:textId="6968B48F" w:rsidR="007B01CE" w:rsidRPr="007B01CE" w:rsidRDefault="007B01CE" w:rsidP="007B01CE">
      <w:pPr>
        <w:spacing w:after="240" w:line="240" w:lineRule="auto"/>
        <w:rPr>
          <w:rFonts w:eastAsia="Calibri" w:cs="Times New Roman"/>
          <w:sz w:val="24"/>
          <w:szCs w:val="20"/>
        </w:rPr>
      </w:pPr>
      <w:r w:rsidRPr="007B01CE">
        <w:rPr>
          <w:rFonts w:eastAsia="Calibri" w:cs="Times New Roman"/>
          <w:sz w:val="24"/>
          <w:szCs w:val="20"/>
        </w:rPr>
        <w:t xml:space="preserve">It is also relevant that paragraph </w:t>
      </w:r>
      <w:r w:rsidR="005A4CB5">
        <w:rPr>
          <w:rFonts w:eastAsia="Calibri" w:cs="Times New Roman"/>
          <w:sz w:val="24"/>
          <w:szCs w:val="20"/>
        </w:rPr>
        <w:t>6(</w:t>
      </w:r>
      <w:r w:rsidR="005A4CB5" w:rsidRPr="007B01CE">
        <w:rPr>
          <w:rFonts w:eastAsia="Calibri" w:cs="Times New Roman"/>
          <w:sz w:val="24"/>
          <w:szCs w:val="20"/>
        </w:rPr>
        <w:t>1</w:t>
      </w:r>
      <w:r w:rsidR="005A4CB5">
        <w:rPr>
          <w:rFonts w:eastAsia="Calibri" w:cs="Times New Roman"/>
          <w:sz w:val="24"/>
          <w:szCs w:val="20"/>
        </w:rPr>
        <w:t>)</w:t>
      </w:r>
      <w:r w:rsidRPr="007B01CE">
        <w:rPr>
          <w:rFonts w:eastAsia="Calibri" w:cs="Times New Roman"/>
          <w:sz w:val="24"/>
          <w:szCs w:val="20"/>
        </w:rPr>
        <w:t>(b) of</w:t>
      </w:r>
      <w:r w:rsidR="00E767B5" w:rsidRPr="0055310B">
        <w:rPr>
          <w:rFonts w:eastAsia="Calibri" w:cs="Times New Roman"/>
          <w:sz w:val="24"/>
          <w:szCs w:val="20"/>
        </w:rPr>
        <w:t xml:space="preserve"> the</w:t>
      </w:r>
      <w:r w:rsidRPr="007B01CE">
        <w:rPr>
          <w:rFonts w:eastAsia="Calibri" w:cs="Times New Roman"/>
          <w:sz w:val="24"/>
          <w:szCs w:val="20"/>
        </w:rPr>
        <w:t xml:space="preserve"> Determination turns on the identity of the person requesting access to the document. Paragraph </w:t>
      </w:r>
      <w:r w:rsidR="005A4CB5">
        <w:rPr>
          <w:rFonts w:eastAsia="Calibri" w:cs="Times New Roman"/>
          <w:sz w:val="24"/>
          <w:szCs w:val="20"/>
        </w:rPr>
        <w:t>6(</w:t>
      </w:r>
      <w:r w:rsidR="005A4CB5" w:rsidRPr="007B01CE">
        <w:rPr>
          <w:rFonts w:eastAsia="Calibri" w:cs="Times New Roman"/>
          <w:sz w:val="24"/>
          <w:szCs w:val="20"/>
        </w:rPr>
        <w:t>1</w:t>
      </w:r>
      <w:r w:rsidR="005A4CB5">
        <w:rPr>
          <w:rFonts w:eastAsia="Calibri" w:cs="Times New Roman"/>
          <w:sz w:val="24"/>
          <w:szCs w:val="20"/>
        </w:rPr>
        <w:t>)</w:t>
      </w:r>
      <w:r w:rsidRPr="007B01CE">
        <w:rPr>
          <w:rFonts w:eastAsia="Calibri" w:cs="Times New Roman"/>
          <w:sz w:val="24"/>
          <w:szCs w:val="20"/>
        </w:rPr>
        <w:t xml:space="preserve">(b) will typically operate in cases where a document contains information that relates to the applicant in some way but does not clearly fall under one of the disclosure log publication exceptions in s 11C(1). Paragraph </w:t>
      </w:r>
      <w:r w:rsidR="00E30166">
        <w:rPr>
          <w:rFonts w:eastAsia="Calibri" w:cs="Times New Roman"/>
          <w:sz w:val="24"/>
          <w:szCs w:val="20"/>
        </w:rPr>
        <w:t>6(</w:t>
      </w:r>
      <w:r w:rsidR="00E30166" w:rsidRPr="007B01CE">
        <w:rPr>
          <w:rFonts w:eastAsia="Calibri" w:cs="Times New Roman"/>
          <w:sz w:val="24"/>
          <w:szCs w:val="20"/>
        </w:rPr>
        <w:t>1</w:t>
      </w:r>
      <w:r w:rsidR="00E30166">
        <w:rPr>
          <w:rFonts w:eastAsia="Calibri" w:cs="Times New Roman"/>
          <w:sz w:val="24"/>
          <w:szCs w:val="20"/>
        </w:rPr>
        <w:t>)</w:t>
      </w:r>
      <w:r w:rsidRPr="007B01CE">
        <w:rPr>
          <w:rFonts w:eastAsia="Calibri" w:cs="Times New Roman"/>
          <w:sz w:val="24"/>
          <w:szCs w:val="20"/>
        </w:rPr>
        <w:t xml:space="preserve">(b) ensures that the disclosure log provisions of the </w:t>
      </w:r>
      <w:r w:rsidR="00622516">
        <w:rPr>
          <w:rFonts w:eastAsia="Calibri" w:cs="Times New Roman"/>
          <w:sz w:val="24"/>
          <w:szCs w:val="20"/>
        </w:rPr>
        <w:t>Act</w:t>
      </w:r>
      <w:r w:rsidRPr="007B01CE">
        <w:rPr>
          <w:rFonts w:eastAsia="Calibri" w:cs="Times New Roman"/>
          <w:sz w:val="24"/>
          <w:szCs w:val="20"/>
        </w:rPr>
        <w:t xml:space="preserve"> do not effectively: </w:t>
      </w:r>
    </w:p>
    <w:p w14:paraId="2FB4589B" w14:textId="2E7EC171" w:rsidR="007B01CE" w:rsidRPr="007B01CE" w:rsidRDefault="007B01CE" w:rsidP="008152FE">
      <w:pPr>
        <w:numPr>
          <w:ilvl w:val="0"/>
          <w:numId w:val="20"/>
        </w:numPr>
        <w:spacing w:before="120" w:after="0" w:line="240" w:lineRule="auto"/>
        <w:ind w:hanging="357"/>
        <w:rPr>
          <w:rFonts w:eastAsia="Calibri" w:cs="Times New Roman"/>
          <w:sz w:val="24"/>
          <w:szCs w:val="24"/>
        </w:rPr>
      </w:pPr>
      <w:r w:rsidRPr="007B01CE">
        <w:rPr>
          <w:rFonts w:eastAsia="Calibri" w:cs="Times New Roman"/>
          <w:sz w:val="24"/>
          <w:szCs w:val="24"/>
        </w:rPr>
        <w:t xml:space="preserve">circumvent categories of exempt documents specified in the </w:t>
      </w:r>
      <w:r w:rsidR="00622516">
        <w:rPr>
          <w:rFonts w:eastAsia="Calibri" w:cs="Times New Roman"/>
          <w:sz w:val="24"/>
          <w:szCs w:val="24"/>
        </w:rPr>
        <w:t>Act</w:t>
      </w:r>
      <w:r w:rsidRPr="007B01CE">
        <w:rPr>
          <w:rFonts w:eastAsia="Calibri" w:cs="Times New Roman"/>
          <w:sz w:val="24"/>
          <w:szCs w:val="24"/>
        </w:rPr>
        <w:t xml:space="preserve">, or </w:t>
      </w:r>
    </w:p>
    <w:p w14:paraId="34B7FFEF" w14:textId="735A6887" w:rsidR="007B01CE" w:rsidRPr="007B01CE" w:rsidRDefault="007B01CE" w:rsidP="008152FE">
      <w:pPr>
        <w:numPr>
          <w:ilvl w:val="0"/>
          <w:numId w:val="20"/>
        </w:numPr>
        <w:spacing w:before="120" w:after="0" w:line="240" w:lineRule="auto"/>
        <w:ind w:hanging="357"/>
        <w:rPr>
          <w:rFonts w:eastAsia="Calibri" w:cs="Times New Roman"/>
          <w:sz w:val="24"/>
          <w:szCs w:val="24"/>
        </w:rPr>
      </w:pPr>
      <w:r w:rsidRPr="007B01CE">
        <w:rPr>
          <w:rFonts w:eastAsia="Calibri" w:cs="Times New Roman"/>
          <w:sz w:val="24"/>
          <w:szCs w:val="24"/>
        </w:rPr>
        <w:t>raise doubt about how disclosure log obligations interact with exemptions in the</w:t>
      </w:r>
      <w:r w:rsidR="008045EC">
        <w:rPr>
          <w:rFonts w:eastAsia="Calibri" w:cs="Times New Roman"/>
          <w:sz w:val="24"/>
          <w:szCs w:val="24"/>
        </w:rPr>
        <w:t xml:space="preserve"> </w:t>
      </w:r>
      <w:r w:rsidR="00622516">
        <w:rPr>
          <w:rFonts w:eastAsia="Calibri" w:cs="Times New Roman"/>
          <w:sz w:val="24"/>
          <w:szCs w:val="24"/>
        </w:rPr>
        <w:t>Act</w:t>
      </w:r>
      <w:r w:rsidRPr="007B01CE">
        <w:rPr>
          <w:rFonts w:eastAsia="Calibri" w:cs="Times New Roman"/>
          <w:sz w:val="24"/>
          <w:szCs w:val="24"/>
        </w:rPr>
        <w:t xml:space="preserve"> or secrecy provisions in other legislation. </w:t>
      </w:r>
    </w:p>
    <w:p w14:paraId="11E2548F" w14:textId="4A755EAD" w:rsidR="007B01CE" w:rsidRPr="007B01CE" w:rsidRDefault="007B01CE" w:rsidP="007B01CE">
      <w:pPr>
        <w:spacing w:before="240" w:after="240" w:line="240" w:lineRule="auto"/>
        <w:rPr>
          <w:rFonts w:eastAsia="Calibri" w:cs="Times New Roman"/>
          <w:sz w:val="24"/>
          <w:szCs w:val="20"/>
        </w:rPr>
      </w:pPr>
      <w:r w:rsidRPr="007B01CE">
        <w:rPr>
          <w:rFonts w:eastAsia="Calibri" w:cs="Times New Roman"/>
          <w:sz w:val="24"/>
          <w:szCs w:val="20"/>
        </w:rPr>
        <w:t xml:space="preserve">Paragraph </w:t>
      </w:r>
      <w:r w:rsidR="005A4CB5">
        <w:rPr>
          <w:rFonts w:eastAsia="Calibri" w:cs="Times New Roman"/>
          <w:sz w:val="24"/>
          <w:szCs w:val="20"/>
        </w:rPr>
        <w:t>6(</w:t>
      </w:r>
      <w:r w:rsidRPr="007B01CE">
        <w:rPr>
          <w:rFonts w:eastAsia="Calibri" w:cs="Times New Roman"/>
          <w:sz w:val="24"/>
          <w:szCs w:val="20"/>
        </w:rPr>
        <w:t>1</w:t>
      </w:r>
      <w:r w:rsidR="005A4CB5">
        <w:rPr>
          <w:rFonts w:eastAsia="Calibri" w:cs="Times New Roman"/>
          <w:sz w:val="24"/>
          <w:szCs w:val="20"/>
        </w:rPr>
        <w:t>)</w:t>
      </w:r>
      <w:r w:rsidRPr="007B01CE">
        <w:rPr>
          <w:rFonts w:eastAsia="Calibri" w:cs="Times New Roman"/>
          <w:sz w:val="24"/>
          <w:szCs w:val="20"/>
        </w:rPr>
        <w:t>(b) also complements the existing disclosure log exceptions in s 11C(1) of the</w:t>
      </w:r>
      <w:r w:rsidR="008045EC">
        <w:rPr>
          <w:rFonts w:eastAsia="Calibri" w:cs="Times New Roman"/>
          <w:sz w:val="24"/>
          <w:szCs w:val="20"/>
        </w:rPr>
        <w:t xml:space="preserve"> </w:t>
      </w:r>
      <w:r w:rsidR="00622516">
        <w:rPr>
          <w:rFonts w:eastAsia="Calibri" w:cs="Times New Roman"/>
          <w:sz w:val="24"/>
          <w:szCs w:val="20"/>
        </w:rPr>
        <w:t>Act</w:t>
      </w:r>
      <w:r w:rsidRPr="007B01CE">
        <w:rPr>
          <w:rFonts w:eastAsia="Calibri" w:cs="Times New Roman"/>
          <w:sz w:val="24"/>
          <w:szCs w:val="20"/>
        </w:rPr>
        <w:t xml:space="preserve"> for documents containing personal information or information about the business, commercial, financial or professional affairs of any person. For these reasons, the limitation paragraph </w:t>
      </w:r>
      <w:r w:rsidR="00E30166">
        <w:rPr>
          <w:rFonts w:eastAsia="Calibri" w:cs="Times New Roman"/>
          <w:sz w:val="24"/>
          <w:szCs w:val="20"/>
        </w:rPr>
        <w:t>6(</w:t>
      </w:r>
      <w:r w:rsidR="00E30166" w:rsidRPr="007B01CE">
        <w:rPr>
          <w:rFonts w:eastAsia="Calibri" w:cs="Times New Roman"/>
          <w:sz w:val="24"/>
          <w:szCs w:val="20"/>
        </w:rPr>
        <w:t>1</w:t>
      </w:r>
      <w:r w:rsidR="00E30166">
        <w:rPr>
          <w:rFonts w:eastAsia="Calibri" w:cs="Times New Roman"/>
          <w:sz w:val="24"/>
          <w:szCs w:val="20"/>
        </w:rPr>
        <w:t>)</w:t>
      </w:r>
      <w:r w:rsidRPr="007B01CE">
        <w:rPr>
          <w:rFonts w:eastAsia="Calibri" w:cs="Times New Roman"/>
          <w:sz w:val="24"/>
          <w:szCs w:val="20"/>
        </w:rPr>
        <w:t>(b) places on broader public access to information through a disclosure log is consistent with Article 19(3) of the ICCPR.</w:t>
      </w:r>
    </w:p>
    <w:p w14:paraId="32D2B888" w14:textId="77777777" w:rsidR="007B01CE" w:rsidRPr="007B01CE" w:rsidRDefault="007B01CE" w:rsidP="000B1FE7">
      <w:pPr>
        <w:pStyle w:val="Heading3"/>
      </w:pPr>
      <w:r w:rsidRPr="007B01CE">
        <w:t>Conclusion</w:t>
      </w:r>
    </w:p>
    <w:p w14:paraId="58FE174A" w14:textId="6BD997B9" w:rsidR="007B01CE" w:rsidRPr="007B01CE" w:rsidRDefault="00E767B5" w:rsidP="007B01CE">
      <w:pPr>
        <w:spacing w:after="240" w:line="240" w:lineRule="auto"/>
        <w:rPr>
          <w:rFonts w:eastAsia="Calibri" w:cs="Times New Roman"/>
          <w:sz w:val="24"/>
          <w:szCs w:val="20"/>
        </w:rPr>
      </w:pPr>
      <w:r w:rsidRPr="0055310B">
        <w:rPr>
          <w:rFonts w:eastAsia="Calibri" w:cs="Times New Roman"/>
          <w:sz w:val="24"/>
          <w:szCs w:val="20"/>
        </w:rPr>
        <w:t xml:space="preserve">The </w:t>
      </w:r>
      <w:r w:rsidR="007B01CE" w:rsidRPr="007B01CE">
        <w:rPr>
          <w:rFonts w:eastAsia="Calibri" w:cs="Times New Roman"/>
          <w:sz w:val="24"/>
          <w:szCs w:val="20"/>
        </w:rPr>
        <w:t>Determination is compatible with human rights because it advances the protection of human rights. To the extent that it may also limit human rights, those limitations are reasonable, necessary and proportionate.</w:t>
      </w:r>
    </w:p>
    <w:p w14:paraId="642825ED" w14:textId="77777777" w:rsidR="007B01CE" w:rsidRDefault="007B01CE" w:rsidP="00A60687">
      <w:pPr>
        <w:pStyle w:val="Heading2"/>
      </w:pPr>
      <w:bookmarkStart w:id="0" w:name="_GoBack"/>
      <w:bookmarkEnd w:id="0"/>
    </w:p>
    <w:sectPr w:rsidR="007B01CE" w:rsidSect="009D745B">
      <w:footerReference w:type="even" r:id="rId8"/>
      <w:footerReference w:type="default" r:id="rId9"/>
      <w:headerReference w:type="first" r:id="rId10"/>
      <w:footerReference w:type="first" r:id="rId11"/>
      <w:pgSz w:w="11906" w:h="16838" w:code="9"/>
      <w:pgMar w:top="1588" w:right="1276" w:bottom="1418" w:left="1440" w:header="522"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C3F59" w14:textId="77777777" w:rsidR="00A60687" w:rsidRDefault="00A60687" w:rsidP="00207961">
      <w:pPr>
        <w:spacing w:after="0"/>
      </w:pPr>
      <w:r>
        <w:separator/>
      </w:r>
    </w:p>
    <w:p w14:paraId="3017362A" w14:textId="77777777" w:rsidR="00A60687" w:rsidRDefault="00A60687"/>
  </w:endnote>
  <w:endnote w:type="continuationSeparator" w:id="0">
    <w:p w14:paraId="7561415C" w14:textId="77777777" w:rsidR="00A60687" w:rsidRDefault="00A60687" w:rsidP="00207961">
      <w:pPr>
        <w:spacing w:after="0"/>
      </w:pPr>
      <w:r>
        <w:continuationSeparator/>
      </w:r>
    </w:p>
    <w:p w14:paraId="2F154A27" w14:textId="77777777" w:rsidR="00A60687" w:rsidRDefault="00A60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iDocIDFielde9f23784-17c6-453a-91ab-2b51"/>
  <w:p w14:paraId="062E6356" w14:textId="2DE18260" w:rsidR="00161970" w:rsidRDefault="00161970">
    <w:pPr>
      <w:pStyle w:val="DocID"/>
    </w:pPr>
    <w:r>
      <w:fldChar w:fldCharType="begin"/>
    </w:r>
    <w:r>
      <w:instrText xml:space="preserve">  DOCPROPERTY "CUS_DocIDChunk0" </w:instrText>
    </w:r>
    <w:r>
      <w:fldChar w:fldCharType="separate"/>
    </w:r>
    <w:r w:rsidR="00E96896">
      <w:t>Doc ID 533979163/v1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Grid"/>
      <w:tblW w:w="9866" w:type="dxa"/>
      <w:tblInd w:w="-527" w:type="dxa"/>
      <w:tblBorders>
        <w:top w:val="single" w:sz="4" w:space="0" w:color="0079B2" w:themeColor="accent1"/>
      </w:tblBorders>
      <w:tblLayout w:type="fixed"/>
      <w:tblLook w:val="04A0" w:firstRow="1" w:lastRow="0" w:firstColumn="1" w:lastColumn="0" w:noHBand="0" w:noVBand="1"/>
      <w:tblCaption w:val="SecondPage Footer Grid — Containing OAIC web address and page number"/>
      <w:tblDescription w:val="SecondPage Footer Grid — Containing OAIC web address and page number"/>
    </w:tblPr>
    <w:tblGrid>
      <w:gridCol w:w="9866"/>
    </w:tblGrid>
    <w:tr w:rsidR="00161970" w14:paraId="111AD1E5" w14:textId="77777777" w:rsidTr="00615CA4">
      <w:trPr>
        <w:trHeight w:val="340"/>
        <w:tblHeader/>
      </w:trPr>
      <w:tc>
        <w:tcPr>
          <w:tcW w:w="9895" w:type="dxa"/>
          <w:vAlign w:val="bottom"/>
          <w:hideMark/>
        </w:tcPr>
        <w:p w14:paraId="7CF9AACF" w14:textId="65F0712C" w:rsidR="00161970" w:rsidRDefault="000932BB" w:rsidP="00615CA4">
          <w:pPr>
            <w:pStyle w:val="HeaderTitle"/>
            <w:jc w:val="right"/>
          </w:pPr>
          <w:hyperlink r:id="rId1" w:history="1">
            <w:r w:rsidR="00161970" w:rsidRPr="00BB5FF5">
              <w:rPr>
                <w:rStyle w:val="Hyperlink"/>
                <w:noProof/>
                <w:u w:val="none"/>
              </w:rPr>
              <w:t>www.oaic.gov.au</w:t>
            </w:r>
          </w:hyperlink>
          <w:r w:rsidR="00161970">
            <w:rPr>
              <w:noProof/>
            </w:rPr>
            <w:t xml:space="preserve">  |  </w:t>
          </w:r>
          <w:r w:rsidR="00161970">
            <w:rPr>
              <w:rStyle w:val="PageNumber"/>
            </w:rPr>
            <w:fldChar w:fldCharType="begin"/>
          </w:r>
          <w:r w:rsidR="00161970">
            <w:rPr>
              <w:rStyle w:val="PageNumber"/>
            </w:rPr>
            <w:instrText xml:space="preserve"> PAGE  \* Arabic  \* MERGEFORMAT </w:instrText>
          </w:r>
          <w:r w:rsidR="00161970">
            <w:rPr>
              <w:rStyle w:val="PageNumber"/>
            </w:rPr>
            <w:fldChar w:fldCharType="separate"/>
          </w:r>
          <w:r>
            <w:rPr>
              <w:rStyle w:val="PageNumber"/>
              <w:noProof/>
            </w:rPr>
            <w:t>5</w:t>
          </w:r>
          <w:r w:rsidR="00161970">
            <w:rPr>
              <w:rStyle w:val="PageNumber"/>
            </w:rPr>
            <w:fldChar w:fldCharType="end"/>
          </w:r>
        </w:p>
      </w:tc>
    </w:tr>
  </w:tbl>
  <w:p w14:paraId="4CF2FA0F" w14:textId="4B6B5ED2" w:rsidR="00161970" w:rsidRDefault="00161970">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Grid"/>
      <w:tblW w:w="9866" w:type="dxa"/>
      <w:tblInd w:w="-527" w:type="dxa"/>
      <w:tblBorders>
        <w:top w:val="single" w:sz="4" w:space="0" w:color="0079B2" w:themeColor="accent1"/>
      </w:tblBorders>
      <w:tblLayout w:type="fixed"/>
      <w:tblLook w:val="04A0" w:firstRow="1" w:lastRow="0" w:firstColumn="1" w:lastColumn="0" w:noHBand="0" w:noVBand="1"/>
      <w:tblCaption w:val="FirstPage Footer Grid — Containing OAIC web address and page number"/>
      <w:tblDescription w:val="FirstPage Footer Grid — Containing OAIC web address and page number"/>
    </w:tblPr>
    <w:tblGrid>
      <w:gridCol w:w="9866"/>
    </w:tblGrid>
    <w:tr w:rsidR="00161970" w14:paraId="5A5A3BD4" w14:textId="77777777" w:rsidTr="00200DAE">
      <w:trPr>
        <w:trHeight w:val="340"/>
        <w:tblHeader/>
      </w:trPr>
      <w:tc>
        <w:tcPr>
          <w:tcW w:w="9895" w:type="dxa"/>
          <w:vAlign w:val="bottom"/>
          <w:hideMark/>
        </w:tcPr>
        <w:p w14:paraId="7C2CB64A" w14:textId="045FACF0" w:rsidR="00161970" w:rsidRDefault="000932BB" w:rsidP="00200DAE">
          <w:pPr>
            <w:pStyle w:val="HeaderTitle"/>
            <w:jc w:val="right"/>
          </w:pPr>
          <w:hyperlink r:id="rId1" w:history="1">
            <w:r w:rsidR="00161970" w:rsidRPr="004D732C">
              <w:t>www.oaic.gov.au</w:t>
            </w:r>
          </w:hyperlink>
          <w:r w:rsidR="00161970" w:rsidRPr="004D732C">
            <w:t xml:space="preserve"> </w:t>
          </w:r>
          <w:r w:rsidR="00161970">
            <w:rPr>
              <w:noProof/>
            </w:rPr>
            <w:t xml:space="preserve"> |  </w:t>
          </w:r>
          <w:r w:rsidR="00161970">
            <w:rPr>
              <w:rStyle w:val="PageNumber"/>
            </w:rPr>
            <w:fldChar w:fldCharType="begin"/>
          </w:r>
          <w:r w:rsidR="00161970">
            <w:rPr>
              <w:rStyle w:val="PageNumber"/>
            </w:rPr>
            <w:instrText xml:space="preserve"> PAGE  \* Arabic  \* MERGEFORMAT </w:instrText>
          </w:r>
          <w:r w:rsidR="00161970">
            <w:rPr>
              <w:rStyle w:val="PageNumber"/>
            </w:rPr>
            <w:fldChar w:fldCharType="separate"/>
          </w:r>
          <w:r>
            <w:rPr>
              <w:rStyle w:val="PageNumber"/>
              <w:noProof/>
            </w:rPr>
            <w:t>1</w:t>
          </w:r>
          <w:r w:rsidR="00161970">
            <w:rPr>
              <w:rStyle w:val="PageNumber"/>
            </w:rPr>
            <w:fldChar w:fldCharType="end"/>
          </w:r>
        </w:p>
      </w:tc>
    </w:tr>
  </w:tbl>
  <w:p w14:paraId="52B61319" w14:textId="20F9E547" w:rsidR="00161970" w:rsidRDefault="00161970">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A6DDF" w14:textId="77777777" w:rsidR="00A60687" w:rsidRDefault="00A60687" w:rsidP="00C46B45">
      <w:pPr>
        <w:spacing w:before="60" w:after="60"/>
      </w:pPr>
      <w:r>
        <w:separator/>
      </w:r>
    </w:p>
  </w:footnote>
  <w:footnote w:type="continuationSeparator" w:id="0">
    <w:p w14:paraId="5A695F37" w14:textId="77777777" w:rsidR="00A60687" w:rsidRDefault="00A60687" w:rsidP="00207961">
      <w:pPr>
        <w:spacing w:after="0"/>
      </w:pPr>
      <w:r>
        <w:continuationSeparator/>
      </w:r>
    </w:p>
    <w:p w14:paraId="17769C79" w14:textId="77777777" w:rsidR="00A60687" w:rsidRDefault="00A60687"/>
  </w:footnote>
  <w:footnote w:id="1">
    <w:p w14:paraId="26D06294" w14:textId="77777777" w:rsidR="007B01CE" w:rsidRDefault="007B01CE" w:rsidP="007B01CE">
      <w:pPr>
        <w:pStyle w:val="FootnoteText"/>
        <w:ind w:left="720" w:hanging="720"/>
      </w:pPr>
      <w:r>
        <w:rPr>
          <w:rStyle w:val="FootnoteReference"/>
        </w:rPr>
        <w:footnoteRef/>
      </w:r>
      <w:r>
        <w:t xml:space="preserve"> </w:t>
      </w:r>
      <w:r>
        <w:tab/>
      </w:r>
      <w:r w:rsidRPr="00BC33D0">
        <w:t>https://www.oaic.gov.au/engage-with-us/consultations/disclosure-log-determination/consultation-information-disclosure-log-determination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51629" w14:textId="60C40F72" w:rsidR="00A60687" w:rsidRDefault="00A60687">
    <w:pPr>
      <w:pStyle w:val="Header"/>
    </w:pPr>
  </w:p>
  <w:p w14:paraId="512FE9C7" w14:textId="77777777" w:rsidR="000429E6" w:rsidRDefault="000429E6" w:rsidP="003B5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B59"/>
    <w:multiLevelType w:val="multilevel"/>
    <w:tmpl w:val="F6969D2C"/>
    <w:styleLink w:val="NumbersOAIC"/>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 w15:restartNumberingAfterBreak="0">
    <w:nsid w:val="06366394"/>
    <w:multiLevelType w:val="hybridMultilevel"/>
    <w:tmpl w:val="C6A4196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2A1534B"/>
    <w:multiLevelType w:val="multilevel"/>
    <w:tmpl w:val="3926F66C"/>
    <w:styleLink w:val="BulletsOAIC"/>
    <w:lvl w:ilvl="0">
      <w:start w:val="1"/>
      <w:numFmt w:val="bullet"/>
      <w:pStyle w:val="List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0079B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4" w15:restartNumberingAfterBreak="0">
    <w:nsid w:val="15DE1946"/>
    <w:multiLevelType w:val="hybridMultilevel"/>
    <w:tmpl w:val="218EA59C"/>
    <w:lvl w:ilvl="0" w:tplc="F8C66976">
      <w:start w:val="1"/>
      <w:numFmt w:val="lowerLetter"/>
      <w:pStyle w:val="letterbullets"/>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81411"/>
    <w:multiLevelType w:val="multilevel"/>
    <w:tmpl w:val="F6969D2C"/>
    <w:numStyleLink w:val="NumbersOAIC"/>
  </w:abstractNum>
  <w:abstractNum w:abstractNumId="6"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7" w15:restartNumberingAfterBreak="0">
    <w:nsid w:val="22C479D4"/>
    <w:multiLevelType w:val="multilevel"/>
    <w:tmpl w:val="3926F66C"/>
    <w:numStyleLink w:val="BulletsOAIC"/>
  </w:abstractNum>
  <w:abstractNum w:abstractNumId="8" w15:restartNumberingAfterBreak="0">
    <w:nsid w:val="26856CB8"/>
    <w:multiLevelType w:val="hybridMultilevel"/>
    <w:tmpl w:val="3226645A"/>
    <w:lvl w:ilvl="0" w:tplc="F180583C">
      <w:start w:val="1"/>
      <w:numFmt w:val="bullet"/>
      <w:pStyle w:val="IndentBullet1"/>
      <w:lvlText w:val=""/>
      <w:lvlJc w:val="left"/>
      <w:pPr>
        <w:ind w:left="1754" w:hanging="360"/>
      </w:pPr>
      <w:rPr>
        <w:rFonts w:ascii="Symbol" w:hAnsi="Symbol" w:cs="Times New Roman" w:hint="default"/>
        <w:b w:val="0"/>
        <w:bCs w:val="0"/>
        <w:i w:val="0"/>
        <w:iCs w:val="0"/>
        <w:caps w:val="0"/>
        <w:strike w:val="0"/>
        <w:dstrike w:val="0"/>
        <w:vanish w:val="0"/>
        <w:color w:val="auto"/>
        <w:spacing w:val="0"/>
        <w:kern w:val="0"/>
        <w:position w:val="0"/>
        <w:u w:val="none" w:color="0079B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start w:val="1"/>
      <w:numFmt w:val="bullet"/>
      <w:lvlText w:val="o"/>
      <w:lvlJc w:val="left"/>
      <w:pPr>
        <w:ind w:left="2474" w:hanging="360"/>
      </w:pPr>
      <w:rPr>
        <w:rFonts w:ascii="Courier New" w:hAnsi="Courier New" w:cs="Courier New" w:hint="default"/>
      </w:rPr>
    </w:lvl>
    <w:lvl w:ilvl="2" w:tplc="0C090005" w:tentative="1">
      <w:start w:val="1"/>
      <w:numFmt w:val="bullet"/>
      <w:lvlText w:val=""/>
      <w:lvlJc w:val="left"/>
      <w:pPr>
        <w:ind w:left="3194" w:hanging="360"/>
      </w:pPr>
      <w:rPr>
        <w:rFonts w:ascii="Wingdings" w:hAnsi="Wingdings" w:hint="default"/>
      </w:rPr>
    </w:lvl>
    <w:lvl w:ilvl="3" w:tplc="0C090001" w:tentative="1">
      <w:start w:val="1"/>
      <w:numFmt w:val="bullet"/>
      <w:lvlText w:val=""/>
      <w:lvlJc w:val="left"/>
      <w:pPr>
        <w:ind w:left="3914" w:hanging="360"/>
      </w:pPr>
      <w:rPr>
        <w:rFonts w:ascii="Symbol" w:hAnsi="Symbol" w:hint="default"/>
      </w:rPr>
    </w:lvl>
    <w:lvl w:ilvl="4" w:tplc="0C090003" w:tentative="1">
      <w:start w:val="1"/>
      <w:numFmt w:val="bullet"/>
      <w:lvlText w:val="o"/>
      <w:lvlJc w:val="left"/>
      <w:pPr>
        <w:ind w:left="4634" w:hanging="360"/>
      </w:pPr>
      <w:rPr>
        <w:rFonts w:ascii="Courier New" w:hAnsi="Courier New" w:cs="Courier New" w:hint="default"/>
      </w:rPr>
    </w:lvl>
    <w:lvl w:ilvl="5" w:tplc="0C090005" w:tentative="1">
      <w:start w:val="1"/>
      <w:numFmt w:val="bullet"/>
      <w:lvlText w:val=""/>
      <w:lvlJc w:val="left"/>
      <w:pPr>
        <w:ind w:left="5354" w:hanging="360"/>
      </w:pPr>
      <w:rPr>
        <w:rFonts w:ascii="Wingdings" w:hAnsi="Wingdings" w:hint="default"/>
      </w:rPr>
    </w:lvl>
    <w:lvl w:ilvl="6" w:tplc="0C090001" w:tentative="1">
      <w:start w:val="1"/>
      <w:numFmt w:val="bullet"/>
      <w:lvlText w:val=""/>
      <w:lvlJc w:val="left"/>
      <w:pPr>
        <w:ind w:left="6074" w:hanging="360"/>
      </w:pPr>
      <w:rPr>
        <w:rFonts w:ascii="Symbol" w:hAnsi="Symbol" w:hint="default"/>
      </w:rPr>
    </w:lvl>
    <w:lvl w:ilvl="7" w:tplc="0C090003" w:tentative="1">
      <w:start w:val="1"/>
      <w:numFmt w:val="bullet"/>
      <w:lvlText w:val="o"/>
      <w:lvlJc w:val="left"/>
      <w:pPr>
        <w:ind w:left="6794" w:hanging="360"/>
      </w:pPr>
      <w:rPr>
        <w:rFonts w:ascii="Courier New" w:hAnsi="Courier New" w:cs="Courier New" w:hint="default"/>
      </w:rPr>
    </w:lvl>
    <w:lvl w:ilvl="8" w:tplc="0C090005" w:tentative="1">
      <w:start w:val="1"/>
      <w:numFmt w:val="bullet"/>
      <w:lvlText w:val=""/>
      <w:lvlJc w:val="left"/>
      <w:pPr>
        <w:ind w:left="7514" w:hanging="360"/>
      </w:pPr>
      <w:rPr>
        <w:rFonts w:ascii="Wingdings" w:hAnsi="Wingdings" w:hint="default"/>
      </w:rPr>
    </w:lvl>
  </w:abstractNum>
  <w:abstractNum w:abstractNumId="9" w15:restartNumberingAfterBreak="0">
    <w:nsid w:val="33224B7D"/>
    <w:multiLevelType w:val="hybridMultilevel"/>
    <w:tmpl w:val="63088DD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34D57C5A"/>
    <w:multiLevelType w:val="multilevel"/>
    <w:tmpl w:val="89783294"/>
    <w:styleLink w:val="NumberedParagraphsList"/>
    <w:lvl w:ilvl="0">
      <w:start w:val="1"/>
      <w:numFmt w:val="none"/>
      <w:suff w:val="space"/>
      <w:lvlText w:val=""/>
      <w:lvlJc w:val="left"/>
      <w:pPr>
        <w:ind w:left="0" w:firstLine="0"/>
      </w:pPr>
      <w:rPr>
        <w:rFonts w:hint="default"/>
      </w:rPr>
    </w:lvl>
    <w:lvl w:ilvl="1">
      <w:start w:val="1"/>
      <w:numFmt w:val="decimal"/>
      <w:pStyle w:val="NumberedParagraphs"/>
      <w:lvlText w:val="%1%2."/>
      <w:lvlJc w:val="left"/>
      <w:pPr>
        <w:ind w:left="397" w:hanging="39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1" w15:restartNumberingAfterBreak="0">
    <w:nsid w:val="3AF21E1B"/>
    <w:multiLevelType w:val="hybridMultilevel"/>
    <w:tmpl w:val="3DB011A6"/>
    <w:lvl w:ilvl="0" w:tplc="0C090017">
      <w:start w:val="1"/>
      <w:numFmt w:val="lowerLetter"/>
      <w:lvlText w:val="%1)"/>
      <w:lvlJc w:val="left"/>
      <w:pPr>
        <w:ind w:left="862" w:hanging="360"/>
      </w:pPr>
      <w:rPr>
        <w:rFont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43D51381"/>
    <w:multiLevelType w:val="multilevel"/>
    <w:tmpl w:val="D1203646"/>
    <w:numStyleLink w:val="TableNumbersOAIC"/>
  </w:abstractNum>
  <w:abstractNum w:abstractNumId="13" w15:restartNumberingAfterBreak="0">
    <w:nsid w:val="51B42BDD"/>
    <w:multiLevelType w:val="multilevel"/>
    <w:tmpl w:val="D446FAD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14" w15:restartNumberingAfterBreak="0">
    <w:nsid w:val="51EF0472"/>
    <w:multiLevelType w:val="hybridMultilevel"/>
    <w:tmpl w:val="9EAEEB32"/>
    <w:lvl w:ilvl="0" w:tplc="A4F0011A">
      <w:start w:val="1"/>
      <w:numFmt w:val="bullet"/>
      <w:pStyle w:val="IndentBullet2"/>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642EF5"/>
    <w:multiLevelType w:val="multilevel"/>
    <w:tmpl w:val="89783294"/>
    <w:numStyleLink w:val="NumberedParagraphsList"/>
  </w:abstractNum>
  <w:abstractNum w:abstractNumId="16" w15:restartNumberingAfterBreak="0">
    <w:nsid w:val="6B8D4D9F"/>
    <w:multiLevelType w:val="hybridMultilevel"/>
    <w:tmpl w:val="07DA757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0079B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8"/>
  </w:num>
  <w:num w:numId="4">
    <w:abstractNumId w:val="6"/>
  </w:num>
  <w:num w:numId="5">
    <w:abstractNumId w:val="2"/>
  </w:num>
  <w:num w:numId="6">
    <w:abstractNumId w:val="3"/>
  </w:num>
  <w:num w:numId="7">
    <w:abstractNumId w:val="13"/>
  </w:num>
  <w:num w:numId="8">
    <w:abstractNumId w:val="12"/>
  </w:num>
  <w:num w:numId="9">
    <w:abstractNumId w:val="5"/>
  </w:num>
  <w:num w:numId="10">
    <w:abstractNumId w:val="7"/>
  </w:num>
  <w:num w:numId="11">
    <w:abstractNumId w:val="10"/>
  </w:num>
  <w:num w:numId="12">
    <w:abstractNumId w:val="8"/>
  </w:num>
  <w:num w:numId="13">
    <w:abstractNumId w:val="14"/>
  </w:num>
  <w:num w:numId="14">
    <w:abstractNumId w:val="15"/>
  </w:num>
  <w:num w:numId="15">
    <w:abstractNumId w:val="11"/>
  </w:num>
  <w:num w:numId="16">
    <w:abstractNumId w:val="4"/>
  </w:num>
  <w:num w:numId="17">
    <w:abstractNumId w:val="4"/>
    <w:lvlOverride w:ilvl="0">
      <w:startOverride w:val="1"/>
    </w:lvlOverride>
  </w:num>
  <w:num w:numId="18">
    <w:abstractNumId w:val="9"/>
  </w:num>
  <w:num w:numId="19">
    <w:abstractNumId w:val="1"/>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87"/>
    <w:rsid w:val="00002641"/>
    <w:rsid w:val="00003276"/>
    <w:rsid w:val="00005974"/>
    <w:rsid w:val="00007404"/>
    <w:rsid w:val="0001377B"/>
    <w:rsid w:val="00015173"/>
    <w:rsid w:val="00021409"/>
    <w:rsid w:val="00026AD8"/>
    <w:rsid w:val="0003508E"/>
    <w:rsid w:val="0004242A"/>
    <w:rsid w:val="0004248F"/>
    <w:rsid w:val="000429E6"/>
    <w:rsid w:val="00043C6D"/>
    <w:rsid w:val="00043E5C"/>
    <w:rsid w:val="0004554D"/>
    <w:rsid w:val="0004753A"/>
    <w:rsid w:val="00047D7D"/>
    <w:rsid w:val="00051C75"/>
    <w:rsid w:val="00055300"/>
    <w:rsid w:val="000554B4"/>
    <w:rsid w:val="00062609"/>
    <w:rsid w:val="00065BA7"/>
    <w:rsid w:val="00065C6E"/>
    <w:rsid w:val="000660FD"/>
    <w:rsid w:val="00071460"/>
    <w:rsid w:val="00074379"/>
    <w:rsid w:val="00074CD1"/>
    <w:rsid w:val="00075483"/>
    <w:rsid w:val="00082959"/>
    <w:rsid w:val="00084BC3"/>
    <w:rsid w:val="000916CB"/>
    <w:rsid w:val="000932BB"/>
    <w:rsid w:val="00093B03"/>
    <w:rsid w:val="000A002E"/>
    <w:rsid w:val="000A443D"/>
    <w:rsid w:val="000B1EAB"/>
    <w:rsid w:val="000B1FE7"/>
    <w:rsid w:val="000B2663"/>
    <w:rsid w:val="000B46AF"/>
    <w:rsid w:val="000B6108"/>
    <w:rsid w:val="000C0B0E"/>
    <w:rsid w:val="000C10E9"/>
    <w:rsid w:val="000C34D9"/>
    <w:rsid w:val="000C3C9C"/>
    <w:rsid w:val="000C7FB0"/>
    <w:rsid w:val="000D2B25"/>
    <w:rsid w:val="000D318B"/>
    <w:rsid w:val="000D5DC6"/>
    <w:rsid w:val="000D70E2"/>
    <w:rsid w:val="000D7A38"/>
    <w:rsid w:val="000D7EFA"/>
    <w:rsid w:val="000E04C2"/>
    <w:rsid w:val="000E358A"/>
    <w:rsid w:val="000E4646"/>
    <w:rsid w:val="000E48B4"/>
    <w:rsid w:val="000E7116"/>
    <w:rsid w:val="000F06F5"/>
    <w:rsid w:val="000F2B94"/>
    <w:rsid w:val="000F3D06"/>
    <w:rsid w:val="000F5CC5"/>
    <w:rsid w:val="000F75EF"/>
    <w:rsid w:val="00104709"/>
    <w:rsid w:val="00105166"/>
    <w:rsid w:val="00105CEF"/>
    <w:rsid w:val="00110A53"/>
    <w:rsid w:val="00111980"/>
    <w:rsid w:val="001124D0"/>
    <w:rsid w:val="001146F2"/>
    <w:rsid w:val="0011669B"/>
    <w:rsid w:val="00116D63"/>
    <w:rsid w:val="00117E0C"/>
    <w:rsid w:val="00124A91"/>
    <w:rsid w:val="00124B5E"/>
    <w:rsid w:val="00131B9B"/>
    <w:rsid w:val="00136DA2"/>
    <w:rsid w:val="00141291"/>
    <w:rsid w:val="001416C6"/>
    <w:rsid w:val="00143F82"/>
    <w:rsid w:val="00146395"/>
    <w:rsid w:val="001466FF"/>
    <w:rsid w:val="00161970"/>
    <w:rsid w:val="00166187"/>
    <w:rsid w:val="00166916"/>
    <w:rsid w:val="001712FA"/>
    <w:rsid w:val="00171E96"/>
    <w:rsid w:val="00176493"/>
    <w:rsid w:val="00176680"/>
    <w:rsid w:val="00176D62"/>
    <w:rsid w:val="00181BA6"/>
    <w:rsid w:val="00182058"/>
    <w:rsid w:val="00184C5A"/>
    <w:rsid w:val="00185A3F"/>
    <w:rsid w:val="00186984"/>
    <w:rsid w:val="0019500D"/>
    <w:rsid w:val="00197B06"/>
    <w:rsid w:val="001A0085"/>
    <w:rsid w:val="001A07AB"/>
    <w:rsid w:val="001A306D"/>
    <w:rsid w:val="001A31C7"/>
    <w:rsid w:val="001A51DE"/>
    <w:rsid w:val="001A5B58"/>
    <w:rsid w:val="001B13E7"/>
    <w:rsid w:val="001C0B8C"/>
    <w:rsid w:val="001C1932"/>
    <w:rsid w:val="001C2BE2"/>
    <w:rsid w:val="001C51D3"/>
    <w:rsid w:val="001C55BC"/>
    <w:rsid w:val="001C63FE"/>
    <w:rsid w:val="001D3B38"/>
    <w:rsid w:val="001D4824"/>
    <w:rsid w:val="001D5594"/>
    <w:rsid w:val="001D59BD"/>
    <w:rsid w:val="001D63F4"/>
    <w:rsid w:val="001E05E0"/>
    <w:rsid w:val="001E2153"/>
    <w:rsid w:val="001E3D79"/>
    <w:rsid w:val="001E5ADA"/>
    <w:rsid w:val="001F1C08"/>
    <w:rsid w:val="001F1EE8"/>
    <w:rsid w:val="001F2695"/>
    <w:rsid w:val="001F4257"/>
    <w:rsid w:val="001F77CC"/>
    <w:rsid w:val="002011BF"/>
    <w:rsid w:val="00202E34"/>
    <w:rsid w:val="002063D2"/>
    <w:rsid w:val="00207961"/>
    <w:rsid w:val="00207C0E"/>
    <w:rsid w:val="002133D6"/>
    <w:rsid w:val="00215E1A"/>
    <w:rsid w:val="002253C5"/>
    <w:rsid w:val="0022661C"/>
    <w:rsid w:val="002270B2"/>
    <w:rsid w:val="00230642"/>
    <w:rsid w:val="00232A46"/>
    <w:rsid w:val="002348D9"/>
    <w:rsid w:val="00241D54"/>
    <w:rsid w:val="002423D6"/>
    <w:rsid w:val="0024260D"/>
    <w:rsid w:val="00243D15"/>
    <w:rsid w:val="00243FAD"/>
    <w:rsid w:val="00246882"/>
    <w:rsid w:val="00247EA5"/>
    <w:rsid w:val="002500E4"/>
    <w:rsid w:val="002507B8"/>
    <w:rsid w:val="00250D3C"/>
    <w:rsid w:val="00253610"/>
    <w:rsid w:val="00253E86"/>
    <w:rsid w:val="0025428C"/>
    <w:rsid w:val="00256774"/>
    <w:rsid w:val="002640FB"/>
    <w:rsid w:val="002641BA"/>
    <w:rsid w:val="00265066"/>
    <w:rsid w:val="002661A2"/>
    <w:rsid w:val="00266DD3"/>
    <w:rsid w:val="002711A5"/>
    <w:rsid w:val="002734AC"/>
    <w:rsid w:val="00273E14"/>
    <w:rsid w:val="00277A19"/>
    <w:rsid w:val="00283019"/>
    <w:rsid w:val="0028351B"/>
    <w:rsid w:val="00283B45"/>
    <w:rsid w:val="00284355"/>
    <w:rsid w:val="00286E35"/>
    <w:rsid w:val="00290D93"/>
    <w:rsid w:val="002936B5"/>
    <w:rsid w:val="00294DA2"/>
    <w:rsid w:val="00297D3A"/>
    <w:rsid w:val="002A0F4A"/>
    <w:rsid w:val="002B428B"/>
    <w:rsid w:val="002B5C36"/>
    <w:rsid w:val="002B604C"/>
    <w:rsid w:val="002C25BE"/>
    <w:rsid w:val="002C40E5"/>
    <w:rsid w:val="002C42B6"/>
    <w:rsid w:val="002C76A7"/>
    <w:rsid w:val="002D1EC6"/>
    <w:rsid w:val="002D27BF"/>
    <w:rsid w:val="002D3336"/>
    <w:rsid w:val="002D5327"/>
    <w:rsid w:val="002E0A00"/>
    <w:rsid w:val="002E0A13"/>
    <w:rsid w:val="002E1A34"/>
    <w:rsid w:val="002E201E"/>
    <w:rsid w:val="002E473C"/>
    <w:rsid w:val="002E564C"/>
    <w:rsid w:val="002E585D"/>
    <w:rsid w:val="002E64A5"/>
    <w:rsid w:val="002E6742"/>
    <w:rsid w:val="002E7362"/>
    <w:rsid w:val="00302B5A"/>
    <w:rsid w:val="00303ED8"/>
    <w:rsid w:val="00306EC7"/>
    <w:rsid w:val="00307FDC"/>
    <w:rsid w:val="00314727"/>
    <w:rsid w:val="003156B6"/>
    <w:rsid w:val="00315999"/>
    <w:rsid w:val="00316AFA"/>
    <w:rsid w:val="00324E31"/>
    <w:rsid w:val="00330482"/>
    <w:rsid w:val="00333526"/>
    <w:rsid w:val="003338BA"/>
    <w:rsid w:val="00333C8A"/>
    <w:rsid w:val="003360CA"/>
    <w:rsid w:val="003379E3"/>
    <w:rsid w:val="00342EB6"/>
    <w:rsid w:val="0034433C"/>
    <w:rsid w:val="003475DD"/>
    <w:rsid w:val="003523CF"/>
    <w:rsid w:val="00352B9D"/>
    <w:rsid w:val="00356F79"/>
    <w:rsid w:val="00360E79"/>
    <w:rsid w:val="00362321"/>
    <w:rsid w:val="0036443F"/>
    <w:rsid w:val="003646AE"/>
    <w:rsid w:val="00365520"/>
    <w:rsid w:val="00366B5C"/>
    <w:rsid w:val="00367110"/>
    <w:rsid w:val="003674A9"/>
    <w:rsid w:val="00372985"/>
    <w:rsid w:val="003730C1"/>
    <w:rsid w:val="0037381F"/>
    <w:rsid w:val="00374466"/>
    <w:rsid w:val="00380805"/>
    <w:rsid w:val="003830F4"/>
    <w:rsid w:val="0038352B"/>
    <w:rsid w:val="0038546D"/>
    <w:rsid w:val="00386432"/>
    <w:rsid w:val="003872A7"/>
    <w:rsid w:val="0039012F"/>
    <w:rsid w:val="003909E2"/>
    <w:rsid w:val="00391109"/>
    <w:rsid w:val="00391C33"/>
    <w:rsid w:val="00392224"/>
    <w:rsid w:val="00393484"/>
    <w:rsid w:val="0039354F"/>
    <w:rsid w:val="00394D69"/>
    <w:rsid w:val="00394DCA"/>
    <w:rsid w:val="00394DF3"/>
    <w:rsid w:val="003A0617"/>
    <w:rsid w:val="003B404A"/>
    <w:rsid w:val="003B5241"/>
    <w:rsid w:val="003B62A1"/>
    <w:rsid w:val="003B698B"/>
    <w:rsid w:val="003B734A"/>
    <w:rsid w:val="003C05A4"/>
    <w:rsid w:val="003C0F1D"/>
    <w:rsid w:val="003C1723"/>
    <w:rsid w:val="003C34FA"/>
    <w:rsid w:val="003C41B4"/>
    <w:rsid w:val="003C6162"/>
    <w:rsid w:val="003D131F"/>
    <w:rsid w:val="003E06B6"/>
    <w:rsid w:val="003E2396"/>
    <w:rsid w:val="003E37D3"/>
    <w:rsid w:val="003E3F49"/>
    <w:rsid w:val="003E4C59"/>
    <w:rsid w:val="003F24AD"/>
    <w:rsid w:val="003F31E6"/>
    <w:rsid w:val="00400802"/>
    <w:rsid w:val="00400EAE"/>
    <w:rsid w:val="00404B07"/>
    <w:rsid w:val="00406034"/>
    <w:rsid w:val="00412F0C"/>
    <w:rsid w:val="00415B1E"/>
    <w:rsid w:val="00415D98"/>
    <w:rsid w:val="00420D0C"/>
    <w:rsid w:val="00420F91"/>
    <w:rsid w:val="00423426"/>
    <w:rsid w:val="0042363B"/>
    <w:rsid w:val="004247A4"/>
    <w:rsid w:val="0043046D"/>
    <w:rsid w:val="0043053B"/>
    <w:rsid w:val="0043720D"/>
    <w:rsid w:val="004401D0"/>
    <w:rsid w:val="00443D8A"/>
    <w:rsid w:val="00444406"/>
    <w:rsid w:val="00447122"/>
    <w:rsid w:val="00447D14"/>
    <w:rsid w:val="00447DE6"/>
    <w:rsid w:val="00450E27"/>
    <w:rsid w:val="00453DD0"/>
    <w:rsid w:val="00456CB5"/>
    <w:rsid w:val="004630B7"/>
    <w:rsid w:val="00464DFF"/>
    <w:rsid w:val="0047173D"/>
    <w:rsid w:val="00475DD9"/>
    <w:rsid w:val="004766E3"/>
    <w:rsid w:val="00476F98"/>
    <w:rsid w:val="004816F6"/>
    <w:rsid w:val="00482506"/>
    <w:rsid w:val="00483AC3"/>
    <w:rsid w:val="00485B78"/>
    <w:rsid w:val="004868C9"/>
    <w:rsid w:val="00487486"/>
    <w:rsid w:val="00487985"/>
    <w:rsid w:val="00492BC5"/>
    <w:rsid w:val="0049372D"/>
    <w:rsid w:val="00496130"/>
    <w:rsid w:val="004967AF"/>
    <w:rsid w:val="00497864"/>
    <w:rsid w:val="004B0D33"/>
    <w:rsid w:val="004B7665"/>
    <w:rsid w:val="004C1F5A"/>
    <w:rsid w:val="004C33FC"/>
    <w:rsid w:val="004D00BE"/>
    <w:rsid w:val="004D09B5"/>
    <w:rsid w:val="004D732C"/>
    <w:rsid w:val="004E1A19"/>
    <w:rsid w:val="004E1F1B"/>
    <w:rsid w:val="004E254F"/>
    <w:rsid w:val="004E72EA"/>
    <w:rsid w:val="004F275B"/>
    <w:rsid w:val="004F2931"/>
    <w:rsid w:val="004F438F"/>
    <w:rsid w:val="004F4C09"/>
    <w:rsid w:val="004F63D4"/>
    <w:rsid w:val="00500AD1"/>
    <w:rsid w:val="0050188C"/>
    <w:rsid w:val="00503156"/>
    <w:rsid w:val="0050346C"/>
    <w:rsid w:val="00504035"/>
    <w:rsid w:val="0050688A"/>
    <w:rsid w:val="00510AA1"/>
    <w:rsid w:val="00511BBA"/>
    <w:rsid w:val="00517828"/>
    <w:rsid w:val="00517BE4"/>
    <w:rsid w:val="005213C8"/>
    <w:rsid w:val="00522B24"/>
    <w:rsid w:val="00522FAE"/>
    <w:rsid w:val="00525DFC"/>
    <w:rsid w:val="00525F83"/>
    <w:rsid w:val="00533108"/>
    <w:rsid w:val="0053458C"/>
    <w:rsid w:val="005351B4"/>
    <w:rsid w:val="005357CB"/>
    <w:rsid w:val="00536B4D"/>
    <w:rsid w:val="005375D5"/>
    <w:rsid w:val="00540068"/>
    <w:rsid w:val="00543646"/>
    <w:rsid w:val="005450A9"/>
    <w:rsid w:val="00545149"/>
    <w:rsid w:val="00546EE6"/>
    <w:rsid w:val="00550767"/>
    <w:rsid w:val="00550E67"/>
    <w:rsid w:val="00552807"/>
    <w:rsid w:val="0055310B"/>
    <w:rsid w:val="00555DE2"/>
    <w:rsid w:val="00557BEE"/>
    <w:rsid w:val="00560FE3"/>
    <w:rsid w:val="00561EC3"/>
    <w:rsid w:val="005634DF"/>
    <w:rsid w:val="005703A8"/>
    <w:rsid w:val="005704C9"/>
    <w:rsid w:val="0057100E"/>
    <w:rsid w:val="00573D51"/>
    <w:rsid w:val="00575D7E"/>
    <w:rsid w:val="00576FE8"/>
    <w:rsid w:val="0058037C"/>
    <w:rsid w:val="00580D19"/>
    <w:rsid w:val="00581017"/>
    <w:rsid w:val="00584DA6"/>
    <w:rsid w:val="00585E58"/>
    <w:rsid w:val="00591E8C"/>
    <w:rsid w:val="00595C92"/>
    <w:rsid w:val="00597448"/>
    <w:rsid w:val="00597AAA"/>
    <w:rsid w:val="005A2E0E"/>
    <w:rsid w:val="005A4CB5"/>
    <w:rsid w:val="005B028C"/>
    <w:rsid w:val="005B268E"/>
    <w:rsid w:val="005B4D92"/>
    <w:rsid w:val="005C05D1"/>
    <w:rsid w:val="005C06A7"/>
    <w:rsid w:val="005C0937"/>
    <w:rsid w:val="005D04A0"/>
    <w:rsid w:val="005D29FA"/>
    <w:rsid w:val="005D50F3"/>
    <w:rsid w:val="005D6992"/>
    <w:rsid w:val="005D79A0"/>
    <w:rsid w:val="005E2E2F"/>
    <w:rsid w:val="005E34FB"/>
    <w:rsid w:val="005E7B8A"/>
    <w:rsid w:val="005F1D26"/>
    <w:rsid w:val="005F6939"/>
    <w:rsid w:val="005F77A7"/>
    <w:rsid w:val="00613ACA"/>
    <w:rsid w:val="00615093"/>
    <w:rsid w:val="00615616"/>
    <w:rsid w:val="006205B0"/>
    <w:rsid w:val="00620FF1"/>
    <w:rsid w:val="00622516"/>
    <w:rsid w:val="006267EF"/>
    <w:rsid w:val="006322DE"/>
    <w:rsid w:val="006418F2"/>
    <w:rsid w:val="006435D4"/>
    <w:rsid w:val="006440EA"/>
    <w:rsid w:val="00646C25"/>
    <w:rsid w:val="006554CD"/>
    <w:rsid w:val="00655902"/>
    <w:rsid w:val="00664A40"/>
    <w:rsid w:val="00670F41"/>
    <w:rsid w:val="00672C57"/>
    <w:rsid w:val="00677138"/>
    <w:rsid w:val="00680AE8"/>
    <w:rsid w:val="00682A70"/>
    <w:rsid w:val="00683A70"/>
    <w:rsid w:val="00684F0B"/>
    <w:rsid w:val="0069144C"/>
    <w:rsid w:val="00696587"/>
    <w:rsid w:val="006A32B2"/>
    <w:rsid w:val="006A4B79"/>
    <w:rsid w:val="006B0953"/>
    <w:rsid w:val="006B1F1C"/>
    <w:rsid w:val="006B56B7"/>
    <w:rsid w:val="006B5FEC"/>
    <w:rsid w:val="006C15D6"/>
    <w:rsid w:val="006C3B0B"/>
    <w:rsid w:val="006C3BFF"/>
    <w:rsid w:val="006C4E86"/>
    <w:rsid w:val="006C66AE"/>
    <w:rsid w:val="006C7D17"/>
    <w:rsid w:val="006D068A"/>
    <w:rsid w:val="006D5685"/>
    <w:rsid w:val="006D75BE"/>
    <w:rsid w:val="006D7885"/>
    <w:rsid w:val="006E6D86"/>
    <w:rsid w:val="006E7F1A"/>
    <w:rsid w:val="006F0893"/>
    <w:rsid w:val="006F3C94"/>
    <w:rsid w:val="006F3E4F"/>
    <w:rsid w:val="006F5423"/>
    <w:rsid w:val="006F6614"/>
    <w:rsid w:val="007007FD"/>
    <w:rsid w:val="0070442B"/>
    <w:rsid w:val="0070498D"/>
    <w:rsid w:val="00707945"/>
    <w:rsid w:val="00715D2F"/>
    <w:rsid w:val="00716C37"/>
    <w:rsid w:val="00717C85"/>
    <w:rsid w:val="00720131"/>
    <w:rsid w:val="00721F99"/>
    <w:rsid w:val="007224F1"/>
    <w:rsid w:val="00723C42"/>
    <w:rsid w:val="0073137D"/>
    <w:rsid w:val="0073449B"/>
    <w:rsid w:val="0074102D"/>
    <w:rsid w:val="0074651D"/>
    <w:rsid w:val="00746D9F"/>
    <w:rsid w:val="00747059"/>
    <w:rsid w:val="00747A36"/>
    <w:rsid w:val="00750C45"/>
    <w:rsid w:val="007512E0"/>
    <w:rsid w:val="00753224"/>
    <w:rsid w:val="0076186B"/>
    <w:rsid w:val="00761B31"/>
    <w:rsid w:val="007644EB"/>
    <w:rsid w:val="00765023"/>
    <w:rsid w:val="00765DFF"/>
    <w:rsid w:val="0077106C"/>
    <w:rsid w:val="0077198B"/>
    <w:rsid w:val="007722F5"/>
    <w:rsid w:val="0077490C"/>
    <w:rsid w:val="00782D12"/>
    <w:rsid w:val="00784138"/>
    <w:rsid w:val="007841E8"/>
    <w:rsid w:val="0078543B"/>
    <w:rsid w:val="00785F47"/>
    <w:rsid w:val="007874F8"/>
    <w:rsid w:val="00787531"/>
    <w:rsid w:val="00791C6F"/>
    <w:rsid w:val="007929FA"/>
    <w:rsid w:val="007945FA"/>
    <w:rsid w:val="00794DCB"/>
    <w:rsid w:val="00795503"/>
    <w:rsid w:val="007A4991"/>
    <w:rsid w:val="007B01CE"/>
    <w:rsid w:val="007B042C"/>
    <w:rsid w:val="007B1235"/>
    <w:rsid w:val="007B2C2B"/>
    <w:rsid w:val="007B70BE"/>
    <w:rsid w:val="007C4A2A"/>
    <w:rsid w:val="007D171E"/>
    <w:rsid w:val="007D1ED9"/>
    <w:rsid w:val="007D6331"/>
    <w:rsid w:val="007D7CB5"/>
    <w:rsid w:val="007E028C"/>
    <w:rsid w:val="007E0649"/>
    <w:rsid w:val="007E1D74"/>
    <w:rsid w:val="007E2303"/>
    <w:rsid w:val="007E4D1C"/>
    <w:rsid w:val="007E53DF"/>
    <w:rsid w:val="007E54DA"/>
    <w:rsid w:val="007E724B"/>
    <w:rsid w:val="007F0570"/>
    <w:rsid w:val="007F211F"/>
    <w:rsid w:val="007F39A5"/>
    <w:rsid w:val="007F4498"/>
    <w:rsid w:val="007F713D"/>
    <w:rsid w:val="007F71DB"/>
    <w:rsid w:val="008006A1"/>
    <w:rsid w:val="00801315"/>
    <w:rsid w:val="008014B1"/>
    <w:rsid w:val="0080171D"/>
    <w:rsid w:val="00803B47"/>
    <w:rsid w:val="008045EC"/>
    <w:rsid w:val="0080553C"/>
    <w:rsid w:val="008152FE"/>
    <w:rsid w:val="00816883"/>
    <w:rsid w:val="0081752A"/>
    <w:rsid w:val="0082154C"/>
    <w:rsid w:val="00821581"/>
    <w:rsid w:val="008249AF"/>
    <w:rsid w:val="00824D8A"/>
    <w:rsid w:val="00825106"/>
    <w:rsid w:val="00834D0A"/>
    <w:rsid w:val="00841D30"/>
    <w:rsid w:val="008502AC"/>
    <w:rsid w:val="008527B0"/>
    <w:rsid w:val="00852E5D"/>
    <w:rsid w:val="008530D8"/>
    <w:rsid w:val="00853A34"/>
    <w:rsid w:val="00854349"/>
    <w:rsid w:val="008578C1"/>
    <w:rsid w:val="00865B95"/>
    <w:rsid w:val="008669F2"/>
    <w:rsid w:val="00867C89"/>
    <w:rsid w:val="00872B4E"/>
    <w:rsid w:val="00875B38"/>
    <w:rsid w:val="00881FB2"/>
    <w:rsid w:val="00884421"/>
    <w:rsid w:val="00884E1F"/>
    <w:rsid w:val="00887506"/>
    <w:rsid w:val="00887AA2"/>
    <w:rsid w:val="00892325"/>
    <w:rsid w:val="008933D0"/>
    <w:rsid w:val="00893E25"/>
    <w:rsid w:val="0089434F"/>
    <w:rsid w:val="008967D5"/>
    <w:rsid w:val="00896DDE"/>
    <w:rsid w:val="008A3B36"/>
    <w:rsid w:val="008A74D2"/>
    <w:rsid w:val="008B04FA"/>
    <w:rsid w:val="008B183B"/>
    <w:rsid w:val="008B3132"/>
    <w:rsid w:val="008B6380"/>
    <w:rsid w:val="008C071A"/>
    <w:rsid w:val="008C337E"/>
    <w:rsid w:val="008C339D"/>
    <w:rsid w:val="008C7F05"/>
    <w:rsid w:val="008D00A9"/>
    <w:rsid w:val="008D0C89"/>
    <w:rsid w:val="008D10E4"/>
    <w:rsid w:val="008D2610"/>
    <w:rsid w:val="008D335C"/>
    <w:rsid w:val="008D375E"/>
    <w:rsid w:val="008D4827"/>
    <w:rsid w:val="008D56E8"/>
    <w:rsid w:val="008E23BF"/>
    <w:rsid w:val="008E32B2"/>
    <w:rsid w:val="008E3F43"/>
    <w:rsid w:val="008E4B9C"/>
    <w:rsid w:val="008E5377"/>
    <w:rsid w:val="008E56AF"/>
    <w:rsid w:val="008F13BD"/>
    <w:rsid w:val="008F3D9B"/>
    <w:rsid w:val="008F4404"/>
    <w:rsid w:val="00900653"/>
    <w:rsid w:val="0090617A"/>
    <w:rsid w:val="009118D1"/>
    <w:rsid w:val="00913B1A"/>
    <w:rsid w:val="00915F49"/>
    <w:rsid w:val="00916546"/>
    <w:rsid w:val="009174CD"/>
    <w:rsid w:val="00917624"/>
    <w:rsid w:val="00922141"/>
    <w:rsid w:val="00925D25"/>
    <w:rsid w:val="0092650A"/>
    <w:rsid w:val="00927AB8"/>
    <w:rsid w:val="009325B7"/>
    <w:rsid w:val="00934043"/>
    <w:rsid w:val="00934951"/>
    <w:rsid w:val="00936949"/>
    <w:rsid w:val="009372EC"/>
    <w:rsid w:val="00937962"/>
    <w:rsid w:val="00937B37"/>
    <w:rsid w:val="009402FD"/>
    <w:rsid w:val="00940831"/>
    <w:rsid w:val="00944703"/>
    <w:rsid w:val="009452FC"/>
    <w:rsid w:val="0094531B"/>
    <w:rsid w:val="0094640E"/>
    <w:rsid w:val="00950DA9"/>
    <w:rsid w:val="00954840"/>
    <w:rsid w:val="00954AF8"/>
    <w:rsid w:val="00961433"/>
    <w:rsid w:val="00964839"/>
    <w:rsid w:val="009673F6"/>
    <w:rsid w:val="00982F29"/>
    <w:rsid w:val="0098580D"/>
    <w:rsid w:val="0098746C"/>
    <w:rsid w:val="00992E20"/>
    <w:rsid w:val="009961F6"/>
    <w:rsid w:val="009A06F5"/>
    <w:rsid w:val="009A120D"/>
    <w:rsid w:val="009A3F2B"/>
    <w:rsid w:val="009B0C24"/>
    <w:rsid w:val="009C5B9A"/>
    <w:rsid w:val="009C72FB"/>
    <w:rsid w:val="009C7C76"/>
    <w:rsid w:val="009D1510"/>
    <w:rsid w:val="009D745B"/>
    <w:rsid w:val="009E2029"/>
    <w:rsid w:val="009E3729"/>
    <w:rsid w:val="009E551C"/>
    <w:rsid w:val="009E5E3D"/>
    <w:rsid w:val="009E73F1"/>
    <w:rsid w:val="009F0763"/>
    <w:rsid w:val="009F4053"/>
    <w:rsid w:val="009F4370"/>
    <w:rsid w:val="009F476E"/>
    <w:rsid w:val="009F7C79"/>
    <w:rsid w:val="00A0089B"/>
    <w:rsid w:val="00A031B8"/>
    <w:rsid w:val="00A059A9"/>
    <w:rsid w:val="00A1341F"/>
    <w:rsid w:val="00A16373"/>
    <w:rsid w:val="00A16A91"/>
    <w:rsid w:val="00A20417"/>
    <w:rsid w:val="00A218D4"/>
    <w:rsid w:val="00A22777"/>
    <w:rsid w:val="00A22DB1"/>
    <w:rsid w:val="00A22F58"/>
    <w:rsid w:val="00A301DF"/>
    <w:rsid w:val="00A30AEE"/>
    <w:rsid w:val="00A31DC7"/>
    <w:rsid w:val="00A33BED"/>
    <w:rsid w:val="00A3669A"/>
    <w:rsid w:val="00A37FC2"/>
    <w:rsid w:val="00A434B6"/>
    <w:rsid w:val="00A45501"/>
    <w:rsid w:val="00A4601A"/>
    <w:rsid w:val="00A502D5"/>
    <w:rsid w:val="00A51906"/>
    <w:rsid w:val="00A522D3"/>
    <w:rsid w:val="00A52BE6"/>
    <w:rsid w:val="00A52F78"/>
    <w:rsid w:val="00A53B35"/>
    <w:rsid w:val="00A54FCC"/>
    <w:rsid w:val="00A5548C"/>
    <w:rsid w:val="00A56E13"/>
    <w:rsid w:val="00A60687"/>
    <w:rsid w:val="00A64DBE"/>
    <w:rsid w:val="00A652EE"/>
    <w:rsid w:val="00A67DB3"/>
    <w:rsid w:val="00A70D7A"/>
    <w:rsid w:val="00A81F6B"/>
    <w:rsid w:val="00A8383F"/>
    <w:rsid w:val="00A83988"/>
    <w:rsid w:val="00A86A8E"/>
    <w:rsid w:val="00A900DF"/>
    <w:rsid w:val="00A90B4A"/>
    <w:rsid w:val="00A91B00"/>
    <w:rsid w:val="00A91B29"/>
    <w:rsid w:val="00A92E97"/>
    <w:rsid w:val="00A963FB"/>
    <w:rsid w:val="00AA0162"/>
    <w:rsid w:val="00AA2A68"/>
    <w:rsid w:val="00AA2C80"/>
    <w:rsid w:val="00AA2D51"/>
    <w:rsid w:val="00AA4733"/>
    <w:rsid w:val="00AA5C4D"/>
    <w:rsid w:val="00AB1BDB"/>
    <w:rsid w:val="00AB1F31"/>
    <w:rsid w:val="00AB5674"/>
    <w:rsid w:val="00AB7DAA"/>
    <w:rsid w:val="00AC52BE"/>
    <w:rsid w:val="00AD1FDD"/>
    <w:rsid w:val="00AD6121"/>
    <w:rsid w:val="00AD7CD5"/>
    <w:rsid w:val="00AE1D42"/>
    <w:rsid w:val="00AE3CA0"/>
    <w:rsid w:val="00AE43DF"/>
    <w:rsid w:val="00AE6376"/>
    <w:rsid w:val="00AE69C0"/>
    <w:rsid w:val="00AE76B3"/>
    <w:rsid w:val="00AF1055"/>
    <w:rsid w:val="00AF3690"/>
    <w:rsid w:val="00AF4C28"/>
    <w:rsid w:val="00B00132"/>
    <w:rsid w:val="00B00219"/>
    <w:rsid w:val="00B05441"/>
    <w:rsid w:val="00B075CD"/>
    <w:rsid w:val="00B12520"/>
    <w:rsid w:val="00B146AA"/>
    <w:rsid w:val="00B14C42"/>
    <w:rsid w:val="00B15BD3"/>
    <w:rsid w:val="00B1695B"/>
    <w:rsid w:val="00B1752A"/>
    <w:rsid w:val="00B27317"/>
    <w:rsid w:val="00B31CFA"/>
    <w:rsid w:val="00B32EF0"/>
    <w:rsid w:val="00B378B1"/>
    <w:rsid w:val="00B46F1D"/>
    <w:rsid w:val="00B51F48"/>
    <w:rsid w:val="00B53B50"/>
    <w:rsid w:val="00B54097"/>
    <w:rsid w:val="00B5798F"/>
    <w:rsid w:val="00B629B1"/>
    <w:rsid w:val="00B6582A"/>
    <w:rsid w:val="00B74824"/>
    <w:rsid w:val="00B764A4"/>
    <w:rsid w:val="00B865BD"/>
    <w:rsid w:val="00B87AC3"/>
    <w:rsid w:val="00B90C6E"/>
    <w:rsid w:val="00B91EBD"/>
    <w:rsid w:val="00B972BE"/>
    <w:rsid w:val="00BA0029"/>
    <w:rsid w:val="00BA1F4B"/>
    <w:rsid w:val="00BA5E45"/>
    <w:rsid w:val="00BB10E9"/>
    <w:rsid w:val="00BB26B3"/>
    <w:rsid w:val="00BB2F25"/>
    <w:rsid w:val="00BB30FC"/>
    <w:rsid w:val="00BB5404"/>
    <w:rsid w:val="00BB5FF5"/>
    <w:rsid w:val="00BB69E9"/>
    <w:rsid w:val="00BC1855"/>
    <w:rsid w:val="00BC3EB0"/>
    <w:rsid w:val="00BD1037"/>
    <w:rsid w:val="00BD1613"/>
    <w:rsid w:val="00BD390D"/>
    <w:rsid w:val="00BD3CB0"/>
    <w:rsid w:val="00BD79D9"/>
    <w:rsid w:val="00BE0369"/>
    <w:rsid w:val="00BE110D"/>
    <w:rsid w:val="00BE362C"/>
    <w:rsid w:val="00BE3B45"/>
    <w:rsid w:val="00BF62F3"/>
    <w:rsid w:val="00BF6DB1"/>
    <w:rsid w:val="00BF7355"/>
    <w:rsid w:val="00BF7F30"/>
    <w:rsid w:val="00C025E3"/>
    <w:rsid w:val="00C039FB"/>
    <w:rsid w:val="00C03ED8"/>
    <w:rsid w:val="00C05726"/>
    <w:rsid w:val="00C05A67"/>
    <w:rsid w:val="00C11028"/>
    <w:rsid w:val="00C12959"/>
    <w:rsid w:val="00C13419"/>
    <w:rsid w:val="00C13BF3"/>
    <w:rsid w:val="00C253BC"/>
    <w:rsid w:val="00C25803"/>
    <w:rsid w:val="00C26B54"/>
    <w:rsid w:val="00C274C9"/>
    <w:rsid w:val="00C31BE1"/>
    <w:rsid w:val="00C348FD"/>
    <w:rsid w:val="00C35F07"/>
    <w:rsid w:val="00C36AEC"/>
    <w:rsid w:val="00C36ED0"/>
    <w:rsid w:val="00C4445D"/>
    <w:rsid w:val="00C46B45"/>
    <w:rsid w:val="00C54D3D"/>
    <w:rsid w:val="00C5669E"/>
    <w:rsid w:val="00C57E6D"/>
    <w:rsid w:val="00C63E95"/>
    <w:rsid w:val="00C70E75"/>
    <w:rsid w:val="00C85B18"/>
    <w:rsid w:val="00C90482"/>
    <w:rsid w:val="00C922B6"/>
    <w:rsid w:val="00C927F9"/>
    <w:rsid w:val="00C945BB"/>
    <w:rsid w:val="00CA0593"/>
    <w:rsid w:val="00CA0A8E"/>
    <w:rsid w:val="00CA1425"/>
    <w:rsid w:val="00CA305F"/>
    <w:rsid w:val="00CA362D"/>
    <w:rsid w:val="00CA6B2D"/>
    <w:rsid w:val="00CB213A"/>
    <w:rsid w:val="00CB3EF0"/>
    <w:rsid w:val="00CB5224"/>
    <w:rsid w:val="00CB62D1"/>
    <w:rsid w:val="00CB6557"/>
    <w:rsid w:val="00CB7D8D"/>
    <w:rsid w:val="00CC0E1D"/>
    <w:rsid w:val="00CC365A"/>
    <w:rsid w:val="00CD3484"/>
    <w:rsid w:val="00CD44B0"/>
    <w:rsid w:val="00CE01C8"/>
    <w:rsid w:val="00CE31F7"/>
    <w:rsid w:val="00CE5F33"/>
    <w:rsid w:val="00CF28B7"/>
    <w:rsid w:val="00CF2B6F"/>
    <w:rsid w:val="00CF4CCF"/>
    <w:rsid w:val="00CF6F3D"/>
    <w:rsid w:val="00D00F8E"/>
    <w:rsid w:val="00D0312E"/>
    <w:rsid w:val="00D044F8"/>
    <w:rsid w:val="00D10083"/>
    <w:rsid w:val="00D10432"/>
    <w:rsid w:val="00D113AF"/>
    <w:rsid w:val="00D130A2"/>
    <w:rsid w:val="00D14AFC"/>
    <w:rsid w:val="00D2003F"/>
    <w:rsid w:val="00D22759"/>
    <w:rsid w:val="00D227D4"/>
    <w:rsid w:val="00D24365"/>
    <w:rsid w:val="00D26441"/>
    <w:rsid w:val="00D3083F"/>
    <w:rsid w:val="00D373EA"/>
    <w:rsid w:val="00D42C16"/>
    <w:rsid w:val="00D450AD"/>
    <w:rsid w:val="00D46575"/>
    <w:rsid w:val="00D4690C"/>
    <w:rsid w:val="00D51E09"/>
    <w:rsid w:val="00D54F2D"/>
    <w:rsid w:val="00D63D86"/>
    <w:rsid w:val="00D645AD"/>
    <w:rsid w:val="00D66F3F"/>
    <w:rsid w:val="00D70AA7"/>
    <w:rsid w:val="00D75401"/>
    <w:rsid w:val="00D75AC2"/>
    <w:rsid w:val="00D8165A"/>
    <w:rsid w:val="00D82843"/>
    <w:rsid w:val="00D911F7"/>
    <w:rsid w:val="00D93E7C"/>
    <w:rsid w:val="00DA0569"/>
    <w:rsid w:val="00DA3561"/>
    <w:rsid w:val="00DA7A35"/>
    <w:rsid w:val="00DB1FC7"/>
    <w:rsid w:val="00DC05A5"/>
    <w:rsid w:val="00DC789B"/>
    <w:rsid w:val="00DD5CFE"/>
    <w:rsid w:val="00DD619E"/>
    <w:rsid w:val="00DD6B1F"/>
    <w:rsid w:val="00DE0563"/>
    <w:rsid w:val="00DE0C93"/>
    <w:rsid w:val="00DE22F9"/>
    <w:rsid w:val="00DE50C6"/>
    <w:rsid w:val="00DE512D"/>
    <w:rsid w:val="00DE5E70"/>
    <w:rsid w:val="00DF11FE"/>
    <w:rsid w:val="00DF3360"/>
    <w:rsid w:val="00DF3769"/>
    <w:rsid w:val="00E035E7"/>
    <w:rsid w:val="00E037C8"/>
    <w:rsid w:val="00E0389B"/>
    <w:rsid w:val="00E04C1A"/>
    <w:rsid w:val="00E05F01"/>
    <w:rsid w:val="00E06277"/>
    <w:rsid w:val="00E114D3"/>
    <w:rsid w:val="00E16036"/>
    <w:rsid w:val="00E20521"/>
    <w:rsid w:val="00E2293A"/>
    <w:rsid w:val="00E25E9D"/>
    <w:rsid w:val="00E2719B"/>
    <w:rsid w:val="00E30166"/>
    <w:rsid w:val="00E36063"/>
    <w:rsid w:val="00E36B90"/>
    <w:rsid w:val="00E41F5E"/>
    <w:rsid w:val="00E42770"/>
    <w:rsid w:val="00E45029"/>
    <w:rsid w:val="00E4665E"/>
    <w:rsid w:val="00E46DA6"/>
    <w:rsid w:val="00E52097"/>
    <w:rsid w:val="00E54E1B"/>
    <w:rsid w:val="00E55773"/>
    <w:rsid w:val="00E55D64"/>
    <w:rsid w:val="00E572B2"/>
    <w:rsid w:val="00E603CA"/>
    <w:rsid w:val="00E60DDF"/>
    <w:rsid w:val="00E63FC8"/>
    <w:rsid w:val="00E74F6E"/>
    <w:rsid w:val="00E7536E"/>
    <w:rsid w:val="00E75DF4"/>
    <w:rsid w:val="00E767B5"/>
    <w:rsid w:val="00E80794"/>
    <w:rsid w:val="00E826A0"/>
    <w:rsid w:val="00E85CCA"/>
    <w:rsid w:val="00E85FA3"/>
    <w:rsid w:val="00E941D7"/>
    <w:rsid w:val="00E94C58"/>
    <w:rsid w:val="00E96896"/>
    <w:rsid w:val="00EA315A"/>
    <w:rsid w:val="00EA3D60"/>
    <w:rsid w:val="00EA4A08"/>
    <w:rsid w:val="00EB0D58"/>
    <w:rsid w:val="00EB1A3D"/>
    <w:rsid w:val="00EB1C81"/>
    <w:rsid w:val="00EB214F"/>
    <w:rsid w:val="00EB26A7"/>
    <w:rsid w:val="00EB2765"/>
    <w:rsid w:val="00EB40FA"/>
    <w:rsid w:val="00EC07D1"/>
    <w:rsid w:val="00EC2701"/>
    <w:rsid w:val="00EC31C0"/>
    <w:rsid w:val="00EC5810"/>
    <w:rsid w:val="00EC76F9"/>
    <w:rsid w:val="00ED5B33"/>
    <w:rsid w:val="00ED78F9"/>
    <w:rsid w:val="00EE27FD"/>
    <w:rsid w:val="00EE4743"/>
    <w:rsid w:val="00EF0A1C"/>
    <w:rsid w:val="00EF2C4E"/>
    <w:rsid w:val="00EF3F6E"/>
    <w:rsid w:val="00EF56ED"/>
    <w:rsid w:val="00EF59B4"/>
    <w:rsid w:val="00EF630E"/>
    <w:rsid w:val="00F016BF"/>
    <w:rsid w:val="00F0249D"/>
    <w:rsid w:val="00F0692F"/>
    <w:rsid w:val="00F1026C"/>
    <w:rsid w:val="00F1100A"/>
    <w:rsid w:val="00F12AB5"/>
    <w:rsid w:val="00F133C8"/>
    <w:rsid w:val="00F165C3"/>
    <w:rsid w:val="00F17558"/>
    <w:rsid w:val="00F20911"/>
    <w:rsid w:val="00F20A42"/>
    <w:rsid w:val="00F21039"/>
    <w:rsid w:val="00F22846"/>
    <w:rsid w:val="00F22D14"/>
    <w:rsid w:val="00F31725"/>
    <w:rsid w:val="00F34130"/>
    <w:rsid w:val="00F4079C"/>
    <w:rsid w:val="00F47EF7"/>
    <w:rsid w:val="00F5250F"/>
    <w:rsid w:val="00F53078"/>
    <w:rsid w:val="00F56AAA"/>
    <w:rsid w:val="00F6254B"/>
    <w:rsid w:val="00F66D58"/>
    <w:rsid w:val="00F71F89"/>
    <w:rsid w:val="00F7586F"/>
    <w:rsid w:val="00F75B97"/>
    <w:rsid w:val="00F77DFE"/>
    <w:rsid w:val="00F811B2"/>
    <w:rsid w:val="00F905E6"/>
    <w:rsid w:val="00F90984"/>
    <w:rsid w:val="00F930A6"/>
    <w:rsid w:val="00F93170"/>
    <w:rsid w:val="00F979D0"/>
    <w:rsid w:val="00FA1D38"/>
    <w:rsid w:val="00FA47C4"/>
    <w:rsid w:val="00FA7F96"/>
    <w:rsid w:val="00FB005F"/>
    <w:rsid w:val="00FB5E8C"/>
    <w:rsid w:val="00FB7A6E"/>
    <w:rsid w:val="00FC06D7"/>
    <w:rsid w:val="00FC0D1B"/>
    <w:rsid w:val="00FC3190"/>
    <w:rsid w:val="00FC6005"/>
    <w:rsid w:val="00FC6FFE"/>
    <w:rsid w:val="00FC7ED0"/>
    <w:rsid w:val="00FD0703"/>
    <w:rsid w:val="00FD3665"/>
    <w:rsid w:val="00FD3666"/>
    <w:rsid w:val="00FD64FB"/>
    <w:rsid w:val="00FE004C"/>
    <w:rsid w:val="00FE0141"/>
    <w:rsid w:val="00FE0720"/>
    <w:rsid w:val="00FE2546"/>
    <w:rsid w:val="00FF11B3"/>
    <w:rsid w:val="00FF165D"/>
    <w:rsid w:val="00FF343B"/>
    <w:rsid w:val="00FF3DC0"/>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529D4DFF"/>
  <w15:docId w15:val="{05C424F5-CDF3-4B7C-9E92-CF53A341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qFormat="1"/>
    <w:lsdException w:name="List Bullet"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687"/>
    <w:pPr>
      <w:spacing w:after="160" w:line="259" w:lineRule="auto"/>
      <w:ind w:left="0" w:firstLine="0"/>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290D93"/>
    <w:pPr>
      <w:keepNext/>
      <w:keepLines/>
      <w:spacing w:before="120" w:line="228" w:lineRule="auto"/>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qFormat/>
    <w:rsid w:val="00290D93"/>
    <w:pPr>
      <w:keepNext/>
      <w:keepLines/>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qFormat/>
    <w:rsid w:val="00290D93"/>
    <w:pPr>
      <w:keepNext/>
      <w:keepLines/>
      <w:outlineLvl w:val="2"/>
    </w:pPr>
    <w:rPr>
      <w:rFonts w:asciiTheme="majorHAnsi" w:eastAsiaTheme="majorEastAsia" w:hAnsiTheme="majorHAnsi" w:cstheme="majorBidi"/>
      <w:b/>
      <w:bCs/>
      <w:i/>
      <w:sz w:val="26"/>
    </w:rPr>
  </w:style>
  <w:style w:type="paragraph" w:styleId="Heading4">
    <w:name w:val="heading 4"/>
    <w:basedOn w:val="Normal"/>
    <w:next w:val="Normal"/>
    <w:link w:val="Heading4Char"/>
    <w:uiPriority w:val="9"/>
    <w:qFormat/>
    <w:rsid w:val="00290D93"/>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qFormat/>
    <w:rsid w:val="00290D93"/>
    <w:pPr>
      <w:keepNext/>
      <w:keepLines/>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qFormat/>
    <w:rsid w:val="007945FA"/>
    <w:pPr>
      <w:keepNext/>
      <w:keepLines/>
      <w:spacing w:before="340"/>
      <w:outlineLvl w:val="5"/>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sz w:val="64"/>
      <w:lang w:eastAsia="en-AU"/>
    </w:rPr>
  </w:style>
  <w:style w:type="paragraph" w:customStyle="1" w:styleId="Company">
    <w:name w:val="Company"/>
    <w:basedOn w:val="Name"/>
    <w:semiHidden/>
    <w:qFormat/>
    <w:rsid w:val="00392224"/>
    <w:rPr>
      <w:b w:val="0"/>
      <w:sz w:val="48"/>
    </w:rPr>
  </w:style>
  <w:style w:type="character" w:customStyle="1" w:styleId="Heading1Char">
    <w:name w:val="Heading 1 Char"/>
    <w:basedOn w:val="DefaultParagraphFont"/>
    <w:link w:val="Heading1"/>
    <w:uiPriority w:val="9"/>
    <w:rsid w:val="00290D93"/>
    <w:rPr>
      <w:rFonts w:asciiTheme="majorHAnsi" w:eastAsiaTheme="majorEastAsia" w:hAnsiTheme="majorHAnsi" w:cstheme="majorBidi"/>
      <w:b/>
      <w:bCs/>
      <w:color w:val="auto"/>
      <w:sz w:val="28"/>
      <w:szCs w:val="28"/>
    </w:rPr>
  </w:style>
  <w:style w:type="character" w:customStyle="1" w:styleId="Heading2Char">
    <w:name w:val="Heading 2 Char"/>
    <w:basedOn w:val="DefaultParagraphFont"/>
    <w:link w:val="Heading2"/>
    <w:uiPriority w:val="9"/>
    <w:rsid w:val="00290D93"/>
    <w:rPr>
      <w:rFonts w:asciiTheme="majorHAnsi" w:eastAsiaTheme="majorEastAsia" w:hAnsiTheme="majorHAnsi" w:cstheme="majorBidi"/>
      <w:b/>
      <w:bCs/>
      <w:color w:val="auto"/>
      <w:sz w:val="28"/>
      <w:szCs w:val="26"/>
    </w:rPr>
  </w:style>
  <w:style w:type="character" w:customStyle="1" w:styleId="Heading3Char">
    <w:name w:val="Heading 3 Char"/>
    <w:basedOn w:val="DefaultParagraphFont"/>
    <w:link w:val="Heading3"/>
    <w:uiPriority w:val="9"/>
    <w:rsid w:val="00290D93"/>
    <w:rPr>
      <w:rFonts w:asciiTheme="majorHAnsi" w:eastAsiaTheme="majorEastAsia" w:hAnsiTheme="majorHAnsi" w:cstheme="majorBidi"/>
      <w:b/>
      <w:bCs/>
      <w:i/>
      <w:color w:val="auto"/>
      <w:sz w:val="26"/>
    </w:rPr>
  </w:style>
  <w:style w:type="character" w:customStyle="1" w:styleId="Heading4Char">
    <w:name w:val="Heading 4 Char"/>
    <w:basedOn w:val="DefaultParagraphFont"/>
    <w:link w:val="Heading4"/>
    <w:uiPriority w:val="9"/>
    <w:rsid w:val="00290D93"/>
    <w:rPr>
      <w:rFonts w:asciiTheme="majorHAnsi" w:eastAsiaTheme="majorEastAsia" w:hAnsiTheme="majorHAnsi" w:cstheme="majorBidi"/>
      <w:b/>
      <w:bCs/>
      <w:iCs/>
      <w:color w:val="auto"/>
      <w:sz w:val="24"/>
    </w:rPr>
  </w:style>
  <w:style w:type="character" w:customStyle="1" w:styleId="Heading5Char">
    <w:name w:val="Heading 5 Char"/>
    <w:basedOn w:val="DefaultParagraphFont"/>
    <w:link w:val="Heading5"/>
    <w:uiPriority w:val="9"/>
    <w:rsid w:val="00290D93"/>
    <w:rPr>
      <w:rFonts w:asciiTheme="majorHAnsi" w:eastAsiaTheme="majorEastAsia" w:hAnsiTheme="majorHAnsi" w:cstheme="majorBidi"/>
      <w:i/>
      <w:color w:val="auto"/>
      <w:sz w:val="24"/>
    </w:rPr>
  </w:style>
  <w:style w:type="paragraph" w:styleId="ListParagraph">
    <w:name w:val="List Paragraph"/>
    <w:basedOn w:val="Normal"/>
    <w:uiPriority w:val="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semiHidden/>
    <w:qFormat/>
    <w:rsid w:val="00CE01C8"/>
    <w:pPr>
      <w:numPr>
        <w:ilvl w:val="1"/>
        <w:numId w:val="7"/>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semiHidden/>
    <w:rsid w:val="00093B03"/>
    <w:pPr>
      <w:spacing w:after="0"/>
    </w:pPr>
  </w:style>
  <w:style w:type="character" w:customStyle="1" w:styleId="FooterChar">
    <w:name w:val="Footer Char"/>
    <w:basedOn w:val="DefaultParagraphFont"/>
    <w:link w:val="Footer"/>
    <w:uiPriority w:val="99"/>
    <w:semiHidden/>
    <w:rsid w:val="0034433C"/>
    <w:rPr>
      <w:rFonts w:asciiTheme="minorHAnsi" w:hAnsiTheme="minorHAnsi"/>
      <w:color w:val="auto"/>
      <w:sz w:val="24"/>
    </w:rPr>
  </w:style>
  <w:style w:type="paragraph" w:styleId="Title">
    <w:name w:val="Title"/>
    <w:basedOn w:val="Normal"/>
    <w:next w:val="Normal"/>
    <w:link w:val="TitleChar"/>
    <w:uiPriority w:val="10"/>
    <w:semiHidden/>
    <w:qFormat/>
    <w:rsid w:val="008D00A9"/>
    <w:pPr>
      <w:adjustRightInd w:val="0"/>
      <w:spacing w:after="360" w:line="228" w:lineRule="auto"/>
    </w:pPr>
    <w:rPr>
      <w:rFonts w:asciiTheme="majorHAnsi" w:eastAsiaTheme="majorEastAsia" w:hAnsiTheme="majorHAnsi" w:cstheme="majorBidi"/>
      <w:spacing w:val="5"/>
      <w:kern w:val="28"/>
      <w:sz w:val="84"/>
      <w:szCs w:val="52"/>
    </w:rPr>
  </w:style>
  <w:style w:type="character" w:customStyle="1" w:styleId="TitleChar">
    <w:name w:val="Title Char"/>
    <w:basedOn w:val="DefaultParagraphFont"/>
    <w:link w:val="Title"/>
    <w:uiPriority w:val="10"/>
    <w:semiHidden/>
    <w:rsid w:val="00D66F3F"/>
    <w:rPr>
      <w:rFonts w:asciiTheme="majorHAnsi" w:eastAsiaTheme="majorEastAsia" w:hAnsiTheme="majorHAnsi" w:cstheme="majorBidi"/>
      <w:color w:val="auto"/>
      <w:spacing w:val="5"/>
      <w:kern w:val="28"/>
      <w:sz w:val="84"/>
      <w:szCs w:val="52"/>
    </w:rPr>
  </w:style>
  <w:style w:type="paragraph" w:customStyle="1" w:styleId="CoverURL">
    <w:name w:val="Cover URL"/>
    <w:basedOn w:val="Footer"/>
    <w:semiHidden/>
    <w:qFormat/>
    <w:rsid w:val="00093B03"/>
    <w:pPr>
      <w:jc w:val="right"/>
    </w:pPr>
    <w:rPr>
      <w:spacing w:val="-10"/>
      <w:sz w:val="40"/>
    </w:rPr>
  </w:style>
  <w:style w:type="paragraph" w:styleId="ListBullet2">
    <w:name w:val="List Bullet 2"/>
    <w:basedOn w:val="Normal"/>
    <w:uiPriority w:val="99"/>
    <w:qFormat/>
    <w:rsid w:val="003B5241"/>
    <w:pPr>
      <w:numPr>
        <w:ilvl w:val="1"/>
        <w:numId w:val="10"/>
      </w:numPr>
      <w:adjustRightInd w:val="0"/>
      <w:spacing w:before="120" w:after="120"/>
      <w:ind w:left="624" w:hanging="284"/>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950DA9"/>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3B5241"/>
    <w:pPr>
      <w:numPr>
        <w:numId w:val="9"/>
      </w:numPr>
      <w:spacing w:before="120" w:after="120"/>
      <w:ind w:left="341" w:hanging="284"/>
    </w:pPr>
  </w:style>
  <w:style w:type="paragraph" w:styleId="ListNumber2">
    <w:name w:val="List Number 2"/>
    <w:basedOn w:val="Normal"/>
    <w:uiPriority w:val="99"/>
    <w:rsid w:val="003B5241"/>
    <w:pPr>
      <w:numPr>
        <w:ilvl w:val="1"/>
        <w:numId w:val="9"/>
      </w:numPr>
      <w:spacing w:before="120" w:after="120"/>
      <w:ind w:left="624" w:hanging="284"/>
    </w:pPr>
  </w:style>
  <w:style w:type="paragraph" w:customStyle="1" w:styleId="TableHeading">
    <w:name w:val="Table Heading"/>
    <w:basedOn w:val="TableText"/>
    <w:qFormat/>
    <w:rsid w:val="0069144C"/>
    <w:pPr>
      <w:spacing w:before="120" w:after="120"/>
    </w:pPr>
    <w:rPr>
      <w:sz w:val="22"/>
    </w:rPr>
  </w:style>
  <w:style w:type="paragraph" w:customStyle="1" w:styleId="TableText">
    <w:name w:val="Table Text"/>
    <w:basedOn w:val="Normal"/>
    <w:uiPriority w:val="60"/>
    <w:qFormat/>
    <w:rsid w:val="0069144C"/>
    <w:pPr>
      <w:adjustRightInd w:val="0"/>
      <w:spacing w:before="60" w:after="60"/>
    </w:pPr>
    <w:rPr>
      <w:sz w:val="20"/>
    </w:rPr>
  </w:style>
  <w:style w:type="paragraph" w:customStyle="1" w:styleId="TableBullet">
    <w:name w:val="Table Bullet"/>
    <w:basedOn w:val="TableText"/>
    <w:link w:val="TableBulletChar"/>
    <w:qFormat/>
    <w:rsid w:val="00EB40FA"/>
    <w:pPr>
      <w:numPr>
        <w:numId w:val="3"/>
      </w:numPr>
      <w:ind w:left="170" w:hanging="170"/>
    </w:pPr>
  </w:style>
  <w:style w:type="paragraph" w:styleId="Caption">
    <w:name w:val="caption"/>
    <w:basedOn w:val="Normal"/>
    <w:next w:val="Normal"/>
    <w:uiPriority w:val="35"/>
    <w:qFormat/>
    <w:rsid w:val="008014B1"/>
    <w:rPr>
      <w:iCs/>
      <w:sz w:val="20"/>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auto"/>
      <w:u w:val="single"/>
    </w:rPr>
  </w:style>
  <w:style w:type="table" w:customStyle="1" w:styleId="OAICTable">
    <w:name w:val="OAIC Table"/>
    <w:basedOn w:val="TableNormal"/>
    <w:uiPriority w:val="99"/>
    <w:rsid w:val="00D911F7"/>
    <w:pPr>
      <w:ind w:left="0" w:firstLine="0"/>
    </w:pPr>
    <w:rPr>
      <w:rFonts w:asciiTheme="minorHAnsi" w:hAnsiTheme="minorHAnsi"/>
    </w:rPr>
    <w:tblPr>
      <w:tblBorders>
        <w:top w:val="single" w:sz="8" w:space="0" w:color="0D395C" w:themeColor="text2"/>
        <w:left w:val="single" w:sz="8" w:space="0" w:color="0D395C" w:themeColor="text2"/>
        <w:bottom w:val="single" w:sz="8" w:space="0" w:color="0D395C" w:themeColor="text2"/>
        <w:right w:val="single" w:sz="8" w:space="0" w:color="0D395C" w:themeColor="text2"/>
        <w:insideH w:val="single" w:sz="8" w:space="0" w:color="0D395C" w:themeColor="text2"/>
        <w:insideV w:val="single" w:sz="8" w:space="0" w:color="0D395C" w:themeColor="text2"/>
      </w:tblBorders>
    </w:tblPr>
    <w:tblStylePr w:type="firstRow">
      <w:rPr>
        <w:b/>
        <w:color w:val="auto"/>
        <w:sz w:val="22"/>
      </w:rPr>
      <w:tblPr/>
      <w:trPr>
        <w:tblHeader/>
      </w:trPr>
      <w:tcPr>
        <w:shd w:val="clear" w:color="auto" w:fill="0D395C" w:themeFill="text2"/>
      </w:tc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3B5241"/>
    <w:pPr>
      <w:numPr>
        <w:ilvl w:val="2"/>
        <w:numId w:val="9"/>
      </w:numPr>
      <w:spacing w:before="120" w:after="120"/>
      <w:ind w:left="964" w:hanging="284"/>
    </w:pPr>
  </w:style>
  <w:style w:type="paragraph" w:styleId="FootnoteText">
    <w:name w:val="footnote text"/>
    <w:basedOn w:val="Normal"/>
    <w:link w:val="FootnoteTextChar"/>
    <w:uiPriority w:val="99"/>
    <w:unhideWhenUsed/>
    <w:rsid w:val="00C46B45"/>
    <w:pPr>
      <w:spacing w:after="60"/>
    </w:pPr>
    <w:rPr>
      <w:sz w:val="18"/>
    </w:rPr>
  </w:style>
  <w:style w:type="character" w:customStyle="1" w:styleId="TableBulletChar">
    <w:name w:val="Table Bullet Char"/>
    <w:link w:val="TableBullet"/>
    <w:locked/>
    <w:rsid w:val="00EB40FA"/>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uiPriority w:val="99"/>
    <w:rsid w:val="00C46B45"/>
    <w:rPr>
      <w:rFonts w:asciiTheme="minorHAnsi" w:hAnsiTheme="minorHAnsi"/>
      <w:sz w:val="18"/>
    </w:rPr>
  </w:style>
  <w:style w:type="paragraph" w:styleId="Header">
    <w:name w:val="header"/>
    <w:basedOn w:val="Normal"/>
    <w:link w:val="HeaderChar"/>
    <w:uiPriority w:val="99"/>
    <w:rsid w:val="006C66AE"/>
    <w:pPr>
      <w:spacing w:after="0"/>
    </w:pPr>
    <w:rPr>
      <w:sz w:val="16"/>
    </w:rPr>
  </w:style>
  <w:style w:type="character" w:customStyle="1" w:styleId="HeaderChar">
    <w:name w:val="Header Char"/>
    <w:basedOn w:val="DefaultParagraphFont"/>
    <w:link w:val="Header"/>
    <w:uiPriority w:val="99"/>
    <w:rsid w:val="0034433C"/>
    <w:rPr>
      <w:rFonts w:asciiTheme="minorHAnsi" w:hAnsiTheme="minorHAnsi"/>
      <w:sz w:val="16"/>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semiHidden/>
    <w:rsid w:val="00246882"/>
    <w:rPr>
      <w:sz w:val="22"/>
    </w:rPr>
  </w:style>
  <w:style w:type="paragraph" w:customStyle="1" w:styleId="CalloutBox">
    <w:name w:val="Callout Box"/>
    <w:basedOn w:val="Normal"/>
    <w:next w:val="Normal"/>
    <w:rsid w:val="001A51DE"/>
    <w:pPr>
      <w:pBdr>
        <w:top w:val="single" w:sz="48" w:space="14" w:color="D9EBF3"/>
        <w:left w:val="single" w:sz="48" w:space="20" w:color="D9EBF3"/>
        <w:bottom w:val="single" w:sz="48" w:space="14" w:color="D9EBF3"/>
        <w:right w:val="single" w:sz="48" w:space="20" w:color="D9EBF3"/>
      </w:pBdr>
      <w:shd w:val="clear" w:color="auto" w:fill="D9EBF3"/>
      <w:spacing w:before="300" w:after="300"/>
      <w:ind w:left="459" w:right="459"/>
      <w:contextualSpacing/>
    </w:pPr>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semiHidden/>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1B2"/>
    <w:rPr>
      <w:rFonts w:ascii="Tahoma" w:hAnsi="Tahoma" w:cs="Tahoma"/>
      <w:sz w:val="16"/>
      <w:szCs w:val="16"/>
    </w:rPr>
  </w:style>
  <w:style w:type="paragraph" w:customStyle="1" w:styleId="FigureCaption">
    <w:name w:val="Figure Caption"/>
    <w:basedOn w:val="Normal"/>
    <w:next w:val="Normal"/>
    <w:rsid w:val="008014B1"/>
    <w:rPr>
      <w:sz w:val="20"/>
    </w:rPr>
  </w:style>
  <w:style w:type="paragraph" w:customStyle="1" w:styleId="TableCaption">
    <w:name w:val="Table Caption"/>
    <w:basedOn w:val="Normal"/>
    <w:next w:val="Normal"/>
    <w:rsid w:val="008014B1"/>
    <w:rPr>
      <w:sz w:val="20"/>
    </w:rPr>
  </w:style>
  <w:style w:type="paragraph" w:styleId="TOC1">
    <w:name w:val="toc 1"/>
    <w:basedOn w:val="Normal"/>
    <w:next w:val="Normal"/>
    <w:uiPriority w:val="39"/>
    <w:semiHidden/>
    <w:rsid w:val="00B05441"/>
    <w:pPr>
      <w:tabs>
        <w:tab w:val="left" w:pos="397"/>
        <w:tab w:val="right" w:leader="dot" w:pos="9072"/>
      </w:tabs>
      <w:spacing w:after="140"/>
    </w:pPr>
    <w:rPr>
      <w:b/>
      <w:sz w:val="32"/>
    </w:rPr>
  </w:style>
  <w:style w:type="paragraph" w:styleId="TOC2">
    <w:name w:val="toc 2"/>
    <w:basedOn w:val="Normal"/>
    <w:next w:val="Normal"/>
    <w:uiPriority w:val="39"/>
    <w:semiHidden/>
    <w:rsid w:val="00D0312E"/>
    <w:pPr>
      <w:tabs>
        <w:tab w:val="left" w:pos="567"/>
        <w:tab w:val="right" w:leader="dot" w:pos="9072"/>
      </w:tabs>
      <w:spacing w:after="140"/>
    </w:pPr>
    <w:rPr>
      <w:b/>
      <w:sz w:val="32"/>
    </w:rPr>
  </w:style>
  <w:style w:type="paragraph" w:styleId="TOC3">
    <w:name w:val="toc 3"/>
    <w:basedOn w:val="Normal"/>
    <w:next w:val="Normal"/>
    <w:uiPriority w:val="39"/>
    <w:semiHidden/>
    <w:rsid w:val="00D0312E"/>
    <w:pPr>
      <w:tabs>
        <w:tab w:val="left" w:pos="737"/>
        <w:tab w:val="right" w:leader="dot" w:pos="9072"/>
      </w:tabs>
    </w:pPr>
    <w:rPr>
      <w:sz w:val="28"/>
    </w:rPr>
  </w:style>
  <w:style w:type="numbering" w:customStyle="1" w:styleId="BulletsOAIC">
    <w:name w:val="Bullets_OAIC"/>
    <w:uiPriority w:val="99"/>
    <w:rsid w:val="005E2E2F"/>
    <w:pPr>
      <w:numPr>
        <w:numId w:val="6"/>
      </w:numPr>
    </w:pPr>
  </w:style>
  <w:style w:type="paragraph" w:styleId="TOCHeading">
    <w:name w:val="TOC Heading"/>
    <w:basedOn w:val="Heading1"/>
    <w:next w:val="Normal"/>
    <w:uiPriority w:val="39"/>
    <w:semiHidden/>
    <w:qFormat/>
    <w:rsid w:val="008D56E8"/>
    <w:pPr>
      <w:spacing w:after="600" w:line="240" w:lineRule="atLeast"/>
      <w:contextualSpacing/>
      <w:outlineLvl w:val="9"/>
    </w:pPr>
    <w:rPr>
      <w:sz w:val="54"/>
    </w:rPr>
  </w:style>
  <w:style w:type="paragraph" w:styleId="ListBullet">
    <w:name w:val="List Bullet"/>
    <w:basedOn w:val="Normal"/>
    <w:uiPriority w:val="99"/>
    <w:qFormat/>
    <w:rsid w:val="003B5241"/>
    <w:pPr>
      <w:numPr>
        <w:numId w:val="10"/>
      </w:numPr>
      <w:spacing w:before="120" w:after="120"/>
    </w:pPr>
  </w:style>
  <w:style w:type="paragraph" w:customStyle="1" w:styleId="Reference">
    <w:name w:val="Reference"/>
    <w:basedOn w:val="Normal"/>
    <w:next w:val="Normal"/>
    <w:qFormat/>
    <w:rsid w:val="00047D7D"/>
    <w:pPr>
      <w:spacing w:after="280"/>
    </w:pPr>
  </w:style>
  <w:style w:type="character" w:styleId="PageNumber">
    <w:name w:val="page number"/>
    <w:basedOn w:val="DefaultParagraphFont"/>
    <w:uiPriority w:val="99"/>
    <w:semiHidden/>
    <w:rsid w:val="00093B03"/>
    <w:rPr>
      <w:b/>
    </w:rPr>
  </w:style>
  <w:style w:type="paragraph" w:customStyle="1" w:styleId="CoverHeading">
    <w:name w:val="Cover Heading"/>
    <w:basedOn w:val="Normal"/>
    <w:semiHidden/>
    <w:qFormat/>
    <w:rsid w:val="00420D0C"/>
    <w:pPr>
      <w:spacing w:before="360" w:after="120" w:line="194" w:lineRule="auto"/>
      <w:contextualSpacing/>
    </w:pPr>
    <w:rPr>
      <w:sz w:val="60"/>
    </w:rPr>
  </w:style>
  <w:style w:type="paragraph" w:customStyle="1" w:styleId="Subject">
    <w:name w:val="Subject"/>
    <w:basedOn w:val="Normal"/>
    <w:qFormat/>
    <w:rsid w:val="00EB26A7"/>
    <w:rPr>
      <w:rFonts w:eastAsia="MS Mincho"/>
      <w:b/>
    </w:rPr>
  </w:style>
  <w:style w:type="paragraph" w:customStyle="1" w:styleId="CoverDetails">
    <w:name w:val="Cover Details"/>
    <w:basedOn w:val="Normal"/>
    <w:semiHidden/>
    <w:qFormat/>
    <w:rsid w:val="00C348FD"/>
    <w:pPr>
      <w:spacing w:after="100"/>
    </w:pPr>
    <w:rPr>
      <w:spacing w:val="-6"/>
    </w:rPr>
  </w:style>
  <w:style w:type="paragraph" w:customStyle="1" w:styleId="CoverDetailsHeading">
    <w:name w:val="Cover Details Heading"/>
    <w:basedOn w:val="Normal"/>
    <w:semiHidden/>
    <w:qFormat/>
    <w:rsid w:val="00B87AC3"/>
    <w:pPr>
      <w:spacing w:after="80"/>
    </w:pPr>
    <w:rPr>
      <w:b/>
      <w:sz w:val="26"/>
    </w:rPr>
  </w:style>
  <w:style w:type="character" w:styleId="PlaceholderText">
    <w:name w:val="Placeholder Text"/>
    <w:basedOn w:val="DefaultParagraphFont"/>
    <w:uiPriority w:val="99"/>
    <w:semiHidden/>
    <w:rsid w:val="005351B4"/>
    <w:rPr>
      <w:color w:val="auto"/>
    </w:rPr>
  </w:style>
  <w:style w:type="paragraph" w:customStyle="1" w:styleId="NumberedParagraphs">
    <w:name w:val="Numbered Paragraphs"/>
    <w:basedOn w:val="Normal"/>
    <w:semiHidden/>
    <w:qFormat/>
    <w:rsid w:val="007D6331"/>
    <w:pPr>
      <w:numPr>
        <w:ilvl w:val="1"/>
        <w:numId w:val="14"/>
      </w:numPr>
    </w:pPr>
  </w:style>
  <w:style w:type="character" w:customStyle="1" w:styleId="Heading6Char">
    <w:name w:val="Heading 6 Char"/>
    <w:basedOn w:val="DefaultParagraphFont"/>
    <w:link w:val="Heading6"/>
    <w:uiPriority w:val="9"/>
    <w:semiHidden/>
    <w:rsid w:val="007945FA"/>
    <w:rPr>
      <w:rFonts w:asciiTheme="majorHAnsi" w:eastAsiaTheme="majorEastAsia" w:hAnsiTheme="majorHAnsi" w:cstheme="majorBidi"/>
      <w:iCs/>
      <w:color w:val="auto"/>
      <w:sz w:val="22"/>
    </w:rPr>
  </w:style>
  <w:style w:type="numbering" w:customStyle="1" w:styleId="NumberedParagraphsList">
    <w:name w:val="NumberedParagraphs List"/>
    <w:uiPriority w:val="99"/>
    <w:rsid w:val="007D6331"/>
    <w:pPr>
      <w:numPr>
        <w:numId w:val="11"/>
      </w:numPr>
    </w:pPr>
  </w:style>
  <w:style w:type="paragraph" w:styleId="TOC4">
    <w:name w:val="toc 4"/>
    <w:basedOn w:val="Normal"/>
    <w:next w:val="Normal"/>
    <w:uiPriority w:val="39"/>
    <w:semiHidden/>
    <w:rsid w:val="00D0312E"/>
    <w:pPr>
      <w:tabs>
        <w:tab w:val="left" w:pos="737"/>
        <w:tab w:val="right" w:leader="dot" w:pos="9072"/>
      </w:tabs>
    </w:pPr>
    <w:rPr>
      <w:sz w:val="20"/>
    </w:rPr>
  </w:style>
  <w:style w:type="paragraph" w:customStyle="1" w:styleId="IndentBullet1">
    <w:name w:val="Indent Bullet 1"/>
    <w:basedOn w:val="Normal"/>
    <w:semiHidden/>
    <w:qFormat/>
    <w:rsid w:val="00171E96"/>
    <w:pPr>
      <w:numPr>
        <w:numId w:val="12"/>
      </w:numPr>
      <w:ind w:left="624" w:hanging="227"/>
    </w:pPr>
  </w:style>
  <w:style w:type="paragraph" w:customStyle="1" w:styleId="IndentBullet2">
    <w:name w:val="Indent Bullet 2"/>
    <w:basedOn w:val="ListParagraph"/>
    <w:semiHidden/>
    <w:qFormat/>
    <w:rsid w:val="00171E96"/>
    <w:pPr>
      <w:numPr>
        <w:numId w:val="13"/>
      </w:numPr>
      <w:ind w:left="851" w:hanging="227"/>
      <w:contextualSpacing w:val="0"/>
    </w:pPr>
  </w:style>
  <w:style w:type="paragraph" w:customStyle="1" w:styleId="LastPageDetails">
    <w:name w:val="LastPage Details"/>
    <w:basedOn w:val="Normal"/>
    <w:semiHidden/>
    <w:qFormat/>
    <w:rsid w:val="00550767"/>
    <w:pPr>
      <w:framePr w:hSpace="181" w:wrap="around" w:vAnchor="page" w:hAnchor="margin" w:yAlign="bottom"/>
      <w:spacing w:after="40"/>
      <w:suppressOverlap/>
    </w:pPr>
    <w:rPr>
      <w:sz w:val="18"/>
    </w:rPr>
  </w:style>
  <w:style w:type="paragraph" w:customStyle="1" w:styleId="LastPageDetailsHeading">
    <w:name w:val="LastPage Details_Heading"/>
    <w:basedOn w:val="Normal"/>
    <w:semiHidden/>
    <w:qFormat/>
    <w:rsid w:val="00550767"/>
    <w:pPr>
      <w:spacing w:after="120"/>
    </w:pPr>
    <w:rPr>
      <w:b/>
      <w:sz w:val="28"/>
      <w:szCs w:val="28"/>
    </w:rPr>
  </w:style>
  <w:style w:type="paragraph" w:customStyle="1" w:styleId="LastPageDetailsURL">
    <w:name w:val="LastPage Details_URL"/>
    <w:basedOn w:val="LastPageDetails"/>
    <w:semiHidden/>
    <w:qFormat/>
    <w:rsid w:val="00550767"/>
    <w:pPr>
      <w:framePr w:wrap="around"/>
    </w:pPr>
    <w:rPr>
      <w:b/>
      <w:sz w:val="20"/>
    </w:rPr>
  </w:style>
  <w:style w:type="paragraph" w:customStyle="1" w:styleId="LastPageDetailsNote">
    <w:name w:val="LastPage Details_Note"/>
    <w:basedOn w:val="LastPageDetails"/>
    <w:semiHidden/>
    <w:qFormat/>
    <w:rsid w:val="00550767"/>
    <w:pPr>
      <w:framePr w:wrap="around"/>
    </w:pPr>
    <w:rPr>
      <w:i/>
    </w:rPr>
  </w:style>
  <w:style w:type="character" w:styleId="FollowedHyperlink">
    <w:name w:val="FollowedHyperlink"/>
    <w:basedOn w:val="DefaultParagraphFont"/>
    <w:uiPriority w:val="99"/>
    <w:semiHidden/>
    <w:unhideWhenUsed/>
    <w:rsid w:val="00E114D3"/>
    <w:rPr>
      <w:color w:val="auto"/>
      <w:u w:val="single"/>
    </w:rPr>
  </w:style>
  <w:style w:type="paragraph" w:customStyle="1" w:styleId="SenderAddress">
    <w:name w:val="Sender Address"/>
    <w:basedOn w:val="Header"/>
    <w:qFormat/>
    <w:rsid w:val="001416C6"/>
    <w:pPr>
      <w:spacing w:after="8" w:line="240" w:lineRule="atLeast"/>
      <w:jc w:val="right"/>
    </w:pPr>
    <w:rPr>
      <w:sz w:val="18"/>
    </w:rPr>
  </w:style>
  <w:style w:type="paragraph" w:customStyle="1" w:styleId="URL">
    <w:name w:val="URL"/>
    <w:basedOn w:val="SenderAddress"/>
    <w:qFormat/>
    <w:rsid w:val="00303ED8"/>
    <w:pPr>
      <w:spacing w:after="40"/>
    </w:pPr>
    <w:rPr>
      <w:b/>
      <w:spacing w:val="-3"/>
      <w:sz w:val="28"/>
    </w:rPr>
  </w:style>
  <w:style w:type="paragraph" w:customStyle="1" w:styleId="RecipientAddress">
    <w:name w:val="Recipient Address"/>
    <w:basedOn w:val="Normal"/>
    <w:qFormat/>
    <w:rsid w:val="003E06B6"/>
    <w:pPr>
      <w:spacing w:after="500"/>
      <w:contextualSpacing/>
    </w:pPr>
  </w:style>
  <w:style w:type="paragraph" w:customStyle="1" w:styleId="SenderDetails">
    <w:name w:val="Sender Details"/>
    <w:basedOn w:val="Normal"/>
    <w:qFormat/>
    <w:rsid w:val="00EB26A7"/>
    <w:pPr>
      <w:contextualSpacing/>
    </w:pPr>
  </w:style>
  <w:style w:type="character" w:styleId="FootnoteReference">
    <w:name w:val="footnote reference"/>
    <w:basedOn w:val="DefaultParagraphFont"/>
    <w:uiPriority w:val="99"/>
    <w:unhideWhenUsed/>
    <w:rsid w:val="00062609"/>
    <w:rPr>
      <w:vertAlign w:val="superscript"/>
    </w:rPr>
  </w:style>
  <w:style w:type="paragraph" w:styleId="Quote">
    <w:name w:val="Quote"/>
    <w:basedOn w:val="Normal"/>
    <w:next w:val="Normal"/>
    <w:link w:val="QuoteChar"/>
    <w:uiPriority w:val="29"/>
    <w:rsid w:val="002C25BE"/>
    <w:pPr>
      <w:ind w:left="567"/>
    </w:pPr>
    <w:rPr>
      <w:iCs/>
    </w:rPr>
  </w:style>
  <w:style w:type="character" w:customStyle="1" w:styleId="QuoteChar">
    <w:name w:val="Quote Char"/>
    <w:basedOn w:val="DefaultParagraphFont"/>
    <w:link w:val="Quote"/>
    <w:uiPriority w:val="29"/>
    <w:rsid w:val="002C25BE"/>
    <w:rPr>
      <w:rFonts w:asciiTheme="minorHAnsi" w:hAnsiTheme="minorHAnsi"/>
      <w:iCs/>
      <w:sz w:val="24"/>
    </w:rPr>
  </w:style>
  <w:style w:type="paragraph" w:styleId="BodyText">
    <w:name w:val="Body Text"/>
    <w:basedOn w:val="Normal"/>
    <w:link w:val="BodyTextChar"/>
    <w:uiPriority w:val="1"/>
    <w:qFormat/>
    <w:rsid w:val="00A60687"/>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A60687"/>
    <w:rPr>
      <w:rFonts w:asciiTheme="minorHAnsi" w:eastAsia="Times New Roman" w:hAnsiTheme="minorHAnsi"/>
      <w:sz w:val="22"/>
      <w:szCs w:val="24"/>
      <w:lang w:eastAsia="en-AU"/>
    </w:rPr>
  </w:style>
  <w:style w:type="character" w:styleId="CommentReference">
    <w:name w:val="annotation reference"/>
    <w:basedOn w:val="DefaultParagraphFont"/>
    <w:uiPriority w:val="99"/>
    <w:semiHidden/>
    <w:unhideWhenUsed/>
    <w:rsid w:val="00A60687"/>
    <w:rPr>
      <w:sz w:val="16"/>
      <w:szCs w:val="16"/>
    </w:rPr>
  </w:style>
  <w:style w:type="paragraph" w:styleId="CommentText">
    <w:name w:val="annotation text"/>
    <w:basedOn w:val="Normal"/>
    <w:link w:val="CommentTextChar"/>
    <w:uiPriority w:val="99"/>
    <w:semiHidden/>
    <w:unhideWhenUsed/>
    <w:rsid w:val="00A60687"/>
    <w:pPr>
      <w:spacing w:after="0" w:line="240" w:lineRule="auto"/>
    </w:pPr>
    <w:rPr>
      <w:sz w:val="20"/>
      <w:szCs w:val="20"/>
    </w:rPr>
  </w:style>
  <w:style w:type="character" w:customStyle="1" w:styleId="CommentTextChar">
    <w:name w:val="Comment Text Char"/>
    <w:basedOn w:val="DefaultParagraphFont"/>
    <w:link w:val="CommentText"/>
    <w:uiPriority w:val="99"/>
    <w:semiHidden/>
    <w:rsid w:val="00A6068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92325"/>
    <w:pPr>
      <w:spacing w:after="160"/>
    </w:pPr>
    <w:rPr>
      <w:b/>
      <w:bCs/>
    </w:rPr>
  </w:style>
  <w:style w:type="character" w:customStyle="1" w:styleId="CommentSubjectChar">
    <w:name w:val="Comment Subject Char"/>
    <w:basedOn w:val="CommentTextChar"/>
    <w:link w:val="CommentSubject"/>
    <w:uiPriority w:val="99"/>
    <w:semiHidden/>
    <w:rsid w:val="00892325"/>
    <w:rPr>
      <w:rFonts w:asciiTheme="minorHAnsi" w:eastAsiaTheme="minorHAnsi" w:hAnsiTheme="minorHAnsi" w:cstheme="minorBidi"/>
      <w:b/>
      <w:bCs/>
      <w:lang w:eastAsia="en-US"/>
    </w:rPr>
  </w:style>
  <w:style w:type="paragraph" w:customStyle="1" w:styleId="DocID">
    <w:name w:val="DocID"/>
    <w:basedOn w:val="Footer"/>
    <w:next w:val="Footer"/>
    <w:link w:val="DocIDChar"/>
    <w:rsid w:val="00161970"/>
    <w:pPr>
      <w:spacing w:before="60" w:after="60" w:line="240" w:lineRule="auto"/>
    </w:pPr>
    <w:rPr>
      <w:rFonts w:ascii="Arial" w:eastAsia="Times New Roman" w:hAnsi="Arial" w:cs="Arial"/>
      <w:sz w:val="14"/>
      <w:szCs w:val="20"/>
      <w:lang w:eastAsia="zh-TW"/>
    </w:rPr>
  </w:style>
  <w:style w:type="character" w:customStyle="1" w:styleId="DocIDChar">
    <w:name w:val="DocID Char"/>
    <w:basedOn w:val="Heading1Char"/>
    <w:link w:val="DocID"/>
    <w:rsid w:val="00161970"/>
    <w:rPr>
      <w:rFonts w:asciiTheme="majorHAnsi" w:eastAsia="Times New Roman" w:hAnsiTheme="majorHAnsi" w:cs="Arial"/>
      <w:b w:val="0"/>
      <w:bCs w:val="0"/>
      <w:color w:val="auto"/>
      <w:sz w:val="14"/>
      <w:szCs w:val="28"/>
      <w:lang w:val="en-AU" w:eastAsia="zh-TW"/>
    </w:rPr>
  </w:style>
  <w:style w:type="paragraph" w:customStyle="1" w:styleId="letterbullets">
    <w:name w:val="letter bullets"/>
    <w:basedOn w:val="ListParagraph"/>
    <w:qFormat/>
    <w:rsid w:val="007B01CE"/>
    <w:pPr>
      <w:numPr>
        <w:numId w:val="16"/>
      </w:numPr>
      <w:tabs>
        <w:tab w:val="num" w:pos="360"/>
      </w:tabs>
      <w:spacing w:before="120" w:after="0" w:line="240" w:lineRule="auto"/>
      <w:ind w:left="715" w:hanging="573"/>
      <w:contextualSpacing w:val="0"/>
    </w:pPr>
    <w:rPr>
      <w:rFonts w:ascii="Calibri" w:eastAsia="Calibri"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67963">
      <w:bodyDiv w:val="1"/>
      <w:marLeft w:val="0"/>
      <w:marRight w:val="0"/>
      <w:marTop w:val="0"/>
      <w:marBottom w:val="0"/>
      <w:divBdr>
        <w:top w:val="none" w:sz="0" w:space="0" w:color="auto"/>
        <w:left w:val="none" w:sz="0" w:space="0" w:color="auto"/>
        <w:bottom w:val="none" w:sz="0" w:space="0" w:color="auto"/>
        <w:right w:val="none" w:sz="0" w:space="0" w:color="auto"/>
      </w:divBdr>
    </w:div>
    <w:div w:id="641810185">
      <w:bodyDiv w:val="1"/>
      <w:marLeft w:val="0"/>
      <w:marRight w:val="0"/>
      <w:marTop w:val="0"/>
      <w:marBottom w:val="0"/>
      <w:divBdr>
        <w:top w:val="none" w:sz="0" w:space="0" w:color="auto"/>
        <w:left w:val="none" w:sz="0" w:space="0" w:color="auto"/>
        <w:bottom w:val="none" w:sz="0" w:space="0" w:color="auto"/>
        <w:right w:val="none" w:sz="0" w:space="0" w:color="auto"/>
      </w:divBdr>
    </w:div>
    <w:div w:id="663626470">
      <w:bodyDiv w:val="1"/>
      <w:marLeft w:val="0"/>
      <w:marRight w:val="0"/>
      <w:marTop w:val="0"/>
      <w:marBottom w:val="0"/>
      <w:divBdr>
        <w:top w:val="none" w:sz="0" w:space="0" w:color="auto"/>
        <w:left w:val="none" w:sz="0" w:space="0" w:color="auto"/>
        <w:bottom w:val="none" w:sz="0" w:space="0" w:color="auto"/>
        <w:right w:val="none" w:sz="0" w:space="0" w:color="auto"/>
      </w:divBdr>
    </w:div>
    <w:div w:id="1041246885">
      <w:bodyDiv w:val="1"/>
      <w:marLeft w:val="0"/>
      <w:marRight w:val="0"/>
      <w:marTop w:val="0"/>
      <w:marBottom w:val="0"/>
      <w:divBdr>
        <w:top w:val="none" w:sz="0" w:space="0" w:color="auto"/>
        <w:left w:val="none" w:sz="0" w:space="0" w:color="auto"/>
        <w:bottom w:val="none" w:sz="0" w:space="0" w:color="auto"/>
        <w:right w:val="none" w:sz="0" w:space="0" w:color="auto"/>
      </w:divBdr>
    </w:div>
    <w:div w:id="1383167072">
      <w:bodyDiv w:val="1"/>
      <w:marLeft w:val="0"/>
      <w:marRight w:val="0"/>
      <w:marTop w:val="0"/>
      <w:marBottom w:val="0"/>
      <w:divBdr>
        <w:top w:val="none" w:sz="0" w:space="0" w:color="auto"/>
        <w:left w:val="none" w:sz="0" w:space="0" w:color="auto"/>
        <w:bottom w:val="none" w:sz="0" w:space="0" w:color="auto"/>
        <w:right w:val="none" w:sz="0" w:space="0" w:color="auto"/>
      </w:divBdr>
    </w:div>
    <w:div w:id="1422142406">
      <w:bodyDiv w:val="1"/>
      <w:marLeft w:val="0"/>
      <w:marRight w:val="0"/>
      <w:marTop w:val="0"/>
      <w:marBottom w:val="0"/>
      <w:divBdr>
        <w:top w:val="none" w:sz="0" w:space="0" w:color="auto"/>
        <w:left w:val="none" w:sz="0" w:space="0" w:color="auto"/>
        <w:bottom w:val="none" w:sz="0" w:space="0" w:color="auto"/>
        <w:right w:val="none" w:sz="0" w:space="0" w:color="auto"/>
      </w:divBdr>
    </w:div>
    <w:div w:id="1480883337">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6262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oaic.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oaic.gov.au/" TargetMode="External"/></Relationships>
</file>

<file path=word/theme/theme1.xml><?xml version="1.0" encoding="utf-8"?>
<a:theme xmlns:a="http://schemas.openxmlformats.org/drawingml/2006/main" name="Office Theme">
  <a:themeElements>
    <a:clrScheme name="OAIC Colours">
      <a:dk1>
        <a:sysClr val="windowText" lastClr="000000"/>
      </a:dk1>
      <a:lt1>
        <a:sysClr val="window" lastClr="FFFFFF"/>
      </a:lt1>
      <a:dk2>
        <a:srgbClr val="0D395C"/>
      </a:dk2>
      <a:lt2>
        <a:srgbClr val="0079B2"/>
      </a:lt2>
      <a:accent1>
        <a:srgbClr val="0079B2"/>
      </a:accent1>
      <a:accent2>
        <a:srgbClr val="6A2C91"/>
      </a:accent2>
      <a:accent3>
        <a:srgbClr val="C44704"/>
      </a:accent3>
      <a:accent4>
        <a:srgbClr val="0D395C"/>
      </a:accent4>
      <a:accent5>
        <a:srgbClr val="0079B2"/>
      </a:accent5>
      <a:accent6>
        <a:srgbClr val="6A2C91"/>
      </a:accent6>
      <a:hlink>
        <a:srgbClr val="0D395C"/>
      </a:hlink>
      <a:folHlink>
        <a:srgbClr val="0079B2"/>
      </a:folHlink>
    </a:clrScheme>
    <a:fontScheme name="Custom 14">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E277D-004B-4BF5-9B21-60C9B81B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Fitzell</dc:creator>
  <cp:keywords/>
  <cp:lastModifiedBy>Raewyn Harlock</cp:lastModifiedBy>
  <cp:revision>2</cp:revision>
  <cp:lastPrinted>2018-11-07T04:12:00Z</cp:lastPrinted>
  <dcterms:created xsi:type="dcterms:W3CDTF">2018-11-29T03:20:00Z</dcterms:created>
  <dcterms:modified xsi:type="dcterms:W3CDTF">2018-11-29T03:20:00Z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533979163/v1</vt:lpwstr>
  </property>
  <property fmtid="{D5CDD505-2E9C-101B-9397-08002B2CF9AE}" pid="3" name="CUS_DocIDChunk0">
    <vt:lpwstr>Doc ID 533979163/v1</vt:lpwstr>
  </property>
  <property fmtid="{D5CDD505-2E9C-101B-9397-08002B2CF9AE}" pid="4" name="CUS_DocIDActiveBits">
    <vt:lpwstr>1046528</vt:lpwstr>
  </property>
  <property fmtid="{D5CDD505-2E9C-101B-9397-08002B2CF9AE}" pid="5" name="CUS_DocIDLocation">
    <vt:lpwstr>EVERY_PAGE</vt:lpwstr>
  </property>
</Properties>
</file>