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862F1" w14:textId="77777777" w:rsidR="00AD2FF8" w:rsidRPr="00E92B68" w:rsidRDefault="00AC2FEC">
      <w:pPr>
        <w:rPr>
          <w:rFonts w:ascii="Times New Roman" w:hAnsi="Times New Roman" w:cs="Times New Roman"/>
        </w:rPr>
      </w:pPr>
    </w:p>
    <w:p w14:paraId="36D85B71" w14:textId="77777777" w:rsidR="00B11DB4" w:rsidRPr="005866AD" w:rsidRDefault="00B11DB4">
      <w:pPr>
        <w:rPr>
          <w:rFonts w:ascii="Times New Roman" w:hAnsi="Times New Roman" w:cs="Times New Roman"/>
        </w:rPr>
      </w:pPr>
      <w:r w:rsidRPr="005866AD">
        <w:rPr>
          <w:rFonts w:ascii="Times New Roman" w:hAnsi="Times New Roman" w:cs="Times New Roman"/>
          <w:noProof/>
          <w:lang w:eastAsia="en-AU"/>
        </w:rPr>
        <w:drawing>
          <wp:inline distT="0" distB="0" distL="0" distR="0" wp14:anchorId="28F52F7F" wp14:editId="612BE77D">
            <wp:extent cx="1463040" cy="116807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4654" cy="1185334"/>
                    </a:xfrm>
                    <a:prstGeom prst="rect">
                      <a:avLst/>
                    </a:prstGeom>
                    <a:noFill/>
                    <a:ln>
                      <a:noFill/>
                    </a:ln>
                  </pic:spPr>
                </pic:pic>
              </a:graphicData>
            </a:graphic>
          </wp:inline>
        </w:drawing>
      </w:r>
    </w:p>
    <w:p w14:paraId="2538D81E" w14:textId="611679CF" w:rsidR="00B11DB4" w:rsidRPr="005866AD" w:rsidRDefault="00F43346">
      <w:pPr>
        <w:rPr>
          <w:rFonts w:ascii="Times New Roman" w:hAnsi="Times New Roman" w:cs="Times New Roman"/>
          <w:b/>
          <w:sz w:val="36"/>
          <w:szCs w:val="36"/>
        </w:rPr>
      </w:pPr>
      <w:r>
        <w:rPr>
          <w:rFonts w:ascii="Times New Roman" w:hAnsi="Times New Roman" w:cs="Times New Roman"/>
          <w:b/>
          <w:sz w:val="36"/>
          <w:szCs w:val="36"/>
        </w:rPr>
        <w:t>Freedom of Information</w:t>
      </w:r>
      <w:r w:rsidR="00B11DB4" w:rsidRPr="005866AD">
        <w:rPr>
          <w:rFonts w:ascii="Times New Roman" w:hAnsi="Times New Roman" w:cs="Times New Roman"/>
          <w:b/>
          <w:sz w:val="36"/>
          <w:szCs w:val="36"/>
        </w:rPr>
        <w:t xml:space="preserve"> (</w:t>
      </w:r>
      <w:r>
        <w:rPr>
          <w:rFonts w:ascii="Times New Roman" w:hAnsi="Times New Roman" w:cs="Times New Roman"/>
          <w:b/>
          <w:sz w:val="36"/>
          <w:szCs w:val="36"/>
        </w:rPr>
        <w:t>Disclosure Log – Exempt Documents</w:t>
      </w:r>
      <w:r w:rsidR="00B11DB4" w:rsidRPr="005866AD">
        <w:rPr>
          <w:rFonts w:ascii="Times New Roman" w:hAnsi="Times New Roman" w:cs="Times New Roman"/>
          <w:b/>
          <w:sz w:val="36"/>
          <w:szCs w:val="36"/>
        </w:rPr>
        <w:t xml:space="preserve">) Determination </w:t>
      </w:r>
      <w:r w:rsidR="001E3486" w:rsidRPr="005866AD">
        <w:rPr>
          <w:rFonts w:ascii="Times New Roman" w:hAnsi="Times New Roman" w:cs="Times New Roman"/>
          <w:b/>
          <w:sz w:val="36"/>
          <w:szCs w:val="36"/>
        </w:rPr>
        <w:t>2018</w:t>
      </w:r>
    </w:p>
    <w:p w14:paraId="10C7C294" w14:textId="77777777" w:rsidR="00B11DB4" w:rsidRPr="005866AD" w:rsidRDefault="00B11DB4" w:rsidP="00B11DB4">
      <w:pPr>
        <w:pBdr>
          <w:bottom w:val="single" w:sz="4" w:space="1" w:color="auto"/>
        </w:pBdr>
        <w:rPr>
          <w:rFonts w:ascii="Times New Roman" w:hAnsi="Times New Roman" w:cs="Times New Roman"/>
        </w:rPr>
      </w:pPr>
    </w:p>
    <w:p w14:paraId="5A806CC6" w14:textId="101B235D" w:rsidR="00B11DB4" w:rsidRPr="005866AD" w:rsidRDefault="00B11DB4" w:rsidP="00B11DB4">
      <w:pPr>
        <w:rPr>
          <w:rFonts w:ascii="Times New Roman" w:hAnsi="Times New Roman" w:cs="Times New Roman"/>
        </w:rPr>
      </w:pPr>
      <w:r w:rsidRPr="005866AD">
        <w:rPr>
          <w:rFonts w:ascii="Times New Roman" w:hAnsi="Times New Roman" w:cs="Times New Roman"/>
        </w:rPr>
        <w:t xml:space="preserve">I, </w:t>
      </w:r>
      <w:r w:rsidR="00F0380E">
        <w:rPr>
          <w:rFonts w:ascii="Times New Roman" w:hAnsi="Times New Roman" w:cs="Times New Roman"/>
        </w:rPr>
        <w:t>Angelene Falk</w:t>
      </w:r>
      <w:r w:rsidRPr="005866AD">
        <w:rPr>
          <w:rFonts w:ascii="Times New Roman" w:hAnsi="Times New Roman" w:cs="Times New Roman"/>
        </w:rPr>
        <w:t xml:space="preserve">, </w:t>
      </w:r>
      <w:r w:rsidR="008851AA" w:rsidRPr="005866AD">
        <w:rPr>
          <w:rFonts w:ascii="Times New Roman" w:hAnsi="Times New Roman" w:cs="Times New Roman"/>
        </w:rPr>
        <w:t xml:space="preserve">Australian Information </w:t>
      </w:r>
      <w:r w:rsidRPr="005866AD">
        <w:rPr>
          <w:rFonts w:ascii="Times New Roman" w:hAnsi="Times New Roman" w:cs="Times New Roman"/>
        </w:rPr>
        <w:t xml:space="preserve">Commissioner, make the following determination under subsection </w:t>
      </w:r>
      <w:r w:rsidR="00F43346">
        <w:rPr>
          <w:rFonts w:ascii="Times New Roman" w:hAnsi="Times New Roman" w:cs="Times New Roman"/>
        </w:rPr>
        <w:t>11C(2)</w:t>
      </w:r>
      <w:r w:rsidRPr="005866AD">
        <w:rPr>
          <w:rFonts w:ascii="Times New Roman" w:hAnsi="Times New Roman" w:cs="Times New Roman"/>
        </w:rPr>
        <w:t xml:space="preserve"> of the </w:t>
      </w:r>
      <w:r w:rsidR="00F43346">
        <w:rPr>
          <w:rFonts w:ascii="Times New Roman" w:hAnsi="Times New Roman" w:cs="Times New Roman"/>
          <w:i/>
        </w:rPr>
        <w:t>Freedom of Information Act 1982</w:t>
      </w:r>
      <w:r w:rsidRPr="005866AD">
        <w:rPr>
          <w:rFonts w:ascii="Times New Roman" w:hAnsi="Times New Roman" w:cs="Times New Roman"/>
        </w:rPr>
        <w:t>.</w:t>
      </w:r>
    </w:p>
    <w:p w14:paraId="0BD9CCF0" w14:textId="77777777" w:rsidR="00B11DB4" w:rsidRPr="005866AD" w:rsidRDefault="00B11DB4" w:rsidP="00B11DB4">
      <w:pPr>
        <w:rPr>
          <w:rFonts w:ascii="Times New Roman" w:hAnsi="Times New Roman" w:cs="Times New Roman"/>
        </w:rPr>
      </w:pPr>
    </w:p>
    <w:p w14:paraId="3D97C0F8" w14:textId="5C733D73" w:rsidR="00B11DB4" w:rsidRPr="005866AD" w:rsidRDefault="00B11DB4" w:rsidP="00B11DB4">
      <w:pPr>
        <w:rPr>
          <w:rFonts w:ascii="Times New Roman" w:hAnsi="Times New Roman" w:cs="Times New Roman"/>
        </w:rPr>
      </w:pPr>
      <w:r w:rsidRPr="005866AD">
        <w:rPr>
          <w:rFonts w:ascii="Times New Roman" w:hAnsi="Times New Roman" w:cs="Times New Roman"/>
        </w:rPr>
        <w:t>Dated:</w:t>
      </w:r>
      <w:r w:rsidR="001E3486" w:rsidRPr="005866AD">
        <w:rPr>
          <w:rFonts w:ascii="Times New Roman" w:hAnsi="Times New Roman" w:cs="Times New Roman"/>
        </w:rPr>
        <w:t xml:space="preserve">  </w:t>
      </w:r>
      <w:r w:rsidR="005E6770">
        <w:rPr>
          <w:rFonts w:ascii="Times New Roman" w:hAnsi="Times New Roman" w:cs="Times New Roman"/>
        </w:rPr>
        <w:t xml:space="preserve">    </w:t>
      </w:r>
      <w:r w:rsidR="000C0179">
        <w:rPr>
          <w:rFonts w:ascii="Times New Roman" w:hAnsi="Times New Roman" w:cs="Times New Roman"/>
        </w:rPr>
        <w:t xml:space="preserve"> </w:t>
      </w:r>
      <w:r w:rsidR="00047D57">
        <w:rPr>
          <w:rFonts w:ascii="Times New Roman" w:hAnsi="Times New Roman" w:cs="Times New Roman"/>
        </w:rPr>
        <w:t xml:space="preserve">28 </w:t>
      </w:r>
      <w:bookmarkStart w:id="0" w:name="_GoBack"/>
      <w:bookmarkEnd w:id="0"/>
      <w:r w:rsidR="00F43346">
        <w:rPr>
          <w:rFonts w:ascii="Times New Roman" w:hAnsi="Times New Roman" w:cs="Times New Roman"/>
        </w:rPr>
        <w:t>November</w:t>
      </w:r>
      <w:r w:rsidR="005E6770">
        <w:rPr>
          <w:rFonts w:ascii="Times New Roman" w:hAnsi="Times New Roman" w:cs="Times New Roman"/>
        </w:rPr>
        <w:t xml:space="preserve"> 2018</w:t>
      </w:r>
      <w:r w:rsidR="001E3486" w:rsidRPr="005866AD">
        <w:rPr>
          <w:rFonts w:ascii="Times New Roman" w:hAnsi="Times New Roman" w:cs="Times New Roman"/>
        </w:rPr>
        <w:t xml:space="preserve">    </w:t>
      </w:r>
    </w:p>
    <w:p w14:paraId="01D2C343" w14:textId="77777777" w:rsidR="00B11DB4" w:rsidRPr="005866AD" w:rsidRDefault="00B11DB4" w:rsidP="00B11DB4">
      <w:pPr>
        <w:rPr>
          <w:rFonts w:ascii="Times New Roman" w:hAnsi="Times New Roman" w:cs="Times New Roman"/>
        </w:rPr>
      </w:pPr>
    </w:p>
    <w:p w14:paraId="0D999AAA" w14:textId="77777777" w:rsidR="00B11DB4" w:rsidRPr="005866AD" w:rsidRDefault="00B11DB4" w:rsidP="00B11DB4">
      <w:pPr>
        <w:rPr>
          <w:rFonts w:ascii="Times New Roman" w:hAnsi="Times New Roman" w:cs="Times New Roman"/>
        </w:rPr>
      </w:pPr>
      <w:r w:rsidRPr="005866AD">
        <w:rPr>
          <w:rFonts w:ascii="Times New Roman" w:hAnsi="Times New Roman" w:cs="Times New Roman"/>
        </w:rPr>
        <w:t>Signed</w:t>
      </w:r>
    </w:p>
    <w:p w14:paraId="63A97F8A" w14:textId="77777777" w:rsidR="00B11DB4" w:rsidRPr="005866AD" w:rsidRDefault="00B11DB4" w:rsidP="00B11DB4">
      <w:pPr>
        <w:rPr>
          <w:rFonts w:ascii="Times New Roman" w:hAnsi="Times New Roman" w:cs="Times New Roman"/>
        </w:rPr>
      </w:pPr>
    </w:p>
    <w:p w14:paraId="788EC771" w14:textId="303E81E1" w:rsidR="00B11DB4" w:rsidRDefault="00B11DB4" w:rsidP="00B11DB4">
      <w:pPr>
        <w:rPr>
          <w:rFonts w:ascii="Times New Roman" w:hAnsi="Times New Roman" w:cs="Times New Roman"/>
        </w:rPr>
      </w:pPr>
    </w:p>
    <w:p w14:paraId="69094F41" w14:textId="77777777" w:rsidR="004D225A" w:rsidRPr="005866AD" w:rsidRDefault="004D225A" w:rsidP="00B11DB4">
      <w:pPr>
        <w:rPr>
          <w:rFonts w:ascii="Times New Roman" w:hAnsi="Times New Roman" w:cs="Times New Roman"/>
        </w:rPr>
      </w:pPr>
    </w:p>
    <w:p w14:paraId="188632FD" w14:textId="59BA64F7" w:rsidR="00B11DB4" w:rsidRPr="005866AD" w:rsidRDefault="00F0380E" w:rsidP="00C90EC3">
      <w:pPr>
        <w:spacing w:after="0"/>
        <w:rPr>
          <w:rFonts w:ascii="Times New Roman" w:hAnsi="Times New Roman" w:cs="Times New Roman"/>
        </w:rPr>
      </w:pPr>
      <w:r>
        <w:rPr>
          <w:rFonts w:ascii="Times New Roman" w:hAnsi="Times New Roman" w:cs="Times New Roman"/>
        </w:rPr>
        <w:t>Angelene Falk</w:t>
      </w:r>
    </w:p>
    <w:p w14:paraId="6F5ECDFA" w14:textId="0C4A060B" w:rsidR="00B11DB4" w:rsidRPr="005866AD" w:rsidRDefault="00C90EC3" w:rsidP="00B11DB4">
      <w:pPr>
        <w:rPr>
          <w:rFonts w:ascii="Times New Roman" w:hAnsi="Times New Roman" w:cs="Times New Roman"/>
        </w:rPr>
      </w:pPr>
      <w:r w:rsidRPr="005866AD">
        <w:rPr>
          <w:rFonts w:ascii="Times New Roman" w:hAnsi="Times New Roman" w:cs="Times New Roman"/>
        </w:rPr>
        <w:t xml:space="preserve">Australian Information </w:t>
      </w:r>
      <w:r w:rsidR="00B11DB4" w:rsidRPr="005866AD">
        <w:rPr>
          <w:rFonts w:ascii="Times New Roman" w:hAnsi="Times New Roman" w:cs="Times New Roman"/>
        </w:rPr>
        <w:t>Commissioner</w:t>
      </w:r>
    </w:p>
    <w:p w14:paraId="2310E742" w14:textId="77777777" w:rsidR="00B11DB4" w:rsidRPr="005866AD" w:rsidRDefault="00B11DB4" w:rsidP="00B11DB4">
      <w:pPr>
        <w:pBdr>
          <w:bottom w:val="single" w:sz="4" w:space="1" w:color="auto"/>
        </w:pBdr>
        <w:rPr>
          <w:rFonts w:ascii="Times New Roman" w:hAnsi="Times New Roman" w:cs="Times New Roman"/>
        </w:rPr>
      </w:pPr>
    </w:p>
    <w:p w14:paraId="5A849722" w14:textId="25BF1A9E" w:rsidR="00B11DB4" w:rsidRPr="005866AD" w:rsidRDefault="00B11DB4" w:rsidP="0045556B">
      <w:pPr>
        <w:pStyle w:val="ListParagraph"/>
        <w:numPr>
          <w:ilvl w:val="0"/>
          <w:numId w:val="1"/>
        </w:numPr>
        <w:ind w:left="357" w:hanging="357"/>
        <w:contextualSpacing w:val="0"/>
        <w:rPr>
          <w:rFonts w:ascii="Times New Roman" w:hAnsi="Times New Roman" w:cs="Times New Roman"/>
          <w:b/>
          <w:sz w:val="28"/>
          <w:szCs w:val="28"/>
        </w:rPr>
      </w:pPr>
      <w:r w:rsidRPr="005866AD">
        <w:rPr>
          <w:rFonts w:ascii="Times New Roman" w:hAnsi="Times New Roman" w:cs="Times New Roman"/>
          <w:b/>
          <w:sz w:val="28"/>
          <w:szCs w:val="28"/>
        </w:rPr>
        <w:t xml:space="preserve">Name </w:t>
      </w:r>
    </w:p>
    <w:p w14:paraId="39AF6BA3" w14:textId="403B6331" w:rsidR="00195444" w:rsidRPr="00195444" w:rsidRDefault="001E3486" w:rsidP="00195444">
      <w:pPr>
        <w:pStyle w:val="ListParagraph"/>
        <w:numPr>
          <w:ilvl w:val="0"/>
          <w:numId w:val="16"/>
        </w:numPr>
        <w:rPr>
          <w:rFonts w:ascii="Times New Roman" w:hAnsi="Times New Roman" w:cs="Times New Roman"/>
        </w:rPr>
      </w:pPr>
      <w:r w:rsidRPr="00195444">
        <w:rPr>
          <w:rFonts w:ascii="Times New Roman" w:hAnsi="Times New Roman" w:cs="Times New Roman"/>
        </w:rPr>
        <w:t xml:space="preserve">This is the </w:t>
      </w:r>
      <w:r w:rsidR="00F43346" w:rsidRPr="00195444">
        <w:rPr>
          <w:rFonts w:ascii="Times New Roman" w:hAnsi="Times New Roman" w:cs="Times New Roman"/>
          <w:i/>
        </w:rPr>
        <w:t xml:space="preserve">Freedom of Information (Disclosure Log – Exempt Documents) Determination </w:t>
      </w:r>
      <w:r w:rsidRPr="00195444">
        <w:rPr>
          <w:rFonts w:ascii="Times New Roman" w:hAnsi="Times New Roman" w:cs="Times New Roman"/>
          <w:i/>
        </w:rPr>
        <w:t>2018</w:t>
      </w:r>
      <w:r w:rsidRPr="00195444">
        <w:rPr>
          <w:rFonts w:ascii="Times New Roman" w:hAnsi="Times New Roman" w:cs="Times New Roman"/>
        </w:rPr>
        <w:t>.</w:t>
      </w:r>
    </w:p>
    <w:p w14:paraId="432D4409" w14:textId="564C9340" w:rsidR="000C3FF2" w:rsidRPr="00034B9D" w:rsidRDefault="00195444" w:rsidP="00034B9D">
      <w:pPr>
        <w:pStyle w:val="ListParagraph"/>
        <w:numPr>
          <w:ilvl w:val="0"/>
          <w:numId w:val="16"/>
        </w:numPr>
        <w:ind w:left="714" w:hanging="357"/>
        <w:contextualSpacing w:val="0"/>
        <w:rPr>
          <w:rFonts w:ascii="Times New Roman" w:hAnsi="Times New Roman" w:cs="Times New Roman"/>
        </w:rPr>
      </w:pPr>
      <w:r w:rsidRPr="00195444">
        <w:rPr>
          <w:rFonts w:ascii="Times New Roman" w:hAnsi="Times New Roman" w:cs="Times New Roman"/>
        </w:rPr>
        <w:t xml:space="preserve">This </w:t>
      </w:r>
      <w:r>
        <w:rPr>
          <w:rFonts w:ascii="Times New Roman" w:hAnsi="Times New Roman" w:cs="Times New Roman"/>
        </w:rPr>
        <w:t>determination</w:t>
      </w:r>
      <w:r w:rsidRPr="00195444">
        <w:rPr>
          <w:rFonts w:ascii="Times New Roman" w:hAnsi="Times New Roman" w:cs="Times New Roman"/>
        </w:rPr>
        <w:t xml:space="preserve"> may also be cited as the</w:t>
      </w:r>
      <w:r>
        <w:rPr>
          <w:rFonts w:ascii="Times New Roman" w:hAnsi="Times New Roman" w:cs="Times New Roman"/>
        </w:rPr>
        <w:t xml:space="preserve"> </w:t>
      </w:r>
      <w:r>
        <w:rPr>
          <w:rFonts w:ascii="Times New Roman" w:hAnsi="Times New Roman" w:cs="Times New Roman"/>
          <w:i/>
        </w:rPr>
        <w:t>FOI Disclosure Log D</w:t>
      </w:r>
      <w:r w:rsidRPr="00195444">
        <w:rPr>
          <w:rFonts w:ascii="Times New Roman" w:hAnsi="Times New Roman" w:cs="Times New Roman"/>
          <w:i/>
        </w:rPr>
        <w:t>etermination 2018</w:t>
      </w:r>
      <w:r w:rsidRPr="00195444">
        <w:rPr>
          <w:rFonts w:ascii="Times New Roman" w:hAnsi="Times New Roman" w:cs="Times New Roman"/>
        </w:rPr>
        <w:t>.</w:t>
      </w:r>
    </w:p>
    <w:p w14:paraId="38A4C7C7" w14:textId="77777777" w:rsidR="00B11DB4" w:rsidRPr="005866AD" w:rsidRDefault="001E3486" w:rsidP="001E3486">
      <w:pPr>
        <w:pStyle w:val="ListParagraph"/>
        <w:numPr>
          <w:ilvl w:val="0"/>
          <w:numId w:val="1"/>
        </w:numPr>
        <w:rPr>
          <w:rFonts w:ascii="Times New Roman" w:hAnsi="Times New Roman" w:cs="Times New Roman"/>
          <w:b/>
          <w:sz w:val="28"/>
          <w:szCs w:val="28"/>
        </w:rPr>
      </w:pPr>
      <w:r w:rsidRPr="005866AD">
        <w:rPr>
          <w:rFonts w:ascii="Times New Roman" w:hAnsi="Times New Roman" w:cs="Times New Roman"/>
          <w:b/>
          <w:sz w:val="28"/>
          <w:szCs w:val="28"/>
        </w:rPr>
        <w:t>Commencement</w:t>
      </w:r>
    </w:p>
    <w:p w14:paraId="6B1B84D0" w14:textId="513EDE23" w:rsidR="00A10EEE" w:rsidRPr="005866AD" w:rsidRDefault="001E3486" w:rsidP="00A10EEE">
      <w:pPr>
        <w:ind w:left="357"/>
        <w:rPr>
          <w:rFonts w:ascii="Times New Roman" w:hAnsi="Times New Roman" w:cs="Times New Roman"/>
        </w:rPr>
      </w:pPr>
      <w:r w:rsidRPr="005866AD">
        <w:rPr>
          <w:rFonts w:ascii="Times New Roman" w:hAnsi="Times New Roman" w:cs="Times New Roman"/>
        </w:rPr>
        <w:t xml:space="preserve">This determination </w:t>
      </w:r>
      <w:r w:rsidR="00885A53" w:rsidRPr="005866AD">
        <w:rPr>
          <w:rFonts w:ascii="Times New Roman" w:hAnsi="Times New Roman" w:cs="Times New Roman"/>
        </w:rPr>
        <w:t>commences</w:t>
      </w:r>
      <w:r w:rsidRPr="005866AD">
        <w:rPr>
          <w:rFonts w:ascii="Times New Roman" w:hAnsi="Times New Roman" w:cs="Times New Roman"/>
        </w:rPr>
        <w:t xml:space="preserve"> </w:t>
      </w:r>
      <w:r w:rsidR="000C3FF2" w:rsidRPr="000C3FF2">
        <w:rPr>
          <w:rFonts w:ascii="Times New Roman" w:hAnsi="Times New Roman" w:cs="Times New Roman"/>
        </w:rPr>
        <w:t xml:space="preserve">at the start of the day after the day </w:t>
      </w:r>
      <w:r w:rsidR="000C3FF2">
        <w:rPr>
          <w:rFonts w:ascii="Times New Roman" w:hAnsi="Times New Roman" w:cs="Times New Roman"/>
        </w:rPr>
        <w:t>it</w:t>
      </w:r>
      <w:r w:rsidR="000C3FF2" w:rsidRPr="000C3FF2">
        <w:rPr>
          <w:rFonts w:ascii="Times New Roman" w:hAnsi="Times New Roman" w:cs="Times New Roman"/>
        </w:rPr>
        <w:t xml:space="preserve"> is registered</w:t>
      </w:r>
      <w:r w:rsidR="000C3FF2">
        <w:rPr>
          <w:rFonts w:ascii="Times New Roman" w:hAnsi="Times New Roman" w:cs="Times New Roman"/>
        </w:rPr>
        <w:t xml:space="preserve"> </w:t>
      </w:r>
      <w:r w:rsidRPr="005866AD">
        <w:rPr>
          <w:rFonts w:ascii="Times New Roman" w:hAnsi="Times New Roman" w:cs="Times New Roman"/>
        </w:rPr>
        <w:t>on the Federal Register of Legislati</w:t>
      </w:r>
      <w:r w:rsidR="00DD7A97" w:rsidRPr="005866AD">
        <w:rPr>
          <w:rFonts w:ascii="Times New Roman" w:hAnsi="Times New Roman" w:cs="Times New Roman"/>
        </w:rPr>
        <w:t>on</w:t>
      </w:r>
      <w:r w:rsidRPr="005866AD">
        <w:rPr>
          <w:rFonts w:ascii="Times New Roman" w:hAnsi="Times New Roman" w:cs="Times New Roman"/>
        </w:rPr>
        <w:t xml:space="preserve"> maintained under section </w:t>
      </w:r>
      <w:r w:rsidR="002B6E99" w:rsidRPr="005866AD">
        <w:rPr>
          <w:rFonts w:ascii="Times New Roman" w:hAnsi="Times New Roman" w:cs="Times New Roman"/>
        </w:rPr>
        <w:t>15A</w:t>
      </w:r>
      <w:r w:rsidRPr="005866AD">
        <w:rPr>
          <w:rFonts w:ascii="Times New Roman" w:hAnsi="Times New Roman" w:cs="Times New Roman"/>
        </w:rPr>
        <w:t xml:space="preserve"> of the </w:t>
      </w:r>
      <w:r w:rsidRPr="005866AD">
        <w:rPr>
          <w:rFonts w:ascii="Times New Roman" w:hAnsi="Times New Roman" w:cs="Times New Roman"/>
          <w:i/>
        </w:rPr>
        <w:t>Legislati</w:t>
      </w:r>
      <w:r w:rsidR="002B6E99" w:rsidRPr="005866AD">
        <w:rPr>
          <w:rFonts w:ascii="Times New Roman" w:hAnsi="Times New Roman" w:cs="Times New Roman"/>
          <w:i/>
        </w:rPr>
        <w:t>on</w:t>
      </w:r>
      <w:r w:rsidRPr="005866AD">
        <w:rPr>
          <w:rFonts w:ascii="Times New Roman" w:hAnsi="Times New Roman" w:cs="Times New Roman"/>
          <w:i/>
        </w:rPr>
        <w:t xml:space="preserve"> Act 2003</w:t>
      </w:r>
      <w:r w:rsidRPr="005866AD">
        <w:rPr>
          <w:rFonts w:ascii="Times New Roman" w:hAnsi="Times New Roman" w:cs="Times New Roman"/>
        </w:rPr>
        <w:t>.</w:t>
      </w:r>
    </w:p>
    <w:p w14:paraId="2AF037A4" w14:textId="5D3F542C" w:rsidR="00885A53" w:rsidRPr="005866AD" w:rsidRDefault="00885A53" w:rsidP="00885A53">
      <w:pPr>
        <w:pStyle w:val="ListParagraph"/>
        <w:numPr>
          <w:ilvl w:val="0"/>
          <w:numId w:val="1"/>
        </w:numPr>
        <w:rPr>
          <w:rFonts w:ascii="Times New Roman" w:hAnsi="Times New Roman" w:cs="Times New Roman"/>
          <w:b/>
          <w:sz w:val="28"/>
          <w:szCs w:val="28"/>
        </w:rPr>
      </w:pPr>
      <w:r w:rsidRPr="005866AD">
        <w:rPr>
          <w:rFonts w:ascii="Times New Roman" w:hAnsi="Times New Roman" w:cs="Times New Roman"/>
          <w:b/>
          <w:sz w:val="28"/>
          <w:szCs w:val="28"/>
        </w:rPr>
        <w:t>Authority</w:t>
      </w:r>
    </w:p>
    <w:p w14:paraId="5C93699D" w14:textId="48CFA3E4" w:rsidR="00885A53" w:rsidRDefault="00885A53" w:rsidP="00885A53">
      <w:pPr>
        <w:ind w:left="360"/>
        <w:rPr>
          <w:rFonts w:ascii="Times New Roman" w:hAnsi="Times New Roman" w:cs="Times New Roman"/>
        </w:rPr>
      </w:pPr>
      <w:r w:rsidRPr="005866AD">
        <w:rPr>
          <w:rFonts w:ascii="Times New Roman" w:hAnsi="Times New Roman" w:cs="Times New Roman"/>
        </w:rPr>
        <w:t xml:space="preserve">This determination is made </w:t>
      </w:r>
      <w:r w:rsidR="008005CF" w:rsidRPr="005866AD">
        <w:rPr>
          <w:rFonts w:ascii="Times New Roman" w:hAnsi="Times New Roman" w:cs="Times New Roman"/>
        </w:rPr>
        <w:t xml:space="preserve">by the </w:t>
      </w:r>
      <w:r w:rsidR="007A6D42">
        <w:rPr>
          <w:rFonts w:ascii="Times New Roman" w:hAnsi="Times New Roman" w:cs="Times New Roman"/>
        </w:rPr>
        <w:t xml:space="preserve">Australian Information </w:t>
      </w:r>
      <w:r w:rsidR="008005CF" w:rsidRPr="005866AD">
        <w:rPr>
          <w:rFonts w:ascii="Times New Roman" w:hAnsi="Times New Roman" w:cs="Times New Roman"/>
        </w:rPr>
        <w:t xml:space="preserve">Commissioner </w:t>
      </w:r>
      <w:r w:rsidRPr="005866AD">
        <w:rPr>
          <w:rFonts w:ascii="Times New Roman" w:hAnsi="Times New Roman" w:cs="Times New Roman"/>
        </w:rPr>
        <w:t xml:space="preserve">under subsection </w:t>
      </w:r>
      <w:r w:rsidR="00F43346">
        <w:rPr>
          <w:rFonts w:ascii="Times New Roman" w:hAnsi="Times New Roman" w:cs="Times New Roman"/>
        </w:rPr>
        <w:t>11C(2)</w:t>
      </w:r>
      <w:r w:rsidRPr="005866AD">
        <w:rPr>
          <w:rFonts w:ascii="Times New Roman" w:hAnsi="Times New Roman" w:cs="Times New Roman"/>
        </w:rPr>
        <w:t xml:space="preserve"> of the </w:t>
      </w:r>
      <w:r w:rsidR="00F43346">
        <w:rPr>
          <w:rFonts w:ascii="Times New Roman" w:hAnsi="Times New Roman" w:cs="Times New Roman"/>
          <w:i/>
        </w:rPr>
        <w:t>Freedom of Information Act 1982</w:t>
      </w:r>
      <w:r w:rsidRPr="005866AD">
        <w:rPr>
          <w:rFonts w:ascii="Times New Roman" w:hAnsi="Times New Roman" w:cs="Times New Roman"/>
        </w:rPr>
        <w:t>.</w:t>
      </w:r>
    </w:p>
    <w:p w14:paraId="4F38643B" w14:textId="77777777" w:rsidR="003979DB" w:rsidRPr="005866AD" w:rsidRDefault="003979DB" w:rsidP="00885A53">
      <w:pPr>
        <w:ind w:left="360"/>
        <w:rPr>
          <w:rFonts w:ascii="Times New Roman" w:hAnsi="Times New Roman" w:cs="Times New Roman"/>
        </w:rPr>
      </w:pPr>
    </w:p>
    <w:p w14:paraId="55C0CEB4" w14:textId="77777777" w:rsidR="00885A53" w:rsidRPr="005866AD" w:rsidRDefault="00885A53" w:rsidP="004D225A">
      <w:pPr>
        <w:pStyle w:val="ListParagraph"/>
        <w:keepNext/>
        <w:numPr>
          <w:ilvl w:val="0"/>
          <w:numId w:val="1"/>
        </w:numPr>
        <w:ind w:left="357" w:hanging="357"/>
        <w:rPr>
          <w:rFonts w:ascii="Times New Roman" w:hAnsi="Times New Roman" w:cs="Times New Roman"/>
          <w:b/>
          <w:sz w:val="28"/>
          <w:szCs w:val="28"/>
        </w:rPr>
      </w:pPr>
      <w:r w:rsidRPr="005866AD">
        <w:rPr>
          <w:rFonts w:ascii="Times New Roman" w:hAnsi="Times New Roman" w:cs="Times New Roman"/>
          <w:b/>
          <w:sz w:val="28"/>
          <w:szCs w:val="28"/>
        </w:rPr>
        <w:lastRenderedPageBreak/>
        <w:t>Definitions</w:t>
      </w:r>
    </w:p>
    <w:p w14:paraId="1111AEE0" w14:textId="1DD24EA9" w:rsidR="00885A53" w:rsidRPr="003979DB" w:rsidRDefault="00885A53" w:rsidP="003979DB">
      <w:pPr>
        <w:ind w:firstLine="357"/>
        <w:rPr>
          <w:rFonts w:ascii="Times New Roman" w:hAnsi="Times New Roman" w:cs="Times New Roman"/>
        </w:rPr>
      </w:pPr>
      <w:r w:rsidRPr="003979DB">
        <w:rPr>
          <w:rFonts w:ascii="Times New Roman" w:hAnsi="Times New Roman" w:cs="Times New Roman"/>
        </w:rPr>
        <w:t>In this determination:</w:t>
      </w:r>
    </w:p>
    <w:p w14:paraId="7F068BF8" w14:textId="3F00C31F" w:rsidR="00885A53" w:rsidRDefault="00885A53" w:rsidP="00885A53">
      <w:pPr>
        <w:ind w:left="360"/>
        <w:rPr>
          <w:rFonts w:ascii="Times New Roman" w:hAnsi="Times New Roman" w:cs="Times New Roman"/>
        </w:rPr>
      </w:pPr>
      <w:r w:rsidRPr="005866AD">
        <w:rPr>
          <w:rFonts w:ascii="Times New Roman" w:hAnsi="Times New Roman" w:cs="Times New Roman"/>
          <w:b/>
          <w:i/>
        </w:rPr>
        <w:t>Act</w:t>
      </w:r>
      <w:r w:rsidRPr="005866AD">
        <w:rPr>
          <w:rFonts w:ascii="Times New Roman" w:hAnsi="Times New Roman" w:cs="Times New Roman"/>
        </w:rPr>
        <w:t xml:space="preserve"> means the </w:t>
      </w:r>
      <w:r w:rsidR="00217B02">
        <w:rPr>
          <w:rFonts w:ascii="Times New Roman" w:hAnsi="Times New Roman" w:cs="Times New Roman"/>
          <w:i/>
        </w:rPr>
        <w:t>Freedom of Information Act 1982</w:t>
      </w:r>
      <w:r w:rsidRPr="005866AD">
        <w:rPr>
          <w:rFonts w:ascii="Times New Roman" w:hAnsi="Times New Roman" w:cs="Times New Roman"/>
        </w:rPr>
        <w:t>.</w:t>
      </w:r>
    </w:p>
    <w:p w14:paraId="1B4A4F0F" w14:textId="4D377856" w:rsidR="00FB5DB5" w:rsidRDefault="00FB5DB5" w:rsidP="00885A53">
      <w:pPr>
        <w:ind w:left="360"/>
        <w:rPr>
          <w:rFonts w:ascii="Times New Roman" w:hAnsi="Times New Roman" w:cs="Times New Roman"/>
        </w:rPr>
      </w:pPr>
      <w:r>
        <w:rPr>
          <w:rFonts w:ascii="Times New Roman" w:hAnsi="Times New Roman" w:cs="Times New Roman"/>
          <w:b/>
          <w:i/>
        </w:rPr>
        <w:t>D</w:t>
      </w:r>
      <w:r w:rsidRPr="00FB5DB5">
        <w:rPr>
          <w:rFonts w:ascii="Times New Roman" w:hAnsi="Times New Roman" w:cs="Times New Roman"/>
          <w:b/>
          <w:i/>
        </w:rPr>
        <w:t xml:space="preserve">isclosure log </w:t>
      </w:r>
      <w:r w:rsidRPr="00FB5DB5">
        <w:rPr>
          <w:rFonts w:ascii="Times New Roman" w:hAnsi="Times New Roman" w:cs="Times New Roman"/>
        </w:rPr>
        <w:t xml:space="preserve">means the publication under section 11C </w:t>
      </w:r>
      <w:r>
        <w:rPr>
          <w:rFonts w:ascii="Times New Roman" w:hAnsi="Times New Roman" w:cs="Times New Roman"/>
        </w:rPr>
        <w:t xml:space="preserve">of the Act </w:t>
      </w:r>
      <w:r w:rsidRPr="00FB5DB5">
        <w:rPr>
          <w:rFonts w:ascii="Times New Roman" w:hAnsi="Times New Roman" w:cs="Times New Roman"/>
        </w:rPr>
        <w:t xml:space="preserve">of information </w:t>
      </w:r>
      <w:r>
        <w:rPr>
          <w:rFonts w:ascii="Times New Roman" w:hAnsi="Times New Roman" w:cs="Times New Roman"/>
        </w:rPr>
        <w:t>in accessed documents that have</w:t>
      </w:r>
      <w:r w:rsidRPr="00FB5DB5">
        <w:rPr>
          <w:rFonts w:ascii="Times New Roman" w:hAnsi="Times New Roman" w:cs="Times New Roman"/>
        </w:rPr>
        <w:t xml:space="preserve"> been released to an applicant under the Act</w:t>
      </w:r>
      <w:r w:rsidRPr="00FB5DB5">
        <w:rPr>
          <w:rFonts w:ascii="Times New Roman" w:hAnsi="Times New Roman" w:cs="Times New Roman"/>
          <w:b/>
          <w:i/>
        </w:rPr>
        <w:t>.</w:t>
      </w:r>
    </w:p>
    <w:p w14:paraId="4063242B" w14:textId="0FA17605" w:rsidR="003979DB" w:rsidRPr="005866AD" w:rsidRDefault="003979DB" w:rsidP="009063C3">
      <w:pPr>
        <w:keepNext/>
        <w:ind w:left="357"/>
        <w:rPr>
          <w:rFonts w:ascii="Times New Roman" w:hAnsi="Times New Roman" w:cs="Times New Roman"/>
          <w:sz w:val="20"/>
          <w:szCs w:val="20"/>
        </w:rPr>
      </w:pPr>
      <w:r>
        <w:rPr>
          <w:rFonts w:ascii="Times New Roman" w:hAnsi="Times New Roman" w:cs="Times New Roman"/>
          <w:sz w:val="20"/>
          <w:szCs w:val="20"/>
        </w:rPr>
        <w:t xml:space="preserve">Note: </w:t>
      </w:r>
      <w:r w:rsidRPr="005866AD">
        <w:rPr>
          <w:rFonts w:ascii="Times New Roman" w:hAnsi="Times New Roman" w:cs="Times New Roman"/>
          <w:sz w:val="20"/>
          <w:szCs w:val="20"/>
        </w:rPr>
        <w:t>A number of expressions used in this determination are defined in the Act, including the following:</w:t>
      </w:r>
      <w:r w:rsidR="009063C3">
        <w:rPr>
          <w:rFonts w:ascii="Times New Roman" w:hAnsi="Times New Roman" w:cs="Times New Roman"/>
          <w:sz w:val="20"/>
          <w:szCs w:val="20"/>
        </w:rPr>
        <w:t xml:space="preserve"> ‘</w:t>
      </w:r>
      <w:r w:rsidRPr="009063C3">
        <w:rPr>
          <w:rFonts w:ascii="Times New Roman" w:hAnsi="Times New Roman" w:cs="Times New Roman"/>
          <w:sz w:val="20"/>
          <w:szCs w:val="20"/>
        </w:rPr>
        <w:t>agency</w:t>
      </w:r>
      <w:r w:rsidR="009063C3">
        <w:rPr>
          <w:rFonts w:ascii="Times New Roman" w:hAnsi="Times New Roman" w:cs="Times New Roman"/>
          <w:sz w:val="20"/>
          <w:szCs w:val="20"/>
        </w:rPr>
        <w:t>’</w:t>
      </w:r>
      <w:r w:rsidRPr="009063C3">
        <w:rPr>
          <w:rFonts w:ascii="Times New Roman" w:hAnsi="Times New Roman" w:cs="Times New Roman"/>
          <w:sz w:val="20"/>
          <w:szCs w:val="20"/>
        </w:rPr>
        <w:t xml:space="preserve">, </w:t>
      </w:r>
      <w:r w:rsidR="009063C3">
        <w:rPr>
          <w:rFonts w:ascii="Times New Roman" w:hAnsi="Times New Roman" w:cs="Times New Roman"/>
          <w:sz w:val="20"/>
          <w:szCs w:val="20"/>
        </w:rPr>
        <w:t>‘</w:t>
      </w:r>
      <w:r w:rsidRPr="009063C3">
        <w:rPr>
          <w:rFonts w:ascii="Times New Roman" w:hAnsi="Times New Roman" w:cs="Times New Roman"/>
          <w:sz w:val="20"/>
          <w:szCs w:val="20"/>
        </w:rPr>
        <w:t>applicant</w:t>
      </w:r>
      <w:r w:rsidR="009063C3">
        <w:rPr>
          <w:rFonts w:ascii="Times New Roman" w:hAnsi="Times New Roman" w:cs="Times New Roman"/>
          <w:sz w:val="20"/>
          <w:szCs w:val="20"/>
        </w:rPr>
        <w:t>’</w:t>
      </w:r>
      <w:r w:rsidRPr="009063C3">
        <w:rPr>
          <w:rFonts w:ascii="Times New Roman" w:hAnsi="Times New Roman" w:cs="Times New Roman"/>
          <w:sz w:val="20"/>
          <w:szCs w:val="20"/>
        </w:rPr>
        <w:t xml:space="preserve"> and </w:t>
      </w:r>
      <w:r w:rsidR="009063C3">
        <w:rPr>
          <w:rFonts w:ascii="Times New Roman" w:hAnsi="Times New Roman" w:cs="Times New Roman"/>
          <w:sz w:val="20"/>
          <w:szCs w:val="20"/>
        </w:rPr>
        <w:t>‘</w:t>
      </w:r>
      <w:r w:rsidRPr="009063C3">
        <w:rPr>
          <w:rFonts w:ascii="Times New Roman" w:hAnsi="Times New Roman" w:cs="Times New Roman"/>
          <w:sz w:val="20"/>
          <w:szCs w:val="20"/>
        </w:rPr>
        <w:t>exempt document</w:t>
      </w:r>
      <w:r w:rsidR="009063C3">
        <w:rPr>
          <w:rFonts w:ascii="Times New Roman" w:hAnsi="Times New Roman" w:cs="Times New Roman"/>
          <w:sz w:val="20"/>
          <w:szCs w:val="20"/>
        </w:rPr>
        <w:t>’</w:t>
      </w:r>
      <w:r w:rsidR="009063C3" w:rsidRPr="009063C3">
        <w:rPr>
          <w:rFonts w:ascii="Times New Roman" w:hAnsi="Times New Roman" w:cs="Times New Roman"/>
          <w:sz w:val="20"/>
          <w:szCs w:val="20"/>
        </w:rPr>
        <w:t>.</w:t>
      </w:r>
    </w:p>
    <w:p w14:paraId="64E7AD3E" w14:textId="07D34C0A" w:rsidR="001E3486" w:rsidRPr="005866AD" w:rsidRDefault="00DD7A97" w:rsidP="0045556B">
      <w:pPr>
        <w:pStyle w:val="ListParagraph"/>
        <w:numPr>
          <w:ilvl w:val="0"/>
          <w:numId w:val="1"/>
        </w:numPr>
        <w:ind w:left="357" w:hanging="357"/>
        <w:contextualSpacing w:val="0"/>
        <w:rPr>
          <w:rFonts w:ascii="Times New Roman" w:hAnsi="Times New Roman" w:cs="Times New Roman"/>
          <w:b/>
          <w:sz w:val="28"/>
          <w:szCs w:val="28"/>
        </w:rPr>
      </w:pPr>
      <w:r w:rsidRPr="005866AD">
        <w:rPr>
          <w:rFonts w:ascii="Times New Roman" w:hAnsi="Times New Roman" w:cs="Times New Roman"/>
          <w:b/>
          <w:sz w:val="28"/>
          <w:szCs w:val="28"/>
        </w:rPr>
        <w:t>Repeal</w:t>
      </w:r>
    </w:p>
    <w:p w14:paraId="0F18B7CD" w14:textId="331FFB83" w:rsidR="00A0714A" w:rsidRDefault="000633E9" w:rsidP="00263A22">
      <w:pPr>
        <w:pStyle w:val="ListParagraph"/>
        <w:numPr>
          <w:ilvl w:val="0"/>
          <w:numId w:val="17"/>
        </w:numPr>
        <w:rPr>
          <w:rFonts w:ascii="Times New Roman" w:hAnsi="Times New Roman" w:cs="Times New Roman"/>
        </w:rPr>
      </w:pPr>
      <w:r w:rsidRPr="00263A22">
        <w:rPr>
          <w:rFonts w:ascii="Times New Roman" w:hAnsi="Times New Roman" w:cs="Times New Roman"/>
        </w:rPr>
        <w:t xml:space="preserve">This determination </w:t>
      </w:r>
      <w:r w:rsidR="000C0179">
        <w:rPr>
          <w:rFonts w:ascii="Times New Roman" w:hAnsi="Times New Roman" w:cs="Times New Roman"/>
        </w:rPr>
        <w:t xml:space="preserve">ceases and </w:t>
      </w:r>
      <w:r w:rsidRPr="00263A22">
        <w:rPr>
          <w:rFonts w:ascii="Times New Roman" w:hAnsi="Times New Roman" w:cs="Times New Roman"/>
        </w:rPr>
        <w:t xml:space="preserve">is repealed </w:t>
      </w:r>
      <w:r w:rsidR="006041B7" w:rsidRPr="00263A22">
        <w:rPr>
          <w:rFonts w:ascii="Times New Roman" w:hAnsi="Times New Roman" w:cs="Times New Roman"/>
        </w:rPr>
        <w:t>five</w:t>
      </w:r>
      <w:r w:rsidRPr="00263A22">
        <w:rPr>
          <w:rFonts w:ascii="Times New Roman" w:hAnsi="Times New Roman" w:cs="Times New Roman"/>
        </w:rPr>
        <w:t xml:space="preserve"> years from the day on which this determination commences. </w:t>
      </w:r>
    </w:p>
    <w:p w14:paraId="336BEB9A" w14:textId="4B87B0F3" w:rsidR="00B24475" w:rsidRPr="00034B9D" w:rsidRDefault="000C3FF2" w:rsidP="00034B9D">
      <w:pPr>
        <w:pStyle w:val="ListParagraph"/>
        <w:numPr>
          <w:ilvl w:val="0"/>
          <w:numId w:val="17"/>
        </w:numPr>
        <w:ind w:left="714" w:hanging="357"/>
        <w:contextualSpacing w:val="0"/>
        <w:rPr>
          <w:rFonts w:ascii="Times New Roman" w:hAnsi="Times New Roman" w:cs="Times New Roman"/>
        </w:rPr>
      </w:pPr>
      <w:r w:rsidRPr="000C3FF2">
        <w:rPr>
          <w:rFonts w:ascii="Times New Roman" w:hAnsi="Times New Roman" w:cs="Times New Roman"/>
        </w:rPr>
        <w:t>Disclosu</w:t>
      </w:r>
      <w:r>
        <w:rPr>
          <w:rFonts w:ascii="Times New Roman" w:hAnsi="Times New Roman" w:cs="Times New Roman"/>
        </w:rPr>
        <w:t xml:space="preserve">re Log Determination No. 2013-1 </w:t>
      </w:r>
      <w:r w:rsidRPr="000C3FF2">
        <w:rPr>
          <w:rFonts w:ascii="Times New Roman" w:hAnsi="Times New Roman" w:cs="Times New Roman"/>
        </w:rPr>
        <w:t>(Exempt Documents)</w:t>
      </w:r>
      <w:r>
        <w:rPr>
          <w:rFonts w:ascii="Times New Roman" w:hAnsi="Times New Roman" w:cs="Times New Roman"/>
        </w:rPr>
        <w:t xml:space="preserve"> </w:t>
      </w:r>
      <w:r w:rsidR="00B24475" w:rsidRPr="00B24475">
        <w:rPr>
          <w:rFonts w:ascii="Times New Roman" w:hAnsi="Times New Roman" w:cs="Times New Roman"/>
        </w:rPr>
        <w:t>F2013L01798</w:t>
      </w:r>
      <w:r w:rsidR="00B24475">
        <w:rPr>
          <w:rFonts w:ascii="Times New Roman" w:hAnsi="Times New Roman" w:cs="Times New Roman"/>
        </w:rPr>
        <w:t xml:space="preserve"> is repealed on commencement of this determination.</w:t>
      </w:r>
    </w:p>
    <w:p w14:paraId="424FE899" w14:textId="5FF778A5" w:rsidR="00A0714A" w:rsidRPr="005866AD" w:rsidRDefault="0045556B" w:rsidP="00E354B8">
      <w:pPr>
        <w:pStyle w:val="ListParagraph"/>
        <w:numPr>
          <w:ilvl w:val="0"/>
          <w:numId w:val="1"/>
        </w:numPr>
        <w:ind w:left="357" w:hanging="357"/>
        <w:contextualSpacing w:val="0"/>
        <w:rPr>
          <w:rFonts w:ascii="Times New Roman" w:hAnsi="Times New Roman" w:cs="Times New Roman"/>
          <w:b/>
          <w:sz w:val="28"/>
          <w:szCs w:val="28"/>
        </w:rPr>
      </w:pPr>
      <w:r>
        <w:rPr>
          <w:rFonts w:ascii="Times New Roman" w:hAnsi="Times New Roman" w:cs="Times New Roman"/>
          <w:b/>
          <w:sz w:val="28"/>
          <w:szCs w:val="28"/>
        </w:rPr>
        <w:t>Determined</w:t>
      </w:r>
      <w:r w:rsidR="00774F1D">
        <w:rPr>
          <w:rFonts w:ascii="Times New Roman" w:hAnsi="Times New Roman" w:cs="Times New Roman"/>
          <w:b/>
          <w:sz w:val="28"/>
          <w:szCs w:val="28"/>
        </w:rPr>
        <w:t xml:space="preserve"> information</w:t>
      </w:r>
    </w:p>
    <w:p w14:paraId="4BEE9027" w14:textId="244C82FD" w:rsidR="009063C3" w:rsidRDefault="00676D7E" w:rsidP="009063C3">
      <w:pPr>
        <w:pStyle w:val="ListParagraph"/>
        <w:numPr>
          <w:ilvl w:val="0"/>
          <w:numId w:val="19"/>
        </w:numPr>
        <w:contextualSpacing w:val="0"/>
        <w:rPr>
          <w:rFonts w:ascii="Times New Roman" w:hAnsi="Times New Roman" w:cs="Times New Roman"/>
        </w:rPr>
      </w:pPr>
      <w:r w:rsidRPr="003979DB">
        <w:rPr>
          <w:rFonts w:ascii="Times New Roman" w:hAnsi="Times New Roman" w:cs="Times New Roman"/>
        </w:rPr>
        <w:t xml:space="preserve">Information referred to in </w:t>
      </w:r>
      <w:r w:rsidR="00217B02" w:rsidRPr="003979DB">
        <w:rPr>
          <w:rFonts w:ascii="Times New Roman" w:hAnsi="Times New Roman" w:cs="Times New Roman"/>
        </w:rPr>
        <w:t>paragraph (a) or (b)</w:t>
      </w:r>
      <w:r w:rsidR="0045556B">
        <w:rPr>
          <w:rFonts w:ascii="Times New Roman" w:hAnsi="Times New Roman" w:cs="Times New Roman"/>
        </w:rPr>
        <w:t>,</w:t>
      </w:r>
      <w:r w:rsidR="00217B02" w:rsidRPr="003979DB">
        <w:rPr>
          <w:rFonts w:ascii="Times New Roman" w:hAnsi="Times New Roman" w:cs="Times New Roman"/>
        </w:rPr>
        <w:t xml:space="preserve"> to which an agency or Minister has given </w:t>
      </w:r>
      <w:r w:rsidR="009063C3">
        <w:rPr>
          <w:rFonts w:ascii="Times New Roman" w:hAnsi="Times New Roman" w:cs="Times New Roman"/>
        </w:rPr>
        <w:t xml:space="preserve">  </w:t>
      </w:r>
      <w:r w:rsidR="00217B02" w:rsidRPr="003979DB">
        <w:rPr>
          <w:rFonts w:ascii="Times New Roman" w:hAnsi="Times New Roman" w:cs="Times New Roman"/>
        </w:rPr>
        <w:t>access to an app</w:t>
      </w:r>
      <w:r w:rsidR="00B375C0">
        <w:rPr>
          <w:rFonts w:ascii="Times New Roman" w:hAnsi="Times New Roman" w:cs="Times New Roman"/>
        </w:rPr>
        <w:t xml:space="preserve">licant under section 11A of the </w:t>
      </w:r>
      <w:r w:rsidR="00217B02" w:rsidRPr="003979DB">
        <w:rPr>
          <w:rFonts w:ascii="Times New Roman" w:hAnsi="Times New Roman" w:cs="Times New Roman"/>
        </w:rPr>
        <w:t>Act</w:t>
      </w:r>
      <w:r w:rsidR="0045556B">
        <w:rPr>
          <w:rFonts w:ascii="Times New Roman" w:hAnsi="Times New Roman" w:cs="Times New Roman"/>
        </w:rPr>
        <w:t>,</w:t>
      </w:r>
      <w:r w:rsidR="00217B02" w:rsidRPr="003979DB">
        <w:rPr>
          <w:rFonts w:ascii="Times New Roman" w:hAnsi="Times New Roman" w:cs="Times New Roman"/>
        </w:rPr>
        <w:t xml:space="preserve"> is </w:t>
      </w:r>
      <w:r w:rsidR="0045556B">
        <w:rPr>
          <w:rFonts w:ascii="Times New Roman" w:hAnsi="Times New Roman" w:cs="Times New Roman"/>
        </w:rPr>
        <w:t>determined</w:t>
      </w:r>
      <w:r w:rsidR="00217B02" w:rsidRPr="003979DB">
        <w:rPr>
          <w:rFonts w:ascii="Times New Roman" w:hAnsi="Times New Roman" w:cs="Times New Roman"/>
        </w:rPr>
        <w:t xml:space="preserve"> for the purposes of </w:t>
      </w:r>
      <w:r w:rsidRPr="003979DB">
        <w:rPr>
          <w:rFonts w:ascii="Times New Roman" w:hAnsi="Times New Roman" w:cs="Times New Roman"/>
        </w:rPr>
        <w:t>paragraph</w:t>
      </w:r>
      <w:r w:rsidR="00217B02" w:rsidRPr="003979DB">
        <w:rPr>
          <w:rFonts w:ascii="Times New Roman" w:hAnsi="Times New Roman" w:cs="Times New Roman"/>
        </w:rPr>
        <w:t xml:space="preserve"> 11C(1)(c) of the Act:</w:t>
      </w:r>
    </w:p>
    <w:p w14:paraId="5893195C" w14:textId="3D8900C0" w:rsidR="00217B02" w:rsidRPr="009063C3" w:rsidRDefault="00217B02" w:rsidP="009063C3">
      <w:pPr>
        <w:ind w:left="1440" w:hanging="720"/>
        <w:rPr>
          <w:rFonts w:ascii="Times New Roman" w:hAnsi="Times New Roman" w:cs="Times New Roman"/>
        </w:rPr>
      </w:pPr>
      <w:r w:rsidRPr="009063C3">
        <w:rPr>
          <w:rFonts w:ascii="Times New Roman" w:hAnsi="Times New Roman" w:cs="Times New Roman"/>
        </w:rPr>
        <w:t xml:space="preserve">(a) </w:t>
      </w:r>
      <w:r w:rsidRPr="009063C3">
        <w:rPr>
          <w:rFonts w:ascii="Times New Roman" w:hAnsi="Times New Roman" w:cs="Times New Roman"/>
        </w:rPr>
        <w:tab/>
        <w:t>information in a document that was an exempt document at the time that access was given by the agency or Minister to the applicant</w:t>
      </w:r>
    </w:p>
    <w:p w14:paraId="4BB3DDA6" w14:textId="77777777" w:rsidR="009063C3" w:rsidRDefault="00217B02" w:rsidP="009063C3">
      <w:pPr>
        <w:ind w:left="1440" w:hanging="720"/>
        <w:rPr>
          <w:rFonts w:ascii="Times New Roman" w:hAnsi="Times New Roman" w:cs="Times New Roman"/>
        </w:rPr>
      </w:pPr>
      <w:r w:rsidRPr="009063C3">
        <w:rPr>
          <w:rFonts w:ascii="Times New Roman" w:hAnsi="Times New Roman" w:cs="Times New Roman"/>
        </w:rPr>
        <w:t xml:space="preserve">(b) </w:t>
      </w:r>
      <w:r w:rsidRPr="009063C3">
        <w:rPr>
          <w:rFonts w:ascii="Times New Roman" w:hAnsi="Times New Roman" w:cs="Times New Roman"/>
        </w:rPr>
        <w:tab/>
        <w:t>information in a document that the agency or Minister would have decided was an exempt document at the time that access was given to the applicant, if the request for that document had been received from a person other than the applicant.</w:t>
      </w:r>
    </w:p>
    <w:p w14:paraId="61522F80" w14:textId="72F8BE92" w:rsidR="00632FAC" w:rsidRPr="009063C3" w:rsidRDefault="00774F1D" w:rsidP="009063C3">
      <w:pPr>
        <w:ind w:left="720"/>
        <w:rPr>
          <w:rFonts w:ascii="Times New Roman" w:hAnsi="Times New Roman" w:cs="Times New Roman"/>
        </w:rPr>
      </w:pPr>
      <w:r w:rsidRPr="009063C3">
        <w:rPr>
          <w:rFonts w:ascii="Times New Roman" w:hAnsi="Times New Roman" w:cs="Times New Roman"/>
          <w:sz w:val="20"/>
          <w:szCs w:val="20"/>
        </w:rPr>
        <w:t>Note: Paragraph 11C(1)(c) of the Act allows an agency or Minister</w:t>
      </w:r>
      <w:r w:rsidR="0058324E" w:rsidRPr="009063C3">
        <w:rPr>
          <w:rFonts w:ascii="Times New Roman" w:hAnsi="Times New Roman" w:cs="Times New Roman"/>
          <w:sz w:val="20"/>
          <w:szCs w:val="20"/>
        </w:rPr>
        <w:t xml:space="preserve">, having given access under section 11A of the Act, </w:t>
      </w:r>
      <w:r w:rsidRPr="009063C3">
        <w:rPr>
          <w:rFonts w:ascii="Times New Roman" w:hAnsi="Times New Roman" w:cs="Times New Roman"/>
          <w:sz w:val="20"/>
          <w:szCs w:val="20"/>
        </w:rPr>
        <w:t>not to publish</w:t>
      </w:r>
      <w:r w:rsidR="0058324E" w:rsidRPr="009063C3">
        <w:rPr>
          <w:rFonts w:ascii="Times New Roman" w:hAnsi="Times New Roman" w:cs="Times New Roman"/>
          <w:sz w:val="20"/>
          <w:szCs w:val="20"/>
        </w:rPr>
        <w:t xml:space="preserve"> </w:t>
      </w:r>
      <w:r w:rsidRPr="009063C3">
        <w:rPr>
          <w:rFonts w:ascii="Times New Roman" w:hAnsi="Times New Roman" w:cs="Times New Roman"/>
          <w:sz w:val="20"/>
          <w:szCs w:val="20"/>
        </w:rPr>
        <w:t>information of a kind determined by the Australian Information Commissioner</w:t>
      </w:r>
      <w:r w:rsidR="0058324E" w:rsidRPr="009063C3">
        <w:rPr>
          <w:rFonts w:ascii="Times New Roman" w:hAnsi="Times New Roman" w:cs="Times New Roman"/>
          <w:sz w:val="20"/>
          <w:szCs w:val="20"/>
        </w:rPr>
        <w:t>,</w:t>
      </w:r>
      <w:r w:rsidRPr="009063C3">
        <w:rPr>
          <w:rFonts w:ascii="Times New Roman" w:hAnsi="Times New Roman" w:cs="Times New Roman"/>
          <w:sz w:val="20"/>
          <w:szCs w:val="20"/>
        </w:rPr>
        <w:t xml:space="preserve"> if it would be unreasonable </w:t>
      </w:r>
      <w:r w:rsidR="0058324E" w:rsidRPr="009063C3">
        <w:rPr>
          <w:rFonts w:ascii="Times New Roman" w:hAnsi="Times New Roman" w:cs="Times New Roman"/>
          <w:sz w:val="20"/>
          <w:szCs w:val="20"/>
        </w:rPr>
        <w:t>to do so.</w:t>
      </w:r>
      <w:r w:rsidRPr="009063C3">
        <w:rPr>
          <w:rFonts w:ascii="Times New Roman" w:hAnsi="Times New Roman" w:cs="Times New Roman"/>
          <w:sz w:val="20"/>
          <w:szCs w:val="20"/>
        </w:rPr>
        <w:t xml:space="preserve"> </w:t>
      </w:r>
      <w:r w:rsidR="003979DB" w:rsidRPr="009063C3">
        <w:rPr>
          <w:rFonts w:ascii="Times New Roman" w:hAnsi="Times New Roman" w:cs="Times New Roman"/>
          <w:sz w:val="20"/>
          <w:szCs w:val="20"/>
        </w:rPr>
        <w:t>Guidance in relation to when it would be unreasonable to do so is found in the Explanatory Statement to this determination and in the Guidelines issued by the Australian Information Commissioner under s 93A of the Act.</w:t>
      </w:r>
    </w:p>
    <w:sectPr w:rsidR="00632FAC" w:rsidRPr="009063C3">
      <w:footerReference w:type="even" r:id="rId9"/>
      <w:footerReference w:type="defaul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DA7A2" w14:textId="77777777" w:rsidR="00487551" w:rsidRDefault="00487551" w:rsidP="00487551">
      <w:pPr>
        <w:spacing w:after="0" w:line="240" w:lineRule="auto"/>
      </w:pPr>
      <w:r>
        <w:separator/>
      </w:r>
    </w:p>
  </w:endnote>
  <w:endnote w:type="continuationSeparator" w:id="0">
    <w:p w14:paraId="37FCFFAE" w14:textId="77777777" w:rsidR="00487551" w:rsidRDefault="00487551" w:rsidP="0048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iDocIDField6f3d4eab-ef2a-40f7-99a7-a1b6"/>
  <w:p w14:paraId="42BF81BA" w14:textId="6DF52CE4" w:rsidR="00E17C12" w:rsidRDefault="00E17C12">
    <w:pPr>
      <w:pStyle w:val="DocID"/>
    </w:pPr>
    <w:r>
      <w:fldChar w:fldCharType="begin"/>
    </w:r>
    <w:r>
      <w:instrText xml:space="preserve">  DOCPROPERTY "CUS_DocIDChunk0" </w:instrText>
    </w:r>
    <w:r>
      <w:fldChar w:fldCharType="separate"/>
    </w:r>
    <w:r w:rsidR="009063C3">
      <w:t>Doc ID 533895893/v1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A397" w14:textId="77777777" w:rsidR="00750F87" w:rsidRPr="003526BC" w:rsidRDefault="00750F87" w:rsidP="00750F87">
    <w:pPr>
      <w:pBdr>
        <w:bottom w:val="single" w:sz="4" w:space="1" w:color="auto"/>
      </w:pBdr>
      <w:rPr>
        <w:rFonts w:ascii="Times New Roman" w:hAnsi="Times New Roman" w:cs="Times New Roman"/>
      </w:rPr>
    </w:pPr>
  </w:p>
  <w:p w14:paraId="6099F3EC" w14:textId="4A55B7F7" w:rsidR="00750F87" w:rsidRDefault="00750F87" w:rsidP="00E92B68">
    <w:pPr>
      <w:pStyle w:val="Footer"/>
      <w:ind w:right="110"/>
      <w:jc w:val="right"/>
    </w:pPr>
    <w:r>
      <w:fldChar w:fldCharType="begin"/>
    </w:r>
    <w:r>
      <w:instrText xml:space="preserve"> PAGE   \* MERGEFORMAT </w:instrText>
    </w:r>
    <w:r>
      <w:fldChar w:fldCharType="separate"/>
    </w:r>
    <w:r w:rsidR="00AC2FEC">
      <w:rPr>
        <w:noProof/>
      </w:rPr>
      <w:t>2</w:t>
    </w:r>
    <w:r>
      <w:rPr>
        <w:noProof/>
      </w:rPr>
      <w:fldChar w:fldCharType="end"/>
    </w:r>
  </w:p>
  <w:p w14:paraId="021EA1ED" w14:textId="17EC8CB1" w:rsidR="00750F87" w:rsidRDefault="00FD0853" w:rsidP="00750F87">
    <w:pPr>
      <w:pStyle w:val="DocID"/>
      <w:jc w:val="center"/>
      <w:rPr>
        <w:sz w:val="20"/>
      </w:rPr>
    </w:pPr>
    <w:r>
      <w:rPr>
        <w:rFonts w:ascii="Times New Roman" w:hAnsi="Times New Roman" w:cs="Times New Roman"/>
        <w:i/>
        <w:sz w:val="20"/>
      </w:rPr>
      <w:t>Freedom of Information (Disclosure Log – Exempt Documents) Determin</w:t>
    </w:r>
    <w:r w:rsidR="004D225A">
      <w:rPr>
        <w:rFonts w:ascii="Times New Roman" w:hAnsi="Times New Roman" w:cs="Times New Roman"/>
        <w:i/>
        <w:sz w:val="20"/>
      </w:rPr>
      <w:t>ation</w:t>
    </w:r>
    <w:r>
      <w:rPr>
        <w:rFonts w:ascii="Times New Roman" w:hAnsi="Times New Roman" w:cs="Times New Roman"/>
        <w:i/>
        <w:sz w:val="20"/>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iDocIDField55a696d8-ea7a-43bb-861b-f87e"/>
  <w:p w14:paraId="0F5DCA48" w14:textId="22891DF4" w:rsidR="00E17C12" w:rsidRDefault="00E17C12">
    <w:pPr>
      <w:pStyle w:val="DocID"/>
    </w:pPr>
    <w:r>
      <w:fldChar w:fldCharType="begin"/>
    </w:r>
    <w:r>
      <w:instrText xml:space="preserve">  DOCPROPERTY "CUS_DocIDChunk0" </w:instrText>
    </w:r>
    <w:r>
      <w:fldChar w:fldCharType="separate"/>
    </w:r>
    <w:r w:rsidR="009063C3">
      <w:t>Doc ID 533895893/v1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1069E" w14:textId="77777777" w:rsidR="00487551" w:rsidRDefault="00487551" w:rsidP="00487551">
      <w:pPr>
        <w:spacing w:after="0" w:line="240" w:lineRule="auto"/>
      </w:pPr>
      <w:r>
        <w:separator/>
      </w:r>
    </w:p>
  </w:footnote>
  <w:footnote w:type="continuationSeparator" w:id="0">
    <w:p w14:paraId="52BBE331" w14:textId="77777777" w:rsidR="00487551" w:rsidRDefault="00487551" w:rsidP="00487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857"/>
    <w:multiLevelType w:val="hybridMultilevel"/>
    <w:tmpl w:val="FFAE55FC"/>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247E49"/>
    <w:multiLevelType w:val="hybridMultilevel"/>
    <w:tmpl w:val="3932930C"/>
    <w:lvl w:ilvl="0" w:tplc="4B602762">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804C7D"/>
    <w:multiLevelType w:val="hybridMultilevel"/>
    <w:tmpl w:val="095C871A"/>
    <w:lvl w:ilvl="0" w:tplc="EA9053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7C74E3"/>
    <w:multiLevelType w:val="hybridMultilevel"/>
    <w:tmpl w:val="017AFCBE"/>
    <w:lvl w:ilvl="0" w:tplc="CD04D0EA">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B34C9A"/>
    <w:multiLevelType w:val="hybridMultilevel"/>
    <w:tmpl w:val="0226CC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0432E8"/>
    <w:multiLevelType w:val="hybridMultilevel"/>
    <w:tmpl w:val="76F8885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8207CF8"/>
    <w:multiLevelType w:val="hybridMultilevel"/>
    <w:tmpl w:val="64B28CEA"/>
    <w:lvl w:ilvl="0" w:tplc="79B823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58139B"/>
    <w:multiLevelType w:val="hybridMultilevel"/>
    <w:tmpl w:val="8D103140"/>
    <w:lvl w:ilvl="0" w:tplc="432EA6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CA758D"/>
    <w:multiLevelType w:val="hybridMultilevel"/>
    <w:tmpl w:val="711A7DC2"/>
    <w:lvl w:ilvl="0" w:tplc="9F1471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C412A55"/>
    <w:multiLevelType w:val="hybridMultilevel"/>
    <w:tmpl w:val="4F7A505E"/>
    <w:lvl w:ilvl="0" w:tplc="5DFADE5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6E5EDC"/>
    <w:multiLevelType w:val="hybridMultilevel"/>
    <w:tmpl w:val="095C871A"/>
    <w:lvl w:ilvl="0" w:tplc="EA9053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48E1210"/>
    <w:multiLevelType w:val="hybridMultilevel"/>
    <w:tmpl w:val="33A0EB06"/>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1F723D"/>
    <w:multiLevelType w:val="hybridMultilevel"/>
    <w:tmpl w:val="20827186"/>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BD66280"/>
    <w:multiLevelType w:val="hybridMultilevel"/>
    <w:tmpl w:val="33A0EB06"/>
    <w:lvl w:ilvl="0" w:tplc="5DFADE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5C639A"/>
    <w:multiLevelType w:val="hybridMultilevel"/>
    <w:tmpl w:val="802220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5583434"/>
    <w:multiLevelType w:val="hybridMultilevel"/>
    <w:tmpl w:val="B49C7846"/>
    <w:lvl w:ilvl="0" w:tplc="642097D8">
      <w:start w:val="6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6F469AB"/>
    <w:multiLevelType w:val="hybridMultilevel"/>
    <w:tmpl w:val="36420916"/>
    <w:lvl w:ilvl="0" w:tplc="5DFADE52">
      <w:start w:val="1"/>
      <w:numFmt w:val="decimal"/>
      <w:lvlText w:val="(%1)"/>
      <w:lvlJc w:val="left"/>
      <w:pPr>
        <w:ind w:left="720" w:hanging="360"/>
      </w:pPr>
      <w:rPr>
        <w:rFonts w:hint="default"/>
      </w:rPr>
    </w:lvl>
    <w:lvl w:ilvl="1" w:tplc="4AE81D2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256A04"/>
    <w:multiLevelType w:val="hybridMultilevel"/>
    <w:tmpl w:val="B91A998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C0C37E5"/>
    <w:multiLevelType w:val="hybridMultilevel"/>
    <w:tmpl w:val="280CB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1"/>
  </w:num>
  <w:num w:numId="4">
    <w:abstractNumId w:val="13"/>
  </w:num>
  <w:num w:numId="5">
    <w:abstractNumId w:val="17"/>
  </w:num>
  <w:num w:numId="6">
    <w:abstractNumId w:val="16"/>
  </w:num>
  <w:num w:numId="7">
    <w:abstractNumId w:val="12"/>
  </w:num>
  <w:num w:numId="8">
    <w:abstractNumId w:val="4"/>
  </w:num>
  <w:num w:numId="9">
    <w:abstractNumId w:val="5"/>
  </w:num>
  <w:num w:numId="10">
    <w:abstractNumId w:val="9"/>
  </w:num>
  <w:num w:numId="11">
    <w:abstractNumId w:val="8"/>
  </w:num>
  <w:num w:numId="12">
    <w:abstractNumId w:val="1"/>
  </w:num>
  <w:num w:numId="13">
    <w:abstractNumId w:val="15"/>
  </w:num>
  <w:num w:numId="14">
    <w:abstractNumId w:val="3"/>
  </w:num>
  <w:num w:numId="15">
    <w:abstractNumId w:val="18"/>
  </w:num>
  <w:num w:numId="16">
    <w:abstractNumId w:val="7"/>
  </w:num>
  <w:num w:numId="17">
    <w:abstractNumId w:val="2"/>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B4"/>
    <w:rsid w:val="00001E76"/>
    <w:rsid w:val="00002033"/>
    <w:rsid w:val="000044DD"/>
    <w:rsid w:val="000171A7"/>
    <w:rsid w:val="00034B9D"/>
    <w:rsid w:val="00041970"/>
    <w:rsid w:val="00047829"/>
    <w:rsid w:val="00047D57"/>
    <w:rsid w:val="000500F7"/>
    <w:rsid w:val="000633E9"/>
    <w:rsid w:val="0007415B"/>
    <w:rsid w:val="00084CA0"/>
    <w:rsid w:val="000932CB"/>
    <w:rsid w:val="000B4713"/>
    <w:rsid w:val="000B4D1F"/>
    <w:rsid w:val="000C0179"/>
    <w:rsid w:val="000C3FF2"/>
    <w:rsid w:val="000E13E3"/>
    <w:rsid w:val="000F14B5"/>
    <w:rsid w:val="00103AF5"/>
    <w:rsid w:val="001045A0"/>
    <w:rsid w:val="00111C3E"/>
    <w:rsid w:val="00122F97"/>
    <w:rsid w:val="001509BA"/>
    <w:rsid w:val="00156C43"/>
    <w:rsid w:val="00186BCF"/>
    <w:rsid w:val="00195444"/>
    <w:rsid w:val="001A4376"/>
    <w:rsid w:val="001A6D5C"/>
    <w:rsid w:val="001D6144"/>
    <w:rsid w:val="001E3486"/>
    <w:rsid w:val="00207A3B"/>
    <w:rsid w:val="00207CAE"/>
    <w:rsid w:val="00217B02"/>
    <w:rsid w:val="00217D10"/>
    <w:rsid w:val="0022136B"/>
    <w:rsid w:val="00237F8F"/>
    <w:rsid w:val="00261869"/>
    <w:rsid w:val="00263A22"/>
    <w:rsid w:val="002B6E99"/>
    <w:rsid w:val="003979DB"/>
    <w:rsid w:val="003C7460"/>
    <w:rsid w:val="003F3A6F"/>
    <w:rsid w:val="00425C05"/>
    <w:rsid w:val="00453A78"/>
    <w:rsid w:val="0045556B"/>
    <w:rsid w:val="00467660"/>
    <w:rsid w:val="00481318"/>
    <w:rsid w:val="00483487"/>
    <w:rsid w:val="00487551"/>
    <w:rsid w:val="0049717A"/>
    <w:rsid w:val="00497BF0"/>
    <w:rsid w:val="004A4781"/>
    <w:rsid w:val="004A7540"/>
    <w:rsid w:val="004B20DA"/>
    <w:rsid w:val="004C44A0"/>
    <w:rsid w:val="004D225A"/>
    <w:rsid w:val="004D4EB2"/>
    <w:rsid w:val="004E169E"/>
    <w:rsid w:val="005066DF"/>
    <w:rsid w:val="00524E59"/>
    <w:rsid w:val="00541DA7"/>
    <w:rsid w:val="00563E6A"/>
    <w:rsid w:val="0058324E"/>
    <w:rsid w:val="005851EF"/>
    <w:rsid w:val="005866AD"/>
    <w:rsid w:val="005A5941"/>
    <w:rsid w:val="005B6BFF"/>
    <w:rsid w:val="005C3853"/>
    <w:rsid w:val="005C5EB0"/>
    <w:rsid w:val="005E6770"/>
    <w:rsid w:val="006041B7"/>
    <w:rsid w:val="006047A2"/>
    <w:rsid w:val="00632FAC"/>
    <w:rsid w:val="00646EF9"/>
    <w:rsid w:val="00676D7E"/>
    <w:rsid w:val="006B32A1"/>
    <w:rsid w:val="006B4691"/>
    <w:rsid w:val="00700A9A"/>
    <w:rsid w:val="007433D3"/>
    <w:rsid w:val="00745500"/>
    <w:rsid w:val="00750F87"/>
    <w:rsid w:val="00760B97"/>
    <w:rsid w:val="00774147"/>
    <w:rsid w:val="00774F1D"/>
    <w:rsid w:val="00785E3A"/>
    <w:rsid w:val="00787121"/>
    <w:rsid w:val="007A6D42"/>
    <w:rsid w:val="007E6FEA"/>
    <w:rsid w:val="007F6E87"/>
    <w:rsid w:val="008005CF"/>
    <w:rsid w:val="00803FB9"/>
    <w:rsid w:val="00823D52"/>
    <w:rsid w:val="00873DE1"/>
    <w:rsid w:val="008851AA"/>
    <w:rsid w:val="00885A53"/>
    <w:rsid w:val="00896EA4"/>
    <w:rsid w:val="008D7FA7"/>
    <w:rsid w:val="008E0DCE"/>
    <w:rsid w:val="008E599B"/>
    <w:rsid w:val="00905D2A"/>
    <w:rsid w:val="009063C3"/>
    <w:rsid w:val="009079C0"/>
    <w:rsid w:val="009118E4"/>
    <w:rsid w:val="0093772B"/>
    <w:rsid w:val="009421A8"/>
    <w:rsid w:val="00975272"/>
    <w:rsid w:val="009D0E18"/>
    <w:rsid w:val="009D6471"/>
    <w:rsid w:val="009E0653"/>
    <w:rsid w:val="009E0DC8"/>
    <w:rsid w:val="009E5B3C"/>
    <w:rsid w:val="009E6ED2"/>
    <w:rsid w:val="009F0282"/>
    <w:rsid w:val="00A0714A"/>
    <w:rsid w:val="00A10EEE"/>
    <w:rsid w:val="00A25C02"/>
    <w:rsid w:val="00A4174F"/>
    <w:rsid w:val="00A461FA"/>
    <w:rsid w:val="00A62170"/>
    <w:rsid w:val="00A67872"/>
    <w:rsid w:val="00AC2FEC"/>
    <w:rsid w:val="00B0040F"/>
    <w:rsid w:val="00B0775A"/>
    <w:rsid w:val="00B1099B"/>
    <w:rsid w:val="00B11DB4"/>
    <w:rsid w:val="00B24475"/>
    <w:rsid w:val="00B363AE"/>
    <w:rsid w:val="00B375C0"/>
    <w:rsid w:val="00B57837"/>
    <w:rsid w:val="00B70E83"/>
    <w:rsid w:val="00BA21D8"/>
    <w:rsid w:val="00BA7691"/>
    <w:rsid w:val="00BB471C"/>
    <w:rsid w:val="00BE7C5C"/>
    <w:rsid w:val="00C63D37"/>
    <w:rsid w:val="00C90EC3"/>
    <w:rsid w:val="00CA47E4"/>
    <w:rsid w:val="00CB5A3D"/>
    <w:rsid w:val="00CC1E8D"/>
    <w:rsid w:val="00CC60FF"/>
    <w:rsid w:val="00CE1238"/>
    <w:rsid w:val="00CF5504"/>
    <w:rsid w:val="00D02E63"/>
    <w:rsid w:val="00D1063F"/>
    <w:rsid w:val="00D149DF"/>
    <w:rsid w:val="00D37866"/>
    <w:rsid w:val="00D51B58"/>
    <w:rsid w:val="00D746DB"/>
    <w:rsid w:val="00DD7A97"/>
    <w:rsid w:val="00E015FC"/>
    <w:rsid w:val="00E129AC"/>
    <w:rsid w:val="00E17C12"/>
    <w:rsid w:val="00E27886"/>
    <w:rsid w:val="00E354B8"/>
    <w:rsid w:val="00E4323B"/>
    <w:rsid w:val="00E67727"/>
    <w:rsid w:val="00E80DFB"/>
    <w:rsid w:val="00E90558"/>
    <w:rsid w:val="00E92B68"/>
    <w:rsid w:val="00E93987"/>
    <w:rsid w:val="00EA0D96"/>
    <w:rsid w:val="00EC3163"/>
    <w:rsid w:val="00EE1735"/>
    <w:rsid w:val="00EF7482"/>
    <w:rsid w:val="00F0380E"/>
    <w:rsid w:val="00F12BEF"/>
    <w:rsid w:val="00F25D1E"/>
    <w:rsid w:val="00F43346"/>
    <w:rsid w:val="00F65A12"/>
    <w:rsid w:val="00F7715D"/>
    <w:rsid w:val="00F82D03"/>
    <w:rsid w:val="00F92346"/>
    <w:rsid w:val="00F9332D"/>
    <w:rsid w:val="00FB5DB5"/>
    <w:rsid w:val="00FD0853"/>
    <w:rsid w:val="00FD664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D40B72F"/>
  <w15:docId w15:val="{577C76FE-1177-45F9-BCAA-B797234E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486"/>
    <w:pPr>
      <w:ind w:left="720"/>
      <w:contextualSpacing/>
    </w:pPr>
  </w:style>
  <w:style w:type="paragraph" w:styleId="BodyText">
    <w:name w:val="Body Text"/>
    <w:basedOn w:val="Normal"/>
    <w:link w:val="BodyTextChar"/>
    <w:uiPriority w:val="1"/>
    <w:qFormat/>
    <w:rsid w:val="00A4174F"/>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A4174F"/>
    <w:rPr>
      <w:rFonts w:eastAsia="Times New Roman" w:cs="Times New Roman"/>
      <w:szCs w:val="24"/>
      <w:lang w:eastAsia="en-AU"/>
    </w:rPr>
  </w:style>
  <w:style w:type="paragraph" w:customStyle="1" w:styleId="Default">
    <w:name w:val="Default"/>
    <w:rsid w:val="00632FAC"/>
    <w:pPr>
      <w:autoSpaceDE w:val="0"/>
      <w:autoSpaceDN w:val="0"/>
      <w:adjustRightInd w:val="0"/>
      <w:spacing w:after="0" w:line="240" w:lineRule="auto"/>
    </w:pPr>
    <w:rPr>
      <w:rFonts w:ascii="Calibri" w:hAnsi="Calibri" w:cs="Calibri"/>
      <w:sz w:val="24"/>
      <w:szCs w:val="24"/>
    </w:rPr>
  </w:style>
  <w:style w:type="paragraph" w:styleId="BalloonText">
    <w:name w:val="Balloon Text"/>
    <w:basedOn w:val="Normal"/>
    <w:link w:val="BalloonTextChar"/>
    <w:uiPriority w:val="99"/>
    <w:semiHidden/>
    <w:unhideWhenUsed/>
    <w:rsid w:val="00823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52"/>
    <w:rPr>
      <w:rFonts w:ascii="Tahoma" w:hAnsi="Tahoma" w:cs="Tahoma"/>
      <w:sz w:val="16"/>
      <w:szCs w:val="16"/>
    </w:rPr>
  </w:style>
  <w:style w:type="character" w:styleId="CommentReference">
    <w:name w:val="annotation reference"/>
    <w:basedOn w:val="DefaultParagraphFont"/>
    <w:uiPriority w:val="99"/>
    <w:semiHidden/>
    <w:unhideWhenUsed/>
    <w:rsid w:val="0049717A"/>
    <w:rPr>
      <w:sz w:val="16"/>
      <w:szCs w:val="16"/>
    </w:rPr>
  </w:style>
  <w:style w:type="paragraph" w:styleId="CommentText">
    <w:name w:val="annotation text"/>
    <w:basedOn w:val="Normal"/>
    <w:link w:val="CommentTextChar"/>
    <w:uiPriority w:val="99"/>
    <w:unhideWhenUsed/>
    <w:rsid w:val="0049717A"/>
    <w:pPr>
      <w:spacing w:line="240" w:lineRule="auto"/>
    </w:pPr>
    <w:rPr>
      <w:sz w:val="20"/>
      <w:szCs w:val="20"/>
    </w:rPr>
  </w:style>
  <w:style w:type="character" w:customStyle="1" w:styleId="CommentTextChar">
    <w:name w:val="Comment Text Char"/>
    <w:basedOn w:val="DefaultParagraphFont"/>
    <w:link w:val="CommentText"/>
    <w:uiPriority w:val="99"/>
    <w:rsid w:val="0049717A"/>
    <w:rPr>
      <w:sz w:val="20"/>
      <w:szCs w:val="20"/>
    </w:rPr>
  </w:style>
  <w:style w:type="paragraph" w:styleId="CommentSubject">
    <w:name w:val="annotation subject"/>
    <w:basedOn w:val="CommentText"/>
    <w:next w:val="CommentText"/>
    <w:link w:val="CommentSubjectChar"/>
    <w:uiPriority w:val="99"/>
    <w:semiHidden/>
    <w:unhideWhenUsed/>
    <w:rsid w:val="0049717A"/>
    <w:rPr>
      <w:b/>
      <w:bCs/>
    </w:rPr>
  </w:style>
  <w:style w:type="character" w:customStyle="1" w:styleId="CommentSubjectChar">
    <w:name w:val="Comment Subject Char"/>
    <w:basedOn w:val="CommentTextChar"/>
    <w:link w:val="CommentSubject"/>
    <w:uiPriority w:val="99"/>
    <w:semiHidden/>
    <w:rsid w:val="0049717A"/>
    <w:rPr>
      <w:b/>
      <w:bCs/>
      <w:sz w:val="20"/>
      <w:szCs w:val="20"/>
    </w:rPr>
  </w:style>
  <w:style w:type="paragraph" w:styleId="Header">
    <w:name w:val="header"/>
    <w:basedOn w:val="Normal"/>
    <w:link w:val="HeaderChar"/>
    <w:uiPriority w:val="99"/>
    <w:unhideWhenUsed/>
    <w:rsid w:val="00487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551"/>
  </w:style>
  <w:style w:type="paragraph" w:styleId="Footer">
    <w:name w:val="footer"/>
    <w:basedOn w:val="Normal"/>
    <w:link w:val="FooterChar"/>
    <w:uiPriority w:val="99"/>
    <w:unhideWhenUsed/>
    <w:rsid w:val="004875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551"/>
  </w:style>
  <w:style w:type="paragraph" w:customStyle="1" w:styleId="DocID">
    <w:name w:val="DocID"/>
    <w:basedOn w:val="Footer"/>
    <w:next w:val="Footer"/>
    <w:link w:val="DocIDChar"/>
    <w:rsid w:val="00E17C12"/>
    <w:pPr>
      <w:tabs>
        <w:tab w:val="clear" w:pos="4513"/>
        <w:tab w:val="clear" w:pos="9026"/>
      </w:tabs>
      <w:spacing w:before="60" w:after="60"/>
    </w:pPr>
    <w:rPr>
      <w:rFonts w:ascii="Arial" w:eastAsia="Times New Roman" w:hAnsi="Arial" w:cs="Arial"/>
      <w:sz w:val="14"/>
      <w:szCs w:val="20"/>
      <w:lang w:eastAsia="zh-TW"/>
    </w:rPr>
  </w:style>
  <w:style w:type="character" w:customStyle="1" w:styleId="DocIDChar">
    <w:name w:val="DocID Char"/>
    <w:basedOn w:val="DefaultParagraphFont"/>
    <w:link w:val="DocID"/>
    <w:rsid w:val="00E17C12"/>
    <w:rPr>
      <w:rFonts w:ascii="Arial" w:eastAsia="Times New Roman" w:hAnsi="Arial" w:cs="Arial"/>
      <w:sz w:val="14"/>
      <w:szCs w:val="20"/>
      <w:lang w:val="en-AU"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30A2-E984-46E8-B421-723728506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Fitzell</dc:creator>
  <cp:keywords/>
  <cp:lastModifiedBy>Raewyn Harlock</cp:lastModifiedBy>
  <cp:revision>2</cp:revision>
  <cp:lastPrinted>2018-11-07T04:57:00Z</cp:lastPrinted>
  <dcterms:created xsi:type="dcterms:W3CDTF">2018-11-29T03:19:00Z</dcterms:created>
  <dcterms:modified xsi:type="dcterms:W3CDTF">2018-11-29T03:19:00Z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533895893/v1</vt:lpwstr>
  </property>
  <property fmtid="{D5CDD505-2E9C-101B-9397-08002B2CF9AE}" pid="3" name="CUS_DocIDChunk0">
    <vt:lpwstr>Doc ID 533895893/v1</vt:lpwstr>
  </property>
  <property fmtid="{D5CDD505-2E9C-101B-9397-08002B2CF9AE}" pid="4" name="CUS_DocIDActiveBits">
    <vt:lpwstr>1046528</vt:lpwstr>
  </property>
  <property fmtid="{D5CDD505-2E9C-101B-9397-08002B2CF9AE}" pid="5" name="CUS_DocIDLocation">
    <vt:lpwstr>EVERY_PAGE</vt:lpwstr>
  </property>
</Properties>
</file>