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u w:val="single"/>
          <w:lang w:eastAsia="en-AU"/>
        </w:rPr>
        <w:t>EXPLANATORY STATEMENT</w:t>
      </w:r>
    </w:p>
    <w:p w:rsidR="00CF4F5B" w:rsidRPr="00CF4F5B" w:rsidRDefault="00CF4F5B" w:rsidP="002339D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p>
    <w:p w:rsidR="00CF4F5B" w:rsidRPr="00AF5312" w:rsidRDefault="00CF4F5B" w:rsidP="002339D0">
      <w:pPr>
        <w:shd w:val="clear" w:color="auto" w:fill="FFFFFF"/>
        <w:spacing w:before="100" w:beforeAutospacing="1" w:after="100" w:afterAutospacing="1" w:line="240" w:lineRule="auto"/>
        <w:jc w:val="center"/>
        <w:rPr>
          <w:rFonts w:ascii="Times New Roman" w:eastAsia="Times New Roman" w:hAnsi="Times New Roman" w:cs="Times New Roman"/>
          <w:b/>
          <w:i/>
          <w:sz w:val="24"/>
          <w:szCs w:val="24"/>
          <w:lang w:val="en-US" w:eastAsia="en-AU"/>
        </w:rPr>
      </w:pPr>
      <w:r w:rsidRPr="00AF5312">
        <w:rPr>
          <w:rFonts w:ascii="Times New Roman" w:eastAsia="Times New Roman" w:hAnsi="Times New Roman" w:cs="Times New Roman"/>
          <w:b/>
          <w:bCs/>
          <w:i/>
          <w:sz w:val="24"/>
          <w:szCs w:val="24"/>
          <w:lang w:eastAsia="en-AU"/>
        </w:rPr>
        <w:t xml:space="preserve">Therapeutic Goods (Permissible Ingredients) Determination </w:t>
      </w:r>
      <w:r w:rsidR="00AF5312" w:rsidRPr="00AF5312">
        <w:rPr>
          <w:rFonts w:ascii="Times New Roman" w:eastAsia="Times New Roman" w:hAnsi="Times New Roman" w:cs="Times New Roman"/>
          <w:b/>
          <w:bCs/>
          <w:i/>
          <w:sz w:val="24"/>
          <w:szCs w:val="24"/>
          <w:lang w:eastAsia="en-AU"/>
        </w:rPr>
        <w:t>(</w:t>
      </w:r>
      <w:r w:rsidRPr="00AF5312">
        <w:rPr>
          <w:rFonts w:ascii="Times New Roman" w:eastAsia="Times New Roman" w:hAnsi="Times New Roman" w:cs="Times New Roman"/>
          <w:b/>
          <w:bCs/>
          <w:i/>
          <w:sz w:val="24"/>
          <w:szCs w:val="24"/>
          <w:lang w:eastAsia="en-AU"/>
        </w:rPr>
        <w:t>No.</w:t>
      </w:r>
      <w:r w:rsidR="008C5C7D" w:rsidRPr="00AF5312">
        <w:rPr>
          <w:rFonts w:ascii="Times New Roman" w:eastAsia="Times New Roman" w:hAnsi="Times New Roman" w:cs="Times New Roman"/>
          <w:b/>
          <w:bCs/>
          <w:i/>
          <w:sz w:val="24"/>
          <w:szCs w:val="24"/>
          <w:lang w:eastAsia="en-AU"/>
        </w:rPr>
        <w:t xml:space="preserve"> </w:t>
      </w:r>
      <w:r w:rsidR="00583F67" w:rsidRPr="00AF5312">
        <w:rPr>
          <w:rFonts w:ascii="Times New Roman" w:eastAsia="Times New Roman" w:hAnsi="Times New Roman" w:cs="Times New Roman"/>
          <w:b/>
          <w:bCs/>
          <w:i/>
          <w:sz w:val="24"/>
          <w:szCs w:val="24"/>
          <w:lang w:eastAsia="en-AU"/>
        </w:rPr>
        <w:t>4</w:t>
      </w:r>
      <w:r w:rsidR="00AF5312" w:rsidRPr="00AF5312">
        <w:rPr>
          <w:rFonts w:ascii="Times New Roman" w:eastAsia="Times New Roman" w:hAnsi="Times New Roman" w:cs="Times New Roman"/>
          <w:b/>
          <w:bCs/>
          <w:i/>
          <w:sz w:val="24"/>
          <w:szCs w:val="24"/>
          <w:lang w:eastAsia="en-AU"/>
        </w:rPr>
        <w:t>)</w:t>
      </w:r>
      <w:r w:rsidRPr="00AF5312">
        <w:rPr>
          <w:rFonts w:ascii="Times New Roman" w:eastAsia="Times New Roman" w:hAnsi="Times New Roman" w:cs="Times New Roman"/>
          <w:b/>
          <w:bCs/>
          <w:i/>
          <w:sz w:val="24"/>
          <w:szCs w:val="24"/>
          <w:lang w:eastAsia="en-AU"/>
        </w:rPr>
        <w:t xml:space="preserve"> </w:t>
      </w:r>
      <w:r w:rsidR="00583F67" w:rsidRPr="00AF5312">
        <w:rPr>
          <w:rFonts w:ascii="Times New Roman" w:eastAsia="Times New Roman" w:hAnsi="Times New Roman" w:cs="Times New Roman"/>
          <w:b/>
          <w:bCs/>
          <w:i/>
          <w:sz w:val="24"/>
          <w:szCs w:val="24"/>
          <w:lang w:eastAsia="en-AU"/>
        </w:rPr>
        <w:t>2018</w:t>
      </w:r>
    </w:p>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 </w:t>
      </w:r>
    </w:p>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 xml:space="preserve">Subsection </w:t>
      </w:r>
      <w:proofErr w:type="gramStart"/>
      <w:r w:rsidRPr="00CF4F5B">
        <w:rPr>
          <w:rFonts w:ascii="Times New Roman" w:eastAsia="Times New Roman" w:hAnsi="Times New Roman" w:cs="Times New Roman"/>
          <w:i/>
          <w:iCs/>
          <w:sz w:val="24"/>
          <w:szCs w:val="24"/>
          <w:lang w:eastAsia="en-AU"/>
        </w:rPr>
        <w:t>26BB(</w:t>
      </w:r>
      <w:proofErr w:type="gramEnd"/>
      <w:r w:rsidRPr="00CF4F5B">
        <w:rPr>
          <w:rFonts w:ascii="Times New Roman" w:eastAsia="Times New Roman" w:hAnsi="Times New Roman" w:cs="Times New Roman"/>
          <w:i/>
          <w:iCs/>
          <w:sz w:val="24"/>
          <w:szCs w:val="24"/>
          <w:lang w:eastAsia="en-AU"/>
        </w:rPr>
        <w:t>1), Therapeutic Goods Act 1989</w:t>
      </w:r>
    </w:p>
    <w:p w:rsidR="00CF4F5B" w:rsidRPr="004764B6" w:rsidRDefault="00CF4F5B" w:rsidP="004764B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4764B6">
        <w:rPr>
          <w:rFonts w:ascii="Times New Roman" w:eastAsia="Times New Roman" w:hAnsi="Times New Roman" w:cs="Times New Roman"/>
          <w:b/>
          <w:bCs/>
          <w:sz w:val="24"/>
          <w:szCs w:val="24"/>
          <w:lang w:eastAsia="en-AU"/>
        </w:rPr>
        <w:t>OUTLINE </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w:t>
      </w:r>
      <w:r w:rsidR="008E5B61">
        <w:rPr>
          <w:rFonts w:ascii="Times New Roman" w:eastAsia="Times New Roman" w:hAnsi="Times New Roman" w:cs="Times New Roman"/>
          <w:sz w:val="24"/>
          <w:szCs w:val="24"/>
          <w:lang w:eastAsia="en-AU"/>
        </w:rPr>
        <w:t>e</w:t>
      </w:r>
      <w:r w:rsidR="00476ACD">
        <w:rPr>
          <w:rFonts w:ascii="Times New Roman" w:eastAsia="Times New Roman" w:hAnsi="Times New Roman" w:cs="Times New Roman"/>
          <w:sz w:val="24"/>
          <w:szCs w:val="24"/>
          <w:lang w:eastAsia="en-AU"/>
        </w:rPr>
        <w:t xml:space="preserve"> </w:t>
      </w:r>
      <w:r w:rsidRPr="001F7D15">
        <w:rPr>
          <w:rFonts w:ascii="Times New Roman" w:eastAsia="Times New Roman" w:hAnsi="Times New Roman" w:cs="Times New Roman"/>
          <w:i/>
          <w:iCs/>
          <w:sz w:val="24"/>
          <w:szCs w:val="24"/>
          <w:lang w:eastAsia="en-AU"/>
        </w:rPr>
        <w:t xml:space="preserve">Therapeutic Goods (Permissible Ingredients) Determination </w:t>
      </w:r>
      <w:r w:rsidR="00AF5312">
        <w:rPr>
          <w:rFonts w:ascii="Times New Roman" w:eastAsia="Times New Roman" w:hAnsi="Times New Roman" w:cs="Times New Roman"/>
          <w:i/>
          <w:iCs/>
          <w:sz w:val="24"/>
          <w:szCs w:val="24"/>
          <w:lang w:eastAsia="en-AU"/>
        </w:rPr>
        <w:t>(</w:t>
      </w:r>
      <w:r w:rsidRPr="001F7D15">
        <w:rPr>
          <w:rFonts w:ascii="Times New Roman" w:eastAsia="Times New Roman" w:hAnsi="Times New Roman" w:cs="Times New Roman"/>
          <w:i/>
          <w:iCs/>
          <w:sz w:val="24"/>
          <w:szCs w:val="24"/>
          <w:lang w:eastAsia="en-AU"/>
        </w:rPr>
        <w:t>No.</w:t>
      </w:r>
      <w:r w:rsidR="00FC4683" w:rsidRPr="001F7D15">
        <w:rPr>
          <w:rFonts w:ascii="Times New Roman" w:eastAsia="Times New Roman" w:hAnsi="Times New Roman" w:cs="Times New Roman"/>
          <w:i/>
          <w:iCs/>
          <w:sz w:val="24"/>
          <w:szCs w:val="24"/>
          <w:lang w:eastAsia="en-AU"/>
        </w:rPr>
        <w:t xml:space="preserve"> </w:t>
      </w:r>
      <w:r w:rsidR="00583F67" w:rsidRPr="001F7D15">
        <w:rPr>
          <w:rFonts w:ascii="Times New Roman" w:eastAsia="Times New Roman" w:hAnsi="Times New Roman" w:cs="Times New Roman"/>
          <w:i/>
          <w:iCs/>
          <w:sz w:val="24"/>
          <w:szCs w:val="24"/>
          <w:lang w:eastAsia="en-AU"/>
        </w:rPr>
        <w:t>4</w:t>
      </w:r>
      <w:r w:rsidR="00AF5312">
        <w:rPr>
          <w:rFonts w:ascii="Times New Roman" w:eastAsia="Times New Roman" w:hAnsi="Times New Roman" w:cs="Times New Roman"/>
          <w:i/>
          <w:iCs/>
          <w:sz w:val="24"/>
          <w:szCs w:val="24"/>
          <w:lang w:eastAsia="en-AU"/>
        </w:rPr>
        <w:t>)</w:t>
      </w:r>
      <w:r w:rsidRPr="00CF4F5B">
        <w:rPr>
          <w:rFonts w:ascii="Times New Roman" w:eastAsia="Times New Roman" w:hAnsi="Times New Roman" w:cs="Times New Roman"/>
          <w:i/>
          <w:iCs/>
          <w:sz w:val="24"/>
          <w:szCs w:val="24"/>
          <w:lang w:eastAsia="en-AU"/>
        </w:rPr>
        <w:t xml:space="preserve"> </w:t>
      </w:r>
      <w:r w:rsidR="00583F67">
        <w:rPr>
          <w:rFonts w:ascii="Times New Roman" w:eastAsia="Times New Roman" w:hAnsi="Times New Roman" w:cs="Times New Roman"/>
          <w:i/>
          <w:iCs/>
          <w:sz w:val="24"/>
          <w:szCs w:val="24"/>
          <w:lang w:eastAsia="en-AU"/>
        </w:rPr>
        <w:t>2018</w:t>
      </w:r>
      <w:r w:rsidRPr="00CF4F5B">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sz w:val="24"/>
          <w:szCs w:val="24"/>
          <w:lang w:eastAsia="en-AU"/>
        </w:rPr>
        <w:t xml:space="preserve">(the Determination) is a </w:t>
      </w:r>
      <w:r w:rsidR="008E5B61">
        <w:rPr>
          <w:rFonts w:ascii="Times New Roman" w:eastAsia="Times New Roman" w:hAnsi="Times New Roman" w:cs="Times New Roman"/>
          <w:sz w:val="24"/>
          <w:szCs w:val="24"/>
          <w:lang w:eastAsia="en-AU"/>
        </w:rPr>
        <w:t>legislative instrument</w:t>
      </w:r>
      <w:r w:rsidRPr="00CF4F5B">
        <w:rPr>
          <w:rFonts w:ascii="Times New Roman" w:eastAsia="Times New Roman" w:hAnsi="Times New Roman" w:cs="Times New Roman"/>
          <w:sz w:val="24"/>
          <w:szCs w:val="24"/>
          <w:lang w:eastAsia="en-AU"/>
        </w:rPr>
        <w:t xml:space="preserve"> made </w:t>
      </w:r>
      <w:r w:rsidR="008E5B61">
        <w:rPr>
          <w:rFonts w:ascii="Times New Roman" w:eastAsia="Times New Roman" w:hAnsi="Times New Roman" w:cs="Times New Roman"/>
          <w:sz w:val="24"/>
          <w:szCs w:val="24"/>
          <w:lang w:eastAsia="en-AU"/>
        </w:rPr>
        <w:t xml:space="preserve">by a delegate of the Minister for Health </w:t>
      </w:r>
      <w:r w:rsidRPr="00CF4F5B">
        <w:rPr>
          <w:rFonts w:ascii="Times New Roman" w:eastAsia="Times New Roman" w:hAnsi="Times New Roman" w:cs="Times New Roman"/>
          <w:sz w:val="24"/>
          <w:szCs w:val="24"/>
          <w:lang w:eastAsia="en-AU"/>
        </w:rPr>
        <w:t>under subsection </w:t>
      </w:r>
      <w:proofErr w:type="gramStart"/>
      <w:r w:rsidRPr="00CF4F5B">
        <w:rPr>
          <w:rFonts w:ascii="Times New Roman" w:eastAsia="Times New Roman" w:hAnsi="Times New Roman" w:cs="Times New Roman"/>
          <w:sz w:val="24"/>
          <w:szCs w:val="24"/>
          <w:lang w:eastAsia="en-AU"/>
        </w:rPr>
        <w:t>26BB(</w:t>
      </w:r>
      <w:proofErr w:type="gramEnd"/>
      <w:r w:rsidRPr="00CF4F5B">
        <w:rPr>
          <w:rFonts w:ascii="Times New Roman" w:eastAsia="Times New Roman" w:hAnsi="Times New Roman" w:cs="Times New Roman"/>
          <w:sz w:val="24"/>
          <w:szCs w:val="24"/>
          <w:lang w:eastAsia="en-AU"/>
        </w:rPr>
        <w:t>1) of the Act</w:t>
      </w:r>
      <w:r w:rsidR="008E5B61">
        <w:rPr>
          <w:rFonts w:ascii="Times New Roman" w:eastAsia="Times New Roman" w:hAnsi="Times New Roman" w:cs="Times New Roman"/>
          <w:sz w:val="24"/>
          <w:szCs w:val="24"/>
          <w:lang w:eastAsia="en-AU"/>
        </w:rPr>
        <w:t>. The purpose of the Determination is to</w:t>
      </w:r>
      <w:r w:rsidRPr="00CF4F5B">
        <w:rPr>
          <w:rFonts w:ascii="Times New Roman" w:eastAsia="Times New Roman" w:hAnsi="Times New Roman" w:cs="Times New Roman"/>
          <w:sz w:val="24"/>
          <w:szCs w:val="24"/>
          <w:lang w:eastAsia="en-AU"/>
        </w:rPr>
        <w:t xml:space="preserve"> specify </w:t>
      </w:r>
      <w:r w:rsidR="008E5B61">
        <w:rPr>
          <w:rFonts w:ascii="Times New Roman" w:eastAsia="Times New Roman" w:hAnsi="Times New Roman" w:cs="Times New Roman"/>
          <w:sz w:val="24"/>
          <w:szCs w:val="24"/>
          <w:lang w:eastAsia="en-AU"/>
        </w:rPr>
        <w:t xml:space="preserve">the </w:t>
      </w:r>
      <w:r w:rsidRPr="00CF4F5B">
        <w:rPr>
          <w:rFonts w:ascii="Times New Roman" w:eastAsia="Times New Roman" w:hAnsi="Times New Roman" w:cs="Times New Roman"/>
          <w:sz w:val="24"/>
          <w:szCs w:val="24"/>
          <w:lang w:eastAsia="en-AU"/>
        </w:rPr>
        <w:t xml:space="preserve">ingredients that may be contained in a medicine </w:t>
      </w:r>
      <w:r w:rsidR="008E5B61">
        <w:rPr>
          <w:rFonts w:ascii="Times New Roman" w:eastAsia="Times New Roman" w:hAnsi="Times New Roman" w:cs="Times New Roman"/>
          <w:sz w:val="24"/>
          <w:szCs w:val="24"/>
          <w:lang w:eastAsia="en-AU"/>
        </w:rPr>
        <w:t xml:space="preserve">that is </w:t>
      </w:r>
      <w:r w:rsidRPr="00CF4F5B">
        <w:rPr>
          <w:rFonts w:ascii="Times New Roman" w:eastAsia="Times New Roman" w:hAnsi="Times New Roman" w:cs="Times New Roman"/>
          <w:sz w:val="24"/>
          <w:szCs w:val="24"/>
          <w:lang w:eastAsia="en-AU"/>
        </w:rPr>
        <w:t>listed in the Australian Register of Therapeutic Goods (the Register) under section 26A</w:t>
      </w:r>
      <w:r w:rsidR="00054E60">
        <w:rPr>
          <w:rFonts w:ascii="Times New Roman" w:eastAsia="Times New Roman" w:hAnsi="Times New Roman" w:cs="Times New Roman"/>
          <w:sz w:val="24"/>
          <w:szCs w:val="24"/>
          <w:lang w:eastAsia="en-AU"/>
        </w:rPr>
        <w:t xml:space="preserve"> </w:t>
      </w:r>
      <w:r w:rsidR="008E5B61">
        <w:rPr>
          <w:rFonts w:ascii="Times New Roman" w:eastAsia="Times New Roman" w:hAnsi="Times New Roman" w:cs="Times New Roman"/>
          <w:sz w:val="24"/>
          <w:szCs w:val="24"/>
          <w:lang w:eastAsia="en-AU"/>
        </w:rPr>
        <w:t>or</w:t>
      </w:r>
      <w:r w:rsidR="00054E60">
        <w:rPr>
          <w:rFonts w:ascii="Times New Roman" w:eastAsia="Times New Roman" w:hAnsi="Times New Roman" w:cs="Times New Roman"/>
          <w:sz w:val="24"/>
          <w:szCs w:val="24"/>
          <w:lang w:eastAsia="en-AU"/>
        </w:rPr>
        <w:t xml:space="preserve"> 26AE</w:t>
      </w:r>
      <w:r w:rsidRPr="00CF4F5B">
        <w:rPr>
          <w:rFonts w:ascii="Times New Roman" w:eastAsia="Times New Roman" w:hAnsi="Times New Roman" w:cs="Times New Roman"/>
          <w:sz w:val="24"/>
          <w:szCs w:val="24"/>
          <w:lang w:eastAsia="en-AU"/>
        </w:rPr>
        <w:t xml:space="preserve"> of the Act, and requirements in relation to the inclusion of those ingredients in such medicines.</w:t>
      </w:r>
    </w:p>
    <w:p w:rsidR="00476ACD" w:rsidRDefault="00A2081A" w:rsidP="00BA23FB">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Determination re</w:t>
      </w:r>
      <w:r w:rsidR="00C201A4">
        <w:rPr>
          <w:rFonts w:ascii="Times New Roman" w:eastAsia="Times New Roman" w:hAnsi="Times New Roman" w:cs="Times New Roman"/>
          <w:sz w:val="24"/>
          <w:szCs w:val="24"/>
          <w:lang w:eastAsia="en-AU"/>
        </w:rPr>
        <w:t>peal</w:t>
      </w:r>
      <w:r w:rsidR="008E5B61">
        <w:rPr>
          <w:rFonts w:ascii="Times New Roman" w:eastAsia="Times New Roman" w:hAnsi="Times New Roman" w:cs="Times New Roman"/>
          <w:sz w:val="24"/>
          <w:szCs w:val="24"/>
          <w:lang w:eastAsia="en-AU"/>
        </w:rPr>
        <w:t>s</w:t>
      </w:r>
      <w:r w:rsidRPr="00CF4F5B">
        <w:rPr>
          <w:rFonts w:ascii="Times New Roman" w:eastAsia="Times New Roman" w:hAnsi="Times New Roman" w:cs="Times New Roman"/>
          <w:sz w:val="24"/>
          <w:szCs w:val="24"/>
          <w:lang w:eastAsia="en-AU"/>
        </w:rPr>
        <w:t xml:space="preserve"> and replace</w:t>
      </w:r>
      <w:r w:rsidR="008E5B61">
        <w:rPr>
          <w:rFonts w:ascii="Times New Roman" w:eastAsia="Times New Roman" w:hAnsi="Times New Roman" w:cs="Times New Roman"/>
          <w:sz w:val="24"/>
          <w:szCs w:val="24"/>
          <w:lang w:eastAsia="en-AU"/>
        </w:rPr>
        <w:t>s</w:t>
      </w:r>
      <w:r w:rsidRPr="00CF4F5B">
        <w:rPr>
          <w:rFonts w:ascii="Times New Roman" w:eastAsia="Times New Roman" w:hAnsi="Times New Roman" w:cs="Times New Roman"/>
          <w:sz w:val="24"/>
          <w:szCs w:val="24"/>
          <w:lang w:eastAsia="en-AU"/>
        </w:rPr>
        <w:t xml:space="preserve"> the previous Determination which specified ingredients and related requirements for such medicines </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the </w:t>
      </w:r>
      <w:r w:rsidRPr="00CF4F5B">
        <w:rPr>
          <w:rFonts w:ascii="Times New Roman" w:eastAsia="Times New Roman" w:hAnsi="Times New Roman" w:cs="Times New Roman"/>
          <w:i/>
          <w:iCs/>
          <w:sz w:val="24"/>
          <w:szCs w:val="24"/>
          <w:lang w:eastAsia="en-AU"/>
        </w:rPr>
        <w:t>Therapeutic Goods (Permissible Ingredients) Determination No</w:t>
      </w:r>
      <w:r w:rsidR="00EB28F7">
        <w:rPr>
          <w:rFonts w:ascii="Times New Roman" w:eastAsia="Times New Roman" w:hAnsi="Times New Roman" w:cs="Times New Roman"/>
          <w:i/>
          <w:iCs/>
          <w:sz w:val="24"/>
          <w:szCs w:val="24"/>
          <w:lang w:eastAsia="en-AU"/>
        </w:rPr>
        <w:t xml:space="preserve">. </w:t>
      </w:r>
      <w:r w:rsidR="00583F67">
        <w:rPr>
          <w:rFonts w:ascii="Times New Roman" w:eastAsia="Times New Roman" w:hAnsi="Times New Roman" w:cs="Times New Roman"/>
          <w:i/>
          <w:iCs/>
          <w:sz w:val="24"/>
          <w:szCs w:val="24"/>
          <w:lang w:eastAsia="en-AU"/>
        </w:rPr>
        <w:t>3</w:t>
      </w:r>
      <w:r w:rsidR="004213E9">
        <w:rPr>
          <w:rFonts w:ascii="Times New Roman" w:eastAsia="Times New Roman" w:hAnsi="Times New Roman" w:cs="Times New Roman"/>
          <w:i/>
          <w:iCs/>
          <w:sz w:val="24"/>
          <w:szCs w:val="24"/>
          <w:lang w:eastAsia="en-AU"/>
        </w:rPr>
        <w:t xml:space="preserve"> </w:t>
      </w:r>
      <w:r w:rsidR="00EB28F7">
        <w:rPr>
          <w:rFonts w:ascii="Times New Roman" w:eastAsia="Times New Roman" w:hAnsi="Times New Roman" w:cs="Times New Roman"/>
          <w:i/>
          <w:iCs/>
          <w:sz w:val="24"/>
          <w:szCs w:val="24"/>
          <w:lang w:eastAsia="en-AU"/>
        </w:rPr>
        <w:t xml:space="preserve">of </w:t>
      </w:r>
      <w:r w:rsidR="00583F67">
        <w:rPr>
          <w:rFonts w:ascii="Times New Roman" w:eastAsia="Times New Roman" w:hAnsi="Times New Roman" w:cs="Times New Roman"/>
          <w:i/>
          <w:iCs/>
          <w:sz w:val="24"/>
          <w:szCs w:val="24"/>
          <w:lang w:eastAsia="en-AU"/>
        </w:rPr>
        <w:t>2018</w:t>
      </w:r>
      <w:r w:rsidRPr="00CF4F5B">
        <w:rPr>
          <w:rFonts w:ascii="Times New Roman" w:eastAsia="Times New Roman" w:hAnsi="Times New Roman" w:cs="Times New Roman"/>
          <w:sz w:val="24"/>
          <w:szCs w:val="24"/>
          <w:lang w:eastAsia="en-AU"/>
        </w:rPr>
        <w:t xml:space="preserve">, which </w:t>
      </w:r>
      <w:r w:rsidR="008E5B61">
        <w:rPr>
          <w:rFonts w:ascii="Times New Roman" w:eastAsia="Times New Roman" w:hAnsi="Times New Roman" w:cs="Times New Roman"/>
          <w:sz w:val="24"/>
          <w:szCs w:val="24"/>
          <w:lang w:eastAsia="en-AU"/>
        </w:rPr>
        <w:t xml:space="preserve">was registered on the Federal Register of Legislation on 25 September 2018 and </w:t>
      </w:r>
      <w:r w:rsidRPr="00CF4F5B">
        <w:rPr>
          <w:rFonts w:ascii="Times New Roman" w:eastAsia="Times New Roman" w:hAnsi="Times New Roman" w:cs="Times New Roman"/>
          <w:sz w:val="24"/>
          <w:szCs w:val="24"/>
          <w:lang w:eastAsia="en-AU"/>
        </w:rPr>
        <w:t xml:space="preserve">commenced on </w:t>
      </w:r>
      <w:r w:rsidR="007D3EBD">
        <w:rPr>
          <w:rFonts w:ascii="Times New Roman" w:eastAsia="Times New Roman" w:hAnsi="Times New Roman" w:cs="Times New Roman"/>
          <w:sz w:val="24"/>
          <w:szCs w:val="24"/>
          <w:lang w:eastAsia="en-AU"/>
        </w:rPr>
        <w:t>2</w:t>
      </w:r>
      <w:r w:rsidR="00ED7AC0">
        <w:rPr>
          <w:rFonts w:ascii="Times New Roman" w:eastAsia="Times New Roman" w:hAnsi="Times New Roman" w:cs="Times New Roman"/>
          <w:sz w:val="24"/>
          <w:szCs w:val="24"/>
          <w:lang w:eastAsia="en-AU"/>
        </w:rPr>
        <w:t>8</w:t>
      </w:r>
      <w:r w:rsidR="007D3EBD">
        <w:rPr>
          <w:rFonts w:ascii="Times New Roman" w:eastAsia="Times New Roman" w:hAnsi="Times New Roman" w:cs="Times New Roman"/>
          <w:sz w:val="24"/>
          <w:szCs w:val="24"/>
          <w:lang w:eastAsia="en-AU"/>
        </w:rPr>
        <w:t xml:space="preserve"> September 2018 </w:t>
      </w:r>
      <w:r w:rsidR="00FE6A88">
        <w:rPr>
          <w:rFonts w:ascii="Times New Roman" w:eastAsia="Times New Roman" w:hAnsi="Times New Roman" w:cs="Times New Roman"/>
          <w:sz w:val="24"/>
          <w:szCs w:val="24"/>
          <w:lang w:eastAsia="en-AU"/>
        </w:rPr>
        <w:t>(</w:t>
      </w:r>
      <w:r w:rsidR="00C064DE">
        <w:rPr>
          <w:rFonts w:ascii="Times New Roman" w:eastAsia="Times New Roman" w:hAnsi="Times New Roman" w:cs="Times New Roman"/>
          <w:sz w:val="24"/>
          <w:szCs w:val="24"/>
          <w:lang w:eastAsia="en-AU"/>
        </w:rPr>
        <w:t>the Pre</w:t>
      </w:r>
      <w:r w:rsidR="00A65DCC">
        <w:rPr>
          <w:rFonts w:ascii="Times New Roman" w:eastAsia="Times New Roman" w:hAnsi="Times New Roman" w:cs="Times New Roman"/>
          <w:sz w:val="24"/>
          <w:szCs w:val="24"/>
          <w:lang w:eastAsia="en-AU"/>
        </w:rPr>
        <w:t>vious Determination)</w:t>
      </w:r>
      <w:r w:rsidR="00EB28F7">
        <w:rPr>
          <w:rFonts w:ascii="Times New Roman" w:eastAsia="Times New Roman" w:hAnsi="Times New Roman" w:cs="Times New Roman"/>
          <w:sz w:val="24"/>
          <w:szCs w:val="24"/>
          <w:lang w:eastAsia="en-AU"/>
        </w:rPr>
        <w:t>.</w:t>
      </w:r>
    </w:p>
    <w:p w:rsidR="00BA23FB" w:rsidRDefault="00BA23FB" w:rsidP="00BA23FB">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B1410B">
        <w:rPr>
          <w:rFonts w:ascii="Times New Roman" w:eastAsia="Times New Roman" w:hAnsi="Times New Roman" w:cs="Times New Roman"/>
          <w:sz w:val="24"/>
          <w:szCs w:val="24"/>
          <w:lang w:eastAsia="en-AU"/>
        </w:rPr>
        <w:t xml:space="preserve">Under subsection 33(3) of the </w:t>
      </w:r>
      <w:r w:rsidRPr="00B1410B">
        <w:rPr>
          <w:rFonts w:ascii="Times New Roman" w:eastAsia="Times New Roman" w:hAnsi="Times New Roman" w:cs="Times New Roman"/>
          <w:i/>
          <w:iCs/>
          <w:sz w:val="24"/>
          <w:szCs w:val="24"/>
          <w:lang w:eastAsia="en-AU"/>
        </w:rPr>
        <w:t>Acts Interpretation Act 1901</w:t>
      </w:r>
      <w:r w:rsidRPr="00B1410B">
        <w:rPr>
          <w:rFonts w:ascii="Times New Roman" w:eastAsia="Times New Roman" w:hAnsi="Times New Roman" w:cs="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eastAsia="Times New Roman" w:hAnsi="Times New Roman" w:cs="Times New Roman"/>
          <w:sz w:val="24"/>
          <w:szCs w:val="24"/>
          <w:lang w:eastAsia="en-AU"/>
        </w:rPr>
        <w:t>.</w:t>
      </w:r>
    </w:p>
    <w:p w:rsidR="008E5B61" w:rsidRDefault="008E5B61" w:rsidP="008E5B61">
      <w:pPr>
        <w:shd w:val="clear" w:color="auto" w:fill="FFFFFF"/>
        <w:spacing w:before="100" w:beforeAutospacing="1" w:after="100" w:afterAutospacing="1"/>
        <w:rPr>
          <w:rFonts w:ascii="Times New Roman" w:eastAsia="Times New Roman" w:hAnsi="Times New Roman" w:cs="Times New Roman"/>
          <w:b/>
          <w:bCs/>
          <w:sz w:val="24"/>
          <w:szCs w:val="24"/>
          <w:lang w:eastAsia="en-AU"/>
        </w:rPr>
      </w:pPr>
      <w:r w:rsidRPr="00CF4F5B">
        <w:rPr>
          <w:rFonts w:ascii="Times New Roman" w:eastAsia="Times New Roman" w:hAnsi="Times New Roman" w:cs="Times New Roman"/>
          <w:sz w:val="24"/>
          <w:szCs w:val="24"/>
          <w:lang w:eastAsia="en-AU"/>
        </w:rPr>
        <w:t>The Determination commence</w:t>
      </w:r>
      <w:r>
        <w:rPr>
          <w:rFonts w:ascii="Times New Roman" w:eastAsia="Times New Roman" w:hAnsi="Times New Roman" w:cs="Times New Roman"/>
          <w:sz w:val="24"/>
          <w:szCs w:val="24"/>
          <w:lang w:eastAsia="en-AU"/>
        </w:rPr>
        <w:t>d</w:t>
      </w:r>
      <w:r w:rsidRPr="00CF4F5B">
        <w:rPr>
          <w:rFonts w:ascii="Times New Roman" w:eastAsia="Times New Roman" w:hAnsi="Times New Roman" w:cs="Times New Roman"/>
          <w:sz w:val="24"/>
          <w:szCs w:val="24"/>
          <w:lang w:eastAsia="en-AU"/>
        </w:rPr>
        <w:t xml:space="preserve"> on the day after it </w:t>
      </w:r>
      <w:r>
        <w:rPr>
          <w:rFonts w:ascii="Times New Roman" w:eastAsia="Times New Roman" w:hAnsi="Times New Roman" w:cs="Times New Roman"/>
          <w:sz w:val="24"/>
          <w:szCs w:val="24"/>
          <w:lang w:eastAsia="en-AU"/>
        </w:rPr>
        <w:t>was</w:t>
      </w:r>
      <w:r w:rsidRPr="00CF4F5B">
        <w:rPr>
          <w:rFonts w:ascii="Times New Roman" w:eastAsia="Times New Roman" w:hAnsi="Times New Roman" w:cs="Times New Roman"/>
          <w:sz w:val="24"/>
          <w:szCs w:val="24"/>
          <w:lang w:eastAsia="en-AU"/>
        </w:rPr>
        <w:t xml:space="preserve"> registered on the Federal Register of Legislation.</w:t>
      </w:r>
    </w:p>
    <w:p w:rsidR="008E5B61" w:rsidRDefault="008E5B61" w:rsidP="00BA23FB">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b/>
          <w:bCs/>
          <w:sz w:val="24"/>
          <w:szCs w:val="24"/>
          <w:lang w:eastAsia="en-AU"/>
        </w:rPr>
        <w:t>BACKGROUND</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Act provides for the establishment and maintenance of a national system of controls for the quality, safety, efficacy and timely availability of therapeutic goods that are used in or exported from Australia. The Therapeutic Goods Administration (the TGA), which is part of the Department of Health, is responsible for administering the Act.</w:t>
      </w:r>
    </w:p>
    <w:p w:rsidR="000F57E4"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 xml:space="preserve">One of the controls established by the Act is to require that medicines that are listed in the </w:t>
      </w:r>
      <w:r w:rsidR="000F57E4">
        <w:rPr>
          <w:rFonts w:ascii="Times New Roman" w:eastAsia="Times New Roman" w:hAnsi="Times New Roman" w:cs="Times New Roman"/>
          <w:sz w:val="24"/>
          <w:szCs w:val="24"/>
          <w:lang w:eastAsia="en-AU"/>
        </w:rPr>
        <w:t xml:space="preserve">Australian </w:t>
      </w:r>
      <w:r w:rsidRPr="00CF4F5B">
        <w:rPr>
          <w:rFonts w:ascii="Times New Roman" w:eastAsia="Times New Roman" w:hAnsi="Times New Roman" w:cs="Times New Roman"/>
          <w:sz w:val="24"/>
          <w:szCs w:val="24"/>
          <w:lang w:eastAsia="en-AU"/>
        </w:rPr>
        <w:t>Register</w:t>
      </w:r>
      <w:r w:rsidR="000F57E4">
        <w:rPr>
          <w:rFonts w:ascii="Times New Roman" w:eastAsia="Times New Roman" w:hAnsi="Times New Roman" w:cs="Times New Roman"/>
          <w:sz w:val="24"/>
          <w:szCs w:val="24"/>
          <w:lang w:eastAsia="en-AU"/>
        </w:rPr>
        <w:t xml:space="preserve"> of Therapeutic Goods</w:t>
      </w:r>
      <w:r w:rsidRPr="00CF4F5B">
        <w:rPr>
          <w:rFonts w:ascii="Times New Roman" w:eastAsia="Times New Roman" w:hAnsi="Times New Roman" w:cs="Times New Roman"/>
          <w:sz w:val="24"/>
          <w:szCs w:val="24"/>
          <w:lang w:eastAsia="en-AU"/>
        </w:rPr>
        <w:t xml:space="preserve"> under section 26A </w:t>
      </w:r>
      <w:r w:rsidR="000F57E4">
        <w:rPr>
          <w:rFonts w:ascii="Times New Roman" w:eastAsia="Times New Roman" w:hAnsi="Times New Roman" w:cs="Times New Roman"/>
          <w:sz w:val="24"/>
          <w:szCs w:val="24"/>
          <w:lang w:eastAsia="en-AU"/>
        </w:rPr>
        <w:t>or</w:t>
      </w:r>
      <w:r w:rsidR="005C38A8">
        <w:rPr>
          <w:rFonts w:ascii="Times New Roman" w:eastAsia="Times New Roman" w:hAnsi="Times New Roman" w:cs="Times New Roman"/>
          <w:sz w:val="24"/>
          <w:szCs w:val="24"/>
          <w:lang w:eastAsia="en-AU"/>
        </w:rPr>
        <w:t xml:space="preserve"> 26AE </w:t>
      </w:r>
      <w:r w:rsidRPr="00CF4F5B">
        <w:rPr>
          <w:rFonts w:ascii="Times New Roman" w:eastAsia="Times New Roman" w:hAnsi="Times New Roman" w:cs="Times New Roman"/>
          <w:sz w:val="24"/>
          <w:szCs w:val="24"/>
          <w:lang w:eastAsia="en-AU"/>
        </w:rPr>
        <w:t>of the Act (</w:t>
      </w:r>
      <w:r w:rsidR="00F858C5">
        <w:rPr>
          <w:rFonts w:ascii="Times New Roman" w:eastAsia="Times New Roman" w:hAnsi="Times New Roman" w:cs="Times New Roman"/>
          <w:sz w:val="24"/>
          <w:szCs w:val="24"/>
          <w:lang w:eastAsia="en-AU"/>
        </w:rPr>
        <w:t xml:space="preserve">respectively, </w:t>
      </w:r>
      <w:r w:rsidR="00CF2A6F" w:rsidRPr="00CF2A6F">
        <w:rPr>
          <w:rFonts w:ascii="Times New Roman" w:eastAsia="Times New Roman" w:hAnsi="Times New Roman" w:cs="Times New Roman"/>
          <w:sz w:val="24"/>
          <w:szCs w:val="24"/>
          <w:lang w:eastAsia="en-AU"/>
        </w:rPr>
        <w:t>AUST L listed medicines and AUST</w:t>
      </w:r>
      <w:r w:rsidR="00F858C5">
        <w:rPr>
          <w:rFonts w:ascii="Times New Roman" w:eastAsia="Times New Roman" w:hAnsi="Times New Roman" w:cs="Times New Roman"/>
          <w:sz w:val="24"/>
          <w:szCs w:val="24"/>
          <w:lang w:eastAsia="en-AU"/>
        </w:rPr>
        <w:t xml:space="preserve"> L(A) assessed listed medicines</w:t>
      </w:r>
      <w:r w:rsidR="002526C5">
        <w:rPr>
          <w:rFonts w:ascii="Times New Roman" w:eastAsia="Times New Roman" w:hAnsi="Times New Roman" w:cs="Times New Roman"/>
          <w:sz w:val="24"/>
          <w:szCs w:val="24"/>
          <w:lang w:eastAsia="en-AU"/>
        </w:rPr>
        <w:t xml:space="preserve"> and, together, “listed medicines”</w:t>
      </w:r>
      <w:r w:rsidRPr="00CF4F5B">
        <w:rPr>
          <w:rFonts w:ascii="Times New Roman" w:eastAsia="Times New Roman" w:hAnsi="Times New Roman" w:cs="Times New Roman"/>
          <w:sz w:val="24"/>
          <w:szCs w:val="24"/>
          <w:lang w:eastAsia="en-AU"/>
        </w:rPr>
        <w:t xml:space="preserve">) only include ingredients which have been evaluated for safety and quality, and that consideration has been given to whether any conditions should be </w:t>
      </w:r>
      <w:r w:rsidRPr="00CF4F5B">
        <w:rPr>
          <w:rFonts w:ascii="Times New Roman" w:eastAsia="Times New Roman" w:hAnsi="Times New Roman" w:cs="Times New Roman"/>
          <w:sz w:val="24"/>
          <w:szCs w:val="24"/>
          <w:lang w:eastAsia="en-AU"/>
        </w:rPr>
        <w:lastRenderedPageBreak/>
        <w:t>attached to the use of the ingredient</w:t>
      </w:r>
      <w:r w:rsidR="000F57E4">
        <w:rPr>
          <w:rFonts w:ascii="Times New Roman" w:eastAsia="Times New Roman" w:hAnsi="Times New Roman" w:cs="Times New Roman"/>
          <w:sz w:val="24"/>
          <w:szCs w:val="24"/>
          <w:lang w:eastAsia="en-AU"/>
        </w:rPr>
        <w:t xml:space="preserve"> in order to ensure the</w:t>
      </w:r>
      <w:r w:rsidRPr="00CF4F5B">
        <w:rPr>
          <w:rFonts w:ascii="Times New Roman" w:eastAsia="Times New Roman" w:hAnsi="Times New Roman" w:cs="Times New Roman"/>
          <w:sz w:val="24"/>
          <w:szCs w:val="24"/>
          <w:lang w:eastAsia="en-AU"/>
        </w:rPr>
        <w:t xml:space="preserve"> safety and quality </w:t>
      </w:r>
      <w:r w:rsidR="000F57E4">
        <w:rPr>
          <w:rFonts w:ascii="Times New Roman" w:eastAsia="Times New Roman" w:hAnsi="Times New Roman" w:cs="Times New Roman"/>
          <w:sz w:val="24"/>
          <w:szCs w:val="24"/>
          <w:lang w:eastAsia="en-AU"/>
        </w:rPr>
        <w:t>of AUST L or AUST L(A) medicines containing that ingredient</w:t>
      </w:r>
      <w:r w:rsidRPr="00CF4F5B">
        <w:rPr>
          <w:rFonts w:ascii="Times New Roman" w:eastAsia="Times New Roman" w:hAnsi="Times New Roman" w:cs="Times New Roman"/>
          <w:sz w:val="24"/>
          <w:szCs w:val="24"/>
          <w:lang w:eastAsia="en-AU"/>
        </w:rPr>
        <w:t xml:space="preserve">. </w:t>
      </w:r>
    </w:p>
    <w:p w:rsidR="000F57E4" w:rsidRDefault="000F57E4" w:rsidP="000C7EE3">
      <w:pPr>
        <w:shd w:val="clear" w:color="auto" w:fill="FFFFFF"/>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paragraphs 26A(2)(ca) and (cb) of the Act, for example,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set out in such a determination (paragraphs 26AB(2)(d) and (e) set out equivalent certifications for applicants seeking marketing approval for AUST L(A) medicines). </w:t>
      </w:r>
    </w:p>
    <w:p w:rsidR="00CF4F5B" w:rsidRPr="00CF4F5B" w:rsidRDefault="000F57E4" w:rsidP="00974449">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As such, the Determination is designed to </w:t>
      </w:r>
      <w:r w:rsidR="00CF4F5B" w:rsidRPr="00CF4F5B">
        <w:rPr>
          <w:rFonts w:ascii="Times New Roman" w:eastAsia="Times New Roman" w:hAnsi="Times New Roman" w:cs="Times New Roman"/>
          <w:sz w:val="24"/>
          <w:szCs w:val="24"/>
          <w:lang w:eastAsia="en-AU"/>
        </w:rPr>
        <w:t>provid</w:t>
      </w:r>
      <w:r>
        <w:rPr>
          <w:rFonts w:ascii="Times New Roman" w:eastAsia="Times New Roman" w:hAnsi="Times New Roman" w:cs="Times New Roman"/>
          <w:sz w:val="24"/>
          <w:szCs w:val="24"/>
          <w:lang w:eastAsia="en-AU"/>
        </w:rPr>
        <w:t>e</w:t>
      </w:r>
      <w:r w:rsidR="00CF4F5B" w:rsidRPr="00CF4F5B">
        <w:rPr>
          <w:rFonts w:ascii="Times New Roman" w:eastAsia="Times New Roman" w:hAnsi="Times New Roman" w:cs="Times New Roman"/>
          <w:sz w:val="24"/>
          <w:szCs w:val="24"/>
          <w:lang w:eastAsia="en-AU"/>
        </w:rPr>
        <w:t xml:space="preserve"> a list of ingredients which have been assessed or determined previously to be safe </w:t>
      </w:r>
      <w:r>
        <w:rPr>
          <w:rFonts w:ascii="Times New Roman" w:eastAsia="Times New Roman" w:hAnsi="Times New Roman" w:cs="Times New Roman"/>
          <w:sz w:val="24"/>
          <w:szCs w:val="24"/>
          <w:lang w:eastAsia="en-AU"/>
        </w:rPr>
        <w:t xml:space="preserve">for use in AUST L and AUST </w:t>
      </w:r>
      <w:proofErr w:type="gramStart"/>
      <w:r>
        <w:rPr>
          <w:rFonts w:ascii="Times New Roman" w:eastAsia="Times New Roman" w:hAnsi="Times New Roman" w:cs="Times New Roman"/>
          <w:sz w:val="24"/>
          <w:szCs w:val="24"/>
          <w:lang w:eastAsia="en-AU"/>
        </w:rPr>
        <w:t>L(</w:t>
      </w:r>
      <w:proofErr w:type="gramEnd"/>
      <w:r>
        <w:rPr>
          <w:rFonts w:ascii="Times New Roman" w:eastAsia="Times New Roman" w:hAnsi="Times New Roman" w:cs="Times New Roman"/>
          <w:sz w:val="24"/>
          <w:szCs w:val="24"/>
          <w:lang w:eastAsia="en-AU"/>
        </w:rPr>
        <w:t xml:space="preserve">A) medicines, and to also </w:t>
      </w:r>
      <w:r w:rsidR="00CF4F5B" w:rsidRPr="00CF4F5B">
        <w:rPr>
          <w:rFonts w:ascii="Times New Roman" w:eastAsia="Times New Roman" w:hAnsi="Times New Roman" w:cs="Times New Roman"/>
          <w:sz w:val="24"/>
          <w:szCs w:val="24"/>
          <w:lang w:eastAsia="en-AU"/>
        </w:rPr>
        <w:t>provid</w:t>
      </w:r>
      <w:r>
        <w:rPr>
          <w:rFonts w:ascii="Times New Roman" w:eastAsia="Times New Roman" w:hAnsi="Times New Roman" w:cs="Times New Roman"/>
          <w:sz w:val="24"/>
          <w:szCs w:val="24"/>
          <w:lang w:eastAsia="en-AU"/>
        </w:rPr>
        <w:t xml:space="preserve">e </w:t>
      </w:r>
      <w:r w:rsidR="00CF4F5B" w:rsidRPr="00CF4F5B">
        <w:rPr>
          <w:rFonts w:ascii="Times New Roman" w:eastAsia="Times New Roman" w:hAnsi="Times New Roman" w:cs="Times New Roman"/>
          <w:sz w:val="24"/>
          <w:szCs w:val="24"/>
          <w:lang w:eastAsia="en-AU"/>
        </w:rPr>
        <w:t xml:space="preserve">for </w:t>
      </w:r>
      <w:r>
        <w:rPr>
          <w:rFonts w:ascii="Times New Roman" w:eastAsia="Times New Roman" w:hAnsi="Times New Roman" w:cs="Times New Roman"/>
          <w:sz w:val="24"/>
          <w:szCs w:val="24"/>
          <w:lang w:eastAsia="en-AU"/>
        </w:rPr>
        <w:t>necessary</w:t>
      </w:r>
      <w:r w:rsidR="00CF4F5B" w:rsidRPr="00CF4F5B">
        <w:rPr>
          <w:rFonts w:ascii="Times New Roman" w:eastAsia="Times New Roman" w:hAnsi="Times New Roman" w:cs="Times New Roman"/>
          <w:sz w:val="24"/>
          <w:szCs w:val="24"/>
          <w:lang w:eastAsia="en-AU"/>
        </w:rPr>
        <w:t xml:space="preserve"> requirements applying to </w:t>
      </w:r>
      <w:r w:rsidR="00B67BB0">
        <w:rPr>
          <w:rFonts w:ascii="Times New Roman" w:eastAsia="Times New Roman" w:hAnsi="Times New Roman" w:cs="Times New Roman"/>
          <w:sz w:val="24"/>
          <w:szCs w:val="24"/>
          <w:lang w:eastAsia="en-AU"/>
        </w:rPr>
        <w:t xml:space="preserve">the use of </w:t>
      </w:r>
      <w:r w:rsidR="00CF4F5B" w:rsidRPr="00CF4F5B">
        <w:rPr>
          <w:rFonts w:ascii="Times New Roman" w:eastAsia="Times New Roman" w:hAnsi="Times New Roman" w:cs="Times New Roman"/>
          <w:sz w:val="24"/>
          <w:szCs w:val="24"/>
          <w:lang w:eastAsia="en-AU"/>
        </w:rPr>
        <w:t xml:space="preserve">particular ingredients when contained in </w:t>
      </w:r>
      <w:r w:rsidR="00B67BB0">
        <w:rPr>
          <w:rFonts w:ascii="Times New Roman" w:eastAsia="Times New Roman" w:hAnsi="Times New Roman" w:cs="Times New Roman"/>
          <w:sz w:val="24"/>
          <w:szCs w:val="24"/>
          <w:lang w:eastAsia="en-AU"/>
        </w:rPr>
        <w:t>such products</w:t>
      </w:r>
      <w:r w:rsidR="00CF4F5B" w:rsidRPr="00CF4F5B">
        <w:rPr>
          <w:rFonts w:ascii="Times New Roman" w:eastAsia="Times New Roman" w:hAnsi="Times New Roman" w:cs="Times New Roman"/>
          <w:sz w:val="24"/>
          <w:szCs w:val="24"/>
          <w:lang w:eastAsia="en-AU"/>
        </w:rPr>
        <w:t>.</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Prior to the making of the first determination under subsection </w:t>
      </w:r>
      <w:proofErr w:type="gramStart"/>
      <w:r w:rsidRPr="00CF4F5B">
        <w:rPr>
          <w:rFonts w:ascii="Times New Roman" w:eastAsia="Times New Roman" w:hAnsi="Times New Roman" w:cs="Times New Roman"/>
          <w:sz w:val="24"/>
          <w:szCs w:val="24"/>
          <w:lang w:eastAsia="en-AU"/>
        </w:rPr>
        <w:t>26BB(</w:t>
      </w:r>
      <w:proofErr w:type="gramEnd"/>
      <w:r w:rsidRPr="00CF4F5B">
        <w:rPr>
          <w:rFonts w:ascii="Times New Roman" w:eastAsia="Times New Roman" w:hAnsi="Times New Roman" w:cs="Times New Roman"/>
          <w:sz w:val="24"/>
          <w:szCs w:val="24"/>
          <w:lang w:eastAsia="en-AU"/>
        </w:rPr>
        <w:t>1) of the Act, the</w:t>
      </w:r>
      <w:r w:rsidRPr="00CF4F5B">
        <w:rPr>
          <w:rFonts w:ascii="Times New Roman" w:eastAsia="Times New Roman" w:hAnsi="Times New Roman" w:cs="Times New Roman"/>
          <w:i/>
          <w:iCs/>
          <w:sz w:val="24"/>
          <w:szCs w:val="24"/>
          <w:lang w:eastAsia="en-AU"/>
        </w:rPr>
        <w:t xml:space="preserve"> Therapeutic Goods (Permissible Ingredients) Determination No.</w:t>
      </w:r>
      <w:r w:rsidR="005C38A8">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i/>
          <w:iCs/>
          <w:sz w:val="24"/>
          <w:szCs w:val="24"/>
          <w:lang w:eastAsia="en-AU"/>
        </w:rPr>
        <w:t xml:space="preserve">1 of 2015 </w:t>
      </w:r>
      <w:r w:rsidRPr="00C41C90">
        <w:rPr>
          <w:rFonts w:ascii="Times New Roman" w:eastAsia="Times New Roman" w:hAnsi="Times New Roman" w:cs="Times New Roman"/>
          <w:iCs/>
          <w:sz w:val="24"/>
          <w:szCs w:val="24"/>
          <w:lang w:eastAsia="en-AU"/>
        </w:rPr>
        <w:t>(the original Determination)</w:t>
      </w:r>
      <w:r w:rsidRPr="00CF4F5B">
        <w:rPr>
          <w:rFonts w:ascii="Times New Roman" w:eastAsia="Times New Roman" w:hAnsi="Times New Roman" w:cs="Times New Roman"/>
          <w:sz w:val="24"/>
          <w:szCs w:val="24"/>
          <w:lang w:eastAsia="en-AU"/>
        </w:rPr>
        <w:t xml:space="preserve">, ingredients were authorised for use in listed medicines generally through the list of ingredients in Schedule 4 to the </w:t>
      </w:r>
      <w:r w:rsidRPr="00B94E86">
        <w:rPr>
          <w:rFonts w:ascii="Times New Roman" w:eastAsia="Times New Roman" w:hAnsi="Times New Roman" w:cs="Times New Roman"/>
          <w:i/>
          <w:sz w:val="24"/>
          <w:szCs w:val="24"/>
          <w:lang w:eastAsia="en-AU"/>
        </w:rPr>
        <w:t>Therapeutic Goods Regulations 1990</w:t>
      </w:r>
      <w:r w:rsidRPr="00CF4F5B">
        <w:rPr>
          <w:rFonts w:ascii="Times New Roman" w:eastAsia="Times New Roman" w:hAnsi="Times New Roman" w:cs="Times New Roman"/>
          <w:sz w:val="24"/>
          <w:szCs w:val="24"/>
          <w:lang w:eastAsia="en-AU"/>
        </w:rPr>
        <w:t xml:space="preserve">, or through notices made by the Minister under subsection 9A(5) of the Act (Listing Notices). </w:t>
      </w:r>
    </w:p>
    <w:p w:rsidR="00CF4F5B" w:rsidRPr="00CF4F5B" w:rsidRDefault="009C06D8"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Section 26BB</w:t>
      </w:r>
      <w:r w:rsidR="00CF4F5B" w:rsidRPr="00CF4F5B">
        <w:rPr>
          <w:rFonts w:ascii="Times New Roman" w:eastAsia="Times New Roman" w:hAnsi="Times New Roman" w:cs="Times New Roman"/>
          <w:sz w:val="24"/>
          <w:szCs w:val="24"/>
          <w:lang w:eastAsia="en-AU"/>
        </w:rPr>
        <w:t xml:space="preserve"> Determination</w:t>
      </w:r>
      <w:r>
        <w:rPr>
          <w:rFonts w:ascii="Times New Roman" w:eastAsia="Times New Roman" w:hAnsi="Times New Roman" w:cs="Times New Roman"/>
          <w:sz w:val="24"/>
          <w:szCs w:val="24"/>
          <w:lang w:eastAsia="en-AU"/>
        </w:rPr>
        <w:t xml:space="preserve">s, </w:t>
      </w:r>
      <w:r w:rsidR="00CF4F5B" w:rsidRPr="00CF4F5B">
        <w:rPr>
          <w:rFonts w:ascii="Times New Roman" w:eastAsia="Times New Roman" w:hAnsi="Times New Roman" w:cs="Times New Roman"/>
          <w:sz w:val="24"/>
          <w:szCs w:val="24"/>
          <w:lang w:eastAsia="en-AU"/>
        </w:rPr>
        <w:t>however, provide for a single, comprehensive list of ingredients permitted for use in listed medicines, along with requirements applying to the use of particular ingredients included in listed medicines.</w:t>
      </w:r>
    </w:p>
    <w:p w:rsidR="00CF4F5B" w:rsidRPr="00CF4F5B" w:rsidRDefault="00CF4F5B" w:rsidP="000C7EE3">
      <w:pPr>
        <w:shd w:val="clear" w:color="auto" w:fill="FFFFFF"/>
        <w:spacing w:before="100" w:beforeAutospacing="1" w:after="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requirements imposed under the Determination principally relate to ensuring the quality and safety of the ingredient when used. Requirements may relate, for example, to:</w:t>
      </w:r>
    </w:p>
    <w:p w:rsidR="00CF4F5B" w:rsidRPr="00F55011" w:rsidRDefault="00CF4F5B" w:rsidP="003552CB">
      <w:pPr>
        <w:pStyle w:val="ListParagraph"/>
        <w:numPr>
          <w:ilvl w:val="0"/>
          <w:numId w:val="2"/>
        </w:numPr>
        <w:spacing w:line="276" w:lineRule="auto"/>
        <w:ind w:left="567" w:hanging="567"/>
      </w:pPr>
      <w:r w:rsidRPr="00F55011">
        <w:t>how the ingredient is to be used in the medicine, for example as a standard active, homoeopathic, or excipient ingredient;</w:t>
      </w:r>
    </w:p>
    <w:p w:rsidR="00CF4F5B" w:rsidRPr="00F55011" w:rsidRDefault="00CF4F5B">
      <w:pPr>
        <w:pStyle w:val="ListParagraph"/>
        <w:numPr>
          <w:ilvl w:val="0"/>
          <w:numId w:val="2"/>
        </w:numPr>
        <w:spacing w:line="276" w:lineRule="auto"/>
        <w:ind w:left="567" w:hanging="567"/>
      </w:pPr>
      <w:r w:rsidRPr="00F55011">
        <w:t>the method of ingestion or application, for example oral or topical use;</w:t>
      </w:r>
    </w:p>
    <w:p w:rsidR="00CF4F5B" w:rsidRPr="00F55011" w:rsidRDefault="00CF4F5B">
      <w:pPr>
        <w:pStyle w:val="ListParagraph"/>
        <w:numPr>
          <w:ilvl w:val="0"/>
          <w:numId w:val="2"/>
        </w:numPr>
        <w:spacing w:line="276" w:lineRule="auto"/>
        <w:ind w:left="567" w:hanging="567"/>
      </w:pPr>
      <w:r w:rsidRPr="00F55011">
        <w:t>the source of the ingredient, or the method of manufacture;</w:t>
      </w:r>
    </w:p>
    <w:p w:rsidR="00CF4F5B" w:rsidRPr="00F55011" w:rsidRDefault="00CF4F5B">
      <w:pPr>
        <w:pStyle w:val="ListParagraph"/>
        <w:numPr>
          <w:ilvl w:val="0"/>
          <w:numId w:val="2"/>
        </w:numPr>
        <w:spacing w:line="276" w:lineRule="auto"/>
        <w:ind w:left="567" w:hanging="567"/>
      </w:pPr>
      <w:r w:rsidRPr="00F55011">
        <w:t>appropriate limits on volume or concentration of the ingredient contained in the medicine; and</w:t>
      </w:r>
    </w:p>
    <w:p w:rsidR="00CF4F5B" w:rsidRPr="00F55011" w:rsidRDefault="00CF4F5B">
      <w:pPr>
        <w:pStyle w:val="ListParagraph"/>
        <w:numPr>
          <w:ilvl w:val="0"/>
          <w:numId w:val="2"/>
        </w:numPr>
        <w:spacing w:line="276" w:lineRule="auto"/>
        <w:ind w:left="567" w:hanging="567"/>
      </w:pPr>
      <w:proofErr w:type="gramStart"/>
      <w:r w:rsidRPr="00F55011">
        <w:t>the</w:t>
      </w:r>
      <w:proofErr w:type="gramEnd"/>
      <w:r w:rsidRPr="00F55011">
        <w:t xml:space="preserve"> inclusion of relevant safety information on product labels, for example allergen advice, or advice about the use of the ingredient for susceptible members of the population such as small children and pregnant women. </w:t>
      </w:r>
    </w:p>
    <w:p w:rsidR="00C622E0" w:rsidRDefault="00CF4F5B" w:rsidP="00C622E0">
      <w:pPr>
        <w:shd w:val="clear" w:color="auto" w:fill="FFFFFF"/>
        <w:spacing w:before="120" w:after="120"/>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purpose of the Determination is to re</w:t>
      </w:r>
      <w:r w:rsidR="00EB29B8">
        <w:rPr>
          <w:rFonts w:ascii="Times New Roman" w:eastAsia="Times New Roman" w:hAnsi="Times New Roman" w:cs="Times New Roman"/>
          <w:sz w:val="24"/>
          <w:szCs w:val="24"/>
          <w:lang w:eastAsia="en-AU"/>
        </w:rPr>
        <w:t>peal</w:t>
      </w:r>
      <w:r w:rsidRPr="00CF4F5B">
        <w:rPr>
          <w:rFonts w:ascii="Times New Roman" w:eastAsia="Times New Roman" w:hAnsi="Times New Roman" w:cs="Times New Roman"/>
          <w:sz w:val="24"/>
          <w:szCs w:val="24"/>
          <w:lang w:eastAsia="en-AU"/>
        </w:rPr>
        <w:t xml:space="preserve"> and replace the </w:t>
      </w:r>
      <w:r w:rsidR="00FA27CF">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revious Determination</w:t>
      </w:r>
      <w:r w:rsidR="00B67BB0">
        <w:rPr>
          <w:rFonts w:ascii="Times New Roman" w:eastAsia="Times New Roman" w:hAnsi="Times New Roman" w:cs="Times New Roman"/>
          <w:sz w:val="24"/>
          <w:szCs w:val="24"/>
          <w:lang w:eastAsia="en-AU"/>
        </w:rPr>
        <w:t xml:space="preserve">, and in so doing to </w:t>
      </w:r>
      <w:r w:rsidRPr="00CF4F5B">
        <w:rPr>
          <w:rFonts w:ascii="Times New Roman" w:eastAsia="Times New Roman" w:hAnsi="Times New Roman" w:cs="Times New Roman"/>
          <w:sz w:val="24"/>
          <w:szCs w:val="24"/>
          <w:lang w:eastAsia="en-AU"/>
        </w:rPr>
        <w:t xml:space="preserve">incorporate a number of changes </w:t>
      </w:r>
      <w:r w:rsidR="00B67BB0">
        <w:rPr>
          <w:rFonts w:ascii="Times New Roman" w:eastAsia="Times New Roman" w:hAnsi="Times New Roman" w:cs="Times New Roman"/>
          <w:sz w:val="24"/>
          <w:szCs w:val="24"/>
          <w:lang w:eastAsia="en-AU"/>
        </w:rPr>
        <w:t xml:space="preserve">in comparison </w:t>
      </w:r>
      <w:r w:rsidRPr="00CF4F5B">
        <w:rPr>
          <w:rFonts w:ascii="Times New Roman" w:eastAsia="Times New Roman" w:hAnsi="Times New Roman" w:cs="Times New Roman"/>
          <w:sz w:val="24"/>
          <w:szCs w:val="24"/>
          <w:lang w:eastAsia="en-AU"/>
        </w:rPr>
        <w:t xml:space="preserve">to the </w:t>
      </w:r>
      <w:r w:rsidR="00FA27CF">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revious Determination.</w:t>
      </w:r>
      <w:r w:rsidR="00B67BB0">
        <w:rPr>
          <w:rFonts w:ascii="Times New Roman" w:eastAsia="Times New Roman" w:hAnsi="Times New Roman" w:cs="Times New Roman"/>
          <w:sz w:val="24"/>
          <w:szCs w:val="24"/>
          <w:lang w:eastAsia="en-AU"/>
        </w:rPr>
        <w:t xml:space="preserve"> </w:t>
      </w:r>
    </w:p>
    <w:p w:rsidR="00CF4F5B" w:rsidRDefault="00CF4F5B" w:rsidP="00C622E0">
      <w:pPr>
        <w:shd w:val="clear" w:color="auto" w:fill="FFFFFF"/>
        <w:spacing w:before="120" w:after="120"/>
        <w:rPr>
          <w:rFonts w:ascii="Times New Roman" w:eastAsia="Times New Roman" w:hAnsi="Times New Roman" w:cs="Times New Roman"/>
          <w:sz w:val="24"/>
          <w:szCs w:val="24"/>
          <w:lang w:eastAsia="en-AU"/>
        </w:rPr>
      </w:pPr>
      <w:r w:rsidRPr="00B83CB9">
        <w:rPr>
          <w:rFonts w:ascii="Times New Roman" w:eastAsia="Times New Roman" w:hAnsi="Times New Roman" w:cs="Times New Roman"/>
          <w:sz w:val="24"/>
          <w:szCs w:val="24"/>
          <w:lang w:eastAsia="en-AU"/>
        </w:rPr>
        <w:t>These changes include:</w:t>
      </w:r>
    </w:p>
    <w:p w:rsidR="00A2081A" w:rsidRPr="00673DE0" w:rsidRDefault="00A2081A" w:rsidP="00B94E86">
      <w:pPr>
        <w:pStyle w:val="ListParagraph"/>
        <w:numPr>
          <w:ilvl w:val="0"/>
          <w:numId w:val="2"/>
        </w:numPr>
        <w:spacing w:before="120" w:beforeAutospacing="0" w:after="0" w:afterAutospacing="0"/>
        <w:ind w:left="567" w:hanging="567"/>
      </w:pPr>
      <w:r>
        <w:t>c</w:t>
      </w:r>
      <w:r w:rsidRPr="00673DE0">
        <w:t xml:space="preserve">hanges to </w:t>
      </w:r>
      <w:r w:rsidR="004213E9">
        <w:t>5</w:t>
      </w:r>
      <w:r w:rsidR="00A46180">
        <w:t xml:space="preserve"> </w:t>
      </w:r>
      <w:r>
        <w:t xml:space="preserve">existing </w:t>
      </w:r>
      <w:r w:rsidR="009B0E82">
        <w:t>ingredient entries</w:t>
      </w:r>
      <w:r w:rsidR="0011479B">
        <w:t xml:space="preserve"> to</w:t>
      </w:r>
      <w:r w:rsidRPr="00673DE0">
        <w:t>:</w:t>
      </w:r>
    </w:p>
    <w:p w:rsidR="00A2081A" w:rsidRPr="00673DE0" w:rsidRDefault="00A2081A" w:rsidP="00415B00">
      <w:pPr>
        <w:pStyle w:val="ListParagraph"/>
        <w:keepNext/>
        <w:numPr>
          <w:ilvl w:val="1"/>
          <w:numId w:val="5"/>
        </w:numPr>
        <w:ind w:left="1434" w:hanging="357"/>
      </w:pPr>
      <w:r>
        <w:t>m</w:t>
      </w:r>
      <w:r w:rsidRPr="00673DE0">
        <w:t>ak</w:t>
      </w:r>
      <w:r w:rsidR="0011479B">
        <w:t>e</w:t>
      </w:r>
      <w:r w:rsidRPr="00673DE0">
        <w:t xml:space="preserve"> requirements for </w:t>
      </w:r>
      <w:r w:rsidR="0011479B">
        <w:t xml:space="preserve">some </w:t>
      </w:r>
      <w:r w:rsidRPr="00673DE0">
        <w:t>ingredients less restrictive</w:t>
      </w:r>
      <w:r w:rsidR="00E961F3">
        <w:t xml:space="preserve">, </w:t>
      </w:r>
      <w:r w:rsidR="0011479B">
        <w:t xml:space="preserve">for example by allowing an ingredient to be used as an excipient as well as an active </w:t>
      </w:r>
      <w:r w:rsidR="0011479B">
        <w:lastRenderedPageBreak/>
        <w:t>ingredient, and by allowing an ingredient to be used in an AUST L or AUST L(A) medicine that is for dermal application (i.e. as well as in such medicines when they are for oral administration)</w:t>
      </w:r>
      <w:r w:rsidR="00980B95">
        <w:t>;</w:t>
      </w:r>
    </w:p>
    <w:p w:rsidR="00276E1D" w:rsidRPr="00206253" w:rsidRDefault="00276E1D" w:rsidP="00276E1D">
      <w:pPr>
        <w:pStyle w:val="ListParagraph"/>
        <w:numPr>
          <w:ilvl w:val="1"/>
          <w:numId w:val="5"/>
        </w:numPr>
      </w:pPr>
      <w:proofErr w:type="gramStart"/>
      <w:r w:rsidRPr="00206253">
        <w:t>correct</w:t>
      </w:r>
      <w:proofErr w:type="gramEnd"/>
      <w:r w:rsidRPr="00206253">
        <w:t xml:space="preserve"> an </w:t>
      </w:r>
      <w:r w:rsidR="00974449" w:rsidRPr="00206253">
        <w:t xml:space="preserve">inadvertent </w:t>
      </w:r>
      <w:r w:rsidRPr="00206253">
        <w:t xml:space="preserve">error in a requirement </w:t>
      </w:r>
      <w:r w:rsidR="00974449" w:rsidRPr="00206253">
        <w:t xml:space="preserve">relating to the use of the ingredient </w:t>
      </w:r>
      <w:proofErr w:type="spellStart"/>
      <w:r w:rsidRPr="00206253">
        <w:rPr>
          <w:i/>
        </w:rPr>
        <w:t>Larix</w:t>
      </w:r>
      <w:proofErr w:type="spellEnd"/>
      <w:r w:rsidRPr="00206253">
        <w:rPr>
          <w:i/>
        </w:rPr>
        <w:t xml:space="preserve"> </w:t>
      </w:r>
      <w:r w:rsidR="00696F31" w:rsidRPr="00206253">
        <w:rPr>
          <w:i/>
        </w:rPr>
        <w:t>a</w:t>
      </w:r>
      <w:r w:rsidRPr="00206253">
        <w:rPr>
          <w:i/>
        </w:rPr>
        <w:t>rabinogalactan</w:t>
      </w:r>
      <w:r w:rsidR="00453DFC" w:rsidRPr="00206253">
        <w:t>, that dates from the original Determination</w:t>
      </w:r>
      <w:r w:rsidR="00974449" w:rsidRPr="00206253">
        <w:t xml:space="preserve">. Currently the requirement states that the concentration of polysaccharides in the medicine must be equal to or more than 85 per cent. However, the intention was to require that the concentration of </w:t>
      </w:r>
      <w:r w:rsidRPr="00206253">
        <w:t xml:space="preserve">polysaccharides </w:t>
      </w:r>
      <w:r w:rsidR="00453DFC" w:rsidRPr="00206253">
        <w:t xml:space="preserve">must be equal to or more than 85 per cent of the amount of the ingredient </w:t>
      </w:r>
      <w:proofErr w:type="spellStart"/>
      <w:r w:rsidR="00453DFC" w:rsidRPr="00206253">
        <w:rPr>
          <w:i/>
        </w:rPr>
        <w:t>Larix</w:t>
      </w:r>
      <w:proofErr w:type="spellEnd"/>
      <w:r w:rsidR="00453DFC" w:rsidRPr="00206253">
        <w:rPr>
          <w:i/>
        </w:rPr>
        <w:t xml:space="preserve"> arabinogalactan</w:t>
      </w:r>
      <w:r w:rsidR="00453DFC" w:rsidRPr="00206253">
        <w:t xml:space="preserve"> in the medicine; and</w:t>
      </w:r>
    </w:p>
    <w:p w:rsidR="00276E1D" w:rsidRDefault="00276E1D" w:rsidP="00276E1D">
      <w:pPr>
        <w:pStyle w:val="ListParagraph"/>
        <w:numPr>
          <w:ilvl w:val="1"/>
          <w:numId w:val="5"/>
        </w:numPr>
      </w:pPr>
      <w:proofErr w:type="gramStart"/>
      <w:r>
        <w:t>mak</w:t>
      </w:r>
      <w:r w:rsidR="0011479B">
        <w:t>e</w:t>
      </w:r>
      <w:proofErr w:type="gramEnd"/>
      <w:r>
        <w:t xml:space="preserve"> minor changes to</w:t>
      </w:r>
      <w:r w:rsidR="0011479B">
        <w:t xml:space="preserve"> a number of </w:t>
      </w:r>
      <w:r>
        <w:t xml:space="preserve">entries </w:t>
      </w:r>
      <w:r w:rsidR="0011479B">
        <w:t xml:space="preserve">in order to make them </w:t>
      </w:r>
      <w:r>
        <w:t>clearer</w:t>
      </w:r>
      <w:r w:rsidR="0011479B">
        <w:t>.</w:t>
      </w:r>
    </w:p>
    <w:p w:rsidR="004213E9" w:rsidRPr="009B0E82" w:rsidRDefault="00B12768" w:rsidP="009B0E82">
      <w:pPr>
        <w:pStyle w:val="ListParagraph"/>
        <w:numPr>
          <w:ilvl w:val="0"/>
          <w:numId w:val="2"/>
        </w:numPr>
        <w:ind w:left="567" w:hanging="567"/>
      </w:pPr>
      <w:proofErr w:type="gramStart"/>
      <w:r>
        <w:t>remov</w:t>
      </w:r>
      <w:r w:rsidR="0011479B">
        <w:t>e</w:t>
      </w:r>
      <w:proofErr w:type="gramEnd"/>
      <w:r>
        <w:t xml:space="preserve"> </w:t>
      </w:r>
      <w:r w:rsidR="0011479B">
        <w:t>one</w:t>
      </w:r>
      <w:r>
        <w:t xml:space="preserve"> ingredient </w:t>
      </w:r>
      <w:r w:rsidR="0011479B">
        <w:t xml:space="preserve">that </w:t>
      </w:r>
      <w:r w:rsidR="009B0E82" w:rsidRPr="009B0E82">
        <w:t xml:space="preserve">was incorrectly classified </w:t>
      </w:r>
      <w:r w:rsidR="0011479B">
        <w:t xml:space="preserve">as being appropriate for use in AUST L medicines </w:t>
      </w:r>
      <w:r w:rsidR="009B0E82" w:rsidRPr="009B0E82">
        <w:t xml:space="preserve">during the drafting of the original Determination. The removed ingredient is not </w:t>
      </w:r>
      <w:r w:rsidR="0011479B">
        <w:t xml:space="preserve">currently </w:t>
      </w:r>
      <w:r w:rsidR="009B0E82" w:rsidRPr="009B0E82">
        <w:t>used in any listed medicines</w:t>
      </w:r>
      <w:r w:rsidR="0011479B">
        <w:t xml:space="preserve"> in Australia</w:t>
      </w:r>
      <w:r w:rsidR="009B0E82" w:rsidRPr="009B0E82">
        <w:t xml:space="preserve">. </w:t>
      </w:r>
    </w:p>
    <w:p w:rsidR="002D7DA8" w:rsidRDefault="002D7DA8" w:rsidP="002D7DA8">
      <w:pPr>
        <w:rPr>
          <w:rFonts w:ascii="Times New Roman" w:eastAsia="Times New Roman" w:hAnsi="Times New Roman" w:cs="Times New Roman"/>
          <w:sz w:val="24"/>
          <w:szCs w:val="24"/>
          <w:lang w:eastAsia="en-AU"/>
        </w:rPr>
      </w:pPr>
      <w:r w:rsidRPr="002D7DA8">
        <w:rPr>
          <w:rFonts w:ascii="Times New Roman" w:eastAsia="Times New Roman" w:hAnsi="Times New Roman" w:cs="Times New Roman"/>
          <w:sz w:val="24"/>
          <w:szCs w:val="24"/>
          <w:lang w:eastAsia="en-AU"/>
        </w:rPr>
        <w:t>Updated section 26BB Determinations are made on a regular basis. Th</w:t>
      </w:r>
      <w:r w:rsidR="00CF2A6F">
        <w:rPr>
          <w:rFonts w:ascii="Times New Roman" w:eastAsia="Times New Roman" w:hAnsi="Times New Roman" w:cs="Times New Roman"/>
          <w:sz w:val="24"/>
          <w:szCs w:val="24"/>
          <w:lang w:eastAsia="en-AU"/>
        </w:rPr>
        <w:t>e</w:t>
      </w:r>
      <w:r w:rsidRPr="002D7DA8">
        <w:rPr>
          <w:rFonts w:ascii="Times New Roman" w:eastAsia="Times New Roman" w:hAnsi="Times New Roman" w:cs="Times New Roman"/>
          <w:sz w:val="24"/>
          <w:szCs w:val="24"/>
          <w:lang w:eastAsia="en-AU"/>
        </w:rPr>
        <w:t>s</w:t>
      </w:r>
      <w:r w:rsidR="00CF2A6F">
        <w:rPr>
          <w:rFonts w:ascii="Times New Roman" w:eastAsia="Times New Roman" w:hAnsi="Times New Roman" w:cs="Times New Roman"/>
          <w:sz w:val="24"/>
          <w:szCs w:val="24"/>
          <w:lang w:eastAsia="en-AU"/>
        </w:rPr>
        <w:t>e</w:t>
      </w:r>
      <w:r w:rsidRPr="002D7DA8">
        <w:rPr>
          <w:rFonts w:ascii="Times New Roman" w:eastAsia="Times New Roman" w:hAnsi="Times New Roman" w:cs="Times New Roman"/>
          <w:sz w:val="24"/>
          <w:szCs w:val="24"/>
          <w:lang w:eastAsia="en-AU"/>
        </w:rPr>
        <w:t xml:space="preserve"> update</w:t>
      </w:r>
      <w:r w:rsidR="00CF2A6F">
        <w:rPr>
          <w:rFonts w:ascii="Times New Roman" w:eastAsia="Times New Roman" w:hAnsi="Times New Roman" w:cs="Times New Roman"/>
          <w:sz w:val="24"/>
          <w:szCs w:val="24"/>
          <w:lang w:eastAsia="en-AU"/>
        </w:rPr>
        <w:t>s</w:t>
      </w:r>
      <w:r w:rsidRPr="002D7DA8">
        <w:rPr>
          <w:rFonts w:ascii="Times New Roman" w:eastAsia="Times New Roman" w:hAnsi="Times New Roman" w:cs="Times New Roman"/>
          <w:sz w:val="24"/>
          <w:szCs w:val="24"/>
          <w:lang w:eastAsia="en-AU"/>
        </w:rPr>
        <w:t xml:space="preserve"> </w:t>
      </w:r>
      <w:r w:rsidR="00CF2A6F">
        <w:rPr>
          <w:rFonts w:ascii="Times New Roman" w:eastAsia="Times New Roman" w:hAnsi="Times New Roman" w:cs="Times New Roman"/>
          <w:sz w:val="24"/>
          <w:szCs w:val="24"/>
          <w:lang w:eastAsia="en-AU"/>
        </w:rPr>
        <w:t>are</w:t>
      </w:r>
      <w:r w:rsidR="00CF2A6F" w:rsidRPr="002D7DA8">
        <w:rPr>
          <w:rFonts w:ascii="Times New Roman" w:eastAsia="Times New Roman" w:hAnsi="Times New Roman" w:cs="Times New Roman"/>
          <w:sz w:val="24"/>
          <w:szCs w:val="24"/>
          <w:lang w:eastAsia="en-AU"/>
        </w:rPr>
        <w:t xml:space="preserve"> </w:t>
      </w:r>
      <w:r w:rsidRPr="002D7DA8">
        <w:rPr>
          <w:rFonts w:ascii="Times New Roman" w:eastAsia="Times New Roman" w:hAnsi="Times New Roman" w:cs="Times New Roman"/>
          <w:sz w:val="24"/>
          <w:szCs w:val="24"/>
          <w:lang w:eastAsia="en-AU"/>
        </w:rPr>
        <w:t>needed to ensure that new ingredients</w:t>
      </w:r>
      <w:r w:rsidR="002526C5">
        <w:rPr>
          <w:rFonts w:ascii="Times New Roman" w:eastAsia="Times New Roman" w:hAnsi="Times New Roman" w:cs="Times New Roman"/>
          <w:sz w:val="24"/>
          <w:szCs w:val="24"/>
          <w:lang w:eastAsia="en-AU"/>
        </w:rPr>
        <w:t>,</w:t>
      </w:r>
      <w:r w:rsidR="00CF2A6F">
        <w:rPr>
          <w:rFonts w:ascii="Times New Roman" w:eastAsia="Times New Roman" w:hAnsi="Times New Roman" w:cs="Times New Roman"/>
          <w:sz w:val="24"/>
          <w:szCs w:val="24"/>
          <w:lang w:eastAsia="en-AU"/>
        </w:rPr>
        <w:t xml:space="preserve"> </w:t>
      </w:r>
      <w:r w:rsidR="002526C5">
        <w:rPr>
          <w:rFonts w:ascii="Times New Roman" w:eastAsia="Times New Roman" w:hAnsi="Times New Roman" w:cs="Times New Roman"/>
          <w:sz w:val="24"/>
          <w:szCs w:val="24"/>
          <w:lang w:eastAsia="en-AU"/>
        </w:rPr>
        <w:t>and</w:t>
      </w:r>
      <w:r w:rsidR="00CF2A6F">
        <w:rPr>
          <w:rFonts w:ascii="Times New Roman" w:eastAsia="Times New Roman" w:hAnsi="Times New Roman" w:cs="Times New Roman"/>
          <w:sz w:val="24"/>
          <w:szCs w:val="24"/>
          <w:lang w:eastAsia="en-AU"/>
        </w:rPr>
        <w:t xml:space="preserve"> new ingredient</w:t>
      </w:r>
      <w:r w:rsidRPr="002D7DA8">
        <w:rPr>
          <w:rFonts w:ascii="Times New Roman" w:eastAsia="Times New Roman" w:hAnsi="Times New Roman" w:cs="Times New Roman"/>
          <w:sz w:val="24"/>
          <w:szCs w:val="24"/>
          <w:lang w:eastAsia="en-AU"/>
        </w:rPr>
        <w:t xml:space="preserve"> </w:t>
      </w:r>
      <w:r w:rsidR="00CF2A6F">
        <w:rPr>
          <w:rFonts w:ascii="Times New Roman" w:eastAsia="Times New Roman" w:hAnsi="Times New Roman" w:cs="Times New Roman"/>
          <w:sz w:val="24"/>
          <w:szCs w:val="24"/>
          <w:lang w:eastAsia="en-AU"/>
        </w:rPr>
        <w:t>uses</w:t>
      </w:r>
      <w:r w:rsidR="002526C5">
        <w:rPr>
          <w:rFonts w:ascii="Times New Roman" w:eastAsia="Times New Roman" w:hAnsi="Times New Roman" w:cs="Times New Roman"/>
          <w:sz w:val="24"/>
          <w:szCs w:val="24"/>
          <w:lang w:eastAsia="en-AU"/>
        </w:rPr>
        <w:t>,</w:t>
      </w:r>
      <w:r w:rsidR="00CF2A6F">
        <w:rPr>
          <w:rFonts w:ascii="Times New Roman" w:eastAsia="Times New Roman" w:hAnsi="Times New Roman" w:cs="Times New Roman"/>
          <w:sz w:val="24"/>
          <w:szCs w:val="24"/>
          <w:lang w:eastAsia="en-AU"/>
        </w:rPr>
        <w:t xml:space="preserve"> </w:t>
      </w:r>
      <w:r w:rsidRPr="002D7DA8">
        <w:rPr>
          <w:rFonts w:ascii="Times New Roman" w:eastAsia="Times New Roman" w:hAnsi="Times New Roman" w:cs="Times New Roman"/>
          <w:sz w:val="24"/>
          <w:szCs w:val="24"/>
          <w:lang w:eastAsia="en-AU"/>
        </w:rPr>
        <w:t xml:space="preserve">requested by industry are made available for </w:t>
      </w:r>
      <w:r w:rsidR="002526C5">
        <w:rPr>
          <w:rFonts w:ascii="Times New Roman" w:eastAsia="Times New Roman" w:hAnsi="Times New Roman" w:cs="Times New Roman"/>
          <w:sz w:val="24"/>
          <w:szCs w:val="24"/>
          <w:lang w:eastAsia="en-AU"/>
        </w:rPr>
        <w:t>AUST L and AUST L(A)</w:t>
      </w:r>
      <w:r w:rsidRPr="002D7DA8">
        <w:rPr>
          <w:rFonts w:ascii="Times New Roman" w:eastAsia="Times New Roman" w:hAnsi="Times New Roman" w:cs="Times New Roman"/>
          <w:sz w:val="24"/>
          <w:szCs w:val="24"/>
          <w:lang w:eastAsia="en-AU"/>
        </w:rPr>
        <w:t xml:space="preserve"> medicines as soon as possible after they have been assessed or determined to be safe. Updating the Determination is necessary to provide</w:t>
      </w:r>
      <w:r w:rsidR="002526C5">
        <w:rPr>
          <w:rFonts w:ascii="Times New Roman" w:eastAsia="Times New Roman" w:hAnsi="Times New Roman" w:cs="Times New Roman"/>
          <w:sz w:val="24"/>
          <w:szCs w:val="24"/>
          <w:lang w:eastAsia="en-AU"/>
        </w:rPr>
        <w:t xml:space="preserve"> </w:t>
      </w:r>
      <w:r w:rsidRPr="002D7DA8">
        <w:rPr>
          <w:rFonts w:ascii="Times New Roman" w:eastAsia="Times New Roman" w:hAnsi="Times New Roman" w:cs="Times New Roman"/>
          <w:sz w:val="24"/>
          <w:szCs w:val="24"/>
          <w:lang w:eastAsia="en-AU"/>
        </w:rPr>
        <w:t>accurate and current information on restrictions for ingredients that reflect</w:t>
      </w:r>
      <w:r w:rsidR="002526C5">
        <w:rPr>
          <w:rFonts w:ascii="Times New Roman" w:eastAsia="Times New Roman" w:hAnsi="Times New Roman" w:cs="Times New Roman"/>
          <w:sz w:val="24"/>
          <w:szCs w:val="24"/>
          <w:lang w:eastAsia="en-AU"/>
        </w:rPr>
        <w:t>s</w:t>
      </w:r>
      <w:r w:rsidRPr="002D7DA8">
        <w:rPr>
          <w:rFonts w:ascii="Times New Roman" w:eastAsia="Times New Roman" w:hAnsi="Times New Roman" w:cs="Times New Roman"/>
          <w:sz w:val="24"/>
          <w:szCs w:val="24"/>
          <w:lang w:eastAsia="en-AU"/>
        </w:rPr>
        <w:t xml:space="preserve"> recent safety data, scientific naming conventions, changes to the Poisons Standar</w:t>
      </w:r>
      <w:r w:rsidR="002526C5">
        <w:rPr>
          <w:rFonts w:ascii="Times New Roman" w:eastAsia="Times New Roman" w:hAnsi="Times New Roman" w:cs="Times New Roman"/>
          <w:sz w:val="24"/>
          <w:szCs w:val="24"/>
          <w:lang w:eastAsia="en-AU"/>
        </w:rPr>
        <w:t>d</w:t>
      </w:r>
      <w:r w:rsidRPr="002D7DA8">
        <w:rPr>
          <w:rFonts w:ascii="Times New Roman" w:eastAsia="Times New Roman" w:hAnsi="Times New Roman" w:cs="Times New Roman"/>
          <w:sz w:val="24"/>
          <w:szCs w:val="24"/>
          <w:lang w:eastAsia="en-AU"/>
        </w:rPr>
        <w:t xml:space="preserve">, legislative developments for therapeutic goods, and to correct minor errors. </w:t>
      </w:r>
    </w:p>
    <w:p w:rsidR="002D7DA8" w:rsidRDefault="002D7DA8" w:rsidP="00B94E86">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A47C69">
        <w:rPr>
          <w:rFonts w:ascii="Times New Roman" w:eastAsia="Times New Roman" w:hAnsi="Times New Roman" w:cs="Times New Roman"/>
          <w:sz w:val="24"/>
          <w:szCs w:val="24"/>
          <w:lang w:eastAsia="en-AU"/>
        </w:rPr>
        <w:t xml:space="preserve">s listed medicines are </w:t>
      </w:r>
      <w:r>
        <w:rPr>
          <w:rFonts w:ascii="Times New Roman" w:eastAsia="Times New Roman" w:hAnsi="Times New Roman" w:cs="Times New Roman"/>
          <w:sz w:val="24"/>
          <w:szCs w:val="24"/>
          <w:lang w:eastAsia="en-AU"/>
        </w:rPr>
        <w:t xml:space="preserve">available without a prescription from a registered medical doctor, </w:t>
      </w:r>
      <w:r w:rsidR="002526C5">
        <w:rPr>
          <w:rFonts w:ascii="Times New Roman" w:eastAsia="Times New Roman" w:hAnsi="Times New Roman" w:cs="Times New Roman"/>
          <w:sz w:val="24"/>
          <w:szCs w:val="24"/>
          <w:lang w:eastAsia="en-AU"/>
        </w:rPr>
        <w:t>it is particularly important</w:t>
      </w:r>
      <w:r w:rsidRPr="00A47C69">
        <w:rPr>
          <w:rFonts w:ascii="Times New Roman" w:eastAsia="Times New Roman" w:hAnsi="Times New Roman" w:cs="Times New Roman"/>
          <w:sz w:val="24"/>
          <w:szCs w:val="24"/>
          <w:lang w:eastAsia="en-AU"/>
        </w:rPr>
        <w:t xml:space="preserve"> </w:t>
      </w:r>
      <w:r w:rsidR="002526C5">
        <w:rPr>
          <w:rFonts w:ascii="Times New Roman" w:eastAsia="Times New Roman" w:hAnsi="Times New Roman" w:cs="Times New Roman"/>
          <w:sz w:val="24"/>
          <w:szCs w:val="24"/>
          <w:lang w:eastAsia="en-AU"/>
        </w:rPr>
        <w:t xml:space="preserve">for public health and safety </w:t>
      </w:r>
      <w:r w:rsidRPr="00A47C69">
        <w:rPr>
          <w:rFonts w:ascii="Times New Roman" w:eastAsia="Times New Roman" w:hAnsi="Times New Roman" w:cs="Times New Roman"/>
          <w:sz w:val="24"/>
          <w:szCs w:val="24"/>
          <w:lang w:eastAsia="en-AU"/>
        </w:rPr>
        <w:t xml:space="preserve">to ensure that </w:t>
      </w:r>
      <w:r>
        <w:rPr>
          <w:rFonts w:ascii="Times New Roman" w:eastAsia="Times New Roman" w:hAnsi="Times New Roman" w:cs="Times New Roman"/>
          <w:sz w:val="24"/>
          <w:szCs w:val="24"/>
          <w:lang w:eastAsia="en-AU"/>
        </w:rPr>
        <w:t>section 26BB D</w:t>
      </w:r>
      <w:r w:rsidRPr="00A47C69">
        <w:rPr>
          <w:rFonts w:ascii="Times New Roman" w:eastAsia="Times New Roman" w:hAnsi="Times New Roman" w:cs="Times New Roman"/>
          <w:sz w:val="24"/>
          <w:szCs w:val="24"/>
          <w:lang w:eastAsia="en-AU"/>
        </w:rPr>
        <w:t>etermination</w:t>
      </w:r>
      <w:r>
        <w:rPr>
          <w:rFonts w:ascii="Times New Roman" w:eastAsia="Times New Roman" w:hAnsi="Times New Roman" w:cs="Times New Roman"/>
          <w:sz w:val="24"/>
          <w:szCs w:val="24"/>
          <w:lang w:eastAsia="en-AU"/>
        </w:rPr>
        <w:t>s</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are </w:t>
      </w:r>
      <w:r w:rsidRPr="00A47C69">
        <w:rPr>
          <w:rFonts w:ascii="Times New Roman" w:eastAsia="Times New Roman" w:hAnsi="Times New Roman" w:cs="Times New Roman"/>
          <w:sz w:val="24"/>
          <w:szCs w:val="24"/>
          <w:lang w:eastAsia="en-AU"/>
        </w:rPr>
        <w:t>accurate and routinely maintained</w:t>
      </w:r>
      <w:r>
        <w:rPr>
          <w:rFonts w:ascii="Times New Roman" w:eastAsia="Times New Roman" w:hAnsi="Times New Roman" w:cs="Times New Roman"/>
          <w:sz w:val="24"/>
          <w:szCs w:val="24"/>
          <w:lang w:eastAsia="en-AU"/>
        </w:rPr>
        <w:t>, so as</w:t>
      </w:r>
      <w:r w:rsidRPr="00A47C69">
        <w:rPr>
          <w:rFonts w:ascii="Times New Roman" w:eastAsia="Times New Roman" w:hAnsi="Times New Roman" w:cs="Times New Roman"/>
          <w:sz w:val="24"/>
          <w:szCs w:val="24"/>
          <w:lang w:eastAsia="en-AU"/>
        </w:rPr>
        <w:t xml:space="preserve"> to provide clear requirements for industry about what ingredients can be safely used in listed </w:t>
      </w:r>
      <w:r w:rsidR="002526C5" w:rsidRPr="00A47C69">
        <w:rPr>
          <w:rFonts w:ascii="Times New Roman" w:eastAsia="Times New Roman" w:hAnsi="Times New Roman" w:cs="Times New Roman"/>
          <w:sz w:val="24"/>
          <w:szCs w:val="24"/>
          <w:lang w:eastAsia="en-AU"/>
        </w:rPr>
        <w:t>medicine</w:t>
      </w:r>
      <w:r w:rsidR="002526C5">
        <w:rPr>
          <w:rFonts w:ascii="Times New Roman" w:eastAsia="Times New Roman" w:hAnsi="Times New Roman" w:cs="Times New Roman"/>
          <w:sz w:val="24"/>
          <w:szCs w:val="24"/>
          <w:lang w:eastAsia="en-AU"/>
        </w:rPr>
        <w:t>,</w:t>
      </w:r>
      <w:r w:rsidR="002526C5" w:rsidRPr="00A47C69">
        <w:rPr>
          <w:rFonts w:ascii="Times New Roman" w:eastAsia="Times New Roman" w:hAnsi="Times New Roman" w:cs="Times New Roman"/>
          <w:sz w:val="24"/>
          <w:szCs w:val="24"/>
          <w:lang w:eastAsia="en-AU"/>
        </w:rPr>
        <w:t xml:space="preserve"> </w:t>
      </w:r>
      <w:r w:rsidRPr="00A47C69">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about what</w:t>
      </w:r>
      <w:r w:rsidRPr="00A47C69">
        <w:rPr>
          <w:rFonts w:ascii="Times New Roman" w:eastAsia="Times New Roman" w:hAnsi="Times New Roman" w:cs="Times New Roman"/>
          <w:sz w:val="24"/>
          <w:szCs w:val="24"/>
          <w:lang w:eastAsia="en-AU"/>
        </w:rPr>
        <w:t xml:space="preserve"> safety information </w:t>
      </w:r>
      <w:r>
        <w:rPr>
          <w:rFonts w:ascii="Times New Roman" w:eastAsia="Times New Roman" w:hAnsi="Times New Roman" w:cs="Times New Roman"/>
          <w:sz w:val="24"/>
          <w:szCs w:val="24"/>
          <w:lang w:eastAsia="en-AU"/>
        </w:rPr>
        <w:t>needs to</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be </w:t>
      </w:r>
      <w:r w:rsidRPr="00A47C69">
        <w:rPr>
          <w:rFonts w:ascii="Times New Roman" w:eastAsia="Times New Roman" w:hAnsi="Times New Roman" w:cs="Times New Roman"/>
          <w:sz w:val="24"/>
          <w:szCs w:val="24"/>
          <w:lang w:eastAsia="en-AU"/>
        </w:rPr>
        <w:t>provided to consumers</w:t>
      </w:r>
      <w:r>
        <w:rPr>
          <w:rFonts w:ascii="Times New Roman" w:eastAsia="Times New Roman" w:hAnsi="Times New Roman" w:cs="Times New Roman"/>
          <w:sz w:val="24"/>
          <w:szCs w:val="24"/>
          <w:lang w:eastAsia="en-AU"/>
        </w:rPr>
        <w:t xml:space="preserve"> on product labels to ensure the safe use of those products by the public</w:t>
      </w:r>
      <w:r w:rsidRPr="00A47C69">
        <w:rPr>
          <w:rFonts w:ascii="Times New Roman" w:eastAsia="Times New Roman" w:hAnsi="Times New Roman" w:cs="Times New Roman"/>
          <w:sz w:val="24"/>
          <w:szCs w:val="24"/>
          <w:lang w:eastAsia="en-AU"/>
        </w:rPr>
        <w:t>.</w:t>
      </w:r>
    </w:p>
    <w:p w:rsidR="002526C5" w:rsidRPr="00B94E86" w:rsidRDefault="002526C5" w:rsidP="000F57E4">
      <w:pPr>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p>
    <w:p w:rsidR="000F57E4" w:rsidRPr="002E1D6D" w:rsidRDefault="000F57E4" w:rsidP="000F57E4">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Determination includes references to a number of external documents. In each case, the intention is for the references to relate to those documents ‘as in force or existing from time to time’, unless a specific version of the relevant document is identified. The words ‘as in force or existing from time to time’ are included, as appropriate, throughout the Determination to make it clearer that this is the intention in relation to references to other documents. </w:t>
      </w:r>
    </w:p>
    <w:p w:rsidR="000F57E4" w:rsidRDefault="000F57E4" w:rsidP="000F57E4">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Subsection 26BB(8) of the Act provides a contrary intention for subsection 14(2) of the </w:t>
      </w:r>
      <w:r w:rsidRPr="0096369D">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Legislation Act), by allowing a determination under section 26BB to make provision in relation to a matter by applying, adopting or incorporating any matter contained in an instrument or other writing as in force or existing from time to time. </w:t>
      </w:r>
    </w:p>
    <w:p w:rsidR="000F57E4" w:rsidRDefault="000F57E4" w:rsidP="000F57E4">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In accordance with paragraph 15J(2)(c) of the </w:t>
      </w:r>
      <w:r w:rsidRPr="007F6F1C">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documents referenced in this Determination are described below, together with information relating to how they may be accessed. </w:t>
      </w:r>
    </w:p>
    <w:p w:rsidR="000F57E4" w:rsidRDefault="000F57E4" w:rsidP="00B94E86">
      <w:pPr>
        <w:spacing w:after="120"/>
        <w:rPr>
          <w:rFonts w:ascii="Times New Roman" w:hAnsi="Times New Roman" w:cs="Times New Roman"/>
          <w:sz w:val="24"/>
          <w:szCs w:val="24"/>
          <w:lang w:eastAsia="en-AU"/>
        </w:rPr>
      </w:pPr>
      <w:r w:rsidRPr="00A2081A">
        <w:rPr>
          <w:rFonts w:ascii="Times New Roman" w:hAnsi="Times New Roman" w:cs="Times New Roman"/>
          <w:sz w:val="24"/>
          <w:szCs w:val="24"/>
          <w:lang w:eastAsia="en-AU"/>
        </w:rPr>
        <w:lastRenderedPageBreak/>
        <w:t xml:space="preserve">The Determination refers to the following documents that </w:t>
      </w:r>
      <w:r>
        <w:rPr>
          <w:rFonts w:ascii="Times New Roman" w:hAnsi="Times New Roman" w:cs="Times New Roman"/>
          <w:sz w:val="24"/>
          <w:szCs w:val="24"/>
          <w:lang w:eastAsia="en-AU"/>
        </w:rPr>
        <w:t xml:space="preserve">are intended to be adopted as in force from time to time.  These documents </w:t>
      </w:r>
      <w:r w:rsidRPr="00A2081A">
        <w:rPr>
          <w:rFonts w:ascii="Times New Roman" w:hAnsi="Times New Roman" w:cs="Times New Roman"/>
          <w:sz w:val="24"/>
          <w:szCs w:val="24"/>
          <w:lang w:eastAsia="en-AU"/>
        </w:rPr>
        <w:t xml:space="preserve">provide </w:t>
      </w:r>
      <w:r>
        <w:rPr>
          <w:rFonts w:ascii="Times New Roman" w:hAnsi="Times New Roman" w:cs="Times New Roman"/>
          <w:sz w:val="24"/>
          <w:szCs w:val="24"/>
          <w:lang w:eastAsia="en-AU"/>
        </w:rPr>
        <w:t xml:space="preserve">important </w:t>
      </w:r>
      <w:r w:rsidRPr="00A2081A">
        <w:rPr>
          <w:rFonts w:ascii="Times New Roman" w:hAnsi="Times New Roman" w:cs="Times New Roman"/>
          <w:sz w:val="24"/>
          <w:szCs w:val="24"/>
          <w:lang w:eastAsia="en-AU"/>
        </w:rPr>
        <w:t>international standards for the safety and qualit</w:t>
      </w:r>
      <w:r>
        <w:rPr>
          <w:rFonts w:ascii="Times New Roman" w:hAnsi="Times New Roman" w:cs="Times New Roman"/>
          <w:sz w:val="24"/>
          <w:szCs w:val="24"/>
          <w:lang w:eastAsia="en-AU"/>
        </w:rPr>
        <w:t>y of ingredients for medicines (a</w:t>
      </w:r>
      <w:r w:rsidRPr="00A2081A">
        <w:rPr>
          <w:rFonts w:ascii="Times New Roman" w:hAnsi="Times New Roman" w:cs="Times New Roman"/>
          <w:sz w:val="24"/>
          <w:szCs w:val="24"/>
          <w:lang w:eastAsia="en-AU"/>
        </w:rPr>
        <w:t xml:space="preserve"> fee is required for access to these documents</w:t>
      </w:r>
      <w:r>
        <w:rPr>
          <w:rFonts w:ascii="Times New Roman" w:hAnsi="Times New Roman" w:cs="Times New Roman"/>
          <w:sz w:val="24"/>
          <w:szCs w:val="24"/>
          <w:lang w:eastAsia="en-AU"/>
        </w:rPr>
        <w:t>, with the exception of the two New Zealand Acts, which are available for free from the website noted below):</w:t>
      </w:r>
    </w:p>
    <w:p w:rsidR="000F57E4" w:rsidRPr="00B94E86" w:rsidRDefault="000F57E4" w:rsidP="00B94E86">
      <w:pPr>
        <w:pStyle w:val="ListParagraph"/>
        <w:numPr>
          <w:ilvl w:val="0"/>
          <w:numId w:val="6"/>
        </w:numPr>
        <w:spacing w:before="0" w:beforeAutospacing="0" w:after="120" w:afterAutospacing="0"/>
        <w:ind w:left="567" w:hanging="567"/>
      </w:pPr>
      <w:r w:rsidRPr="00B94E86">
        <w:rPr>
          <w:i/>
        </w:rPr>
        <w:t>British Pharmacopoeia</w:t>
      </w:r>
      <w:r w:rsidRPr="00B94E86">
        <w:t xml:space="preserve"> (BP)</w:t>
      </w:r>
      <w:r w:rsidRPr="00B94E86">
        <w:rPr>
          <w:iCs/>
        </w:rPr>
        <w:t xml:space="preserve"> (as defined in the Act)</w:t>
      </w:r>
      <w:r w:rsidR="008942BC">
        <w:rPr>
          <w:iCs/>
        </w:rPr>
        <w:t>,</w:t>
      </w:r>
      <w:r w:rsidRPr="00B94E86">
        <w:rPr>
          <w:iCs/>
        </w:rPr>
        <w:t xml:space="preserve"> available online at</w:t>
      </w:r>
      <w:r>
        <w:t xml:space="preserve">: </w:t>
      </w:r>
      <w:hyperlink r:id="rId9" w:history="1">
        <w:r w:rsidRPr="00B94E86">
          <w:rPr>
            <w:rStyle w:val="Hyperlink"/>
          </w:rPr>
          <w:t>https://www.pharmacopoeia.com</w:t>
        </w:r>
      </w:hyperlink>
      <w:r w:rsidRPr="00B94E86">
        <w:rPr>
          <w:rStyle w:val="Hyperlink"/>
        </w:rPr>
        <w:t>;</w:t>
      </w:r>
    </w:p>
    <w:p w:rsidR="000F57E4" w:rsidRPr="00B94E86" w:rsidRDefault="000F57E4" w:rsidP="00B94E86">
      <w:pPr>
        <w:pStyle w:val="ListParagraph"/>
        <w:numPr>
          <w:ilvl w:val="0"/>
          <w:numId w:val="6"/>
        </w:numPr>
        <w:tabs>
          <w:tab w:val="left" w:pos="3435"/>
        </w:tabs>
        <w:ind w:left="567" w:hanging="567"/>
      </w:pPr>
      <w:r w:rsidRPr="00B94E86">
        <w:rPr>
          <w:i/>
        </w:rPr>
        <w:t xml:space="preserve">European Pharmacopoeia </w:t>
      </w:r>
      <w:r w:rsidRPr="00B94E86">
        <w:t>(EP) (as defined in the Act)</w:t>
      </w:r>
      <w:r w:rsidR="008942BC">
        <w:t>,</w:t>
      </w:r>
      <w:r w:rsidRPr="00B94E86">
        <w:t xml:space="preserve"> available on-line at: </w:t>
      </w:r>
      <w:hyperlink r:id="rId10" w:history="1">
        <w:r w:rsidRPr="00B94E86">
          <w:rPr>
            <w:rStyle w:val="Hyperlink"/>
          </w:rPr>
          <w:t>http://online.pheur.org</w:t>
        </w:r>
      </w:hyperlink>
      <w:r w:rsidRPr="00B94E86">
        <w:rPr>
          <w:rStyle w:val="Hyperlink"/>
        </w:rPr>
        <w:t>;</w:t>
      </w:r>
      <w:r w:rsidRPr="00B94E86">
        <w:t xml:space="preserve"> </w:t>
      </w:r>
    </w:p>
    <w:p w:rsidR="000F57E4" w:rsidRPr="00B94E86" w:rsidRDefault="000F57E4" w:rsidP="00B94E86">
      <w:pPr>
        <w:pStyle w:val="ListParagraph"/>
        <w:numPr>
          <w:ilvl w:val="0"/>
          <w:numId w:val="6"/>
        </w:numPr>
        <w:tabs>
          <w:tab w:val="left" w:pos="3435"/>
        </w:tabs>
        <w:spacing w:before="120" w:beforeAutospacing="0" w:after="0" w:afterAutospacing="0"/>
        <w:ind w:left="567" w:hanging="567"/>
      </w:pPr>
      <w:r w:rsidRPr="00B94E86">
        <w:rPr>
          <w:i/>
        </w:rPr>
        <w:t>United States Pharmacopeia – National Formulary</w:t>
      </w:r>
      <w:r w:rsidRPr="00B94E86">
        <w:t xml:space="preserve"> (USP-NF) (as defined in the Act)</w:t>
      </w:r>
      <w:r w:rsidR="008942BC">
        <w:t>,</w:t>
      </w:r>
      <w:r w:rsidRPr="00B94E86">
        <w:t xml:space="preserve"> available on-line at:</w:t>
      </w:r>
      <w:r w:rsidRPr="001D6B26">
        <w:t xml:space="preserve"> </w:t>
      </w:r>
      <w:hyperlink r:id="rId11" w:history="1">
        <w:r w:rsidRPr="00B94E86">
          <w:rPr>
            <w:rStyle w:val="Hyperlink"/>
          </w:rPr>
          <w:t>http://www.usp.org/usp-nf</w:t>
        </w:r>
      </w:hyperlink>
      <w:r w:rsidRPr="00B94E86">
        <w:rPr>
          <w:rStyle w:val="Hyperlink"/>
        </w:rPr>
        <w:t>;</w:t>
      </w:r>
    </w:p>
    <w:p w:rsidR="000F57E4" w:rsidRPr="00B94E86" w:rsidRDefault="000F57E4" w:rsidP="00B94E86">
      <w:pPr>
        <w:pStyle w:val="ListParagraph"/>
        <w:numPr>
          <w:ilvl w:val="0"/>
          <w:numId w:val="6"/>
        </w:numPr>
        <w:tabs>
          <w:tab w:val="left" w:pos="3435"/>
        </w:tabs>
        <w:spacing w:before="120" w:beforeAutospacing="0" w:after="0" w:afterAutospacing="0"/>
        <w:ind w:left="567" w:hanging="567"/>
        <w:rPr>
          <w:rStyle w:val="Hyperlink"/>
        </w:rPr>
      </w:pPr>
      <w:r w:rsidRPr="00B94E86">
        <w:t>Food Chemicals Codex (FCC) published by the United States Pharmacopeial Convention</w:t>
      </w:r>
      <w:r w:rsidR="008942BC">
        <w:t>,</w:t>
      </w:r>
      <w:r w:rsidRPr="00B94E86">
        <w:t xml:space="preserve"> available on-line at </w:t>
      </w:r>
      <w:hyperlink r:id="rId12" w:history="1">
        <w:r w:rsidRPr="00B94E86">
          <w:rPr>
            <w:rStyle w:val="Hyperlink"/>
          </w:rPr>
          <w:t>http://online.foodchemicalscodex.org</w:t>
        </w:r>
      </w:hyperlink>
      <w:r w:rsidRPr="00B94E86">
        <w:rPr>
          <w:rStyle w:val="Hyperlink"/>
        </w:rPr>
        <w:t>:</w:t>
      </w:r>
    </w:p>
    <w:p w:rsidR="000F57E4" w:rsidRPr="00B94E86" w:rsidRDefault="000F57E4" w:rsidP="00B94E86">
      <w:pPr>
        <w:pStyle w:val="ListParagraph"/>
        <w:numPr>
          <w:ilvl w:val="0"/>
          <w:numId w:val="6"/>
        </w:numPr>
        <w:tabs>
          <w:tab w:val="left" w:pos="3435"/>
        </w:tabs>
        <w:spacing w:before="120" w:beforeAutospacing="0" w:after="0" w:afterAutospacing="0"/>
        <w:ind w:left="567" w:hanging="567"/>
        <w:rPr>
          <w:rStyle w:val="Hyperlink"/>
        </w:rPr>
      </w:pPr>
      <w:r w:rsidRPr="00B94E86">
        <w:rPr>
          <w:rStyle w:val="Hyperlink"/>
          <w:i/>
          <w:color w:val="auto"/>
        </w:rPr>
        <w:t>Animal Products Act 1999</w:t>
      </w:r>
      <w:r w:rsidRPr="00B94E86">
        <w:rPr>
          <w:rStyle w:val="Hyperlink"/>
          <w:color w:val="auto"/>
        </w:rPr>
        <w:t>, of New Zealand</w:t>
      </w:r>
      <w:r w:rsidR="008942BC" w:rsidRPr="00AF5312">
        <w:rPr>
          <w:rStyle w:val="Hyperlink"/>
          <w:color w:val="auto"/>
        </w:rPr>
        <w:t xml:space="preserve">, available online </w:t>
      </w:r>
      <w:r w:rsidRPr="00AF5312">
        <w:rPr>
          <w:rStyle w:val="Hyperlink"/>
          <w:color w:val="auto"/>
        </w:rPr>
        <w:t xml:space="preserve">at </w:t>
      </w:r>
      <w:hyperlink r:id="rId13" w:history="1">
        <w:r w:rsidRPr="00B94E86">
          <w:rPr>
            <w:rStyle w:val="Hyperlink"/>
          </w:rPr>
          <w:t>http://www.legislation.govt.nz/</w:t>
        </w:r>
      </w:hyperlink>
      <w:r w:rsidRPr="00B94E86">
        <w:rPr>
          <w:rStyle w:val="Hyperlink"/>
        </w:rPr>
        <w:t>;</w:t>
      </w:r>
    </w:p>
    <w:p w:rsidR="000F57E4" w:rsidRPr="00B94E86" w:rsidRDefault="000F57E4" w:rsidP="00B94E86">
      <w:pPr>
        <w:pStyle w:val="ListParagraph"/>
        <w:numPr>
          <w:ilvl w:val="0"/>
          <w:numId w:val="6"/>
        </w:numPr>
        <w:tabs>
          <w:tab w:val="left" w:pos="3435"/>
        </w:tabs>
        <w:spacing w:before="120" w:beforeAutospacing="0" w:after="0" w:afterAutospacing="0"/>
        <w:ind w:left="567" w:hanging="567"/>
        <w:rPr>
          <w:rStyle w:val="Hyperlink"/>
        </w:rPr>
      </w:pPr>
      <w:r w:rsidRPr="00B94E86">
        <w:rPr>
          <w:rStyle w:val="Hyperlink"/>
          <w:i/>
          <w:color w:val="auto"/>
        </w:rPr>
        <w:t>Animal Welfare Act 1999</w:t>
      </w:r>
      <w:r w:rsidRPr="00B94E86">
        <w:rPr>
          <w:rStyle w:val="Hyperlink"/>
          <w:color w:val="auto"/>
        </w:rPr>
        <w:t>, of New Zealand</w:t>
      </w:r>
      <w:r w:rsidR="008942BC" w:rsidRPr="00B94E86">
        <w:rPr>
          <w:rStyle w:val="Hyperlink"/>
          <w:color w:val="auto"/>
        </w:rPr>
        <w:t xml:space="preserve">, available online </w:t>
      </w:r>
      <w:r w:rsidRPr="00B94E86">
        <w:rPr>
          <w:rStyle w:val="Hyperlink"/>
          <w:color w:val="auto"/>
        </w:rPr>
        <w:t xml:space="preserve">at </w:t>
      </w:r>
      <w:hyperlink r:id="rId14" w:history="1">
        <w:r w:rsidRPr="00B94E86">
          <w:rPr>
            <w:rStyle w:val="Hyperlink"/>
          </w:rPr>
          <w:t>http://www.legislation.govt.nz/</w:t>
        </w:r>
      </w:hyperlink>
      <w:r w:rsidRPr="00B94E86">
        <w:rPr>
          <w:rStyle w:val="Hyperlink"/>
        </w:rPr>
        <w:t>.</w:t>
      </w:r>
    </w:p>
    <w:p w:rsidR="000F57E4" w:rsidRPr="00950D68" w:rsidRDefault="000F57E4" w:rsidP="00B94E86">
      <w:pPr>
        <w:spacing w:before="240"/>
        <w:rPr>
          <w:szCs w:val="24"/>
        </w:rPr>
      </w:pPr>
      <w:r>
        <w:rPr>
          <w:rFonts w:ascii="Times New Roman" w:hAnsi="Times New Roman" w:cs="Times New Roman"/>
          <w:sz w:val="24"/>
          <w:szCs w:val="24"/>
          <w:lang w:eastAsia="en-AU"/>
        </w:rPr>
        <w:t xml:space="preserve">The Determination also includes a reference to a World Health Organization publication </w:t>
      </w:r>
      <w:r w:rsidR="008942BC">
        <w:rPr>
          <w:rFonts w:ascii="Times New Roman" w:hAnsi="Times New Roman" w:cs="Times New Roman"/>
          <w:sz w:val="24"/>
          <w:szCs w:val="24"/>
          <w:lang w:eastAsia="en-AU"/>
        </w:rPr>
        <w:t>‘</w:t>
      </w:r>
      <w:r w:rsidRPr="00B94E86">
        <w:rPr>
          <w:rFonts w:ascii="Times New Roman" w:hAnsi="Times New Roman" w:cs="Times New Roman"/>
          <w:i/>
          <w:sz w:val="24"/>
          <w:szCs w:val="24"/>
          <w:lang w:eastAsia="en-AU"/>
        </w:rPr>
        <w:t>Expert consultation on oral rehydration salts formulation</w:t>
      </w:r>
      <w:r w:rsidR="008942BC">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dated 18 July 2001 – this document is available for free online </w:t>
      </w:r>
      <w:r w:rsidRPr="00CC73D8">
        <w:rPr>
          <w:rFonts w:ascii="Times New Roman" w:hAnsi="Times New Roman" w:cs="Times New Roman"/>
          <w:sz w:val="24"/>
          <w:szCs w:val="24"/>
          <w:lang w:eastAsia="en-AU"/>
        </w:rPr>
        <w:t xml:space="preserve">at </w:t>
      </w:r>
      <w:hyperlink r:id="rId15" w:history="1">
        <w:r w:rsidRPr="00CC73D8">
          <w:rPr>
            <w:rStyle w:val="Hyperlink"/>
            <w:rFonts w:ascii="Times New Roman" w:hAnsi="Times New Roman" w:cs="Times New Roman"/>
            <w:sz w:val="24"/>
            <w:szCs w:val="24"/>
          </w:rPr>
          <w:t>http://rehydrate.org/ors/expert-consultation.html</w:t>
        </w:r>
      </w:hyperlink>
      <w:r w:rsidRPr="00CC73D8">
        <w:rPr>
          <w:rFonts w:ascii="Times New Roman" w:hAnsi="Times New Roman" w:cs="Times New Roman"/>
          <w:sz w:val="24"/>
          <w:szCs w:val="24"/>
        </w:rPr>
        <w:t xml:space="preserve">. </w:t>
      </w:r>
    </w:p>
    <w:p w:rsidR="000F57E4" w:rsidRPr="00B13B06" w:rsidRDefault="000F57E4" w:rsidP="000F57E4">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008942BC">
        <w:rPr>
          <w:rFonts w:ascii="Times New Roman" w:hAnsi="Times New Roman" w:cs="Times New Roman"/>
          <w:sz w:val="24"/>
          <w:szCs w:val="24"/>
          <w:lang w:eastAsia="en-AU"/>
        </w:rPr>
        <w:t>,</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 xml:space="preserve">the persons most affected by their adoption -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sidR="00190510">
        <w:rPr>
          <w:rFonts w:ascii="Times New Roman" w:hAnsi="Times New Roman" w:cs="Times New Roman"/>
          <w:sz w:val="24"/>
          <w:szCs w:val="24"/>
          <w:lang w:eastAsia="en-AU"/>
        </w:rPr>
        <w:t>s industry using the Determination</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w:t>
      </w:r>
      <w:r w:rsidRPr="00A2081A">
        <w:rPr>
          <w:rFonts w:ascii="Times New Roman" w:hAnsi="Times New Roman" w:cs="Times New Roman"/>
          <w:sz w:val="24"/>
          <w:szCs w:val="24"/>
          <w:lang w:eastAsia="en-AU"/>
        </w:rPr>
        <w:t xml:space="preserve">would be in possession of these </w:t>
      </w:r>
      <w:r w:rsidR="00190510">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the medicine or use the ingredients</w:t>
      </w:r>
      <w:r>
        <w:rPr>
          <w:rFonts w:ascii="Times New Roman" w:hAnsi="Times New Roman" w:cs="Times New Roman"/>
          <w:sz w:val="24"/>
          <w:szCs w:val="24"/>
          <w:lang w:eastAsia="en-AU"/>
        </w:rPr>
        <w:t>.</w:t>
      </w:r>
      <w:r w:rsidRPr="009C06D8">
        <w:rPr>
          <w:rFonts w:ascii="Times New Roman" w:hAnsi="Times New Roman" w:cs="Times New Roman"/>
          <w:sz w:val="24"/>
          <w:szCs w:val="24"/>
        </w:rPr>
        <w:t xml:space="preserve"> </w:t>
      </w:r>
      <w:r w:rsidRPr="00B13B06">
        <w:rPr>
          <w:rFonts w:ascii="Times New Roman" w:hAnsi="Times New Roman" w:cs="Times New Roman"/>
          <w:sz w:val="24"/>
          <w:szCs w:val="24"/>
        </w:rPr>
        <w:t xml:space="preserve">As </w:t>
      </w:r>
      <w:r w:rsidR="00206253">
        <w:rPr>
          <w:rFonts w:ascii="Times New Roman" w:hAnsi="Times New Roman" w:cs="Times New Roman"/>
          <w:sz w:val="24"/>
          <w:szCs w:val="24"/>
        </w:rPr>
        <w:t xml:space="preserve">these documents are </w:t>
      </w:r>
      <w:r w:rsidRPr="00B13B06">
        <w:rPr>
          <w:rFonts w:ascii="Times New Roman" w:hAnsi="Times New Roman" w:cs="Times New Roman"/>
          <w:sz w:val="24"/>
          <w:szCs w:val="24"/>
        </w:rPr>
        <w:t>important international benchmarks for the safety and quality of therapeutic goods, it would not be feasible from a regulatory perspective to not adopt such benchmarks because they are not available for free.</w:t>
      </w:r>
    </w:p>
    <w:p w:rsidR="000F57E4" w:rsidRDefault="000F57E4" w:rsidP="000F57E4">
      <w:pPr>
        <w:spacing w:before="120"/>
        <w:rPr>
          <w:rFonts w:ascii="Times New Roman" w:hAnsi="Times New Roman" w:cs="Times New Roman"/>
          <w:sz w:val="24"/>
          <w:szCs w:val="24"/>
        </w:rPr>
      </w:pPr>
      <w:r w:rsidRPr="00B13B06">
        <w:rPr>
          <w:rFonts w:ascii="Times New Roman" w:hAnsi="Times New Roman" w:cs="Times New Roman"/>
          <w:sz w:val="24"/>
          <w:szCs w:val="24"/>
        </w:rPr>
        <w:t xml:space="preserve">It should </w:t>
      </w:r>
      <w:r w:rsidR="00190510">
        <w:rPr>
          <w:rFonts w:ascii="Times New Roman" w:hAnsi="Times New Roman" w:cs="Times New Roman"/>
          <w:sz w:val="24"/>
          <w:szCs w:val="24"/>
        </w:rPr>
        <w:t xml:space="preserve">also </w:t>
      </w:r>
      <w:r w:rsidRPr="00B13B06">
        <w:rPr>
          <w:rFonts w:ascii="Times New Roman" w:hAnsi="Times New Roman" w:cs="Times New Roman"/>
          <w:sz w:val="24"/>
          <w:szCs w:val="24"/>
        </w:rPr>
        <w:t>be noted that the National Library’s Trove online system (</w:t>
      </w:r>
      <w:hyperlink r:id="rId16" w:history="1">
        <w:r w:rsidRPr="00B13B06">
          <w:rPr>
            <w:rStyle w:val="Hyperlink"/>
            <w:rFonts w:ascii="Times New Roman" w:hAnsi="Times New Roman" w:cs="Times New Roman"/>
            <w:sz w:val="24"/>
            <w:szCs w:val="24"/>
          </w:rPr>
          <w:t>https://trove.nla.gov.au/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of these pharmacopoeia may be viewed (for example, the University of Tasmania or the University of Western Australia in relation to the BP). Members of the public may also approach any library that participates in inter-library loans to request an inter-library loan with such university libraries, to obtain a photocopy of a particular part or monograph for personal study or research (but not for commercial purposes), at a usual cost of $16.50 per request (enquiries should be made with local libraries, State libraries and the National Library).</w:t>
      </w:r>
    </w:p>
    <w:p w:rsidR="000F57E4" w:rsidRPr="00331C88" w:rsidRDefault="000F57E4" w:rsidP="000F57E4">
      <w:pPr>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EP’s 2004 version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7" w:history="1">
        <w:r w:rsidRPr="00331C88">
          <w:rPr>
            <w:rStyle w:val="Hyperlink"/>
            <w:rFonts w:ascii="Times New Roman" w:hAnsi="Times New Roman" w:cs="Times New Roman"/>
            <w:sz w:val="24"/>
            <w:szCs w:val="24"/>
          </w:rPr>
          <w:t>https://openlibrary.org/books/OL22071008M/European_pharmacopoeia</w:t>
        </w:r>
      </w:hyperlink>
      <w:r w:rsidRPr="00331C88">
        <w:rPr>
          <w:rFonts w:ascii="Times New Roman" w:hAnsi="Times New Roman" w:cs="Times New Roman"/>
          <w:sz w:val="24"/>
          <w:szCs w:val="24"/>
        </w:rPr>
        <w:t>), and that access to 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University of Western Sydney - both open to the public. </w:t>
      </w:r>
    </w:p>
    <w:p w:rsidR="000F57E4" w:rsidRPr="00B94E86" w:rsidRDefault="000F57E4" w:rsidP="00B94E86">
      <w:pPr>
        <w:rPr>
          <w:rFonts w:ascii="Times New Roman" w:hAnsi="Times New Roman" w:cs="Times New Roman"/>
          <w:sz w:val="24"/>
          <w:szCs w:val="24"/>
        </w:rPr>
      </w:pPr>
      <w:r w:rsidRPr="00331C88">
        <w:rPr>
          <w:rFonts w:ascii="Times New Roman" w:hAnsi="Times New Roman" w:cs="Times New Roman"/>
          <w:sz w:val="24"/>
          <w:szCs w:val="24"/>
        </w:rPr>
        <w:t>Separately, free access to the 1993 version of the BP is available at the State Library of Victoria, and access is available to the 2013 version of the USP at the University of Sydney Library, including for community borrowers (it appears that individual members of the public may join the University of Sydney Library to borrow on this basis, at a cost of $40 for three months). Pre 2001 versions of both documents are also available for free at the National Library.</w:t>
      </w:r>
    </w:p>
    <w:p w:rsidR="00CF4F5B" w:rsidRPr="00CF4F5B" w:rsidRDefault="00CF4F5B" w:rsidP="00CF4F5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CONSULTATION</w:t>
      </w:r>
      <w:r w:rsidRPr="00CF4F5B">
        <w:rPr>
          <w:rFonts w:ascii="Times New Roman" w:eastAsia="Times New Roman" w:hAnsi="Times New Roman" w:cs="Times New Roman"/>
          <w:sz w:val="24"/>
          <w:szCs w:val="24"/>
          <w:lang w:eastAsia="en-AU"/>
        </w:rPr>
        <w:t> </w:t>
      </w:r>
    </w:p>
    <w:p w:rsidR="007D3EBD" w:rsidRDefault="007D3EBD" w:rsidP="007D3EBD">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Engagement with industry on changes required to previous</w:t>
      </w:r>
      <w:r w:rsidR="00190510">
        <w:rPr>
          <w:rFonts w:ascii="Times New Roman" w:eastAsia="Times New Roman" w:hAnsi="Times New Roman" w:cs="Times New Roman"/>
          <w:snapToGrid w:val="0"/>
          <w:sz w:val="24"/>
          <w:szCs w:val="24"/>
          <w:lang w:eastAsia="en-AU"/>
        </w:rPr>
        <w:t xml:space="preserve"> d</w:t>
      </w:r>
      <w:r>
        <w:rPr>
          <w:rFonts w:ascii="Times New Roman" w:eastAsia="Times New Roman" w:hAnsi="Times New Roman" w:cs="Times New Roman"/>
          <w:snapToGrid w:val="0"/>
          <w:sz w:val="24"/>
          <w:szCs w:val="24"/>
          <w:lang w:eastAsia="en-AU"/>
        </w:rPr>
        <w:t>eterminations has occurred since early 2016</w:t>
      </w:r>
      <w:r w:rsidR="00190510">
        <w:rPr>
          <w:rFonts w:ascii="Times New Roman" w:eastAsia="Times New Roman" w:hAnsi="Times New Roman" w:cs="Times New Roman"/>
          <w:snapToGrid w:val="0"/>
          <w:sz w:val="24"/>
          <w:szCs w:val="24"/>
          <w:lang w:eastAsia="en-AU"/>
        </w:rPr>
        <w:t>,</w:t>
      </w:r>
      <w:r>
        <w:rPr>
          <w:rFonts w:ascii="Times New Roman" w:eastAsia="Times New Roman" w:hAnsi="Times New Roman" w:cs="Times New Roman"/>
          <w:snapToGrid w:val="0"/>
          <w:sz w:val="24"/>
          <w:szCs w:val="24"/>
          <w:lang w:eastAsia="en-AU"/>
        </w:rPr>
        <w:t xml:space="preserve"> and remains </w:t>
      </w:r>
      <w:r w:rsidR="00940B0B">
        <w:rPr>
          <w:rFonts w:ascii="Times New Roman" w:eastAsia="Times New Roman" w:hAnsi="Times New Roman" w:cs="Times New Roman"/>
          <w:snapToGrid w:val="0"/>
          <w:sz w:val="24"/>
          <w:szCs w:val="24"/>
          <w:lang w:eastAsia="en-AU"/>
        </w:rPr>
        <w:t xml:space="preserve">the subject of </w:t>
      </w:r>
      <w:r>
        <w:rPr>
          <w:rFonts w:ascii="Times New Roman" w:eastAsia="Times New Roman" w:hAnsi="Times New Roman" w:cs="Times New Roman"/>
          <w:snapToGrid w:val="0"/>
          <w:sz w:val="24"/>
          <w:szCs w:val="24"/>
          <w:lang w:eastAsia="en-AU"/>
        </w:rPr>
        <w:t>ongoing</w:t>
      </w:r>
      <w:r w:rsidR="00443009">
        <w:rPr>
          <w:rFonts w:ascii="Times New Roman" w:eastAsia="Times New Roman" w:hAnsi="Times New Roman" w:cs="Times New Roman"/>
          <w:snapToGrid w:val="0"/>
          <w:sz w:val="24"/>
          <w:szCs w:val="24"/>
          <w:lang w:eastAsia="en-AU"/>
        </w:rPr>
        <w:t xml:space="preserve"> consultation</w:t>
      </w:r>
      <w:r w:rsidR="00940B0B">
        <w:rPr>
          <w:rFonts w:ascii="Times New Roman" w:eastAsia="Times New Roman" w:hAnsi="Times New Roman" w:cs="Times New Roman"/>
          <w:snapToGrid w:val="0"/>
          <w:sz w:val="24"/>
          <w:szCs w:val="24"/>
          <w:lang w:eastAsia="en-AU"/>
        </w:rPr>
        <w:t>, principally with industry</w:t>
      </w:r>
      <w:r>
        <w:rPr>
          <w:rFonts w:ascii="Times New Roman" w:eastAsia="Times New Roman" w:hAnsi="Times New Roman" w:cs="Times New Roman"/>
          <w:snapToGrid w:val="0"/>
          <w:sz w:val="24"/>
          <w:szCs w:val="24"/>
          <w:lang w:eastAsia="en-AU"/>
        </w:rPr>
        <w:t xml:space="preserve">. </w:t>
      </w:r>
      <w:r w:rsidR="00940B0B">
        <w:rPr>
          <w:rFonts w:ascii="Times New Roman" w:eastAsia="Times New Roman" w:hAnsi="Times New Roman" w:cs="Times New Roman"/>
          <w:snapToGrid w:val="0"/>
          <w:sz w:val="24"/>
          <w:szCs w:val="24"/>
          <w:lang w:eastAsia="en-AU"/>
        </w:rPr>
        <w:t>Such c</w:t>
      </w:r>
      <w:r>
        <w:rPr>
          <w:rFonts w:ascii="Times New Roman" w:eastAsia="Times New Roman" w:hAnsi="Times New Roman" w:cs="Times New Roman"/>
          <w:snapToGrid w:val="0"/>
          <w:sz w:val="24"/>
          <w:szCs w:val="24"/>
          <w:lang w:eastAsia="en-AU"/>
        </w:rPr>
        <w:t>onsultation has occurred</w:t>
      </w:r>
      <w:r w:rsidRPr="0069146E">
        <w:rPr>
          <w:rFonts w:ascii="Times New Roman" w:eastAsia="Times New Roman" w:hAnsi="Times New Roman" w:cs="Times New Roman"/>
          <w:snapToGrid w:val="0"/>
          <w:sz w:val="24"/>
          <w:szCs w:val="24"/>
          <w:lang w:eastAsia="en-AU"/>
        </w:rPr>
        <w:t xml:space="preserve"> through face-to-face briefings, teleconferences and written correspondence. Key industry associations</w:t>
      </w:r>
      <w:r w:rsidRPr="0069146E">
        <w:t xml:space="preserve"> </w:t>
      </w:r>
      <w:r>
        <w:rPr>
          <w:rFonts w:ascii="Times New Roman" w:eastAsia="Times New Roman" w:hAnsi="Times New Roman" w:cs="Times New Roman"/>
          <w:snapToGrid w:val="0"/>
          <w:sz w:val="24"/>
          <w:szCs w:val="24"/>
          <w:lang w:eastAsia="en-AU"/>
        </w:rPr>
        <w:t>have provided</w:t>
      </w:r>
      <w:r w:rsidRPr="0069146E">
        <w:rPr>
          <w:rFonts w:ascii="Times New Roman" w:eastAsia="Times New Roman" w:hAnsi="Times New Roman" w:cs="Times New Roman"/>
          <w:snapToGrid w:val="0"/>
          <w:sz w:val="24"/>
          <w:szCs w:val="24"/>
          <w:lang w:eastAsia="en-AU"/>
        </w:rPr>
        <w:t xml:space="preserve"> comments </w:t>
      </w:r>
      <w:r>
        <w:rPr>
          <w:rFonts w:ascii="Times New Roman" w:eastAsia="Times New Roman" w:hAnsi="Times New Roman" w:cs="Times New Roman"/>
          <w:snapToGrid w:val="0"/>
          <w:sz w:val="24"/>
          <w:szCs w:val="24"/>
          <w:lang w:eastAsia="en-AU"/>
        </w:rPr>
        <w:t xml:space="preserve">that </w:t>
      </w:r>
      <w:r w:rsidRPr="0069146E">
        <w:rPr>
          <w:rFonts w:ascii="Times New Roman" w:eastAsia="Times New Roman" w:hAnsi="Times New Roman" w:cs="Times New Roman"/>
          <w:snapToGrid w:val="0"/>
          <w:sz w:val="24"/>
          <w:szCs w:val="24"/>
          <w:lang w:eastAsia="en-AU"/>
        </w:rPr>
        <w:t>have been used to improve</w:t>
      </w:r>
      <w:r w:rsidR="00190510">
        <w:rPr>
          <w:rFonts w:ascii="Times New Roman" w:eastAsia="Times New Roman" w:hAnsi="Times New Roman" w:cs="Times New Roman"/>
          <w:snapToGrid w:val="0"/>
          <w:sz w:val="24"/>
          <w:szCs w:val="24"/>
          <w:lang w:eastAsia="en-AU"/>
        </w:rPr>
        <w:t xml:space="preserve"> the </w:t>
      </w:r>
      <w:r w:rsidRPr="0069146E">
        <w:rPr>
          <w:rFonts w:ascii="Times New Roman" w:eastAsia="Times New Roman" w:hAnsi="Times New Roman" w:cs="Times New Roman"/>
          <w:snapToGrid w:val="0"/>
          <w:sz w:val="24"/>
          <w:szCs w:val="24"/>
          <w:lang w:eastAsia="en-AU"/>
        </w:rPr>
        <w:t>formatting</w:t>
      </w:r>
      <w:r w:rsidR="00190510">
        <w:rPr>
          <w:rFonts w:ascii="Times New Roman" w:eastAsia="Times New Roman" w:hAnsi="Times New Roman" w:cs="Times New Roman"/>
          <w:snapToGrid w:val="0"/>
          <w:sz w:val="24"/>
          <w:szCs w:val="24"/>
          <w:lang w:eastAsia="en-AU"/>
        </w:rPr>
        <w:t>,</w:t>
      </w:r>
      <w:r w:rsidRPr="0069146E">
        <w:rPr>
          <w:rFonts w:ascii="Times New Roman" w:eastAsia="Times New Roman" w:hAnsi="Times New Roman" w:cs="Times New Roman"/>
          <w:snapToGrid w:val="0"/>
          <w:sz w:val="24"/>
          <w:szCs w:val="24"/>
          <w:lang w:eastAsia="en-AU"/>
        </w:rPr>
        <w:t xml:space="preserve"> </w:t>
      </w:r>
      <w:r>
        <w:rPr>
          <w:rFonts w:ascii="Times New Roman" w:eastAsia="Times New Roman" w:hAnsi="Times New Roman" w:cs="Times New Roman"/>
          <w:snapToGrid w:val="0"/>
          <w:sz w:val="24"/>
          <w:szCs w:val="24"/>
          <w:lang w:eastAsia="en-AU"/>
        </w:rPr>
        <w:t xml:space="preserve">readability and clarity of wording </w:t>
      </w:r>
      <w:r w:rsidR="00940B0B">
        <w:rPr>
          <w:rFonts w:ascii="Times New Roman" w:eastAsia="Times New Roman" w:hAnsi="Times New Roman" w:cs="Times New Roman"/>
          <w:snapToGrid w:val="0"/>
          <w:sz w:val="24"/>
          <w:szCs w:val="24"/>
          <w:lang w:eastAsia="en-AU"/>
        </w:rPr>
        <w:t>in previous determinations</w:t>
      </w:r>
      <w:r>
        <w:rPr>
          <w:rFonts w:ascii="Times New Roman" w:eastAsia="Times New Roman" w:hAnsi="Times New Roman" w:cs="Times New Roman"/>
          <w:snapToGrid w:val="0"/>
          <w:sz w:val="24"/>
          <w:szCs w:val="24"/>
          <w:lang w:eastAsia="en-AU"/>
        </w:rPr>
        <w:t>.</w:t>
      </w:r>
    </w:p>
    <w:p w:rsidR="00C268AC" w:rsidRDefault="00940B0B" w:rsidP="007D3EBD">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However, no consultation was undertaken for this Determination, principally because the changes reflected in the Determination in comparison with the Previous Determination are quite minor and machinery in nature – as outlined above, these consisted mainly of making a small number of ingredient requirements less restrictive, correcting an inadvertent error in one entry, making minor changes to clarify some entries and removing an ingredient that is not in use in Australia.  Taking the nature of these changes into consideration, it would appear appropriate in this instance to have not consulted specifically on these measures. </w:t>
      </w:r>
    </w:p>
    <w:p w:rsidR="001B183A" w:rsidRPr="001B183A" w:rsidRDefault="001B183A" w:rsidP="007D3EBD">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A regulatory impact statement is not required for </w:t>
      </w:r>
      <w:r>
        <w:rPr>
          <w:rFonts w:ascii="Times New Roman" w:eastAsia="Times New Roman" w:hAnsi="Times New Roman" w:cs="Times New Roman"/>
          <w:sz w:val="24"/>
          <w:szCs w:val="24"/>
          <w:lang w:eastAsia="en-AU"/>
        </w:rPr>
        <w:t xml:space="preserve">updates to section 26BB </w:t>
      </w:r>
      <w:r w:rsidRPr="004325B5">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s</w:t>
      </w:r>
      <w:r w:rsidRPr="004325B5">
        <w:rPr>
          <w:rFonts w:ascii="Times New Roman" w:eastAsia="Times New Roman" w:hAnsi="Times New Roman" w:cs="Times New Roman"/>
          <w:sz w:val="24"/>
          <w:szCs w:val="24"/>
          <w:lang w:eastAsia="en-AU"/>
        </w:rPr>
        <w:t xml:space="preserve"> th</w:t>
      </w:r>
      <w:r>
        <w:rPr>
          <w:rFonts w:ascii="Times New Roman" w:eastAsia="Times New Roman" w:hAnsi="Times New Roman" w:cs="Times New Roman"/>
          <w:sz w:val="24"/>
          <w:szCs w:val="24"/>
          <w:lang w:eastAsia="en-AU"/>
        </w:rPr>
        <w:t>at</w:t>
      </w:r>
      <w:r w:rsidRPr="004325B5">
        <w:rPr>
          <w:rFonts w:ascii="Times New Roman" w:eastAsia="Times New Roman" w:hAnsi="Times New Roman" w:cs="Times New Roman"/>
          <w:sz w:val="24"/>
          <w:szCs w:val="24"/>
          <w:lang w:eastAsia="en-AU"/>
        </w:rPr>
        <w:t xml:space="preserve"> are minor or machinery in nature. This exemption applies to the addition of permitted ingredients, correction of errors, clarification of requirements and ingredient names, changes to ingredient requirements or availability in order to reflect scheduling decisions contained in the Poisons Standard, or the outcomes of TGA safety evaluations where the regulatory impacts are minor or machinery in nature (Office of Best Practice Regulation References 14416, 20999, and 21645</w:t>
      </w:r>
      <w:r w:rsidRPr="00622033">
        <w:rPr>
          <w:rFonts w:ascii="Times New Roman" w:eastAsia="Times New Roman" w:hAnsi="Times New Roman" w:cs="Times New Roman"/>
          <w:sz w:val="24"/>
          <w:szCs w:val="24"/>
          <w:lang w:eastAsia="en-AU"/>
        </w:rPr>
        <w:t>).</w:t>
      </w:r>
    </w:p>
    <w:p w:rsidR="00D22C3C" w:rsidRPr="00206253" w:rsidRDefault="00D22C3C" w:rsidP="00D22C3C">
      <w:pPr>
        <w:spacing w:after="240"/>
        <w:rPr>
          <w:rFonts w:ascii="Times New Roman" w:hAnsi="Times New Roman" w:cs="Times New Roman"/>
          <w:sz w:val="24"/>
          <w:szCs w:val="24"/>
        </w:rPr>
      </w:pPr>
      <w:r w:rsidRPr="00206253">
        <w:rPr>
          <w:rFonts w:ascii="Times New Roman" w:hAnsi="Times New Roman" w:cs="Times New Roman"/>
          <w:sz w:val="24"/>
          <w:szCs w:val="24"/>
        </w:rPr>
        <w:t xml:space="preserve">Details of the Determination are set out in </w:t>
      </w:r>
      <w:r w:rsidRPr="00206253">
        <w:rPr>
          <w:rFonts w:ascii="Times New Roman" w:hAnsi="Times New Roman" w:cs="Times New Roman"/>
          <w:sz w:val="24"/>
          <w:szCs w:val="24"/>
          <w:u w:val="single"/>
        </w:rPr>
        <w:t>Attachment A</w:t>
      </w:r>
      <w:r w:rsidRPr="00206253">
        <w:rPr>
          <w:rFonts w:ascii="Times New Roman" w:hAnsi="Times New Roman" w:cs="Times New Roman"/>
          <w:sz w:val="24"/>
          <w:szCs w:val="24"/>
        </w:rPr>
        <w:t>.</w:t>
      </w:r>
    </w:p>
    <w:p w:rsidR="00D22C3C" w:rsidRPr="00206253" w:rsidRDefault="00D22C3C" w:rsidP="00D22C3C">
      <w:pPr>
        <w:spacing w:after="240"/>
        <w:rPr>
          <w:rFonts w:ascii="Times New Roman" w:hAnsi="Times New Roman" w:cs="Times New Roman"/>
          <w:sz w:val="24"/>
          <w:szCs w:val="24"/>
        </w:rPr>
      </w:pPr>
      <w:r w:rsidRPr="00206253">
        <w:rPr>
          <w:rFonts w:ascii="Times New Roman" w:hAnsi="Times New Roman" w:cs="Times New Roman"/>
          <w:sz w:val="24"/>
          <w:szCs w:val="24"/>
        </w:rPr>
        <w:t xml:space="preserve">The Determination is compatible with the human rights and freedoms recognised or declared under section 3 of the </w:t>
      </w:r>
      <w:r w:rsidRPr="00206253">
        <w:rPr>
          <w:rFonts w:ascii="Times New Roman" w:hAnsi="Times New Roman" w:cs="Times New Roman"/>
          <w:i/>
          <w:sz w:val="24"/>
          <w:szCs w:val="24"/>
        </w:rPr>
        <w:t>Human Rights (Parliamentary Scrutiny) Act 2011</w:t>
      </w:r>
      <w:r w:rsidRPr="00206253">
        <w:rPr>
          <w:rFonts w:ascii="Times New Roman" w:hAnsi="Times New Roman" w:cs="Times New Roman"/>
          <w:sz w:val="24"/>
          <w:szCs w:val="24"/>
        </w:rPr>
        <w:t xml:space="preserve">. A full statement of compatibility is set out in </w:t>
      </w:r>
      <w:r w:rsidRPr="00206253">
        <w:rPr>
          <w:rFonts w:ascii="Times New Roman" w:hAnsi="Times New Roman" w:cs="Times New Roman"/>
          <w:sz w:val="24"/>
          <w:szCs w:val="24"/>
          <w:u w:val="single"/>
        </w:rPr>
        <w:t>Attachment B</w:t>
      </w:r>
      <w:r w:rsidRPr="00206253">
        <w:rPr>
          <w:rFonts w:ascii="Times New Roman" w:hAnsi="Times New Roman" w:cs="Times New Roman"/>
          <w:sz w:val="24"/>
          <w:szCs w:val="24"/>
        </w:rPr>
        <w:t>.</w:t>
      </w:r>
    </w:p>
    <w:p w:rsidR="00D22C3C" w:rsidRDefault="00D22C3C">
      <w:pPr>
        <w:rPr>
          <w:rFonts w:ascii="Times New Roman" w:eastAsia="Times New Roman" w:hAnsi="Times New Roman" w:cs="Times New Roman"/>
          <w:sz w:val="24"/>
          <w:szCs w:val="24"/>
          <w:lang w:eastAsia="en-AU"/>
        </w:rPr>
      </w:pPr>
      <w:r w:rsidRPr="00206253">
        <w:rPr>
          <w:rFonts w:ascii="Times New Roman" w:hAnsi="Times New Roman" w:cs="Times New Roman"/>
          <w:sz w:val="24"/>
          <w:szCs w:val="24"/>
        </w:rPr>
        <w:t>This Determination is a disallowable legislative instrument,</w:t>
      </w:r>
      <w:r>
        <w:rPr>
          <w:rFonts w:ascii="Times New Roman" w:hAnsi="Times New Roman" w:cs="Times New Roman"/>
          <w:sz w:val="24"/>
          <w:szCs w:val="24"/>
        </w:rPr>
        <w:t xml:space="preserve"> and commences on the day after it is registered on the Federal Register of Legislation.</w:t>
      </w:r>
      <w:r>
        <w:rPr>
          <w:rFonts w:ascii="Times New Roman" w:eastAsia="Times New Roman" w:hAnsi="Times New Roman" w:cs="Times New Roman"/>
          <w:sz w:val="24"/>
          <w:szCs w:val="24"/>
          <w:lang w:eastAsia="en-AU"/>
        </w:rPr>
        <w:br w:type="page"/>
      </w:r>
    </w:p>
    <w:p w:rsidR="00D22C3C" w:rsidRDefault="00D22C3C" w:rsidP="007B443E">
      <w:pPr>
        <w:spacing w:before="100" w:beforeAutospacing="1" w:after="100" w:afterAutospacing="1"/>
        <w:jc w:val="right"/>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ATTACHMENT A</w:t>
      </w:r>
    </w:p>
    <w:p w:rsidR="00FF5478" w:rsidRDefault="00FF5478" w:rsidP="007B443E">
      <w:pPr>
        <w:spacing w:before="100" w:beforeAutospacing="1" w:after="100" w:afterAutospacing="1"/>
        <w:rPr>
          <w:rFonts w:ascii="Times New Roman" w:eastAsia="Times New Roman" w:hAnsi="Times New Roman" w:cs="Times New Roman"/>
          <w:b/>
          <w:i/>
          <w:sz w:val="24"/>
          <w:szCs w:val="24"/>
          <w:lang w:eastAsia="en-AU"/>
        </w:rPr>
      </w:pPr>
      <w:r>
        <w:rPr>
          <w:rFonts w:ascii="Times New Roman" w:eastAsia="Times New Roman" w:hAnsi="Times New Roman" w:cs="Times New Roman"/>
          <w:b/>
          <w:sz w:val="24"/>
          <w:szCs w:val="24"/>
          <w:lang w:eastAsia="en-AU"/>
        </w:rPr>
        <w:t>Deta</w:t>
      </w:r>
      <w:bookmarkStart w:id="0" w:name="_GoBack"/>
      <w:bookmarkEnd w:id="0"/>
      <w:r>
        <w:rPr>
          <w:rFonts w:ascii="Times New Roman" w:eastAsia="Times New Roman" w:hAnsi="Times New Roman" w:cs="Times New Roman"/>
          <w:b/>
          <w:sz w:val="24"/>
          <w:szCs w:val="24"/>
          <w:lang w:eastAsia="en-AU"/>
        </w:rPr>
        <w:t xml:space="preserve">ils of </w:t>
      </w:r>
      <w:r w:rsidRPr="007B443E">
        <w:rPr>
          <w:rFonts w:ascii="Times New Roman" w:eastAsia="Times New Roman" w:hAnsi="Times New Roman" w:cs="Times New Roman"/>
          <w:b/>
          <w:i/>
          <w:sz w:val="24"/>
          <w:szCs w:val="24"/>
          <w:lang w:eastAsia="en-AU"/>
        </w:rPr>
        <w:t xml:space="preserve">Therapeutic Goods (Permissible </w:t>
      </w:r>
      <w:r>
        <w:rPr>
          <w:rFonts w:ascii="Times New Roman" w:eastAsia="Times New Roman" w:hAnsi="Times New Roman" w:cs="Times New Roman"/>
          <w:b/>
          <w:i/>
          <w:sz w:val="24"/>
          <w:szCs w:val="24"/>
          <w:lang w:eastAsia="en-AU"/>
        </w:rPr>
        <w:t>Ingredients) Determination (N</w:t>
      </w:r>
      <w:r w:rsidRPr="007B443E">
        <w:rPr>
          <w:rFonts w:ascii="Times New Roman" w:eastAsia="Times New Roman" w:hAnsi="Times New Roman" w:cs="Times New Roman"/>
          <w:b/>
          <w:i/>
          <w:sz w:val="24"/>
          <w:szCs w:val="24"/>
          <w:lang w:eastAsia="en-AU"/>
        </w:rPr>
        <w:t>o.4) 2018</w:t>
      </w:r>
    </w:p>
    <w:p w:rsidR="00FF5478" w:rsidRPr="007B443E" w:rsidRDefault="00FF5478" w:rsidP="007B443E">
      <w:pPr>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1 Name</w:t>
      </w:r>
    </w:p>
    <w:p w:rsidR="00FF5478" w:rsidRDefault="00FF5478"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name of the Determination is the Therapeutic Goods (Permissible Ingredients) Determination (No.4) 2018.</w:t>
      </w:r>
    </w:p>
    <w:p w:rsidR="00FF5478" w:rsidRPr="007B443E" w:rsidRDefault="00FF5478"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Commencement</w:t>
      </w:r>
    </w:p>
    <w:p w:rsidR="00FF5478" w:rsidRDefault="00FF5478"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Determination commences on the day after it is registered on the Federal Register of Legislation.   </w:t>
      </w:r>
    </w:p>
    <w:p w:rsidR="00FF5478" w:rsidRPr="007B443E" w:rsidRDefault="00FF5478"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3 Authority</w:t>
      </w:r>
    </w:p>
    <w:p w:rsidR="00FF5478" w:rsidRDefault="00FF5478"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subsection </w:t>
      </w:r>
      <w:proofErr w:type="gramStart"/>
      <w:r>
        <w:rPr>
          <w:rFonts w:ascii="Times New Roman" w:eastAsia="Times New Roman" w:hAnsi="Times New Roman" w:cs="Times New Roman"/>
          <w:sz w:val="24"/>
          <w:szCs w:val="24"/>
          <w:lang w:eastAsia="en-AU"/>
        </w:rPr>
        <w:t>26BB(</w:t>
      </w:r>
      <w:proofErr w:type="gramEnd"/>
      <w:r>
        <w:rPr>
          <w:rFonts w:ascii="Times New Roman" w:eastAsia="Times New Roman" w:hAnsi="Times New Roman" w:cs="Times New Roman"/>
          <w:sz w:val="24"/>
          <w:szCs w:val="24"/>
          <w:lang w:eastAsia="en-AU"/>
        </w:rPr>
        <w:t xml:space="preserve">1) of the Act. </w:t>
      </w:r>
    </w:p>
    <w:p w:rsidR="00FF5478" w:rsidRPr="007B443E" w:rsidRDefault="00FF5478"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4 Definitions</w:t>
      </w:r>
    </w:p>
    <w:p w:rsidR="00FF5478" w:rsidRDefault="00FF5478"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definitions for certain terms used in the Determination. The section notes that a number of terms have the same meaning as in the Act, including each of the British Pharmacopoeia, European Pharmacopoeia and the United States Pharmacopeia-National Formulary, as well as other terms including ‘medicine’ and ‘</w:t>
      </w:r>
      <w:proofErr w:type="gramStart"/>
      <w:r>
        <w:rPr>
          <w:rFonts w:ascii="Times New Roman" w:eastAsia="Times New Roman" w:hAnsi="Times New Roman" w:cs="Times New Roman"/>
          <w:sz w:val="24"/>
          <w:szCs w:val="24"/>
          <w:lang w:eastAsia="en-AU"/>
        </w:rPr>
        <w:t>Register</w:t>
      </w:r>
      <w:proofErr w:type="gramEnd"/>
      <w:r>
        <w:rPr>
          <w:rFonts w:ascii="Times New Roman" w:eastAsia="Times New Roman" w:hAnsi="Times New Roman" w:cs="Times New Roman"/>
          <w:sz w:val="24"/>
          <w:szCs w:val="24"/>
          <w:lang w:eastAsia="en-AU"/>
        </w:rPr>
        <w:t>’.</w:t>
      </w:r>
    </w:p>
    <w:p w:rsidR="00FF5478" w:rsidRPr="007B443E" w:rsidRDefault="00FF5478"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5 Permissible ingredients and requirements applying to those ingredients</w:t>
      </w:r>
    </w:p>
    <w:p w:rsidR="00FF5478" w:rsidRDefault="00FF5478"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ingredients specified in column 2 of Table 1 in Schedule 1 to the Determination </w:t>
      </w:r>
      <w:r w:rsidR="000E7FDB">
        <w:rPr>
          <w:rFonts w:ascii="Times New Roman" w:eastAsia="Times New Roman" w:hAnsi="Times New Roman" w:cs="Times New Roman"/>
          <w:sz w:val="24"/>
          <w:szCs w:val="24"/>
          <w:lang w:eastAsia="en-AU"/>
        </w:rPr>
        <w:t xml:space="preserve">are specified for the purposes of paragraph 26BB(1)(a) of the Act. </w:t>
      </w:r>
    </w:p>
    <w:p w:rsidR="000E7FDB" w:rsidRDefault="000E7FDB"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also provides that, for the purposes of paragraph 26BB(1)(b) of the Act, the ingredients specified in column 2 of Table 1 in Schedule 1 to the Determination are</w:t>
      </w:r>
      <w:r w:rsidR="00A757D6">
        <w:rPr>
          <w:rFonts w:ascii="Times New Roman" w:eastAsia="Times New Roman" w:hAnsi="Times New Roman" w:cs="Times New Roman"/>
          <w:sz w:val="24"/>
          <w:szCs w:val="24"/>
          <w:lang w:eastAsia="en-AU"/>
        </w:rPr>
        <w:t>, principally,</w:t>
      </w:r>
      <w:r>
        <w:rPr>
          <w:rFonts w:ascii="Times New Roman" w:eastAsia="Times New Roman" w:hAnsi="Times New Roman" w:cs="Times New Roman"/>
          <w:sz w:val="24"/>
          <w:szCs w:val="24"/>
          <w:lang w:eastAsia="en-AU"/>
        </w:rPr>
        <w:t xml:space="preserve"> subject to the following requirements:</w:t>
      </w:r>
    </w:p>
    <w:p w:rsidR="000E7FDB" w:rsidRDefault="000E7FDB" w:rsidP="007B443E">
      <w:pPr>
        <w:pStyle w:val="ListParagraph"/>
        <w:numPr>
          <w:ilvl w:val="0"/>
          <w:numId w:val="7"/>
        </w:numPr>
        <w:spacing w:before="120" w:beforeAutospacing="0"/>
        <w:ind w:hanging="720"/>
      </w:pPr>
      <w:r>
        <w:t>they may only be used in a medicine for a purpose or purposes specified in column 3 of Table 1 in Schedule 1; and</w:t>
      </w:r>
    </w:p>
    <w:p w:rsidR="00FF5478" w:rsidRPr="007B443E" w:rsidRDefault="000E7FDB" w:rsidP="007B443E">
      <w:pPr>
        <w:pStyle w:val="ListParagraph"/>
        <w:numPr>
          <w:ilvl w:val="0"/>
          <w:numId w:val="7"/>
        </w:numPr>
        <w:spacing w:before="120" w:beforeAutospacing="0"/>
        <w:ind w:hanging="720"/>
      </w:pPr>
      <w:proofErr w:type="gramStart"/>
      <w:r>
        <w:t>they</w:t>
      </w:r>
      <w:proofErr w:type="gramEnd"/>
      <w:r>
        <w:t xml:space="preserve"> must comply with the requirements set out in column 4 of Table 1 in Schedule 1</w:t>
      </w:r>
      <w:r w:rsidR="00A757D6">
        <w:t>.</w:t>
      </w:r>
      <w:r>
        <w:t xml:space="preserve"> </w:t>
      </w:r>
    </w:p>
    <w:p w:rsidR="00FF5478" w:rsidRDefault="00A757D6"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also specifies additional requirements in relation to specified ingredients in Table 1 in Schedule 1 that are derived from animal origins.</w:t>
      </w:r>
    </w:p>
    <w:p w:rsidR="00FF5478" w:rsidRPr="007B443E" w:rsidRDefault="00A757D6"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6 Repeals</w:t>
      </w:r>
    </w:p>
    <w:p w:rsidR="00FF5478" w:rsidRDefault="00A757D6"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that Schedule.</w:t>
      </w:r>
    </w:p>
    <w:p w:rsidR="00A757D6" w:rsidRPr="007B443E" w:rsidRDefault="00A757D6"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Schedule 1 – Specified permissible ingredients and requirements applying to these ingredients when contained in a medicine</w:t>
      </w:r>
    </w:p>
    <w:p w:rsidR="00FF5478" w:rsidRDefault="00A757D6"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1 </w:t>
      </w:r>
      <w:proofErr w:type="gramStart"/>
      <w:r>
        <w:rPr>
          <w:rFonts w:ascii="Times New Roman" w:eastAsia="Times New Roman" w:hAnsi="Times New Roman" w:cs="Times New Roman"/>
          <w:sz w:val="24"/>
          <w:szCs w:val="24"/>
          <w:lang w:eastAsia="en-AU"/>
        </w:rPr>
        <w:t>sets</w:t>
      </w:r>
      <w:proofErr w:type="gramEnd"/>
      <w:r>
        <w:rPr>
          <w:rFonts w:ascii="Times New Roman" w:eastAsia="Times New Roman" w:hAnsi="Times New Roman" w:cs="Times New Roman"/>
          <w:sz w:val="24"/>
          <w:szCs w:val="24"/>
          <w:lang w:eastAsia="en-AU"/>
        </w:rPr>
        <w:t xml:space="preserve"> out ingredients and related requirements for the purposes of section 5 of the Determination.</w:t>
      </w:r>
    </w:p>
    <w:p w:rsidR="00A757D6" w:rsidRDefault="00A757D6" w:rsidP="007B443E">
      <w:pPr>
        <w:spacing w:before="120" w:after="0"/>
        <w:rPr>
          <w:rFonts w:ascii="Times New Roman" w:eastAsia="Times New Roman" w:hAnsi="Times New Roman" w:cs="Times New Roman"/>
          <w:sz w:val="24"/>
          <w:szCs w:val="24"/>
          <w:lang w:eastAsia="en-AU"/>
        </w:rPr>
      </w:pPr>
    </w:p>
    <w:p w:rsidR="00A757D6" w:rsidRDefault="00A757D6"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Schedule 2 </w:t>
      </w:r>
      <w:r>
        <w:rPr>
          <w:rFonts w:ascii="Times New Roman" w:eastAsia="Times New Roman" w:hAnsi="Times New Roman" w:cs="Times New Roman"/>
          <w:b/>
          <w:sz w:val="24"/>
          <w:szCs w:val="24"/>
          <w:lang w:eastAsia="en-AU"/>
        </w:rPr>
        <w:t>–</w:t>
      </w:r>
      <w:r w:rsidRPr="007B443E">
        <w:rPr>
          <w:rFonts w:ascii="Times New Roman" w:eastAsia="Times New Roman" w:hAnsi="Times New Roman" w:cs="Times New Roman"/>
          <w:b/>
          <w:sz w:val="24"/>
          <w:szCs w:val="24"/>
          <w:lang w:eastAsia="en-AU"/>
        </w:rPr>
        <w:t xml:space="preserve"> Repeals</w:t>
      </w:r>
    </w:p>
    <w:p w:rsidR="00A757D6" w:rsidRPr="00A757D6" w:rsidRDefault="00A757D6" w:rsidP="007B443E">
      <w:pPr>
        <w:spacing w:before="12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2 provides that the Determination repeals the whole of the legislative instrument </w:t>
      </w:r>
      <w:r w:rsidRPr="007B443E">
        <w:rPr>
          <w:rFonts w:ascii="Times New Roman" w:eastAsia="Times New Roman" w:hAnsi="Times New Roman" w:cs="Times New Roman"/>
          <w:i/>
          <w:sz w:val="24"/>
          <w:szCs w:val="24"/>
          <w:lang w:eastAsia="en-AU"/>
        </w:rPr>
        <w:t>Therapeutic Goods (Permissible Ingredients) Determination No.3 of 2018</w:t>
      </w:r>
      <w:r>
        <w:rPr>
          <w:rFonts w:ascii="Times New Roman" w:eastAsia="Times New Roman" w:hAnsi="Times New Roman" w:cs="Times New Roman"/>
          <w:sz w:val="24"/>
          <w:szCs w:val="24"/>
          <w:lang w:eastAsia="en-AU"/>
        </w:rPr>
        <w:t>.</w:t>
      </w:r>
    </w:p>
    <w:p w:rsidR="00D22C3C" w:rsidRPr="007B443E" w:rsidRDefault="00CF4F5B" w:rsidP="007B443E">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br w:type="page"/>
      </w:r>
    </w:p>
    <w:p w:rsidR="00D22C3C" w:rsidRPr="007B443E" w:rsidRDefault="00D22C3C" w:rsidP="007B443E">
      <w:pPr>
        <w:spacing w:before="100" w:beforeAutospacing="1" w:after="100" w:afterAutospacing="1"/>
        <w:jc w:val="right"/>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ATTACHMENT B</w:t>
      </w:r>
    </w:p>
    <w:p w:rsidR="00CF4F5B" w:rsidRPr="00CF4F5B" w:rsidRDefault="000D7AC6" w:rsidP="00B94E86">
      <w:pPr>
        <w:spacing w:before="100" w:beforeAutospacing="1" w:after="100" w:afterAutospacing="1"/>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S</w:t>
      </w:r>
      <w:r w:rsidRPr="00CF4F5B">
        <w:rPr>
          <w:rFonts w:ascii="Times New Roman" w:eastAsia="Times New Roman" w:hAnsi="Times New Roman" w:cs="Times New Roman"/>
          <w:b/>
          <w:bCs/>
          <w:sz w:val="24"/>
          <w:szCs w:val="24"/>
          <w:lang w:eastAsia="en-AU"/>
        </w:rPr>
        <w:t xml:space="preserve">tatement of </w:t>
      </w:r>
      <w:r>
        <w:rPr>
          <w:rFonts w:ascii="Times New Roman" w:eastAsia="Times New Roman" w:hAnsi="Times New Roman" w:cs="Times New Roman"/>
          <w:b/>
          <w:bCs/>
          <w:sz w:val="24"/>
          <w:szCs w:val="24"/>
          <w:lang w:eastAsia="en-AU"/>
        </w:rPr>
        <w:t>C</w:t>
      </w:r>
      <w:r w:rsidRPr="00CF4F5B">
        <w:rPr>
          <w:rFonts w:ascii="Times New Roman" w:eastAsia="Times New Roman" w:hAnsi="Times New Roman" w:cs="Times New Roman"/>
          <w:b/>
          <w:bCs/>
          <w:sz w:val="24"/>
          <w:szCs w:val="24"/>
          <w:lang w:eastAsia="en-AU"/>
        </w:rPr>
        <w:t xml:space="preserve">ompatibility with </w:t>
      </w:r>
      <w:r>
        <w:rPr>
          <w:rFonts w:ascii="Times New Roman" w:eastAsia="Times New Roman" w:hAnsi="Times New Roman" w:cs="Times New Roman"/>
          <w:b/>
          <w:bCs/>
          <w:sz w:val="24"/>
          <w:szCs w:val="24"/>
          <w:lang w:eastAsia="en-AU"/>
        </w:rPr>
        <w:t>H</w:t>
      </w:r>
      <w:r w:rsidRPr="00CF4F5B">
        <w:rPr>
          <w:rFonts w:ascii="Times New Roman" w:eastAsia="Times New Roman" w:hAnsi="Times New Roman" w:cs="Times New Roman"/>
          <w:b/>
          <w:bCs/>
          <w:sz w:val="24"/>
          <w:szCs w:val="24"/>
          <w:lang w:eastAsia="en-AU"/>
        </w:rPr>
        <w:t xml:space="preserve">uman </w:t>
      </w:r>
      <w:r>
        <w:rPr>
          <w:rFonts w:ascii="Times New Roman" w:eastAsia="Times New Roman" w:hAnsi="Times New Roman" w:cs="Times New Roman"/>
          <w:b/>
          <w:bCs/>
          <w:sz w:val="24"/>
          <w:szCs w:val="24"/>
          <w:lang w:eastAsia="en-AU"/>
        </w:rPr>
        <w:t>R</w:t>
      </w:r>
      <w:r w:rsidRPr="00CF4F5B">
        <w:rPr>
          <w:rFonts w:ascii="Times New Roman" w:eastAsia="Times New Roman" w:hAnsi="Times New Roman" w:cs="Times New Roman"/>
          <w:b/>
          <w:bCs/>
          <w:sz w:val="24"/>
          <w:szCs w:val="24"/>
          <w:lang w:eastAsia="en-AU"/>
        </w:rPr>
        <w:t xml:space="preserve">ights </w:t>
      </w:r>
    </w:p>
    <w:p w:rsidR="001B183A" w:rsidRPr="00A419EA" w:rsidRDefault="001B183A" w:rsidP="00B94E86">
      <w:pPr>
        <w:spacing w:before="120" w:after="120"/>
        <w:jc w:val="center"/>
        <w:rPr>
          <w:rFonts w:ascii="Times New Roman" w:eastAsia="Times New Roman" w:hAnsi="Times New Roman" w:cs="Times New Roman"/>
          <w:sz w:val="24"/>
          <w:szCs w:val="24"/>
          <w:lang w:val="en-US" w:eastAsia="en-AU"/>
        </w:rPr>
      </w:pPr>
      <w:proofErr w:type="gramStart"/>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Pr>
          <w:rFonts w:ascii="Times New Roman" w:eastAsia="Times New Roman" w:hAnsi="Times New Roman" w:cs="Times New Roman"/>
          <w:i/>
          <w:iCs/>
          <w:sz w:val="24"/>
          <w:szCs w:val="24"/>
          <w:lang w:eastAsia="en-AU"/>
        </w:rPr>
        <w:t>.</w:t>
      </w:r>
      <w:proofErr w:type="gramEnd"/>
    </w:p>
    <w:p w:rsidR="001B183A" w:rsidRPr="00A419EA" w:rsidRDefault="001B183A" w:rsidP="00B94E86">
      <w:pPr>
        <w:spacing w:before="120" w:after="120"/>
        <w:jc w:val="center"/>
        <w:rPr>
          <w:rFonts w:ascii="Times New Roman" w:eastAsia="Times New Roman" w:hAnsi="Times New Roman" w:cs="Times New Roman"/>
          <w:sz w:val="24"/>
          <w:szCs w:val="24"/>
          <w:lang w:val="en-US" w:eastAsia="en-AU"/>
        </w:rPr>
      </w:pPr>
      <w:r w:rsidRPr="00E32ED1">
        <w:rPr>
          <w:rFonts w:ascii="Times New Roman" w:eastAsia="Times New Roman" w:hAnsi="Times New Roman" w:cs="Times New Roman"/>
          <w:b/>
          <w:bCs/>
          <w:sz w:val="24"/>
          <w:szCs w:val="24"/>
          <w:lang w:eastAsia="en-AU"/>
        </w:rPr>
        <w:t xml:space="preserve">Therapeutic Goods (Permissible Ingredients) Determination </w:t>
      </w:r>
      <w:r w:rsidR="00AF5312">
        <w:rPr>
          <w:rFonts w:ascii="Times New Roman" w:eastAsia="Times New Roman" w:hAnsi="Times New Roman" w:cs="Times New Roman"/>
          <w:b/>
          <w:bCs/>
          <w:sz w:val="24"/>
          <w:szCs w:val="24"/>
          <w:lang w:eastAsia="en-AU"/>
        </w:rPr>
        <w:t>(</w:t>
      </w:r>
      <w:r>
        <w:rPr>
          <w:rFonts w:ascii="Times New Roman" w:eastAsia="Times New Roman" w:hAnsi="Times New Roman" w:cs="Times New Roman"/>
          <w:b/>
          <w:bCs/>
          <w:sz w:val="24"/>
          <w:szCs w:val="24"/>
          <w:lang w:eastAsia="en-AU"/>
        </w:rPr>
        <w:t>No. 4</w:t>
      </w:r>
      <w:r w:rsidR="00AF5312">
        <w:rPr>
          <w:rFonts w:ascii="Times New Roman" w:eastAsia="Times New Roman" w:hAnsi="Times New Roman" w:cs="Times New Roman"/>
          <w:b/>
          <w:bCs/>
          <w:sz w:val="24"/>
          <w:szCs w:val="24"/>
          <w:lang w:eastAsia="en-AU"/>
        </w:rPr>
        <w:t>)</w:t>
      </w:r>
      <w:r>
        <w:rPr>
          <w:rFonts w:ascii="Times New Roman" w:eastAsia="Times New Roman" w:hAnsi="Times New Roman" w:cs="Times New Roman"/>
          <w:b/>
          <w:bCs/>
          <w:sz w:val="24"/>
          <w:szCs w:val="24"/>
          <w:lang w:eastAsia="en-AU"/>
        </w:rPr>
        <w:t xml:space="preserve"> </w:t>
      </w:r>
      <w:r w:rsidRPr="00E32ED1">
        <w:rPr>
          <w:rFonts w:ascii="Times New Roman" w:eastAsia="Times New Roman" w:hAnsi="Times New Roman" w:cs="Times New Roman"/>
          <w:b/>
          <w:bCs/>
          <w:sz w:val="24"/>
          <w:szCs w:val="24"/>
          <w:lang w:eastAsia="en-AU"/>
        </w:rPr>
        <w:t>2018 (the Determination)</w:t>
      </w:r>
    </w:p>
    <w:p w:rsidR="001B183A" w:rsidRPr="00A419EA" w:rsidRDefault="001B183A" w:rsidP="00B94E86">
      <w:pPr>
        <w:spacing w:before="120" w:after="120"/>
        <w:jc w:val="center"/>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rsidR="001B183A" w:rsidRPr="00A419EA" w:rsidRDefault="001B183A" w:rsidP="001B183A">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Overview of the Legislative Instrument</w:t>
      </w:r>
    </w:p>
    <w:p w:rsidR="001B183A" w:rsidRDefault="001B183A" w:rsidP="001B183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Pr="00B94E86">
        <w:rPr>
          <w:rFonts w:ascii="Times New Roman" w:eastAsia="Times New Roman" w:hAnsi="Times New Roman" w:cs="Times New Roman"/>
          <w:i/>
          <w:sz w:val="24"/>
          <w:szCs w:val="24"/>
          <w:lang w:eastAsia="en-AU"/>
        </w:rPr>
        <w:t xml:space="preserve">Therapeutic Goods (Permissible Ingredients) Determination </w:t>
      </w:r>
      <w:r w:rsidR="00AF5312">
        <w:rPr>
          <w:rFonts w:ascii="Times New Roman" w:eastAsia="Times New Roman" w:hAnsi="Times New Roman" w:cs="Times New Roman"/>
          <w:i/>
          <w:sz w:val="24"/>
          <w:szCs w:val="24"/>
          <w:lang w:eastAsia="en-AU"/>
        </w:rPr>
        <w:t>(</w:t>
      </w:r>
      <w:r w:rsidRPr="00B94E86">
        <w:rPr>
          <w:rFonts w:ascii="Times New Roman" w:eastAsia="Times New Roman" w:hAnsi="Times New Roman" w:cs="Times New Roman"/>
          <w:i/>
          <w:sz w:val="24"/>
          <w:szCs w:val="24"/>
          <w:lang w:eastAsia="en-AU"/>
        </w:rPr>
        <w:t>No. 4</w:t>
      </w:r>
      <w:r w:rsidR="00AF5312">
        <w:rPr>
          <w:rFonts w:ascii="Times New Roman" w:eastAsia="Times New Roman" w:hAnsi="Times New Roman" w:cs="Times New Roman"/>
          <w:i/>
          <w:sz w:val="24"/>
          <w:szCs w:val="24"/>
          <w:lang w:eastAsia="en-AU"/>
        </w:rPr>
        <w:t>)</w:t>
      </w:r>
      <w:r w:rsidRPr="00B94E86">
        <w:rPr>
          <w:rFonts w:ascii="Times New Roman" w:eastAsia="Times New Roman" w:hAnsi="Times New Roman" w:cs="Times New Roman"/>
          <w:i/>
          <w:sz w:val="24"/>
          <w:szCs w:val="24"/>
          <w:lang w:eastAsia="en-AU"/>
        </w:rPr>
        <w:t xml:space="preserve"> 2018</w:t>
      </w:r>
      <w:r>
        <w:rPr>
          <w:rFonts w:ascii="Times New Roman" w:eastAsia="Times New Roman" w:hAnsi="Times New Roman" w:cs="Times New Roman"/>
          <w:sz w:val="24"/>
          <w:szCs w:val="24"/>
          <w:lang w:eastAsia="en-AU"/>
        </w:rPr>
        <w:t xml:space="preserve"> (the Determination)</w:t>
      </w:r>
      <w:r w:rsidRPr="00A419EA">
        <w:rPr>
          <w:rFonts w:ascii="Times New Roman" w:eastAsia="Times New Roman" w:hAnsi="Times New Roman" w:cs="Times New Roman"/>
          <w:sz w:val="24"/>
          <w:szCs w:val="24"/>
          <w:lang w:eastAsia="en-AU"/>
        </w:rPr>
        <w:t xml:space="preserve"> is made by the Minister under </w:t>
      </w:r>
      <w:r>
        <w:rPr>
          <w:rFonts w:ascii="Times New Roman" w:eastAsia="Times New Roman" w:hAnsi="Times New Roman" w:cs="Times New Roman"/>
          <w:sz w:val="24"/>
          <w:szCs w:val="24"/>
          <w:lang w:eastAsia="en-AU"/>
        </w:rPr>
        <w:t xml:space="preserve">subsection </w:t>
      </w:r>
      <w:proofErr w:type="gramStart"/>
      <w:r>
        <w:rPr>
          <w:rFonts w:ascii="Times New Roman" w:eastAsia="Times New Roman" w:hAnsi="Times New Roman" w:cs="Times New Roman"/>
          <w:sz w:val="24"/>
          <w:szCs w:val="24"/>
          <w:lang w:eastAsia="en-AU"/>
        </w:rPr>
        <w:t>26BB(</w:t>
      </w:r>
      <w:proofErr w:type="gramEnd"/>
      <w:r>
        <w:rPr>
          <w:rFonts w:ascii="Times New Roman" w:eastAsia="Times New Roman" w:hAnsi="Times New Roman" w:cs="Times New Roman"/>
          <w:sz w:val="24"/>
          <w:szCs w:val="24"/>
          <w:lang w:eastAsia="en-AU"/>
        </w:rPr>
        <w:t xml:space="preserve">1)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(the Act)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rsidR="006C1689" w:rsidRPr="00CF4F5B" w:rsidRDefault="006C1689" w:rsidP="006C1689">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Act provides for the establishment and maintenance of a national system of controls for the quality, safety, efficacy and timely availability of therapeutic goods that are used in or exported from Australia. The Therapeutic Goods Administration (the TGA), which is part of the Department of Health, is responsible for administering the Act.</w:t>
      </w:r>
    </w:p>
    <w:p w:rsidR="006C1689" w:rsidRDefault="006C1689" w:rsidP="006C1689">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 xml:space="preserve">One of the controls established by the Act is to require that medicines that are listed in the </w:t>
      </w:r>
      <w:r>
        <w:rPr>
          <w:rFonts w:ascii="Times New Roman" w:eastAsia="Times New Roman" w:hAnsi="Times New Roman" w:cs="Times New Roman"/>
          <w:sz w:val="24"/>
          <w:szCs w:val="24"/>
          <w:lang w:eastAsia="en-AU"/>
        </w:rPr>
        <w:t xml:space="preserve">Australian </w:t>
      </w:r>
      <w:r w:rsidRPr="00CF4F5B">
        <w:rPr>
          <w:rFonts w:ascii="Times New Roman" w:eastAsia="Times New Roman" w:hAnsi="Times New Roman" w:cs="Times New Roman"/>
          <w:sz w:val="24"/>
          <w:szCs w:val="24"/>
          <w:lang w:eastAsia="en-AU"/>
        </w:rPr>
        <w:t>Register</w:t>
      </w:r>
      <w:r>
        <w:rPr>
          <w:rFonts w:ascii="Times New Roman" w:eastAsia="Times New Roman" w:hAnsi="Times New Roman" w:cs="Times New Roman"/>
          <w:sz w:val="24"/>
          <w:szCs w:val="24"/>
          <w:lang w:eastAsia="en-AU"/>
        </w:rPr>
        <w:t xml:space="preserve"> of Therapeutic Goods</w:t>
      </w:r>
      <w:r w:rsidRPr="00CF4F5B">
        <w:rPr>
          <w:rFonts w:ascii="Times New Roman" w:eastAsia="Times New Roman" w:hAnsi="Times New Roman" w:cs="Times New Roman"/>
          <w:sz w:val="24"/>
          <w:szCs w:val="24"/>
          <w:lang w:eastAsia="en-AU"/>
        </w:rPr>
        <w:t xml:space="preserve"> under section 26A </w:t>
      </w:r>
      <w:r>
        <w:rPr>
          <w:rFonts w:ascii="Times New Roman" w:eastAsia="Times New Roman" w:hAnsi="Times New Roman" w:cs="Times New Roman"/>
          <w:sz w:val="24"/>
          <w:szCs w:val="24"/>
          <w:lang w:eastAsia="en-AU"/>
        </w:rPr>
        <w:t xml:space="preserve">or 26AE </w:t>
      </w:r>
      <w:r w:rsidRPr="00CF4F5B">
        <w:rPr>
          <w:rFonts w:ascii="Times New Roman" w:eastAsia="Times New Roman" w:hAnsi="Times New Roman" w:cs="Times New Roman"/>
          <w:sz w:val="24"/>
          <w:szCs w:val="24"/>
          <w:lang w:eastAsia="en-AU"/>
        </w:rPr>
        <w:t>of the Act (</w:t>
      </w:r>
      <w:r>
        <w:rPr>
          <w:rFonts w:ascii="Times New Roman" w:eastAsia="Times New Roman" w:hAnsi="Times New Roman" w:cs="Times New Roman"/>
          <w:sz w:val="24"/>
          <w:szCs w:val="24"/>
          <w:lang w:eastAsia="en-AU"/>
        </w:rPr>
        <w:t xml:space="preserve">respectively, </w:t>
      </w:r>
      <w:r w:rsidRPr="00CF2A6F">
        <w:rPr>
          <w:rFonts w:ascii="Times New Roman" w:eastAsia="Times New Roman" w:hAnsi="Times New Roman" w:cs="Times New Roman"/>
          <w:sz w:val="24"/>
          <w:szCs w:val="24"/>
          <w:lang w:eastAsia="en-AU"/>
        </w:rPr>
        <w:t>AUST L listed medicines and AUST</w:t>
      </w:r>
      <w:r>
        <w:rPr>
          <w:rFonts w:ascii="Times New Roman" w:eastAsia="Times New Roman" w:hAnsi="Times New Roman" w:cs="Times New Roman"/>
          <w:sz w:val="24"/>
          <w:szCs w:val="24"/>
          <w:lang w:eastAsia="en-AU"/>
        </w:rPr>
        <w:t xml:space="preserve"> L(A) assessed listed medicines and, together, “listed medicines”</w:t>
      </w:r>
      <w:r w:rsidRPr="00CF4F5B">
        <w:rPr>
          <w:rFonts w:ascii="Times New Roman" w:eastAsia="Times New Roman" w:hAnsi="Times New Roman" w:cs="Times New Roman"/>
          <w:sz w:val="24"/>
          <w:szCs w:val="24"/>
          <w:lang w:eastAsia="en-AU"/>
        </w:rPr>
        <w:t>) only include ingredients which have been evaluated for safety and quality, and that consideration has been given to whether any conditions should be attached to the use of the ingredient</w:t>
      </w:r>
      <w:r>
        <w:rPr>
          <w:rFonts w:ascii="Times New Roman" w:eastAsia="Times New Roman" w:hAnsi="Times New Roman" w:cs="Times New Roman"/>
          <w:sz w:val="24"/>
          <w:szCs w:val="24"/>
          <w:lang w:eastAsia="en-AU"/>
        </w:rPr>
        <w:t xml:space="preserve"> in order to ensure the</w:t>
      </w:r>
      <w:r w:rsidRPr="00CF4F5B">
        <w:rPr>
          <w:rFonts w:ascii="Times New Roman" w:eastAsia="Times New Roman" w:hAnsi="Times New Roman" w:cs="Times New Roman"/>
          <w:sz w:val="24"/>
          <w:szCs w:val="24"/>
          <w:lang w:eastAsia="en-AU"/>
        </w:rPr>
        <w:t xml:space="preserve"> safety and quality </w:t>
      </w:r>
      <w:r>
        <w:rPr>
          <w:rFonts w:ascii="Times New Roman" w:eastAsia="Times New Roman" w:hAnsi="Times New Roman" w:cs="Times New Roman"/>
          <w:sz w:val="24"/>
          <w:szCs w:val="24"/>
          <w:lang w:eastAsia="en-AU"/>
        </w:rPr>
        <w:t>of AUST L or AUST L(A) medicines containing that ingredient)</w:t>
      </w:r>
      <w:r w:rsidRPr="00CF4F5B">
        <w:rPr>
          <w:rFonts w:ascii="Times New Roman" w:eastAsia="Times New Roman" w:hAnsi="Times New Roman" w:cs="Times New Roman"/>
          <w:sz w:val="24"/>
          <w:szCs w:val="24"/>
          <w:lang w:eastAsia="en-AU"/>
        </w:rPr>
        <w:t xml:space="preserve">. </w:t>
      </w:r>
    </w:p>
    <w:p w:rsidR="001B183A" w:rsidRPr="00EB25AF" w:rsidRDefault="001B183A" w:rsidP="001B183A">
      <w:pPr>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sz w:val="24"/>
          <w:szCs w:val="24"/>
          <w:lang w:eastAsia="en-AU"/>
        </w:rPr>
        <w:t xml:space="preserve">Section 26BB Determinations have the effect of specifying </w:t>
      </w:r>
      <w:r w:rsidRPr="00F0557E">
        <w:rPr>
          <w:rFonts w:ascii="Times New Roman" w:hAnsi="Times New Roman" w:cs="Times New Roman"/>
          <w:sz w:val="24"/>
          <w:szCs w:val="24"/>
          <w:lang w:eastAsia="en-AU"/>
        </w:rPr>
        <w:t>ingredients that may be contained in a medicine listed in the Australian Register of Therapeutic Goods (the Register) under section</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 xml:space="preserve">26A </w:t>
      </w:r>
      <w:r w:rsidR="00940B0B">
        <w:rPr>
          <w:rFonts w:ascii="Times New Roman" w:hAnsi="Times New Roman" w:cs="Times New Roman"/>
          <w:sz w:val="24"/>
          <w:szCs w:val="24"/>
          <w:lang w:eastAsia="en-AU"/>
        </w:rPr>
        <w:t>or</w:t>
      </w:r>
      <w:r>
        <w:rPr>
          <w:rFonts w:ascii="Times New Roman" w:hAnsi="Times New Roman" w:cs="Times New Roman"/>
          <w:sz w:val="24"/>
          <w:szCs w:val="24"/>
          <w:lang w:eastAsia="en-AU"/>
        </w:rPr>
        <w:t xml:space="preserve"> 26AE </w:t>
      </w:r>
      <w:r w:rsidRPr="00F0557E">
        <w:rPr>
          <w:rFonts w:ascii="Times New Roman" w:hAnsi="Times New Roman" w:cs="Times New Roman"/>
          <w:sz w:val="24"/>
          <w:szCs w:val="24"/>
          <w:lang w:eastAsia="en-AU"/>
        </w:rPr>
        <w:t>of the</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 xml:space="preserve">Act, and </w:t>
      </w:r>
      <w:r w:rsidR="00940B0B">
        <w:rPr>
          <w:rFonts w:ascii="Times New Roman" w:hAnsi="Times New Roman" w:cs="Times New Roman"/>
          <w:sz w:val="24"/>
          <w:szCs w:val="24"/>
          <w:lang w:eastAsia="en-AU"/>
        </w:rPr>
        <w:t xml:space="preserve">specifying </w:t>
      </w:r>
      <w:r w:rsidRPr="00F0557E">
        <w:rPr>
          <w:rFonts w:ascii="Times New Roman" w:hAnsi="Times New Roman" w:cs="Times New Roman"/>
          <w:sz w:val="24"/>
          <w:szCs w:val="24"/>
          <w:lang w:eastAsia="en-AU"/>
        </w:rPr>
        <w:t xml:space="preserve">requirements in relation to the </w:t>
      </w:r>
      <w:r w:rsidR="00940B0B">
        <w:rPr>
          <w:rFonts w:ascii="Times New Roman" w:hAnsi="Times New Roman" w:cs="Times New Roman"/>
          <w:sz w:val="24"/>
          <w:szCs w:val="24"/>
          <w:lang w:eastAsia="en-AU"/>
        </w:rPr>
        <w:t>use</w:t>
      </w:r>
      <w:r w:rsidRPr="00F0557E">
        <w:rPr>
          <w:rFonts w:ascii="Times New Roman" w:hAnsi="Times New Roman" w:cs="Times New Roman"/>
          <w:sz w:val="24"/>
          <w:szCs w:val="24"/>
          <w:lang w:eastAsia="en-AU"/>
        </w:rPr>
        <w:t xml:space="preserve"> of those ingredients in such medicine</w:t>
      </w:r>
      <w:r>
        <w:rPr>
          <w:rFonts w:ascii="Times New Roman" w:hAnsi="Times New Roman" w:cs="Times New Roman"/>
          <w:sz w:val="24"/>
          <w:szCs w:val="24"/>
          <w:lang w:eastAsia="en-AU"/>
        </w:rPr>
        <w:t>s</w:t>
      </w:r>
      <w:r>
        <w:rPr>
          <w:rFonts w:ascii="Times New Roman" w:eastAsia="Times New Roman" w:hAnsi="Times New Roman" w:cs="Times New Roman"/>
          <w:sz w:val="24"/>
          <w:szCs w:val="24"/>
          <w:lang w:eastAsia="en-AU"/>
        </w:rPr>
        <w:t>.</w:t>
      </w:r>
      <w:r w:rsidRPr="00145E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Pr="00EB25AF">
        <w:rPr>
          <w:rFonts w:ascii="Times New Roman" w:eastAsia="Times New Roman" w:hAnsi="Times New Roman" w:cs="Times New Roman"/>
          <w:sz w:val="24"/>
          <w:szCs w:val="24"/>
          <w:lang w:eastAsia="en-AU"/>
        </w:rPr>
        <w:t xml:space="preserve"> person seeking to list a medicine in the Register under section 26A </w:t>
      </w:r>
      <w:r>
        <w:rPr>
          <w:rFonts w:ascii="Times New Roman" w:eastAsia="Times New Roman" w:hAnsi="Times New Roman" w:cs="Times New Roman"/>
          <w:sz w:val="24"/>
          <w:szCs w:val="24"/>
          <w:lang w:eastAsia="en-AU"/>
        </w:rPr>
        <w:t xml:space="preserve">or 26AE </w:t>
      </w:r>
      <w:r w:rsidRPr="00EB25AF">
        <w:rPr>
          <w:rFonts w:ascii="Times New Roman" w:eastAsia="Times New Roman" w:hAnsi="Times New Roman" w:cs="Times New Roman"/>
          <w:sz w:val="24"/>
          <w:szCs w:val="24"/>
          <w:lang w:eastAsia="en-AU"/>
        </w:rPr>
        <w:t xml:space="preserve">of the Act must certify, when doing so, that the medicine does not contain an ingredient that is not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 xml:space="preserve">Determination, and that none of the requirements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Determination in relation to the ingredients contained in the medicine have been contravened.</w:t>
      </w:r>
    </w:p>
    <w:p w:rsidR="00D1515A" w:rsidRDefault="005C38A8" w:rsidP="001B183A">
      <w:pPr>
        <w:spacing w:before="100" w:beforeAutospacing="1" w:after="100" w:afterAutospacing="1"/>
        <w:rPr>
          <w:rFonts w:ascii="Times New Roman" w:eastAsia="Times New Roman" w:hAnsi="Times New Roman" w:cs="Times New Roman"/>
          <w:sz w:val="24"/>
          <w:szCs w:val="24"/>
          <w:lang w:eastAsia="en-AU"/>
        </w:rPr>
      </w:pPr>
      <w:r w:rsidRPr="005C38A8">
        <w:rPr>
          <w:rFonts w:ascii="Times New Roman" w:eastAsia="Times New Roman" w:hAnsi="Times New Roman" w:cs="Times New Roman"/>
          <w:sz w:val="24"/>
          <w:szCs w:val="24"/>
          <w:lang w:eastAsia="en-AU"/>
        </w:rPr>
        <w:t>If a person incorrectly certifies as to these matters, the Secretary may cancel, or suspend, their goods from the Register (paragraphs 30(1</w:t>
      </w:r>
      <w:proofErr w:type="gramStart"/>
      <w:r w:rsidRPr="005C38A8">
        <w:rPr>
          <w:rFonts w:ascii="Times New Roman" w:eastAsia="Times New Roman" w:hAnsi="Times New Roman" w:cs="Times New Roman"/>
          <w:sz w:val="24"/>
          <w:szCs w:val="24"/>
          <w:lang w:eastAsia="en-AU"/>
        </w:rPr>
        <w:t>)(</w:t>
      </w:r>
      <w:proofErr w:type="gramEnd"/>
      <w:r w:rsidRPr="005C38A8">
        <w:rPr>
          <w:rFonts w:ascii="Times New Roman" w:eastAsia="Times New Roman" w:hAnsi="Times New Roman" w:cs="Times New Roman"/>
          <w:sz w:val="24"/>
          <w:szCs w:val="24"/>
          <w:lang w:eastAsia="en-AU"/>
        </w:rPr>
        <w:t>e) and 30(1)(ea) of the Act and 29D(1)(b) refer).  Offences and civil penalty provisions may also apply if a person makes a false or misleading statement in, or in connection with, a certification of a matter under subsection 26A(2) or 26AB(2) of the Act (including certification relating to permissible ingredients and relevant requirements).</w:t>
      </w:r>
    </w:p>
    <w:p w:rsidR="00940B0B" w:rsidRDefault="00CF4F5B" w:rsidP="00B94E86">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val="en-US" w:eastAsia="en-AU"/>
        </w:rPr>
        <w:t>The Determination re</w:t>
      </w:r>
      <w:r w:rsidR="00E81898">
        <w:rPr>
          <w:rFonts w:ascii="Times New Roman" w:eastAsia="Times New Roman" w:hAnsi="Times New Roman" w:cs="Times New Roman"/>
          <w:sz w:val="24"/>
          <w:szCs w:val="24"/>
          <w:lang w:val="en-US" w:eastAsia="en-AU"/>
        </w:rPr>
        <w:t>peals</w:t>
      </w:r>
      <w:r w:rsidRPr="00CF4F5B">
        <w:rPr>
          <w:rFonts w:ascii="Times New Roman" w:eastAsia="Times New Roman" w:hAnsi="Times New Roman" w:cs="Times New Roman"/>
          <w:sz w:val="24"/>
          <w:szCs w:val="24"/>
          <w:lang w:val="en-US" w:eastAsia="en-AU"/>
        </w:rPr>
        <w:t xml:space="preserve"> and replaces the </w:t>
      </w:r>
      <w:r w:rsidRPr="00CF4F5B">
        <w:rPr>
          <w:rFonts w:ascii="Times New Roman" w:eastAsia="Times New Roman" w:hAnsi="Times New Roman" w:cs="Times New Roman"/>
          <w:i/>
          <w:iCs/>
          <w:sz w:val="24"/>
          <w:szCs w:val="24"/>
          <w:lang w:eastAsia="en-AU"/>
        </w:rPr>
        <w:t>Therapeutic Goods (Permissibl</w:t>
      </w:r>
      <w:r w:rsidR="00E72A28">
        <w:rPr>
          <w:rFonts w:ascii="Times New Roman" w:eastAsia="Times New Roman" w:hAnsi="Times New Roman" w:cs="Times New Roman"/>
          <w:i/>
          <w:iCs/>
          <w:sz w:val="24"/>
          <w:szCs w:val="24"/>
          <w:lang w:eastAsia="en-AU"/>
        </w:rPr>
        <w:t xml:space="preserve">e Ingredients) Determination No. </w:t>
      </w:r>
      <w:r w:rsidR="00F05C19">
        <w:rPr>
          <w:rFonts w:ascii="Times New Roman" w:eastAsia="Times New Roman" w:hAnsi="Times New Roman" w:cs="Times New Roman"/>
          <w:i/>
          <w:iCs/>
          <w:sz w:val="24"/>
          <w:szCs w:val="24"/>
          <w:lang w:eastAsia="en-AU"/>
        </w:rPr>
        <w:t>3</w:t>
      </w:r>
      <w:r w:rsidR="009D708A">
        <w:rPr>
          <w:rFonts w:ascii="Times New Roman" w:eastAsia="Times New Roman" w:hAnsi="Times New Roman" w:cs="Times New Roman"/>
          <w:i/>
          <w:iCs/>
          <w:sz w:val="24"/>
          <w:szCs w:val="24"/>
          <w:lang w:eastAsia="en-AU"/>
        </w:rPr>
        <w:t xml:space="preserve"> of </w:t>
      </w:r>
      <w:r w:rsidR="00F05C19">
        <w:rPr>
          <w:rFonts w:ascii="Times New Roman" w:eastAsia="Times New Roman" w:hAnsi="Times New Roman" w:cs="Times New Roman"/>
          <w:i/>
          <w:iCs/>
          <w:sz w:val="24"/>
          <w:szCs w:val="24"/>
          <w:lang w:eastAsia="en-AU"/>
        </w:rPr>
        <w:t>2018</w:t>
      </w:r>
      <w:r w:rsidRPr="00CF4F5B">
        <w:rPr>
          <w:rFonts w:ascii="Times New Roman" w:eastAsia="Times New Roman" w:hAnsi="Times New Roman" w:cs="Times New Roman"/>
          <w:i/>
          <w:iCs/>
          <w:sz w:val="24"/>
          <w:szCs w:val="24"/>
          <w:lang w:eastAsia="en-AU"/>
        </w:rPr>
        <w:t xml:space="preserve"> </w:t>
      </w:r>
      <w:r w:rsidR="00940B0B" w:rsidRPr="00CF4F5B">
        <w:rPr>
          <w:rFonts w:ascii="Times New Roman" w:eastAsia="Times New Roman" w:hAnsi="Times New Roman" w:cs="Times New Roman"/>
          <w:sz w:val="24"/>
          <w:szCs w:val="24"/>
          <w:lang w:eastAsia="en-AU"/>
        </w:rPr>
        <w:t xml:space="preserve">which </w:t>
      </w:r>
      <w:r w:rsidR="00940B0B">
        <w:rPr>
          <w:rFonts w:ascii="Times New Roman" w:eastAsia="Times New Roman" w:hAnsi="Times New Roman" w:cs="Times New Roman"/>
          <w:sz w:val="24"/>
          <w:szCs w:val="24"/>
          <w:lang w:eastAsia="en-AU"/>
        </w:rPr>
        <w:t xml:space="preserve">was registered on the Federal Register of Legislation on 25 September 2018 and </w:t>
      </w:r>
      <w:r w:rsidR="00940B0B" w:rsidRPr="00CF4F5B">
        <w:rPr>
          <w:rFonts w:ascii="Times New Roman" w:eastAsia="Times New Roman" w:hAnsi="Times New Roman" w:cs="Times New Roman"/>
          <w:sz w:val="24"/>
          <w:szCs w:val="24"/>
          <w:lang w:eastAsia="en-AU"/>
        </w:rPr>
        <w:t xml:space="preserve">commenced on </w:t>
      </w:r>
      <w:r w:rsidR="00940B0B">
        <w:rPr>
          <w:rFonts w:ascii="Times New Roman" w:eastAsia="Times New Roman" w:hAnsi="Times New Roman" w:cs="Times New Roman"/>
          <w:sz w:val="24"/>
          <w:szCs w:val="24"/>
          <w:lang w:eastAsia="en-AU"/>
        </w:rPr>
        <w:t>28 September 2018 (the Previous Determination)</w:t>
      </w:r>
      <w:r w:rsidR="00A719B4">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 xml:space="preserve">and incorporates a number of changes </w:t>
      </w:r>
      <w:r w:rsidR="00940B0B">
        <w:rPr>
          <w:rFonts w:ascii="Times New Roman" w:eastAsia="Times New Roman" w:hAnsi="Times New Roman" w:cs="Times New Roman"/>
          <w:sz w:val="24"/>
          <w:szCs w:val="24"/>
          <w:lang w:eastAsia="en-AU"/>
        </w:rPr>
        <w:t xml:space="preserve">in comparison </w:t>
      </w:r>
      <w:r w:rsidRPr="00CF4F5B">
        <w:rPr>
          <w:rFonts w:ascii="Times New Roman" w:eastAsia="Times New Roman" w:hAnsi="Times New Roman" w:cs="Times New Roman"/>
          <w:sz w:val="24"/>
          <w:szCs w:val="24"/>
          <w:lang w:eastAsia="en-AU"/>
        </w:rPr>
        <w:t xml:space="preserve">to the </w:t>
      </w:r>
      <w:r w:rsidR="00940B0B">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revious Determination</w:t>
      </w:r>
      <w:r w:rsidR="00940B0B">
        <w:rPr>
          <w:rFonts w:ascii="Times New Roman" w:eastAsia="Times New Roman" w:hAnsi="Times New Roman" w:cs="Times New Roman"/>
          <w:sz w:val="24"/>
          <w:szCs w:val="24"/>
          <w:lang w:eastAsia="en-AU"/>
        </w:rPr>
        <w:t>.</w:t>
      </w:r>
    </w:p>
    <w:p w:rsidR="00940B0B" w:rsidRDefault="00940B0B" w:rsidP="00940B0B">
      <w:pPr>
        <w:shd w:val="clear" w:color="auto" w:fill="FFFFFF"/>
        <w:spacing w:after="0"/>
        <w:rPr>
          <w:rFonts w:ascii="Times New Roman" w:eastAsia="Times New Roman" w:hAnsi="Times New Roman" w:cs="Times New Roman"/>
          <w:sz w:val="24"/>
          <w:szCs w:val="24"/>
          <w:lang w:eastAsia="en-AU"/>
        </w:rPr>
      </w:pPr>
      <w:r w:rsidRPr="00B83CB9">
        <w:rPr>
          <w:rFonts w:ascii="Times New Roman" w:eastAsia="Times New Roman" w:hAnsi="Times New Roman" w:cs="Times New Roman"/>
          <w:sz w:val="24"/>
          <w:szCs w:val="24"/>
          <w:lang w:eastAsia="en-AU"/>
        </w:rPr>
        <w:t>These changes include:</w:t>
      </w:r>
    </w:p>
    <w:p w:rsidR="00940B0B" w:rsidRPr="00673DE0" w:rsidRDefault="00940B0B" w:rsidP="00940B0B">
      <w:pPr>
        <w:pStyle w:val="ListParagraph"/>
        <w:numPr>
          <w:ilvl w:val="0"/>
          <w:numId w:val="2"/>
        </w:numPr>
        <w:spacing w:before="120" w:beforeAutospacing="0" w:after="0" w:afterAutospacing="0"/>
        <w:ind w:left="567" w:hanging="567"/>
      </w:pPr>
      <w:r>
        <w:t>c</w:t>
      </w:r>
      <w:r w:rsidRPr="00673DE0">
        <w:t xml:space="preserve">hanges to </w:t>
      </w:r>
      <w:r>
        <w:t>5 existing ingredient entries to</w:t>
      </w:r>
      <w:r w:rsidRPr="00673DE0">
        <w:t>:</w:t>
      </w:r>
    </w:p>
    <w:p w:rsidR="00940B0B" w:rsidRPr="00673DE0" w:rsidRDefault="00940B0B" w:rsidP="00940B0B">
      <w:pPr>
        <w:pStyle w:val="ListParagraph"/>
        <w:numPr>
          <w:ilvl w:val="1"/>
          <w:numId w:val="5"/>
        </w:numPr>
      </w:pPr>
      <w:r>
        <w:t>m</w:t>
      </w:r>
      <w:r w:rsidRPr="00673DE0">
        <w:t>ak</w:t>
      </w:r>
      <w:r>
        <w:t>e</w:t>
      </w:r>
      <w:r w:rsidRPr="00673DE0">
        <w:t xml:space="preserve"> requirements for </w:t>
      </w:r>
      <w:r>
        <w:t xml:space="preserve">some </w:t>
      </w:r>
      <w:r w:rsidRPr="00673DE0">
        <w:t>ingredients less restrictive</w:t>
      </w:r>
      <w:r>
        <w:t>, for example by allowing an ingredient to be used as an excipient as well as an active ingredient, and by allowing an ingredient to be used in an AUST L or AUST L(A) medicine that is for dermal application (i.e. as well as in such medicines when they are for oral administration);</w:t>
      </w:r>
    </w:p>
    <w:p w:rsidR="00940B0B" w:rsidRPr="00206253" w:rsidRDefault="00940B0B" w:rsidP="00940B0B">
      <w:pPr>
        <w:pStyle w:val="ListParagraph"/>
        <w:numPr>
          <w:ilvl w:val="1"/>
          <w:numId w:val="5"/>
        </w:numPr>
      </w:pPr>
      <w:proofErr w:type="gramStart"/>
      <w:r w:rsidRPr="00206253">
        <w:t>correct</w:t>
      </w:r>
      <w:proofErr w:type="gramEnd"/>
      <w:r w:rsidRPr="00206253">
        <w:t xml:space="preserve"> an inadvertent error in a requirement relating to the use of the ingredient </w:t>
      </w:r>
      <w:r w:rsidRPr="00206253">
        <w:rPr>
          <w:i/>
        </w:rPr>
        <w:t>Larix arabinogalactan</w:t>
      </w:r>
      <w:r w:rsidRPr="00206253">
        <w:t xml:space="preserve">, that dates from the original Determination. Currently the requirement states that the concentration of polysaccharides in the medicine must be equal to or more than 85 per cent. However, the intention was to require that the concentration of polysaccharides must be equal to or more than 85 per cent of the amount of the ingredient </w:t>
      </w:r>
      <w:r w:rsidRPr="00206253">
        <w:rPr>
          <w:i/>
        </w:rPr>
        <w:t>Larix arabinogalactan</w:t>
      </w:r>
      <w:r w:rsidRPr="00206253">
        <w:t xml:space="preserve"> in the medicine; and</w:t>
      </w:r>
    </w:p>
    <w:p w:rsidR="00940B0B" w:rsidRDefault="00940B0B" w:rsidP="00940B0B">
      <w:pPr>
        <w:pStyle w:val="ListParagraph"/>
        <w:numPr>
          <w:ilvl w:val="1"/>
          <w:numId w:val="5"/>
        </w:numPr>
      </w:pPr>
      <w:proofErr w:type="gramStart"/>
      <w:r>
        <w:t>make</w:t>
      </w:r>
      <w:proofErr w:type="gramEnd"/>
      <w:r>
        <w:t xml:space="preserve"> minor changes to a number of entries in order to make them clearer.</w:t>
      </w:r>
    </w:p>
    <w:p w:rsidR="00940B0B" w:rsidRPr="009B0E82" w:rsidRDefault="00940B0B" w:rsidP="00940B0B">
      <w:pPr>
        <w:pStyle w:val="ListParagraph"/>
        <w:numPr>
          <w:ilvl w:val="0"/>
          <w:numId w:val="2"/>
        </w:numPr>
        <w:ind w:left="567" w:hanging="567"/>
      </w:pPr>
      <w:proofErr w:type="gramStart"/>
      <w:r>
        <w:t>remove</w:t>
      </w:r>
      <w:proofErr w:type="gramEnd"/>
      <w:r>
        <w:t xml:space="preserve"> one ingredient that </w:t>
      </w:r>
      <w:r w:rsidRPr="009B0E82">
        <w:t xml:space="preserve">was incorrectly classified </w:t>
      </w:r>
      <w:r>
        <w:t xml:space="preserve">as being appropriate for use in AUST L medicines </w:t>
      </w:r>
      <w:r w:rsidRPr="009B0E82">
        <w:t xml:space="preserve">during the drafting of the original Determination. The removed ingredient is not </w:t>
      </w:r>
      <w:r>
        <w:t xml:space="preserve">currently </w:t>
      </w:r>
      <w:r w:rsidRPr="009B0E82">
        <w:t>used in any listed medicines</w:t>
      </w:r>
      <w:r>
        <w:t xml:space="preserve"> in Australia</w:t>
      </w:r>
      <w:r w:rsidRPr="009B0E82">
        <w:t xml:space="preserve">. </w:t>
      </w:r>
    </w:p>
    <w:p w:rsidR="00451627" w:rsidRPr="00B94E86" w:rsidRDefault="00451627" w:rsidP="00B94E86">
      <w:pPr>
        <w:rPr>
          <w:rFonts w:ascii="Times New Roman" w:hAnsi="Times New Roman" w:cs="Times New Roman"/>
          <w:sz w:val="24"/>
          <w:szCs w:val="24"/>
        </w:rPr>
      </w:pPr>
      <w:r w:rsidRPr="00B94E86">
        <w:rPr>
          <w:rFonts w:ascii="Times New Roman" w:hAnsi="Times New Roman" w:cs="Times New Roman"/>
          <w:sz w:val="24"/>
          <w:szCs w:val="24"/>
        </w:rPr>
        <w:t xml:space="preserve">Updated section 26BB Determinations are made on a regular basis. These updates are needed to ensure that new ingredients, and new ingredient uses, requested by industry are made available for AUST L and AUST L(A) medicines as soon as possible after they have been assessed or determined to be safe. Updating the Determination is necessary to provide accurate and current information on restrictions for ingredients that reflects recent safety data, scientific naming conventions, changes to the Poisons Standard, legislative developments for therapeutic goods, and to correct minor errors. </w:t>
      </w:r>
    </w:p>
    <w:p w:rsidR="00451627" w:rsidRPr="00B94E86" w:rsidRDefault="00451627" w:rsidP="00B94E86">
      <w:pPr>
        <w:spacing w:after="0"/>
        <w:rPr>
          <w:rFonts w:ascii="Times New Roman" w:hAnsi="Times New Roman" w:cs="Times New Roman"/>
          <w:sz w:val="24"/>
          <w:szCs w:val="24"/>
        </w:rPr>
      </w:pPr>
      <w:r w:rsidRPr="00B94E86">
        <w:rPr>
          <w:rFonts w:ascii="Times New Roman" w:hAnsi="Times New Roman" w:cs="Times New Roman"/>
          <w:sz w:val="24"/>
          <w:szCs w:val="24"/>
        </w:rPr>
        <w:t>As listed medicines are available without a prescription from a registered medical doctor, it is particularly important for public health and safety to ensure that section 26BB Determinations are accurate and routinely maintained, so as to provide clear requirements for industry about what ingredients can be safely used in listed medicine, and about what safety information needs to be provided to consumers on product labels to ensure the safe use of those products by the public.</w:t>
      </w:r>
    </w:p>
    <w:p w:rsidR="00451627" w:rsidRDefault="00451627" w:rsidP="00B94E86">
      <w:pPr>
        <w:shd w:val="clear" w:color="auto" w:fill="FFFFFF"/>
        <w:spacing w:after="0" w:line="240" w:lineRule="auto"/>
        <w:rPr>
          <w:rFonts w:ascii="Times New Roman" w:eastAsia="Times New Roman" w:hAnsi="Times New Roman" w:cs="Times New Roman"/>
          <w:sz w:val="24"/>
          <w:szCs w:val="24"/>
          <w:lang w:eastAsia="en-AU"/>
        </w:rPr>
      </w:pP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Human rights implications</w:t>
      </w:r>
    </w:p>
    <w:p w:rsidR="006C1689" w:rsidRDefault="006C1689" w:rsidP="006C1689">
      <w:pPr>
        <w:shd w:val="clear" w:color="auto" w:fill="FFFFFF"/>
        <w:spacing w:after="120"/>
        <w:rPr>
          <w:rFonts w:ascii="Times New Roman" w:hAnsi="Times New Roman" w:cs="Times New Roman"/>
          <w:sz w:val="24"/>
          <w:szCs w:val="24"/>
        </w:rPr>
      </w:pPr>
      <w:r w:rsidRPr="00B94E86">
        <w:rPr>
          <w:rFonts w:ascii="Times New Roman" w:hAnsi="Times New Roman" w:cs="Times New Roman"/>
          <w:bCs/>
          <w:sz w:val="24"/>
          <w:szCs w:val="24"/>
        </w:rPr>
        <w:t>The Determination takes positive steps to promote the right to health in article 12 of the International Covenant on Economic, Social and Cultural Rights (the ICESCR). This right is understood as the right of everyone to enjoy the highest attainable standard of physical and mental health, and includes an obligation to take reasonable measures within available resources to progressively secure broader enjoyment of the right.</w:t>
      </w:r>
      <w:r w:rsidRPr="00B94E86">
        <w:rPr>
          <w:rFonts w:ascii="Times New Roman" w:hAnsi="Times New Roman" w:cs="Times New Roman"/>
          <w:sz w:val="24"/>
          <w:szCs w:val="24"/>
        </w:rPr>
        <w:t xml:space="preserve"> 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FB1B7D" w:rsidRDefault="006C1689" w:rsidP="006C1689">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By prescribing those ingredients that are considered to be safe for use in listed medicines, and by set</w:t>
      </w:r>
      <w:r w:rsidR="00FB1B7D">
        <w:rPr>
          <w:rFonts w:ascii="Times New Roman" w:hAnsi="Times New Roman" w:cs="Times New Roman"/>
          <w:sz w:val="24"/>
          <w:szCs w:val="24"/>
        </w:rPr>
        <w:t>ting</w:t>
      </w:r>
      <w:r>
        <w:rPr>
          <w:rFonts w:ascii="Times New Roman" w:hAnsi="Times New Roman" w:cs="Times New Roman"/>
          <w:sz w:val="24"/>
          <w:szCs w:val="24"/>
        </w:rPr>
        <w:t xml:space="preserve"> out </w:t>
      </w:r>
      <w:r w:rsidR="00FB1B7D">
        <w:rPr>
          <w:rFonts w:ascii="Times New Roman" w:hAnsi="Times New Roman" w:cs="Times New Roman"/>
          <w:sz w:val="24"/>
          <w:szCs w:val="24"/>
        </w:rPr>
        <w:t xml:space="preserve">important </w:t>
      </w:r>
      <w:r>
        <w:rPr>
          <w:rFonts w:ascii="Times New Roman" w:hAnsi="Times New Roman" w:cs="Times New Roman"/>
          <w:sz w:val="24"/>
          <w:szCs w:val="24"/>
        </w:rPr>
        <w:t>requirements</w:t>
      </w:r>
      <w:r w:rsidR="00FB1B7D">
        <w:rPr>
          <w:rFonts w:ascii="Times New Roman" w:hAnsi="Times New Roman" w:cs="Times New Roman"/>
          <w:sz w:val="24"/>
          <w:szCs w:val="24"/>
        </w:rPr>
        <w:t xml:space="preserve"> relating to the use of those ingredients in such medicines (such requirements may relate, for example, to maximum concentrations of such ingredients in listed medicines, or to the inclusion of warning statements on medicine labels</w:t>
      </w:r>
      <w:r w:rsidR="00AD335D">
        <w:rPr>
          <w:rFonts w:ascii="Times New Roman" w:hAnsi="Times New Roman" w:cs="Times New Roman"/>
          <w:sz w:val="24"/>
          <w:szCs w:val="24"/>
        </w:rPr>
        <w:t xml:space="preserve"> such as ‘Keep out of reach of children’ for relevant ingredients</w:t>
      </w:r>
      <w:r w:rsidR="00FB1B7D">
        <w:rPr>
          <w:rFonts w:ascii="Times New Roman" w:hAnsi="Times New Roman" w:cs="Times New Roman"/>
          <w:sz w:val="24"/>
          <w:szCs w:val="24"/>
        </w:rPr>
        <w:t xml:space="preserve">), the safety of Australian consumers will be better protected, and they will be better able to make informed decisions about such medicines. </w:t>
      </w:r>
    </w:p>
    <w:p w:rsidR="00451627" w:rsidRDefault="00FB1B7D" w:rsidP="00CF4F5B">
      <w:pPr>
        <w:shd w:val="clear" w:color="auto" w:fill="FFFFFF"/>
        <w:spacing w:before="120" w:after="120" w:line="240" w:lineRule="auto"/>
        <w:rPr>
          <w:rFonts w:ascii="Times New Roman" w:eastAsia="Times New Roman" w:hAnsi="Times New Roman" w:cs="Times New Roman"/>
          <w:b/>
          <w:bCs/>
          <w:sz w:val="24"/>
          <w:szCs w:val="24"/>
          <w:lang w:eastAsia="en-AU"/>
        </w:rPr>
      </w:pPr>
      <w:r>
        <w:rPr>
          <w:rFonts w:ascii="Times New Roman" w:hAnsi="Times New Roman" w:cs="Times New Roman"/>
          <w:sz w:val="24"/>
          <w:szCs w:val="24"/>
        </w:rPr>
        <w:t>This is particularly important for listed medicines, as they are usually available for self-selection by consumers without a requirement to first obtain the advice or prescription of a registered medical doctor, or the advice of a pharmacist.</w:t>
      </w:r>
      <w:r w:rsidR="006C1689">
        <w:rPr>
          <w:rFonts w:ascii="Times New Roman" w:hAnsi="Times New Roman" w:cs="Times New Roman"/>
          <w:sz w:val="24"/>
          <w:szCs w:val="24"/>
        </w:rPr>
        <w:t xml:space="preserve"> </w:t>
      </w:r>
    </w:p>
    <w:p w:rsidR="00DF562F" w:rsidRDefault="00DF562F" w:rsidP="00B94E86">
      <w:pPr>
        <w:shd w:val="clear" w:color="auto" w:fill="FFFFFF"/>
        <w:spacing w:after="120" w:line="240" w:lineRule="auto"/>
        <w:rPr>
          <w:rFonts w:ascii="Times New Roman" w:eastAsia="Times New Roman" w:hAnsi="Times New Roman" w:cs="Times New Roman"/>
          <w:b/>
          <w:bCs/>
          <w:sz w:val="24"/>
          <w:szCs w:val="24"/>
          <w:lang w:eastAsia="en-AU"/>
        </w:rPr>
      </w:pP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Conclusion</w:t>
      </w:r>
    </w:p>
    <w:p w:rsidR="00451627" w:rsidRDefault="00CF4F5B" w:rsidP="00553BEC">
      <w:pPr>
        <w:shd w:val="clear" w:color="auto" w:fill="FFFFFF"/>
        <w:spacing w:before="120" w:after="120" w:line="240" w:lineRule="auto"/>
        <w:rPr>
          <w:rFonts w:ascii="Times New Roman" w:eastAsia="Times New Roman" w:hAnsi="Times New Roman" w:cs="Times New Roman"/>
          <w:b/>
          <w:bCs/>
          <w:sz w:val="24"/>
          <w:szCs w:val="24"/>
          <w:lang w:eastAsia="en-AU"/>
        </w:rPr>
      </w:pPr>
      <w:r w:rsidRPr="00CF4F5B">
        <w:rPr>
          <w:rFonts w:ascii="Times New Roman" w:eastAsia="Times New Roman" w:hAnsi="Times New Roman" w:cs="Times New Roman"/>
          <w:sz w:val="24"/>
          <w:szCs w:val="24"/>
          <w:lang w:eastAsia="en-AU"/>
        </w:rPr>
        <w:t>Th</w:t>
      </w:r>
      <w:r w:rsidR="00DF562F">
        <w:rPr>
          <w:rFonts w:ascii="Times New Roman" w:eastAsia="Times New Roman" w:hAnsi="Times New Roman" w:cs="Times New Roman"/>
          <w:sz w:val="24"/>
          <w:szCs w:val="24"/>
          <w:lang w:eastAsia="en-AU"/>
        </w:rPr>
        <w:t xml:space="preserve">e Determination is </w:t>
      </w:r>
      <w:r w:rsidRPr="00CF4F5B">
        <w:rPr>
          <w:rFonts w:ascii="Times New Roman" w:eastAsia="Times New Roman" w:hAnsi="Times New Roman" w:cs="Times New Roman"/>
          <w:sz w:val="24"/>
          <w:szCs w:val="24"/>
          <w:lang w:eastAsia="en-AU"/>
        </w:rPr>
        <w:t xml:space="preserve">compatible with human rights </w:t>
      </w:r>
      <w:r w:rsidR="00DF562F">
        <w:rPr>
          <w:rFonts w:ascii="Times New Roman" w:eastAsia="Times New Roman" w:hAnsi="Times New Roman" w:cs="Times New Roman"/>
          <w:sz w:val="24"/>
          <w:szCs w:val="24"/>
          <w:lang w:eastAsia="en-AU"/>
        </w:rPr>
        <w:t xml:space="preserve">because it promotes the right to health in article 12 of the ICESCR as outlined above, and otherwise </w:t>
      </w:r>
      <w:r w:rsidRPr="00CF4F5B">
        <w:rPr>
          <w:rFonts w:ascii="Times New Roman" w:eastAsia="Times New Roman" w:hAnsi="Times New Roman" w:cs="Times New Roman"/>
          <w:sz w:val="24"/>
          <w:szCs w:val="24"/>
          <w:lang w:eastAsia="en-AU"/>
        </w:rPr>
        <w:t xml:space="preserve">does not raise any human rights issues. </w:t>
      </w:r>
    </w:p>
    <w:p w:rsidR="00DF562F" w:rsidRDefault="00DF562F" w:rsidP="00B94E86">
      <w:pPr>
        <w:shd w:val="clear" w:color="auto" w:fill="FFFFFF"/>
        <w:spacing w:after="120" w:line="240" w:lineRule="auto"/>
        <w:rPr>
          <w:rFonts w:ascii="Times New Roman" w:eastAsia="Times New Roman" w:hAnsi="Times New Roman" w:cs="Times New Roman"/>
          <w:b/>
          <w:bCs/>
          <w:sz w:val="24"/>
          <w:szCs w:val="24"/>
          <w:lang w:eastAsia="en-AU"/>
        </w:rPr>
      </w:pPr>
    </w:p>
    <w:p w:rsidR="00D4165E" w:rsidRDefault="00553BEC" w:rsidP="00553BEC">
      <w:pPr>
        <w:shd w:val="clear" w:color="auto" w:fill="FFFFFF"/>
        <w:spacing w:before="120" w:after="120" w:line="240" w:lineRule="auto"/>
      </w:pPr>
      <w:r>
        <w:rPr>
          <w:rFonts w:ascii="Times New Roman" w:eastAsia="Times New Roman" w:hAnsi="Times New Roman" w:cs="Times New Roman"/>
          <w:b/>
          <w:bCs/>
          <w:sz w:val="24"/>
          <w:szCs w:val="24"/>
          <w:lang w:eastAsia="en-AU"/>
        </w:rPr>
        <w:t>Cheryl McRae</w:t>
      </w:r>
      <w:r w:rsidR="00CF4F5B" w:rsidRPr="00CF4F5B">
        <w:rPr>
          <w:rFonts w:ascii="Times New Roman" w:eastAsia="Times New Roman" w:hAnsi="Times New Roman" w:cs="Times New Roman"/>
          <w:b/>
          <w:bCs/>
          <w:sz w:val="24"/>
          <w:szCs w:val="24"/>
          <w:lang w:eastAsia="en-AU"/>
        </w:rPr>
        <w:t>, delegate of the M</w:t>
      </w:r>
      <w:r w:rsidR="00B6146C">
        <w:rPr>
          <w:rFonts w:ascii="Times New Roman" w:eastAsia="Times New Roman" w:hAnsi="Times New Roman" w:cs="Times New Roman"/>
          <w:b/>
          <w:bCs/>
          <w:sz w:val="24"/>
          <w:szCs w:val="24"/>
          <w:lang w:eastAsia="en-AU"/>
        </w:rPr>
        <w:t>inister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for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Health</w:t>
      </w:r>
    </w:p>
    <w:sectPr w:rsidR="00D4165E" w:rsidSect="00ED7AC0">
      <w:footerReference w:type="default" r:id="rId1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89" w:rsidRDefault="006C1689" w:rsidP="00A95CCB">
      <w:pPr>
        <w:spacing w:after="0" w:line="240" w:lineRule="auto"/>
      </w:pPr>
      <w:r>
        <w:separator/>
      </w:r>
    </w:p>
  </w:endnote>
  <w:endnote w:type="continuationSeparator" w:id="0">
    <w:p w:rsidR="006C1689" w:rsidRDefault="006C1689" w:rsidP="00A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689" w:rsidRPr="00C41C90" w:rsidRDefault="006C1689" w:rsidP="00C41C90">
    <w:pPr>
      <w:pStyle w:val="Footer"/>
      <w:jc w:val="right"/>
      <w:rPr>
        <w:rFonts w:ascii="Times New Roman" w:hAnsi="Times New Roman" w:cs="Times New Roman"/>
      </w:rPr>
    </w:pPr>
    <w:r w:rsidRPr="00C41C90">
      <w:rPr>
        <w:rFonts w:ascii="Times New Roman" w:hAnsi="Times New Roman" w:cs="Times New Roman"/>
      </w:rPr>
      <w:fldChar w:fldCharType="begin"/>
    </w:r>
    <w:r w:rsidRPr="00C41C90">
      <w:rPr>
        <w:rFonts w:ascii="Times New Roman" w:hAnsi="Times New Roman" w:cs="Times New Roman"/>
      </w:rPr>
      <w:instrText xml:space="preserve"> PAGE   \* MERGEFORMAT </w:instrText>
    </w:r>
    <w:r w:rsidRPr="00C41C90">
      <w:rPr>
        <w:rFonts w:ascii="Times New Roman" w:hAnsi="Times New Roman" w:cs="Times New Roman"/>
      </w:rPr>
      <w:fldChar w:fldCharType="separate"/>
    </w:r>
    <w:r w:rsidR="00A535D4">
      <w:rPr>
        <w:rFonts w:ascii="Times New Roman" w:hAnsi="Times New Roman" w:cs="Times New Roman"/>
        <w:noProof/>
      </w:rPr>
      <w:t>10</w:t>
    </w:r>
    <w:r w:rsidRPr="00C41C9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89" w:rsidRDefault="006C1689" w:rsidP="00A95CCB">
      <w:pPr>
        <w:spacing w:after="0" w:line="240" w:lineRule="auto"/>
      </w:pPr>
      <w:r>
        <w:separator/>
      </w:r>
    </w:p>
  </w:footnote>
  <w:footnote w:type="continuationSeparator" w:id="0">
    <w:p w:rsidR="006C1689" w:rsidRDefault="006C1689" w:rsidP="00A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36"/>
    <w:multiLevelType w:val="hybridMultilevel"/>
    <w:tmpl w:val="AB28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966CC"/>
    <w:multiLevelType w:val="hybridMultilevel"/>
    <w:tmpl w:val="EAF0B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8333D22"/>
    <w:multiLevelType w:val="hybridMultilevel"/>
    <w:tmpl w:val="25161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87455D"/>
    <w:multiLevelType w:val="hybridMultilevel"/>
    <w:tmpl w:val="FBA6CA18"/>
    <w:lvl w:ilvl="0" w:tplc="56DE01A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5E397FC3"/>
    <w:multiLevelType w:val="hybridMultilevel"/>
    <w:tmpl w:val="73723C44"/>
    <w:lvl w:ilvl="0" w:tplc="8C2A978E">
      <w:start w:val="1"/>
      <w:numFmt w:val="bullet"/>
      <w:lvlText w:val=""/>
      <w:lvlJc w:val="left"/>
      <w:pPr>
        <w:ind w:left="720" w:hanging="360"/>
      </w:pPr>
      <w:rPr>
        <w:rFonts w:ascii="Symbol" w:hAnsi="Symbol" w:hint="default"/>
        <w:color w:val="auto"/>
      </w:rPr>
    </w:lvl>
    <w:lvl w:ilvl="1" w:tplc="5DF88CD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8B5346C"/>
    <w:multiLevelType w:val="hybridMultilevel"/>
    <w:tmpl w:val="71C06652"/>
    <w:lvl w:ilvl="0" w:tplc="0C090001">
      <w:start w:val="1"/>
      <w:numFmt w:val="bullet"/>
      <w:lvlText w:val=""/>
      <w:lvlJc w:val="left"/>
      <w:pPr>
        <w:ind w:left="720" w:hanging="360"/>
      </w:pPr>
      <w:rPr>
        <w:rFonts w:ascii="Symbol" w:hAnsi="Symbol" w:hint="default"/>
      </w:rPr>
    </w:lvl>
    <w:lvl w:ilvl="1" w:tplc="A47486CA">
      <w:numFmt w:val="bullet"/>
      <w:lvlText w:val="·"/>
      <w:lvlJc w:val="left"/>
      <w:pPr>
        <w:ind w:left="1545" w:hanging="465"/>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C5800CE"/>
    <w:multiLevelType w:val="hybridMultilevel"/>
    <w:tmpl w:val="082257B0"/>
    <w:lvl w:ilvl="0" w:tplc="8C2A978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5B"/>
    <w:rsid w:val="00013952"/>
    <w:rsid w:val="00054E60"/>
    <w:rsid w:val="00063F19"/>
    <w:rsid w:val="000709C0"/>
    <w:rsid w:val="00097081"/>
    <w:rsid w:val="000C7EE3"/>
    <w:rsid w:val="000D7AC6"/>
    <w:rsid w:val="000E7FDB"/>
    <w:rsid w:val="000F15EE"/>
    <w:rsid w:val="000F57E4"/>
    <w:rsid w:val="0011479B"/>
    <w:rsid w:val="00140AE9"/>
    <w:rsid w:val="001434D5"/>
    <w:rsid w:val="001722DF"/>
    <w:rsid w:val="00190510"/>
    <w:rsid w:val="00196D70"/>
    <w:rsid w:val="001B183A"/>
    <w:rsid w:val="001C099C"/>
    <w:rsid w:val="001D516D"/>
    <w:rsid w:val="001F7D15"/>
    <w:rsid w:val="00206253"/>
    <w:rsid w:val="0023303A"/>
    <w:rsid w:val="0023375F"/>
    <w:rsid w:val="002339D0"/>
    <w:rsid w:val="00242620"/>
    <w:rsid w:val="002479A6"/>
    <w:rsid w:val="002526C5"/>
    <w:rsid w:val="00260B09"/>
    <w:rsid w:val="00276E1D"/>
    <w:rsid w:val="002A2725"/>
    <w:rsid w:val="002D7DA8"/>
    <w:rsid w:val="002F37E4"/>
    <w:rsid w:val="0030062C"/>
    <w:rsid w:val="0030230B"/>
    <w:rsid w:val="003110C6"/>
    <w:rsid w:val="00332475"/>
    <w:rsid w:val="00342A86"/>
    <w:rsid w:val="003552CB"/>
    <w:rsid w:val="003712F5"/>
    <w:rsid w:val="003D0AC6"/>
    <w:rsid w:val="003D239A"/>
    <w:rsid w:val="003F5EFB"/>
    <w:rsid w:val="00406980"/>
    <w:rsid w:val="00415B00"/>
    <w:rsid w:val="004213E9"/>
    <w:rsid w:val="00427F2D"/>
    <w:rsid w:val="00431767"/>
    <w:rsid w:val="00443009"/>
    <w:rsid w:val="00451627"/>
    <w:rsid w:val="0045258A"/>
    <w:rsid w:val="00453DFC"/>
    <w:rsid w:val="004764B6"/>
    <w:rsid w:val="00476ACD"/>
    <w:rsid w:val="0048790D"/>
    <w:rsid w:val="004A25A0"/>
    <w:rsid w:val="004B7FAA"/>
    <w:rsid w:val="004D1353"/>
    <w:rsid w:val="004D275F"/>
    <w:rsid w:val="004D2FFB"/>
    <w:rsid w:val="004D78AF"/>
    <w:rsid w:val="004D7C53"/>
    <w:rsid w:val="004E2250"/>
    <w:rsid w:val="00502726"/>
    <w:rsid w:val="0051721A"/>
    <w:rsid w:val="0052163C"/>
    <w:rsid w:val="00553BEC"/>
    <w:rsid w:val="00561802"/>
    <w:rsid w:val="00583F67"/>
    <w:rsid w:val="0058784B"/>
    <w:rsid w:val="005944B1"/>
    <w:rsid w:val="005C38A8"/>
    <w:rsid w:val="005E05F6"/>
    <w:rsid w:val="005E0AB4"/>
    <w:rsid w:val="006138ED"/>
    <w:rsid w:val="00623609"/>
    <w:rsid w:val="006421CA"/>
    <w:rsid w:val="00655186"/>
    <w:rsid w:val="00672156"/>
    <w:rsid w:val="00674685"/>
    <w:rsid w:val="00694286"/>
    <w:rsid w:val="00696F31"/>
    <w:rsid w:val="006C0729"/>
    <w:rsid w:val="006C1689"/>
    <w:rsid w:val="006E55A5"/>
    <w:rsid w:val="00753681"/>
    <w:rsid w:val="007878F0"/>
    <w:rsid w:val="007A1CB2"/>
    <w:rsid w:val="007B443E"/>
    <w:rsid w:val="007D1A95"/>
    <w:rsid w:val="007D3EBD"/>
    <w:rsid w:val="007F6F1C"/>
    <w:rsid w:val="00802311"/>
    <w:rsid w:val="00842D93"/>
    <w:rsid w:val="00853DC4"/>
    <w:rsid w:val="0089344A"/>
    <w:rsid w:val="008942BC"/>
    <w:rsid w:val="008C5C7D"/>
    <w:rsid w:val="008E5B61"/>
    <w:rsid w:val="008F0733"/>
    <w:rsid w:val="009174FA"/>
    <w:rsid w:val="00922E59"/>
    <w:rsid w:val="00930DC8"/>
    <w:rsid w:val="009408D1"/>
    <w:rsid w:val="00940B0B"/>
    <w:rsid w:val="00947A9D"/>
    <w:rsid w:val="00950D68"/>
    <w:rsid w:val="00953476"/>
    <w:rsid w:val="00974449"/>
    <w:rsid w:val="00980B95"/>
    <w:rsid w:val="009B0E82"/>
    <w:rsid w:val="009C06D8"/>
    <w:rsid w:val="009D708A"/>
    <w:rsid w:val="00A2081A"/>
    <w:rsid w:val="00A46180"/>
    <w:rsid w:val="00A535D4"/>
    <w:rsid w:val="00A65DCC"/>
    <w:rsid w:val="00A719B4"/>
    <w:rsid w:val="00A757D6"/>
    <w:rsid w:val="00A75B37"/>
    <w:rsid w:val="00A95CCB"/>
    <w:rsid w:val="00AA1CA1"/>
    <w:rsid w:val="00AC39EA"/>
    <w:rsid w:val="00AC51AF"/>
    <w:rsid w:val="00AD03D9"/>
    <w:rsid w:val="00AD335D"/>
    <w:rsid w:val="00AF5312"/>
    <w:rsid w:val="00B00A28"/>
    <w:rsid w:val="00B0389C"/>
    <w:rsid w:val="00B12768"/>
    <w:rsid w:val="00B272B6"/>
    <w:rsid w:val="00B6146C"/>
    <w:rsid w:val="00B67BB0"/>
    <w:rsid w:val="00B82E7D"/>
    <w:rsid w:val="00B83CB9"/>
    <w:rsid w:val="00B86083"/>
    <w:rsid w:val="00B94E86"/>
    <w:rsid w:val="00BA23FB"/>
    <w:rsid w:val="00BA59C0"/>
    <w:rsid w:val="00BB43D6"/>
    <w:rsid w:val="00BB57A9"/>
    <w:rsid w:val="00BD329F"/>
    <w:rsid w:val="00BD5C67"/>
    <w:rsid w:val="00BF54C2"/>
    <w:rsid w:val="00C00599"/>
    <w:rsid w:val="00C064DE"/>
    <w:rsid w:val="00C201A4"/>
    <w:rsid w:val="00C268AC"/>
    <w:rsid w:val="00C41C90"/>
    <w:rsid w:val="00C4764A"/>
    <w:rsid w:val="00C60C58"/>
    <w:rsid w:val="00C622E0"/>
    <w:rsid w:val="00CA6821"/>
    <w:rsid w:val="00CB3D97"/>
    <w:rsid w:val="00CC1C9B"/>
    <w:rsid w:val="00CC3CBC"/>
    <w:rsid w:val="00CE2A65"/>
    <w:rsid w:val="00CF2A6F"/>
    <w:rsid w:val="00CF4F5B"/>
    <w:rsid w:val="00D1515A"/>
    <w:rsid w:val="00D22C3C"/>
    <w:rsid w:val="00D4165E"/>
    <w:rsid w:val="00D84FA6"/>
    <w:rsid w:val="00DB1AC1"/>
    <w:rsid w:val="00DD391B"/>
    <w:rsid w:val="00DD7357"/>
    <w:rsid w:val="00DF562F"/>
    <w:rsid w:val="00E02F15"/>
    <w:rsid w:val="00E05F8F"/>
    <w:rsid w:val="00E36EFC"/>
    <w:rsid w:val="00E50880"/>
    <w:rsid w:val="00E61C1E"/>
    <w:rsid w:val="00E72A28"/>
    <w:rsid w:val="00E81898"/>
    <w:rsid w:val="00E961F3"/>
    <w:rsid w:val="00EA2AED"/>
    <w:rsid w:val="00EB04DA"/>
    <w:rsid w:val="00EB28F7"/>
    <w:rsid w:val="00EB29B8"/>
    <w:rsid w:val="00EC28D3"/>
    <w:rsid w:val="00ED7861"/>
    <w:rsid w:val="00ED7AC0"/>
    <w:rsid w:val="00ED7DEE"/>
    <w:rsid w:val="00F05C19"/>
    <w:rsid w:val="00F100A9"/>
    <w:rsid w:val="00F50922"/>
    <w:rsid w:val="00F53DBB"/>
    <w:rsid w:val="00F55011"/>
    <w:rsid w:val="00F8308B"/>
    <w:rsid w:val="00F836E9"/>
    <w:rsid w:val="00F858C5"/>
    <w:rsid w:val="00FA27CF"/>
    <w:rsid w:val="00FB1B7D"/>
    <w:rsid w:val="00FC4683"/>
    <w:rsid w:val="00FD6BD9"/>
    <w:rsid w:val="00FE3DBE"/>
    <w:rsid w:val="00FE6A88"/>
    <w:rsid w:val="00FF0C9F"/>
    <w:rsid w:val="00FF5478"/>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 w:type="character" w:styleId="FollowedHyperlink">
    <w:name w:val="FollowedHyperlink"/>
    <w:basedOn w:val="DefaultParagraphFont"/>
    <w:uiPriority w:val="99"/>
    <w:semiHidden/>
    <w:unhideWhenUsed/>
    <w:rsid w:val="00B860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 w:type="character" w:styleId="FollowedHyperlink">
    <w:name w:val="FollowedHyperlink"/>
    <w:basedOn w:val="DefaultParagraphFont"/>
    <w:uiPriority w:val="99"/>
    <w:semiHidden/>
    <w:unhideWhenUsed/>
    <w:rsid w:val="00B86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5130">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0"/>
          <w:marRight w:val="0"/>
          <w:marTop w:val="0"/>
          <w:marBottom w:val="0"/>
          <w:divBdr>
            <w:top w:val="none" w:sz="0" w:space="0" w:color="auto"/>
            <w:left w:val="none" w:sz="0" w:space="0" w:color="auto"/>
            <w:bottom w:val="none" w:sz="0" w:space="0" w:color="auto"/>
            <w:right w:val="none" w:sz="0" w:space="0" w:color="auto"/>
          </w:divBdr>
          <w:divsChild>
            <w:div w:id="157157093">
              <w:marLeft w:val="0"/>
              <w:marRight w:val="0"/>
              <w:marTop w:val="0"/>
              <w:marBottom w:val="0"/>
              <w:divBdr>
                <w:top w:val="none" w:sz="0" w:space="0" w:color="auto"/>
                <w:left w:val="none" w:sz="0" w:space="0" w:color="auto"/>
                <w:bottom w:val="none" w:sz="0" w:space="0" w:color="auto"/>
                <w:right w:val="none" w:sz="0" w:space="0" w:color="auto"/>
              </w:divBdr>
              <w:divsChild>
                <w:div w:id="645475578">
                  <w:marLeft w:val="0"/>
                  <w:marRight w:val="0"/>
                  <w:marTop w:val="0"/>
                  <w:marBottom w:val="0"/>
                  <w:divBdr>
                    <w:top w:val="none" w:sz="0" w:space="0" w:color="auto"/>
                    <w:left w:val="none" w:sz="0" w:space="0" w:color="auto"/>
                    <w:bottom w:val="none" w:sz="0" w:space="0" w:color="auto"/>
                    <w:right w:val="none" w:sz="0" w:space="0" w:color="auto"/>
                  </w:divBdr>
                  <w:divsChild>
                    <w:div w:id="2113012917">
                      <w:marLeft w:val="0"/>
                      <w:marRight w:val="0"/>
                      <w:marTop w:val="0"/>
                      <w:marBottom w:val="0"/>
                      <w:divBdr>
                        <w:top w:val="none" w:sz="0" w:space="0" w:color="auto"/>
                        <w:left w:val="none" w:sz="0" w:space="0" w:color="auto"/>
                        <w:bottom w:val="none" w:sz="0" w:space="0" w:color="auto"/>
                        <w:right w:val="none" w:sz="0" w:space="0" w:color="auto"/>
                      </w:divBdr>
                      <w:divsChild>
                        <w:div w:id="1683363024">
                          <w:marLeft w:val="0"/>
                          <w:marRight w:val="0"/>
                          <w:marTop w:val="0"/>
                          <w:marBottom w:val="0"/>
                          <w:divBdr>
                            <w:top w:val="none" w:sz="0" w:space="0" w:color="auto"/>
                            <w:left w:val="none" w:sz="0" w:space="0" w:color="auto"/>
                            <w:bottom w:val="none" w:sz="0" w:space="0" w:color="auto"/>
                            <w:right w:val="none" w:sz="0" w:space="0" w:color="auto"/>
                          </w:divBdr>
                          <w:divsChild>
                            <w:div w:id="864706643">
                              <w:marLeft w:val="0"/>
                              <w:marRight w:val="0"/>
                              <w:marTop w:val="0"/>
                              <w:marBottom w:val="0"/>
                              <w:divBdr>
                                <w:top w:val="none" w:sz="0" w:space="0" w:color="auto"/>
                                <w:left w:val="none" w:sz="0" w:space="0" w:color="auto"/>
                                <w:bottom w:val="none" w:sz="0" w:space="0" w:color="auto"/>
                                <w:right w:val="none" w:sz="0" w:space="0" w:color="auto"/>
                              </w:divBdr>
                              <w:divsChild>
                                <w:div w:id="1413239078">
                                  <w:marLeft w:val="0"/>
                                  <w:marRight w:val="0"/>
                                  <w:marTop w:val="0"/>
                                  <w:marBottom w:val="0"/>
                                  <w:divBdr>
                                    <w:top w:val="none" w:sz="0" w:space="0" w:color="auto"/>
                                    <w:left w:val="none" w:sz="0" w:space="0" w:color="auto"/>
                                    <w:bottom w:val="none" w:sz="0" w:space="0" w:color="auto"/>
                                    <w:right w:val="none" w:sz="0" w:space="0" w:color="auto"/>
                                  </w:divBdr>
                                  <w:divsChild>
                                    <w:div w:id="130101791">
                                      <w:marLeft w:val="0"/>
                                      <w:marRight w:val="0"/>
                                      <w:marTop w:val="0"/>
                                      <w:marBottom w:val="0"/>
                                      <w:divBdr>
                                        <w:top w:val="none" w:sz="0" w:space="0" w:color="auto"/>
                                        <w:left w:val="none" w:sz="0" w:space="0" w:color="auto"/>
                                        <w:bottom w:val="none" w:sz="0" w:space="0" w:color="auto"/>
                                        <w:right w:val="none" w:sz="0" w:space="0" w:color="auto"/>
                                      </w:divBdr>
                                      <w:divsChild>
                                        <w:div w:id="801073336">
                                          <w:marLeft w:val="0"/>
                                          <w:marRight w:val="0"/>
                                          <w:marTop w:val="0"/>
                                          <w:marBottom w:val="0"/>
                                          <w:divBdr>
                                            <w:top w:val="none" w:sz="0" w:space="0" w:color="auto"/>
                                            <w:left w:val="none" w:sz="0" w:space="0" w:color="auto"/>
                                            <w:bottom w:val="none" w:sz="0" w:space="0" w:color="auto"/>
                                            <w:right w:val="none" w:sz="0" w:space="0" w:color="auto"/>
                                          </w:divBdr>
                                          <w:divsChild>
                                            <w:div w:id="165679133">
                                              <w:marLeft w:val="0"/>
                                              <w:marRight w:val="0"/>
                                              <w:marTop w:val="0"/>
                                              <w:marBottom w:val="0"/>
                                              <w:divBdr>
                                                <w:top w:val="none" w:sz="0" w:space="0" w:color="auto"/>
                                                <w:left w:val="none" w:sz="0" w:space="0" w:color="auto"/>
                                                <w:bottom w:val="none" w:sz="0" w:space="0" w:color="auto"/>
                                                <w:right w:val="none" w:sz="0" w:space="0" w:color="auto"/>
                                              </w:divBdr>
                                              <w:divsChild>
                                                <w:div w:id="1919097111">
                                                  <w:marLeft w:val="0"/>
                                                  <w:marRight w:val="0"/>
                                                  <w:marTop w:val="0"/>
                                                  <w:marBottom w:val="0"/>
                                                  <w:divBdr>
                                                    <w:top w:val="none" w:sz="0" w:space="0" w:color="auto"/>
                                                    <w:left w:val="none" w:sz="0" w:space="0" w:color="auto"/>
                                                    <w:bottom w:val="none" w:sz="0" w:space="0" w:color="auto"/>
                                                    <w:right w:val="none" w:sz="0" w:space="0" w:color="auto"/>
                                                  </w:divBdr>
                                                  <w:divsChild>
                                                    <w:div w:id="1650206342">
                                                      <w:marLeft w:val="0"/>
                                                      <w:marRight w:val="0"/>
                                                      <w:marTop w:val="0"/>
                                                      <w:marBottom w:val="0"/>
                                                      <w:divBdr>
                                                        <w:top w:val="none" w:sz="0" w:space="0" w:color="auto"/>
                                                        <w:left w:val="none" w:sz="0" w:space="0" w:color="auto"/>
                                                        <w:bottom w:val="none" w:sz="0" w:space="0" w:color="auto"/>
                                                        <w:right w:val="none" w:sz="0" w:space="0" w:color="auto"/>
                                                      </w:divBdr>
                                                      <w:divsChild>
                                                        <w:div w:id="1162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oodchemicalscodex.org" TargetMode="External"/><Relationship Id="rId17" Type="http://schemas.openxmlformats.org/officeDocument/2006/relationships/hyperlink" Target="https://openlibrary.org/books/OL22071008M/European_pharmacopoeia" TargetMode="External"/><Relationship Id="rId2" Type="http://schemas.openxmlformats.org/officeDocument/2006/relationships/numbering" Target="numbering.xml"/><Relationship Id="rId16" Type="http://schemas.openxmlformats.org/officeDocument/2006/relationships/hyperlink" Target="https://trove.nl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org/usp-nf" TargetMode="External"/><Relationship Id="rId5" Type="http://schemas.openxmlformats.org/officeDocument/2006/relationships/settings" Target="settings.xml"/><Relationship Id="rId15" Type="http://schemas.openxmlformats.org/officeDocument/2006/relationships/hyperlink" Target="http://rehydrate.org/ors/expert-consultation.html" TargetMode="External"/><Relationship Id="rId10" Type="http://schemas.openxmlformats.org/officeDocument/2006/relationships/hyperlink" Target="http://online.pheur.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harmacopoeia.com" TargetMode="External"/><Relationship Id="rId14"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BC65-DFB5-42B9-A0AB-8905153E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Deeble, Susan</dc:creator>
  <cp:lastModifiedBy>FULLER, Amanda</cp:lastModifiedBy>
  <cp:revision>43</cp:revision>
  <cp:lastPrinted>2018-12-03T22:51:00Z</cp:lastPrinted>
  <dcterms:created xsi:type="dcterms:W3CDTF">2018-11-01T22:33:00Z</dcterms:created>
  <dcterms:modified xsi:type="dcterms:W3CDTF">2018-12-04T00:01:00Z</dcterms:modified>
</cp:coreProperties>
</file>