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FA47C" w14:textId="234AEBAB" w:rsidR="00F109D4" w:rsidRPr="00B57A6B" w:rsidRDefault="00F109D4" w:rsidP="00647BB7">
      <w:pPr>
        <w:pStyle w:val="Heading1"/>
        <w:spacing w:after="360"/>
        <w:rPr>
          <w:rFonts w:ascii="Times New Roman" w:hAnsi="Times New Roman"/>
        </w:rPr>
      </w:pPr>
      <w:r w:rsidRPr="00B57A6B">
        <w:rPr>
          <w:rFonts w:ascii="Times New Roman" w:hAnsi="Times New Roman"/>
        </w:rPr>
        <w:t xml:space="preserve">EXPLANATORY </w:t>
      </w:r>
      <w:r w:rsidR="00667D29" w:rsidRPr="00B57A6B">
        <w:rPr>
          <w:rFonts w:ascii="Times New Roman" w:hAnsi="Times New Roman"/>
        </w:rPr>
        <w:t>STATEMENT</w:t>
      </w:r>
    </w:p>
    <w:p w14:paraId="20C6159F" w14:textId="590DE740" w:rsidR="007662C7" w:rsidRPr="005E56F8" w:rsidRDefault="00F109D4" w:rsidP="003E1CE3">
      <w:pPr>
        <w:pStyle w:val="Heading2"/>
        <w:jc w:val="center"/>
        <w:rPr>
          <w:rFonts w:ascii="Times New Roman" w:hAnsi="Times New Roman"/>
        </w:rPr>
      </w:pPr>
      <w:r w:rsidRPr="005E56F8">
        <w:rPr>
          <w:rFonts w:ascii="Times New Roman" w:hAnsi="Times New Roman"/>
        </w:rPr>
        <w:t xml:space="preserve">Issued by authority of the </w:t>
      </w:r>
      <w:r w:rsidR="006673A5">
        <w:rPr>
          <w:rFonts w:ascii="Times New Roman" w:hAnsi="Times New Roman"/>
        </w:rPr>
        <w:t xml:space="preserve">Assistant </w:t>
      </w:r>
      <w:r w:rsidR="001C7014" w:rsidRPr="005E56F8">
        <w:rPr>
          <w:rFonts w:ascii="Times New Roman" w:hAnsi="Times New Roman"/>
        </w:rPr>
        <w:t>Treasurer</w:t>
      </w:r>
    </w:p>
    <w:p w14:paraId="00857AB3" w14:textId="11DF7734" w:rsidR="000B3E01" w:rsidRDefault="000B3E01" w:rsidP="001C7014">
      <w:pPr>
        <w:jc w:val="center"/>
        <w:rPr>
          <w:rFonts w:ascii="Times New Roman" w:hAnsi="Times New Roman"/>
          <w:i/>
          <w:sz w:val="24"/>
        </w:rPr>
      </w:pPr>
      <w:r>
        <w:rPr>
          <w:rFonts w:ascii="Times New Roman" w:hAnsi="Times New Roman"/>
          <w:i/>
          <w:sz w:val="24"/>
        </w:rPr>
        <w:t xml:space="preserve">A New Tax System (Australian Business Number) </w:t>
      </w:r>
      <w:r w:rsidR="002C4AAF">
        <w:rPr>
          <w:rFonts w:ascii="Times New Roman" w:hAnsi="Times New Roman"/>
          <w:i/>
          <w:sz w:val="24"/>
        </w:rPr>
        <w:t>Act</w:t>
      </w:r>
      <w:r>
        <w:rPr>
          <w:rFonts w:ascii="Times New Roman" w:hAnsi="Times New Roman"/>
          <w:i/>
          <w:sz w:val="24"/>
        </w:rPr>
        <w:t> 1999</w:t>
      </w:r>
    </w:p>
    <w:p w14:paraId="59C024D4" w14:textId="1BC0E59E" w:rsidR="001C7014" w:rsidRPr="00E766D9" w:rsidRDefault="001C7014" w:rsidP="001C7014">
      <w:pPr>
        <w:jc w:val="center"/>
        <w:rPr>
          <w:rFonts w:ascii="Times New Roman" w:hAnsi="Times New Roman"/>
          <w:i/>
          <w:sz w:val="24"/>
        </w:rPr>
      </w:pPr>
      <w:r w:rsidRPr="00E766D9">
        <w:rPr>
          <w:rFonts w:ascii="Times New Roman" w:hAnsi="Times New Roman"/>
          <w:i/>
          <w:sz w:val="24"/>
        </w:rPr>
        <w:t>Competition and Consumer Act 2010</w:t>
      </w:r>
    </w:p>
    <w:p w14:paraId="030798AF" w14:textId="57382F11" w:rsidR="00E665EE" w:rsidRDefault="001C7014" w:rsidP="006673A5">
      <w:pPr>
        <w:jc w:val="center"/>
        <w:rPr>
          <w:rFonts w:ascii="Times New Roman" w:hAnsi="Times New Roman"/>
          <w:i/>
          <w:sz w:val="24"/>
        </w:rPr>
      </w:pPr>
      <w:r w:rsidRPr="00E766D9">
        <w:rPr>
          <w:rFonts w:ascii="Times New Roman" w:hAnsi="Times New Roman"/>
          <w:i/>
          <w:sz w:val="24"/>
        </w:rPr>
        <w:t>Corporations Act 2001</w:t>
      </w:r>
    </w:p>
    <w:p w14:paraId="6F773586" w14:textId="088404C7" w:rsidR="000B3E01" w:rsidRPr="006673A5" w:rsidRDefault="000B3E01" w:rsidP="006673A5">
      <w:pPr>
        <w:jc w:val="center"/>
        <w:rPr>
          <w:rFonts w:ascii="Times New Roman" w:hAnsi="Times New Roman"/>
          <w:i/>
          <w:sz w:val="24"/>
        </w:rPr>
      </w:pPr>
      <w:r>
        <w:rPr>
          <w:rFonts w:ascii="Times New Roman" w:hAnsi="Times New Roman"/>
          <w:i/>
          <w:sz w:val="24"/>
        </w:rPr>
        <w:t xml:space="preserve">Income Tax Assessment </w:t>
      </w:r>
      <w:r w:rsidR="002C4AAF">
        <w:rPr>
          <w:rFonts w:ascii="Times New Roman" w:hAnsi="Times New Roman"/>
          <w:i/>
          <w:sz w:val="24"/>
        </w:rPr>
        <w:t>Act 1997</w:t>
      </w:r>
    </w:p>
    <w:p w14:paraId="706EEC7B" w14:textId="22FBC4D5" w:rsidR="006673A5" w:rsidRDefault="001C7014" w:rsidP="00425D12">
      <w:pPr>
        <w:jc w:val="center"/>
        <w:rPr>
          <w:rFonts w:ascii="Times New Roman" w:hAnsi="Times New Roman"/>
          <w:i/>
          <w:sz w:val="24"/>
        </w:rPr>
      </w:pPr>
      <w:r w:rsidRPr="00E766D9">
        <w:rPr>
          <w:rFonts w:ascii="Times New Roman" w:hAnsi="Times New Roman"/>
          <w:i/>
          <w:sz w:val="24"/>
        </w:rPr>
        <w:t>Superannuation Industry (Supervision) Act 1993</w:t>
      </w:r>
    </w:p>
    <w:p w14:paraId="03CE78C5" w14:textId="77777777" w:rsidR="00425D12" w:rsidRDefault="00425D12" w:rsidP="00425D12">
      <w:pPr>
        <w:jc w:val="center"/>
        <w:rPr>
          <w:rFonts w:ascii="Times New Roman" w:hAnsi="Times New Roman"/>
          <w:i/>
          <w:sz w:val="24"/>
        </w:rPr>
      </w:pPr>
    </w:p>
    <w:p w14:paraId="088ED0C6" w14:textId="1E03C56B" w:rsidR="00F109D4" w:rsidRPr="00E766D9" w:rsidRDefault="001C7014" w:rsidP="00AA1689">
      <w:pPr>
        <w:tabs>
          <w:tab w:val="left" w:pos="1418"/>
        </w:tabs>
        <w:spacing w:after="240"/>
        <w:jc w:val="center"/>
        <w:rPr>
          <w:rFonts w:ascii="Times New Roman" w:hAnsi="Times New Roman"/>
          <w:i/>
          <w:sz w:val="24"/>
        </w:rPr>
      </w:pPr>
      <w:r w:rsidRPr="00E766D9">
        <w:rPr>
          <w:rFonts w:ascii="Times New Roman" w:hAnsi="Times New Roman"/>
          <w:i/>
          <w:sz w:val="24"/>
        </w:rPr>
        <w:t>Treasury Laws Amendment (Miscellaneous Amendments) Regulation</w:t>
      </w:r>
      <w:r w:rsidR="00534EFE">
        <w:rPr>
          <w:rFonts w:ascii="Times New Roman" w:hAnsi="Times New Roman"/>
          <w:i/>
          <w:sz w:val="24"/>
        </w:rPr>
        <w:t>s</w:t>
      </w:r>
      <w:r w:rsidRPr="00E766D9">
        <w:rPr>
          <w:rFonts w:ascii="Times New Roman" w:hAnsi="Times New Roman"/>
          <w:i/>
          <w:sz w:val="24"/>
        </w:rPr>
        <w:t xml:space="preserve"> 2018</w:t>
      </w:r>
    </w:p>
    <w:p w14:paraId="683E0720" w14:textId="77777777" w:rsidR="00A94C3C" w:rsidRPr="00A94C3C" w:rsidRDefault="00A94C3C" w:rsidP="00A94C3C">
      <w:pPr>
        <w:spacing w:before="240"/>
        <w:rPr>
          <w:rFonts w:ascii="Times New Roman" w:hAnsi="Times New Roman"/>
          <w:sz w:val="24"/>
          <w:szCs w:val="24"/>
        </w:rPr>
      </w:pPr>
      <w:r w:rsidRPr="00A94C3C">
        <w:rPr>
          <w:rFonts w:ascii="Times New Roman" w:hAnsi="Times New Roman"/>
          <w:sz w:val="24"/>
          <w:szCs w:val="24"/>
        </w:rPr>
        <w:t xml:space="preserve">Section 31 of the </w:t>
      </w:r>
      <w:r w:rsidRPr="00A94C3C">
        <w:rPr>
          <w:rFonts w:ascii="Times New Roman" w:hAnsi="Times New Roman"/>
          <w:i/>
          <w:sz w:val="24"/>
          <w:szCs w:val="24"/>
        </w:rPr>
        <w:t xml:space="preserve">A New Tax System (Australian Business Number) Act 1999 </w:t>
      </w:r>
      <w:r w:rsidRPr="00A94C3C">
        <w:rPr>
          <w:rFonts w:ascii="Times New Roman" w:hAnsi="Times New Roman"/>
          <w:sz w:val="24"/>
          <w:szCs w:val="24"/>
        </w:rPr>
        <w:t xml:space="preserve">(the ABN Act), section 172 of the </w:t>
      </w:r>
      <w:r w:rsidRPr="00A94C3C">
        <w:rPr>
          <w:rFonts w:ascii="Times New Roman" w:hAnsi="Times New Roman"/>
          <w:i/>
          <w:sz w:val="24"/>
          <w:szCs w:val="24"/>
        </w:rPr>
        <w:t xml:space="preserve">Competition and Consumer Act 2010 </w:t>
      </w:r>
      <w:r w:rsidRPr="00A94C3C">
        <w:rPr>
          <w:rFonts w:ascii="Times New Roman" w:hAnsi="Times New Roman"/>
          <w:sz w:val="24"/>
          <w:szCs w:val="24"/>
        </w:rPr>
        <w:t xml:space="preserve">(the CC Act), section 909-1 of the </w:t>
      </w:r>
      <w:r w:rsidRPr="00A94C3C">
        <w:rPr>
          <w:rFonts w:ascii="Times New Roman" w:hAnsi="Times New Roman"/>
          <w:i/>
          <w:sz w:val="24"/>
          <w:szCs w:val="24"/>
        </w:rPr>
        <w:t xml:space="preserve">Income Tax Assessment Act 1997 </w:t>
      </w:r>
      <w:r w:rsidRPr="00A94C3C">
        <w:rPr>
          <w:rFonts w:ascii="Times New Roman" w:hAnsi="Times New Roman"/>
          <w:sz w:val="24"/>
          <w:szCs w:val="24"/>
        </w:rPr>
        <w:t xml:space="preserve">(ITA Act), and section 353 of the </w:t>
      </w:r>
      <w:r w:rsidRPr="00A94C3C">
        <w:rPr>
          <w:rFonts w:ascii="Times New Roman" w:hAnsi="Times New Roman"/>
          <w:i/>
          <w:sz w:val="24"/>
          <w:szCs w:val="24"/>
        </w:rPr>
        <w:t>Superannuation Industry (Supervision) Act 1993</w:t>
      </w:r>
      <w:r w:rsidRPr="00A94C3C">
        <w:rPr>
          <w:rFonts w:ascii="Times New Roman" w:hAnsi="Times New Roman"/>
          <w:sz w:val="24"/>
          <w:szCs w:val="24"/>
        </w:rPr>
        <w:t xml:space="preserve"> (the SIS Act) provide that the Governor-General may make regulations prescribing matters required or permitted by those Acts to be prescribed, or necessary or convenient to be prescribed for carrying out or giving effect to those Acts. </w:t>
      </w:r>
    </w:p>
    <w:p w14:paraId="2EA45302" w14:textId="77777777" w:rsidR="00A94C3C" w:rsidRPr="00A94C3C" w:rsidRDefault="00A94C3C" w:rsidP="00A94C3C">
      <w:pPr>
        <w:spacing w:before="240"/>
        <w:rPr>
          <w:rFonts w:ascii="Times New Roman" w:hAnsi="Times New Roman"/>
          <w:sz w:val="24"/>
          <w:szCs w:val="24"/>
        </w:rPr>
      </w:pPr>
      <w:r w:rsidRPr="00A94C3C">
        <w:rPr>
          <w:rFonts w:ascii="Times New Roman" w:hAnsi="Times New Roman"/>
          <w:sz w:val="24"/>
          <w:szCs w:val="24"/>
        </w:rPr>
        <w:t xml:space="preserve">Section 926B of the </w:t>
      </w:r>
      <w:r w:rsidRPr="00A94C3C">
        <w:rPr>
          <w:rFonts w:ascii="Times New Roman" w:hAnsi="Times New Roman"/>
          <w:i/>
          <w:sz w:val="24"/>
          <w:szCs w:val="24"/>
        </w:rPr>
        <w:t>Corporations Act 2001</w:t>
      </w:r>
      <w:r w:rsidRPr="00A94C3C">
        <w:rPr>
          <w:rFonts w:ascii="Times New Roman" w:hAnsi="Times New Roman"/>
          <w:sz w:val="24"/>
          <w:szCs w:val="24"/>
        </w:rPr>
        <w:t xml:space="preserve"> (the Corporations Act) provides that regulations may be made to omit, modify or vary specified provisions in Part 7.6 of the Corporations Act.</w:t>
      </w:r>
    </w:p>
    <w:p w14:paraId="71113B48" w14:textId="0186C8C3" w:rsidR="00A94C3C" w:rsidRPr="00A94C3C" w:rsidRDefault="00A94C3C" w:rsidP="00A94C3C">
      <w:pPr>
        <w:spacing w:before="240"/>
        <w:rPr>
          <w:rFonts w:ascii="Times New Roman" w:hAnsi="Times New Roman"/>
          <w:sz w:val="24"/>
          <w:szCs w:val="24"/>
        </w:rPr>
      </w:pPr>
      <w:r w:rsidRPr="00A94C3C">
        <w:rPr>
          <w:rFonts w:ascii="Times New Roman" w:hAnsi="Times New Roman"/>
          <w:sz w:val="24"/>
          <w:szCs w:val="24"/>
        </w:rPr>
        <w:t xml:space="preserve">The purpose of the </w:t>
      </w:r>
      <w:r w:rsidRPr="00A94C3C">
        <w:rPr>
          <w:rFonts w:ascii="Times New Roman" w:hAnsi="Times New Roman"/>
          <w:i/>
          <w:sz w:val="24"/>
          <w:szCs w:val="24"/>
        </w:rPr>
        <w:t>Treasury Laws Amendment (Miscellaneous Amendments) Regulations 2018</w:t>
      </w:r>
      <w:r w:rsidRPr="00A94C3C">
        <w:rPr>
          <w:rFonts w:ascii="Times New Roman" w:hAnsi="Times New Roman"/>
          <w:sz w:val="24"/>
          <w:szCs w:val="24"/>
        </w:rPr>
        <w:t xml:space="preserve"> (the Regulations) is to make a number of miscellaneous amendments to the abovementioned competition, corporations, taxation and superannuation laws. These amendments are part of the Government’s commitment to the care and maintenance of the statute book.</w:t>
      </w:r>
    </w:p>
    <w:p w14:paraId="3D1C24E7" w14:textId="7BC5AB34" w:rsidR="00A94C3C" w:rsidRPr="00A94C3C" w:rsidRDefault="00A94C3C" w:rsidP="00A94C3C">
      <w:pPr>
        <w:spacing w:before="240"/>
        <w:rPr>
          <w:rFonts w:ascii="Times New Roman" w:hAnsi="Times New Roman"/>
          <w:sz w:val="24"/>
          <w:szCs w:val="24"/>
        </w:rPr>
      </w:pPr>
      <w:r w:rsidRPr="00A94C3C">
        <w:rPr>
          <w:rFonts w:ascii="Times New Roman" w:hAnsi="Times New Roman"/>
          <w:sz w:val="24"/>
          <w:szCs w:val="24"/>
        </w:rPr>
        <w:t xml:space="preserve">The amendments in the Regulations correct technical and drafting defects, and remove anomalies and inoperative provisions in the </w:t>
      </w:r>
      <w:r w:rsidRPr="00A94C3C">
        <w:rPr>
          <w:rFonts w:ascii="Times New Roman" w:hAnsi="Times New Roman"/>
          <w:i/>
          <w:sz w:val="24"/>
          <w:szCs w:val="24"/>
        </w:rPr>
        <w:t xml:space="preserve">A New Tax System (Australian Business Number) Regulations 1999 </w:t>
      </w:r>
      <w:r w:rsidRPr="00A94C3C">
        <w:rPr>
          <w:rFonts w:ascii="Times New Roman" w:hAnsi="Times New Roman"/>
          <w:sz w:val="24"/>
          <w:szCs w:val="24"/>
        </w:rPr>
        <w:t xml:space="preserve">(the ABN Regulations), the </w:t>
      </w:r>
      <w:r w:rsidRPr="00A94C3C">
        <w:rPr>
          <w:rFonts w:ascii="Times New Roman" w:hAnsi="Times New Roman"/>
          <w:i/>
          <w:sz w:val="24"/>
          <w:szCs w:val="24"/>
        </w:rPr>
        <w:t xml:space="preserve">Competition and Consumer Regulations 2010 </w:t>
      </w:r>
      <w:r w:rsidRPr="00A94C3C">
        <w:rPr>
          <w:rFonts w:ascii="Times New Roman" w:hAnsi="Times New Roman"/>
          <w:sz w:val="24"/>
          <w:szCs w:val="24"/>
        </w:rPr>
        <w:t>(the Competition Regulations),</w:t>
      </w:r>
      <w:r w:rsidRPr="00A94C3C">
        <w:rPr>
          <w:rFonts w:ascii="Times New Roman" w:hAnsi="Times New Roman"/>
          <w:i/>
          <w:sz w:val="24"/>
          <w:szCs w:val="24"/>
        </w:rPr>
        <w:t xml:space="preserve"> </w:t>
      </w:r>
      <w:r w:rsidRPr="00A94C3C">
        <w:rPr>
          <w:rFonts w:ascii="Times New Roman" w:hAnsi="Times New Roman"/>
          <w:sz w:val="24"/>
          <w:szCs w:val="24"/>
        </w:rPr>
        <w:t xml:space="preserve">the </w:t>
      </w:r>
      <w:r w:rsidRPr="00A94C3C">
        <w:rPr>
          <w:rFonts w:ascii="Times New Roman" w:hAnsi="Times New Roman"/>
          <w:i/>
          <w:sz w:val="24"/>
          <w:szCs w:val="24"/>
        </w:rPr>
        <w:t xml:space="preserve">Corporations Regulations 2001 </w:t>
      </w:r>
      <w:r w:rsidRPr="00A94C3C">
        <w:rPr>
          <w:rFonts w:ascii="Times New Roman" w:hAnsi="Times New Roman"/>
          <w:sz w:val="24"/>
          <w:szCs w:val="24"/>
        </w:rPr>
        <w:t>(the Corporations Regulations),</w:t>
      </w:r>
      <w:r w:rsidRPr="00A94C3C">
        <w:rPr>
          <w:rFonts w:ascii="Times New Roman" w:hAnsi="Times New Roman"/>
          <w:i/>
          <w:sz w:val="24"/>
          <w:szCs w:val="24"/>
        </w:rPr>
        <w:t xml:space="preserve"> Income Tax Assessment Regulations 1997</w:t>
      </w:r>
      <w:r w:rsidRPr="00A94C3C">
        <w:rPr>
          <w:rFonts w:ascii="Times New Roman" w:hAnsi="Times New Roman"/>
          <w:sz w:val="24"/>
          <w:szCs w:val="24"/>
        </w:rPr>
        <w:t xml:space="preserve"> (ITAR 1997) and the </w:t>
      </w:r>
      <w:r w:rsidRPr="00A94C3C">
        <w:rPr>
          <w:rFonts w:ascii="Times New Roman" w:hAnsi="Times New Roman"/>
          <w:i/>
          <w:sz w:val="24"/>
          <w:szCs w:val="24"/>
        </w:rPr>
        <w:t>Superannuation Industry (Supervision) (Transitional Provisions) Regulations 1993</w:t>
      </w:r>
      <w:r w:rsidRPr="00A94C3C">
        <w:rPr>
          <w:rFonts w:ascii="Times New Roman" w:hAnsi="Times New Roman"/>
          <w:sz w:val="24"/>
          <w:szCs w:val="24"/>
        </w:rPr>
        <w:t>. They also ensure that the law continues to operate as intended.</w:t>
      </w:r>
    </w:p>
    <w:p w14:paraId="23AB4985" w14:textId="77777777" w:rsidR="00A94C3C" w:rsidRPr="00A94C3C" w:rsidRDefault="00A94C3C" w:rsidP="00A94C3C">
      <w:pPr>
        <w:spacing w:before="240"/>
        <w:rPr>
          <w:rFonts w:ascii="Times New Roman" w:hAnsi="Times New Roman"/>
          <w:sz w:val="24"/>
        </w:rPr>
      </w:pPr>
      <w:r w:rsidRPr="00A94C3C">
        <w:rPr>
          <w:rFonts w:ascii="Times New Roman" w:hAnsi="Times New Roman"/>
          <w:sz w:val="24"/>
        </w:rPr>
        <w:t>The Regulations were released for public consultation from 22 October 2018 to 2 November 2018. One submission was received and it largely sought unrelated policy changes which were outside of the scope of this miscellaneous amendments process.</w:t>
      </w:r>
    </w:p>
    <w:p w14:paraId="3EE155E1" w14:textId="1C43E842" w:rsidR="00C37E05" w:rsidRPr="00E766D9" w:rsidRDefault="006D27DD" w:rsidP="00A94C3C">
      <w:pPr>
        <w:spacing w:before="240"/>
        <w:rPr>
          <w:rFonts w:ascii="Times New Roman" w:hAnsi="Times New Roman"/>
          <w:sz w:val="24"/>
        </w:rPr>
      </w:pPr>
      <w:r w:rsidRPr="00E766D9">
        <w:rPr>
          <w:rFonts w:ascii="Times New Roman" w:hAnsi="Times New Roman"/>
          <w:sz w:val="24"/>
        </w:rPr>
        <w:t>Details of the Regulation</w:t>
      </w:r>
      <w:r w:rsidR="00534EFE">
        <w:rPr>
          <w:rFonts w:ascii="Times New Roman" w:hAnsi="Times New Roman"/>
          <w:sz w:val="24"/>
        </w:rPr>
        <w:t>s</w:t>
      </w:r>
      <w:r w:rsidRPr="00E766D9">
        <w:rPr>
          <w:rFonts w:ascii="Times New Roman" w:hAnsi="Times New Roman"/>
          <w:sz w:val="24"/>
        </w:rPr>
        <w:t xml:space="preserve"> are set out in the </w:t>
      </w:r>
      <w:r w:rsidRPr="00E766D9">
        <w:rPr>
          <w:rFonts w:ascii="Times New Roman" w:hAnsi="Times New Roman"/>
          <w:sz w:val="24"/>
          <w:u w:val="single"/>
        </w:rPr>
        <w:t>Attachment</w:t>
      </w:r>
      <w:r w:rsidRPr="00E766D9">
        <w:rPr>
          <w:rFonts w:ascii="Times New Roman" w:hAnsi="Times New Roman"/>
          <w:sz w:val="24"/>
        </w:rPr>
        <w:t>.</w:t>
      </w:r>
    </w:p>
    <w:p w14:paraId="3A1A3215" w14:textId="6945F0D6" w:rsidR="00A94C3C" w:rsidRPr="00A94C3C" w:rsidRDefault="00A94C3C" w:rsidP="00A94C3C">
      <w:pPr>
        <w:spacing w:before="240" w:after="120"/>
        <w:rPr>
          <w:rFonts w:ascii="Times New Roman" w:eastAsia="Times New Roman" w:hAnsi="Times New Roman"/>
          <w:color w:val="000000" w:themeColor="text1"/>
          <w:sz w:val="24"/>
          <w:szCs w:val="20"/>
          <w:lang w:eastAsia="en-AU"/>
        </w:rPr>
      </w:pPr>
      <w:r w:rsidRPr="00A94C3C">
        <w:rPr>
          <w:rFonts w:ascii="Times New Roman" w:eastAsia="Times New Roman" w:hAnsi="Times New Roman"/>
          <w:color w:val="000000" w:themeColor="text1"/>
          <w:sz w:val="24"/>
          <w:szCs w:val="20"/>
          <w:lang w:eastAsia="en-AU"/>
        </w:rPr>
        <w:t>The Regulations commence as follows:</w:t>
      </w:r>
    </w:p>
    <w:p w14:paraId="1A001BFC" w14:textId="051D3231" w:rsidR="00A94C3C" w:rsidRPr="00A94C3C" w:rsidRDefault="00A94C3C" w:rsidP="00A94C3C">
      <w:pPr>
        <w:numPr>
          <w:ilvl w:val="0"/>
          <w:numId w:val="9"/>
        </w:numPr>
        <w:spacing w:before="240" w:after="240"/>
        <w:contextualSpacing/>
        <w:rPr>
          <w:rFonts w:ascii="Times New Roman" w:hAnsi="Times New Roman"/>
          <w:sz w:val="24"/>
          <w:szCs w:val="24"/>
        </w:rPr>
      </w:pPr>
      <w:r w:rsidRPr="00A94C3C">
        <w:rPr>
          <w:rFonts w:ascii="Times New Roman" w:hAnsi="Times New Roman"/>
          <w:sz w:val="24"/>
          <w:szCs w:val="24"/>
        </w:rPr>
        <w:t xml:space="preserve">Sections 1 to 4 and Part 3 of Schedule 1 to the Regulations commence on the day after the instrument is registered. </w:t>
      </w:r>
    </w:p>
    <w:p w14:paraId="113E498C" w14:textId="577760E7" w:rsidR="00A94C3C" w:rsidRPr="00A94C3C" w:rsidRDefault="00A94C3C" w:rsidP="00A94C3C">
      <w:pPr>
        <w:numPr>
          <w:ilvl w:val="0"/>
          <w:numId w:val="9"/>
        </w:numPr>
        <w:spacing w:before="240" w:after="240"/>
        <w:contextualSpacing/>
        <w:rPr>
          <w:rFonts w:ascii="Times New Roman" w:hAnsi="Times New Roman"/>
          <w:sz w:val="24"/>
          <w:szCs w:val="24"/>
        </w:rPr>
      </w:pPr>
      <w:r w:rsidRPr="00A94C3C">
        <w:rPr>
          <w:rFonts w:ascii="Times New Roman" w:hAnsi="Times New Roman"/>
          <w:sz w:val="24"/>
          <w:szCs w:val="24"/>
        </w:rPr>
        <w:lastRenderedPageBreak/>
        <w:t xml:space="preserve">Parts 1 and 2 of Schedule 1 to the Regulations commence on 1 July 2017 and 1 November 2018 respectively. The retrospective commencement </w:t>
      </w:r>
      <w:r>
        <w:rPr>
          <w:rFonts w:ascii="Times New Roman" w:hAnsi="Times New Roman"/>
          <w:sz w:val="24"/>
          <w:szCs w:val="24"/>
        </w:rPr>
        <w:t>does</w:t>
      </w:r>
      <w:r w:rsidRPr="00A94C3C">
        <w:rPr>
          <w:rFonts w:ascii="Times New Roman" w:hAnsi="Times New Roman"/>
          <w:sz w:val="24"/>
          <w:szCs w:val="24"/>
        </w:rPr>
        <w:t xml:space="preserve"> not affect a person’s rights so as to disadvantage the person, or impose a relevant liability on that person.</w:t>
      </w:r>
    </w:p>
    <w:p w14:paraId="1D983FC7" w14:textId="30A16043" w:rsidR="00A94C3C" w:rsidRPr="00A94C3C" w:rsidRDefault="00A94C3C" w:rsidP="00A94C3C">
      <w:pPr>
        <w:numPr>
          <w:ilvl w:val="0"/>
          <w:numId w:val="9"/>
        </w:numPr>
        <w:spacing w:before="240" w:after="240"/>
        <w:contextualSpacing/>
        <w:rPr>
          <w:rFonts w:ascii="Times New Roman" w:hAnsi="Times New Roman"/>
          <w:i/>
          <w:sz w:val="24"/>
          <w:szCs w:val="24"/>
        </w:rPr>
      </w:pPr>
      <w:r w:rsidRPr="00A94C3C">
        <w:rPr>
          <w:rFonts w:ascii="Times New Roman" w:hAnsi="Times New Roman"/>
          <w:sz w:val="24"/>
          <w:szCs w:val="24"/>
        </w:rPr>
        <w:t xml:space="preserve">Part 4 of Schedule 1 to the Regulations commence on the first day of the first quarter to occur after the day that the instrument is registered. </w:t>
      </w:r>
    </w:p>
    <w:p w14:paraId="74D36671" w14:textId="4A219245" w:rsidR="00A94C3C" w:rsidRPr="00A94C3C" w:rsidRDefault="00A94C3C" w:rsidP="00A94C3C">
      <w:pPr>
        <w:numPr>
          <w:ilvl w:val="0"/>
          <w:numId w:val="9"/>
        </w:numPr>
        <w:spacing w:before="240" w:after="240"/>
        <w:contextualSpacing/>
        <w:rPr>
          <w:rFonts w:ascii="Times New Roman" w:hAnsi="Times New Roman"/>
          <w:i/>
          <w:sz w:val="24"/>
          <w:szCs w:val="24"/>
        </w:rPr>
      </w:pPr>
      <w:r w:rsidRPr="00A94C3C">
        <w:rPr>
          <w:rFonts w:ascii="Times New Roman" w:hAnsi="Times New Roman"/>
          <w:sz w:val="24"/>
          <w:szCs w:val="24"/>
        </w:rPr>
        <w:t xml:space="preserve">Part 5 of Schedule 1 to the Regulations commence on the later of the day after the instrument is registered and the day on which item 100 of Schedule 5 to the </w:t>
      </w:r>
      <w:r w:rsidRPr="00A94C3C">
        <w:rPr>
          <w:rFonts w:ascii="Times New Roman" w:hAnsi="Times New Roman"/>
          <w:i/>
          <w:sz w:val="24"/>
          <w:szCs w:val="24"/>
        </w:rPr>
        <w:t xml:space="preserve">Treasury Laws Amendment (2018 Measures No. 6) Bill 2018 </w:t>
      </w:r>
      <w:r w:rsidRPr="00A94C3C">
        <w:rPr>
          <w:rFonts w:ascii="Times New Roman" w:hAnsi="Times New Roman"/>
          <w:sz w:val="24"/>
          <w:szCs w:val="24"/>
        </w:rPr>
        <w:t>(the Bill) commences.</w:t>
      </w:r>
    </w:p>
    <w:p w14:paraId="055C6FE2" w14:textId="77777777" w:rsidR="00534EFE" w:rsidRDefault="00534EFE" w:rsidP="006D27DD">
      <w:pPr>
        <w:jc w:val="right"/>
        <w:rPr>
          <w:rFonts w:ascii="Times New Roman" w:hAnsi="Times New Roman"/>
          <w:sz w:val="24"/>
        </w:rPr>
      </w:pPr>
    </w:p>
    <w:p w14:paraId="355C74ED" w14:textId="425957EC" w:rsidR="00B57A6B" w:rsidRDefault="00B57A6B" w:rsidP="006D27DD">
      <w:pPr>
        <w:jc w:val="right"/>
        <w:rPr>
          <w:rFonts w:ascii="Times New Roman" w:hAnsi="Times New Roman"/>
          <w:sz w:val="24"/>
        </w:rPr>
      </w:pPr>
    </w:p>
    <w:p w14:paraId="253A22E4" w14:textId="77777777" w:rsidR="00B57A6B" w:rsidRDefault="00B57A6B" w:rsidP="006D27DD">
      <w:pPr>
        <w:jc w:val="right"/>
        <w:rPr>
          <w:rFonts w:ascii="Times New Roman" w:hAnsi="Times New Roman"/>
          <w:sz w:val="24"/>
        </w:rPr>
      </w:pPr>
    </w:p>
    <w:p w14:paraId="05F32052" w14:textId="77777777" w:rsidR="00534EFE" w:rsidRPr="00FB5AA2" w:rsidRDefault="00534EFE" w:rsidP="00534EFE">
      <w:pPr>
        <w:spacing w:before="240"/>
        <w:rPr>
          <w:rFonts w:ascii="Times New Roman" w:hAnsi="Times New Roman"/>
          <w:i/>
        </w:rPr>
      </w:pPr>
      <w:r w:rsidRPr="00FB5AA2">
        <w:rPr>
          <w:rFonts w:ascii="Times New Roman" w:hAnsi="Times New Roman"/>
          <w:i/>
        </w:rPr>
        <w:t>Prepared in accordance with Part 3 of the Human Rights (Parliamentary Scrutiny) Act 2011</w:t>
      </w:r>
    </w:p>
    <w:p w14:paraId="5B2B9DDD" w14:textId="3C2B4B05" w:rsidR="00534EFE" w:rsidRPr="00694F9A" w:rsidRDefault="00FB5AA2" w:rsidP="00534EFE">
      <w:pPr>
        <w:pStyle w:val="Heading3"/>
        <w:jc w:val="center"/>
        <w:rPr>
          <w:rFonts w:ascii="Times New Roman" w:hAnsi="Times New Roman"/>
          <w:highlight w:val="yellow"/>
        </w:rPr>
      </w:pPr>
      <w:r w:rsidRPr="00E766D9">
        <w:rPr>
          <w:rFonts w:ascii="Times New Roman" w:hAnsi="Times New Roman"/>
          <w:i/>
        </w:rPr>
        <w:t>Treasury Laws Amendment (Miscellaneous Amendments) Regulation</w:t>
      </w:r>
      <w:r>
        <w:rPr>
          <w:rFonts w:ascii="Times New Roman" w:hAnsi="Times New Roman"/>
          <w:i/>
        </w:rPr>
        <w:t>s</w:t>
      </w:r>
      <w:r w:rsidRPr="00E766D9">
        <w:rPr>
          <w:rFonts w:ascii="Times New Roman" w:hAnsi="Times New Roman"/>
          <w:i/>
        </w:rPr>
        <w:t xml:space="preserve"> 2018</w:t>
      </w:r>
    </w:p>
    <w:p w14:paraId="33540A57" w14:textId="77777777" w:rsidR="00534EFE" w:rsidRPr="005B65F3" w:rsidRDefault="00534EFE" w:rsidP="00534EFE">
      <w:pPr>
        <w:spacing w:before="240"/>
        <w:rPr>
          <w:rFonts w:ascii="Times New Roman" w:hAnsi="Times New Roman"/>
        </w:rPr>
      </w:pPr>
      <w:r w:rsidRPr="005B65F3">
        <w:rPr>
          <w:rFonts w:ascii="Times New Roman" w:hAnsi="Times New Roman"/>
        </w:rPr>
        <w:t xml:space="preserve">This Legislative Instrument is compatible with the human rights and freedoms recognised or declared in the international instruments listed in section 3 of the </w:t>
      </w:r>
      <w:r w:rsidRPr="005B65F3">
        <w:rPr>
          <w:rFonts w:ascii="Times New Roman" w:hAnsi="Times New Roman"/>
          <w:i/>
        </w:rPr>
        <w:t>Human Rights (Parliamentary Scrutiny) Act 2011</w:t>
      </w:r>
      <w:r w:rsidRPr="005B65F3">
        <w:rPr>
          <w:rFonts w:ascii="Times New Roman" w:hAnsi="Times New Roman"/>
        </w:rPr>
        <w:t>.</w:t>
      </w:r>
    </w:p>
    <w:p w14:paraId="3A1D8A64" w14:textId="77777777" w:rsidR="00534EFE" w:rsidRPr="00FB5AA2" w:rsidRDefault="00534EFE" w:rsidP="00534EFE">
      <w:pPr>
        <w:pStyle w:val="Heading3"/>
        <w:rPr>
          <w:rFonts w:ascii="Times New Roman" w:hAnsi="Times New Roman"/>
        </w:rPr>
      </w:pPr>
      <w:r w:rsidRPr="00FB5AA2">
        <w:rPr>
          <w:rFonts w:ascii="Times New Roman" w:hAnsi="Times New Roman"/>
        </w:rPr>
        <w:t>Overview of the Legislative Instrument</w:t>
      </w:r>
    </w:p>
    <w:p w14:paraId="6D118C7A" w14:textId="07E0E2CA" w:rsidR="00FB5AA2" w:rsidRDefault="00FB5AA2" w:rsidP="00FB5AA2">
      <w:pPr>
        <w:spacing w:before="240"/>
        <w:rPr>
          <w:rFonts w:ascii="Times New Roman" w:hAnsi="Times New Roman"/>
          <w:sz w:val="24"/>
        </w:rPr>
      </w:pPr>
      <w:r w:rsidRPr="00E766D9">
        <w:rPr>
          <w:rFonts w:ascii="Times New Roman" w:hAnsi="Times New Roman"/>
          <w:sz w:val="24"/>
        </w:rPr>
        <w:t xml:space="preserve">The amendments in the </w:t>
      </w:r>
      <w:r>
        <w:rPr>
          <w:rFonts w:ascii="Times New Roman" w:hAnsi="Times New Roman"/>
          <w:sz w:val="24"/>
        </w:rPr>
        <w:t>Regulations</w:t>
      </w:r>
      <w:r w:rsidRPr="00E766D9">
        <w:rPr>
          <w:rFonts w:ascii="Times New Roman" w:hAnsi="Times New Roman"/>
          <w:sz w:val="24"/>
        </w:rPr>
        <w:t xml:space="preserve"> correct technical and drafting defects</w:t>
      </w:r>
      <w:r>
        <w:rPr>
          <w:rFonts w:ascii="Times New Roman" w:hAnsi="Times New Roman"/>
          <w:sz w:val="24"/>
        </w:rPr>
        <w:t>,</w:t>
      </w:r>
      <w:r w:rsidRPr="00E766D9">
        <w:rPr>
          <w:rFonts w:ascii="Times New Roman" w:hAnsi="Times New Roman"/>
          <w:sz w:val="24"/>
        </w:rPr>
        <w:t xml:space="preserve"> and remove anomalies</w:t>
      </w:r>
      <w:r>
        <w:rPr>
          <w:rFonts w:ascii="Times New Roman" w:hAnsi="Times New Roman"/>
          <w:sz w:val="24"/>
        </w:rPr>
        <w:t xml:space="preserve"> and inoperative provisions</w:t>
      </w:r>
      <w:r w:rsidRPr="00E766D9">
        <w:rPr>
          <w:rFonts w:ascii="Times New Roman" w:hAnsi="Times New Roman"/>
          <w:sz w:val="24"/>
        </w:rPr>
        <w:t xml:space="preserve"> in </w:t>
      </w:r>
      <w:r>
        <w:rPr>
          <w:rFonts w:ascii="Times New Roman" w:hAnsi="Times New Roman"/>
          <w:sz w:val="24"/>
        </w:rPr>
        <w:t xml:space="preserve">the </w:t>
      </w:r>
      <w:r>
        <w:rPr>
          <w:rFonts w:ascii="Times New Roman" w:hAnsi="Times New Roman"/>
          <w:i/>
          <w:sz w:val="24"/>
        </w:rPr>
        <w:t xml:space="preserve">A New Tax System (Australian Business Number) Regulations </w:t>
      </w:r>
      <w:r w:rsidRPr="00521E87">
        <w:rPr>
          <w:rFonts w:ascii="Times New Roman" w:hAnsi="Times New Roman"/>
          <w:i/>
          <w:sz w:val="24"/>
        </w:rPr>
        <w:t>1999</w:t>
      </w:r>
      <w:r>
        <w:rPr>
          <w:rFonts w:ascii="Times New Roman" w:hAnsi="Times New Roman"/>
          <w:sz w:val="24"/>
        </w:rPr>
        <w:t xml:space="preserve">, </w:t>
      </w:r>
      <w:r w:rsidRPr="00DB243B">
        <w:rPr>
          <w:rFonts w:ascii="Times New Roman" w:hAnsi="Times New Roman"/>
          <w:sz w:val="24"/>
        </w:rPr>
        <w:t>the</w:t>
      </w:r>
      <w:r w:rsidRPr="00E766D9">
        <w:rPr>
          <w:rFonts w:ascii="Times New Roman" w:hAnsi="Times New Roman"/>
          <w:sz w:val="24"/>
        </w:rPr>
        <w:t xml:space="preserve"> </w:t>
      </w:r>
      <w:r w:rsidRPr="00E766D9">
        <w:rPr>
          <w:rFonts w:ascii="Times New Roman" w:hAnsi="Times New Roman"/>
          <w:i/>
          <w:sz w:val="24"/>
        </w:rPr>
        <w:t>Compe</w:t>
      </w:r>
      <w:r w:rsidR="000E02EF">
        <w:rPr>
          <w:rFonts w:ascii="Times New Roman" w:hAnsi="Times New Roman"/>
          <w:i/>
          <w:sz w:val="24"/>
        </w:rPr>
        <w:t>tition and Consumer Regulations </w:t>
      </w:r>
      <w:r>
        <w:rPr>
          <w:rFonts w:ascii="Times New Roman" w:hAnsi="Times New Roman"/>
          <w:i/>
          <w:sz w:val="24"/>
        </w:rPr>
        <w:t>2010</w:t>
      </w:r>
      <w:r>
        <w:rPr>
          <w:rFonts w:ascii="Times New Roman" w:hAnsi="Times New Roman"/>
          <w:sz w:val="24"/>
        </w:rPr>
        <w:t>,</w:t>
      </w:r>
      <w:r w:rsidRPr="00E766D9">
        <w:rPr>
          <w:rFonts w:ascii="Times New Roman" w:hAnsi="Times New Roman"/>
          <w:i/>
          <w:sz w:val="24"/>
        </w:rPr>
        <w:t xml:space="preserve"> </w:t>
      </w:r>
      <w:r w:rsidRPr="00E766D9">
        <w:rPr>
          <w:rFonts w:ascii="Times New Roman" w:hAnsi="Times New Roman"/>
          <w:sz w:val="24"/>
        </w:rPr>
        <w:t xml:space="preserve">the </w:t>
      </w:r>
      <w:r w:rsidRPr="00E766D9">
        <w:rPr>
          <w:rFonts w:ascii="Times New Roman" w:hAnsi="Times New Roman"/>
          <w:i/>
          <w:sz w:val="24"/>
        </w:rPr>
        <w:t xml:space="preserve">Corporations Regulations </w:t>
      </w:r>
      <w:r>
        <w:rPr>
          <w:rFonts w:ascii="Times New Roman" w:hAnsi="Times New Roman"/>
          <w:i/>
          <w:sz w:val="24"/>
        </w:rPr>
        <w:t xml:space="preserve">2001, </w:t>
      </w:r>
      <w:r w:rsidRPr="00FB5AA2">
        <w:rPr>
          <w:rFonts w:ascii="Times New Roman" w:hAnsi="Times New Roman"/>
          <w:i/>
          <w:sz w:val="24"/>
        </w:rPr>
        <w:t>Income Tax Assessment Regulations 1997</w:t>
      </w:r>
      <w:r w:rsidRPr="00E766D9">
        <w:rPr>
          <w:rFonts w:ascii="Times New Roman" w:hAnsi="Times New Roman"/>
          <w:sz w:val="24"/>
        </w:rPr>
        <w:t xml:space="preserve"> </w:t>
      </w:r>
      <w:r>
        <w:rPr>
          <w:rFonts w:ascii="Times New Roman" w:hAnsi="Times New Roman"/>
          <w:sz w:val="24"/>
        </w:rPr>
        <w:t xml:space="preserve">and the </w:t>
      </w:r>
      <w:r>
        <w:rPr>
          <w:rFonts w:ascii="Times New Roman" w:hAnsi="Times New Roman"/>
          <w:i/>
          <w:sz w:val="24"/>
        </w:rPr>
        <w:t>Superannuation Industry (Supervision) (Transitional Provisions) Regulations 1993</w:t>
      </w:r>
      <w:r>
        <w:rPr>
          <w:rFonts w:ascii="Times New Roman" w:hAnsi="Times New Roman"/>
          <w:sz w:val="24"/>
        </w:rPr>
        <w:t>.</w:t>
      </w:r>
      <w:r w:rsidRPr="00E766D9">
        <w:rPr>
          <w:rFonts w:ascii="Times New Roman" w:hAnsi="Times New Roman"/>
          <w:sz w:val="24"/>
        </w:rPr>
        <w:t xml:space="preserve"> They also ensure that the law operates as intended.</w:t>
      </w:r>
    </w:p>
    <w:p w14:paraId="7ABCCA2A" w14:textId="77777777" w:rsidR="00534EFE" w:rsidRPr="005B65F3" w:rsidRDefault="00534EFE" w:rsidP="00534EFE">
      <w:pPr>
        <w:pStyle w:val="Heading3"/>
        <w:rPr>
          <w:rFonts w:ascii="Times New Roman" w:hAnsi="Times New Roman"/>
        </w:rPr>
      </w:pPr>
      <w:r w:rsidRPr="005B65F3">
        <w:rPr>
          <w:rFonts w:ascii="Times New Roman" w:hAnsi="Times New Roman"/>
        </w:rPr>
        <w:t>Human rights implications</w:t>
      </w:r>
    </w:p>
    <w:p w14:paraId="37A49436" w14:textId="77777777" w:rsidR="00534EFE" w:rsidRPr="005B65F3" w:rsidRDefault="00534EFE" w:rsidP="00534EFE">
      <w:pPr>
        <w:spacing w:before="240"/>
        <w:rPr>
          <w:rFonts w:ascii="Times New Roman" w:hAnsi="Times New Roman"/>
        </w:rPr>
      </w:pPr>
      <w:r w:rsidRPr="005B65F3">
        <w:rPr>
          <w:rFonts w:ascii="Times New Roman" w:hAnsi="Times New Roman"/>
        </w:rPr>
        <w:t>This Legislative Instrument does not engage any of the applicable rights or freedoms.</w:t>
      </w:r>
    </w:p>
    <w:p w14:paraId="3FD6A51F" w14:textId="77777777" w:rsidR="00534EFE" w:rsidRPr="005B65F3" w:rsidRDefault="00534EFE" w:rsidP="00534EFE">
      <w:pPr>
        <w:pStyle w:val="Heading3"/>
        <w:rPr>
          <w:rFonts w:ascii="Times New Roman" w:hAnsi="Times New Roman"/>
        </w:rPr>
      </w:pPr>
      <w:r w:rsidRPr="005B65F3">
        <w:rPr>
          <w:rFonts w:ascii="Times New Roman" w:hAnsi="Times New Roman"/>
        </w:rPr>
        <w:t>Conclusion</w:t>
      </w:r>
    </w:p>
    <w:p w14:paraId="2889775F" w14:textId="77777777" w:rsidR="00534EFE" w:rsidRPr="005E56F8" w:rsidRDefault="00534EFE" w:rsidP="00534EFE">
      <w:pPr>
        <w:spacing w:before="240"/>
        <w:rPr>
          <w:rFonts w:ascii="Times New Roman" w:hAnsi="Times New Roman"/>
        </w:rPr>
      </w:pPr>
      <w:r w:rsidRPr="005B65F3">
        <w:rPr>
          <w:rFonts w:ascii="Times New Roman" w:hAnsi="Times New Roman"/>
        </w:rPr>
        <w:t>This Legislative Instrument is compatible with human rights as it does not raise any human rights issues.</w:t>
      </w:r>
    </w:p>
    <w:p w14:paraId="3CB53A93" w14:textId="77777777" w:rsidR="00534EFE" w:rsidRPr="005E56F8" w:rsidRDefault="00534EFE" w:rsidP="00534EFE">
      <w:pPr>
        <w:spacing w:before="240"/>
        <w:rPr>
          <w:rFonts w:ascii="Times New Roman" w:hAnsi="Times New Roman"/>
        </w:rPr>
      </w:pPr>
    </w:p>
    <w:p w14:paraId="537A726A" w14:textId="77777777" w:rsidR="006D27DD" w:rsidRPr="00E766D9" w:rsidRDefault="006D27DD" w:rsidP="006D27DD">
      <w:pPr>
        <w:jc w:val="right"/>
        <w:rPr>
          <w:rFonts w:ascii="Times New Roman" w:hAnsi="Times New Roman"/>
          <w:sz w:val="24"/>
        </w:rPr>
      </w:pPr>
      <w:r w:rsidRPr="00E766D9">
        <w:rPr>
          <w:rFonts w:ascii="Times New Roman" w:hAnsi="Times New Roman"/>
          <w:sz w:val="24"/>
        </w:rPr>
        <w:br w:type="column"/>
      </w:r>
      <w:r w:rsidRPr="00E766D9">
        <w:rPr>
          <w:rFonts w:ascii="Times New Roman" w:hAnsi="Times New Roman"/>
          <w:b/>
          <w:sz w:val="24"/>
          <w:u w:val="single"/>
        </w:rPr>
        <w:lastRenderedPageBreak/>
        <w:t>ATTACHMENT</w:t>
      </w:r>
    </w:p>
    <w:p w14:paraId="1B841C29" w14:textId="169878C8" w:rsidR="006D27DD" w:rsidRPr="00E766D9" w:rsidRDefault="006D27DD" w:rsidP="006D27DD">
      <w:pPr>
        <w:pStyle w:val="Heading2"/>
        <w:rPr>
          <w:rFonts w:ascii="Times New Roman" w:hAnsi="Times New Roman"/>
          <w:i/>
          <w:sz w:val="24"/>
        </w:rPr>
      </w:pPr>
      <w:r w:rsidRPr="00E766D9">
        <w:rPr>
          <w:rFonts w:ascii="Times New Roman" w:hAnsi="Times New Roman"/>
          <w:sz w:val="24"/>
        </w:rPr>
        <w:t xml:space="preserve">Details of the </w:t>
      </w:r>
      <w:r w:rsidRPr="00E766D9">
        <w:rPr>
          <w:rFonts w:ascii="Times New Roman" w:hAnsi="Times New Roman"/>
          <w:i/>
          <w:sz w:val="24"/>
        </w:rPr>
        <w:t>Treasury Laws Amendment (Miscellaneous Amendments) Regulation</w:t>
      </w:r>
      <w:r w:rsidR="00865133">
        <w:rPr>
          <w:rFonts w:ascii="Times New Roman" w:hAnsi="Times New Roman"/>
          <w:i/>
          <w:sz w:val="24"/>
        </w:rPr>
        <w:t>s</w:t>
      </w:r>
      <w:r w:rsidRPr="00E766D9">
        <w:rPr>
          <w:rFonts w:ascii="Times New Roman" w:hAnsi="Times New Roman"/>
          <w:i/>
          <w:sz w:val="24"/>
        </w:rPr>
        <w:t xml:space="preserve"> 2018</w:t>
      </w:r>
    </w:p>
    <w:p w14:paraId="46FE7171" w14:textId="2C502A36" w:rsidR="00A94C3C" w:rsidRPr="00A94C3C" w:rsidRDefault="00A94C3C" w:rsidP="00A94C3C">
      <w:pPr>
        <w:spacing w:before="240"/>
        <w:rPr>
          <w:rFonts w:ascii="Times New Roman" w:hAnsi="Times New Roman"/>
          <w:u w:val="single"/>
        </w:rPr>
      </w:pPr>
      <w:r w:rsidRPr="00A94C3C">
        <w:rPr>
          <w:rFonts w:ascii="Times New Roman" w:hAnsi="Times New Roman"/>
          <w:u w:val="single"/>
        </w:rPr>
        <w:t>Section 1—Name of the Regulations</w:t>
      </w:r>
    </w:p>
    <w:p w14:paraId="2A52D48B" w14:textId="6166CE57" w:rsidR="00A94C3C" w:rsidRPr="00A94C3C" w:rsidRDefault="00A94C3C" w:rsidP="00A94C3C">
      <w:pPr>
        <w:spacing w:before="240"/>
        <w:rPr>
          <w:rFonts w:ascii="Times New Roman" w:hAnsi="Times New Roman"/>
          <w:b/>
        </w:rPr>
      </w:pPr>
      <w:r w:rsidRPr="00A94C3C">
        <w:rPr>
          <w:rFonts w:ascii="Times New Roman" w:hAnsi="Times New Roman"/>
        </w:rPr>
        <w:t>This section provide</w:t>
      </w:r>
      <w:r>
        <w:rPr>
          <w:rFonts w:ascii="Times New Roman" w:hAnsi="Times New Roman"/>
        </w:rPr>
        <w:t>s</w:t>
      </w:r>
      <w:r w:rsidRPr="00A94C3C">
        <w:rPr>
          <w:rFonts w:ascii="Times New Roman" w:hAnsi="Times New Roman"/>
        </w:rPr>
        <w:t xml:space="preserve"> that the name of the Regulations is the </w:t>
      </w:r>
      <w:r w:rsidRPr="00A94C3C">
        <w:rPr>
          <w:rFonts w:ascii="Times New Roman" w:hAnsi="Times New Roman"/>
          <w:i/>
        </w:rPr>
        <w:t>Treasury Laws Amendment (Miscellaneous Amendments) Regulations 2018</w:t>
      </w:r>
      <w:r w:rsidRPr="00A94C3C">
        <w:rPr>
          <w:rFonts w:ascii="Times New Roman" w:hAnsi="Times New Roman"/>
        </w:rPr>
        <w:t>.</w:t>
      </w:r>
    </w:p>
    <w:p w14:paraId="46B09FD4" w14:textId="77777777" w:rsidR="00A94C3C" w:rsidRPr="00A94C3C" w:rsidRDefault="00A94C3C" w:rsidP="00A94C3C">
      <w:pPr>
        <w:spacing w:before="240"/>
        <w:rPr>
          <w:rFonts w:ascii="Times New Roman" w:hAnsi="Times New Roman"/>
          <w:u w:val="single"/>
        </w:rPr>
      </w:pPr>
      <w:r w:rsidRPr="00A94C3C">
        <w:rPr>
          <w:rFonts w:ascii="Times New Roman" w:hAnsi="Times New Roman"/>
          <w:u w:val="single"/>
        </w:rPr>
        <w:t>Section 2—Commencement</w:t>
      </w:r>
    </w:p>
    <w:p w14:paraId="00F05EDD" w14:textId="25117134" w:rsidR="00A94C3C" w:rsidRPr="00A94C3C" w:rsidRDefault="00A94C3C" w:rsidP="00A94C3C">
      <w:pPr>
        <w:spacing w:before="240"/>
        <w:rPr>
          <w:rFonts w:ascii="Times New Roman" w:hAnsi="Times New Roman"/>
        </w:rPr>
      </w:pPr>
      <w:r w:rsidRPr="00A94C3C">
        <w:rPr>
          <w:rFonts w:ascii="Times New Roman" w:hAnsi="Times New Roman"/>
        </w:rPr>
        <w:t xml:space="preserve">Sections 1 to 4 and Part 3 of Schedule 1 to the Regulations commence on the day after the instrument is registered. Parts 1 and 2 of Schedule 1 to the Regulations commence on 1 July 2017 and 1 November 2018 respectively. The retrospective commencement </w:t>
      </w:r>
      <w:r>
        <w:rPr>
          <w:rFonts w:ascii="Times New Roman" w:hAnsi="Times New Roman"/>
        </w:rPr>
        <w:t>does</w:t>
      </w:r>
      <w:r w:rsidRPr="00A94C3C">
        <w:rPr>
          <w:rFonts w:ascii="Times New Roman" w:hAnsi="Times New Roman"/>
        </w:rPr>
        <w:t xml:space="preserve"> not affect a person’s rights so as to disadvantage the person, or impose a relevant liability on that person.</w:t>
      </w:r>
    </w:p>
    <w:p w14:paraId="2073E568" w14:textId="4C77B1D6" w:rsidR="00A94C3C" w:rsidRPr="00A94C3C" w:rsidRDefault="00A94C3C" w:rsidP="00A94C3C">
      <w:pPr>
        <w:spacing w:before="240"/>
        <w:rPr>
          <w:rFonts w:ascii="Times New Roman" w:hAnsi="Times New Roman"/>
        </w:rPr>
      </w:pPr>
      <w:r w:rsidRPr="00A94C3C">
        <w:rPr>
          <w:rFonts w:ascii="Times New Roman" w:hAnsi="Times New Roman"/>
        </w:rPr>
        <w:t xml:space="preserve">Part 4 of Schedule 1 to the Regulations commence on the first day of the first quarter to occur after the day that the instrument is registered. Part 5 of Schedule 1 to the Regulations commence on the later of the day after the instrument is registered and the day on which </w:t>
      </w:r>
      <w:r>
        <w:rPr>
          <w:rFonts w:ascii="Times New Roman" w:hAnsi="Times New Roman"/>
        </w:rPr>
        <w:t>item </w:t>
      </w:r>
      <w:r w:rsidRPr="00A94C3C">
        <w:rPr>
          <w:rFonts w:ascii="Times New Roman" w:hAnsi="Times New Roman"/>
        </w:rPr>
        <w:t>100 of Schedule 5 to the Bill commences.</w:t>
      </w:r>
    </w:p>
    <w:p w14:paraId="19348533" w14:textId="77777777" w:rsidR="00A94C3C" w:rsidRPr="00A94C3C" w:rsidRDefault="00A94C3C" w:rsidP="00A94C3C">
      <w:pPr>
        <w:spacing w:before="240"/>
        <w:rPr>
          <w:rFonts w:ascii="Times New Roman" w:hAnsi="Times New Roman"/>
          <w:u w:val="single"/>
        </w:rPr>
      </w:pPr>
      <w:r w:rsidRPr="00A94C3C">
        <w:rPr>
          <w:rFonts w:ascii="Times New Roman" w:hAnsi="Times New Roman"/>
          <w:u w:val="single"/>
        </w:rPr>
        <w:t>Section 3—Authority</w:t>
      </w:r>
    </w:p>
    <w:p w14:paraId="0EE6C046" w14:textId="2861D369" w:rsidR="00A94C3C" w:rsidRPr="00A94C3C" w:rsidRDefault="00A94C3C" w:rsidP="00A94C3C">
      <w:pPr>
        <w:spacing w:before="240"/>
        <w:rPr>
          <w:rFonts w:ascii="Times New Roman" w:hAnsi="Times New Roman"/>
        </w:rPr>
      </w:pPr>
      <w:r w:rsidRPr="00A94C3C">
        <w:rPr>
          <w:rFonts w:ascii="Times New Roman" w:hAnsi="Times New Roman"/>
        </w:rPr>
        <w:t xml:space="preserve">The Regulations </w:t>
      </w:r>
      <w:r>
        <w:rPr>
          <w:rFonts w:ascii="Times New Roman" w:hAnsi="Times New Roman"/>
        </w:rPr>
        <w:t>are</w:t>
      </w:r>
      <w:r w:rsidRPr="00A94C3C">
        <w:rPr>
          <w:rFonts w:ascii="Times New Roman" w:hAnsi="Times New Roman"/>
        </w:rPr>
        <w:t xml:space="preserve"> made under the ABN Act, the CC Act, the Corporations Act,</w:t>
      </w:r>
      <w:r>
        <w:rPr>
          <w:rFonts w:ascii="Times New Roman" w:hAnsi="Times New Roman"/>
        </w:rPr>
        <w:t xml:space="preserve"> the</w:t>
      </w:r>
      <w:r w:rsidR="00B57A6B">
        <w:rPr>
          <w:rFonts w:ascii="Times New Roman" w:hAnsi="Times New Roman"/>
        </w:rPr>
        <w:t> </w:t>
      </w:r>
      <w:bookmarkStart w:id="0" w:name="_GoBack"/>
      <w:bookmarkEnd w:id="0"/>
      <w:r w:rsidRPr="00A94C3C">
        <w:rPr>
          <w:rFonts w:ascii="Times New Roman" w:hAnsi="Times New Roman"/>
        </w:rPr>
        <w:t>ITA</w:t>
      </w:r>
      <w:r w:rsidR="00B57A6B">
        <w:rPr>
          <w:rFonts w:ascii="Times New Roman" w:hAnsi="Times New Roman"/>
        </w:rPr>
        <w:t> </w:t>
      </w:r>
      <w:r w:rsidRPr="00A94C3C">
        <w:rPr>
          <w:rFonts w:ascii="Times New Roman" w:hAnsi="Times New Roman"/>
        </w:rPr>
        <w:t>Act and the SIS Act.</w:t>
      </w:r>
    </w:p>
    <w:p w14:paraId="456AE4E1" w14:textId="77777777" w:rsidR="00A94C3C" w:rsidRPr="00A94C3C" w:rsidRDefault="00A94C3C" w:rsidP="00A94C3C">
      <w:pPr>
        <w:spacing w:before="240"/>
        <w:rPr>
          <w:rFonts w:ascii="Times New Roman" w:hAnsi="Times New Roman"/>
          <w:u w:val="single"/>
        </w:rPr>
      </w:pPr>
      <w:r w:rsidRPr="00A94C3C">
        <w:rPr>
          <w:rFonts w:ascii="Times New Roman" w:hAnsi="Times New Roman"/>
          <w:u w:val="single"/>
        </w:rPr>
        <w:t>Section 4—Schedules</w:t>
      </w:r>
    </w:p>
    <w:p w14:paraId="30DB6AB6" w14:textId="6EFE8DCE" w:rsidR="00A94C3C" w:rsidRPr="00A94C3C" w:rsidRDefault="00A94C3C" w:rsidP="00A94C3C">
      <w:pPr>
        <w:spacing w:before="240"/>
        <w:rPr>
          <w:rFonts w:ascii="Times New Roman" w:hAnsi="Times New Roman"/>
        </w:rPr>
      </w:pPr>
      <w:r w:rsidRPr="00A94C3C">
        <w:rPr>
          <w:rFonts w:ascii="Times New Roman" w:hAnsi="Times New Roman"/>
        </w:rPr>
        <w:t>Section 4 provide</w:t>
      </w:r>
      <w:r>
        <w:rPr>
          <w:rFonts w:ascii="Times New Roman" w:hAnsi="Times New Roman"/>
        </w:rPr>
        <w:t>s</w:t>
      </w:r>
      <w:r w:rsidRPr="00A94C3C">
        <w:rPr>
          <w:rFonts w:ascii="Times New Roman" w:hAnsi="Times New Roman"/>
        </w:rPr>
        <w:t xml:space="preserve"> that each instrument in a Schedule is amended or repealed as set out in the Schedule.</w:t>
      </w:r>
    </w:p>
    <w:p w14:paraId="6C99979D" w14:textId="77777777" w:rsidR="00A94C3C" w:rsidRPr="00A94C3C" w:rsidRDefault="00A94C3C" w:rsidP="00A94C3C">
      <w:pPr>
        <w:spacing w:before="240"/>
        <w:rPr>
          <w:rFonts w:ascii="Times New Roman" w:hAnsi="Times New Roman"/>
          <w:i/>
        </w:rPr>
      </w:pPr>
      <w:r w:rsidRPr="00A94C3C">
        <w:rPr>
          <w:rFonts w:ascii="Times New Roman" w:hAnsi="Times New Roman"/>
          <w:u w:val="single"/>
        </w:rPr>
        <w:t>Schedule 1—Parts 1, 2 and 4: Natural Disaster Relief and Recovery Determinations</w:t>
      </w:r>
      <w:r w:rsidRPr="00A94C3C">
        <w:rPr>
          <w:rFonts w:ascii="Times New Roman" w:hAnsi="Times New Roman"/>
          <w:i/>
        </w:rPr>
        <w:t xml:space="preserve"> </w:t>
      </w:r>
    </w:p>
    <w:p w14:paraId="5B5A5785" w14:textId="53E43340" w:rsidR="00A94C3C" w:rsidRPr="00A94C3C" w:rsidRDefault="00A94C3C" w:rsidP="00A94C3C">
      <w:pPr>
        <w:spacing w:before="240"/>
        <w:rPr>
          <w:rFonts w:ascii="Times New Roman" w:hAnsi="Times New Roman"/>
        </w:rPr>
      </w:pPr>
      <w:r w:rsidRPr="00A94C3C">
        <w:rPr>
          <w:rFonts w:ascii="Times New Roman" w:hAnsi="Times New Roman"/>
        </w:rPr>
        <w:t>Farm management deposits (FMD) owners affected by applicable natural disasters may access their FMD within 12 months of deposit, without losi</w:t>
      </w:r>
      <w:r>
        <w:rPr>
          <w:rFonts w:ascii="Times New Roman" w:hAnsi="Times New Roman"/>
        </w:rPr>
        <w:t>ng their deductions. Subsection </w:t>
      </w:r>
      <w:r w:rsidRPr="00A94C3C">
        <w:rPr>
          <w:rFonts w:ascii="Times New Roman" w:hAnsi="Times New Roman"/>
        </w:rPr>
        <w:t>393</w:t>
      </w:r>
      <w:r w:rsidRPr="00A94C3C">
        <w:rPr>
          <w:rFonts w:ascii="Times New Roman" w:hAnsi="Times New Roman"/>
        </w:rPr>
        <w:noBreakHyphen/>
        <w:t xml:space="preserve">40(3A) of the ITA Act sets out the circumstances, including those specified in the regulations, that must be satisfied to retain the deductions. </w:t>
      </w:r>
    </w:p>
    <w:p w14:paraId="33DC8254" w14:textId="6B78A857" w:rsidR="00A94C3C" w:rsidRPr="00A94C3C" w:rsidRDefault="00A94C3C" w:rsidP="00A94C3C">
      <w:pPr>
        <w:spacing w:before="240"/>
        <w:rPr>
          <w:rFonts w:ascii="Times New Roman" w:hAnsi="Times New Roman"/>
        </w:rPr>
      </w:pPr>
      <w:r w:rsidRPr="00A94C3C">
        <w:rPr>
          <w:rFonts w:ascii="Times New Roman" w:hAnsi="Times New Roman"/>
        </w:rPr>
        <w:t>Items 1 to 4 of Schedule 1 to the Regulations restructure paragraph 393</w:t>
      </w:r>
      <w:r w:rsidRPr="00A94C3C">
        <w:rPr>
          <w:rFonts w:ascii="Times New Roman" w:hAnsi="Times New Roman"/>
        </w:rPr>
        <w:noBreakHyphen/>
        <w:t>15(a) of the ITAR 1997 to consolidate the requirements relating to the recovery assistance provided into a single provision. Minor amendments update the name of the determination to refer to the most recent version and also improve readability by listing the names of the current and past determinations in a new provision. Item 4 list</w:t>
      </w:r>
      <w:r>
        <w:rPr>
          <w:rFonts w:ascii="Times New Roman" w:hAnsi="Times New Roman"/>
        </w:rPr>
        <w:t>s</w:t>
      </w:r>
      <w:r w:rsidRPr="00A94C3C">
        <w:rPr>
          <w:rFonts w:ascii="Times New Roman" w:hAnsi="Times New Roman"/>
        </w:rPr>
        <w:t xml:space="preserve"> the current determination, the </w:t>
      </w:r>
      <w:r w:rsidRPr="00A94C3C">
        <w:rPr>
          <w:rFonts w:ascii="Times New Roman" w:hAnsi="Times New Roman"/>
          <w:i/>
        </w:rPr>
        <w:t>Disaster Recovery Funding Arrangements 2018</w:t>
      </w:r>
      <w:r w:rsidRPr="00A94C3C">
        <w:rPr>
          <w:rFonts w:ascii="Times New Roman" w:hAnsi="Times New Roman"/>
        </w:rPr>
        <w:t xml:space="preserve"> determined by the Minister for Law Enforcement and Cyber Security on 5 June 2018. </w:t>
      </w:r>
    </w:p>
    <w:p w14:paraId="385701CC" w14:textId="1022EED8" w:rsidR="00A94C3C" w:rsidRPr="00A94C3C" w:rsidRDefault="00A94C3C" w:rsidP="00A94C3C">
      <w:pPr>
        <w:spacing w:before="240"/>
        <w:rPr>
          <w:rFonts w:ascii="Times New Roman" w:hAnsi="Times New Roman"/>
        </w:rPr>
      </w:pPr>
      <w:r w:rsidRPr="00A94C3C">
        <w:rPr>
          <w:rFonts w:ascii="Times New Roman" w:hAnsi="Times New Roman"/>
        </w:rPr>
        <w:t xml:space="preserve">Items 1 to 3 commence from 1 July 2017 to align with the date the </w:t>
      </w:r>
      <w:r w:rsidRPr="00A94C3C">
        <w:rPr>
          <w:rFonts w:ascii="Times New Roman" w:hAnsi="Times New Roman"/>
          <w:i/>
        </w:rPr>
        <w:t>Natural Disaster Relief and Recovery Arrangements Determination 2017</w:t>
      </w:r>
      <w:r w:rsidRPr="00A94C3C">
        <w:rPr>
          <w:rFonts w:ascii="Times New Roman" w:hAnsi="Times New Roman"/>
        </w:rPr>
        <w:t xml:space="preserve"> took effect.</w:t>
      </w:r>
    </w:p>
    <w:p w14:paraId="7CECBFBB" w14:textId="27319CDA" w:rsidR="00A94C3C" w:rsidRPr="00A94C3C" w:rsidRDefault="00A94C3C" w:rsidP="00A94C3C">
      <w:pPr>
        <w:spacing w:before="240"/>
        <w:rPr>
          <w:rFonts w:ascii="Times New Roman" w:hAnsi="Times New Roman"/>
        </w:rPr>
      </w:pPr>
      <w:r w:rsidRPr="00A94C3C">
        <w:rPr>
          <w:rFonts w:ascii="Times New Roman" w:hAnsi="Times New Roman"/>
        </w:rPr>
        <w:t xml:space="preserve">Item 4 commence from 1 November 2018 to align with the date the </w:t>
      </w:r>
      <w:r w:rsidRPr="00A94C3C">
        <w:rPr>
          <w:rFonts w:ascii="Times New Roman" w:hAnsi="Times New Roman"/>
          <w:i/>
        </w:rPr>
        <w:t>Disaster Recovery Funding Arrangements 2018</w:t>
      </w:r>
      <w:r w:rsidRPr="00A94C3C">
        <w:rPr>
          <w:rFonts w:ascii="Times New Roman" w:hAnsi="Times New Roman"/>
        </w:rPr>
        <w:t xml:space="preserve"> took effect. </w:t>
      </w:r>
    </w:p>
    <w:p w14:paraId="218453DC" w14:textId="48FB5BE6" w:rsidR="00A94C3C" w:rsidRPr="00A94C3C" w:rsidRDefault="00A94C3C" w:rsidP="00A94C3C">
      <w:pPr>
        <w:spacing w:before="240"/>
        <w:rPr>
          <w:rFonts w:ascii="Times New Roman" w:hAnsi="Times New Roman"/>
        </w:rPr>
      </w:pPr>
      <w:r w:rsidRPr="00A94C3C">
        <w:rPr>
          <w:rFonts w:ascii="Times New Roman" w:hAnsi="Times New Roman"/>
        </w:rPr>
        <w:lastRenderedPageBreak/>
        <w:t xml:space="preserve">The retrospective commencement of items 1 to 4 </w:t>
      </w:r>
      <w:r>
        <w:rPr>
          <w:rFonts w:ascii="Times New Roman" w:hAnsi="Times New Roman"/>
        </w:rPr>
        <w:t>does</w:t>
      </w:r>
      <w:r w:rsidRPr="00A94C3C">
        <w:rPr>
          <w:rFonts w:ascii="Times New Roman" w:hAnsi="Times New Roman"/>
        </w:rPr>
        <w:t xml:space="preserve"> not affect a relevant person’s rights so as to disadvantage the person, or impose a relevant liability on that person. </w:t>
      </w:r>
    </w:p>
    <w:p w14:paraId="6C91DA30" w14:textId="3DEE855B" w:rsidR="00A94C3C" w:rsidRPr="00A94C3C" w:rsidRDefault="00A94C3C" w:rsidP="00A94C3C">
      <w:pPr>
        <w:spacing w:before="240"/>
        <w:rPr>
          <w:rFonts w:ascii="Times New Roman" w:hAnsi="Times New Roman"/>
        </w:rPr>
      </w:pPr>
      <w:r w:rsidRPr="00A94C3C">
        <w:rPr>
          <w:rFonts w:ascii="Times New Roman" w:hAnsi="Times New Roman"/>
        </w:rPr>
        <w:t>Item 17 of Schedule 1 to the Regulations amend</w:t>
      </w:r>
      <w:r>
        <w:rPr>
          <w:rFonts w:ascii="Times New Roman" w:hAnsi="Times New Roman"/>
        </w:rPr>
        <w:t>s</w:t>
      </w:r>
      <w:r w:rsidRPr="00A94C3C">
        <w:rPr>
          <w:rFonts w:ascii="Times New Roman" w:hAnsi="Times New Roman"/>
        </w:rPr>
        <w:t xml:space="preserve"> regulation 393-15 of the ITAR 1997, which </w:t>
      </w:r>
      <w:r>
        <w:rPr>
          <w:rFonts w:ascii="Times New Roman" w:hAnsi="Times New Roman"/>
        </w:rPr>
        <w:t>is</w:t>
      </w:r>
      <w:r w:rsidRPr="00A94C3C">
        <w:rPr>
          <w:rFonts w:ascii="Times New Roman" w:hAnsi="Times New Roman"/>
        </w:rPr>
        <w:t xml:space="preserve"> made for the purposes of subsection 393-40(3A) of the ITA Act, to clarify that the regulation is made for the purposes of the entire subsection. This ensure</w:t>
      </w:r>
      <w:r w:rsidR="00BC6C24">
        <w:rPr>
          <w:rFonts w:ascii="Times New Roman" w:hAnsi="Times New Roman"/>
        </w:rPr>
        <w:t>s</w:t>
      </w:r>
      <w:r w:rsidRPr="00A94C3C">
        <w:rPr>
          <w:rFonts w:ascii="Times New Roman" w:hAnsi="Times New Roman"/>
        </w:rPr>
        <w:t xml:space="preserve"> that the regulation operates as intended.</w:t>
      </w:r>
    </w:p>
    <w:p w14:paraId="326C5747" w14:textId="77777777" w:rsidR="00A94C3C" w:rsidRPr="00A94C3C" w:rsidRDefault="00A94C3C" w:rsidP="00A94C3C">
      <w:pPr>
        <w:spacing w:before="240"/>
        <w:rPr>
          <w:rFonts w:ascii="Times New Roman" w:hAnsi="Times New Roman"/>
          <w:i/>
          <w:u w:val="single"/>
        </w:rPr>
      </w:pPr>
      <w:r w:rsidRPr="00A94C3C">
        <w:rPr>
          <w:rFonts w:ascii="Times New Roman" w:hAnsi="Times New Roman"/>
          <w:u w:val="single"/>
        </w:rPr>
        <w:t>Schedule 1—Part 3: Amendments commencing the day after Registration</w:t>
      </w:r>
    </w:p>
    <w:p w14:paraId="015D1198" w14:textId="77777777" w:rsidR="00A94C3C" w:rsidRPr="00A94C3C" w:rsidRDefault="00A94C3C" w:rsidP="00A94C3C">
      <w:pPr>
        <w:spacing w:before="240"/>
        <w:rPr>
          <w:rFonts w:ascii="Times New Roman" w:hAnsi="Times New Roman"/>
          <w:i/>
        </w:rPr>
      </w:pPr>
      <w:r w:rsidRPr="00A94C3C">
        <w:rPr>
          <w:rFonts w:ascii="Times New Roman" w:hAnsi="Times New Roman"/>
          <w:i/>
        </w:rPr>
        <w:t>Superannuation income stream benefits</w:t>
      </w:r>
    </w:p>
    <w:p w14:paraId="6A789CAE" w14:textId="5353F4DE" w:rsidR="00A94C3C" w:rsidRPr="00A94C3C" w:rsidRDefault="00A94C3C" w:rsidP="00A94C3C">
      <w:pPr>
        <w:spacing w:before="240"/>
        <w:rPr>
          <w:rFonts w:ascii="Times New Roman" w:hAnsi="Times New Roman"/>
        </w:rPr>
      </w:pPr>
      <w:r w:rsidRPr="00A94C3C">
        <w:rPr>
          <w:rFonts w:ascii="Times New Roman" w:hAnsi="Times New Roman"/>
        </w:rPr>
        <w:t xml:space="preserve">Items 5 to 8 of Schedule 1 to the Regulations amend the ITAR 1997 to confirm the meaning of </w:t>
      </w:r>
      <w:r w:rsidRPr="00A94C3C">
        <w:rPr>
          <w:rFonts w:ascii="Times New Roman" w:hAnsi="Times New Roman"/>
          <w:i/>
        </w:rPr>
        <w:t>superannuation income stream benefit</w:t>
      </w:r>
      <w:r w:rsidRPr="00A94C3C">
        <w:rPr>
          <w:rFonts w:ascii="Times New Roman" w:hAnsi="Times New Roman"/>
        </w:rPr>
        <w:t xml:space="preserve"> for the purpose of section 307-70 of the ITA Act. </w:t>
      </w:r>
    </w:p>
    <w:p w14:paraId="301F9C59" w14:textId="76EA8167" w:rsidR="00A94C3C" w:rsidRPr="00A94C3C" w:rsidRDefault="00A94C3C" w:rsidP="00A94C3C">
      <w:pPr>
        <w:spacing w:before="240"/>
        <w:rPr>
          <w:rFonts w:ascii="Times New Roman" w:hAnsi="Times New Roman"/>
        </w:rPr>
      </w:pPr>
      <w:r w:rsidRPr="00A94C3C">
        <w:rPr>
          <w:rFonts w:ascii="Times New Roman" w:hAnsi="Times New Roman"/>
        </w:rPr>
        <w:t>Item 5 amend</w:t>
      </w:r>
      <w:r w:rsidR="007C1881">
        <w:rPr>
          <w:rFonts w:ascii="Times New Roman" w:hAnsi="Times New Roman"/>
        </w:rPr>
        <w:t>s</w:t>
      </w:r>
      <w:r w:rsidRPr="00A94C3C">
        <w:rPr>
          <w:rFonts w:ascii="Times New Roman" w:hAnsi="Times New Roman"/>
        </w:rPr>
        <w:t xml:space="preserve"> the ITAR 1997 so that all superannuation benefits are specified for the purposes of the ITA Act. Certain superannuation benefits paid </w:t>
      </w:r>
      <w:r w:rsidR="007C1881">
        <w:rPr>
          <w:rFonts w:ascii="Times New Roman" w:hAnsi="Times New Roman"/>
        </w:rPr>
        <w:t>in the period 1 July 2007 to 30 </w:t>
      </w:r>
      <w:r w:rsidRPr="00A94C3C">
        <w:rPr>
          <w:rFonts w:ascii="Times New Roman" w:hAnsi="Times New Roman"/>
        </w:rPr>
        <w:t>June 2017 are also specified for the purposes of the ITA Act.</w:t>
      </w:r>
    </w:p>
    <w:p w14:paraId="47BDDF2B" w14:textId="027EDC23" w:rsidR="00A94C3C" w:rsidRPr="00A94C3C" w:rsidRDefault="00A94C3C" w:rsidP="00A94C3C">
      <w:pPr>
        <w:spacing w:before="240"/>
        <w:rPr>
          <w:rFonts w:ascii="Times New Roman" w:hAnsi="Times New Roman"/>
        </w:rPr>
      </w:pPr>
      <w:r w:rsidRPr="00A94C3C">
        <w:rPr>
          <w:rFonts w:ascii="Times New Roman" w:hAnsi="Times New Roman"/>
        </w:rPr>
        <w:t xml:space="preserve">Items 7 and 8 amend the definition of </w:t>
      </w:r>
      <w:r w:rsidRPr="00A94C3C">
        <w:rPr>
          <w:rFonts w:ascii="Times New Roman" w:hAnsi="Times New Roman"/>
          <w:i/>
        </w:rPr>
        <w:t>superannuation income stream</w:t>
      </w:r>
      <w:r w:rsidR="007C1881">
        <w:rPr>
          <w:rFonts w:ascii="Times New Roman" w:hAnsi="Times New Roman"/>
        </w:rPr>
        <w:t xml:space="preserve"> in subregulation 995</w:t>
      </w:r>
      <w:r w:rsidR="007C1881">
        <w:rPr>
          <w:rFonts w:ascii="Times New Roman" w:hAnsi="Times New Roman"/>
        </w:rPr>
        <w:noBreakHyphen/>
      </w:r>
      <w:r w:rsidRPr="00A94C3C">
        <w:rPr>
          <w:rFonts w:ascii="Times New Roman" w:hAnsi="Times New Roman"/>
        </w:rPr>
        <w:t>1.01 to clarify the meaning of this term fo</w:t>
      </w:r>
      <w:r w:rsidR="007C1881">
        <w:rPr>
          <w:rFonts w:ascii="Times New Roman" w:hAnsi="Times New Roman"/>
        </w:rPr>
        <w:t>r the purposes of subregulation </w:t>
      </w:r>
      <w:r w:rsidRPr="00A94C3C">
        <w:rPr>
          <w:rFonts w:ascii="Times New Roman" w:hAnsi="Times New Roman"/>
        </w:rPr>
        <w:t>307</w:t>
      </w:r>
      <w:r w:rsidRPr="00A94C3C">
        <w:rPr>
          <w:rFonts w:ascii="Times New Roman" w:hAnsi="Times New Roman"/>
        </w:rPr>
        <w:noBreakHyphen/>
        <w:t xml:space="preserve">70(2) of the ITAR 1997 which provides that the meaning of the term </w:t>
      </w:r>
      <w:r w:rsidRPr="00A94C3C">
        <w:rPr>
          <w:rFonts w:ascii="Times New Roman" w:hAnsi="Times New Roman"/>
          <w:i/>
        </w:rPr>
        <w:t>superannuation income stream</w:t>
      </w:r>
      <w:r w:rsidRPr="00A94C3C">
        <w:rPr>
          <w:rFonts w:ascii="Times New Roman" w:hAnsi="Times New Roman"/>
        </w:rPr>
        <w:t xml:space="preserve"> can be specified in the regulations. These amendments apply in relation to the 2012-13 income year and later income years.</w:t>
      </w:r>
    </w:p>
    <w:p w14:paraId="5A27507B" w14:textId="62B88E9E" w:rsidR="00A94C3C" w:rsidRPr="00A94C3C" w:rsidRDefault="00A94C3C" w:rsidP="00A94C3C">
      <w:pPr>
        <w:spacing w:before="240"/>
        <w:rPr>
          <w:rFonts w:ascii="Times New Roman" w:hAnsi="Times New Roman"/>
        </w:rPr>
      </w:pPr>
      <w:r w:rsidRPr="00A94C3C">
        <w:rPr>
          <w:rFonts w:ascii="Times New Roman" w:hAnsi="Times New Roman"/>
        </w:rPr>
        <w:t>The amendments commence the day after the instrument is registered. However, item 6 provide that item 5 applies from 1 July 2007 and items 7 and 8 apply</w:t>
      </w:r>
      <w:r w:rsidR="007C1881">
        <w:rPr>
          <w:rFonts w:ascii="Times New Roman" w:hAnsi="Times New Roman"/>
        </w:rPr>
        <w:t xml:space="preserve"> in relation to the 2012</w:t>
      </w:r>
      <w:r w:rsidR="007C1881">
        <w:rPr>
          <w:rFonts w:ascii="Times New Roman" w:hAnsi="Times New Roman"/>
        </w:rPr>
        <w:noBreakHyphen/>
      </w:r>
      <w:r w:rsidRPr="00A94C3C">
        <w:rPr>
          <w:rFonts w:ascii="Times New Roman" w:hAnsi="Times New Roman"/>
        </w:rPr>
        <w:t xml:space="preserve">13 income year and later income years. </w:t>
      </w:r>
    </w:p>
    <w:p w14:paraId="3147730C" w14:textId="77777777" w:rsidR="00A94C3C" w:rsidRPr="00A94C3C" w:rsidRDefault="00A94C3C" w:rsidP="00A94C3C">
      <w:pPr>
        <w:spacing w:before="240"/>
        <w:rPr>
          <w:rFonts w:ascii="Times New Roman" w:hAnsi="Times New Roman"/>
        </w:rPr>
      </w:pPr>
      <w:r w:rsidRPr="00A94C3C">
        <w:rPr>
          <w:rFonts w:ascii="Times New Roman" w:hAnsi="Times New Roman"/>
        </w:rPr>
        <w:t xml:space="preserve">The retrospective nature of the application ensures that the meaning of </w:t>
      </w:r>
      <w:r w:rsidRPr="00A94C3C">
        <w:rPr>
          <w:rFonts w:ascii="Times New Roman" w:hAnsi="Times New Roman"/>
          <w:i/>
        </w:rPr>
        <w:t>superannuation income stream benefits</w:t>
      </w:r>
      <w:r w:rsidRPr="00A94C3C">
        <w:rPr>
          <w:rFonts w:ascii="Times New Roman" w:hAnsi="Times New Roman"/>
        </w:rPr>
        <w:t xml:space="preserve"> operates as intended from 2007, when significant reforms to simplify the superannuation system commenced. The intention of the existing provisions is clear and taxpayers have been applying the provisions as intended.</w:t>
      </w:r>
    </w:p>
    <w:p w14:paraId="1D157093" w14:textId="77777777" w:rsidR="00A94C3C" w:rsidRPr="00A94C3C" w:rsidRDefault="00A94C3C" w:rsidP="00A94C3C">
      <w:pPr>
        <w:spacing w:before="240"/>
        <w:rPr>
          <w:rFonts w:ascii="Times New Roman" w:hAnsi="Times New Roman"/>
          <w:i/>
        </w:rPr>
      </w:pPr>
      <w:r w:rsidRPr="00A94C3C">
        <w:rPr>
          <w:rFonts w:ascii="Times New Roman" w:hAnsi="Times New Roman"/>
          <w:i/>
        </w:rPr>
        <w:t xml:space="preserve">Amendment to the Competition Regulations </w:t>
      </w:r>
    </w:p>
    <w:p w14:paraId="5A8C6961" w14:textId="4F81D650" w:rsidR="00A94C3C" w:rsidRPr="00A94C3C" w:rsidRDefault="00A94C3C" w:rsidP="00A94C3C">
      <w:pPr>
        <w:spacing w:before="240"/>
        <w:rPr>
          <w:rFonts w:ascii="Times New Roman" w:hAnsi="Times New Roman"/>
        </w:rPr>
      </w:pPr>
      <w:r w:rsidRPr="00A94C3C">
        <w:rPr>
          <w:rFonts w:ascii="Times New Roman" w:hAnsi="Times New Roman"/>
        </w:rPr>
        <w:t>Item 9 of Schedule 1 to the Regulations insert</w:t>
      </w:r>
      <w:r w:rsidR="007C1881">
        <w:rPr>
          <w:rFonts w:ascii="Times New Roman" w:hAnsi="Times New Roman"/>
        </w:rPr>
        <w:t>s</w:t>
      </w:r>
      <w:r w:rsidRPr="00A94C3C">
        <w:rPr>
          <w:rFonts w:ascii="Times New Roman" w:hAnsi="Times New Roman"/>
        </w:rPr>
        <w:t xml:space="preserve"> a new provision at the end of Part 6 of the Competition Regulations to provide the text that must be displayed on identity cards issued under section 133A of the CC Act (the product safety provision). </w:t>
      </w:r>
    </w:p>
    <w:p w14:paraId="2FE7D5F1" w14:textId="14EDF356" w:rsidR="00A94C3C" w:rsidRPr="00A94C3C" w:rsidRDefault="00A94C3C" w:rsidP="00A94C3C">
      <w:pPr>
        <w:spacing w:before="240"/>
        <w:rPr>
          <w:rFonts w:ascii="Times New Roman" w:hAnsi="Times New Roman"/>
        </w:rPr>
      </w:pPr>
      <w:r w:rsidRPr="00A94C3C">
        <w:rPr>
          <w:rFonts w:ascii="Times New Roman" w:hAnsi="Times New Roman"/>
        </w:rPr>
        <w:t>Currently the Competition Regulations erroneously only provide the text that must be displayed on identity cards issued under section 154C of the CC Act (the generic search and seizure provisions). The amendment enable</w:t>
      </w:r>
      <w:r w:rsidR="007C1881">
        <w:rPr>
          <w:rFonts w:ascii="Times New Roman" w:hAnsi="Times New Roman"/>
        </w:rPr>
        <w:t>s</w:t>
      </w:r>
      <w:r w:rsidRPr="00A94C3C">
        <w:rPr>
          <w:rFonts w:ascii="Times New Roman" w:hAnsi="Times New Roman"/>
        </w:rPr>
        <w:t xml:space="preserve"> greater accuracy and compliance with the legislation. </w:t>
      </w:r>
    </w:p>
    <w:p w14:paraId="6C074402" w14:textId="77777777" w:rsidR="00A94C3C" w:rsidRPr="00A94C3C" w:rsidRDefault="00A94C3C" w:rsidP="00A94C3C">
      <w:pPr>
        <w:spacing w:before="240"/>
        <w:rPr>
          <w:rFonts w:ascii="Times New Roman" w:hAnsi="Times New Roman"/>
          <w:i/>
        </w:rPr>
      </w:pPr>
      <w:r w:rsidRPr="00A94C3C">
        <w:rPr>
          <w:rFonts w:ascii="Times New Roman" w:hAnsi="Times New Roman"/>
          <w:i/>
        </w:rPr>
        <w:t>Amendments to the Corporations Regulations</w:t>
      </w:r>
    </w:p>
    <w:p w14:paraId="6DC8E92D" w14:textId="46B8C31D" w:rsidR="00A94C3C" w:rsidRPr="00A94C3C" w:rsidRDefault="00A94C3C" w:rsidP="00A94C3C">
      <w:pPr>
        <w:spacing w:before="240"/>
        <w:rPr>
          <w:rFonts w:ascii="Times New Roman" w:hAnsi="Times New Roman"/>
        </w:rPr>
      </w:pPr>
      <w:r w:rsidRPr="00A94C3C">
        <w:rPr>
          <w:rFonts w:ascii="Times New Roman" w:hAnsi="Times New Roman"/>
        </w:rPr>
        <w:t xml:space="preserve">Item 10 of Schedule 1 to the Regulations </w:t>
      </w:r>
      <w:r w:rsidR="007C1881">
        <w:rPr>
          <w:rFonts w:ascii="Times New Roman" w:hAnsi="Times New Roman"/>
        </w:rPr>
        <w:t>modifies</w:t>
      </w:r>
      <w:r w:rsidRPr="00A94C3C">
        <w:rPr>
          <w:rFonts w:ascii="Times New Roman" w:hAnsi="Times New Roman"/>
        </w:rPr>
        <w:t xml:space="preserve"> section 923C of the Corporations Act. Section 923C prohibits a person from using the terms ‘financial adviser’, ‘financial planner’ or a word of like import (‘the restricted words’) if the person carries on a financial services business or provides a financial service and does not meet the education, training and professional standards in the </w:t>
      </w:r>
      <w:r w:rsidRPr="00A94C3C">
        <w:rPr>
          <w:rFonts w:ascii="Times New Roman" w:hAnsi="Times New Roman"/>
          <w:i/>
        </w:rPr>
        <w:t>Corporations Amendment (Professional Standards of Financial Advisers) Act 2017.</w:t>
      </w:r>
      <w:r w:rsidRPr="00A94C3C">
        <w:rPr>
          <w:rFonts w:ascii="Times New Roman" w:hAnsi="Times New Roman"/>
        </w:rPr>
        <w:t xml:space="preserve"> There are exceptions for persons that use a restricted word in relation to advice provided only to wholesale clients or in-house advice provided to their employer.</w:t>
      </w:r>
    </w:p>
    <w:p w14:paraId="4FA64521" w14:textId="697B1D4C" w:rsidR="00A94C3C" w:rsidRPr="00A94C3C" w:rsidRDefault="00A94C3C" w:rsidP="00A94C3C">
      <w:pPr>
        <w:spacing w:before="240"/>
        <w:rPr>
          <w:rFonts w:ascii="Times New Roman" w:hAnsi="Times New Roman"/>
        </w:rPr>
      </w:pPr>
      <w:r w:rsidRPr="00A94C3C">
        <w:rPr>
          <w:rFonts w:ascii="Times New Roman" w:hAnsi="Times New Roman"/>
        </w:rPr>
        <w:lastRenderedPageBreak/>
        <w:t>Item 10 ensure</w:t>
      </w:r>
      <w:r w:rsidR="007C1881">
        <w:rPr>
          <w:rFonts w:ascii="Times New Roman" w:hAnsi="Times New Roman"/>
        </w:rPr>
        <w:t>s</w:t>
      </w:r>
      <w:r w:rsidRPr="00A94C3C">
        <w:rPr>
          <w:rFonts w:ascii="Times New Roman" w:hAnsi="Times New Roman"/>
        </w:rPr>
        <w:t xml:space="preserve"> that this prohibition only applies to individuals. This recognises that the education, training and professional standards apply only to individuals. Corporations cannot satisfy the education, training and professional standards and cannot become relevant providers.</w:t>
      </w:r>
    </w:p>
    <w:p w14:paraId="38B6DE7A" w14:textId="65A55498" w:rsidR="00A94C3C" w:rsidRPr="00A94C3C" w:rsidRDefault="00A94C3C" w:rsidP="00A94C3C">
      <w:pPr>
        <w:spacing w:before="240"/>
        <w:rPr>
          <w:rFonts w:ascii="Times New Roman" w:hAnsi="Times New Roman"/>
        </w:rPr>
      </w:pPr>
      <w:r w:rsidRPr="00A94C3C">
        <w:rPr>
          <w:rFonts w:ascii="Times New Roman" w:hAnsi="Times New Roman"/>
        </w:rPr>
        <w:t>The modified version of section 923C ensure</w:t>
      </w:r>
      <w:r w:rsidR="007C1881">
        <w:rPr>
          <w:rFonts w:ascii="Times New Roman" w:hAnsi="Times New Roman"/>
        </w:rPr>
        <w:t>s</w:t>
      </w:r>
      <w:r w:rsidRPr="00A94C3C">
        <w:rPr>
          <w:rFonts w:ascii="Times New Roman" w:hAnsi="Times New Roman"/>
        </w:rPr>
        <w:t xml:space="preserve"> that financial advice firms that employ relevant providers may continue to use restricted terms in their business names or advertisements, notwithstanding that the financial advice firm is not a relevant provider.</w:t>
      </w:r>
    </w:p>
    <w:p w14:paraId="5A81BFD7" w14:textId="19D8FB83" w:rsidR="00A94C3C" w:rsidRPr="00A94C3C" w:rsidRDefault="00A94C3C" w:rsidP="00A94C3C">
      <w:pPr>
        <w:spacing w:before="240"/>
        <w:rPr>
          <w:rFonts w:ascii="Times New Roman" w:hAnsi="Times New Roman"/>
        </w:rPr>
      </w:pPr>
      <w:r w:rsidRPr="00A94C3C">
        <w:rPr>
          <w:rFonts w:ascii="Times New Roman" w:hAnsi="Times New Roman"/>
        </w:rPr>
        <w:t xml:space="preserve">Item 10 </w:t>
      </w:r>
      <w:r w:rsidR="007C1881">
        <w:rPr>
          <w:rFonts w:ascii="Times New Roman" w:hAnsi="Times New Roman"/>
        </w:rPr>
        <w:t>applies</w:t>
      </w:r>
      <w:r w:rsidRPr="00A94C3C">
        <w:rPr>
          <w:rFonts w:ascii="Times New Roman" w:hAnsi="Times New Roman"/>
        </w:rPr>
        <w:t xml:space="preserve"> from 1 January 2019 when the modified provision (section 923C) of the Corporations Act starts to apply.</w:t>
      </w:r>
    </w:p>
    <w:p w14:paraId="3EA98CEC" w14:textId="5AAE2E08" w:rsidR="00A94C3C" w:rsidRPr="00A94C3C" w:rsidRDefault="00A94C3C" w:rsidP="00A94C3C">
      <w:pPr>
        <w:spacing w:before="240"/>
        <w:rPr>
          <w:rFonts w:ascii="Times New Roman" w:hAnsi="Times New Roman"/>
        </w:rPr>
      </w:pPr>
      <w:r w:rsidRPr="00A94C3C">
        <w:rPr>
          <w:rFonts w:ascii="Times New Roman" w:hAnsi="Times New Roman"/>
        </w:rPr>
        <w:t>Item 11 of Schedule 1 to the Regulations correct</w:t>
      </w:r>
      <w:r w:rsidR="007C1881">
        <w:rPr>
          <w:rFonts w:ascii="Times New Roman" w:hAnsi="Times New Roman"/>
        </w:rPr>
        <w:t>s</w:t>
      </w:r>
      <w:r w:rsidRPr="00A94C3C">
        <w:rPr>
          <w:rFonts w:ascii="Times New Roman" w:hAnsi="Times New Roman"/>
        </w:rPr>
        <w:t xml:space="preserve"> the grammatical error of using ‘a’ before the words ‘insurance financial services licensee’ in paragraph 7.8.08(17)(a) of the Corporations Regulations.</w:t>
      </w:r>
    </w:p>
    <w:p w14:paraId="09901035" w14:textId="77777777" w:rsidR="00A94C3C" w:rsidRPr="00A94C3C" w:rsidRDefault="00A94C3C" w:rsidP="00A94C3C">
      <w:pPr>
        <w:spacing w:before="240"/>
        <w:rPr>
          <w:rFonts w:ascii="Times New Roman" w:hAnsi="Times New Roman"/>
          <w:u w:val="single"/>
        </w:rPr>
      </w:pPr>
      <w:r w:rsidRPr="00A94C3C">
        <w:rPr>
          <w:rFonts w:ascii="Times New Roman" w:hAnsi="Times New Roman"/>
          <w:u w:val="single"/>
        </w:rPr>
        <w:t>Schedule 1 – Part 4: Other amendments commencing the first 1 January, 1 April, 1 July or 1 October to occur after registration</w:t>
      </w:r>
    </w:p>
    <w:p w14:paraId="76CA65E4" w14:textId="77777777" w:rsidR="00A94C3C" w:rsidRPr="00A94C3C" w:rsidRDefault="00A94C3C" w:rsidP="00A94C3C">
      <w:pPr>
        <w:spacing w:before="240"/>
        <w:rPr>
          <w:rFonts w:ascii="Times New Roman" w:hAnsi="Times New Roman"/>
          <w:i/>
        </w:rPr>
      </w:pPr>
      <w:r w:rsidRPr="00A94C3C">
        <w:rPr>
          <w:rFonts w:ascii="Times New Roman" w:hAnsi="Times New Roman"/>
          <w:i/>
        </w:rPr>
        <w:t>Amendments to the ABN Regulations</w:t>
      </w:r>
    </w:p>
    <w:p w14:paraId="4DB3D536" w14:textId="4A3AF0C9" w:rsidR="00A94C3C" w:rsidRPr="00A94C3C" w:rsidRDefault="00A94C3C" w:rsidP="00A94C3C">
      <w:pPr>
        <w:spacing w:before="240"/>
        <w:rPr>
          <w:rFonts w:ascii="Times New Roman" w:hAnsi="Times New Roman"/>
        </w:rPr>
      </w:pPr>
      <w:r w:rsidRPr="00A94C3C">
        <w:rPr>
          <w:rFonts w:ascii="Times New Roman" w:hAnsi="Times New Roman"/>
        </w:rPr>
        <w:t>Item 12 of Schedule 1 to the Regulations correct</w:t>
      </w:r>
      <w:r w:rsidR="007C1881">
        <w:rPr>
          <w:rFonts w:ascii="Times New Roman" w:hAnsi="Times New Roman"/>
        </w:rPr>
        <w:t>s</w:t>
      </w:r>
      <w:r w:rsidRPr="00A94C3C">
        <w:rPr>
          <w:rFonts w:ascii="Times New Roman" w:hAnsi="Times New Roman"/>
        </w:rPr>
        <w:t xml:space="preserve"> the legislative reference to the definition of ‘entity’ in the ABN Act.</w:t>
      </w:r>
    </w:p>
    <w:p w14:paraId="07075C5A" w14:textId="62B27F98" w:rsidR="00A94C3C" w:rsidRPr="00A94C3C" w:rsidRDefault="00A94C3C" w:rsidP="00A94C3C">
      <w:pPr>
        <w:spacing w:before="240"/>
        <w:rPr>
          <w:rFonts w:ascii="Times New Roman" w:hAnsi="Times New Roman"/>
          <w:i/>
        </w:rPr>
      </w:pPr>
      <w:r w:rsidRPr="00A94C3C">
        <w:rPr>
          <w:rFonts w:ascii="Times New Roman" w:hAnsi="Times New Roman"/>
        </w:rPr>
        <w:t>Item 13 of Schedule 1 to the Regulations insert</w:t>
      </w:r>
      <w:r w:rsidR="007C1881">
        <w:rPr>
          <w:rFonts w:ascii="Times New Roman" w:hAnsi="Times New Roman"/>
        </w:rPr>
        <w:t>s</w:t>
      </w:r>
      <w:r w:rsidRPr="00A94C3C">
        <w:rPr>
          <w:rFonts w:ascii="Times New Roman" w:hAnsi="Times New Roman"/>
        </w:rPr>
        <w:t xml:space="preserve"> a reference to direct the reader to section 252 of the </w:t>
      </w:r>
      <w:r w:rsidRPr="00A94C3C">
        <w:rPr>
          <w:rFonts w:ascii="Times New Roman" w:hAnsi="Times New Roman"/>
          <w:i/>
        </w:rPr>
        <w:t>Income Tax Assessment Act 1936</w:t>
      </w:r>
      <w:r w:rsidRPr="00A94C3C">
        <w:rPr>
          <w:rFonts w:ascii="Times New Roman" w:hAnsi="Times New Roman"/>
        </w:rPr>
        <w:t xml:space="preserve"> for meaning of ‘public officer’ used in regulation 6 of the ABN Regulations. Regulation 6 requires the name of a registered entity’s public officer to be entered on the Australian Business Register. The amendment provide</w:t>
      </w:r>
      <w:r w:rsidR="00BC6C24">
        <w:rPr>
          <w:rFonts w:ascii="Times New Roman" w:hAnsi="Times New Roman"/>
        </w:rPr>
        <w:t>s</w:t>
      </w:r>
      <w:r w:rsidRPr="00A94C3C">
        <w:rPr>
          <w:rFonts w:ascii="Times New Roman" w:hAnsi="Times New Roman"/>
        </w:rPr>
        <w:t xml:space="preserve"> certainty regarding the meaning of the term in regulation 6.</w:t>
      </w:r>
    </w:p>
    <w:p w14:paraId="406E931B" w14:textId="77777777" w:rsidR="00A94C3C" w:rsidRPr="00A94C3C" w:rsidRDefault="00A94C3C" w:rsidP="00A94C3C">
      <w:pPr>
        <w:spacing w:before="240"/>
        <w:rPr>
          <w:rFonts w:ascii="Times New Roman" w:hAnsi="Times New Roman"/>
          <w:i/>
        </w:rPr>
      </w:pPr>
      <w:r w:rsidRPr="00A94C3C">
        <w:rPr>
          <w:rFonts w:ascii="Times New Roman" w:hAnsi="Times New Roman"/>
          <w:i/>
        </w:rPr>
        <w:t xml:space="preserve">Private health insurance annual statements </w:t>
      </w:r>
    </w:p>
    <w:p w14:paraId="6D0E454D" w14:textId="07E18621" w:rsidR="00A94C3C" w:rsidRPr="00A94C3C" w:rsidRDefault="00A94C3C" w:rsidP="00A94C3C">
      <w:pPr>
        <w:spacing w:before="240"/>
        <w:rPr>
          <w:rFonts w:ascii="Times New Roman" w:hAnsi="Times New Roman"/>
        </w:rPr>
      </w:pPr>
      <w:r w:rsidRPr="00A94C3C">
        <w:rPr>
          <w:rFonts w:ascii="Times New Roman" w:hAnsi="Times New Roman"/>
        </w:rPr>
        <w:t xml:space="preserve">Items 14 to 16 of Schedule 1 to the Regulations </w:t>
      </w:r>
      <w:r w:rsidR="007C1881">
        <w:rPr>
          <w:rFonts w:ascii="Times New Roman" w:hAnsi="Times New Roman"/>
        </w:rPr>
        <w:t>modifies</w:t>
      </w:r>
      <w:r w:rsidRPr="00A94C3C">
        <w:rPr>
          <w:rFonts w:ascii="Times New Roman" w:hAnsi="Times New Roman"/>
        </w:rPr>
        <w:t xml:space="preserve"> Regulation 61-220.02 of the ITAR 1997 to ensure that private health insurers must provide an annual statement in for a financial year if requested by the beneficiary in a subsequent financial year. The statement must be in the approved form and provided within 14 days after the day the request is given. Previously, an annual statement was automatically provided rather than only upon request. </w:t>
      </w:r>
    </w:p>
    <w:p w14:paraId="57859AA6" w14:textId="71E3436D" w:rsidR="00A94C3C" w:rsidRPr="00A94C3C" w:rsidRDefault="00A94C3C" w:rsidP="00A94C3C">
      <w:pPr>
        <w:spacing w:before="240"/>
        <w:rPr>
          <w:rFonts w:ascii="Times New Roman" w:hAnsi="Times New Roman"/>
        </w:rPr>
      </w:pPr>
      <w:r w:rsidRPr="00A94C3C">
        <w:rPr>
          <w:rFonts w:ascii="Times New Roman" w:hAnsi="Times New Roman"/>
        </w:rPr>
        <w:t xml:space="preserve">These amendments align with the changes recently made in relation to the requirements to provide statements to participants under the </w:t>
      </w:r>
      <w:r w:rsidRPr="00A94C3C">
        <w:rPr>
          <w:rFonts w:ascii="Times New Roman" w:hAnsi="Times New Roman"/>
          <w:i/>
        </w:rPr>
        <w:t>Private Health Insurance (Incentives) Rules 2012 (No.2).</w:t>
      </w:r>
    </w:p>
    <w:p w14:paraId="3B8ABFED" w14:textId="77777777" w:rsidR="00A94C3C" w:rsidRPr="00A94C3C" w:rsidRDefault="00A94C3C" w:rsidP="00A94C3C">
      <w:pPr>
        <w:spacing w:before="240"/>
        <w:rPr>
          <w:rFonts w:ascii="Times New Roman" w:hAnsi="Times New Roman"/>
          <w:u w:val="single"/>
        </w:rPr>
      </w:pPr>
      <w:r w:rsidRPr="00A94C3C">
        <w:rPr>
          <w:rFonts w:ascii="Times New Roman" w:hAnsi="Times New Roman"/>
          <w:u w:val="single"/>
        </w:rPr>
        <w:t>Schedule 1 – Part 5: Repeal of the Superannuation Industry (Supervision) (Transitional Provisions) Regulations 1993 (the SIS Transitional Regulations)</w:t>
      </w:r>
    </w:p>
    <w:p w14:paraId="54F1B6F8" w14:textId="7FDC6BB4" w:rsidR="00A94C3C" w:rsidRPr="00A94C3C" w:rsidRDefault="00A94C3C" w:rsidP="00A94C3C">
      <w:pPr>
        <w:spacing w:before="240"/>
        <w:rPr>
          <w:rFonts w:ascii="Times New Roman" w:hAnsi="Times New Roman"/>
        </w:rPr>
      </w:pPr>
      <w:r w:rsidRPr="00A94C3C">
        <w:rPr>
          <w:rFonts w:ascii="Times New Roman" w:hAnsi="Times New Roman"/>
        </w:rPr>
        <w:t>Item 18 of Schedule 1 to the Regulations repeal the SIS</w:t>
      </w:r>
      <w:r w:rsidRPr="00A94C3C">
        <w:rPr>
          <w:rFonts w:ascii="Times New Roman" w:hAnsi="Times New Roman"/>
          <w:i/>
        </w:rPr>
        <w:t xml:space="preserve"> </w:t>
      </w:r>
      <w:r w:rsidRPr="00A94C3C">
        <w:rPr>
          <w:rFonts w:ascii="Times New Roman" w:hAnsi="Times New Roman"/>
        </w:rPr>
        <w:t xml:space="preserve">Transitional Regulations. The SIS Transitional Regulations were made under section 50 of the SIS Act and provided the ‘transitional superannuation fund conditions’ that were relevant to subsections 42(1AC), 42A(4), 50(1) and 50(2) of that Act. </w:t>
      </w:r>
    </w:p>
    <w:p w14:paraId="58053A0F" w14:textId="77777777" w:rsidR="00A94C3C" w:rsidRPr="00A94C3C" w:rsidRDefault="00A94C3C" w:rsidP="00A94C3C">
      <w:pPr>
        <w:spacing w:before="240"/>
        <w:rPr>
          <w:rFonts w:ascii="Times New Roman" w:hAnsi="Times New Roman"/>
        </w:rPr>
      </w:pPr>
      <w:r w:rsidRPr="00A94C3C">
        <w:rPr>
          <w:rFonts w:ascii="Times New Roman" w:hAnsi="Times New Roman"/>
        </w:rPr>
        <w:t xml:space="preserve">Item 100 of Schedule 5 to the Bill repeals section 50 of the SIS Act on the basis that it is no longer operative. Items 97 and 99 of Schedule 5 to that Bill also amend subsections 42(1AC) and 42A(4) to ensure that they apply to the transitional arrangements made under the former section 50. These changes mean that the SIS Transitional Regulations are no longer required and can be repealed. </w:t>
      </w:r>
    </w:p>
    <w:p w14:paraId="5B9135DA" w14:textId="596C4AE2" w:rsidR="00A94C3C" w:rsidRPr="00A94C3C" w:rsidRDefault="00A94C3C" w:rsidP="00A94C3C">
      <w:pPr>
        <w:spacing w:before="240"/>
        <w:rPr>
          <w:rFonts w:ascii="Times New Roman" w:hAnsi="Times New Roman"/>
        </w:rPr>
      </w:pPr>
      <w:r w:rsidRPr="00A94C3C">
        <w:rPr>
          <w:rFonts w:ascii="Times New Roman" w:hAnsi="Times New Roman"/>
        </w:rPr>
        <w:lastRenderedPageBreak/>
        <w:t>The repeal of the SIS Transitional Regulations commence</w:t>
      </w:r>
      <w:r w:rsidR="007C1881">
        <w:rPr>
          <w:rFonts w:ascii="Times New Roman" w:hAnsi="Times New Roman"/>
        </w:rPr>
        <w:t>s</w:t>
      </w:r>
      <w:r w:rsidRPr="00A94C3C">
        <w:rPr>
          <w:rFonts w:ascii="Times New Roman" w:hAnsi="Times New Roman"/>
        </w:rPr>
        <w:t xml:space="preserve"> from the later of the day that this instrument is registered and the day on which item 100 of Schedule 5 to the Bill commences. However, the repeal does not commence at all if that Bill never commences. This approach ensures that the SIS Transitional Regulations would not be repealed before the amendments to the SIS Act facilitating the repeal come into effect.</w:t>
      </w:r>
    </w:p>
    <w:p w14:paraId="6CCBD551" w14:textId="77777777" w:rsidR="00A94C3C" w:rsidRPr="00A94C3C" w:rsidRDefault="00A94C3C" w:rsidP="00A94C3C">
      <w:pPr>
        <w:spacing w:before="240"/>
        <w:rPr>
          <w:rFonts w:ascii="Times New Roman" w:hAnsi="Times New Roman"/>
        </w:rPr>
      </w:pPr>
    </w:p>
    <w:p w14:paraId="62C37E8F" w14:textId="77777777" w:rsidR="00A94C3C" w:rsidRPr="00A94C3C" w:rsidRDefault="00A94C3C" w:rsidP="00A94C3C">
      <w:pPr>
        <w:spacing w:before="240"/>
        <w:rPr>
          <w:rFonts w:ascii="Times New Roman" w:hAnsi="Times New Roman"/>
        </w:rPr>
      </w:pPr>
    </w:p>
    <w:p w14:paraId="00DB10A4" w14:textId="77777777" w:rsidR="00A94C3C" w:rsidRPr="00A94C3C" w:rsidRDefault="00A94C3C" w:rsidP="00A94C3C">
      <w:pPr>
        <w:spacing w:before="240"/>
        <w:rPr>
          <w:rFonts w:ascii="Times New Roman" w:hAnsi="Times New Roman"/>
        </w:rPr>
      </w:pPr>
    </w:p>
    <w:p w14:paraId="283E12C4" w14:textId="5FD0E06F" w:rsidR="00E4438C" w:rsidRPr="005E56F8" w:rsidRDefault="00E4438C" w:rsidP="00534EFE">
      <w:pPr>
        <w:spacing w:before="240"/>
        <w:rPr>
          <w:rFonts w:ascii="Times New Roman" w:hAnsi="Times New Roman"/>
        </w:rPr>
      </w:pPr>
    </w:p>
    <w:p w14:paraId="10D97674" w14:textId="2A81160D" w:rsidR="009143A0" w:rsidRPr="005E56F8" w:rsidRDefault="009143A0" w:rsidP="00647BB7">
      <w:pPr>
        <w:spacing w:before="240"/>
        <w:rPr>
          <w:rFonts w:ascii="Times New Roman" w:hAnsi="Times New Roman"/>
        </w:rPr>
      </w:pPr>
    </w:p>
    <w:sectPr w:rsidR="009143A0" w:rsidRPr="005E56F8"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24A63" w14:textId="77777777" w:rsidR="00E20102" w:rsidRDefault="00E20102" w:rsidP="00954679">
      <w:r>
        <w:separator/>
      </w:r>
    </w:p>
  </w:endnote>
  <w:endnote w:type="continuationSeparator" w:id="0">
    <w:p w14:paraId="24A1A511" w14:textId="77777777" w:rsidR="00E20102" w:rsidRDefault="00E20102" w:rsidP="00954679">
      <w:r>
        <w:continuationSeparator/>
      </w:r>
    </w:p>
  </w:endnote>
  <w:endnote w:type="continuationNotice" w:id="1">
    <w:p w14:paraId="6BB63AF2" w14:textId="77777777" w:rsidR="00E20102" w:rsidRDefault="00E20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C0E1DED" w14:textId="77777777" w:rsidR="00E20102" w:rsidRDefault="00E20102"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B57A6B">
              <w:rPr>
                <w:bCs/>
                <w:noProof/>
              </w:rPr>
              <w:t>3</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B57A6B">
              <w:rPr>
                <w:bCs/>
                <w:noProof/>
              </w:rPr>
              <w:t>6</w:t>
            </w:r>
            <w:r w:rsidRPr="00954679">
              <w:rPr>
                <w:bCs/>
                <w:szCs w:val="24"/>
              </w:rPr>
              <w:fldChar w:fldCharType="end"/>
            </w:r>
          </w:p>
        </w:sdtContent>
      </w:sdt>
    </w:sdtContent>
  </w:sdt>
  <w:p w14:paraId="149EB88F" w14:textId="77777777" w:rsidR="00E20102" w:rsidRDefault="00E20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E56F1" w14:textId="77777777" w:rsidR="00E20102" w:rsidRDefault="00E20102" w:rsidP="00954679">
      <w:r>
        <w:separator/>
      </w:r>
    </w:p>
  </w:footnote>
  <w:footnote w:type="continuationSeparator" w:id="0">
    <w:p w14:paraId="389D48FF" w14:textId="77777777" w:rsidR="00E20102" w:rsidRDefault="00E20102" w:rsidP="00954679">
      <w:r>
        <w:continuationSeparator/>
      </w:r>
    </w:p>
  </w:footnote>
  <w:footnote w:type="continuationNotice" w:id="1">
    <w:p w14:paraId="58476DCC" w14:textId="77777777" w:rsidR="00E20102" w:rsidRDefault="00E2010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5D8B748A"/>
    <w:multiLevelType w:val="multilevel"/>
    <w:tmpl w:val="6874C33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7A43C0B"/>
    <w:multiLevelType w:val="multilevel"/>
    <w:tmpl w:val="BC20B76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CFC5913"/>
    <w:multiLevelType w:val="hybridMultilevel"/>
    <w:tmpl w:val="D7207B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EC307F7"/>
    <w:multiLevelType w:val="multilevel"/>
    <w:tmpl w:val="9212585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99774AF"/>
    <w:multiLevelType w:val="hybridMultilevel"/>
    <w:tmpl w:val="5910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A49"/>
    <w:rsid w:val="00000A12"/>
    <w:rsid w:val="00005FFE"/>
    <w:rsid w:val="00007357"/>
    <w:rsid w:val="00011713"/>
    <w:rsid w:val="00012950"/>
    <w:rsid w:val="00012EF0"/>
    <w:rsid w:val="00015B14"/>
    <w:rsid w:val="00016EA2"/>
    <w:rsid w:val="000202B5"/>
    <w:rsid w:val="0002321A"/>
    <w:rsid w:val="00027E21"/>
    <w:rsid w:val="000434FA"/>
    <w:rsid w:val="00043ADD"/>
    <w:rsid w:val="00045E29"/>
    <w:rsid w:val="000472B6"/>
    <w:rsid w:val="00051329"/>
    <w:rsid w:val="00060EEC"/>
    <w:rsid w:val="00063E95"/>
    <w:rsid w:val="00072B39"/>
    <w:rsid w:val="000746A8"/>
    <w:rsid w:val="00076579"/>
    <w:rsid w:val="00080D16"/>
    <w:rsid w:val="00082820"/>
    <w:rsid w:val="00085284"/>
    <w:rsid w:val="00092174"/>
    <w:rsid w:val="00095211"/>
    <w:rsid w:val="000A046C"/>
    <w:rsid w:val="000A37A2"/>
    <w:rsid w:val="000A44DC"/>
    <w:rsid w:val="000B3537"/>
    <w:rsid w:val="000B3E01"/>
    <w:rsid w:val="000B7584"/>
    <w:rsid w:val="000C0226"/>
    <w:rsid w:val="000C0C76"/>
    <w:rsid w:val="000C10DF"/>
    <w:rsid w:val="000C1C98"/>
    <w:rsid w:val="000C47EC"/>
    <w:rsid w:val="000C551B"/>
    <w:rsid w:val="000E02EF"/>
    <w:rsid w:val="000F54AE"/>
    <w:rsid w:val="000F5864"/>
    <w:rsid w:val="00101462"/>
    <w:rsid w:val="001102E1"/>
    <w:rsid w:val="00111FDC"/>
    <w:rsid w:val="00113B45"/>
    <w:rsid w:val="00115894"/>
    <w:rsid w:val="001214F8"/>
    <w:rsid w:val="00121661"/>
    <w:rsid w:val="00121E08"/>
    <w:rsid w:val="00127F4F"/>
    <w:rsid w:val="0014013F"/>
    <w:rsid w:val="00156BDF"/>
    <w:rsid w:val="00172F87"/>
    <w:rsid w:val="00174B18"/>
    <w:rsid w:val="00175B9E"/>
    <w:rsid w:val="00197145"/>
    <w:rsid w:val="001A1EA4"/>
    <w:rsid w:val="001A3571"/>
    <w:rsid w:val="001A55D6"/>
    <w:rsid w:val="001C0D8E"/>
    <w:rsid w:val="001C2159"/>
    <w:rsid w:val="001C5A29"/>
    <w:rsid w:val="001C6386"/>
    <w:rsid w:val="001C7014"/>
    <w:rsid w:val="001D2390"/>
    <w:rsid w:val="001D28EB"/>
    <w:rsid w:val="001D2E2D"/>
    <w:rsid w:val="001D5953"/>
    <w:rsid w:val="001E0ABB"/>
    <w:rsid w:val="001E6A74"/>
    <w:rsid w:val="001F1C84"/>
    <w:rsid w:val="001F41D0"/>
    <w:rsid w:val="001F5D9F"/>
    <w:rsid w:val="0020308A"/>
    <w:rsid w:val="00215356"/>
    <w:rsid w:val="0021701B"/>
    <w:rsid w:val="00220F16"/>
    <w:rsid w:val="00221459"/>
    <w:rsid w:val="00221B0C"/>
    <w:rsid w:val="00234662"/>
    <w:rsid w:val="0023654E"/>
    <w:rsid w:val="00237DCB"/>
    <w:rsid w:val="00240943"/>
    <w:rsid w:val="002441FD"/>
    <w:rsid w:val="00244CAA"/>
    <w:rsid w:val="00245860"/>
    <w:rsid w:val="002505B7"/>
    <w:rsid w:val="00252B06"/>
    <w:rsid w:val="00254C5B"/>
    <w:rsid w:val="002567D8"/>
    <w:rsid w:val="00270940"/>
    <w:rsid w:val="0028059E"/>
    <w:rsid w:val="00281856"/>
    <w:rsid w:val="00284CCD"/>
    <w:rsid w:val="00285326"/>
    <w:rsid w:val="002856EB"/>
    <w:rsid w:val="00291426"/>
    <w:rsid w:val="00292478"/>
    <w:rsid w:val="00293E41"/>
    <w:rsid w:val="002969A9"/>
    <w:rsid w:val="002B4CA2"/>
    <w:rsid w:val="002C4861"/>
    <w:rsid w:val="002C4AAF"/>
    <w:rsid w:val="002C7295"/>
    <w:rsid w:val="002D27CD"/>
    <w:rsid w:val="002D3996"/>
    <w:rsid w:val="002E6153"/>
    <w:rsid w:val="002F167F"/>
    <w:rsid w:val="002F202D"/>
    <w:rsid w:val="00310C00"/>
    <w:rsid w:val="00314373"/>
    <w:rsid w:val="003149E7"/>
    <w:rsid w:val="003260E8"/>
    <w:rsid w:val="00333E37"/>
    <w:rsid w:val="003342CD"/>
    <w:rsid w:val="00335035"/>
    <w:rsid w:val="00335042"/>
    <w:rsid w:val="0034011E"/>
    <w:rsid w:val="003424EF"/>
    <w:rsid w:val="00343A71"/>
    <w:rsid w:val="00350265"/>
    <w:rsid w:val="0035694D"/>
    <w:rsid w:val="00362B70"/>
    <w:rsid w:val="00381C04"/>
    <w:rsid w:val="00382EA4"/>
    <w:rsid w:val="00386F4F"/>
    <w:rsid w:val="00392BBA"/>
    <w:rsid w:val="00393737"/>
    <w:rsid w:val="003954FD"/>
    <w:rsid w:val="00395D96"/>
    <w:rsid w:val="00396450"/>
    <w:rsid w:val="003A6A2F"/>
    <w:rsid w:val="003A723C"/>
    <w:rsid w:val="003B265F"/>
    <w:rsid w:val="003B2A5E"/>
    <w:rsid w:val="003B2D43"/>
    <w:rsid w:val="003B3E0A"/>
    <w:rsid w:val="003B4C14"/>
    <w:rsid w:val="003C0EFC"/>
    <w:rsid w:val="003C1077"/>
    <w:rsid w:val="003D1712"/>
    <w:rsid w:val="003D77B3"/>
    <w:rsid w:val="003E00C0"/>
    <w:rsid w:val="003E1CE3"/>
    <w:rsid w:val="003F63B8"/>
    <w:rsid w:val="00405E0F"/>
    <w:rsid w:val="00411AEB"/>
    <w:rsid w:val="00412DDF"/>
    <w:rsid w:val="0041406F"/>
    <w:rsid w:val="00415521"/>
    <w:rsid w:val="0042030D"/>
    <w:rsid w:val="00423138"/>
    <w:rsid w:val="00425810"/>
    <w:rsid w:val="00425D12"/>
    <w:rsid w:val="0043009F"/>
    <w:rsid w:val="004320FD"/>
    <w:rsid w:val="00435C6D"/>
    <w:rsid w:val="0043674D"/>
    <w:rsid w:val="00436F2D"/>
    <w:rsid w:val="004371C8"/>
    <w:rsid w:val="00437FAC"/>
    <w:rsid w:val="004429E1"/>
    <w:rsid w:val="004465CB"/>
    <w:rsid w:val="00452A32"/>
    <w:rsid w:val="00455FCE"/>
    <w:rsid w:val="00462095"/>
    <w:rsid w:val="00467D31"/>
    <w:rsid w:val="00471A49"/>
    <w:rsid w:val="004806CB"/>
    <w:rsid w:val="00490199"/>
    <w:rsid w:val="00492E80"/>
    <w:rsid w:val="004962C2"/>
    <w:rsid w:val="004A3395"/>
    <w:rsid w:val="004A3845"/>
    <w:rsid w:val="004A4D2E"/>
    <w:rsid w:val="004A733B"/>
    <w:rsid w:val="004B2F8D"/>
    <w:rsid w:val="004B3C0F"/>
    <w:rsid w:val="004B49B5"/>
    <w:rsid w:val="004B6A51"/>
    <w:rsid w:val="004C05E4"/>
    <w:rsid w:val="004D0FF3"/>
    <w:rsid w:val="004D23C7"/>
    <w:rsid w:val="004D499E"/>
    <w:rsid w:val="004D6CF1"/>
    <w:rsid w:val="004E0252"/>
    <w:rsid w:val="004E0341"/>
    <w:rsid w:val="004E39E1"/>
    <w:rsid w:val="004E405B"/>
    <w:rsid w:val="004E7E8C"/>
    <w:rsid w:val="00502E6B"/>
    <w:rsid w:val="00503171"/>
    <w:rsid w:val="00503399"/>
    <w:rsid w:val="00503E44"/>
    <w:rsid w:val="00515283"/>
    <w:rsid w:val="00515974"/>
    <w:rsid w:val="00516DAB"/>
    <w:rsid w:val="00521E87"/>
    <w:rsid w:val="00526739"/>
    <w:rsid w:val="005332C6"/>
    <w:rsid w:val="00533926"/>
    <w:rsid w:val="00534EFE"/>
    <w:rsid w:val="00553445"/>
    <w:rsid w:val="0055675D"/>
    <w:rsid w:val="00566E8F"/>
    <w:rsid w:val="00570F10"/>
    <w:rsid w:val="005734B1"/>
    <w:rsid w:val="005833BE"/>
    <w:rsid w:val="0058370F"/>
    <w:rsid w:val="00583D24"/>
    <w:rsid w:val="00584E02"/>
    <w:rsid w:val="00585494"/>
    <w:rsid w:val="00587D9E"/>
    <w:rsid w:val="00592D5E"/>
    <w:rsid w:val="005A3DDE"/>
    <w:rsid w:val="005A5A37"/>
    <w:rsid w:val="005A7251"/>
    <w:rsid w:val="005B451F"/>
    <w:rsid w:val="005B5D48"/>
    <w:rsid w:val="005B6320"/>
    <w:rsid w:val="005B65F3"/>
    <w:rsid w:val="005B717C"/>
    <w:rsid w:val="005C2835"/>
    <w:rsid w:val="005C5DFD"/>
    <w:rsid w:val="005D7D5A"/>
    <w:rsid w:val="005E032B"/>
    <w:rsid w:val="005E2254"/>
    <w:rsid w:val="005E4BAC"/>
    <w:rsid w:val="005E56F8"/>
    <w:rsid w:val="005E79A1"/>
    <w:rsid w:val="005F7D98"/>
    <w:rsid w:val="0060130D"/>
    <w:rsid w:val="006047BD"/>
    <w:rsid w:val="00605C7B"/>
    <w:rsid w:val="0061711D"/>
    <w:rsid w:val="006177F4"/>
    <w:rsid w:val="00624F78"/>
    <w:rsid w:val="00636439"/>
    <w:rsid w:val="0064129F"/>
    <w:rsid w:val="00647BB7"/>
    <w:rsid w:val="00651574"/>
    <w:rsid w:val="00652542"/>
    <w:rsid w:val="00657624"/>
    <w:rsid w:val="00661168"/>
    <w:rsid w:val="00662211"/>
    <w:rsid w:val="006673A5"/>
    <w:rsid w:val="00667D29"/>
    <w:rsid w:val="00676471"/>
    <w:rsid w:val="00680297"/>
    <w:rsid w:val="00681C86"/>
    <w:rsid w:val="00687063"/>
    <w:rsid w:val="00687441"/>
    <w:rsid w:val="006924BD"/>
    <w:rsid w:val="00694F9A"/>
    <w:rsid w:val="00696E48"/>
    <w:rsid w:val="00697BAA"/>
    <w:rsid w:val="006A0437"/>
    <w:rsid w:val="006A0786"/>
    <w:rsid w:val="006A4F82"/>
    <w:rsid w:val="006B18B0"/>
    <w:rsid w:val="006B7C04"/>
    <w:rsid w:val="006C143E"/>
    <w:rsid w:val="006C33F2"/>
    <w:rsid w:val="006C4206"/>
    <w:rsid w:val="006C4F2C"/>
    <w:rsid w:val="006D27DD"/>
    <w:rsid w:val="006D5041"/>
    <w:rsid w:val="006E0490"/>
    <w:rsid w:val="006F1846"/>
    <w:rsid w:val="006F4F51"/>
    <w:rsid w:val="00700013"/>
    <w:rsid w:val="00710E06"/>
    <w:rsid w:val="00716C31"/>
    <w:rsid w:val="0073247C"/>
    <w:rsid w:val="00736F61"/>
    <w:rsid w:val="007418FC"/>
    <w:rsid w:val="00741B12"/>
    <w:rsid w:val="0074683F"/>
    <w:rsid w:val="00753E9C"/>
    <w:rsid w:val="00754A43"/>
    <w:rsid w:val="007662C7"/>
    <w:rsid w:val="00766373"/>
    <w:rsid w:val="00776306"/>
    <w:rsid w:val="0078592E"/>
    <w:rsid w:val="00792FF3"/>
    <w:rsid w:val="00797C87"/>
    <w:rsid w:val="007A0AB1"/>
    <w:rsid w:val="007A20F1"/>
    <w:rsid w:val="007A7AA9"/>
    <w:rsid w:val="007B1F10"/>
    <w:rsid w:val="007B4DB4"/>
    <w:rsid w:val="007C1881"/>
    <w:rsid w:val="007C1DE0"/>
    <w:rsid w:val="007C4F92"/>
    <w:rsid w:val="007D6437"/>
    <w:rsid w:val="007D740E"/>
    <w:rsid w:val="007E018D"/>
    <w:rsid w:val="007E22C1"/>
    <w:rsid w:val="007E6DEE"/>
    <w:rsid w:val="007E6FA2"/>
    <w:rsid w:val="007F1B71"/>
    <w:rsid w:val="007F3C69"/>
    <w:rsid w:val="007F3EE1"/>
    <w:rsid w:val="007F72F3"/>
    <w:rsid w:val="00803634"/>
    <w:rsid w:val="00807E7D"/>
    <w:rsid w:val="00820995"/>
    <w:rsid w:val="00820C94"/>
    <w:rsid w:val="00824D37"/>
    <w:rsid w:val="0082679C"/>
    <w:rsid w:val="00831675"/>
    <w:rsid w:val="0083299C"/>
    <w:rsid w:val="00833E43"/>
    <w:rsid w:val="0083420C"/>
    <w:rsid w:val="0083499C"/>
    <w:rsid w:val="008442F3"/>
    <w:rsid w:val="00846B13"/>
    <w:rsid w:val="00853693"/>
    <w:rsid w:val="008543B8"/>
    <w:rsid w:val="00855538"/>
    <w:rsid w:val="00856BC6"/>
    <w:rsid w:val="00856FD0"/>
    <w:rsid w:val="008648FB"/>
    <w:rsid w:val="00865133"/>
    <w:rsid w:val="00871E93"/>
    <w:rsid w:val="0087292F"/>
    <w:rsid w:val="00874A29"/>
    <w:rsid w:val="0088467C"/>
    <w:rsid w:val="00884A67"/>
    <w:rsid w:val="00886885"/>
    <w:rsid w:val="00886A1E"/>
    <w:rsid w:val="00887ACA"/>
    <w:rsid w:val="0089101A"/>
    <w:rsid w:val="00893136"/>
    <w:rsid w:val="00893385"/>
    <w:rsid w:val="00894579"/>
    <w:rsid w:val="008A11DA"/>
    <w:rsid w:val="008A5B67"/>
    <w:rsid w:val="008B59B2"/>
    <w:rsid w:val="008C1539"/>
    <w:rsid w:val="008C702D"/>
    <w:rsid w:val="008D0762"/>
    <w:rsid w:val="008D16F7"/>
    <w:rsid w:val="008E1427"/>
    <w:rsid w:val="008E7688"/>
    <w:rsid w:val="008E76F1"/>
    <w:rsid w:val="008F0F87"/>
    <w:rsid w:val="008F0FB3"/>
    <w:rsid w:val="008F75D9"/>
    <w:rsid w:val="0091294F"/>
    <w:rsid w:val="009143A0"/>
    <w:rsid w:val="00915208"/>
    <w:rsid w:val="00922962"/>
    <w:rsid w:val="00923EB7"/>
    <w:rsid w:val="0092557D"/>
    <w:rsid w:val="00932DEB"/>
    <w:rsid w:val="00933652"/>
    <w:rsid w:val="00933C57"/>
    <w:rsid w:val="00933D11"/>
    <w:rsid w:val="00936031"/>
    <w:rsid w:val="00940790"/>
    <w:rsid w:val="009440A7"/>
    <w:rsid w:val="00944184"/>
    <w:rsid w:val="00945214"/>
    <w:rsid w:val="0095032A"/>
    <w:rsid w:val="009507CA"/>
    <w:rsid w:val="00954312"/>
    <w:rsid w:val="00954679"/>
    <w:rsid w:val="00967002"/>
    <w:rsid w:val="00971F5D"/>
    <w:rsid w:val="00975459"/>
    <w:rsid w:val="009875CF"/>
    <w:rsid w:val="00990F5F"/>
    <w:rsid w:val="0099187D"/>
    <w:rsid w:val="009A13E7"/>
    <w:rsid w:val="009B10DB"/>
    <w:rsid w:val="009B17CE"/>
    <w:rsid w:val="009B27E0"/>
    <w:rsid w:val="009B38D0"/>
    <w:rsid w:val="009C00C0"/>
    <w:rsid w:val="009C58C9"/>
    <w:rsid w:val="009C5977"/>
    <w:rsid w:val="009C7F2A"/>
    <w:rsid w:val="009D3DBB"/>
    <w:rsid w:val="009E2C0C"/>
    <w:rsid w:val="009E2F86"/>
    <w:rsid w:val="009F1EE4"/>
    <w:rsid w:val="009F29E1"/>
    <w:rsid w:val="009F40A3"/>
    <w:rsid w:val="009F42CB"/>
    <w:rsid w:val="00A00604"/>
    <w:rsid w:val="00A02B80"/>
    <w:rsid w:val="00A04F69"/>
    <w:rsid w:val="00A11331"/>
    <w:rsid w:val="00A12209"/>
    <w:rsid w:val="00A155D3"/>
    <w:rsid w:val="00A156A4"/>
    <w:rsid w:val="00A165C2"/>
    <w:rsid w:val="00A23C74"/>
    <w:rsid w:val="00A27917"/>
    <w:rsid w:val="00A27B8D"/>
    <w:rsid w:val="00A346D7"/>
    <w:rsid w:val="00A36DF3"/>
    <w:rsid w:val="00A40638"/>
    <w:rsid w:val="00A469CD"/>
    <w:rsid w:val="00A4716B"/>
    <w:rsid w:val="00A51AB2"/>
    <w:rsid w:val="00A52892"/>
    <w:rsid w:val="00A532DD"/>
    <w:rsid w:val="00A533DA"/>
    <w:rsid w:val="00A56A51"/>
    <w:rsid w:val="00A62637"/>
    <w:rsid w:val="00A65680"/>
    <w:rsid w:val="00A7197B"/>
    <w:rsid w:val="00A762D2"/>
    <w:rsid w:val="00A76663"/>
    <w:rsid w:val="00A80BCF"/>
    <w:rsid w:val="00A8369C"/>
    <w:rsid w:val="00A85269"/>
    <w:rsid w:val="00A854EC"/>
    <w:rsid w:val="00A91411"/>
    <w:rsid w:val="00A91A5E"/>
    <w:rsid w:val="00A94C3C"/>
    <w:rsid w:val="00AA1689"/>
    <w:rsid w:val="00AA3CBC"/>
    <w:rsid w:val="00AA64D9"/>
    <w:rsid w:val="00AB17B9"/>
    <w:rsid w:val="00AB443A"/>
    <w:rsid w:val="00AB5CE2"/>
    <w:rsid w:val="00AB71FB"/>
    <w:rsid w:val="00AC0C8C"/>
    <w:rsid w:val="00AC15FD"/>
    <w:rsid w:val="00AC1D15"/>
    <w:rsid w:val="00AD13A9"/>
    <w:rsid w:val="00AD5E30"/>
    <w:rsid w:val="00AD62BB"/>
    <w:rsid w:val="00AE4F10"/>
    <w:rsid w:val="00AF0F43"/>
    <w:rsid w:val="00AF35B7"/>
    <w:rsid w:val="00AF3CB3"/>
    <w:rsid w:val="00AF3FD1"/>
    <w:rsid w:val="00B0218F"/>
    <w:rsid w:val="00B04B5C"/>
    <w:rsid w:val="00B05D28"/>
    <w:rsid w:val="00B07A35"/>
    <w:rsid w:val="00B07B0C"/>
    <w:rsid w:val="00B2152E"/>
    <w:rsid w:val="00B25563"/>
    <w:rsid w:val="00B25638"/>
    <w:rsid w:val="00B26D48"/>
    <w:rsid w:val="00B42EE1"/>
    <w:rsid w:val="00B433F9"/>
    <w:rsid w:val="00B43636"/>
    <w:rsid w:val="00B50D58"/>
    <w:rsid w:val="00B51DF7"/>
    <w:rsid w:val="00B521A7"/>
    <w:rsid w:val="00B54DBF"/>
    <w:rsid w:val="00B57A6B"/>
    <w:rsid w:val="00B6057B"/>
    <w:rsid w:val="00B62586"/>
    <w:rsid w:val="00B641B6"/>
    <w:rsid w:val="00B64D19"/>
    <w:rsid w:val="00B92478"/>
    <w:rsid w:val="00B94921"/>
    <w:rsid w:val="00B96E8E"/>
    <w:rsid w:val="00BB3E4A"/>
    <w:rsid w:val="00BB4505"/>
    <w:rsid w:val="00BB4BEB"/>
    <w:rsid w:val="00BC069E"/>
    <w:rsid w:val="00BC1F14"/>
    <w:rsid w:val="00BC652D"/>
    <w:rsid w:val="00BC6C24"/>
    <w:rsid w:val="00BD2DE0"/>
    <w:rsid w:val="00BD4CFD"/>
    <w:rsid w:val="00BD61A2"/>
    <w:rsid w:val="00BE0638"/>
    <w:rsid w:val="00BE155D"/>
    <w:rsid w:val="00BE484D"/>
    <w:rsid w:val="00BF5E57"/>
    <w:rsid w:val="00BF7AB3"/>
    <w:rsid w:val="00C06717"/>
    <w:rsid w:val="00C06FEA"/>
    <w:rsid w:val="00C076D5"/>
    <w:rsid w:val="00C13991"/>
    <w:rsid w:val="00C25505"/>
    <w:rsid w:val="00C27053"/>
    <w:rsid w:val="00C37E05"/>
    <w:rsid w:val="00C403E3"/>
    <w:rsid w:val="00C42100"/>
    <w:rsid w:val="00C43E72"/>
    <w:rsid w:val="00C470F3"/>
    <w:rsid w:val="00C55D29"/>
    <w:rsid w:val="00C56EAC"/>
    <w:rsid w:val="00C57176"/>
    <w:rsid w:val="00C62AA4"/>
    <w:rsid w:val="00C63A5F"/>
    <w:rsid w:val="00C75272"/>
    <w:rsid w:val="00C86AC3"/>
    <w:rsid w:val="00C912B1"/>
    <w:rsid w:val="00C942C2"/>
    <w:rsid w:val="00C96374"/>
    <w:rsid w:val="00CA0BE9"/>
    <w:rsid w:val="00CA138D"/>
    <w:rsid w:val="00CA5E19"/>
    <w:rsid w:val="00CB5C47"/>
    <w:rsid w:val="00CC7641"/>
    <w:rsid w:val="00CD1A63"/>
    <w:rsid w:val="00CD32DC"/>
    <w:rsid w:val="00CE0428"/>
    <w:rsid w:val="00CE2BDE"/>
    <w:rsid w:val="00CF0A11"/>
    <w:rsid w:val="00CF5C17"/>
    <w:rsid w:val="00D00D82"/>
    <w:rsid w:val="00D0133D"/>
    <w:rsid w:val="00D02934"/>
    <w:rsid w:val="00D05297"/>
    <w:rsid w:val="00D100D3"/>
    <w:rsid w:val="00D13794"/>
    <w:rsid w:val="00D24052"/>
    <w:rsid w:val="00D24386"/>
    <w:rsid w:val="00D24868"/>
    <w:rsid w:val="00D31575"/>
    <w:rsid w:val="00D34626"/>
    <w:rsid w:val="00D37AC9"/>
    <w:rsid w:val="00D37B87"/>
    <w:rsid w:val="00D41607"/>
    <w:rsid w:val="00D4257A"/>
    <w:rsid w:val="00D45692"/>
    <w:rsid w:val="00D538A5"/>
    <w:rsid w:val="00D5394E"/>
    <w:rsid w:val="00D53FFB"/>
    <w:rsid w:val="00D6207A"/>
    <w:rsid w:val="00D62665"/>
    <w:rsid w:val="00D64DCD"/>
    <w:rsid w:val="00D74B5E"/>
    <w:rsid w:val="00D777DB"/>
    <w:rsid w:val="00D82659"/>
    <w:rsid w:val="00D8270C"/>
    <w:rsid w:val="00D93DBA"/>
    <w:rsid w:val="00DA0E0D"/>
    <w:rsid w:val="00DA22DF"/>
    <w:rsid w:val="00DA55BE"/>
    <w:rsid w:val="00DA6324"/>
    <w:rsid w:val="00DA6D33"/>
    <w:rsid w:val="00DB243B"/>
    <w:rsid w:val="00DB5DC7"/>
    <w:rsid w:val="00DB6237"/>
    <w:rsid w:val="00DB64BC"/>
    <w:rsid w:val="00DC0CDE"/>
    <w:rsid w:val="00DC16AE"/>
    <w:rsid w:val="00DC1B2B"/>
    <w:rsid w:val="00DC26D4"/>
    <w:rsid w:val="00DC4D72"/>
    <w:rsid w:val="00DD1C6B"/>
    <w:rsid w:val="00DD6015"/>
    <w:rsid w:val="00DE072F"/>
    <w:rsid w:val="00DE1E61"/>
    <w:rsid w:val="00DE4682"/>
    <w:rsid w:val="00DF3CC1"/>
    <w:rsid w:val="00DF6193"/>
    <w:rsid w:val="00E0051E"/>
    <w:rsid w:val="00E02B2F"/>
    <w:rsid w:val="00E060DE"/>
    <w:rsid w:val="00E0624D"/>
    <w:rsid w:val="00E07DC1"/>
    <w:rsid w:val="00E10CC6"/>
    <w:rsid w:val="00E12F1B"/>
    <w:rsid w:val="00E16ED0"/>
    <w:rsid w:val="00E20102"/>
    <w:rsid w:val="00E24467"/>
    <w:rsid w:val="00E27E92"/>
    <w:rsid w:val="00E302EB"/>
    <w:rsid w:val="00E43248"/>
    <w:rsid w:val="00E4438C"/>
    <w:rsid w:val="00E457F3"/>
    <w:rsid w:val="00E53301"/>
    <w:rsid w:val="00E571C2"/>
    <w:rsid w:val="00E576A1"/>
    <w:rsid w:val="00E60A02"/>
    <w:rsid w:val="00E61D69"/>
    <w:rsid w:val="00E64757"/>
    <w:rsid w:val="00E651B4"/>
    <w:rsid w:val="00E65534"/>
    <w:rsid w:val="00E665EE"/>
    <w:rsid w:val="00E766D9"/>
    <w:rsid w:val="00E860EB"/>
    <w:rsid w:val="00E94640"/>
    <w:rsid w:val="00EA1661"/>
    <w:rsid w:val="00EA7A6F"/>
    <w:rsid w:val="00EB40EA"/>
    <w:rsid w:val="00EB7E71"/>
    <w:rsid w:val="00EC1DF6"/>
    <w:rsid w:val="00EC3785"/>
    <w:rsid w:val="00EC4F5C"/>
    <w:rsid w:val="00EC56B6"/>
    <w:rsid w:val="00EC79D4"/>
    <w:rsid w:val="00EE2494"/>
    <w:rsid w:val="00EF6E3C"/>
    <w:rsid w:val="00F00B3E"/>
    <w:rsid w:val="00F053A2"/>
    <w:rsid w:val="00F06D35"/>
    <w:rsid w:val="00F10920"/>
    <w:rsid w:val="00F109D4"/>
    <w:rsid w:val="00F12948"/>
    <w:rsid w:val="00F20132"/>
    <w:rsid w:val="00F42B1D"/>
    <w:rsid w:val="00F44500"/>
    <w:rsid w:val="00F47585"/>
    <w:rsid w:val="00F6139D"/>
    <w:rsid w:val="00F674FB"/>
    <w:rsid w:val="00F74CAC"/>
    <w:rsid w:val="00F85E6F"/>
    <w:rsid w:val="00F875B3"/>
    <w:rsid w:val="00F90A1C"/>
    <w:rsid w:val="00F92D7C"/>
    <w:rsid w:val="00F9338F"/>
    <w:rsid w:val="00F973E3"/>
    <w:rsid w:val="00FA053B"/>
    <w:rsid w:val="00FA2867"/>
    <w:rsid w:val="00FA5C9D"/>
    <w:rsid w:val="00FB51EB"/>
    <w:rsid w:val="00FB5AA2"/>
    <w:rsid w:val="00FB6EFF"/>
    <w:rsid w:val="00FC1160"/>
    <w:rsid w:val="00FC6096"/>
    <w:rsid w:val="00FE04E4"/>
    <w:rsid w:val="00FE0883"/>
    <w:rsid w:val="00FE336E"/>
    <w:rsid w:val="00FE73F9"/>
    <w:rsid w:val="00FF1057"/>
    <w:rsid w:val="00FF3E25"/>
    <w:rsid w:val="00FF41D2"/>
    <w:rsid w:val="00FF5E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0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C57"/>
    <w:rPr>
      <w:rFonts w:ascii="Calibri" w:eastAsiaTheme="minorHAnsi" w:hAnsi="Calibri"/>
      <w:sz w:val="22"/>
      <w:szCs w:val="22"/>
      <w:lang w:eastAsia="en-US"/>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6">
    <w:name w:val="heading 6"/>
    <w:basedOn w:val="Normal"/>
    <w:next w:val="Normal"/>
    <w:link w:val="Heading6Char"/>
    <w:uiPriority w:val="9"/>
    <w:unhideWhenUsed/>
    <w:qFormat/>
    <w:rsid w:val="008D076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styleId="Emphasis">
    <w:name w:val="Emphasis"/>
    <w:basedOn w:val="DefaultParagraphFont"/>
    <w:uiPriority w:val="20"/>
    <w:qFormat/>
    <w:rsid w:val="00502E6B"/>
    <w:rPr>
      <w:i/>
      <w:iCs/>
    </w:rPr>
  </w:style>
  <w:style w:type="character" w:customStyle="1" w:styleId="Heading6Char">
    <w:name w:val="Heading 6 Char"/>
    <w:basedOn w:val="DefaultParagraphFont"/>
    <w:link w:val="Heading6"/>
    <w:uiPriority w:val="9"/>
    <w:rsid w:val="008D0762"/>
    <w:rPr>
      <w:rFonts w:asciiTheme="majorHAnsi" w:eastAsiaTheme="majorEastAsia" w:hAnsiTheme="majorHAnsi" w:cstheme="majorBidi"/>
      <w:i/>
      <w:iCs/>
      <w:color w:val="243F60" w:themeColor="accent1" w:themeShade="7F"/>
      <w:sz w:val="22"/>
      <w:szCs w:val="22"/>
      <w:lang w:eastAsia="en-US"/>
    </w:rPr>
  </w:style>
  <w:style w:type="paragraph" w:styleId="ListParagraph">
    <w:name w:val="List Paragraph"/>
    <w:basedOn w:val="Normal"/>
    <w:uiPriority w:val="34"/>
    <w:qFormat/>
    <w:rsid w:val="00F42B1D"/>
    <w:pPr>
      <w:ind w:left="720"/>
      <w:contextualSpacing/>
    </w:pPr>
  </w:style>
  <w:style w:type="paragraph" w:customStyle="1" w:styleId="paragraph">
    <w:name w:val="paragraph"/>
    <w:aliases w:val="a"/>
    <w:basedOn w:val="Normal"/>
    <w:rsid w:val="001C5A29"/>
    <w:pPr>
      <w:tabs>
        <w:tab w:val="right" w:pos="1531"/>
      </w:tabs>
      <w:spacing w:before="40"/>
      <w:ind w:left="1644" w:hanging="1644"/>
    </w:pPr>
    <w:rPr>
      <w:rFonts w:ascii="Times New Roman" w:eastAsia="Times New Roman" w:hAnsi="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C57"/>
    <w:rPr>
      <w:rFonts w:ascii="Calibri" w:eastAsiaTheme="minorHAnsi" w:hAnsi="Calibri"/>
      <w:sz w:val="22"/>
      <w:szCs w:val="22"/>
      <w:lang w:eastAsia="en-US"/>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6">
    <w:name w:val="heading 6"/>
    <w:basedOn w:val="Normal"/>
    <w:next w:val="Normal"/>
    <w:link w:val="Heading6Char"/>
    <w:uiPriority w:val="9"/>
    <w:unhideWhenUsed/>
    <w:qFormat/>
    <w:rsid w:val="008D076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styleId="Emphasis">
    <w:name w:val="Emphasis"/>
    <w:basedOn w:val="DefaultParagraphFont"/>
    <w:uiPriority w:val="20"/>
    <w:qFormat/>
    <w:rsid w:val="00502E6B"/>
    <w:rPr>
      <w:i/>
      <w:iCs/>
    </w:rPr>
  </w:style>
  <w:style w:type="character" w:customStyle="1" w:styleId="Heading6Char">
    <w:name w:val="Heading 6 Char"/>
    <w:basedOn w:val="DefaultParagraphFont"/>
    <w:link w:val="Heading6"/>
    <w:uiPriority w:val="9"/>
    <w:rsid w:val="008D0762"/>
    <w:rPr>
      <w:rFonts w:asciiTheme="majorHAnsi" w:eastAsiaTheme="majorEastAsia" w:hAnsiTheme="majorHAnsi" w:cstheme="majorBidi"/>
      <w:i/>
      <w:iCs/>
      <w:color w:val="243F60" w:themeColor="accent1" w:themeShade="7F"/>
      <w:sz w:val="22"/>
      <w:szCs w:val="22"/>
      <w:lang w:eastAsia="en-US"/>
    </w:rPr>
  </w:style>
  <w:style w:type="paragraph" w:styleId="ListParagraph">
    <w:name w:val="List Paragraph"/>
    <w:basedOn w:val="Normal"/>
    <w:uiPriority w:val="34"/>
    <w:qFormat/>
    <w:rsid w:val="00F42B1D"/>
    <w:pPr>
      <w:ind w:left="720"/>
      <w:contextualSpacing/>
    </w:pPr>
  </w:style>
  <w:style w:type="paragraph" w:customStyle="1" w:styleId="paragraph">
    <w:name w:val="paragraph"/>
    <w:aliases w:val="a"/>
    <w:basedOn w:val="Normal"/>
    <w:rsid w:val="001C5A29"/>
    <w:pPr>
      <w:tabs>
        <w:tab w:val="right" w:pos="1531"/>
      </w:tabs>
      <w:spacing w:before="40"/>
      <w:ind w:left="1644" w:hanging="1644"/>
    </w:pPr>
    <w:rPr>
      <w:rFonts w:ascii="Times New Roman" w:eastAsia="Times New Roman" w:hAnsi="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43382">
      <w:bodyDiv w:val="1"/>
      <w:marLeft w:val="0"/>
      <w:marRight w:val="0"/>
      <w:marTop w:val="0"/>
      <w:marBottom w:val="0"/>
      <w:divBdr>
        <w:top w:val="none" w:sz="0" w:space="0" w:color="auto"/>
        <w:left w:val="none" w:sz="0" w:space="0" w:color="auto"/>
        <w:bottom w:val="none" w:sz="0" w:space="0" w:color="auto"/>
        <w:right w:val="none" w:sz="0" w:space="0" w:color="auto"/>
      </w:divBdr>
    </w:div>
    <w:div w:id="855004655">
      <w:bodyDiv w:val="1"/>
      <w:marLeft w:val="0"/>
      <w:marRight w:val="0"/>
      <w:marTop w:val="0"/>
      <w:marBottom w:val="0"/>
      <w:divBdr>
        <w:top w:val="none" w:sz="0" w:space="0" w:color="auto"/>
        <w:left w:val="none" w:sz="0" w:space="0" w:color="auto"/>
        <w:bottom w:val="none" w:sz="0" w:space="0" w:color="auto"/>
        <w:right w:val="none" w:sz="0" w:space="0" w:color="auto"/>
      </w:divBdr>
    </w:div>
    <w:div w:id="957832765">
      <w:bodyDiv w:val="1"/>
      <w:marLeft w:val="0"/>
      <w:marRight w:val="0"/>
      <w:marTop w:val="0"/>
      <w:marBottom w:val="0"/>
      <w:divBdr>
        <w:top w:val="none" w:sz="0" w:space="0" w:color="auto"/>
        <w:left w:val="none" w:sz="0" w:space="0" w:color="auto"/>
        <w:bottom w:val="none" w:sz="0" w:space="0" w:color="auto"/>
        <w:right w:val="none" w:sz="0" w:space="0" w:color="auto"/>
      </w:divBdr>
    </w:div>
    <w:div w:id="1442870908">
      <w:bodyDiv w:val="1"/>
      <w:marLeft w:val="0"/>
      <w:marRight w:val="0"/>
      <w:marTop w:val="0"/>
      <w:marBottom w:val="0"/>
      <w:divBdr>
        <w:top w:val="none" w:sz="0" w:space="0" w:color="auto"/>
        <w:left w:val="none" w:sz="0" w:space="0" w:color="auto"/>
        <w:bottom w:val="none" w:sz="0" w:space="0" w:color="auto"/>
        <w:right w:val="none" w:sz="0" w:space="0" w:color="auto"/>
      </w:divBdr>
    </w:div>
    <w:div w:id="1684938342">
      <w:bodyDiv w:val="1"/>
      <w:marLeft w:val="0"/>
      <w:marRight w:val="0"/>
      <w:marTop w:val="0"/>
      <w:marBottom w:val="0"/>
      <w:divBdr>
        <w:top w:val="none" w:sz="0" w:space="0" w:color="auto"/>
        <w:left w:val="none" w:sz="0" w:space="0" w:color="auto"/>
        <w:bottom w:val="none" w:sz="0" w:space="0" w:color="auto"/>
        <w:right w:val="none" w:sz="0" w:space="0" w:color="auto"/>
      </w:divBdr>
    </w:div>
    <w:div w:id="192860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TaxCatchAll>
    <_dlc_DocId xmlns="0f563589-9cf9-4143-b1eb-fb0534803d38">2018RG-111-10445</_dlc_DocId>
    <_dlc_DocIdUrl xmlns="0f563589-9cf9-4143-b1eb-fb0534803d38">
      <Url>http://tweb/sites/rg/ldp/lmu/_layouts/15/DocIdRedir.aspx?ID=2018RG-111-10445</Url>
      <Description>2018RG-111-10445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6015" ma:contentTypeDescription=" " ma:contentTypeScope="" ma:versionID="f7f739520b25d5ec86b8e6b35b4bc2f7">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schemas.openxmlformats.org/package/2006/metadata/core-properties"/>
    <ds:schemaRef ds:uri="http://purl.org/dc/elements/1.1/"/>
    <ds:schemaRef ds:uri="http://purl.org/dc/dcmitype/"/>
    <ds:schemaRef ds:uri="0f563589-9cf9-4143-b1eb-fb0534803d38"/>
    <ds:schemaRef ds:uri="http://schemas.microsoft.com/office/infopath/2007/PartnerControls"/>
    <ds:schemaRef ds:uri="http://purl.org/dc/terms/"/>
    <ds:schemaRef ds:uri="http://schemas.microsoft.com/sharepoint/v4"/>
    <ds:schemaRef ds:uri="http://schemas.microsoft.com/office/2006/documentManagement/types"/>
    <ds:schemaRef ds:uri="http://schemas.microsoft.com/office/2006/metadata/properties"/>
    <ds:schemaRef ds:uri="9f7bc583-7cbe-45b9-a2bd-8bbb6543b37e"/>
    <ds:schemaRef ds:uri="http://schemas.microsoft.com/sharepoint/v3"/>
    <ds:schemaRef ds:uri="http://www.w3.org/XML/1998/namespace"/>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EC85B4C8-0D17-4647-A528-BC2E1EF0DD43}"/>
</file>

<file path=customXml/itemProps5.xml><?xml version="1.0" encoding="utf-8"?>
<ds:datastoreItem xmlns:ds="http://schemas.openxmlformats.org/officeDocument/2006/customXml" ds:itemID="{6EEC96BD-1473-41EC-8EAC-865C9BBA12A1}">
  <ds:schemaRefs>
    <ds:schemaRef ds:uri="http://schemas.microsoft.com/sharepoint/events"/>
  </ds:schemaRefs>
</ds:datastoreItem>
</file>

<file path=customXml/itemProps6.xml><?xml version="1.0" encoding="utf-8"?>
<ds:datastoreItem xmlns:ds="http://schemas.openxmlformats.org/officeDocument/2006/customXml" ds:itemID="{C996967B-A952-4B80-8F4A-C26C2E45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5</TotalTime>
  <Pages>6</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Wang, Amy</dc:creator>
  <cp:lastModifiedBy>Osborne, Lea</cp:lastModifiedBy>
  <cp:revision>3</cp:revision>
  <cp:lastPrinted>2018-11-22T03:09:00Z</cp:lastPrinted>
  <dcterms:created xsi:type="dcterms:W3CDTF">2018-11-22T01:07:00Z</dcterms:created>
  <dcterms:modified xsi:type="dcterms:W3CDTF">2018-11-22T03:09:00Z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-324608569</vt:i4>
  </property>
  <property fmtid="{D5CDD505-2E9C-101B-9397-08002B2CF9AE}" pid="3" name="_NewReviewCycle">
    <vt:lpwstr/>
  </property>
  <property fmtid="{D5CDD505-2E9C-101B-9397-08002B2CF9AE}" pid="4" name="_EmailSubject">
    <vt:lpwstr>FOR LAW ACTION: FOR CLEARANCE - Treasury Laws Amendment (Miscellaneous Amendments) Regulations 2018 [SEC=PROTECTED, DLM=Sensitive:Legal]</vt:lpwstr>
  </property>
  <property fmtid="{D5CDD505-2E9C-101B-9397-08002B2CF9AE}" pid="5" name="_AuthorEmail">
    <vt:lpwstr>Amy.Wang@treasury.gov.au</vt:lpwstr>
  </property>
  <property fmtid="{D5CDD505-2E9C-101B-9397-08002B2CF9AE}" pid="6" name="_AuthorEmailDisplayName">
    <vt:lpwstr>Wang, Amy</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_dlc_DocIdItemGuid">
    <vt:lpwstr>4ef9ace7-77cc-49c3-8c9d-d5a43e2ab8ef</vt:lpwstr>
  </property>
  <property fmtid="{D5CDD505-2E9C-101B-9397-08002B2CF9AE}" pid="10" name="_PreviousAdHocReviewCycleID">
    <vt:i4>-1533705720</vt:i4>
  </property>
  <property fmtid="{D5CDD505-2E9C-101B-9397-08002B2CF9AE}" pid="11" name="RecordPoint_WorkflowType">
    <vt:lpwstr>ActiveSubmitStub</vt:lpwstr>
  </property>
  <property fmtid="{D5CDD505-2E9C-101B-9397-08002B2CF9AE}" pid="12" name="RecordPoint_ActiveItemUniqueId">
    <vt:lpwstr>{4ef9ace7-77cc-49c3-8c9d-d5a43e2ab8ef}</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R0001934957</vt:lpwstr>
  </property>
  <property fmtid="{D5CDD505-2E9C-101B-9397-08002B2CF9AE}" pid="17" name="RecordPoint_SubmissionCompleted">
    <vt:lpwstr>2018-11-25T00:17:39.4619943+11:00</vt:lpwstr>
  </property>
  <property fmtid="{D5CDD505-2E9C-101B-9397-08002B2CF9AE}" pid="18" name="_ReviewingToolsShownOnce">
    <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