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B70" w:rsidRPr="00641906" w:rsidRDefault="00667B70" w:rsidP="00923579">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rsidR="00667B70" w:rsidRDefault="00667B70">
      <w:pPr>
        <w:jc w:val="center"/>
        <w:rPr>
          <w:rFonts w:ascii="Times New Roman" w:hAnsi="Times New Roman" w:cs="Times New Roman"/>
        </w:rPr>
      </w:pPr>
      <w:r>
        <w:rPr>
          <w:rFonts w:ascii="Times New Roman" w:hAnsi="Times New Roman" w:cs="Times New Roman"/>
        </w:rPr>
        <w:t xml:space="preserve">Issued by Authority of the Attorney-General </w:t>
      </w:r>
    </w:p>
    <w:p w:rsidR="00667B70" w:rsidRDefault="00667B70" w:rsidP="00734AED">
      <w:pPr>
        <w:jc w:val="center"/>
        <w:rPr>
          <w:rFonts w:ascii="Times New Roman" w:hAnsi="Times New Roman" w:cs="Times New Roman"/>
          <w:i/>
        </w:rPr>
      </w:pPr>
      <w:r>
        <w:rPr>
          <w:rFonts w:ascii="Times New Roman" w:hAnsi="Times New Roman" w:cs="Times New Roman"/>
          <w:i/>
        </w:rPr>
        <w:t xml:space="preserve">Foreign Influence Transparency Scheme Act 2018 </w:t>
      </w:r>
    </w:p>
    <w:p w:rsidR="00667B70" w:rsidRDefault="00667B70" w:rsidP="00734AED">
      <w:pPr>
        <w:jc w:val="center"/>
        <w:rPr>
          <w:rFonts w:ascii="Times New Roman" w:hAnsi="Times New Roman" w:cs="Times New Roman"/>
          <w:b/>
          <w:i/>
        </w:rPr>
      </w:pPr>
      <w:r w:rsidRPr="00667B70">
        <w:rPr>
          <w:rFonts w:ascii="Times New Roman" w:hAnsi="Times New Roman" w:cs="Times New Roman"/>
          <w:b/>
          <w:i/>
        </w:rPr>
        <w:t>Foreign Influence Transparency Scheme Rules 2018</w:t>
      </w:r>
    </w:p>
    <w:p w:rsidR="00B44B5D" w:rsidRPr="007D698E" w:rsidRDefault="00B44B5D" w:rsidP="00734AED">
      <w:pPr>
        <w:pBdr>
          <w:bottom w:val="single" w:sz="4" w:space="1" w:color="auto"/>
        </w:pBdr>
        <w:spacing w:after="240"/>
        <w:jc w:val="center"/>
        <w:rPr>
          <w:rFonts w:ascii="Times New Roman" w:eastAsia="Calibri" w:hAnsi="Times New Roman" w:cs="Times New Roman"/>
          <w:szCs w:val="24"/>
        </w:rPr>
      </w:pPr>
    </w:p>
    <w:p w:rsidR="00667B70" w:rsidRDefault="00667B70" w:rsidP="009359BB">
      <w:pPr>
        <w:rPr>
          <w:rFonts w:ascii="Times New Roman" w:hAnsi="Times New Roman" w:cs="Times New Roman"/>
          <w:b/>
        </w:rPr>
      </w:pPr>
      <w:r w:rsidRPr="004D2843">
        <w:rPr>
          <w:rFonts w:ascii="Times New Roman" w:hAnsi="Times New Roman" w:cs="Times New Roman"/>
          <w:b/>
        </w:rPr>
        <w:t>Authority</w:t>
      </w:r>
    </w:p>
    <w:p w:rsidR="00B44B5D" w:rsidRDefault="00B44B5D"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Foreign Influence Transparency Scheme Rules</w:t>
      </w:r>
      <w:r w:rsidRPr="003A29C3">
        <w:rPr>
          <w:rFonts w:ascii="Times New Roman" w:hAnsi="Times New Roman" w:cs="Times New Roman"/>
          <w:szCs w:val="20"/>
        </w:rPr>
        <w:t xml:space="preserve"> 2018 (the </w:t>
      </w:r>
      <w:r w:rsidR="00923579">
        <w:rPr>
          <w:rFonts w:ascii="Times New Roman" w:hAnsi="Times New Roman" w:cs="Times New Roman"/>
          <w:szCs w:val="20"/>
        </w:rPr>
        <w:t>R</w:t>
      </w:r>
      <w:r w:rsidRPr="003A29C3">
        <w:rPr>
          <w:rFonts w:ascii="Times New Roman" w:hAnsi="Times New Roman" w:cs="Times New Roman"/>
          <w:szCs w:val="20"/>
        </w:rPr>
        <w:t>ules</w:t>
      </w:r>
      <w:r>
        <w:rPr>
          <w:rFonts w:ascii="Times New Roman" w:hAnsi="Times New Roman" w:cs="Times New Roman"/>
          <w:szCs w:val="20"/>
        </w:rPr>
        <w:t xml:space="preserve">) 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szCs w:val="20"/>
        </w:rPr>
        <w:t xml:space="preserve">, for </w:t>
      </w:r>
      <w:r>
        <w:rPr>
          <w:rFonts w:ascii="Times New Roman" w:hAnsi="Times New Roman" w:cs="Times New Roman"/>
          <w:szCs w:val="20"/>
        </w:rPr>
        <w:t xml:space="preserve">the purposes of </w:t>
      </w:r>
      <w:r w:rsidRPr="003A29C3">
        <w:rPr>
          <w:rFonts w:ascii="Times New Roman" w:hAnsi="Times New Roman" w:cs="Times New Roman"/>
          <w:szCs w:val="20"/>
        </w:rPr>
        <w:t>section</w:t>
      </w:r>
      <w:r w:rsidR="001E3AD6">
        <w:rPr>
          <w:rFonts w:ascii="Times New Roman" w:hAnsi="Times New Roman" w:cs="Times New Roman"/>
          <w:szCs w:val="20"/>
        </w:rPr>
        <w:t>s</w:t>
      </w:r>
      <w:r w:rsidRPr="003A29C3">
        <w:rPr>
          <w:rFonts w:ascii="Times New Roman" w:hAnsi="Times New Roman" w:cs="Times New Roman"/>
          <w:szCs w:val="20"/>
        </w:rPr>
        <w:t xml:space="preserve"> </w:t>
      </w:r>
      <w:r w:rsidR="00A95C4B">
        <w:rPr>
          <w:rFonts w:ascii="Times New Roman" w:hAnsi="Times New Roman" w:cs="Times New Roman"/>
          <w:szCs w:val="20"/>
        </w:rPr>
        <w:t xml:space="preserve">30 and </w:t>
      </w:r>
      <w:r w:rsidRPr="003A29C3">
        <w:rPr>
          <w:rFonts w:ascii="Times New Roman" w:hAnsi="Times New Roman" w:cs="Times New Roman"/>
          <w:szCs w:val="20"/>
        </w:rPr>
        <w:t>43 of the Act</w:t>
      </w:r>
      <w:r>
        <w:rPr>
          <w:rFonts w:ascii="Times New Roman" w:hAnsi="Times New Roman" w:cs="Times New Roman"/>
          <w:szCs w:val="20"/>
        </w:rPr>
        <w:t>.</w:t>
      </w:r>
      <w:r w:rsidR="00AB37F5">
        <w:rPr>
          <w:rFonts w:ascii="Times New Roman" w:hAnsi="Times New Roman" w:cs="Times New Roman"/>
          <w:szCs w:val="20"/>
        </w:rPr>
        <w:t xml:space="preserve">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rsidR="00ED0789" w:rsidRDefault="00B44B5D" w:rsidP="009359BB">
      <w:pPr>
        <w:rPr>
          <w:rFonts w:ascii="Times New Roman" w:hAnsi="Times New Roman" w:cs="Times New Roman"/>
          <w:szCs w:val="20"/>
        </w:rPr>
      </w:pPr>
      <w:r>
        <w:rPr>
          <w:rFonts w:ascii="Times New Roman" w:hAnsi="Times New Roman" w:cs="Times New Roman"/>
          <w:szCs w:val="20"/>
        </w:rPr>
        <w:t>Section 71 of the Act provides tha</w:t>
      </w:r>
      <w:r w:rsidR="005D02C9">
        <w:rPr>
          <w:rFonts w:ascii="Times New Roman" w:hAnsi="Times New Roman" w:cs="Times New Roman"/>
          <w:szCs w:val="20"/>
        </w:rPr>
        <w:t>t the Minister may</w:t>
      </w:r>
      <w:r w:rsidR="00ED0789">
        <w:rPr>
          <w:rFonts w:ascii="Times New Roman" w:hAnsi="Times New Roman" w:cs="Times New Roman"/>
          <w:szCs w:val="20"/>
        </w:rPr>
        <w:t>, by legislative instrument, make rules prescribing matters that are required or permitted by the Act to be prescribed by the rules, or that are necessary or convenient to be prescribed for carrying out or giving effect to the Act.</w:t>
      </w:r>
    </w:p>
    <w:p w:rsidR="00A95C4B" w:rsidRDefault="00A95C4B" w:rsidP="00A95C4B">
      <w:pPr>
        <w:rPr>
          <w:rFonts w:ascii="Times New Roman" w:hAnsi="Times New Roman" w:cs="Times New Roman"/>
          <w:szCs w:val="20"/>
        </w:rPr>
      </w:pPr>
      <w:r>
        <w:rPr>
          <w:rFonts w:ascii="Times New Roman" w:hAnsi="Times New Roman" w:cs="Times New Roman"/>
          <w:szCs w:val="20"/>
        </w:rPr>
        <w:t xml:space="preserve">Division 4 of Part 2 of the Act sets out a number of exemptions </w:t>
      </w:r>
      <w:r w:rsidR="00715A5D">
        <w:rPr>
          <w:rFonts w:ascii="Times New Roman" w:hAnsi="Times New Roman" w:cs="Times New Roman"/>
          <w:szCs w:val="20"/>
        </w:rPr>
        <w:t>from</w:t>
      </w:r>
      <w:r>
        <w:rPr>
          <w:rFonts w:ascii="Times New Roman" w:hAnsi="Times New Roman" w:cs="Times New Roman"/>
          <w:szCs w:val="20"/>
        </w:rPr>
        <w:t xml:space="preserve"> registering under the scheme. If any of the exemptions apply</w:t>
      </w:r>
      <w:r w:rsidR="001E3AD6">
        <w:rPr>
          <w:rFonts w:ascii="Times New Roman" w:hAnsi="Times New Roman" w:cs="Times New Roman"/>
          <w:szCs w:val="20"/>
        </w:rPr>
        <w:t xml:space="preserve"> to an activity</w:t>
      </w:r>
      <w:r>
        <w:rPr>
          <w:rFonts w:ascii="Times New Roman" w:hAnsi="Times New Roman" w:cs="Times New Roman"/>
          <w:szCs w:val="20"/>
        </w:rPr>
        <w:t xml:space="preserve">, then a person </w:t>
      </w:r>
      <w:r w:rsidR="001E3AD6">
        <w:rPr>
          <w:rFonts w:ascii="Times New Roman" w:hAnsi="Times New Roman" w:cs="Times New Roman"/>
          <w:szCs w:val="20"/>
        </w:rPr>
        <w:t>is</w:t>
      </w:r>
      <w:r>
        <w:rPr>
          <w:rFonts w:ascii="Times New Roman" w:hAnsi="Times New Roman" w:cs="Times New Roman"/>
          <w:szCs w:val="20"/>
        </w:rPr>
        <w:t xml:space="preserve"> not required to register under the scheme</w:t>
      </w:r>
      <w:r w:rsidR="001E3AD6">
        <w:rPr>
          <w:rFonts w:ascii="Times New Roman" w:hAnsi="Times New Roman" w:cs="Times New Roman"/>
          <w:szCs w:val="20"/>
        </w:rPr>
        <w:t xml:space="preserve"> in relation to that activity</w:t>
      </w:r>
      <w:r>
        <w:rPr>
          <w:rFonts w:ascii="Times New Roman" w:hAnsi="Times New Roman" w:cs="Times New Roman"/>
          <w:szCs w:val="20"/>
        </w:rPr>
        <w:t xml:space="preserve">, even if </w:t>
      </w:r>
      <w:r w:rsidR="001E3AD6">
        <w:rPr>
          <w:rFonts w:ascii="Times New Roman" w:hAnsi="Times New Roman" w:cs="Times New Roman"/>
          <w:szCs w:val="20"/>
        </w:rPr>
        <w:t>the activity would otherwise</w:t>
      </w:r>
      <w:r>
        <w:rPr>
          <w:rFonts w:ascii="Times New Roman" w:hAnsi="Times New Roman" w:cs="Times New Roman"/>
          <w:szCs w:val="20"/>
        </w:rPr>
        <w:t xml:space="preserve"> fall within one of the categories of registrable activities set out in Division 3 of Part 2 of the Act.</w:t>
      </w:r>
    </w:p>
    <w:p w:rsidR="00A95C4B" w:rsidRDefault="00A95C4B" w:rsidP="00A95C4B">
      <w:pPr>
        <w:rPr>
          <w:rFonts w:ascii="Times New Roman" w:hAnsi="Times New Roman" w:cs="Times New Roman"/>
          <w:szCs w:val="20"/>
        </w:rPr>
      </w:pPr>
      <w:r>
        <w:rPr>
          <w:rFonts w:ascii="Times New Roman" w:hAnsi="Times New Roman" w:cs="Times New Roman"/>
          <w:szCs w:val="20"/>
        </w:rPr>
        <w:t xml:space="preserve">The categories of exemptions are set out in sections 24 to 29F of the Act.  </w:t>
      </w:r>
      <w:r w:rsidR="0025525F">
        <w:rPr>
          <w:rFonts w:ascii="Times New Roman" w:hAnsi="Times New Roman" w:cs="Times New Roman"/>
          <w:szCs w:val="20"/>
        </w:rPr>
        <w:t>S</w:t>
      </w:r>
      <w:r>
        <w:rPr>
          <w:rFonts w:ascii="Times New Roman" w:hAnsi="Times New Roman" w:cs="Times New Roman"/>
          <w:szCs w:val="20"/>
        </w:rPr>
        <w:t xml:space="preserve">ection 30 </w:t>
      </w:r>
      <w:r w:rsidR="001E3AD6">
        <w:rPr>
          <w:rFonts w:ascii="Times New Roman" w:hAnsi="Times New Roman" w:cs="Times New Roman"/>
          <w:szCs w:val="20"/>
        </w:rPr>
        <w:t>provides that a person is also exempt in relation to an activity the person undertakes on behalf of a foreign principal in the circumstances prescribed by the rules for the purposes of section 30.</w:t>
      </w:r>
      <w:r>
        <w:rPr>
          <w:rFonts w:ascii="Times New Roman" w:hAnsi="Times New Roman" w:cs="Times New Roman"/>
          <w:szCs w:val="20"/>
        </w:rPr>
        <w:t xml:space="preserve">  This provides for flexibility in the operation of the scheme, and ensures that the scheme can adapt and be responsive to new scenarios in which an exemption may be justified.  </w:t>
      </w:r>
    </w:p>
    <w:p w:rsidR="00ED0789" w:rsidRDefault="00ED0789" w:rsidP="009359BB">
      <w:pPr>
        <w:rPr>
          <w:rFonts w:ascii="Times New Roman" w:hAnsi="Times New Roman" w:cs="Times New Roman"/>
          <w:szCs w:val="20"/>
        </w:rPr>
      </w:pPr>
      <w:r>
        <w:rPr>
          <w:rFonts w:ascii="Times New Roman" w:hAnsi="Times New Roman" w:cs="Times New Roman"/>
          <w:szCs w:val="20"/>
        </w:rPr>
        <w:t xml:space="preserve">Section 43 of the Act relates to information about the </w:t>
      </w:r>
      <w:r w:rsidR="00AB37F5">
        <w:rPr>
          <w:rFonts w:ascii="Times New Roman" w:hAnsi="Times New Roman" w:cs="Times New Roman"/>
          <w:szCs w:val="20"/>
        </w:rPr>
        <w:t xml:space="preserve">scheme </w:t>
      </w:r>
      <w:r>
        <w:rPr>
          <w:rFonts w:ascii="Times New Roman" w:hAnsi="Times New Roman" w:cs="Times New Roman"/>
          <w:szCs w:val="20"/>
        </w:rPr>
        <w:t>that is to be made publically available.</w:t>
      </w:r>
      <w:r w:rsidR="00AB37F5">
        <w:rPr>
          <w:rFonts w:ascii="Times New Roman" w:hAnsi="Times New Roman" w:cs="Times New Roman"/>
          <w:szCs w:val="20"/>
        </w:rPr>
        <w:t xml:space="preserve"> </w:t>
      </w:r>
      <w:r>
        <w:rPr>
          <w:rFonts w:ascii="Times New Roman" w:hAnsi="Times New Roman" w:cs="Times New Roman"/>
          <w:szCs w:val="20"/>
        </w:rPr>
        <w:t xml:space="preserve">Subsection 43(1) </w:t>
      </w:r>
      <w:r w:rsidRPr="005D49F0">
        <w:rPr>
          <w:rFonts w:ascii="Times New Roman" w:hAnsi="Times New Roman" w:cs="Times New Roman"/>
          <w:szCs w:val="20"/>
        </w:rPr>
        <w:t>requires that the Secretary make available to the public, on a website, the following information in relation to each person registered in relation to a foreign principal:</w:t>
      </w:r>
    </w:p>
    <w:p w:rsidR="00ED0789" w:rsidRDefault="00ED0789"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The name of the person and the foreign principal;</w:t>
      </w:r>
    </w:p>
    <w:p w:rsidR="00ED0789" w:rsidRDefault="00ED0789"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A description of the kind of registrable activities the person undertakes on behalf of the foreign principal;</w:t>
      </w:r>
    </w:p>
    <w:p w:rsidR="00ED0789" w:rsidRDefault="00ED0789" w:rsidP="009359BB">
      <w:pPr>
        <w:pStyle w:val="ListParagraph"/>
        <w:numPr>
          <w:ilvl w:val="0"/>
          <w:numId w:val="29"/>
        </w:numPr>
        <w:rPr>
          <w:rFonts w:ascii="Times New Roman" w:hAnsi="Times New Roman" w:cs="Times New Roman"/>
          <w:szCs w:val="20"/>
        </w:rPr>
      </w:pPr>
      <w:r>
        <w:rPr>
          <w:rFonts w:ascii="Times New Roman" w:hAnsi="Times New Roman" w:cs="Times New Roman"/>
          <w:szCs w:val="20"/>
        </w:rPr>
        <w:t>Any other information prescribed by the rules for the purposes of paragraph 43(1</w:t>
      </w:r>
      <w:proofErr w:type="gramStart"/>
      <w:r>
        <w:rPr>
          <w:rFonts w:ascii="Times New Roman" w:hAnsi="Times New Roman" w:cs="Times New Roman"/>
          <w:szCs w:val="20"/>
        </w:rPr>
        <w:t>)(</w:t>
      </w:r>
      <w:proofErr w:type="gramEnd"/>
      <w:r>
        <w:rPr>
          <w:rFonts w:ascii="Times New Roman" w:hAnsi="Times New Roman" w:cs="Times New Roman"/>
          <w:szCs w:val="20"/>
        </w:rPr>
        <w:t>c).</w:t>
      </w:r>
    </w:p>
    <w:p w:rsidR="00ED0789" w:rsidRDefault="00ED0789" w:rsidP="009359BB">
      <w:pPr>
        <w:rPr>
          <w:rFonts w:ascii="Times New Roman" w:hAnsi="Times New Roman" w:cs="Times New Roman"/>
          <w:szCs w:val="20"/>
        </w:rPr>
      </w:pPr>
      <w:r>
        <w:rPr>
          <w:rFonts w:ascii="Times New Roman" w:hAnsi="Times New Roman" w:cs="Times New Roman"/>
          <w:szCs w:val="20"/>
        </w:rPr>
        <w:t>Subsection 43(3)</w:t>
      </w:r>
      <w:r w:rsidR="00960884">
        <w:rPr>
          <w:rFonts w:ascii="Times New Roman" w:hAnsi="Times New Roman" w:cs="Times New Roman"/>
          <w:szCs w:val="20"/>
        </w:rPr>
        <w:t xml:space="preserve"> of the Act</w:t>
      </w:r>
      <w:r>
        <w:rPr>
          <w:rFonts w:ascii="Times New Roman" w:hAnsi="Times New Roman" w:cs="Times New Roman"/>
          <w:szCs w:val="20"/>
        </w:rPr>
        <w:t xml:space="preserve"> provides that the rules may prescribe circumstances in which the </w:t>
      </w:r>
      <w:r w:rsidRPr="005D49F0">
        <w:rPr>
          <w:rFonts w:ascii="Times New Roman" w:hAnsi="Times New Roman" w:cs="Times New Roman"/>
          <w:szCs w:val="20"/>
        </w:rPr>
        <w:t>Secretary</w:t>
      </w:r>
      <w:r>
        <w:rPr>
          <w:rFonts w:ascii="Times New Roman" w:hAnsi="Times New Roman" w:cs="Times New Roman"/>
          <w:szCs w:val="20"/>
        </w:rPr>
        <w:t xml:space="preserve"> is to remove publicly available information from the website. </w:t>
      </w:r>
    </w:p>
    <w:p w:rsidR="00D53F23" w:rsidRPr="003A29C3" w:rsidRDefault="00D53F23" w:rsidP="009359BB">
      <w:pPr>
        <w:rPr>
          <w:rFonts w:ascii="Times New Roman" w:hAnsi="Times New Roman" w:cs="Times New Roman"/>
          <w:b/>
          <w:szCs w:val="20"/>
        </w:rPr>
      </w:pPr>
      <w:r w:rsidRPr="003A29C3">
        <w:rPr>
          <w:rFonts w:ascii="Times New Roman" w:hAnsi="Times New Roman" w:cs="Times New Roman"/>
          <w:b/>
          <w:szCs w:val="20"/>
        </w:rPr>
        <w:t xml:space="preserve">Purpose </w:t>
      </w:r>
      <w:r w:rsidR="00B44B5D">
        <w:rPr>
          <w:rFonts w:ascii="Times New Roman" w:hAnsi="Times New Roman" w:cs="Times New Roman"/>
          <w:b/>
          <w:szCs w:val="20"/>
        </w:rPr>
        <w:t xml:space="preserve">and operation of the </w:t>
      </w:r>
      <w:r w:rsidR="00923579">
        <w:rPr>
          <w:rFonts w:ascii="Times New Roman" w:hAnsi="Times New Roman" w:cs="Times New Roman"/>
          <w:b/>
          <w:szCs w:val="20"/>
        </w:rPr>
        <w:t>R</w:t>
      </w:r>
      <w:r w:rsidRPr="003A29C3">
        <w:rPr>
          <w:rFonts w:ascii="Times New Roman" w:hAnsi="Times New Roman" w:cs="Times New Roman"/>
          <w:b/>
          <w:szCs w:val="20"/>
        </w:rPr>
        <w:t xml:space="preserve">ules </w:t>
      </w:r>
    </w:p>
    <w:p w:rsidR="00A95C4B" w:rsidRDefault="00A95C4B" w:rsidP="00A95C4B">
      <w:pPr>
        <w:rPr>
          <w:rFonts w:ascii="Times New Roman" w:hAnsi="Times New Roman" w:cs="Times New Roman"/>
          <w:szCs w:val="20"/>
        </w:rPr>
      </w:pPr>
      <w:r>
        <w:rPr>
          <w:rFonts w:ascii="Times New Roman" w:hAnsi="Times New Roman" w:cs="Times New Roman"/>
          <w:szCs w:val="20"/>
        </w:rPr>
        <w:t>The Rules will prescribe matters for the purposes of sections 30 and 43 of the Act.</w:t>
      </w:r>
    </w:p>
    <w:p w:rsidR="00A95C4B" w:rsidRPr="00D957F4" w:rsidRDefault="00A95C4B" w:rsidP="00A95C4B">
      <w:pPr>
        <w:rPr>
          <w:rFonts w:ascii="Times New Roman" w:hAnsi="Times New Roman" w:cs="Times New Roman"/>
          <w:szCs w:val="20"/>
          <w:u w:val="single"/>
        </w:rPr>
      </w:pPr>
      <w:r>
        <w:rPr>
          <w:rFonts w:ascii="Times New Roman" w:hAnsi="Times New Roman" w:cs="Times New Roman"/>
          <w:szCs w:val="20"/>
          <w:u w:val="single"/>
        </w:rPr>
        <w:t>Section 30</w:t>
      </w:r>
    </w:p>
    <w:p w:rsidR="00A95C4B" w:rsidRDefault="00A95C4B" w:rsidP="00A95C4B">
      <w:pPr>
        <w:rPr>
          <w:rFonts w:ascii="Times New Roman" w:hAnsi="Times New Roman" w:cs="Times New Roman"/>
          <w:szCs w:val="20"/>
        </w:rPr>
      </w:pPr>
      <w:r>
        <w:rPr>
          <w:rFonts w:ascii="Times New Roman" w:hAnsi="Times New Roman" w:cs="Times New Roman"/>
          <w:szCs w:val="20"/>
        </w:rPr>
        <w:t xml:space="preserve">The following matters </w:t>
      </w:r>
      <w:r w:rsidR="0025525F">
        <w:rPr>
          <w:rFonts w:ascii="Times New Roman" w:hAnsi="Times New Roman" w:cs="Times New Roman"/>
          <w:szCs w:val="20"/>
        </w:rPr>
        <w:t>are</w:t>
      </w:r>
      <w:r>
        <w:rPr>
          <w:rFonts w:ascii="Times New Roman" w:hAnsi="Times New Roman" w:cs="Times New Roman"/>
          <w:szCs w:val="20"/>
        </w:rPr>
        <w:t xml:space="preserve"> prescribed </w:t>
      </w:r>
      <w:r w:rsidR="001E3AD6">
        <w:rPr>
          <w:rFonts w:ascii="Times New Roman" w:hAnsi="Times New Roman" w:cs="Times New Roman"/>
          <w:szCs w:val="20"/>
        </w:rPr>
        <w:t>for the purposes of</w:t>
      </w:r>
      <w:r>
        <w:rPr>
          <w:rFonts w:ascii="Times New Roman" w:hAnsi="Times New Roman" w:cs="Times New Roman"/>
          <w:szCs w:val="20"/>
        </w:rPr>
        <w:t xml:space="preserve"> section 30 of the Act:</w:t>
      </w:r>
    </w:p>
    <w:p w:rsidR="00A95C4B" w:rsidRPr="00D957F4" w:rsidRDefault="00A95C4B" w:rsidP="00A95C4B">
      <w:pPr>
        <w:pStyle w:val="ListParagraph"/>
        <w:numPr>
          <w:ilvl w:val="0"/>
          <w:numId w:val="37"/>
        </w:numPr>
        <w:rPr>
          <w:rFonts w:ascii="Times New Roman" w:hAnsi="Times New Roman" w:cs="Times New Roman"/>
          <w:szCs w:val="20"/>
        </w:rPr>
      </w:pPr>
      <w:r>
        <w:rPr>
          <w:rFonts w:ascii="Times New Roman" w:hAnsi="Times New Roman" w:cs="Times New Roman"/>
          <w:szCs w:val="20"/>
        </w:rPr>
        <w:lastRenderedPageBreak/>
        <w:t xml:space="preserve">an exemption </w:t>
      </w:r>
      <w:r w:rsidR="00B62B40">
        <w:rPr>
          <w:rFonts w:ascii="Times New Roman" w:hAnsi="Times New Roman" w:cs="Times New Roman"/>
          <w:szCs w:val="20"/>
        </w:rPr>
        <w:t>in relation to an activity undertaken by</w:t>
      </w:r>
      <w:r>
        <w:rPr>
          <w:rFonts w:ascii="Times New Roman" w:hAnsi="Times New Roman" w:cs="Times New Roman"/>
          <w:szCs w:val="20"/>
        </w:rPr>
        <w:t xml:space="preserve"> a person</w:t>
      </w:r>
      <w:r w:rsidR="00B62B40">
        <w:rPr>
          <w:rFonts w:ascii="Times New Roman" w:hAnsi="Times New Roman" w:cs="Times New Roman"/>
          <w:szCs w:val="20"/>
        </w:rPr>
        <w:t xml:space="preserve"> in their official capacity as an employee</w:t>
      </w:r>
      <w:r>
        <w:rPr>
          <w:rFonts w:ascii="Times New Roman" w:hAnsi="Times New Roman" w:cs="Times New Roman"/>
          <w:szCs w:val="20"/>
        </w:rPr>
        <w:t xml:space="preserve"> under the </w:t>
      </w:r>
      <w:r>
        <w:rPr>
          <w:rFonts w:ascii="Times New Roman" w:hAnsi="Times New Roman" w:cs="Times New Roman"/>
          <w:i/>
          <w:szCs w:val="20"/>
        </w:rPr>
        <w:t>Member</w:t>
      </w:r>
      <w:r w:rsidR="001E3AD6">
        <w:rPr>
          <w:rFonts w:ascii="Times New Roman" w:hAnsi="Times New Roman" w:cs="Times New Roman"/>
          <w:i/>
          <w:szCs w:val="20"/>
        </w:rPr>
        <w:t>s</w:t>
      </w:r>
      <w:r>
        <w:rPr>
          <w:rFonts w:ascii="Times New Roman" w:hAnsi="Times New Roman" w:cs="Times New Roman"/>
          <w:i/>
          <w:szCs w:val="20"/>
        </w:rPr>
        <w:t xml:space="preserve"> of Parliament (Staff) Act 1984 </w:t>
      </w:r>
      <w:r>
        <w:rPr>
          <w:rFonts w:ascii="Times New Roman" w:hAnsi="Times New Roman" w:cs="Times New Roman"/>
          <w:szCs w:val="20"/>
        </w:rPr>
        <w:t>or</w:t>
      </w:r>
      <w:r w:rsidR="00B62B40">
        <w:rPr>
          <w:rFonts w:ascii="Times New Roman" w:hAnsi="Times New Roman" w:cs="Times New Roman"/>
          <w:szCs w:val="20"/>
        </w:rPr>
        <w:t xml:space="preserve"> as a </w:t>
      </w:r>
      <w:r>
        <w:rPr>
          <w:rFonts w:ascii="Times New Roman" w:hAnsi="Times New Roman" w:cs="Times New Roman"/>
          <w:szCs w:val="20"/>
        </w:rPr>
        <w:t>consultant engaged under that Act</w:t>
      </w:r>
      <w:r w:rsidR="00B62B40">
        <w:rPr>
          <w:rFonts w:ascii="Times New Roman" w:hAnsi="Times New Roman" w:cs="Times New Roman"/>
          <w:szCs w:val="20"/>
        </w:rPr>
        <w:t>, and</w:t>
      </w:r>
      <w:r>
        <w:rPr>
          <w:rFonts w:ascii="Times New Roman" w:hAnsi="Times New Roman" w:cs="Times New Roman"/>
          <w:szCs w:val="20"/>
        </w:rPr>
        <w:t xml:space="preserve"> </w:t>
      </w:r>
    </w:p>
    <w:p w:rsidR="00A95C4B" w:rsidRDefault="00A95C4B" w:rsidP="00A95C4B">
      <w:pPr>
        <w:pStyle w:val="ListParagraph"/>
        <w:numPr>
          <w:ilvl w:val="0"/>
          <w:numId w:val="37"/>
        </w:numPr>
        <w:rPr>
          <w:rFonts w:ascii="Times New Roman" w:hAnsi="Times New Roman" w:cs="Times New Roman"/>
          <w:szCs w:val="20"/>
        </w:rPr>
      </w:pPr>
      <w:proofErr w:type="gramStart"/>
      <w:r w:rsidRPr="00953B86">
        <w:rPr>
          <w:rFonts w:ascii="Times New Roman" w:hAnsi="Times New Roman" w:cs="Times New Roman"/>
          <w:szCs w:val="20"/>
        </w:rPr>
        <w:t>an</w:t>
      </w:r>
      <w:proofErr w:type="gramEnd"/>
      <w:r w:rsidRPr="00953B86">
        <w:rPr>
          <w:rFonts w:ascii="Times New Roman" w:hAnsi="Times New Roman" w:cs="Times New Roman"/>
          <w:szCs w:val="20"/>
        </w:rPr>
        <w:t xml:space="preserve"> exemption</w:t>
      </w:r>
      <w:r w:rsidR="00B62B40" w:rsidRPr="00953B86">
        <w:rPr>
          <w:rFonts w:ascii="Times New Roman" w:hAnsi="Times New Roman" w:cs="Times New Roman"/>
          <w:szCs w:val="20"/>
        </w:rPr>
        <w:t xml:space="preserve"> in relation to an activity undertaken by a person in their official capacity as a</w:t>
      </w:r>
      <w:r w:rsidRPr="00953B86">
        <w:rPr>
          <w:rFonts w:ascii="Times New Roman" w:hAnsi="Times New Roman" w:cs="Times New Roman"/>
          <w:szCs w:val="20"/>
        </w:rPr>
        <w:t xml:space="preserve"> Commonwealth public</w:t>
      </w:r>
      <w:r w:rsidR="00B62B40">
        <w:rPr>
          <w:rFonts w:ascii="Times New Roman" w:hAnsi="Times New Roman" w:cs="Times New Roman"/>
          <w:szCs w:val="20"/>
        </w:rPr>
        <w:t xml:space="preserve"> official</w:t>
      </w:r>
      <w:r w:rsidRPr="00953B86">
        <w:rPr>
          <w:rFonts w:ascii="Times New Roman" w:hAnsi="Times New Roman" w:cs="Times New Roman"/>
          <w:szCs w:val="20"/>
        </w:rPr>
        <w:t xml:space="preserve">.  </w:t>
      </w:r>
    </w:p>
    <w:p w:rsidR="00B62B40" w:rsidRPr="00BC1934" w:rsidRDefault="00B62B40" w:rsidP="00953B86">
      <w:pPr>
        <w:rPr>
          <w:rFonts w:ascii="Times New Roman" w:hAnsi="Times New Roman" w:cs="Times New Roman"/>
          <w:szCs w:val="20"/>
        </w:rPr>
      </w:pPr>
      <w:r>
        <w:rPr>
          <w:rFonts w:ascii="Times New Roman" w:hAnsi="Times New Roman" w:cs="Times New Roman"/>
          <w:szCs w:val="20"/>
        </w:rPr>
        <w:t xml:space="preserve">In both these instances, the exemption only applies if the identity of the foreign principal </w:t>
      </w:r>
      <w:r w:rsidR="00CC5070">
        <w:rPr>
          <w:rFonts w:ascii="Times New Roman" w:hAnsi="Times New Roman" w:cs="Times New Roman"/>
          <w:szCs w:val="20"/>
        </w:rPr>
        <w:t xml:space="preserve">is </w:t>
      </w:r>
      <w:r>
        <w:rPr>
          <w:rFonts w:ascii="Times New Roman" w:hAnsi="Times New Roman" w:cs="Times New Roman"/>
          <w:szCs w:val="20"/>
        </w:rPr>
        <w:t xml:space="preserve">apparent to all persons with whom the person is dealing or disclosed to them.  </w:t>
      </w:r>
    </w:p>
    <w:p w:rsidR="00A95C4B" w:rsidRDefault="00A95C4B" w:rsidP="00A95C4B">
      <w:pPr>
        <w:rPr>
          <w:rFonts w:ascii="Times New Roman" w:hAnsi="Times New Roman" w:cs="Times New Roman"/>
          <w:szCs w:val="20"/>
        </w:rPr>
      </w:pPr>
      <w:r>
        <w:rPr>
          <w:rFonts w:ascii="Times New Roman" w:hAnsi="Times New Roman" w:cs="Times New Roman"/>
          <w:szCs w:val="20"/>
        </w:rPr>
        <w:t xml:space="preserve">These additional exemptions recognise that these particular categories of persons </w:t>
      </w:r>
      <w:r w:rsidR="00B62B40">
        <w:rPr>
          <w:rFonts w:ascii="Times New Roman" w:hAnsi="Times New Roman" w:cs="Times New Roman"/>
          <w:szCs w:val="20"/>
        </w:rPr>
        <w:t>are likely to</w:t>
      </w:r>
      <w:r>
        <w:rPr>
          <w:rFonts w:ascii="Times New Roman" w:hAnsi="Times New Roman" w:cs="Times New Roman"/>
          <w:szCs w:val="20"/>
        </w:rPr>
        <w:t xml:space="preserve"> regularly come in</w:t>
      </w:r>
      <w:r w:rsidR="00B62B40">
        <w:rPr>
          <w:rFonts w:ascii="Times New Roman" w:hAnsi="Times New Roman" w:cs="Times New Roman"/>
          <w:szCs w:val="20"/>
        </w:rPr>
        <w:t>to</w:t>
      </w:r>
      <w:r>
        <w:rPr>
          <w:rFonts w:ascii="Times New Roman" w:hAnsi="Times New Roman" w:cs="Times New Roman"/>
          <w:szCs w:val="20"/>
        </w:rPr>
        <w:t xml:space="preserve"> contact with </w:t>
      </w:r>
      <w:r w:rsidR="00B62B40">
        <w:rPr>
          <w:rFonts w:ascii="Times New Roman" w:hAnsi="Times New Roman" w:cs="Times New Roman"/>
          <w:szCs w:val="20"/>
        </w:rPr>
        <w:t xml:space="preserve">and engage with </w:t>
      </w:r>
      <w:r>
        <w:rPr>
          <w:rFonts w:ascii="Times New Roman" w:hAnsi="Times New Roman" w:cs="Times New Roman"/>
          <w:szCs w:val="20"/>
        </w:rPr>
        <w:t>foreign principals in the ordinary course of their duties and on occasion will be required to undertake activities that may</w:t>
      </w:r>
      <w:r w:rsidR="00B62B40">
        <w:rPr>
          <w:rFonts w:ascii="Times New Roman" w:hAnsi="Times New Roman" w:cs="Times New Roman"/>
          <w:szCs w:val="20"/>
        </w:rPr>
        <w:t xml:space="preserve"> otherwise</w:t>
      </w:r>
      <w:r>
        <w:rPr>
          <w:rFonts w:ascii="Times New Roman" w:hAnsi="Times New Roman" w:cs="Times New Roman"/>
          <w:szCs w:val="20"/>
        </w:rPr>
        <w:t xml:space="preserve"> fall within the definition of a registrable activity</w:t>
      </w:r>
      <w:r w:rsidR="00B62B40">
        <w:rPr>
          <w:rFonts w:ascii="Times New Roman" w:hAnsi="Times New Roman" w:cs="Times New Roman"/>
          <w:szCs w:val="20"/>
        </w:rPr>
        <w:t xml:space="preserve"> under the Act</w:t>
      </w:r>
      <w:r>
        <w:rPr>
          <w:rFonts w:ascii="Times New Roman" w:hAnsi="Times New Roman" w:cs="Times New Roman"/>
          <w:szCs w:val="20"/>
        </w:rPr>
        <w:t xml:space="preserve">.  </w:t>
      </w:r>
      <w:r w:rsidR="00B62B40">
        <w:rPr>
          <w:rFonts w:ascii="Times New Roman" w:hAnsi="Times New Roman" w:cs="Times New Roman"/>
          <w:szCs w:val="20"/>
        </w:rPr>
        <w:t>The circumstances to be prescribed by the Rules for the purposes of section 30 of the Act</w:t>
      </w:r>
      <w:r>
        <w:rPr>
          <w:rFonts w:ascii="Times New Roman" w:hAnsi="Times New Roman" w:cs="Times New Roman"/>
          <w:szCs w:val="20"/>
        </w:rPr>
        <w:t xml:space="preserve"> ensure that </w:t>
      </w:r>
      <w:r w:rsidR="00B62B40">
        <w:rPr>
          <w:rFonts w:ascii="Times New Roman" w:hAnsi="Times New Roman" w:cs="Times New Roman"/>
          <w:szCs w:val="20"/>
        </w:rPr>
        <w:t>the affected</w:t>
      </w:r>
      <w:r>
        <w:rPr>
          <w:rFonts w:ascii="Times New Roman" w:hAnsi="Times New Roman" w:cs="Times New Roman"/>
          <w:szCs w:val="20"/>
        </w:rPr>
        <w:t xml:space="preserve"> persons are able to undertake their ordinary, day to day duties of providing support and advice to Government and other key decision maker</w:t>
      </w:r>
      <w:r w:rsidR="00B62B40">
        <w:rPr>
          <w:rFonts w:ascii="Times New Roman" w:hAnsi="Times New Roman" w:cs="Times New Roman"/>
          <w:szCs w:val="20"/>
        </w:rPr>
        <w:t>s</w:t>
      </w:r>
      <w:r>
        <w:rPr>
          <w:rFonts w:ascii="Times New Roman" w:hAnsi="Times New Roman" w:cs="Times New Roman"/>
          <w:szCs w:val="20"/>
        </w:rPr>
        <w:t xml:space="preserve"> without inadvertently </w:t>
      </w:r>
      <w:r w:rsidR="00BC1934">
        <w:rPr>
          <w:rFonts w:ascii="Times New Roman" w:hAnsi="Times New Roman" w:cs="Times New Roman"/>
          <w:szCs w:val="20"/>
        </w:rPr>
        <w:t>being subject to</w:t>
      </w:r>
      <w:r>
        <w:rPr>
          <w:rFonts w:ascii="Times New Roman" w:hAnsi="Times New Roman" w:cs="Times New Roman"/>
          <w:szCs w:val="20"/>
        </w:rPr>
        <w:t xml:space="preserve"> an obligation to register under the scheme.  </w:t>
      </w:r>
    </w:p>
    <w:p w:rsidR="00A95C4B" w:rsidRPr="00D957F4" w:rsidRDefault="00A95C4B" w:rsidP="00A95C4B">
      <w:pPr>
        <w:rPr>
          <w:rFonts w:ascii="Times New Roman" w:hAnsi="Times New Roman" w:cs="Times New Roman"/>
          <w:szCs w:val="20"/>
          <w:u w:val="single"/>
        </w:rPr>
      </w:pPr>
      <w:r>
        <w:rPr>
          <w:rFonts w:ascii="Times New Roman" w:hAnsi="Times New Roman" w:cs="Times New Roman"/>
          <w:szCs w:val="20"/>
          <w:u w:val="single"/>
        </w:rPr>
        <w:t>Section 43</w:t>
      </w:r>
    </w:p>
    <w:p w:rsidR="00B26FF6" w:rsidRDefault="00B26FF6" w:rsidP="009359BB">
      <w:pPr>
        <w:rPr>
          <w:rFonts w:ascii="Times New Roman" w:hAnsi="Times New Roman" w:cs="Times New Roman"/>
          <w:szCs w:val="20"/>
        </w:rPr>
      </w:pPr>
      <w:r>
        <w:rPr>
          <w:rFonts w:ascii="Times New Roman" w:hAnsi="Times New Roman" w:cs="Times New Roman"/>
          <w:szCs w:val="20"/>
        </w:rPr>
        <w:t xml:space="preserve">The </w:t>
      </w:r>
      <w:r w:rsidR="00923579">
        <w:rPr>
          <w:rFonts w:ascii="Times New Roman" w:hAnsi="Times New Roman" w:cs="Times New Roman"/>
          <w:szCs w:val="20"/>
        </w:rPr>
        <w:t>R</w:t>
      </w:r>
      <w:r w:rsidR="00923579" w:rsidRPr="003A29C3">
        <w:rPr>
          <w:rFonts w:ascii="Times New Roman" w:hAnsi="Times New Roman" w:cs="Times New Roman"/>
          <w:szCs w:val="20"/>
        </w:rPr>
        <w:t xml:space="preserve">ules </w:t>
      </w:r>
      <w:r>
        <w:rPr>
          <w:rFonts w:ascii="Times New Roman" w:hAnsi="Times New Roman" w:cs="Times New Roman"/>
          <w:szCs w:val="20"/>
        </w:rPr>
        <w:t>prescribe the following matters for the purposes of paragraph 43(1</w:t>
      </w:r>
      <w:proofErr w:type="gramStart"/>
      <w:r>
        <w:rPr>
          <w:rFonts w:ascii="Times New Roman" w:hAnsi="Times New Roman" w:cs="Times New Roman"/>
          <w:szCs w:val="20"/>
        </w:rPr>
        <w:t>)(</w:t>
      </w:r>
      <w:proofErr w:type="gramEnd"/>
      <w:r>
        <w:rPr>
          <w:rFonts w:ascii="Times New Roman" w:hAnsi="Times New Roman" w:cs="Times New Roman"/>
          <w:szCs w:val="20"/>
        </w:rPr>
        <w:t>c) and subsection 43(3)</w:t>
      </w:r>
      <w:r w:rsidR="00960884">
        <w:rPr>
          <w:rFonts w:ascii="Times New Roman" w:hAnsi="Times New Roman" w:cs="Times New Roman"/>
          <w:szCs w:val="20"/>
        </w:rPr>
        <w:t xml:space="preserve"> of the Act</w:t>
      </w:r>
      <w:r>
        <w:rPr>
          <w:rFonts w:ascii="Times New Roman" w:hAnsi="Times New Roman" w:cs="Times New Roman"/>
          <w:szCs w:val="20"/>
        </w:rPr>
        <w:t>, respectively:</w:t>
      </w:r>
    </w:p>
    <w:p w:rsidR="00B26FF6" w:rsidRDefault="00B26FF6" w:rsidP="009359BB">
      <w:pPr>
        <w:pStyle w:val="ListParagraph"/>
        <w:numPr>
          <w:ilvl w:val="0"/>
          <w:numId w:val="30"/>
        </w:numPr>
        <w:rPr>
          <w:rFonts w:ascii="Times New Roman" w:hAnsi="Times New Roman" w:cs="Times New Roman"/>
          <w:szCs w:val="20"/>
        </w:rPr>
      </w:pPr>
      <w:r>
        <w:rPr>
          <w:rFonts w:ascii="Times New Roman" w:hAnsi="Times New Roman" w:cs="Times New Roman"/>
          <w:szCs w:val="20"/>
        </w:rPr>
        <w:t>Information to be made publicly available in relation to each person registered</w:t>
      </w:r>
      <w:r w:rsidR="00ED0789">
        <w:rPr>
          <w:rFonts w:ascii="Times New Roman" w:hAnsi="Times New Roman" w:cs="Times New Roman"/>
          <w:szCs w:val="20"/>
        </w:rPr>
        <w:t xml:space="preserve"> </w:t>
      </w:r>
      <w:r w:rsidR="00AB37F5">
        <w:rPr>
          <w:rFonts w:ascii="Times New Roman" w:hAnsi="Times New Roman" w:cs="Times New Roman"/>
          <w:szCs w:val="20"/>
        </w:rPr>
        <w:t>under</w:t>
      </w:r>
      <w:r w:rsidR="00ED0789">
        <w:rPr>
          <w:rFonts w:ascii="Times New Roman" w:hAnsi="Times New Roman" w:cs="Times New Roman"/>
          <w:szCs w:val="20"/>
        </w:rPr>
        <w:t xml:space="preserve"> the scheme</w:t>
      </w:r>
      <w:r>
        <w:rPr>
          <w:rFonts w:ascii="Times New Roman" w:hAnsi="Times New Roman" w:cs="Times New Roman"/>
          <w:szCs w:val="20"/>
        </w:rPr>
        <w:t>,</w:t>
      </w:r>
      <w:r w:rsidR="00ED0789">
        <w:rPr>
          <w:rFonts w:ascii="Times New Roman" w:hAnsi="Times New Roman" w:cs="Times New Roman"/>
          <w:szCs w:val="20"/>
        </w:rPr>
        <w:t xml:space="preserve"> additional to what is already required by paragraphs 43(1)(a) and (b) of the Act,</w:t>
      </w:r>
      <w:r>
        <w:rPr>
          <w:rFonts w:ascii="Times New Roman" w:hAnsi="Times New Roman" w:cs="Times New Roman"/>
          <w:szCs w:val="20"/>
        </w:rPr>
        <w:t xml:space="preserve"> and</w:t>
      </w:r>
    </w:p>
    <w:p w:rsidR="00B26FF6" w:rsidRPr="00A94469" w:rsidRDefault="00B26FF6" w:rsidP="009359BB">
      <w:pPr>
        <w:pStyle w:val="ListParagraph"/>
        <w:numPr>
          <w:ilvl w:val="0"/>
          <w:numId w:val="30"/>
        </w:numPr>
        <w:rPr>
          <w:rFonts w:ascii="Times New Roman" w:hAnsi="Times New Roman" w:cs="Times New Roman"/>
          <w:szCs w:val="20"/>
        </w:rPr>
      </w:pPr>
      <w:r>
        <w:rPr>
          <w:rFonts w:ascii="Times New Roman" w:hAnsi="Times New Roman" w:cs="Times New Roman"/>
          <w:szCs w:val="20"/>
        </w:rPr>
        <w:t>Circumstances in which information is to be removed from the website.</w:t>
      </w:r>
    </w:p>
    <w:p w:rsidR="00AB37F5" w:rsidRDefault="00AB37F5" w:rsidP="009359BB">
      <w:pPr>
        <w:rPr>
          <w:rFonts w:ascii="Times New Roman" w:hAnsi="Times New Roman" w:cs="Times New Roman"/>
          <w:szCs w:val="20"/>
        </w:rPr>
      </w:pPr>
      <w:r>
        <w:rPr>
          <w:rFonts w:ascii="Times New Roman" w:hAnsi="Times New Roman" w:cs="Times New Roman"/>
          <w:szCs w:val="20"/>
        </w:rPr>
        <w:t>To achieve the transparency objective of the scheme, it is essential that information be made publicly available. This ensures members of the Aust</w:t>
      </w:r>
      <w:r w:rsidR="001D4CB9">
        <w:rPr>
          <w:rFonts w:ascii="Times New Roman" w:hAnsi="Times New Roman" w:cs="Times New Roman"/>
          <w:szCs w:val="20"/>
        </w:rPr>
        <w:t xml:space="preserve">ralian Parliament, decision </w:t>
      </w:r>
      <w:r>
        <w:rPr>
          <w:rFonts w:ascii="Times New Roman" w:hAnsi="Times New Roman" w:cs="Times New Roman"/>
          <w:szCs w:val="20"/>
        </w:rPr>
        <w:t xml:space="preserve">makers in political and governmental processes, and the Australian public have visibility of the forms and sources of foreign influence in Australia. Access to such information will better position both the government and the public to understand and assess the actions of those registered under the scheme. </w:t>
      </w:r>
    </w:p>
    <w:p w:rsidR="00E961F6" w:rsidRDefault="00AB37F5" w:rsidP="009359BB">
      <w:pPr>
        <w:rPr>
          <w:rFonts w:ascii="Times New Roman" w:hAnsi="Times New Roman" w:cs="Times New Roman"/>
          <w:szCs w:val="20"/>
        </w:rPr>
      </w:pPr>
      <w:r>
        <w:rPr>
          <w:rFonts w:ascii="Times New Roman" w:hAnsi="Times New Roman" w:cs="Times New Roman"/>
          <w:szCs w:val="20"/>
        </w:rPr>
        <w:t>The</w:t>
      </w:r>
      <w:r w:rsidR="00A95C4B">
        <w:rPr>
          <w:rFonts w:ascii="Times New Roman" w:hAnsi="Times New Roman" w:cs="Times New Roman"/>
          <w:szCs w:val="20"/>
        </w:rPr>
        <w:t>se</w:t>
      </w:r>
      <w:r>
        <w:rPr>
          <w:rFonts w:ascii="Times New Roman" w:hAnsi="Times New Roman" w:cs="Times New Roman"/>
          <w:szCs w:val="20"/>
        </w:rPr>
        <w:t xml:space="preserve"> </w:t>
      </w:r>
      <w:r w:rsidR="00923579">
        <w:rPr>
          <w:rFonts w:ascii="Times New Roman" w:hAnsi="Times New Roman" w:cs="Times New Roman"/>
          <w:szCs w:val="20"/>
        </w:rPr>
        <w:t>R</w:t>
      </w:r>
      <w:r w:rsidR="00923579" w:rsidRPr="003A29C3">
        <w:rPr>
          <w:rFonts w:ascii="Times New Roman" w:hAnsi="Times New Roman" w:cs="Times New Roman"/>
          <w:szCs w:val="20"/>
        </w:rPr>
        <w:t xml:space="preserve">ules </w:t>
      </w:r>
      <w:r>
        <w:rPr>
          <w:rFonts w:ascii="Times New Roman" w:hAnsi="Times New Roman" w:cs="Times New Roman"/>
          <w:szCs w:val="20"/>
        </w:rPr>
        <w:t>are central to achieving the transparency objective of the scheme, as they provide that further specific information will be made publicly available in relation to each person registered.</w:t>
      </w:r>
      <w:r w:rsidR="004F0BB4">
        <w:rPr>
          <w:rFonts w:ascii="Times New Roman" w:hAnsi="Times New Roman" w:cs="Times New Roman"/>
          <w:szCs w:val="20"/>
        </w:rPr>
        <w:t xml:space="preserve"> The additional information relates to the persons registered, the foreign principal </w:t>
      </w:r>
      <w:r w:rsidR="00375CD1">
        <w:rPr>
          <w:rFonts w:ascii="Times New Roman" w:hAnsi="Times New Roman" w:cs="Times New Roman"/>
          <w:szCs w:val="20"/>
        </w:rPr>
        <w:t xml:space="preserve">in relation to whom they are registered, details of the relationship between the registrant and foreign principal, and details of the activities being undertaken or proposed to be undertaken. </w:t>
      </w:r>
      <w:r w:rsidR="00837A5F" w:rsidRPr="00837A5F">
        <w:rPr>
          <w:rFonts w:ascii="Times New Roman" w:hAnsi="Times New Roman" w:cs="Times New Roman"/>
          <w:szCs w:val="20"/>
        </w:rPr>
        <w:t xml:space="preserve">This information will be drawn from the description provided by </w:t>
      </w:r>
      <w:r w:rsidR="00837A5F">
        <w:rPr>
          <w:rFonts w:ascii="Times New Roman" w:hAnsi="Times New Roman" w:cs="Times New Roman"/>
          <w:szCs w:val="20"/>
        </w:rPr>
        <w:t>registrants</w:t>
      </w:r>
      <w:r w:rsidR="00837A5F" w:rsidRPr="00837A5F">
        <w:rPr>
          <w:rFonts w:ascii="Times New Roman" w:hAnsi="Times New Roman" w:cs="Times New Roman"/>
          <w:szCs w:val="20"/>
        </w:rPr>
        <w:t xml:space="preserve"> in their application for registration under the scheme </w:t>
      </w:r>
      <w:r w:rsidR="00837A5F">
        <w:rPr>
          <w:rFonts w:ascii="Times New Roman" w:hAnsi="Times New Roman" w:cs="Times New Roman"/>
          <w:szCs w:val="20"/>
        </w:rPr>
        <w:t>or</w:t>
      </w:r>
      <w:r w:rsidR="00837A5F" w:rsidRPr="00837A5F">
        <w:rPr>
          <w:rFonts w:ascii="Times New Roman" w:hAnsi="Times New Roman" w:cs="Times New Roman"/>
          <w:szCs w:val="20"/>
        </w:rPr>
        <w:t xml:space="preserve"> </w:t>
      </w:r>
      <w:r w:rsidR="00837A5F">
        <w:rPr>
          <w:rFonts w:ascii="Times New Roman" w:hAnsi="Times New Roman" w:cs="Times New Roman"/>
          <w:szCs w:val="20"/>
        </w:rPr>
        <w:t xml:space="preserve">from </w:t>
      </w:r>
      <w:r w:rsidR="00837A5F" w:rsidRPr="00837A5F">
        <w:rPr>
          <w:rFonts w:ascii="Times New Roman" w:hAnsi="Times New Roman" w:cs="Times New Roman"/>
          <w:szCs w:val="20"/>
        </w:rPr>
        <w:t xml:space="preserve">information provided by </w:t>
      </w:r>
      <w:r w:rsidR="00837A5F">
        <w:rPr>
          <w:rFonts w:ascii="Times New Roman" w:hAnsi="Times New Roman" w:cs="Times New Roman"/>
          <w:szCs w:val="20"/>
        </w:rPr>
        <w:t>registrants</w:t>
      </w:r>
      <w:r w:rsidR="00837A5F" w:rsidRPr="00837A5F">
        <w:rPr>
          <w:rFonts w:ascii="Times New Roman" w:hAnsi="Times New Roman" w:cs="Times New Roman"/>
          <w:szCs w:val="20"/>
        </w:rPr>
        <w:t xml:space="preserve"> when notifying of changes or updates to their registration information.</w:t>
      </w:r>
      <w:r w:rsidR="00BF616D">
        <w:rPr>
          <w:rFonts w:ascii="Times New Roman" w:hAnsi="Times New Roman" w:cs="Times New Roman"/>
          <w:szCs w:val="20"/>
        </w:rPr>
        <w:t xml:space="preserve"> The requirement that this information be made publicly available is subject to the limitation in subsection 43(2) of the Act, which provides that the website must not include information that the Secretary is satisfied is commercially sensitive, affects national security, or is of a kind prescribed by the rules for the purposes of </w:t>
      </w:r>
      <w:r w:rsidR="007817D6">
        <w:rPr>
          <w:rFonts w:ascii="Times New Roman" w:hAnsi="Times New Roman" w:cs="Times New Roman"/>
          <w:szCs w:val="20"/>
        </w:rPr>
        <w:t>subsection 43(2).</w:t>
      </w:r>
      <w:r w:rsidR="00BF616D">
        <w:rPr>
          <w:rFonts w:ascii="Times New Roman" w:hAnsi="Times New Roman" w:cs="Times New Roman"/>
          <w:szCs w:val="20"/>
        </w:rPr>
        <w:t xml:space="preserve"> </w:t>
      </w:r>
    </w:p>
    <w:p w:rsidR="00E961F6" w:rsidRDefault="00BF616D" w:rsidP="009359BB">
      <w:pPr>
        <w:rPr>
          <w:rFonts w:ascii="Times New Roman" w:hAnsi="Times New Roman" w:cs="Times New Roman"/>
          <w:szCs w:val="20"/>
        </w:rPr>
      </w:pPr>
      <w:r>
        <w:rPr>
          <w:rFonts w:ascii="Times New Roman" w:hAnsi="Times New Roman" w:cs="Times New Roman"/>
          <w:szCs w:val="20"/>
        </w:rPr>
        <w:t>The</w:t>
      </w:r>
      <w:r w:rsidR="00375CD1">
        <w:rPr>
          <w:rFonts w:ascii="Times New Roman" w:hAnsi="Times New Roman" w:cs="Times New Roman"/>
          <w:szCs w:val="20"/>
        </w:rPr>
        <w:t xml:space="preserve"> information </w:t>
      </w:r>
      <w:r w:rsidR="007817D6">
        <w:rPr>
          <w:rFonts w:ascii="Times New Roman" w:hAnsi="Times New Roman" w:cs="Times New Roman"/>
          <w:szCs w:val="20"/>
        </w:rPr>
        <w:t>prescribed by the R</w:t>
      </w:r>
      <w:r>
        <w:rPr>
          <w:rFonts w:ascii="Times New Roman" w:hAnsi="Times New Roman" w:cs="Times New Roman"/>
          <w:szCs w:val="20"/>
        </w:rPr>
        <w:t xml:space="preserve">ules </w:t>
      </w:r>
      <w:r w:rsidR="00375CD1">
        <w:rPr>
          <w:rFonts w:ascii="Times New Roman" w:hAnsi="Times New Roman" w:cs="Times New Roman"/>
          <w:szCs w:val="20"/>
        </w:rPr>
        <w:t xml:space="preserve">is necessary </w:t>
      </w:r>
      <w:r>
        <w:rPr>
          <w:rFonts w:ascii="Times New Roman" w:hAnsi="Times New Roman" w:cs="Times New Roman"/>
          <w:szCs w:val="20"/>
        </w:rPr>
        <w:t>as it ensures</w:t>
      </w:r>
      <w:r w:rsidR="00375CD1">
        <w:rPr>
          <w:rFonts w:ascii="Times New Roman" w:hAnsi="Times New Roman" w:cs="Times New Roman"/>
          <w:szCs w:val="20"/>
        </w:rPr>
        <w:t xml:space="preserve"> that registrants are able to be identified (</w:t>
      </w:r>
      <w:r w:rsidR="009F27C9">
        <w:rPr>
          <w:rFonts w:ascii="Times New Roman" w:hAnsi="Times New Roman" w:cs="Times New Roman"/>
          <w:szCs w:val="20"/>
        </w:rPr>
        <w:t xml:space="preserve">for example, </w:t>
      </w:r>
      <w:r w:rsidR="00375CD1">
        <w:rPr>
          <w:rFonts w:ascii="Times New Roman" w:hAnsi="Times New Roman" w:cs="Times New Roman"/>
          <w:szCs w:val="20"/>
        </w:rPr>
        <w:t>if they operate under a different name)</w:t>
      </w:r>
      <w:r w:rsidR="001D4CB9">
        <w:rPr>
          <w:rFonts w:ascii="Times New Roman" w:hAnsi="Times New Roman" w:cs="Times New Roman"/>
          <w:szCs w:val="20"/>
        </w:rPr>
        <w:t xml:space="preserve"> </w:t>
      </w:r>
      <w:r w:rsidR="00E961F6">
        <w:rPr>
          <w:rFonts w:ascii="Times New Roman" w:hAnsi="Times New Roman" w:cs="Times New Roman"/>
          <w:szCs w:val="20"/>
        </w:rPr>
        <w:t xml:space="preserve">and </w:t>
      </w:r>
      <w:r w:rsidR="001D4CB9">
        <w:rPr>
          <w:rFonts w:ascii="Times New Roman" w:hAnsi="Times New Roman" w:cs="Times New Roman"/>
          <w:szCs w:val="20"/>
        </w:rPr>
        <w:t>that the public understands why particular persons are registered under the scheme (such as their status as a former senior public position holder)</w:t>
      </w:r>
      <w:r w:rsidR="00E961F6">
        <w:rPr>
          <w:rFonts w:ascii="Times New Roman" w:hAnsi="Times New Roman" w:cs="Times New Roman"/>
          <w:szCs w:val="20"/>
        </w:rPr>
        <w:t xml:space="preserve">. The information is also necessary </w:t>
      </w:r>
      <w:r>
        <w:rPr>
          <w:rFonts w:ascii="Times New Roman" w:hAnsi="Times New Roman" w:cs="Times New Roman"/>
          <w:szCs w:val="20"/>
        </w:rPr>
        <w:t>as it ensures</w:t>
      </w:r>
      <w:r w:rsidR="00E961F6">
        <w:rPr>
          <w:rFonts w:ascii="Times New Roman" w:hAnsi="Times New Roman" w:cs="Times New Roman"/>
          <w:szCs w:val="20"/>
        </w:rPr>
        <w:t xml:space="preserve"> that the </w:t>
      </w:r>
      <w:r w:rsidR="001D4CB9">
        <w:rPr>
          <w:rFonts w:ascii="Times New Roman" w:hAnsi="Times New Roman" w:cs="Times New Roman"/>
          <w:szCs w:val="20"/>
        </w:rPr>
        <w:lastRenderedPageBreak/>
        <w:t xml:space="preserve">circumstances in which registrable activities are undertaken is </w:t>
      </w:r>
      <w:r>
        <w:rPr>
          <w:rFonts w:ascii="Times New Roman" w:hAnsi="Times New Roman" w:cs="Times New Roman"/>
          <w:szCs w:val="20"/>
        </w:rPr>
        <w:t>apparent</w:t>
      </w:r>
      <w:r w:rsidR="00E961F6">
        <w:rPr>
          <w:rFonts w:ascii="Times New Roman" w:hAnsi="Times New Roman" w:cs="Times New Roman"/>
          <w:szCs w:val="20"/>
        </w:rPr>
        <w:t>, including the kinds of relationships in existence between foreign principals</w:t>
      </w:r>
      <w:r w:rsidR="00923579">
        <w:rPr>
          <w:rFonts w:ascii="Times New Roman" w:hAnsi="Times New Roman" w:cs="Times New Roman"/>
          <w:szCs w:val="20"/>
        </w:rPr>
        <w:t xml:space="preserve"> and persons registered under the scheme. </w:t>
      </w:r>
    </w:p>
    <w:p w:rsidR="001D4CB9" w:rsidRDefault="001D4CB9" w:rsidP="009359BB">
      <w:pPr>
        <w:rPr>
          <w:rFonts w:ascii="Times New Roman" w:hAnsi="Times New Roman" w:cs="Times New Roman"/>
          <w:szCs w:val="20"/>
        </w:rPr>
      </w:pPr>
      <w:r>
        <w:rPr>
          <w:rFonts w:ascii="Times New Roman" w:hAnsi="Times New Roman" w:cs="Times New Roman"/>
          <w:szCs w:val="20"/>
        </w:rPr>
        <w:t xml:space="preserve">The information </w:t>
      </w:r>
      <w:r w:rsidR="00E961F6">
        <w:rPr>
          <w:rFonts w:ascii="Times New Roman" w:hAnsi="Times New Roman" w:cs="Times New Roman"/>
          <w:szCs w:val="20"/>
        </w:rPr>
        <w:t xml:space="preserve">to be made publicly available </w:t>
      </w:r>
      <w:r>
        <w:rPr>
          <w:rFonts w:ascii="Times New Roman" w:hAnsi="Times New Roman" w:cs="Times New Roman"/>
          <w:szCs w:val="20"/>
        </w:rPr>
        <w:t>ensure</w:t>
      </w:r>
      <w:r w:rsidR="00E961F6">
        <w:rPr>
          <w:rFonts w:ascii="Times New Roman" w:hAnsi="Times New Roman" w:cs="Times New Roman"/>
          <w:szCs w:val="20"/>
        </w:rPr>
        <w:t>s</w:t>
      </w:r>
      <w:r w:rsidR="00375CD1">
        <w:rPr>
          <w:rFonts w:ascii="Times New Roman" w:hAnsi="Times New Roman" w:cs="Times New Roman"/>
          <w:szCs w:val="20"/>
        </w:rPr>
        <w:t xml:space="preserve"> that the public and decision makers can properly</w:t>
      </w:r>
      <w:r>
        <w:rPr>
          <w:rFonts w:ascii="Times New Roman" w:hAnsi="Times New Roman" w:cs="Times New Roman"/>
          <w:szCs w:val="20"/>
        </w:rPr>
        <w:t xml:space="preserve"> understand the manner in which foreign influence is exerted in Australian government and political processes. Providing </w:t>
      </w:r>
      <w:r w:rsidR="009F27C9">
        <w:rPr>
          <w:rFonts w:ascii="Times New Roman" w:hAnsi="Times New Roman" w:cs="Times New Roman"/>
          <w:szCs w:val="20"/>
        </w:rPr>
        <w:t>detailed information</w:t>
      </w:r>
      <w:r>
        <w:rPr>
          <w:rFonts w:ascii="Times New Roman" w:hAnsi="Times New Roman" w:cs="Times New Roman"/>
          <w:szCs w:val="20"/>
        </w:rPr>
        <w:t xml:space="preserve"> about registrants, their activities and the foreign principals on whose behalf they undertake the activities ensures that the transparency facilitated by the scheme is meaningful and helpful to the public and decision makers.</w:t>
      </w:r>
    </w:p>
    <w:p w:rsidR="00923579" w:rsidRDefault="001D4CB9" w:rsidP="009359BB">
      <w:pPr>
        <w:rPr>
          <w:rFonts w:ascii="Times New Roman" w:hAnsi="Times New Roman" w:cs="Times New Roman"/>
          <w:szCs w:val="20"/>
        </w:rPr>
      </w:pPr>
      <w:r>
        <w:rPr>
          <w:rFonts w:ascii="Times New Roman" w:hAnsi="Times New Roman" w:cs="Times New Roman"/>
          <w:szCs w:val="20"/>
        </w:rPr>
        <w:t>The</w:t>
      </w:r>
      <w:r w:rsidR="00BD292A">
        <w:rPr>
          <w:rFonts w:ascii="Times New Roman" w:hAnsi="Times New Roman" w:cs="Times New Roman"/>
          <w:szCs w:val="20"/>
        </w:rPr>
        <w:t>se</w:t>
      </w:r>
      <w:r>
        <w:rPr>
          <w:rFonts w:ascii="Times New Roman" w:hAnsi="Times New Roman" w:cs="Times New Roman"/>
          <w:szCs w:val="20"/>
        </w:rPr>
        <w:t xml:space="preserve"> </w:t>
      </w:r>
      <w:r w:rsidR="00923579">
        <w:rPr>
          <w:rFonts w:ascii="Times New Roman" w:hAnsi="Times New Roman" w:cs="Times New Roman"/>
          <w:szCs w:val="20"/>
        </w:rPr>
        <w:t>R</w:t>
      </w:r>
      <w:r w:rsidR="00923579" w:rsidRPr="003A29C3">
        <w:rPr>
          <w:rFonts w:ascii="Times New Roman" w:hAnsi="Times New Roman" w:cs="Times New Roman"/>
          <w:szCs w:val="20"/>
        </w:rPr>
        <w:t xml:space="preserve">ules </w:t>
      </w:r>
      <w:r>
        <w:rPr>
          <w:rFonts w:ascii="Times New Roman" w:hAnsi="Times New Roman" w:cs="Times New Roman"/>
          <w:szCs w:val="20"/>
        </w:rPr>
        <w:t xml:space="preserve">also provide that the Secretary of the Attorney-General’s Department is to remove information from the public register </w:t>
      </w:r>
      <w:r w:rsidR="00B26FF6">
        <w:rPr>
          <w:rFonts w:ascii="Times New Roman" w:hAnsi="Times New Roman" w:cs="Times New Roman"/>
          <w:szCs w:val="20"/>
        </w:rPr>
        <w:t xml:space="preserve">where satisfied that the information is not true or was provided in relation to an application for registration under the scheme that was fraudulently made. </w:t>
      </w:r>
      <w:r w:rsidR="00E961F6">
        <w:rPr>
          <w:rFonts w:ascii="Times New Roman" w:hAnsi="Times New Roman" w:cs="Times New Roman"/>
          <w:szCs w:val="20"/>
        </w:rPr>
        <w:t xml:space="preserve">This </w:t>
      </w:r>
      <w:r w:rsidR="00B26FF6">
        <w:rPr>
          <w:rFonts w:ascii="Times New Roman" w:hAnsi="Times New Roman" w:cs="Times New Roman"/>
          <w:szCs w:val="20"/>
        </w:rPr>
        <w:t>provide</w:t>
      </w:r>
      <w:r w:rsidR="00E961F6">
        <w:rPr>
          <w:rFonts w:ascii="Times New Roman" w:hAnsi="Times New Roman" w:cs="Times New Roman"/>
          <w:szCs w:val="20"/>
        </w:rPr>
        <w:t>s</w:t>
      </w:r>
      <w:r w:rsidR="00B26FF6">
        <w:rPr>
          <w:rFonts w:ascii="Times New Roman" w:hAnsi="Times New Roman" w:cs="Times New Roman"/>
          <w:szCs w:val="20"/>
        </w:rPr>
        <w:t xml:space="preserve"> reassurance to the public about the integrity of the public register and that the information </w:t>
      </w:r>
      <w:r w:rsidR="00E961F6">
        <w:rPr>
          <w:rFonts w:ascii="Times New Roman" w:hAnsi="Times New Roman" w:cs="Times New Roman"/>
          <w:szCs w:val="20"/>
        </w:rPr>
        <w:t xml:space="preserve">made </w:t>
      </w:r>
      <w:r w:rsidR="00B26FF6">
        <w:rPr>
          <w:rFonts w:ascii="Times New Roman" w:hAnsi="Times New Roman" w:cs="Times New Roman"/>
          <w:szCs w:val="20"/>
        </w:rPr>
        <w:t>publicly available can be relied upon</w:t>
      </w:r>
      <w:r w:rsidR="00E961F6">
        <w:rPr>
          <w:rFonts w:ascii="Times New Roman" w:hAnsi="Times New Roman" w:cs="Times New Roman"/>
          <w:szCs w:val="20"/>
        </w:rPr>
        <w:t>.</w:t>
      </w:r>
    </w:p>
    <w:p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t xml:space="preserve">OTHER ISSUES </w:t>
      </w:r>
    </w:p>
    <w:p w:rsidR="00923579" w:rsidRDefault="00B26FF6" w:rsidP="009359BB">
      <w:pPr>
        <w:rPr>
          <w:rFonts w:ascii="Times New Roman" w:hAnsi="Times New Roman" w:cs="Times New Roman"/>
          <w:szCs w:val="20"/>
        </w:rPr>
      </w:pPr>
      <w:r w:rsidRPr="007D698E">
        <w:rPr>
          <w:rFonts w:ascii="Times New Roman" w:eastAsia="Calibri" w:hAnsi="Times New Roman" w:cs="Times New Roman"/>
          <w:b/>
          <w:szCs w:val="24"/>
        </w:rPr>
        <w:t xml:space="preserve">More information </w:t>
      </w:r>
    </w:p>
    <w:p w:rsidR="00923579" w:rsidRDefault="00B26FF6" w:rsidP="009359BB">
      <w:pPr>
        <w:rPr>
          <w:rFonts w:ascii="Times New Roman" w:hAnsi="Times New Roman" w:cs="Times New Roman"/>
          <w:szCs w:val="20"/>
        </w:rPr>
      </w:pPr>
      <w:r w:rsidRPr="007D698E">
        <w:rPr>
          <w:rFonts w:ascii="Times New Roman" w:eastAsia="Calibri" w:hAnsi="Times New Roman" w:cs="Times New Roman"/>
          <w:szCs w:val="24"/>
        </w:rPr>
        <w:t xml:space="preserve">An explanation of the provisions </w:t>
      </w:r>
      <w:r w:rsidR="00923579">
        <w:rPr>
          <w:rFonts w:ascii="Times New Roman" w:eastAsia="Calibri" w:hAnsi="Times New Roman" w:cs="Times New Roman"/>
          <w:szCs w:val="24"/>
        </w:rPr>
        <w:t>of the Rules</w:t>
      </w:r>
      <w:r w:rsidRPr="007D698E">
        <w:rPr>
          <w:rFonts w:ascii="Times New Roman" w:eastAsia="Calibri" w:hAnsi="Times New Roman" w:cs="Times New Roman"/>
          <w:szCs w:val="24"/>
        </w:rPr>
        <w:t xml:space="preserve"> is provided in </w:t>
      </w:r>
      <w:r>
        <w:rPr>
          <w:rFonts w:ascii="Times New Roman" w:eastAsia="Calibri" w:hAnsi="Times New Roman" w:cs="Times New Roman"/>
          <w:szCs w:val="24"/>
          <w:u w:val="single"/>
        </w:rPr>
        <w:t>Attachment A</w:t>
      </w:r>
      <w:r w:rsidRPr="007D698E">
        <w:rPr>
          <w:rFonts w:ascii="Times New Roman" w:eastAsia="Calibri" w:hAnsi="Times New Roman" w:cs="Times New Roman"/>
          <w:szCs w:val="24"/>
        </w:rPr>
        <w:t>.</w:t>
      </w:r>
    </w:p>
    <w:p w:rsidR="00923579" w:rsidRPr="00BF79BB" w:rsidRDefault="00411660" w:rsidP="009359BB">
      <w:pPr>
        <w:rPr>
          <w:rFonts w:ascii="Times New Roman" w:hAnsi="Times New Roman" w:cs="Times New Roman"/>
          <w:b/>
          <w:szCs w:val="24"/>
        </w:rPr>
      </w:pPr>
      <w:r w:rsidRPr="00BF79BB">
        <w:rPr>
          <w:rFonts w:ascii="Times New Roman" w:hAnsi="Times New Roman" w:cs="Times New Roman"/>
          <w:b/>
          <w:szCs w:val="24"/>
        </w:rPr>
        <w:t xml:space="preserve">Regulatory </w:t>
      </w:r>
      <w:r w:rsidR="00C36320">
        <w:rPr>
          <w:rFonts w:ascii="Times New Roman" w:hAnsi="Times New Roman" w:cs="Times New Roman"/>
          <w:b/>
          <w:szCs w:val="24"/>
        </w:rPr>
        <w:t>i</w:t>
      </w:r>
      <w:r w:rsidRPr="00BF79BB">
        <w:rPr>
          <w:rFonts w:ascii="Times New Roman" w:hAnsi="Times New Roman" w:cs="Times New Roman"/>
          <w:b/>
          <w:szCs w:val="24"/>
        </w:rPr>
        <w:t xml:space="preserve">mpact </w:t>
      </w:r>
      <w:r w:rsidR="00C36320">
        <w:rPr>
          <w:rFonts w:ascii="Times New Roman" w:hAnsi="Times New Roman" w:cs="Times New Roman"/>
          <w:b/>
          <w:szCs w:val="24"/>
        </w:rPr>
        <w:t>analysis</w:t>
      </w:r>
    </w:p>
    <w:p w:rsidR="00923579" w:rsidRDefault="00BF79BB" w:rsidP="009359BB">
      <w:pPr>
        <w:rPr>
          <w:rFonts w:ascii="Times New Roman" w:hAnsi="Times New Roman" w:cs="Times New Roman"/>
          <w:b/>
          <w:bCs/>
          <w:szCs w:val="24"/>
        </w:rPr>
      </w:pPr>
      <w:r>
        <w:rPr>
          <w:rFonts w:ascii="Times New Roman" w:hAnsi="Times New Roman" w:cs="Times New Roman"/>
          <w:szCs w:val="24"/>
        </w:rPr>
        <w:t xml:space="preserve">The </w:t>
      </w:r>
      <w:r w:rsidRPr="00BF79BB">
        <w:rPr>
          <w:rFonts w:ascii="Times New Roman" w:hAnsi="Times New Roman" w:cs="Times New Roman"/>
          <w:szCs w:val="24"/>
        </w:rPr>
        <w:t>Offic</w:t>
      </w:r>
      <w:r>
        <w:rPr>
          <w:rFonts w:ascii="Times New Roman" w:hAnsi="Times New Roman" w:cs="Times New Roman"/>
          <w:szCs w:val="24"/>
        </w:rPr>
        <w:t xml:space="preserve">e of Best Practice Regulation (OBPR) in the </w:t>
      </w:r>
      <w:r w:rsidRPr="00BF79BB">
        <w:rPr>
          <w:rFonts w:ascii="Times New Roman" w:hAnsi="Times New Roman" w:cs="Times New Roman"/>
          <w:szCs w:val="24"/>
        </w:rPr>
        <w:t>Department of the Prime Minister and Cabinet</w:t>
      </w:r>
      <w:r w:rsidR="001E309B">
        <w:rPr>
          <w:rFonts w:ascii="Times New Roman" w:hAnsi="Times New Roman" w:cs="Times New Roman"/>
          <w:szCs w:val="24"/>
        </w:rPr>
        <w:t xml:space="preserve"> </w:t>
      </w:r>
      <w:r w:rsidR="00411660" w:rsidRPr="00BF79BB">
        <w:rPr>
          <w:rFonts w:ascii="Times New Roman" w:hAnsi="Times New Roman" w:cs="Times New Roman"/>
          <w:szCs w:val="24"/>
        </w:rPr>
        <w:t xml:space="preserve">considers </w:t>
      </w:r>
      <w:r w:rsidR="001E309B">
        <w:rPr>
          <w:rFonts w:ascii="Times New Roman" w:hAnsi="Times New Roman" w:cs="Times New Roman"/>
          <w:szCs w:val="24"/>
        </w:rPr>
        <w:t>this</w:t>
      </w:r>
      <w:r w:rsidR="001E309B" w:rsidRPr="00BF79BB">
        <w:rPr>
          <w:rFonts w:ascii="Times New Roman" w:hAnsi="Times New Roman" w:cs="Times New Roman"/>
          <w:szCs w:val="24"/>
        </w:rPr>
        <w:t xml:space="preserve"> </w:t>
      </w:r>
      <w:r w:rsidR="00411660" w:rsidRPr="00BF79BB">
        <w:rPr>
          <w:rFonts w:ascii="Times New Roman" w:hAnsi="Times New Roman" w:cs="Times New Roman"/>
          <w:szCs w:val="24"/>
        </w:rPr>
        <w:t xml:space="preserve">proposal </w:t>
      </w:r>
      <w:r w:rsidR="001E309B">
        <w:rPr>
          <w:rFonts w:ascii="Times New Roman" w:hAnsi="Times New Roman" w:cs="Times New Roman"/>
          <w:szCs w:val="24"/>
        </w:rPr>
        <w:t xml:space="preserve">to be </w:t>
      </w:r>
      <w:r>
        <w:rPr>
          <w:rFonts w:ascii="Times New Roman" w:hAnsi="Times New Roman" w:cs="Times New Roman"/>
          <w:szCs w:val="24"/>
        </w:rPr>
        <w:t>machinery in nature</w:t>
      </w:r>
      <w:r w:rsidR="001E309B">
        <w:rPr>
          <w:rFonts w:ascii="Times New Roman" w:hAnsi="Times New Roman" w:cs="Times New Roman"/>
          <w:szCs w:val="24"/>
        </w:rPr>
        <w:t xml:space="preserve"> and has confirmed that a Reg</w:t>
      </w:r>
      <w:r w:rsidR="00411660" w:rsidRPr="00BF79BB">
        <w:rPr>
          <w:rFonts w:ascii="Times New Roman" w:hAnsi="Times New Roman" w:cs="Times New Roman"/>
          <w:szCs w:val="24"/>
        </w:rPr>
        <w:t>ulation Impact Statement is not required.</w:t>
      </w:r>
      <w:r w:rsidR="001E309B">
        <w:rPr>
          <w:rFonts w:ascii="Times New Roman" w:hAnsi="Times New Roman" w:cs="Times New Roman"/>
          <w:szCs w:val="24"/>
        </w:rPr>
        <w:t xml:space="preserve"> The </w:t>
      </w:r>
      <w:r w:rsidR="00411660" w:rsidRPr="00BF79BB">
        <w:rPr>
          <w:rFonts w:ascii="Times New Roman" w:hAnsi="Times New Roman" w:cs="Times New Roman"/>
          <w:szCs w:val="24"/>
        </w:rPr>
        <w:t xml:space="preserve">OBPR ID is </w:t>
      </w:r>
      <w:r w:rsidR="00411660" w:rsidRPr="00734AED">
        <w:rPr>
          <w:rFonts w:ascii="Times New Roman" w:hAnsi="Times New Roman" w:cs="Times New Roman"/>
          <w:bCs/>
          <w:szCs w:val="24"/>
        </w:rPr>
        <w:t>24619</w:t>
      </w:r>
      <w:r>
        <w:rPr>
          <w:rFonts w:ascii="Times New Roman" w:hAnsi="Times New Roman" w:cs="Times New Roman"/>
          <w:b/>
          <w:bCs/>
          <w:szCs w:val="24"/>
        </w:rPr>
        <w:t xml:space="preserve">. </w:t>
      </w:r>
    </w:p>
    <w:p w:rsidR="00923579" w:rsidRDefault="001E309B" w:rsidP="009359BB">
      <w:pPr>
        <w:rPr>
          <w:rFonts w:ascii="Times New Roman" w:hAnsi="Times New Roman" w:cs="Times New Roman"/>
          <w:b/>
          <w:bCs/>
          <w:szCs w:val="24"/>
        </w:rPr>
      </w:pPr>
      <w:r>
        <w:rPr>
          <w:rFonts w:ascii="Times New Roman" w:hAnsi="Times New Roman" w:cs="Times New Roman"/>
          <w:b/>
          <w:bCs/>
          <w:szCs w:val="24"/>
        </w:rPr>
        <w:t>Statement of compatibility with human rights</w:t>
      </w:r>
      <w:r w:rsidR="00C36320">
        <w:rPr>
          <w:rFonts w:ascii="Times New Roman" w:hAnsi="Times New Roman" w:cs="Times New Roman"/>
          <w:b/>
          <w:bCs/>
          <w:szCs w:val="24"/>
        </w:rPr>
        <w:t xml:space="preserve"> </w:t>
      </w:r>
    </w:p>
    <w:p w:rsidR="00B26FF6" w:rsidRPr="00734AED" w:rsidRDefault="001E309B" w:rsidP="009359BB">
      <w:pPr>
        <w:rPr>
          <w:rFonts w:ascii="Times New Roman" w:hAnsi="Times New Roman" w:cs="Times New Roman"/>
          <w:b/>
          <w:bCs/>
          <w:szCs w:val="24"/>
        </w:rPr>
      </w:pPr>
      <w:r>
        <w:rPr>
          <w:rFonts w:ascii="Times New Roman" w:hAnsi="Times New Roman" w:cs="Times New Roman"/>
          <w:bCs/>
          <w:szCs w:val="24"/>
        </w:rPr>
        <w:t xml:space="preserve">A statement of compatibility with human rights has been prepared for </w:t>
      </w:r>
      <w:r w:rsidR="00923579">
        <w:rPr>
          <w:rFonts w:ascii="Times New Roman" w:hAnsi="Times New Roman" w:cs="Times New Roman"/>
          <w:bCs/>
          <w:szCs w:val="24"/>
        </w:rPr>
        <w:t>the Rules</w:t>
      </w:r>
      <w:r>
        <w:rPr>
          <w:rFonts w:ascii="Times New Roman" w:hAnsi="Times New Roman" w:cs="Times New Roman"/>
          <w:bCs/>
          <w:szCs w:val="24"/>
        </w:rPr>
        <w:t xml:space="preserve"> and is provided in </w:t>
      </w:r>
      <w:r w:rsidRPr="00734AED">
        <w:rPr>
          <w:rFonts w:ascii="Times New Roman" w:hAnsi="Times New Roman" w:cs="Times New Roman"/>
          <w:bCs/>
          <w:szCs w:val="24"/>
          <w:u w:val="single"/>
        </w:rPr>
        <w:t xml:space="preserve">Attachment </w:t>
      </w:r>
      <w:r w:rsidR="005D02C9">
        <w:rPr>
          <w:rFonts w:ascii="Times New Roman" w:hAnsi="Times New Roman" w:cs="Times New Roman"/>
          <w:bCs/>
          <w:szCs w:val="24"/>
          <w:u w:val="single"/>
        </w:rPr>
        <w:t>B</w:t>
      </w:r>
      <w:r>
        <w:rPr>
          <w:rFonts w:ascii="Times New Roman" w:hAnsi="Times New Roman" w:cs="Times New Roman"/>
          <w:bCs/>
          <w:szCs w:val="24"/>
        </w:rPr>
        <w:t xml:space="preserve">. </w:t>
      </w:r>
    </w:p>
    <w:p w:rsidR="006A69BB" w:rsidRPr="00734AED" w:rsidRDefault="006A69BB" w:rsidP="009359BB">
      <w:pPr>
        <w:rPr>
          <w:rFonts w:ascii="Times New Roman" w:hAnsi="Times New Roman" w:cs="Times New Roman"/>
          <w:bCs/>
          <w:szCs w:val="24"/>
        </w:rPr>
      </w:pPr>
      <w:r w:rsidRPr="007D698E">
        <w:rPr>
          <w:rFonts w:ascii="Times New Roman" w:eastAsia="Calibri" w:hAnsi="Times New Roman" w:cs="Times New Roman"/>
          <w:b/>
          <w:szCs w:val="24"/>
        </w:rPr>
        <w:t>Matter incorporated by reference</w:t>
      </w:r>
    </w:p>
    <w:p w:rsidR="00923579" w:rsidRDefault="006A69BB" w:rsidP="009359BB">
      <w:pPr>
        <w:rPr>
          <w:rFonts w:ascii="Times New Roman" w:eastAsia="Calibri" w:hAnsi="Times New Roman" w:cs="Times New Roman"/>
          <w:szCs w:val="24"/>
        </w:rPr>
      </w:pPr>
      <w:r w:rsidRPr="007D698E">
        <w:rPr>
          <w:rFonts w:ascii="Times New Roman" w:eastAsia="Calibri" w:hAnsi="Times New Roman" w:cs="Times New Roman"/>
          <w:szCs w:val="24"/>
        </w:rPr>
        <w:t xml:space="preserve">These </w:t>
      </w:r>
      <w:r>
        <w:rPr>
          <w:rFonts w:ascii="Times New Roman" w:eastAsia="Calibri" w:hAnsi="Times New Roman" w:cs="Times New Roman"/>
          <w:szCs w:val="24"/>
        </w:rPr>
        <w:t>Rules</w:t>
      </w:r>
      <w:r w:rsidRPr="007D698E">
        <w:rPr>
          <w:rFonts w:ascii="Times New Roman" w:eastAsia="Calibri" w:hAnsi="Times New Roman" w:cs="Times New Roman"/>
          <w:szCs w:val="24"/>
        </w:rPr>
        <w:t xml:space="preserve"> do not apply, adopt or incorporate other matters by reference. </w:t>
      </w:r>
    </w:p>
    <w:p w:rsidR="00923579" w:rsidRDefault="006A69BB" w:rsidP="009359BB">
      <w:pPr>
        <w:rPr>
          <w:rFonts w:ascii="Times New Roman" w:hAnsi="Times New Roman" w:cs="Times New Roman"/>
          <w:b/>
          <w:bCs/>
          <w:szCs w:val="24"/>
        </w:rPr>
      </w:pPr>
      <w:r w:rsidRPr="00734AED">
        <w:rPr>
          <w:rFonts w:ascii="Times New Roman" w:hAnsi="Times New Roman" w:cs="Times New Roman"/>
          <w:b/>
          <w:bCs/>
          <w:szCs w:val="24"/>
        </w:rPr>
        <w:t>Consultation</w:t>
      </w:r>
      <w:r w:rsidR="00923579">
        <w:rPr>
          <w:rFonts w:ascii="Times New Roman" w:hAnsi="Times New Roman" w:cs="Times New Roman"/>
          <w:b/>
          <w:bCs/>
          <w:szCs w:val="24"/>
        </w:rPr>
        <w:t xml:space="preserve"> </w:t>
      </w:r>
    </w:p>
    <w:p w:rsidR="00923579" w:rsidRDefault="00923579" w:rsidP="009359BB">
      <w:pPr>
        <w:rPr>
          <w:rFonts w:ascii="Times New Roman" w:hAnsi="Times New Roman" w:cs="Times New Roman"/>
          <w:bCs/>
          <w:szCs w:val="24"/>
        </w:rPr>
      </w:pPr>
      <w:r>
        <w:rPr>
          <w:rFonts w:ascii="Times New Roman" w:hAnsi="Times New Roman" w:cs="Times New Roman"/>
          <w:bCs/>
          <w:szCs w:val="24"/>
        </w:rPr>
        <w:t>Before the Rules</w:t>
      </w:r>
      <w:r w:rsidR="006A69BB">
        <w:rPr>
          <w:rFonts w:ascii="Times New Roman" w:hAnsi="Times New Roman" w:cs="Times New Roman"/>
          <w:bCs/>
          <w:szCs w:val="24"/>
        </w:rPr>
        <w:t xml:space="preserve"> were made, the Attorney-General considered the general obligation to consult imposed by section 17 of the </w:t>
      </w:r>
      <w:r w:rsidR="001E309B">
        <w:rPr>
          <w:rFonts w:ascii="Times New Roman" w:hAnsi="Times New Roman" w:cs="Times New Roman"/>
          <w:bCs/>
          <w:i/>
          <w:szCs w:val="24"/>
        </w:rPr>
        <w:t>L</w:t>
      </w:r>
      <w:r w:rsidR="006A69BB">
        <w:rPr>
          <w:rFonts w:ascii="Times New Roman" w:hAnsi="Times New Roman" w:cs="Times New Roman"/>
          <w:bCs/>
          <w:i/>
          <w:szCs w:val="24"/>
        </w:rPr>
        <w:t xml:space="preserve">egislation Act 2003 </w:t>
      </w:r>
      <w:r w:rsidR="001E309B">
        <w:rPr>
          <w:rFonts w:ascii="Times New Roman" w:hAnsi="Times New Roman" w:cs="Times New Roman"/>
          <w:bCs/>
          <w:szCs w:val="24"/>
        </w:rPr>
        <w:t>(the Legislation A</w:t>
      </w:r>
      <w:r w:rsidR="006A69BB">
        <w:rPr>
          <w:rFonts w:ascii="Times New Roman" w:hAnsi="Times New Roman" w:cs="Times New Roman"/>
          <w:bCs/>
          <w:szCs w:val="24"/>
        </w:rPr>
        <w:t>ct). The Attorney</w:t>
      </w:r>
      <w:r w:rsidR="001E309B">
        <w:rPr>
          <w:rFonts w:ascii="Times New Roman" w:hAnsi="Times New Roman" w:cs="Times New Roman"/>
          <w:bCs/>
          <w:szCs w:val="24"/>
        </w:rPr>
        <w:t>-General was satisfied that consultation was appropriate and reasonably practicable to be undertaken.</w:t>
      </w:r>
      <w:r w:rsidR="000A506A">
        <w:rPr>
          <w:rFonts w:ascii="Times New Roman" w:hAnsi="Times New Roman" w:cs="Times New Roman"/>
          <w:bCs/>
          <w:szCs w:val="24"/>
        </w:rPr>
        <w:t xml:space="preserve"> The Attorney-General’s Department undertook extensive consultation with government and non-government stakeholders on the Rules as part of the implementation of the </w:t>
      </w:r>
      <w:r>
        <w:rPr>
          <w:rFonts w:ascii="Times New Roman" w:hAnsi="Times New Roman" w:cs="Times New Roman"/>
          <w:bCs/>
          <w:szCs w:val="24"/>
        </w:rPr>
        <w:t>scheme</w:t>
      </w:r>
      <w:r w:rsidR="000A506A">
        <w:rPr>
          <w:rFonts w:ascii="Times New Roman" w:hAnsi="Times New Roman" w:cs="Times New Roman"/>
          <w:bCs/>
          <w:szCs w:val="24"/>
        </w:rPr>
        <w:t>. An exposure draft of the Rules</w:t>
      </w:r>
      <w:r w:rsidR="00BD292A">
        <w:rPr>
          <w:rFonts w:ascii="Times New Roman" w:hAnsi="Times New Roman" w:cs="Times New Roman"/>
          <w:bCs/>
          <w:szCs w:val="24"/>
        </w:rPr>
        <w:t xml:space="preserve"> made pursuant to section 43</w:t>
      </w:r>
      <w:r w:rsidR="000A506A">
        <w:rPr>
          <w:rFonts w:ascii="Times New Roman" w:hAnsi="Times New Roman" w:cs="Times New Roman"/>
          <w:bCs/>
          <w:szCs w:val="24"/>
        </w:rPr>
        <w:t xml:space="preserve"> was also published for several weeks on the website of the Attorney-General’s Department.</w:t>
      </w:r>
    </w:p>
    <w:p w:rsidR="00923579" w:rsidRPr="00734AED" w:rsidRDefault="000A506A" w:rsidP="009359BB">
      <w:pPr>
        <w:rPr>
          <w:rFonts w:ascii="Times New Roman" w:eastAsia="Calibri" w:hAnsi="Times New Roman" w:cs="Times New Roman"/>
          <w:szCs w:val="24"/>
        </w:rPr>
      </w:pPr>
      <w:r>
        <w:rPr>
          <w:rFonts w:ascii="Times New Roman" w:hAnsi="Times New Roman" w:cs="Times New Roman"/>
          <w:bCs/>
          <w:szCs w:val="24"/>
        </w:rPr>
        <w:t xml:space="preserve">Government agencies consulted on the Rules include: the Department of Finance, the Department of Communications and the Arts, the Department of the Prime Minister and Cabinet, the Department of Home Affairs, the Australian Federal Police, the Treasury, the Australian Charities and Not-for-profits Commission, </w:t>
      </w:r>
      <w:r w:rsidR="00CC4E3B">
        <w:rPr>
          <w:rFonts w:ascii="Times New Roman" w:hAnsi="Times New Roman" w:cs="Times New Roman"/>
          <w:bCs/>
          <w:szCs w:val="24"/>
        </w:rPr>
        <w:t xml:space="preserve">the Department of Education and Training, </w:t>
      </w:r>
      <w:r>
        <w:rPr>
          <w:rFonts w:ascii="Times New Roman" w:hAnsi="Times New Roman" w:cs="Times New Roman"/>
          <w:bCs/>
          <w:szCs w:val="24"/>
        </w:rPr>
        <w:t xml:space="preserve">the Department of Defence, the Department of Foreign Affairs and Trade, and the Department of Industry, Innovation and Science. Non-government stakeholders consulted on </w:t>
      </w:r>
      <w:r>
        <w:rPr>
          <w:rFonts w:ascii="Times New Roman" w:hAnsi="Times New Roman" w:cs="Times New Roman"/>
          <w:bCs/>
          <w:szCs w:val="24"/>
        </w:rPr>
        <w:lastRenderedPageBreak/>
        <w:t xml:space="preserve">the Rules included </w:t>
      </w:r>
      <w:r w:rsidRPr="000A506A">
        <w:rPr>
          <w:rFonts w:ascii="Times New Roman" w:hAnsi="Times New Roman" w:cs="Times New Roman"/>
          <w:bCs/>
          <w:szCs w:val="24"/>
        </w:rPr>
        <w:t>representatives of media organisations, lobbying firms and peak bodies</w:t>
      </w:r>
      <w:r>
        <w:rPr>
          <w:rFonts w:ascii="Times New Roman" w:hAnsi="Times New Roman" w:cs="Times New Roman"/>
          <w:bCs/>
          <w:szCs w:val="24"/>
        </w:rPr>
        <w:t xml:space="preserve">, and other persons who may have registration obligations under the scheme. </w:t>
      </w:r>
      <w:r w:rsidR="00BD292A">
        <w:rPr>
          <w:rFonts w:ascii="Times New Roman" w:hAnsi="Times New Roman" w:cs="Times New Roman"/>
          <w:bCs/>
          <w:szCs w:val="24"/>
        </w:rPr>
        <w:t>The Parliamentary Joint Committee on Intelligence and Security was also consulted</w:t>
      </w:r>
      <w:r w:rsidR="00BC1934">
        <w:rPr>
          <w:rFonts w:ascii="Times New Roman" w:hAnsi="Times New Roman" w:cs="Times New Roman"/>
          <w:bCs/>
          <w:szCs w:val="24"/>
        </w:rPr>
        <w:t xml:space="preserve"> during the implementation of the scheme, which included </w:t>
      </w:r>
      <w:r w:rsidR="00BD292A">
        <w:rPr>
          <w:rFonts w:ascii="Times New Roman" w:hAnsi="Times New Roman" w:cs="Times New Roman"/>
          <w:bCs/>
          <w:szCs w:val="24"/>
        </w:rPr>
        <w:t xml:space="preserve">the draft Rules. </w:t>
      </w:r>
      <w:r>
        <w:rPr>
          <w:rFonts w:ascii="Times New Roman" w:hAnsi="Times New Roman" w:cs="Times New Roman"/>
          <w:bCs/>
          <w:szCs w:val="24"/>
        </w:rPr>
        <w:t xml:space="preserve">Feedback provided from stakeholders was </w:t>
      </w:r>
      <w:r w:rsidR="00CC4E3B">
        <w:rPr>
          <w:rFonts w:ascii="Times New Roman" w:hAnsi="Times New Roman" w:cs="Times New Roman"/>
          <w:bCs/>
          <w:szCs w:val="24"/>
        </w:rPr>
        <w:t xml:space="preserve">considered and, where appropriate, </w:t>
      </w:r>
      <w:r>
        <w:rPr>
          <w:rFonts w:ascii="Times New Roman" w:hAnsi="Times New Roman" w:cs="Times New Roman"/>
          <w:bCs/>
          <w:szCs w:val="24"/>
        </w:rPr>
        <w:t>incorporated into the finalised Rules.</w:t>
      </w:r>
    </w:p>
    <w:p w:rsidR="00923579" w:rsidRDefault="00923579" w:rsidP="00734AED">
      <w:pPr>
        <w:rPr>
          <w:rFonts w:ascii="Times New Roman" w:hAnsi="Times New Roman" w:cs="Times New Roman"/>
          <w:bCs/>
          <w:szCs w:val="24"/>
        </w:rPr>
      </w:pPr>
    </w:p>
    <w:p w:rsidR="00923579" w:rsidRDefault="00923579">
      <w:pPr>
        <w:spacing w:line="276" w:lineRule="auto"/>
        <w:rPr>
          <w:rFonts w:ascii="Times New Roman" w:hAnsi="Times New Roman" w:cs="Times New Roman"/>
          <w:bCs/>
          <w:szCs w:val="24"/>
        </w:rPr>
      </w:pPr>
    </w:p>
    <w:p w:rsidR="006A69BB" w:rsidRDefault="006A69BB">
      <w:pPr>
        <w:spacing w:line="276" w:lineRule="auto"/>
        <w:rPr>
          <w:rFonts w:ascii="Times New Roman" w:hAnsi="Times New Roman" w:cs="Times New Roman"/>
          <w:color w:val="000000"/>
          <w:szCs w:val="20"/>
        </w:rPr>
      </w:pPr>
    </w:p>
    <w:p w:rsidR="00923579" w:rsidRDefault="00923579">
      <w:pPr>
        <w:spacing w:line="276" w:lineRule="auto"/>
        <w:rPr>
          <w:rFonts w:ascii="Times New Roman" w:hAnsi="Times New Roman" w:cs="Times New Roman"/>
          <w:b/>
          <w:color w:val="000000"/>
          <w:szCs w:val="20"/>
        </w:rPr>
      </w:pPr>
      <w:r>
        <w:rPr>
          <w:b/>
          <w:szCs w:val="20"/>
        </w:rPr>
        <w:br w:type="page"/>
      </w:r>
    </w:p>
    <w:p w:rsidR="006A69BB" w:rsidRDefault="006A69BB" w:rsidP="00734AED">
      <w:pPr>
        <w:pStyle w:val="Default"/>
        <w:jc w:val="right"/>
        <w:rPr>
          <w:b/>
          <w:szCs w:val="20"/>
        </w:rPr>
      </w:pPr>
      <w:r>
        <w:rPr>
          <w:b/>
          <w:szCs w:val="20"/>
        </w:rPr>
        <w:lastRenderedPageBreak/>
        <w:t>Attachment A</w:t>
      </w:r>
    </w:p>
    <w:p w:rsidR="00DF77E2" w:rsidRPr="007D698E" w:rsidRDefault="00DF77E2" w:rsidP="009359BB">
      <w:pPr>
        <w:ind w:left="1452" w:hanging="1452"/>
        <w:outlineLvl w:val="1"/>
        <w:rPr>
          <w:rFonts w:ascii="Times New Roman" w:eastAsia="Calibri" w:hAnsi="Times New Roman" w:cs="Times New Roman"/>
          <w:b/>
          <w:szCs w:val="24"/>
        </w:rPr>
      </w:pPr>
      <w:r w:rsidRPr="007D698E">
        <w:rPr>
          <w:rFonts w:ascii="Times New Roman" w:eastAsia="Calibri" w:hAnsi="Times New Roman" w:cs="Times New Roman"/>
          <w:b/>
          <w:szCs w:val="24"/>
        </w:rPr>
        <w:t xml:space="preserve">NOTES ON PROVISIONS </w:t>
      </w:r>
    </w:p>
    <w:p w:rsidR="00DF77E2"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Part 1 – Preliminary</w:t>
      </w:r>
    </w:p>
    <w:p w:rsidR="008365F6" w:rsidRDefault="00DF77E2" w:rsidP="009359BB">
      <w:pPr>
        <w:rPr>
          <w:rFonts w:ascii="Times New Roman" w:eastAsia="Calibri" w:hAnsi="Times New Roman" w:cs="Times New Roman"/>
          <w:b/>
          <w:szCs w:val="24"/>
        </w:rPr>
      </w:pPr>
      <w:r>
        <w:rPr>
          <w:rFonts w:ascii="Times New Roman" w:eastAsia="Calibri" w:hAnsi="Times New Roman" w:cs="Times New Roman"/>
          <w:b/>
          <w:szCs w:val="24"/>
        </w:rPr>
        <w:t>Section 1 – Name</w:t>
      </w:r>
    </w:p>
    <w:p w:rsidR="008365F6" w:rsidRDefault="00DF77E2" w:rsidP="009359BB">
      <w:pPr>
        <w:rPr>
          <w:rFonts w:ascii="Times New Roman" w:eastAsia="Calibri" w:hAnsi="Times New Roman" w:cs="Times New Roman"/>
          <w:b/>
          <w:szCs w:val="24"/>
        </w:rPr>
      </w:pPr>
      <w:r>
        <w:rPr>
          <w:rFonts w:ascii="Times New Roman" w:eastAsia="Calibri" w:hAnsi="Times New Roman" w:cs="Times New Roman"/>
          <w:szCs w:val="24"/>
        </w:rPr>
        <w:t xml:space="preserve">This section provides that the name of this instrument is the </w:t>
      </w:r>
      <w:r>
        <w:rPr>
          <w:rFonts w:ascii="Times New Roman" w:eastAsia="Calibri" w:hAnsi="Times New Roman" w:cs="Times New Roman"/>
          <w:i/>
          <w:szCs w:val="24"/>
        </w:rPr>
        <w:t xml:space="preserve">Foreign Influence Transparency Scheme Rules </w:t>
      </w:r>
      <w:r w:rsidRPr="00DF77E2">
        <w:rPr>
          <w:rFonts w:ascii="Times New Roman" w:eastAsia="Calibri" w:hAnsi="Times New Roman" w:cs="Times New Roman"/>
          <w:i/>
          <w:szCs w:val="24"/>
        </w:rPr>
        <w:t>2018</w:t>
      </w:r>
      <w:r>
        <w:rPr>
          <w:rFonts w:ascii="Times New Roman" w:eastAsia="Calibri" w:hAnsi="Times New Roman" w:cs="Times New Roman"/>
          <w:szCs w:val="24"/>
        </w:rPr>
        <w:t>.</w:t>
      </w:r>
    </w:p>
    <w:p w:rsidR="008365F6" w:rsidRDefault="00DF77E2" w:rsidP="009359BB">
      <w:pPr>
        <w:rPr>
          <w:rFonts w:eastAsia="Calibri"/>
          <w:b/>
        </w:rPr>
      </w:pPr>
      <w:r w:rsidRPr="00734AED">
        <w:rPr>
          <w:rFonts w:ascii="Times New Roman" w:eastAsia="Calibri" w:hAnsi="Times New Roman" w:cs="Times New Roman"/>
          <w:b/>
          <w:szCs w:val="24"/>
        </w:rPr>
        <w:t>Section</w:t>
      </w:r>
      <w:r w:rsidRPr="007D698E">
        <w:rPr>
          <w:rFonts w:ascii="Times New Roman" w:eastAsia="Calibri" w:hAnsi="Times New Roman" w:cs="Times New Roman"/>
          <w:b/>
          <w:szCs w:val="24"/>
        </w:rPr>
        <w:t xml:space="preserve"> </w:t>
      </w:r>
      <w:r>
        <w:rPr>
          <w:rFonts w:ascii="Times New Roman" w:eastAsia="Calibri" w:hAnsi="Times New Roman" w:cs="Times New Roman"/>
          <w:b/>
          <w:szCs w:val="24"/>
        </w:rPr>
        <w:t>2 – Commencement</w:t>
      </w:r>
    </w:p>
    <w:p w:rsidR="00DF77E2" w:rsidRPr="00734AED" w:rsidRDefault="00DF77E2" w:rsidP="009359BB">
      <w:pPr>
        <w:rPr>
          <w:rFonts w:eastAsia="Calibri"/>
          <w:szCs w:val="24"/>
        </w:rPr>
      </w:pPr>
      <w:r>
        <w:rPr>
          <w:rFonts w:ascii="Times New Roman" w:eastAsia="Calibri" w:hAnsi="Times New Roman" w:cs="Times New Roman"/>
          <w:szCs w:val="24"/>
        </w:rPr>
        <w:t>This section provides for the whole of the Rules to commence</w:t>
      </w:r>
      <w:r w:rsidR="00BC1934">
        <w:rPr>
          <w:rFonts w:ascii="Times New Roman" w:eastAsia="Calibri" w:hAnsi="Times New Roman" w:cs="Times New Roman"/>
          <w:szCs w:val="24"/>
        </w:rPr>
        <w:t xml:space="preserve"> the later of</w:t>
      </w:r>
      <w:r w:rsidR="00BD292A">
        <w:rPr>
          <w:rFonts w:ascii="Times New Roman" w:eastAsia="Calibri" w:hAnsi="Times New Roman" w:cs="Times New Roman"/>
          <w:szCs w:val="24"/>
        </w:rPr>
        <w:t xml:space="preserve"> the commencement of the </w:t>
      </w:r>
      <w:r>
        <w:rPr>
          <w:rFonts w:ascii="Times New Roman" w:eastAsia="Calibri" w:hAnsi="Times New Roman" w:cs="Times New Roman"/>
          <w:i/>
          <w:szCs w:val="24"/>
        </w:rPr>
        <w:t>Foreign Influence Transparency Scheme Act 2018</w:t>
      </w:r>
      <w:r w:rsidR="00BD292A">
        <w:rPr>
          <w:rFonts w:ascii="Times New Roman" w:eastAsia="Calibri" w:hAnsi="Times New Roman" w:cs="Times New Roman"/>
          <w:szCs w:val="24"/>
        </w:rPr>
        <w:t>, or the start of the day after the Rules are registered</w:t>
      </w:r>
      <w:r w:rsidR="00BC1934">
        <w:rPr>
          <w:rFonts w:ascii="Times New Roman" w:eastAsia="Calibri" w:hAnsi="Times New Roman" w:cs="Times New Roman"/>
          <w:szCs w:val="24"/>
        </w:rPr>
        <w:t>.</w:t>
      </w:r>
    </w:p>
    <w:p w:rsidR="00EE6A37" w:rsidRPr="00C60227" w:rsidRDefault="00EE6A37" w:rsidP="009359BB">
      <w:pPr>
        <w:rPr>
          <w:b/>
        </w:rPr>
      </w:pPr>
      <w:r w:rsidRPr="00734AED">
        <w:rPr>
          <w:rFonts w:ascii="Times New Roman" w:hAnsi="Times New Roman" w:cs="Times New Roman"/>
          <w:b/>
          <w:szCs w:val="24"/>
        </w:rPr>
        <w:t xml:space="preserve">Section 3 – Authority </w:t>
      </w:r>
    </w:p>
    <w:p w:rsidR="00DF77E2" w:rsidRDefault="00EE6A37" w:rsidP="009359BB">
      <w:pPr>
        <w:pStyle w:val="Default"/>
        <w:spacing w:after="200"/>
        <w:rPr>
          <w:b/>
        </w:rPr>
      </w:pPr>
      <w:r w:rsidRPr="00B4389D">
        <w:t xml:space="preserve">This section provides that the </w:t>
      </w:r>
      <w:r w:rsidR="007817D6">
        <w:t>R</w:t>
      </w:r>
      <w:r w:rsidRPr="00B4389D">
        <w:t xml:space="preserve">ules are made under the </w:t>
      </w:r>
      <w:r w:rsidRPr="00734AED">
        <w:rPr>
          <w:i/>
        </w:rPr>
        <w:t>Foreign Influence Transparency Scheme Act 201</w:t>
      </w:r>
      <w:r w:rsidR="00DF77E2">
        <w:rPr>
          <w:i/>
        </w:rPr>
        <w:t>8</w:t>
      </w:r>
      <w:r w:rsidRPr="00734AED">
        <w:rPr>
          <w:i/>
        </w:rPr>
        <w:t>.</w:t>
      </w:r>
      <w:r w:rsidRPr="00734AED">
        <w:t xml:space="preserve"> </w:t>
      </w:r>
    </w:p>
    <w:p w:rsidR="00EE6A37" w:rsidRPr="00B4389D" w:rsidRDefault="00EE6A37" w:rsidP="009359BB">
      <w:pPr>
        <w:pStyle w:val="Default"/>
        <w:spacing w:after="200"/>
        <w:rPr>
          <w:b/>
        </w:rPr>
      </w:pPr>
      <w:r w:rsidRPr="00C60227">
        <w:rPr>
          <w:b/>
        </w:rPr>
        <w:t xml:space="preserve">Section 4 – Definitions </w:t>
      </w:r>
    </w:p>
    <w:p w:rsidR="008365F6" w:rsidRDefault="008365F6" w:rsidP="009359BB">
      <w:pPr>
        <w:pStyle w:val="Default"/>
        <w:spacing w:after="200"/>
      </w:pPr>
      <w:r>
        <w:t xml:space="preserve">The note at the beginning of </w:t>
      </w:r>
      <w:r w:rsidR="00650692">
        <w:t>section 4</w:t>
      </w:r>
      <w:r>
        <w:t xml:space="preserve"> states that a number of expressions used </w:t>
      </w:r>
      <w:r w:rsidR="00650692">
        <w:t xml:space="preserve">in </w:t>
      </w:r>
      <w:r>
        <w:t>this instrument are defined in the Act.</w:t>
      </w:r>
      <w:r w:rsidR="00650692">
        <w:t xml:space="preserve"> The note is intended to provide clarity as to the meaning of these terms as used in the Rules.</w:t>
      </w:r>
      <w:r>
        <w:t xml:space="preserve"> </w:t>
      </w:r>
    </w:p>
    <w:p w:rsidR="00650692" w:rsidRDefault="00650692" w:rsidP="00650692">
      <w:pPr>
        <w:pStyle w:val="Default"/>
        <w:spacing w:after="200"/>
      </w:pPr>
      <w:r w:rsidRPr="00866BF9">
        <w:t xml:space="preserve">This section </w:t>
      </w:r>
      <w:r>
        <w:t>specifies the meaning of</w:t>
      </w:r>
      <w:r w:rsidRPr="00866BF9">
        <w:t xml:space="preserve"> a number of terms used in the Rules.</w:t>
      </w:r>
    </w:p>
    <w:p w:rsidR="00BF616D" w:rsidRDefault="008365F6" w:rsidP="00650692">
      <w:pPr>
        <w:pStyle w:val="Default"/>
        <w:spacing w:after="200"/>
        <w:ind w:left="720"/>
      </w:pPr>
      <w:r w:rsidRPr="00734AED">
        <w:rPr>
          <w:b/>
          <w:i/>
        </w:rPr>
        <w:t>ABN</w:t>
      </w:r>
      <w:r>
        <w:rPr>
          <w:b/>
          <w:i/>
        </w:rPr>
        <w:t xml:space="preserve"> </w:t>
      </w:r>
      <w:r w:rsidR="00881973">
        <w:t>has</w:t>
      </w:r>
      <w:r>
        <w:t xml:space="preserve"> the same meaning as in the </w:t>
      </w:r>
      <w:r>
        <w:rPr>
          <w:i/>
        </w:rPr>
        <w:t>A New Tax System (Australian Business Number) Act 1999.</w:t>
      </w:r>
      <w:r w:rsidR="005534F4">
        <w:rPr>
          <w:i/>
        </w:rPr>
        <w:t xml:space="preserve"> </w:t>
      </w:r>
      <w:r w:rsidR="005534F4">
        <w:t xml:space="preserve">Section 41 of this Act provides that </w:t>
      </w:r>
      <w:r w:rsidR="00BF616D">
        <w:rPr>
          <w:i/>
        </w:rPr>
        <w:t>ABN (Australian Business Number)</w:t>
      </w:r>
      <w:r w:rsidR="00BF616D">
        <w:t xml:space="preserve"> for an entity means the entity’s ABN as shows in the Australian Business Register. </w:t>
      </w:r>
    </w:p>
    <w:p w:rsidR="00BF616D" w:rsidRDefault="00BF616D" w:rsidP="00650692">
      <w:pPr>
        <w:pStyle w:val="Default"/>
        <w:spacing w:after="200"/>
        <w:ind w:firstLine="720"/>
        <w:rPr>
          <w:u w:val="single"/>
        </w:rPr>
      </w:pPr>
      <w:r>
        <w:rPr>
          <w:b/>
          <w:i/>
        </w:rPr>
        <w:t xml:space="preserve">Act </w:t>
      </w:r>
      <w:r w:rsidR="00881973">
        <w:t>means</w:t>
      </w:r>
      <w:r>
        <w:t xml:space="preserve"> the </w:t>
      </w:r>
      <w:r>
        <w:rPr>
          <w:i/>
        </w:rPr>
        <w:t>Foreign Influence Transparency Scheme Act 2018</w:t>
      </w:r>
      <w:r w:rsidRPr="00650692">
        <w:t>.</w:t>
      </w:r>
      <w:r>
        <w:rPr>
          <w:u w:val="single"/>
        </w:rPr>
        <w:t xml:space="preserve"> </w:t>
      </w:r>
    </w:p>
    <w:p w:rsidR="00BD292A" w:rsidRDefault="00BD292A" w:rsidP="00BD292A">
      <w:pPr>
        <w:pStyle w:val="Default"/>
        <w:spacing w:after="200"/>
        <w:rPr>
          <w:b/>
        </w:rPr>
      </w:pPr>
      <w:r>
        <w:rPr>
          <w:b/>
        </w:rPr>
        <w:t>Part 2 – Registration under the scheme</w:t>
      </w:r>
    </w:p>
    <w:p w:rsidR="00BD292A" w:rsidRDefault="00BD292A" w:rsidP="00BD292A">
      <w:pPr>
        <w:pStyle w:val="Default"/>
        <w:spacing w:after="200"/>
        <w:rPr>
          <w:b/>
        </w:rPr>
      </w:pPr>
      <w:r>
        <w:rPr>
          <w:b/>
        </w:rPr>
        <w:t>Section 5 – Exemptions:  prescribed circumstances</w:t>
      </w:r>
    </w:p>
    <w:p w:rsidR="00BD292A" w:rsidRDefault="00BD292A" w:rsidP="00BD292A">
      <w:pPr>
        <w:pStyle w:val="Default"/>
        <w:spacing w:after="200"/>
      </w:pPr>
      <w:r>
        <w:t>This section prescribes an additional exemption in relation to activities undertake</w:t>
      </w:r>
      <w:r w:rsidR="00BC1934">
        <w:t>n on behalf of a foreign principal</w:t>
      </w:r>
      <w:r>
        <w:t xml:space="preserve"> by a person employed under the </w:t>
      </w:r>
      <w:r>
        <w:rPr>
          <w:i/>
        </w:rPr>
        <w:t>Members of Parliament (Staff) Act 1984</w:t>
      </w:r>
      <w:r>
        <w:t>, a consultant engaged under that Act or a Commonwealth public official.  This exemption recognises that these particular categories of persons will regularly come in</w:t>
      </w:r>
      <w:r w:rsidR="00BC1934">
        <w:t>to</w:t>
      </w:r>
      <w:r>
        <w:t xml:space="preserve"> contact </w:t>
      </w:r>
      <w:r w:rsidR="00BC1934">
        <w:t xml:space="preserve">and engage </w:t>
      </w:r>
      <w:r>
        <w:t>with foreign principals in the ordinary course of their duties and on occasion will be required to undertake activities that may fall within the definition of a registrable activity</w:t>
      </w:r>
      <w:r w:rsidR="00BC1934">
        <w:t xml:space="preserve"> under the Act</w:t>
      </w:r>
      <w:r>
        <w:t>.  Having such a</w:t>
      </w:r>
      <w:r w:rsidR="00BC1934">
        <w:t>n</w:t>
      </w:r>
      <w:r>
        <w:t xml:space="preserve"> exemption in place will </w:t>
      </w:r>
      <w:r w:rsidR="00BC1934">
        <w:t>ensure that</w:t>
      </w:r>
      <w:r>
        <w:t xml:space="preserve"> these persons </w:t>
      </w:r>
      <w:r w:rsidR="00BC1934">
        <w:t>are able</w:t>
      </w:r>
      <w:r>
        <w:t xml:space="preserve"> undertake their day to day duties of providing support and advice to Government and other key decision makers without inadvertently being </w:t>
      </w:r>
      <w:r w:rsidR="00BC1934">
        <w:t>subject to</w:t>
      </w:r>
      <w:r>
        <w:t xml:space="preserve"> an obligation to register under the scheme</w:t>
      </w:r>
      <w:r w:rsidR="00BC1934">
        <w:t>.</w:t>
      </w:r>
    </w:p>
    <w:p w:rsidR="00BD292A" w:rsidRDefault="00BD292A" w:rsidP="00BD292A">
      <w:pPr>
        <w:pStyle w:val="Default"/>
        <w:spacing w:after="200"/>
      </w:pPr>
      <w:r>
        <w:t xml:space="preserve">Subsection 5(a) </w:t>
      </w:r>
      <w:r w:rsidR="00BC1934">
        <w:t>provides</w:t>
      </w:r>
      <w:r>
        <w:t xml:space="preserve"> that the exemption appl</w:t>
      </w:r>
      <w:r w:rsidR="00BC1934">
        <w:t>ies</w:t>
      </w:r>
      <w:r>
        <w:t xml:space="preserve"> to the following categories of persons:</w:t>
      </w:r>
    </w:p>
    <w:p w:rsidR="00BD292A" w:rsidRPr="00D957F4" w:rsidRDefault="00BD292A" w:rsidP="00BD292A">
      <w:pPr>
        <w:pStyle w:val="Default"/>
        <w:numPr>
          <w:ilvl w:val="0"/>
          <w:numId w:val="38"/>
        </w:numPr>
        <w:spacing w:after="200"/>
      </w:pPr>
      <w:r>
        <w:t xml:space="preserve">a person who is employed under the </w:t>
      </w:r>
      <w:r>
        <w:rPr>
          <w:i/>
        </w:rPr>
        <w:t>Members of Parliament (Staff) Act 1984,</w:t>
      </w:r>
    </w:p>
    <w:p w:rsidR="00BD292A" w:rsidRPr="00D957F4" w:rsidRDefault="00BD292A" w:rsidP="00BD292A">
      <w:pPr>
        <w:pStyle w:val="Default"/>
        <w:numPr>
          <w:ilvl w:val="0"/>
          <w:numId w:val="38"/>
        </w:numPr>
        <w:spacing w:after="200"/>
      </w:pPr>
      <w:r>
        <w:lastRenderedPageBreak/>
        <w:t xml:space="preserve">a consultant engaged under the </w:t>
      </w:r>
      <w:r>
        <w:rPr>
          <w:i/>
        </w:rPr>
        <w:t>Members of Parliament (Staff) Act 1984</w:t>
      </w:r>
      <w:r w:rsidRPr="00953B86">
        <w:t>, and</w:t>
      </w:r>
    </w:p>
    <w:p w:rsidR="00BD292A" w:rsidRDefault="00BD292A" w:rsidP="00BD292A">
      <w:pPr>
        <w:pStyle w:val="Default"/>
        <w:numPr>
          <w:ilvl w:val="0"/>
          <w:numId w:val="38"/>
        </w:numPr>
        <w:spacing w:after="200"/>
      </w:pPr>
      <w:proofErr w:type="gramStart"/>
      <w:r>
        <w:t>a</w:t>
      </w:r>
      <w:proofErr w:type="gramEnd"/>
      <w:r>
        <w:t xml:space="preserve"> Commonwealth public official.</w:t>
      </w:r>
    </w:p>
    <w:p w:rsidR="00BD292A" w:rsidRPr="00D957F4" w:rsidRDefault="00BC1934" w:rsidP="00BD292A">
      <w:pPr>
        <w:pStyle w:val="Default"/>
        <w:spacing w:after="200"/>
        <w:rPr>
          <w:i/>
        </w:rPr>
      </w:pPr>
      <w:r>
        <w:t>P</w:t>
      </w:r>
      <w:r w:rsidR="00BD292A">
        <w:t>ar</w:t>
      </w:r>
      <w:r w:rsidR="00445A12">
        <w:t>agraph</w:t>
      </w:r>
      <w:r>
        <w:t>s</w:t>
      </w:r>
      <w:r w:rsidR="00445A12">
        <w:t xml:space="preserve"> 5(a</w:t>
      </w:r>
      <w:proofErr w:type="gramStart"/>
      <w:r w:rsidR="00445A12">
        <w:t>)(</w:t>
      </w:r>
      <w:proofErr w:type="spellStart"/>
      <w:proofErr w:type="gramEnd"/>
      <w:r w:rsidR="00445A12">
        <w:t>i</w:t>
      </w:r>
      <w:proofErr w:type="spellEnd"/>
      <w:r w:rsidR="00445A12">
        <w:t xml:space="preserve">) and (ii) </w:t>
      </w:r>
      <w:r w:rsidR="00715A5D">
        <w:t>capture</w:t>
      </w:r>
      <w:r w:rsidR="00445A12">
        <w:t xml:space="preserve"> </w:t>
      </w:r>
      <w:r w:rsidR="00715A5D">
        <w:t xml:space="preserve">persons employed under </w:t>
      </w:r>
      <w:r w:rsidR="00BD292A">
        <w:t xml:space="preserve">the </w:t>
      </w:r>
      <w:r w:rsidR="00BD292A">
        <w:rPr>
          <w:i/>
        </w:rPr>
        <w:t>Members of Parliament (Staff) Act 1984</w:t>
      </w:r>
      <w:r w:rsidR="00445A12">
        <w:t xml:space="preserve"> (</w:t>
      </w:r>
      <w:proofErr w:type="spellStart"/>
      <w:r w:rsidR="00445A12">
        <w:t>MoPS</w:t>
      </w:r>
      <w:proofErr w:type="spellEnd"/>
      <w:r w:rsidR="00445A12">
        <w:t xml:space="preserve"> Act).  It will also capture</w:t>
      </w:r>
      <w:r w:rsidR="00BD292A">
        <w:t xml:space="preserve"> consultants engaged by Ministers under section 4 of the </w:t>
      </w:r>
      <w:proofErr w:type="spellStart"/>
      <w:r w:rsidR="00BD292A">
        <w:t>MoPS</w:t>
      </w:r>
      <w:proofErr w:type="spellEnd"/>
      <w:r w:rsidR="00BD292A">
        <w:t xml:space="preserve"> Act.  Under section 4</w:t>
      </w:r>
      <w:r w:rsidR="00715A5D">
        <w:t xml:space="preserve"> of the </w:t>
      </w:r>
      <w:proofErr w:type="spellStart"/>
      <w:r w:rsidR="00715A5D">
        <w:t>MoPS</w:t>
      </w:r>
      <w:proofErr w:type="spellEnd"/>
      <w:r w:rsidR="00715A5D">
        <w:t xml:space="preserve"> Act</w:t>
      </w:r>
      <w:r w:rsidR="00BD292A">
        <w:t xml:space="preserve">, a consultant may include a natural person, body corporate or partnership.    </w:t>
      </w:r>
    </w:p>
    <w:p w:rsidR="00BD292A" w:rsidRDefault="00BD292A" w:rsidP="00BD292A">
      <w:pPr>
        <w:pStyle w:val="Default"/>
        <w:spacing w:after="200"/>
      </w:pPr>
      <w:r>
        <w:t>Subparagraph 5(a</w:t>
      </w:r>
      <w:proofErr w:type="gramStart"/>
      <w:r>
        <w:t>)(</w:t>
      </w:r>
      <w:proofErr w:type="gramEnd"/>
      <w:r>
        <w:t>iii) refer</w:t>
      </w:r>
      <w:r w:rsidR="00715A5D">
        <w:t>s</w:t>
      </w:r>
      <w:r>
        <w:t xml:space="preserve"> to a ‘Commonwealth public official’. This term is defined in section 10 of the Act as having the same meaning as in the </w:t>
      </w:r>
      <w:r>
        <w:rPr>
          <w:i/>
        </w:rPr>
        <w:t xml:space="preserve">Criminal Code Act 1995.  </w:t>
      </w:r>
      <w:r>
        <w:t>The Dictionary to the Criminal Code defines a Commonwealth public official to mean</w:t>
      </w:r>
      <w:r w:rsidR="00715A5D">
        <w:t xml:space="preserve"> any of the following</w:t>
      </w:r>
      <w:r>
        <w:t>:</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the Governor</w:t>
      </w:r>
      <w:r w:rsidRPr="00953B86">
        <w:rPr>
          <w:color w:val="000000"/>
          <w:sz w:val="24"/>
          <w:szCs w:val="24"/>
        </w:rPr>
        <w:noBreakHyphen/>
        <w:t>General</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person appointed to administer the Government of the Commonwealth under section 4 of the Constitution</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Minister</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Parliamentary Secretary</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member of either House of the Parliament</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who holds an appointment under section 67 of the Constitution</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the Administrator, an Acting Administrator, or a Deputy Administrator, of the Northern Territory</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Commonwealth judicial officer</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APS employee</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employed by the Commonwealth otherwise than under the Public Service Act 1999; or</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member of the Australian Defence Force</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 member or special member of the Australian Federal Police</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(other than an official of a registered industrial organisation) who holds or performs the duties of an office established by or under a law of the Commonwealth, other than:</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Corporations (Aboriginal and Torres Strait Islander) Act 2006;</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Australian Capital Territory (Self</w:t>
      </w:r>
      <w:r w:rsidRPr="00953B86">
        <w:rPr>
          <w:color w:val="000000"/>
          <w:sz w:val="24"/>
          <w:szCs w:val="24"/>
        </w:rPr>
        <w:noBreakHyphen/>
        <w:t>Government) Act 1988</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Corporations Act 2001</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Norfolk Island Act 1979</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Northern Territory (Self</w:t>
      </w:r>
      <w:r w:rsidRPr="00953B86">
        <w:rPr>
          <w:color w:val="000000"/>
          <w:sz w:val="24"/>
          <w:szCs w:val="24"/>
        </w:rPr>
        <w:noBreakHyphen/>
        <w:t>Government) Act 1978</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officer or employee of a Commonwealth authority</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who is a contracted service provider for a Commonwealth contract</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who is an officer or employee of a contracted service provider for a Commonwealth contract and who provides services for the purposes (whether direct or indirect) of the Commonwealth contract</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(other than an official of a registered industrial organisation) who exercises powers, or performs functions, conferred on the person by or under a law of the Commonwealth, other than:</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Corporations (Aboriginal and Torres Strait Islander) Act 2006; or</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Australian Capital Territory (Self</w:t>
      </w:r>
      <w:r w:rsidRPr="00953B86">
        <w:rPr>
          <w:color w:val="000000"/>
          <w:sz w:val="24"/>
          <w:szCs w:val="24"/>
        </w:rPr>
        <w:noBreakHyphen/>
        <w:t>Government) Act 1988; or</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lastRenderedPageBreak/>
        <w:t>the Corporations Act 2001; or</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Norfolk Island Act 1979; or</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the Northern Territory (Self</w:t>
      </w:r>
      <w:r w:rsidRPr="00953B86">
        <w:rPr>
          <w:color w:val="000000"/>
          <w:sz w:val="24"/>
          <w:szCs w:val="24"/>
        </w:rPr>
        <w:noBreakHyphen/>
        <w:t>Government) Act 1978; or</w:t>
      </w:r>
    </w:p>
    <w:p w:rsidR="00BD292A" w:rsidRPr="00953B86" w:rsidRDefault="00BD292A" w:rsidP="00BD292A">
      <w:pPr>
        <w:pStyle w:val="paragraph"/>
        <w:numPr>
          <w:ilvl w:val="1"/>
          <w:numId w:val="39"/>
        </w:numPr>
        <w:shd w:val="clear" w:color="auto" w:fill="FFFFFF"/>
        <w:tabs>
          <w:tab w:val="clear" w:pos="1531"/>
        </w:tabs>
        <w:rPr>
          <w:color w:val="000000"/>
          <w:sz w:val="24"/>
          <w:szCs w:val="24"/>
        </w:rPr>
      </w:pPr>
      <w:r w:rsidRPr="00953B86">
        <w:rPr>
          <w:color w:val="000000"/>
          <w:sz w:val="24"/>
          <w:szCs w:val="24"/>
        </w:rPr>
        <w:t>a provision specified in the regulations; or</w:t>
      </w:r>
    </w:p>
    <w:p w:rsidR="00BD292A" w:rsidRPr="00953B86" w:rsidRDefault="00BD292A" w:rsidP="00BD292A">
      <w:pPr>
        <w:pStyle w:val="paragraph"/>
        <w:numPr>
          <w:ilvl w:val="0"/>
          <w:numId w:val="39"/>
        </w:numPr>
        <w:shd w:val="clear" w:color="auto" w:fill="FFFFFF"/>
        <w:tabs>
          <w:tab w:val="clear" w:pos="1531"/>
        </w:tabs>
        <w:rPr>
          <w:color w:val="000000"/>
          <w:sz w:val="24"/>
          <w:szCs w:val="24"/>
        </w:rPr>
      </w:pPr>
      <w:r w:rsidRPr="00953B86">
        <w:rPr>
          <w:color w:val="000000"/>
          <w:sz w:val="24"/>
          <w:szCs w:val="24"/>
        </w:rPr>
        <w:t>an individual who exercises powers, or performs functions, conferred on the person under a law in force in the Territory of Christmas Island or the Territory of Cocos (Keeling) Islands (whether the law is a law of the Commonwealth or a law of the Territory concerned, or</w:t>
      </w:r>
    </w:p>
    <w:p w:rsidR="00445A12" w:rsidRPr="00953B86" w:rsidRDefault="00BD292A" w:rsidP="00953B86">
      <w:pPr>
        <w:pStyle w:val="paragraph"/>
        <w:numPr>
          <w:ilvl w:val="0"/>
          <w:numId w:val="39"/>
        </w:numPr>
        <w:shd w:val="clear" w:color="auto" w:fill="FFFFFF"/>
        <w:tabs>
          <w:tab w:val="clear" w:pos="1531"/>
        </w:tabs>
      </w:pPr>
      <w:proofErr w:type="gramStart"/>
      <w:r w:rsidRPr="00953B86">
        <w:rPr>
          <w:color w:val="000000"/>
          <w:sz w:val="24"/>
          <w:szCs w:val="24"/>
        </w:rPr>
        <w:t>the</w:t>
      </w:r>
      <w:proofErr w:type="gramEnd"/>
      <w:r w:rsidRPr="00953B86">
        <w:rPr>
          <w:color w:val="000000"/>
          <w:sz w:val="24"/>
          <w:szCs w:val="24"/>
        </w:rPr>
        <w:t xml:space="preserve"> Registrar, or a Deputy Registrar, of Aboriginal and Torres Strait Islander Corporations.</w:t>
      </w:r>
    </w:p>
    <w:p w:rsidR="00953B86" w:rsidRDefault="00953B86" w:rsidP="00953B86">
      <w:pPr>
        <w:pStyle w:val="paragraph"/>
        <w:shd w:val="clear" w:color="auto" w:fill="FFFFFF"/>
        <w:tabs>
          <w:tab w:val="clear" w:pos="1531"/>
        </w:tabs>
        <w:ind w:left="720" w:firstLine="0"/>
      </w:pPr>
    </w:p>
    <w:p w:rsidR="00445A12" w:rsidRDefault="00445A12" w:rsidP="00445A12">
      <w:pPr>
        <w:pStyle w:val="Default"/>
        <w:spacing w:after="200"/>
      </w:pPr>
      <w:r>
        <w:t>Subsection 5(b) provides that the exemption only appl</w:t>
      </w:r>
      <w:r w:rsidR="00715A5D">
        <w:t>ies</w:t>
      </w:r>
      <w:r>
        <w:t xml:space="preserve"> where the activity is undertaken by the person within the scope of the functions that the person undertakes in his or her capacity as either a </w:t>
      </w:r>
      <w:r w:rsidR="00BD292A">
        <w:rPr>
          <w:i/>
        </w:rPr>
        <w:t>Members of Parliament (Staff) Act 1984</w:t>
      </w:r>
      <w:r w:rsidR="00BD292A">
        <w:t xml:space="preserve"> employee or consultant, or as a Commonwealth public official.  </w:t>
      </w:r>
    </w:p>
    <w:p w:rsidR="00753FB4" w:rsidRDefault="00715A5D" w:rsidP="00BD292A">
      <w:pPr>
        <w:pStyle w:val="Default"/>
        <w:spacing w:after="200"/>
      </w:pPr>
      <w:r>
        <w:t xml:space="preserve">Subsection 5(b) </w:t>
      </w:r>
      <w:r w:rsidR="00753FB4">
        <w:t>limits the application of the exemption to ensure that it only covers activities which are undertaken within the scope of the person’s usual or ordinary duties</w:t>
      </w:r>
      <w:r>
        <w:t>. A</w:t>
      </w:r>
      <w:r w:rsidR="00753FB4">
        <w:t xml:space="preserve">ctivities which are undertaken outside of this scope </w:t>
      </w:r>
      <w:r>
        <w:t>may</w:t>
      </w:r>
      <w:r w:rsidR="00753FB4">
        <w:t xml:space="preserve"> still require registration under the scheme and a person will not </w:t>
      </w:r>
      <w:r>
        <w:t xml:space="preserve">be </w:t>
      </w:r>
      <w:r w:rsidR="00753FB4">
        <w:t>exempt from register</w:t>
      </w:r>
      <w:r>
        <w:t>ing</w:t>
      </w:r>
      <w:r w:rsidR="00753FB4">
        <w:t xml:space="preserve"> merely because they are one of the types of persons identified in subsection 5(a). </w:t>
      </w:r>
    </w:p>
    <w:p w:rsidR="00BD292A" w:rsidRDefault="00BD292A" w:rsidP="00C03984">
      <w:pPr>
        <w:pStyle w:val="Default"/>
        <w:spacing w:after="200"/>
      </w:pPr>
      <w:r>
        <w:t>Subsection 5(c) provides that the exemption only appl</w:t>
      </w:r>
      <w:r w:rsidR="00715A5D">
        <w:t>ies</w:t>
      </w:r>
      <w:r>
        <w:t xml:space="preserve"> if, at the time the activity is undertaken, </w:t>
      </w:r>
      <w:r w:rsidR="00944260">
        <w:t xml:space="preserve">the identity of the foreign principal is either </w:t>
      </w:r>
      <w:r w:rsidR="00C03984">
        <w:t xml:space="preserve">apparent </w:t>
      </w:r>
      <w:r w:rsidR="009562C4">
        <w:t>to all persons with whom the person is dealing or</w:t>
      </w:r>
      <w:r w:rsidR="00944260">
        <w:t xml:space="preserve"> is disclosed to</w:t>
      </w:r>
      <w:r w:rsidR="009562C4">
        <w:t xml:space="preserve"> them.  </w:t>
      </w:r>
      <w:r w:rsidR="00944260">
        <w:t xml:space="preserve"> </w:t>
      </w:r>
    </w:p>
    <w:p w:rsidR="00BD292A" w:rsidRDefault="00715A5D" w:rsidP="009359BB">
      <w:pPr>
        <w:pStyle w:val="Default"/>
        <w:spacing w:after="200"/>
        <w:rPr>
          <w:b/>
        </w:rPr>
      </w:pPr>
      <w:r>
        <w:t>The</w:t>
      </w:r>
      <w:r w:rsidR="00BD292A">
        <w:t xml:space="preserve"> requirement </w:t>
      </w:r>
      <w:r>
        <w:t xml:space="preserve">prescribed by subsection 5(c) </w:t>
      </w:r>
      <w:r w:rsidR="00BD292A">
        <w:t>ensures that a</w:t>
      </w:r>
      <w:r>
        <w:t>n appropriate</w:t>
      </w:r>
      <w:r w:rsidR="00BD292A">
        <w:t xml:space="preserve"> level of transparency is </w:t>
      </w:r>
      <w:r>
        <w:t>required</w:t>
      </w:r>
      <w:r w:rsidR="00BD292A">
        <w:t xml:space="preserve"> by </w:t>
      </w:r>
      <w:proofErr w:type="spellStart"/>
      <w:r w:rsidR="00BD292A">
        <w:t>MoPS</w:t>
      </w:r>
      <w:proofErr w:type="spellEnd"/>
      <w:r w:rsidR="00BD292A">
        <w:t xml:space="preserve"> staff, consultants engaged under the </w:t>
      </w:r>
      <w:proofErr w:type="spellStart"/>
      <w:r w:rsidR="00BD292A">
        <w:t>MoPS</w:t>
      </w:r>
      <w:proofErr w:type="spellEnd"/>
      <w:r w:rsidR="00BD292A">
        <w:t xml:space="preserve"> Act and Commonwealth public officials who may undertake activities</w:t>
      </w:r>
      <w:r>
        <w:t xml:space="preserve"> in the course of their ordinary duties that would otherwise be registrable under the scheme</w:t>
      </w:r>
      <w:r w:rsidR="00BD292A">
        <w:t xml:space="preserve">. It </w:t>
      </w:r>
      <w:r>
        <w:t>achieves this</w:t>
      </w:r>
      <w:r w:rsidR="00BD292A">
        <w:t xml:space="preserve"> by </w:t>
      </w:r>
      <w:r>
        <w:t>ensuring</w:t>
      </w:r>
      <w:r w:rsidR="00BD292A">
        <w:t xml:space="preserve"> that the activities are clearly linked to the foreign principal, and that</w:t>
      </w:r>
      <w:r w:rsidR="009562C4">
        <w:t xml:space="preserve"> the identity of the foreign principal</w:t>
      </w:r>
      <w:r w:rsidR="00BD292A">
        <w:t xml:space="preserve"> is apparent in their dealings with Members of Parliament and other key decision makers.  </w:t>
      </w:r>
    </w:p>
    <w:p w:rsidR="00BF616D" w:rsidRDefault="00BF616D" w:rsidP="009359BB">
      <w:pPr>
        <w:pStyle w:val="Default"/>
        <w:spacing w:after="200"/>
        <w:rPr>
          <w:b/>
        </w:rPr>
      </w:pPr>
      <w:r>
        <w:rPr>
          <w:b/>
        </w:rPr>
        <w:t xml:space="preserve">Part </w:t>
      </w:r>
      <w:r w:rsidR="00F97966">
        <w:rPr>
          <w:b/>
        </w:rPr>
        <w:t>3</w:t>
      </w:r>
      <w:r>
        <w:rPr>
          <w:b/>
        </w:rPr>
        <w:t>– Register of scheme information</w:t>
      </w:r>
    </w:p>
    <w:p w:rsidR="00BF616D" w:rsidRDefault="00BF616D" w:rsidP="009359BB">
      <w:pPr>
        <w:pStyle w:val="Default"/>
        <w:spacing w:after="200"/>
        <w:rPr>
          <w:b/>
        </w:rPr>
      </w:pPr>
      <w:r>
        <w:rPr>
          <w:b/>
        </w:rPr>
        <w:t xml:space="preserve">Section </w:t>
      </w:r>
      <w:r w:rsidR="00F97966">
        <w:rPr>
          <w:b/>
        </w:rPr>
        <w:t>6</w:t>
      </w:r>
      <w:r>
        <w:rPr>
          <w:b/>
        </w:rPr>
        <w:t xml:space="preserve"> – Information to be made publicly available on website</w:t>
      </w:r>
    </w:p>
    <w:p w:rsidR="00BF616D" w:rsidRDefault="00BF616D" w:rsidP="009359BB">
      <w:pPr>
        <w:pStyle w:val="Default"/>
        <w:tabs>
          <w:tab w:val="left" w:pos="5880"/>
        </w:tabs>
        <w:spacing w:after="200"/>
      </w:pPr>
      <w:r>
        <w:t xml:space="preserve">This section prescribes information in relation to each person registered in relation to a foreign principal </w:t>
      </w:r>
      <w:r w:rsidR="00C531BD">
        <w:t xml:space="preserve">that is </w:t>
      </w:r>
      <w:r>
        <w:t>to be made publicly available on a website, for the purposes of paragraph 43(1)(c) of the Act.</w:t>
      </w:r>
      <w:r w:rsidR="00C531BD">
        <w:t xml:space="preserve"> </w:t>
      </w:r>
      <w:r w:rsidR="00955029">
        <w:t>This is further to the information that is already required to be made publicly available by paragraphs 43(1</w:t>
      </w:r>
      <w:proofErr w:type="gramStart"/>
      <w:r w:rsidR="00955029">
        <w:t>)(</w:t>
      </w:r>
      <w:proofErr w:type="gramEnd"/>
      <w:r w:rsidR="00955029">
        <w:t xml:space="preserve">a) and (b) of the Act. </w:t>
      </w:r>
      <w:r w:rsidR="003F6D92">
        <w:t>The</w:t>
      </w:r>
      <w:r w:rsidR="00C531BD">
        <w:t xml:space="preserve"> information</w:t>
      </w:r>
      <w:r w:rsidR="003F6D92">
        <w:t xml:space="preserve"> to be made publicly available</w:t>
      </w:r>
      <w:r w:rsidR="00C531BD">
        <w:t xml:space="preserve"> will be drawn from the person’s application for registration under the scheme </w:t>
      </w:r>
      <w:r w:rsidR="003F6D92">
        <w:t>or</w:t>
      </w:r>
      <w:r w:rsidR="00C531BD">
        <w:t xml:space="preserve"> </w:t>
      </w:r>
      <w:r w:rsidR="00837A5F">
        <w:t xml:space="preserve">from information </w:t>
      </w:r>
      <w:r w:rsidR="00C531BD">
        <w:t>provided by the person when notifying of changes</w:t>
      </w:r>
      <w:r w:rsidR="00955029">
        <w:t xml:space="preserve"> or updates</w:t>
      </w:r>
      <w:r w:rsidR="00C531BD">
        <w:t xml:space="preserve"> to their registration information.</w:t>
      </w:r>
    </w:p>
    <w:p w:rsidR="00785DAA" w:rsidRDefault="00BF616D" w:rsidP="009359BB">
      <w:pPr>
        <w:pStyle w:val="Default"/>
        <w:tabs>
          <w:tab w:val="left" w:pos="5880"/>
        </w:tabs>
        <w:spacing w:after="200"/>
      </w:pPr>
      <w:r>
        <w:t xml:space="preserve">Subsection </w:t>
      </w:r>
      <w:r w:rsidR="00F97966">
        <w:t>6</w:t>
      </w:r>
      <w:r>
        <w:t xml:space="preserve">(a) provides that the </w:t>
      </w:r>
      <w:r w:rsidR="00C531BD">
        <w:t>trading</w:t>
      </w:r>
      <w:r>
        <w:t xml:space="preserve"> name of the person (if applicable) i</w:t>
      </w:r>
      <w:r w:rsidR="003F6D92">
        <w:t>s to be made publicly available.</w:t>
      </w:r>
      <w:r w:rsidR="00A9421D">
        <w:t xml:space="preserve"> This will assist in ensuring that the person can be identified.  </w:t>
      </w:r>
    </w:p>
    <w:p w:rsidR="00BF616D" w:rsidRDefault="00BF616D" w:rsidP="009359BB">
      <w:pPr>
        <w:pStyle w:val="Default"/>
        <w:tabs>
          <w:tab w:val="left" w:pos="5880"/>
        </w:tabs>
        <w:spacing w:after="200"/>
      </w:pPr>
      <w:r>
        <w:t xml:space="preserve">Subsection </w:t>
      </w:r>
      <w:r w:rsidR="00F97966">
        <w:t>6</w:t>
      </w:r>
      <w:r>
        <w:t>(b) provides that the ABN, or foreign equivalent, of the person (if applicable) is to be made publicly available.</w:t>
      </w:r>
      <w:r w:rsidR="00A9421D" w:rsidRPr="00A9421D">
        <w:t xml:space="preserve"> </w:t>
      </w:r>
      <w:r w:rsidR="00A9421D">
        <w:t xml:space="preserve">This will assist in ensuring that the person can be identified.  </w:t>
      </w:r>
    </w:p>
    <w:p w:rsidR="00BF616D" w:rsidRDefault="00BF616D" w:rsidP="009359BB">
      <w:pPr>
        <w:pStyle w:val="Default"/>
        <w:tabs>
          <w:tab w:val="left" w:pos="5880"/>
        </w:tabs>
        <w:spacing w:after="200"/>
      </w:pPr>
      <w:r>
        <w:lastRenderedPageBreak/>
        <w:t xml:space="preserve">Subsection </w:t>
      </w:r>
      <w:r w:rsidR="00F97966">
        <w:t>6</w:t>
      </w:r>
      <w:r>
        <w:t>(c) provides that any other names by which the person is known is to be made publicly available.</w:t>
      </w:r>
      <w:r w:rsidR="00A9421D">
        <w:t xml:space="preserve"> This will assist in ensuring that the person can be identified. </w:t>
      </w:r>
      <w:r w:rsidR="00C531BD">
        <w:t xml:space="preserve"> </w:t>
      </w:r>
    </w:p>
    <w:p w:rsidR="00C531BD" w:rsidRDefault="00C531BD" w:rsidP="009359BB">
      <w:pPr>
        <w:pStyle w:val="Default"/>
        <w:tabs>
          <w:tab w:val="left" w:pos="5880"/>
        </w:tabs>
        <w:spacing w:after="200"/>
      </w:pPr>
      <w:r>
        <w:t xml:space="preserve">Subsection </w:t>
      </w:r>
      <w:r w:rsidR="00F97966">
        <w:t>6</w:t>
      </w:r>
      <w:r>
        <w:t>(d) provides that, if the person is an individual, the occupation of the person is to be made publicly available.</w:t>
      </w:r>
      <w:r w:rsidR="00A9421D">
        <w:t xml:space="preserve"> This will assist in ensuring that the person can be identified.</w:t>
      </w:r>
      <w:r>
        <w:t xml:space="preserve"> </w:t>
      </w:r>
    </w:p>
    <w:p w:rsidR="00C531BD" w:rsidRDefault="00C531BD" w:rsidP="009359BB">
      <w:pPr>
        <w:pStyle w:val="Default"/>
        <w:tabs>
          <w:tab w:val="left" w:pos="5880"/>
        </w:tabs>
        <w:spacing w:after="200"/>
      </w:pPr>
      <w:r>
        <w:t xml:space="preserve">Subsection </w:t>
      </w:r>
      <w:r w:rsidR="00F97966">
        <w:t>6</w:t>
      </w:r>
      <w:r>
        <w:t>(e) provides that, if the person is a former Cabinet Minister, that fact is to be made publicly available.</w:t>
      </w:r>
      <w:r w:rsidR="00A9421D">
        <w:t xml:space="preserve"> This is necessary to ensuring that the reason the person is required to register under the scheme is apparent.</w:t>
      </w:r>
      <w:r w:rsidR="003F6D92">
        <w:t xml:space="preserve"> As stated in the Explanatory Memorandum to the Act, it is in the public interest to know when former Cabinet Ministers undertake activities on behalf of a foreign principal following the cessation of their role and it is appropriate that these individuals are held to a high degree of accountability. </w:t>
      </w:r>
      <w:r w:rsidR="00A9421D">
        <w:t xml:space="preserve">  </w:t>
      </w:r>
    </w:p>
    <w:p w:rsidR="00B4389D" w:rsidRDefault="00C531BD" w:rsidP="009359BB">
      <w:pPr>
        <w:pStyle w:val="Default"/>
        <w:tabs>
          <w:tab w:val="left" w:pos="5880"/>
        </w:tabs>
        <w:spacing w:after="200"/>
      </w:pPr>
      <w:r>
        <w:t xml:space="preserve">Subsection </w:t>
      </w:r>
      <w:r w:rsidR="00F97966">
        <w:t>6</w:t>
      </w:r>
      <w:r>
        <w:t>(f) provides that, if the person is a recent designated position holder, that fact is to be made publicly available.</w:t>
      </w:r>
      <w:r w:rsidR="00A9421D">
        <w:t xml:space="preserve"> This is necessary to ensuring that the reason the person is required to registe</w:t>
      </w:r>
      <w:r w:rsidR="003F6D92">
        <w:t xml:space="preserve">r under the scheme is apparent. </w:t>
      </w:r>
      <w:r w:rsidR="00B4389D">
        <w:t xml:space="preserve">Section 10 of the Act defines </w:t>
      </w:r>
      <w:r w:rsidR="00B4389D" w:rsidRPr="00734AED">
        <w:rPr>
          <w:i/>
        </w:rPr>
        <w:t>designated position holder</w:t>
      </w:r>
      <w:r w:rsidR="00B4389D">
        <w:t xml:space="preserve"> to mean:</w:t>
      </w:r>
    </w:p>
    <w:p w:rsidR="00B4389D" w:rsidRDefault="00B4389D" w:rsidP="009359BB">
      <w:pPr>
        <w:pStyle w:val="Default"/>
        <w:numPr>
          <w:ilvl w:val="0"/>
          <w:numId w:val="32"/>
        </w:numPr>
        <w:tabs>
          <w:tab w:val="left" w:pos="5880"/>
        </w:tabs>
        <w:spacing w:after="200"/>
      </w:pPr>
      <w:r>
        <w:t>a Minister; or</w:t>
      </w:r>
    </w:p>
    <w:p w:rsidR="00B4389D" w:rsidRDefault="00B4389D" w:rsidP="009359BB">
      <w:pPr>
        <w:pStyle w:val="Default"/>
        <w:numPr>
          <w:ilvl w:val="0"/>
          <w:numId w:val="32"/>
        </w:numPr>
        <w:tabs>
          <w:tab w:val="left" w:pos="5880"/>
        </w:tabs>
        <w:spacing w:after="200"/>
      </w:pPr>
      <w:r>
        <w:t>a member of the Parliament; or</w:t>
      </w:r>
    </w:p>
    <w:p w:rsidR="00B4389D" w:rsidRDefault="00B4389D" w:rsidP="009359BB">
      <w:pPr>
        <w:pStyle w:val="Default"/>
        <w:numPr>
          <w:ilvl w:val="0"/>
          <w:numId w:val="32"/>
        </w:numPr>
        <w:tabs>
          <w:tab w:val="left" w:pos="5880"/>
        </w:tabs>
        <w:spacing w:after="200"/>
      </w:pPr>
      <w:r>
        <w:t xml:space="preserve">a person employed under section 13 of the </w:t>
      </w:r>
      <w:r w:rsidRPr="00734AED">
        <w:rPr>
          <w:i/>
          <w:iCs/>
        </w:rPr>
        <w:t>Members of Parliament (Staff) Act 1984</w:t>
      </w:r>
      <w:r w:rsidRPr="00B4389D">
        <w:t xml:space="preserve"> who is a member of the staff of a Minister and whose position is at or above the level of Senior Advisor; or</w:t>
      </w:r>
    </w:p>
    <w:p w:rsidR="00B4389D" w:rsidRDefault="00B4389D" w:rsidP="009359BB">
      <w:pPr>
        <w:pStyle w:val="Default"/>
        <w:numPr>
          <w:ilvl w:val="0"/>
          <w:numId w:val="32"/>
        </w:numPr>
        <w:tabs>
          <w:tab w:val="left" w:pos="5880"/>
        </w:tabs>
        <w:spacing w:after="200"/>
      </w:pPr>
      <w:r w:rsidRPr="00B4389D">
        <w:t xml:space="preserve">an Agency Head (within the meaning of the </w:t>
      </w:r>
      <w:r w:rsidRPr="00734AED">
        <w:rPr>
          <w:i/>
          <w:iCs/>
        </w:rPr>
        <w:t>Public Service Act 1999</w:t>
      </w:r>
      <w:r w:rsidRPr="00B4389D">
        <w:t>); or</w:t>
      </w:r>
    </w:p>
    <w:p w:rsidR="00B4389D" w:rsidRDefault="00B4389D" w:rsidP="009359BB">
      <w:pPr>
        <w:pStyle w:val="Default"/>
        <w:numPr>
          <w:ilvl w:val="0"/>
          <w:numId w:val="32"/>
        </w:numPr>
        <w:tabs>
          <w:tab w:val="left" w:pos="5880"/>
        </w:tabs>
        <w:spacing w:after="200"/>
      </w:pPr>
      <w:r w:rsidRPr="00B4389D">
        <w:t>a deputy agency head (however described); or</w:t>
      </w:r>
    </w:p>
    <w:p w:rsidR="00B4389D" w:rsidRDefault="00B4389D" w:rsidP="009359BB">
      <w:pPr>
        <w:pStyle w:val="Default"/>
        <w:numPr>
          <w:ilvl w:val="0"/>
          <w:numId w:val="32"/>
        </w:numPr>
        <w:tabs>
          <w:tab w:val="left" w:pos="5880"/>
        </w:tabs>
        <w:spacing w:after="200"/>
      </w:pPr>
      <w:r w:rsidRPr="00B4389D">
        <w:t>the holder of an office established by or under a law of the Commonwealth and equivalent to that of Agency Head or deputy agency head; or</w:t>
      </w:r>
    </w:p>
    <w:p w:rsidR="00B4389D" w:rsidRPr="00734AED" w:rsidRDefault="00B4389D" w:rsidP="009359BB">
      <w:pPr>
        <w:pStyle w:val="Default"/>
        <w:numPr>
          <w:ilvl w:val="0"/>
          <w:numId w:val="32"/>
        </w:numPr>
        <w:tabs>
          <w:tab w:val="left" w:pos="5880"/>
        </w:tabs>
        <w:spacing w:after="200"/>
      </w:pPr>
      <w:proofErr w:type="gramStart"/>
      <w:r w:rsidRPr="00B4389D">
        <w:t>the</w:t>
      </w:r>
      <w:proofErr w:type="gramEnd"/>
      <w:r w:rsidRPr="00B4389D">
        <w:t xml:space="preserve"> holder of an office of the Commonwealth as an Ambassador or High Commissioner, in a country or place outside Australia.</w:t>
      </w:r>
    </w:p>
    <w:p w:rsidR="00C531BD" w:rsidRDefault="004F233B" w:rsidP="009359BB">
      <w:pPr>
        <w:pStyle w:val="Default"/>
        <w:spacing w:after="200"/>
      </w:pPr>
      <w:r>
        <w:t>Section 10 of the Act defines</w:t>
      </w:r>
      <w:r w:rsidRPr="00F8535F">
        <w:t xml:space="preserve"> </w:t>
      </w:r>
      <w:r w:rsidRPr="00734AED">
        <w:rPr>
          <w:i/>
        </w:rPr>
        <w:t>recent</w:t>
      </w:r>
      <w:r w:rsidRPr="00F8535F">
        <w:t xml:space="preserve"> </w:t>
      </w:r>
      <w:r w:rsidRPr="00734AED">
        <w:rPr>
          <w:i/>
        </w:rPr>
        <w:t>designated position holder</w:t>
      </w:r>
      <w:r w:rsidRPr="00F8535F">
        <w:t xml:space="preserve"> </w:t>
      </w:r>
      <w:r>
        <w:t>as</w:t>
      </w:r>
      <w:r w:rsidRPr="00F8535F">
        <w:t xml:space="preserve"> a person who</w:t>
      </w:r>
      <w:r>
        <w:t>, at a particular time,</w:t>
      </w:r>
      <w:r w:rsidRPr="00F8535F">
        <w:t xml:space="preserve"> was a designated position holder at any time in the 15 years before a particular time, and who is not at the particular time a designated position holder. </w:t>
      </w:r>
      <w:r w:rsidR="003F6D92">
        <w:t xml:space="preserve">As stated in the Explanatory Memorandum to the Act, it is in the public interest to know when recent designated position holders undertake activities on behalf of a foreign principal following the cessation of their role and it is appropriate that these individuals are held to a high degree of accountability.   </w:t>
      </w:r>
    </w:p>
    <w:p w:rsidR="00C531BD" w:rsidRDefault="00C531BD" w:rsidP="009359BB">
      <w:pPr>
        <w:pStyle w:val="Default"/>
        <w:tabs>
          <w:tab w:val="left" w:pos="5880"/>
        </w:tabs>
        <w:spacing w:after="200"/>
      </w:pPr>
      <w:r>
        <w:t>Subsectio</w:t>
      </w:r>
      <w:r w:rsidR="00A9421D">
        <w:t xml:space="preserve">n </w:t>
      </w:r>
      <w:r w:rsidR="00F97966">
        <w:t>6</w:t>
      </w:r>
      <w:r w:rsidR="00A9421D">
        <w:t>(g) provides that the trading name of the foreign principal (if applicable) is to be made publicly available. This will assist in ensuring that the foreign principal can be identified.</w:t>
      </w:r>
    </w:p>
    <w:p w:rsidR="00A9421D" w:rsidRDefault="00A9421D" w:rsidP="009359BB">
      <w:pPr>
        <w:pStyle w:val="Default"/>
        <w:tabs>
          <w:tab w:val="left" w:pos="5880"/>
        </w:tabs>
        <w:spacing w:after="200"/>
      </w:pPr>
      <w:r>
        <w:t xml:space="preserve">Subsection </w:t>
      </w:r>
      <w:r w:rsidR="00F97966">
        <w:t>6</w:t>
      </w:r>
      <w:r>
        <w:t>(h) provides that the ABN, or foreign equivalent, of the foreign principal (if applicable) is to be made publicly available.</w:t>
      </w:r>
      <w:r w:rsidRPr="00A9421D">
        <w:t xml:space="preserve"> </w:t>
      </w:r>
      <w:r>
        <w:t>This will assist in ensuring that the foreign principal can be identified.</w:t>
      </w:r>
    </w:p>
    <w:p w:rsidR="00A9421D" w:rsidRDefault="00A9421D" w:rsidP="009359BB">
      <w:pPr>
        <w:pStyle w:val="Default"/>
        <w:tabs>
          <w:tab w:val="left" w:pos="5880"/>
        </w:tabs>
        <w:spacing w:after="200"/>
      </w:pPr>
      <w:r>
        <w:lastRenderedPageBreak/>
        <w:t xml:space="preserve">Subsection </w:t>
      </w:r>
      <w:r w:rsidR="00F97966">
        <w:t>6</w:t>
      </w:r>
      <w:r>
        <w:t>(</w:t>
      </w:r>
      <w:proofErr w:type="spellStart"/>
      <w:r>
        <w:t>i</w:t>
      </w:r>
      <w:proofErr w:type="spellEnd"/>
      <w:r>
        <w:t xml:space="preserve">) provides that if the foreign principal is an individual the individual’s title (including any post-nominals) and any other names by which </w:t>
      </w:r>
      <w:r w:rsidR="003F6D92">
        <w:t>the individual</w:t>
      </w:r>
      <w:r>
        <w:t xml:space="preserve"> is known will be made publicly available. </w:t>
      </w:r>
      <w:r w:rsidR="004F233B">
        <w:t xml:space="preserve">This may include the person’s name in languages other than English. </w:t>
      </w:r>
      <w:r>
        <w:t>This will assist in ensuring that the foreign principal can be identified.</w:t>
      </w:r>
    </w:p>
    <w:p w:rsidR="00A9421D" w:rsidRDefault="00A9421D" w:rsidP="009359BB">
      <w:pPr>
        <w:pStyle w:val="Default"/>
        <w:tabs>
          <w:tab w:val="left" w:pos="5880"/>
        </w:tabs>
        <w:spacing w:after="200"/>
      </w:pPr>
      <w:r>
        <w:t xml:space="preserve">Subsection </w:t>
      </w:r>
      <w:r w:rsidR="00F97966">
        <w:t>6</w:t>
      </w:r>
      <w:r>
        <w:t xml:space="preserve">(j) provides that the name of the foreign country that the foreign principal is part of or related to is to be made publicly available. This is necessary to ensuring that the sources of foreign influence exerted in Australia’s governmental and political processes are transparent. </w:t>
      </w:r>
      <w:r w:rsidR="008D6004">
        <w:t xml:space="preserve">While in some </w:t>
      </w:r>
      <w:r w:rsidR="00C60227">
        <w:t>instances</w:t>
      </w:r>
      <w:r w:rsidR="008D6004">
        <w:t xml:space="preserve"> the </w:t>
      </w:r>
      <w:r w:rsidR="00C60227">
        <w:t xml:space="preserve">relevant </w:t>
      </w:r>
      <w:r w:rsidR="008D6004">
        <w:t xml:space="preserve">foreign </w:t>
      </w:r>
      <w:r w:rsidR="00C60227">
        <w:t>country</w:t>
      </w:r>
      <w:r w:rsidR="008D6004">
        <w:t xml:space="preserve"> may</w:t>
      </w:r>
      <w:r w:rsidR="00C97FBE">
        <w:t xml:space="preserve"> be</w:t>
      </w:r>
      <w:r w:rsidR="008D6004">
        <w:t xml:space="preserve"> clear</w:t>
      </w:r>
      <w:r w:rsidR="00C60227">
        <w:t xml:space="preserve"> from the name of the foreign principal (such as where the foreign principal is a foreign government or foreign political organisation) it may be less clear where the foreign principal is a foreign government related entity or</w:t>
      </w:r>
      <w:r w:rsidR="003F6D92">
        <w:t xml:space="preserve"> foreign government related</w:t>
      </w:r>
      <w:r w:rsidR="00C60227">
        <w:t xml:space="preserve"> individual.</w:t>
      </w:r>
      <w:r w:rsidR="008D6004">
        <w:t xml:space="preserve"> </w:t>
      </w:r>
      <w:r>
        <w:t xml:space="preserve"> </w:t>
      </w:r>
    </w:p>
    <w:p w:rsidR="00C97FBE" w:rsidRDefault="00A9421D" w:rsidP="009359BB">
      <w:pPr>
        <w:pStyle w:val="Default"/>
        <w:tabs>
          <w:tab w:val="left" w:pos="5880"/>
        </w:tabs>
        <w:spacing w:after="200"/>
      </w:pPr>
      <w:r>
        <w:t xml:space="preserve">Subsection </w:t>
      </w:r>
      <w:r w:rsidR="00F97966">
        <w:t>6</w:t>
      </w:r>
      <w:r>
        <w:t>(k)</w:t>
      </w:r>
      <w:r w:rsidR="008D6004">
        <w:t xml:space="preserve"> provides</w:t>
      </w:r>
      <w:r w:rsidR="00C60227">
        <w:t xml:space="preserve"> that the </w:t>
      </w:r>
      <w:r w:rsidR="00C97FBE">
        <w:t xml:space="preserve">type of foreign principal is to be made publicly available. This refers to the definition of foreign principal in the Act, which provides that a foreign principal may be a foreign government, a foreign political organisation, a foreign government related entity, or a foreign government related individual. This will assist in ensuring that the reason a particular entity is a foreign principal for the purposes of the Act is clear to the </w:t>
      </w:r>
      <w:r w:rsidR="00955029">
        <w:t xml:space="preserve">decision makers and the </w:t>
      </w:r>
      <w:r w:rsidR="00C97FBE">
        <w:t>public, including other potential registrants under the scheme.</w:t>
      </w:r>
    </w:p>
    <w:p w:rsidR="007817D6" w:rsidRDefault="00C97FBE" w:rsidP="009359BB">
      <w:pPr>
        <w:pStyle w:val="Default"/>
        <w:tabs>
          <w:tab w:val="left" w:pos="5880"/>
        </w:tabs>
        <w:spacing w:after="200"/>
      </w:pPr>
      <w:r>
        <w:t xml:space="preserve">Subsection </w:t>
      </w:r>
      <w:r w:rsidR="00F97966">
        <w:t>6</w:t>
      </w:r>
      <w:r>
        <w:t>(l) provides that a description of the registrable activities the person undertakes, has undertaken or proposes to undertake on behalf of the foreign principal is to be made publicly available.</w:t>
      </w:r>
      <w:r w:rsidR="004F233B">
        <w:t xml:space="preserve"> The activities that are registrable under the scheme are identified in Division 3 of the Part 2 of the Act (registrable activities). Information about each person’s registrable activities </w:t>
      </w:r>
      <w:r w:rsidR="00955029">
        <w:t xml:space="preserve">will be drawn from the description provided by the person in their application for registration under the scheme </w:t>
      </w:r>
      <w:r w:rsidR="00837A5F">
        <w:t>or from</w:t>
      </w:r>
      <w:r w:rsidR="00955029">
        <w:t xml:space="preserve"> information provided by the person when notifying of changes or updates to their registration information. </w:t>
      </w:r>
    </w:p>
    <w:p w:rsidR="00955029" w:rsidRDefault="004F233B" w:rsidP="009359BB">
      <w:pPr>
        <w:pStyle w:val="Default"/>
        <w:tabs>
          <w:tab w:val="left" w:pos="5880"/>
        </w:tabs>
        <w:spacing w:after="200"/>
      </w:pPr>
      <w:r>
        <w:t>Making this information publicly available</w:t>
      </w:r>
      <w:r w:rsidR="00955029">
        <w:t xml:space="preserve"> is intended to ensure that there is more than a high level of detail about the persons’ registrable activities, and that there is transparency about the substance of the activities that are registrable under the scheme. For example, th</w:t>
      </w:r>
      <w:r w:rsidR="003F6D92">
        <w:t>is may include the format and frequency of communications activities undertaken, the recipient of disbursements</w:t>
      </w:r>
      <w:r>
        <w:t>, or the type of lobbying undertaken (such as the person or group subject to the lobbying)</w:t>
      </w:r>
      <w:r w:rsidR="003F6D92">
        <w:t xml:space="preserve">. </w:t>
      </w:r>
    </w:p>
    <w:p w:rsidR="00C97FBE" w:rsidRDefault="00C97FBE" w:rsidP="009359BB">
      <w:pPr>
        <w:pStyle w:val="Default"/>
        <w:tabs>
          <w:tab w:val="left" w:pos="5880"/>
        </w:tabs>
        <w:spacing w:after="200"/>
      </w:pPr>
      <w:r w:rsidRPr="00734AED">
        <w:t xml:space="preserve">Subsection </w:t>
      </w:r>
      <w:r w:rsidR="00F97966">
        <w:t>6</w:t>
      </w:r>
      <w:r w:rsidRPr="00734AED">
        <w:t>(m) provides that the date, or period over which, the person undertakes, has undertaken or proposes to undertake the registrable activities on behalf of the foreign principal is to be made publicly available.</w:t>
      </w:r>
      <w:r w:rsidR="004F233B" w:rsidRPr="00734AED">
        <w:t xml:space="preserve"> Making this information publicly available will ensure that the registrable activities can be put in their broader context, including whether they were undertaken in relation to a federal election or referendum, or at times aligning with other governmental or political processes.</w:t>
      </w:r>
    </w:p>
    <w:p w:rsidR="00A9421D" w:rsidRDefault="00C97FBE" w:rsidP="009359BB">
      <w:pPr>
        <w:pStyle w:val="Default"/>
        <w:tabs>
          <w:tab w:val="left" w:pos="5880"/>
        </w:tabs>
        <w:spacing w:after="200"/>
      </w:pPr>
      <w:r>
        <w:t>S</w:t>
      </w:r>
      <w:r w:rsidR="00955029">
        <w:t xml:space="preserve">ubsection </w:t>
      </w:r>
      <w:r w:rsidR="00F97966">
        <w:t>6</w:t>
      </w:r>
      <w:r w:rsidR="00955029">
        <w:t>(n) provides that it is to be made publicly av</w:t>
      </w:r>
      <w:r w:rsidR="003F6D92">
        <w:t>ailable</w:t>
      </w:r>
      <w:r w:rsidR="00955029">
        <w:t xml:space="preserve"> </w:t>
      </w:r>
      <w:r>
        <w:t>whether the person undertakes, has undertaken or proposes to undertake the registrable activities on behalf of the foreign principal</w:t>
      </w:r>
      <w:r w:rsidR="00955029">
        <w:t>:</w:t>
      </w:r>
    </w:p>
    <w:p w:rsidR="00955029" w:rsidRDefault="003F6D92" w:rsidP="009359BB">
      <w:pPr>
        <w:pStyle w:val="Default"/>
        <w:numPr>
          <w:ilvl w:val="0"/>
          <w:numId w:val="31"/>
        </w:numPr>
        <w:tabs>
          <w:tab w:val="left" w:pos="5880"/>
        </w:tabs>
        <w:spacing w:after="200"/>
      </w:pPr>
      <w:r>
        <w:t>u</w:t>
      </w:r>
      <w:r w:rsidR="00955029">
        <w:t>nder an arrangement with the foreign principal; or</w:t>
      </w:r>
    </w:p>
    <w:p w:rsidR="00955029" w:rsidRDefault="003F6D92" w:rsidP="009359BB">
      <w:pPr>
        <w:pStyle w:val="Default"/>
        <w:numPr>
          <w:ilvl w:val="0"/>
          <w:numId w:val="31"/>
        </w:numPr>
        <w:tabs>
          <w:tab w:val="left" w:pos="5880"/>
        </w:tabs>
        <w:spacing w:after="200"/>
      </w:pPr>
      <w:r>
        <w:t>i</w:t>
      </w:r>
      <w:r w:rsidR="00955029">
        <w:t>n the service of the foreign principal; or</w:t>
      </w:r>
    </w:p>
    <w:p w:rsidR="00955029" w:rsidRDefault="003F6D92" w:rsidP="009359BB">
      <w:pPr>
        <w:pStyle w:val="Default"/>
        <w:numPr>
          <w:ilvl w:val="0"/>
          <w:numId w:val="31"/>
        </w:numPr>
        <w:tabs>
          <w:tab w:val="left" w:pos="5880"/>
        </w:tabs>
        <w:spacing w:after="200"/>
      </w:pPr>
      <w:r>
        <w:t>o</w:t>
      </w:r>
      <w:r w:rsidR="00955029">
        <w:t>n the order or at the request of the foreign principal; or</w:t>
      </w:r>
    </w:p>
    <w:p w:rsidR="00955029" w:rsidRDefault="003F6D92" w:rsidP="009359BB">
      <w:pPr>
        <w:pStyle w:val="Default"/>
        <w:numPr>
          <w:ilvl w:val="0"/>
          <w:numId w:val="31"/>
        </w:numPr>
        <w:tabs>
          <w:tab w:val="left" w:pos="5880"/>
        </w:tabs>
        <w:spacing w:after="200"/>
      </w:pPr>
      <w:proofErr w:type="gramStart"/>
      <w:r>
        <w:t>u</w:t>
      </w:r>
      <w:r w:rsidR="00955029">
        <w:t>nder</w:t>
      </w:r>
      <w:proofErr w:type="gramEnd"/>
      <w:r w:rsidR="00955029">
        <w:t xml:space="preserve"> the dir</w:t>
      </w:r>
      <w:r>
        <w:t>ection of the foreign principal.</w:t>
      </w:r>
    </w:p>
    <w:p w:rsidR="003F6D92" w:rsidRDefault="003F6D92" w:rsidP="009359BB">
      <w:pPr>
        <w:pStyle w:val="Default"/>
        <w:tabs>
          <w:tab w:val="left" w:pos="5880"/>
        </w:tabs>
        <w:spacing w:after="200"/>
      </w:pPr>
      <w:r>
        <w:lastRenderedPageBreak/>
        <w:t xml:space="preserve">Subsection </w:t>
      </w:r>
      <w:r w:rsidR="00F97966">
        <w:t>6</w:t>
      </w:r>
      <w:r>
        <w:t xml:space="preserve">(o) provides that a description of any arrangement, order, request or direction mentioned in paragraph </w:t>
      </w:r>
      <w:r w:rsidR="00F97966">
        <w:t>6</w:t>
      </w:r>
      <w:r>
        <w:t>(n) is</w:t>
      </w:r>
      <w:r w:rsidR="00837A5F">
        <w:t xml:space="preserve"> to be made publicly available. </w:t>
      </w:r>
      <w:r>
        <w:t xml:space="preserve">This information will be drawn from the description provided by the person in their application for registration under the scheme </w:t>
      </w:r>
      <w:r w:rsidR="00837A5F">
        <w:t>or from</w:t>
      </w:r>
      <w:r>
        <w:t xml:space="preserve"> information provided by the person when notifying of changes or updates to their registration information.</w:t>
      </w:r>
    </w:p>
    <w:p w:rsidR="00897D84" w:rsidRDefault="004F233B" w:rsidP="009359BB">
      <w:pPr>
        <w:pStyle w:val="Default"/>
        <w:tabs>
          <w:tab w:val="left" w:pos="5880"/>
        </w:tabs>
        <w:spacing w:after="200"/>
      </w:pPr>
      <w:r>
        <w:t xml:space="preserve">Making </w:t>
      </w:r>
      <w:r w:rsidR="009F27C9">
        <w:t>the</w:t>
      </w:r>
      <w:r>
        <w:t xml:space="preserve"> information </w:t>
      </w:r>
      <w:r w:rsidR="009F27C9">
        <w:t xml:space="preserve">prescribed by subsections </w:t>
      </w:r>
      <w:r w:rsidR="00F97966">
        <w:t>6</w:t>
      </w:r>
      <w:r w:rsidR="009F27C9">
        <w:t xml:space="preserve">(n) and (o) </w:t>
      </w:r>
      <w:r>
        <w:t>publicly available</w:t>
      </w:r>
      <w:r w:rsidR="003F6D92">
        <w:t xml:space="preserve"> is necessary to provide transparency about the types of relationships through which foreign influence is exerted over Australian governmental and political processes. For example, this may include whether there is a contract between the f</w:t>
      </w:r>
      <w:r w:rsidR="00B4389D">
        <w:t>oreign principal and the person</w:t>
      </w:r>
      <w:r w:rsidR="003F6D92">
        <w:t xml:space="preserve"> registered under the scheme, or a less formal arrangement</w:t>
      </w:r>
      <w:r w:rsidR="00837A5F">
        <w:t xml:space="preserve">, and how </w:t>
      </w:r>
      <w:r w:rsidR="00B4389D">
        <w:t>such an arrangement</w:t>
      </w:r>
      <w:r w:rsidR="00837A5F">
        <w:t xml:space="preserve"> meets the relevant criteria in the Act</w:t>
      </w:r>
      <w:r w:rsidR="003F6D92">
        <w:t>.</w:t>
      </w:r>
      <w:r w:rsidR="00717790">
        <w:t xml:space="preserve"> </w:t>
      </w:r>
    </w:p>
    <w:p w:rsidR="00837A5F" w:rsidRDefault="00717790" w:rsidP="009359BB">
      <w:pPr>
        <w:pStyle w:val="Default"/>
        <w:tabs>
          <w:tab w:val="left" w:pos="5880"/>
        </w:tabs>
        <w:spacing w:after="200"/>
      </w:pPr>
      <w:r>
        <w:t>It is relevant to note that the requirement to make the information publicly available in a</w:t>
      </w:r>
      <w:r w:rsidR="007817D6">
        <w:t>ccordance with the Act and the R</w:t>
      </w:r>
      <w:r>
        <w:t xml:space="preserve">ules is limited by subsection 43(2) which provides that the website must not include information that the Secretary is satisfied is commercially sensitive, affects national security, or is of a kind prescribed by the rules for the purposes of </w:t>
      </w:r>
      <w:r w:rsidR="007817D6">
        <w:t>subsection 43(2)</w:t>
      </w:r>
      <w:r>
        <w:t>.</w:t>
      </w:r>
      <w:r w:rsidR="00897D84">
        <w:t xml:space="preserve"> Persons registering under the scheme will be asked to indicate when providing information if they consider that the information they are providing is commercially sensitive.</w:t>
      </w:r>
    </w:p>
    <w:p w:rsidR="004F233B" w:rsidRDefault="00B4389D" w:rsidP="009359BB">
      <w:pPr>
        <w:pStyle w:val="Default"/>
        <w:tabs>
          <w:tab w:val="left" w:pos="5880"/>
        </w:tabs>
        <w:spacing w:after="200"/>
      </w:pPr>
      <w:r>
        <w:t xml:space="preserve">Subsection </w:t>
      </w:r>
      <w:r w:rsidR="00F97966">
        <w:t>6</w:t>
      </w:r>
      <w:r>
        <w:t xml:space="preserve">(p) provides that if subparagraph </w:t>
      </w:r>
      <w:r w:rsidR="00F97966">
        <w:t>6</w:t>
      </w:r>
      <w:r>
        <w:t>(n</w:t>
      </w:r>
      <w:proofErr w:type="gramStart"/>
      <w:r>
        <w:t>)(</w:t>
      </w:r>
      <w:proofErr w:type="gramEnd"/>
      <w:r>
        <w:t>ii) applies to the person (that is, if the relevant relationship is one in which the person undertook, undertakes or proposes to undertake</w:t>
      </w:r>
      <w:r w:rsidR="00837A5F">
        <w:t xml:space="preserve"> </w:t>
      </w:r>
      <w:r>
        <w:t>the registrable activities in the service of the foreign principal), a description of the relationship between the person and the foreign principal is to be made publicly available.</w:t>
      </w:r>
      <w:r w:rsidR="004F233B">
        <w:t xml:space="preserve"> As with the previous subsection, this information will be drawn from the description provided by the person in their application for registration under the scheme or from information provided by the person when notifying of changes or updates to their registration information. Making this information publicly available is necessary to provide transparency about the types of relationships through which foreign influence is exerted over Australian governmental and political processes.</w:t>
      </w:r>
    </w:p>
    <w:p w:rsidR="00717790" w:rsidRDefault="00897D84" w:rsidP="009359BB">
      <w:pPr>
        <w:pStyle w:val="Default"/>
        <w:spacing w:after="200"/>
        <w:rPr>
          <w:b/>
        </w:rPr>
      </w:pPr>
      <w:r>
        <w:rPr>
          <w:b/>
        </w:rPr>
        <w:t xml:space="preserve">Section </w:t>
      </w:r>
      <w:r w:rsidR="00F97966">
        <w:rPr>
          <w:b/>
        </w:rPr>
        <w:t>7</w:t>
      </w:r>
      <w:r w:rsidR="00717790">
        <w:rPr>
          <w:b/>
        </w:rPr>
        <w:t xml:space="preserve"> – Removal of publicly available information from website</w:t>
      </w:r>
    </w:p>
    <w:p w:rsidR="00717790" w:rsidRDefault="00717790" w:rsidP="009359BB">
      <w:pPr>
        <w:pStyle w:val="Default"/>
        <w:spacing w:after="200"/>
      </w:pPr>
      <w:r>
        <w:t xml:space="preserve">This section prescribes that, for the purposes of subsection 43(3) of the Act, the Secretary is to remove publicly available information from the website in the following circumstances: </w:t>
      </w:r>
    </w:p>
    <w:p w:rsidR="00717790" w:rsidRDefault="00717790" w:rsidP="009359BB">
      <w:pPr>
        <w:pStyle w:val="Default"/>
        <w:numPr>
          <w:ilvl w:val="0"/>
          <w:numId w:val="33"/>
        </w:numPr>
        <w:spacing w:after="200"/>
      </w:pPr>
      <w:r>
        <w:t>the Secretary is satisfied that the information is not true;</w:t>
      </w:r>
    </w:p>
    <w:p w:rsidR="00717790" w:rsidRDefault="00717790" w:rsidP="009359BB">
      <w:pPr>
        <w:pStyle w:val="Default"/>
        <w:numPr>
          <w:ilvl w:val="0"/>
          <w:numId w:val="33"/>
        </w:numPr>
        <w:spacing w:after="200"/>
      </w:pPr>
      <w:proofErr w:type="gramStart"/>
      <w:r>
        <w:t>the</w:t>
      </w:r>
      <w:proofErr w:type="gramEnd"/>
      <w:r>
        <w:t xml:space="preserve"> Secretary is satisfied that the information was provided in relation to an application for registration under the scheme that was fraudulently made.</w:t>
      </w:r>
    </w:p>
    <w:p w:rsidR="0037478D" w:rsidRPr="00C03984" w:rsidRDefault="00897D84" w:rsidP="00C03984">
      <w:pPr>
        <w:pStyle w:val="Default"/>
        <w:spacing w:after="200"/>
        <w:rPr>
          <w:i/>
        </w:rPr>
      </w:pPr>
      <w:r>
        <w:t>This is intended to ensure that if the Secretary becomes aware that it is likely that information on the public register for the scheme is untrue or was provided in relation to a fraudulent application for registration, and is satisfied that either of these circumstances applies, the Secretary must remove the information from the public register.</w:t>
      </w:r>
      <w:r w:rsidR="0037478D">
        <w:t xml:space="preserve"> While section 44 of the Act already provides the Secretary with the power to correct or update information in the register, prescribing circumstances in which the Secretary is required to remove publicly available information from the website provides an additional guarantee of the integrity of the public register and reassurance to the public that the information made publicly available can be relied upon.</w:t>
      </w:r>
    </w:p>
    <w:p w:rsidR="0037478D" w:rsidRDefault="0037478D" w:rsidP="009359BB">
      <w:pPr>
        <w:rPr>
          <w:rFonts w:ascii="Times New Roman" w:hAnsi="Times New Roman" w:cs="Times New Roman"/>
          <w:szCs w:val="24"/>
        </w:rPr>
      </w:pPr>
      <w:r>
        <w:rPr>
          <w:rFonts w:ascii="Times New Roman" w:hAnsi="Times New Roman" w:cs="Times New Roman"/>
          <w:szCs w:val="24"/>
        </w:rPr>
        <w:br w:type="page"/>
      </w:r>
    </w:p>
    <w:p w:rsidR="00B26FF6" w:rsidRDefault="00B26FF6" w:rsidP="009359BB">
      <w:pPr>
        <w:spacing w:afterLines="100" w:after="240"/>
        <w:jc w:val="right"/>
        <w:rPr>
          <w:rFonts w:ascii="Times New Roman" w:hAnsi="Times New Roman" w:cs="Times New Roman"/>
          <w:b/>
          <w:szCs w:val="20"/>
        </w:rPr>
      </w:pPr>
      <w:r>
        <w:rPr>
          <w:rFonts w:ascii="Times New Roman" w:hAnsi="Times New Roman" w:cs="Times New Roman"/>
          <w:b/>
          <w:szCs w:val="20"/>
        </w:rPr>
        <w:lastRenderedPageBreak/>
        <w:t>Attachment B</w:t>
      </w:r>
    </w:p>
    <w:p w:rsidR="00B26FF6" w:rsidRPr="004E049D" w:rsidRDefault="00B26FF6" w:rsidP="009359BB">
      <w:pPr>
        <w:spacing w:afterLines="100" w:after="240"/>
        <w:jc w:val="center"/>
        <w:rPr>
          <w:rFonts w:ascii="Times New Roman" w:hAnsi="Times New Roman" w:cs="Times New Roman"/>
          <w:b/>
          <w:szCs w:val="20"/>
          <w:u w:val="single"/>
        </w:rPr>
      </w:pPr>
      <w:r w:rsidRPr="004E049D">
        <w:rPr>
          <w:rFonts w:ascii="Times New Roman" w:hAnsi="Times New Roman" w:cs="Times New Roman"/>
          <w:b/>
          <w:szCs w:val="20"/>
          <w:u w:val="single"/>
        </w:rPr>
        <w:t>Statement of Compatibility with Human Rights</w:t>
      </w:r>
    </w:p>
    <w:p w:rsidR="0037478D" w:rsidRDefault="00B26FF6" w:rsidP="009359BB">
      <w:pPr>
        <w:pStyle w:val="Default"/>
        <w:spacing w:afterLines="100" w:after="240"/>
        <w:jc w:val="center"/>
        <w:rPr>
          <w:i/>
          <w:szCs w:val="20"/>
        </w:rPr>
      </w:pPr>
      <w:r w:rsidRPr="003A29C3">
        <w:rPr>
          <w:i/>
          <w:szCs w:val="20"/>
        </w:rPr>
        <w:t>Prepared in accordance with Part 3 of the Human Rights (P</w:t>
      </w:r>
      <w:r w:rsidR="0037478D">
        <w:rPr>
          <w:i/>
          <w:szCs w:val="20"/>
        </w:rPr>
        <w:t>arliamentary Scrutiny) Act 2011</w:t>
      </w:r>
    </w:p>
    <w:p w:rsidR="00B26FF6" w:rsidRPr="003A29C3" w:rsidRDefault="00B26FF6" w:rsidP="009359BB">
      <w:pPr>
        <w:pStyle w:val="Default"/>
        <w:spacing w:afterLines="100" w:after="240"/>
        <w:jc w:val="center"/>
        <w:rPr>
          <w:b/>
          <w:szCs w:val="20"/>
        </w:rPr>
      </w:pPr>
      <w:r w:rsidRPr="003A29C3">
        <w:rPr>
          <w:b/>
          <w:szCs w:val="20"/>
        </w:rPr>
        <w:t>Foreign Influence Transparency Scheme Rules 2018</w:t>
      </w:r>
    </w:p>
    <w:p w:rsidR="00B26FF6" w:rsidRPr="003A29C3" w:rsidRDefault="00B26FF6" w:rsidP="009359BB">
      <w:pPr>
        <w:pStyle w:val="Default"/>
        <w:spacing w:afterLines="100" w:after="240"/>
        <w:rPr>
          <w:szCs w:val="20"/>
        </w:rPr>
      </w:pPr>
      <w:r w:rsidRPr="003A29C3">
        <w:rPr>
          <w:szCs w:val="20"/>
        </w:rPr>
        <w:t xml:space="preserve">The rules are compatible with the human rights and freedoms recognised or declared in the international instruments listed in section 3 of the </w:t>
      </w:r>
      <w:r w:rsidRPr="003A29C3">
        <w:rPr>
          <w:i/>
          <w:iCs/>
          <w:szCs w:val="20"/>
        </w:rPr>
        <w:t>Human Rights (Parliamentary Scrutiny) Act 2011</w:t>
      </w:r>
      <w:r w:rsidRPr="003A29C3">
        <w:rPr>
          <w:szCs w:val="20"/>
        </w:rPr>
        <w:t xml:space="preserve">. </w:t>
      </w:r>
    </w:p>
    <w:p w:rsidR="007817D6" w:rsidRDefault="0019196F" w:rsidP="009359BB">
      <w:pPr>
        <w:pStyle w:val="Default"/>
        <w:spacing w:afterLines="100" w:after="240"/>
        <w:rPr>
          <w:szCs w:val="20"/>
        </w:rPr>
      </w:pPr>
      <w:r>
        <w:rPr>
          <w:b/>
          <w:szCs w:val="20"/>
        </w:rPr>
        <w:t>Overview of the Rules</w:t>
      </w:r>
    </w:p>
    <w:p w:rsidR="007817D6" w:rsidRDefault="007817D6" w:rsidP="009359BB">
      <w:pPr>
        <w:rPr>
          <w:rFonts w:ascii="Times New Roman" w:hAnsi="Times New Roman" w:cs="Times New Roman"/>
          <w:szCs w:val="20"/>
        </w:rPr>
      </w:pPr>
      <w:r>
        <w:rPr>
          <w:rFonts w:ascii="Times New Roman" w:hAnsi="Times New Roman" w:cs="Times New Roman"/>
        </w:rPr>
        <w:t xml:space="preserve">The </w:t>
      </w:r>
      <w:r w:rsidRPr="003A29C3">
        <w:rPr>
          <w:rFonts w:ascii="Times New Roman" w:hAnsi="Times New Roman" w:cs="Times New Roman"/>
          <w:i/>
          <w:szCs w:val="20"/>
        </w:rPr>
        <w:t>Foreign Influence Transparency Scheme Rules</w:t>
      </w:r>
      <w:r w:rsidRPr="003A29C3">
        <w:rPr>
          <w:rFonts w:ascii="Times New Roman" w:hAnsi="Times New Roman" w:cs="Times New Roman"/>
          <w:szCs w:val="20"/>
        </w:rPr>
        <w:t xml:space="preserve"> </w:t>
      </w:r>
      <w:r w:rsidRPr="00D93288">
        <w:rPr>
          <w:rFonts w:ascii="Times New Roman" w:hAnsi="Times New Roman" w:cs="Times New Roman"/>
          <w:i/>
          <w:szCs w:val="20"/>
        </w:rPr>
        <w:t>2018</w:t>
      </w:r>
      <w:r w:rsidRPr="003A29C3">
        <w:rPr>
          <w:rFonts w:ascii="Times New Roman" w:hAnsi="Times New Roman" w:cs="Times New Roman"/>
          <w:szCs w:val="20"/>
        </w:rPr>
        <w:t xml:space="preserve"> (the </w:t>
      </w:r>
      <w:r>
        <w:rPr>
          <w:rFonts w:ascii="Times New Roman" w:hAnsi="Times New Roman" w:cs="Times New Roman"/>
          <w:szCs w:val="20"/>
        </w:rPr>
        <w:t>R</w:t>
      </w:r>
      <w:r w:rsidRPr="003A29C3">
        <w:rPr>
          <w:rFonts w:ascii="Times New Roman" w:hAnsi="Times New Roman" w:cs="Times New Roman"/>
          <w:szCs w:val="20"/>
        </w:rPr>
        <w:t>ules</w:t>
      </w:r>
      <w:r>
        <w:rPr>
          <w:rFonts w:ascii="Times New Roman" w:hAnsi="Times New Roman" w:cs="Times New Roman"/>
          <w:szCs w:val="20"/>
        </w:rPr>
        <w:t xml:space="preserve">) are made under section 71 of the </w:t>
      </w:r>
      <w:r w:rsidRPr="003A29C3">
        <w:rPr>
          <w:rFonts w:ascii="Times New Roman" w:hAnsi="Times New Roman" w:cs="Times New Roman"/>
          <w:i/>
          <w:szCs w:val="20"/>
        </w:rPr>
        <w:t xml:space="preserve">Foreign Influence Transparency Scheme Act 2018 </w:t>
      </w:r>
      <w:r>
        <w:rPr>
          <w:rFonts w:ascii="Times New Roman" w:hAnsi="Times New Roman" w:cs="Times New Roman"/>
          <w:szCs w:val="20"/>
        </w:rPr>
        <w:t>(the Act</w:t>
      </w:r>
      <w:r w:rsidRPr="003A29C3">
        <w:rPr>
          <w:rFonts w:ascii="Times New Roman" w:hAnsi="Times New Roman" w:cs="Times New Roman"/>
          <w:szCs w:val="20"/>
        </w:rPr>
        <w:t>)</w:t>
      </w:r>
      <w:r w:rsidR="0019196F">
        <w:rPr>
          <w:rFonts w:ascii="Times New Roman" w:hAnsi="Times New Roman" w:cs="Times New Roman"/>
          <w:i/>
          <w:szCs w:val="20"/>
        </w:rPr>
        <w:t xml:space="preserve">, </w:t>
      </w:r>
      <w:r>
        <w:rPr>
          <w:rFonts w:ascii="Times New Roman" w:hAnsi="Times New Roman" w:cs="Times New Roman"/>
          <w:szCs w:val="20"/>
        </w:rPr>
        <w:t xml:space="preserve">for the purposes of </w:t>
      </w:r>
      <w:r w:rsidRPr="003A29C3">
        <w:rPr>
          <w:rFonts w:ascii="Times New Roman" w:hAnsi="Times New Roman" w:cs="Times New Roman"/>
          <w:szCs w:val="20"/>
        </w:rPr>
        <w:t>section 43 of the Act</w:t>
      </w:r>
      <w:r>
        <w:rPr>
          <w:rFonts w:ascii="Times New Roman" w:hAnsi="Times New Roman" w:cs="Times New Roman"/>
          <w:szCs w:val="20"/>
        </w:rPr>
        <w:t>. The Act establishes the Foreign Influence Transparency Scheme (the scheme). The objective of the scheme is to provide transparency to the public and decision makers about the nature, level and extent of foreign influence on Australia’s governmental and political processes.</w:t>
      </w:r>
    </w:p>
    <w:p w:rsidR="007817D6" w:rsidRDefault="007817D6" w:rsidP="009359BB">
      <w:pPr>
        <w:rPr>
          <w:rFonts w:ascii="Times New Roman" w:hAnsi="Times New Roman" w:cs="Times New Roman"/>
          <w:szCs w:val="20"/>
        </w:rPr>
      </w:pPr>
      <w:r>
        <w:rPr>
          <w:rFonts w:ascii="Times New Roman" w:hAnsi="Times New Roman" w:cs="Times New Roman"/>
          <w:szCs w:val="20"/>
        </w:rPr>
        <w:t>Section 71 of the Act provides that the Minister may, by legislative instrument, make rules prescribing matters that are required or permitted by the Act to be prescribed by the rules, or that are necessary or convenient to be prescribed for carrying out or giving effect to the Act.</w:t>
      </w:r>
    </w:p>
    <w:p w:rsidR="0025525F" w:rsidRDefault="00F97966" w:rsidP="00F97966">
      <w:pPr>
        <w:rPr>
          <w:rFonts w:ascii="Times New Roman" w:hAnsi="Times New Roman" w:cs="Times New Roman"/>
          <w:szCs w:val="20"/>
        </w:rPr>
      </w:pPr>
      <w:r>
        <w:rPr>
          <w:rFonts w:ascii="Times New Roman" w:hAnsi="Times New Roman" w:cs="Times New Roman"/>
          <w:szCs w:val="20"/>
        </w:rPr>
        <w:t>Division 4 of Part 2 of the Act sets out a number of exemptions for registering under the scheme.  If any of the exemptions apply, then a person will not be required to register</w:t>
      </w:r>
      <w:r w:rsidR="00715A5D">
        <w:rPr>
          <w:rFonts w:ascii="Times New Roman" w:hAnsi="Times New Roman" w:cs="Times New Roman"/>
          <w:szCs w:val="20"/>
        </w:rPr>
        <w:t xml:space="preserve"> under the scheme in relation to that activity</w:t>
      </w:r>
      <w:r>
        <w:rPr>
          <w:rFonts w:ascii="Times New Roman" w:hAnsi="Times New Roman" w:cs="Times New Roman"/>
          <w:szCs w:val="20"/>
        </w:rPr>
        <w:t>, even if the activit</w:t>
      </w:r>
      <w:r w:rsidR="00715A5D">
        <w:rPr>
          <w:rFonts w:ascii="Times New Roman" w:hAnsi="Times New Roman" w:cs="Times New Roman"/>
          <w:szCs w:val="20"/>
        </w:rPr>
        <w:t>y would otherwise</w:t>
      </w:r>
      <w:r>
        <w:rPr>
          <w:rFonts w:ascii="Times New Roman" w:hAnsi="Times New Roman" w:cs="Times New Roman"/>
          <w:szCs w:val="20"/>
        </w:rPr>
        <w:t xml:space="preserve"> fall within one of the categories of registrable activities set out at Division 3 of Part 2 of the Act.</w:t>
      </w:r>
      <w:r w:rsidR="0025525F">
        <w:rPr>
          <w:rFonts w:ascii="Times New Roman" w:hAnsi="Times New Roman" w:cs="Times New Roman"/>
          <w:szCs w:val="20"/>
        </w:rPr>
        <w:t xml:space="preserve"> Section 30 provides that a person is also exempt in relation to an activity the person undertakes on behalf of a foreign principal in the circumstances prescribed by the rules for the purposes of section 30.</w:t>
      </w:r>
    </w:p>
    <w:p w:rsidR="004B5388" w:rsidRDefault="007817D6" w:rsidP="009359BB">
      <w:pPr>
        <w:rPr>
          <w:rFonts w:ascii="Times New Roman" w:hAnsi="Times New Roman" w:cs="Times New Roman"/>
          <w:szCs w:val="20"/>
        </w:rPr>
      </w:pPr>
      <w:r>
        <w:rPr>
          <w:rFonts w:ascii="Times New Roman" w:hAnsi="Times New Roman" w:cs="Times New Roman"/>
          <w:szCs w:val="20"/>
        </w:rPr>
        <w:t xml:space="preserve">Section 43 of the Act relates to information about the scheme that is to be made publically available. Subsection 43(1) </w:t>
      </w:r>
      <w:r w:rsidRPr="005D49F0">
        <w:rPr>
          <w:rFonts w:ascii="Times New Roman" w:hAnsi="Times New Roman" w:cs="Times New Roman"/>
          <w:szCs w:val="20"/>
        </w:rPr>
        <w:t>requires that the Secretary make available to the public, on a website, the following information in relation to each person registered in relation to a foreign principal:</w:t>
      </w:r>
    </w:p>
    <w:p w:rsidR="004B5388" w:rsidRDefault="007817D6" w:rsidP="009359BB">
      <w:pPr>
        <w:pStyle w:val="ListParagraph"/>
        <w:numPr>
          <w:ilvl w:val="0"/>
          <w:numId w:val="36"/>
        </w:numPr>
        <w:rPr>
          <w:rFonts w:ascii="Times New Roman" w:hAnsi="Times New Roman" w:cs="Times New Roman"/>
          <w:szCs w:val="20"/>
        </w:rPr>
      </w:pPr>
      <w:r w:rsidRPr="004B5388">
        <w:rPr>
          <w:rFonts w:ascii="Times New Roman" w:hAnsi="Times New Roman" w:cs="Times New Roman"/>
          <w:szCs w:val="20"/>
        </w:rPr>
        <w:t>The name of the person and the foreign principal;</w:t>
      </w:r>
    </w:p>
    <w:p w:rsidR="004B5388" w:rsidRDefault="007817D6" w:rsidP="009359BB">
      <w:pPr>
        <w:pStyle w:val="ListParagraph"/>
        <w:numPr>
          <w:ilvl w:val="0"/>
          <w:numId w:val="36"/>
        </w:numPr>
        <w:rPr>
          <w:rFonts w:ascii="Times New Roman" w:hAnsi="Times New Roman" w:cs="Times New Roman"/>
          <w:szCs w:val="20"/>
        </w:rPr>
      </w:pPr>
      <w:r w:rsidRPr="004B5388">
        <w:rPr>
          <w:rFonts w:ascii="Times New Roman" w:hAnsi="Times New Roman" w:cs="Times New Roman"/>
          <w:szCs w:val="20"/>
        </w:rPr>
        <w:t>A description of the kind of registrable activities the person undertakes on behalf of the foreign principal;</w:t>
      </w:r>
    </w:p>
    <w:p w:rsidR="007817D6" w:rsidRPr="004B5388" w:rsidRDefault="007817D6" w:rsidP="009359BB">
      <w:pPr>
        <w:pStyle w:val="ListParagraph"/>
        <w:numPr>
          <w:ilvl w:val="0"/>
          <w:numId w:val="36"/>
        </w:numPr>
        <w:rPr>
          <w:rFonts w:ascii="Times New Roman" w:hAnsi="Times New Roman" w:cs="Times New Roman"/>
          <w:szCs w:val="20"/>
        </w:rPr>
      </w:pPr>
      <w:r w:rsidRPr="004B5388">
        <w:rPr>
          <w:rFonts w:ascii="Times New Roman" w:hAnsi="Times New Roman" w:cs="Times New Roman"/>
          <w:szCs w:val="20"/>
        </w:rPr>
        <w:t>Any other information prescribed by the rules for the purposes of paragraph 43(1</w:t>
      </w:r>
      <w:proofErr w:type="gramStart"/>
      <w:r w:rsidRPr="004B5388">
        <w:rPr>
          <w:rFonts w:ascii="Times New Roman" w:hAnsi="Times New Roman" w:cs="Times New Roman"/>
          <w:szCs w:val="20"/>
        </w:rPr>
        <w:t>)(</w:t>
      </w:r>
      <w:proofErr w:type="gramEnd"/>
      <w:r w:rsidRPr="004B5388">
        <w:rPr>
          <w:rFonts w:ascii="Times New Roman" w:hAnsi="Times New Roman" w:cs="Times New Roman"/>
          <w:szCs w:val="20"/>
        </w:rPr>
        <w:t>c).</w:t>
      </w:r>
    </w:p>
    <w:p w:rsidR="007817D6" w:rsidRDefault="007817D6" w:rsidP="009359BB">
      <w:pPr>
        <w:rPr>
          <w:rFonts w:ascii="Times New Roman" w:hAnsi="Times New Roman" w:cs="Times New Roman"/>
          <w:szCs w:val="20"/>
        </w:rPr>
      </w:pPr>
      <w:r>
        <w:rPr>
          <w:rFonts w:ascii="Times New Roman" w:hAnsi="Times New Roman" w:cs="Times New Roman"/>
          <w:szCs w:val="20"/>
        </w:rPr>
        <w:t xml:space="preserve">Subsection 43(3) </w:t>
      </w:r>
      <w:r w:rsidR="00960884">
        <w:rPr>
          <w:rFonts w:ascii="Times New Roman" w:hAnsi="Times New Roman" w:cs="Times New Roman"/>
          <w:szCs w:val="20"/>
        </w:rPr>
        <w:t xml:space="preserve">of the Act </w:t>
      </w:r>
      <w:r>
        <w:rPr>
          <w:rFonts w:ascii="Times New Roman" w:hAnsi="Times New Roman" w:cs="Times New Roman"/>
          <w:szCs w:val="20"/>
        </w:rPr>
        <w:t xml:space="preserve">provides that the rules may prescribe circumstances in which the </w:t>
      </w:r>
      <w:r w:rsidRPr="005D49F0">
        <w:rPr>
          <w:rFonts w:ascii="Times New Roman" w:hAnsi="Times New Roman" w:cs="Times New Roman"/>
          <w:szCs w:val="20"/>
        </w:rPr>
        <w:t>Secretary</w:t>
      </w:r>
      <w:r>
        <w:rPr>
          <w:rFonts w:ascii="Times New Roman" w:hAnsi="Times New Roman" w:cs="Times New Roman"/>
          <w:szCs w:val="20"/>
        </w:rPr>
        <w:t xml:space="preserve"> is to remove publicly available information from the website. </w:t>
      </w:r>
    </w:p>
    <w:p w:rsidR="00F97966" w:rsidRDefault="00F97966" w:rsidP="00F97966">
      <w:pPr>
        <w:rPr>
          <w:rFonts w:ascii="Times New Roman" w:hAnsi="Times New Roman" w:cs="Times New Roman"/>
          <w:szCs w:val="20"/>
        </w:rPr>
      </w:pPr>
      <w:r>
        <w:rPr>
          <w:rFonts w:ascii="Times New Roman" w:hAnsi="Times New Roman" w:cs="Times New Roman"/>
          <w:szCs w:val="20"/>
        </w:rPr>
        <w:t xml:space="preserve">The Rules prescribe the following matters </w:t>
      </w:r>
      <w:r w:rsidR="0025525F">
        <w:rPr>
          <w:rFonts w:ascii="Times New Roman" w:hAnsi="Times New Roman" w:cs="Times New Roman"/>
          <w:szCs w:val="20"/>
        </w:rPr>
        <w:t>for the purposes of</w:t>
      </w:r>
      <w:r>
        <w:rPr>
          <w:rFonts w:ascii="Times New Roman" w:hAnsi="Times New Roman" w:cs="Times New Roman"/>
          <w:szCs w:val="20"/>
        </w:rPr>
        <w:t xml:space="preserve"> section 30 of the Act:</w:t>
      </w:r>
    </w:p>
    <w:p w:rsidR="0025525F" w:rsidRPr="00D957F4" w:rsidRDefault="0025525F" w:rsidP="0025525F">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an exemption in relation to an activity undertaken by a person in their official capacity as an employee under the </w:t>
      </w:r>
      <w:r>
        <w:rPr>
          <w:rFonts w:ascii="Times New Roman" w:hAnsi="Times New Roman" w:cs="Times New Roman"/>
          <w:i/>
          <w:szCs w:val="20"/>
        </w:rPr>
        <w:t xml:space="preserve">Members of Parliament (Staff) Act 1984 </w:t>
      </w:r>
      <w:r>
        <w:rPr>
          <w:rFonts w:ascii="Times New Roman" w:hAnsi="Times New Roman" w:cs="Times New Roman"/>
          <w:szCs w:val="20"/>
        </w:rPr>
        <w:t xml:space="preserve">or as a consultant engaged under that Act, and </w:t>
      </w:r>
    </w:p>
    <w:p w:rsidR="0025525F" w:rsidRDefault="0025525F" w:rsidP="00953B86">
      <w:pPr>
        <w:pStyle w:val="ListParagraph"/>
        <w:rPr>
          <w:rFonts w:ascii="Times New Roman" w:hAnsi="Times New Roman" w:cs="Times New Roman"/>
          <w:szCs w:val="20"/>
        </w:rPr>
      </w:pPr>
      <w:proofErr w:type="gramStart"/>
      <w:r w:rsidRPr="0025525F">
        <w:rPr>
          <w:rFonts w:ascii="Times New Roman" w:hAnsi="Times New Roman" w:cs="Times New Roman"/>
          <w:szCs w:val="20"/>
        </w:rPr>
        <w:t>an</w:t>
      </w:r>
      <w:proofErr w:type="gramEnd"/>
      <w:r w:rsidRPr="0025525F">
        <w:rPr>
          <w:rFonts w:ascii="Times New Roman" w:hAnsi="Times New Roman" w:cs="Times New Roman"/>
          <w:szCs w:val="20"/>
        </w:rPr>
        <w:t xml:space="preserve"> exemption in relation to an activity undertaken by a person in their official capacity as a Commonwealth public official.  </w:t>
      </w:r>
    </w:p>
    <w:p w:rsidR="0025525F" w:rsidRPr="00953B86" w:rsidRDefault="0025525F" w:rsidP="0025525F">
      <w:pPr>
        <w:rPr>
          <w:rFonts w:ascii="Times New Roman" w:hAnsi="Times New Roman" w:cs="Times New Roman"/>
        </w:rPr>
      </w:pPr>
      <w:r w:rsidRPr="00953B86">
        <w:rPr>
          <w:rFonts w:ascii="Times New Roman" w:hAnsi="Times New Roman" w:cs="Times New Roman"/>
        </w:rPr>
        <w:lastRenderedPageBreak/>
        <w:t xml:space="preserve">In both these instances, the exemption only applies if the fact that the person is undertaking the activity on behalf of a foreign principal, and the identity of the foreign principal, are apparent to all persons with whom the person is dealing or disclosed to them.  </w:t>
      </w:r>
    </w:p>
    <w:p w:rsidR="007817D6" w:rsidRDefault="007817D6" w:rsidP="009359BB">
      <w:pPr>
        <w:rPr>
          <w:rFonts w:ascii="Times New Roman" w:hAnsi="Times New Roman" w:cs="Times New Roman"/>
          <w:szCs w:val="20"/>
        </w:rPr>
      </w:pPr>
      <w:r>
        <w:rPr>
          <w:rFonts w:ascii="Times New Roman" w:hAnsi="Times New Roman" w:cs="Times New Roman"/>
          <w:szCs w:val="20"/>
        </w:rPr>
        <w:t>The R</w:t>
      </w:r>
      <w:r w:rsidRPr="003A29C3">
        <w:rPr>
          <w:rFonts w:ascii="Times New Roman" w:hAnsi="Times New Roman" w:cs="Times New Roman"/>
          <w:szCs w:val="20"/>
        </w:rPr>
        <w:t>ules</w:t>
      </w:r>
      <w:r w:rsidR="00F97966">
        <w:rPr>
          <w:rFonts w:ascii="Times New Roman" w:hAnsi="Times New Roman" w:cs="Times New Roman"/>
          <w:szCs w:val="20"/>
        </w:rPr>
        <w:t xml:space="preserve"> also</w:t>
      </w:r>
      <w:r w:rsidRPr="003A29C3">
        <w:rPr>
          <w:rFonts w:ascii="Times New Roman" w:hAnsi="Times New Roman" w:cs="Times New Roman"/>
          <w:szCs w:val="20"/>
        </w:rPr>
        <w:t xml:space="preserve"> </w:t>
      </w:r>
      <w:r>
        <w:rPr>
          <w:rFonts w:ascii="Times New Roman" w:hAnsi="Times New Roman" w:cs="Times New Roman"/>
          <w:szCs w:val="20"/>
        </w:rPr>
        <w:t>prescribe the following matters for the purposes of paragraph 43(1</w:t>
      </w:r>
      <w:proofErr w:type="gramStart"/>
      <w:r>
        <w:rPr>
          <w:rFonts w:ascii="Times New Roman" w:hAnsi="Times New Roman" w:cs="Times New Roman"/>
          <w:szCs w:val="20"/>
        </w:rPr>
        <w:t>)(</w:t>
      </w:r>
      <w:proofErr w:type="gramEnd"/>
      <w:r>
        <w:rPr>
          <w:rFonts w:ascii="Times New Roman" w:hAnsi="Times New Roman" w:cs="Times New Roman"/>
          <w:szCs w:val="20"/>
        </w:rPr>
        <w:t>c) and subsection 43(3)</w:t>
      </w:r>
      <w:r w:rsidR="00960884">
        <w:rPr>
          <w:rFonts w:ascii="Times New Roman" w:hAnsi="Times New Roman" w:cs="Times New Roman"/>
          <w:szCs w:val="20"/>
        </w:rPr>
        <w:t xml:space="preserve"> of the Act</w:t>
      </w:r>
      <w:r>
        <w:rPr>
          <w:rFonts w:ascii="Times New Roman" w:hAnsi="Times New Roman" w:cs="Times New Roman"/>
          <w:szCs w:val="20"/>
        </w:rPr>
        <w:t>, respectively:</w:t>
      </w:r>
      <w:r w:rsidR="007D7014">
        <w:rPr>
          <w:rFonts w:ascii="Times New Roman" w:hAnsi="Times New Roman" w:cs="Times New Roman"/>
          <w:szCs w:val="20"/>
        </w:rPr>
        <w:t xml:space="preserve"> </w:t>
      </w:r>
    </w:p>
    <w:p w:rsidR="007817D6" w:rsidRDefault="007817D6" w:rsidP="00BA7DF2">
      <w:pPr>
        <w:pStyle w:val="ListParagraph"/>
        <w:numPr>
          <w:ilvl w:val="0"/>
          <w:numId w:val="30"/>
        </w:numPr>
        <w:spacing w:after="0"/>
        <w:ind w:left="714" w:hanging="357"/>
        <w:rPr>
          <w:rFonts w:ascii="Times New Roman" w:hAnsi="Times New Roman" w:cs="Times New Roman"/>
          <w:szCs w:val="20"/>
        </w:rPr>
      </w:pPr>
      <w:r>
        <w:rPr>
          <w:rFonts w:ascii="Times New Roman" w:hAnsi="Times New Roman" w:cs="Times New Roman"/>
          <w:szCs w:val="20"/>
        </w:rPr>
        <w:t>Information to be made publicly available in relation to each person registered under the scheme, additional to what is already required by paragraphs 43(1)(a) and (b) of the Act, and</w:t>
      </w:r>
    </w:p>
    <w:p w:rsidR="007817D6" w:rsidRPr="00A94469" w:rsidRDefault="007817D6" w:rsidP="009359BB">
      <w:pPr>
        <w:pStyle w:val="ListParagraph"/>
        <w:numPr>
          <w:ilvl w:val="0"/>
          <w:numId w:val="30"/>
        </w:numPr>
        <w:rPr>
          <w:rFonts w:ascii="Times New Roman" w:hAnsi="Times New Roman" w:cs="Times New Roman"/>
          <w:szCs w:val="20"/>
        </w:rPr>
      </w:pPr>
      <w:r>
        <w:rPr>
          <w:rFonts w:ascii="Times New Roman" w:hAnsi="Times New Roman" w:cs="Times New Roman"/>
          <w:szCs w:val="20"/>
        </w:rPr>
        <w:t>Circumstances in which information is to be removed from the website.</w:t>
      </w:r>
    </w:p>
    <w:p w:rsidR="00B26FF6" w:rsidRPr="003A29C3" w:rsidRDefault="00B26FF6" w:rsidP="009359BB">
      <w:pPr>
        <w:pStyle w:val="Default"/>
        <w:spacing w:afterLines="100" w:after="240"/>
        <w:rPr>
          <w:b/>
          <w:szCs w:val="20"/>
        </w:rPr>
      </w:pPr>
      <w:r w:rsidRPr="003A29C3">
        <w:rPr>
          <w:b/>
          <w:szCs w:val="20"/>
        </w:rPr>
        <w:t xml:space="preserve">Human rights implications </w:t>
      </w:r>
    </w:p>
    <w:p w:rsidR="004B5388" w:rsidRDefault="00B26FF6" w:rsidP="009359BB">
      <w:pPr>
        <w:pStyle w:val="Default"/>
        <w:spacing w:afterLines="100" w:after="240"/>
        <w:rPr>
          <w:szCs w:val="20"/>
        </w:rPr>
      </w:pPr>
      <w:r w:rsidRPr="003A29C3">
        <w:rPr>
          <w:szCs w:val="20"/>
        </w:rPr>
        <w:t xml:space="preserve">The </w:t>
      </w:r>
      <w:r w:rsidR="007D7014">
        <w:rPr>
          <w:szCs w:val="20"/>
        </w:rPr>
        <w:t>R</w:t>
      </w:r>
      <w:r w:rsidRPr="003A29C3">
        <w:rPr>
          <w:szCs w:val="20"/>
        </w:rPr>
        <w:t xml:space="preserve">ules engage </w:t>
      </w:r>
      <w:r>
        <w:rPr>
          <w:szCs w:val="20"/>
        </w:rPr>
        <w:t xml:space="preserve">the </w:t>
      </w:r>
      <w:r w:rsidR="004B5388" w:rsidRPr="00475414">
        <w:rPr>
          <w:szCs w:val="20"/>
        </w:rPr>
        <w:t>right to privacy as contained in article 17</w:t>
      </w:r>
      <w:r w:rsidR="004B5388">
        <w:rPr>
          <w:szCs w:val="20"/>
        </w:rPr>
        <w:t xml:space="preserve"> of</w:t>
      </w:r>
      <w:r>
        <w:rPr>
          <w:szCs w:val="20"/>
        </w:rPr>
        <w:t xml:space="preserve"> the </w:t>
      </w:r>
      <w:r w:rsidRPr="003A29C3">
        <w:rPr>
          <w:szCs w:val="20"/>
        </w:rPr>
        <w:t>International Covenant on Civil and Political Rights (ICCPR)</w:t>
      </w:r>
      <w:r w:rsidR="004B5388">
        <w:rPr>
          <w:szCs w:val="20"/>
        </w:rPr>
        <w:t xml:space="preserve">. However, the scheme as a whole </w:t>
      </w:r>
      <w:r w:rsidR="00C71BD8">
        <w:rPr>
          <w:szCs w:val="20"/>
        </w:rPr>
        <w:t>promotes</w:t>
      </w:r>
      <w:r w:rsidR="004B5388">
        <w:rPr>
          <w:szCs w:val="20"/>
        </w:rPr>
        <w:t xml:space="preserve"> the</w:t>
      </w:r>
      <w:r w:rsidR="00C71BD8">
        <w:rPr>
          <w:szCs w:val="20"/>
        </w:rPr>
        <w:t xml:space="preserve"> following rights:</w:t>
      </w:r>
    </w:p>
    <w:p w:rsidR="00475414" w:rsidRDefault="00B26FF6" w:rsidP="009359BB">
      <w:pPr>
        <w:pStyle w:val="Default"/>
        <w:numPr>
          <w:ilvl w:val="0"/>
          <w:numId w:val="34"/>
        </w:numPr>
        <w:spacing w:afterLines="100" w:after="240"/>
        <w:rPr>
          <w:szCs w:val="20"/>
        </w:rPr>
      </w:pPr>
      <w:r w:rsidRPr="003A29C3">
        <w:rPr>
          <w:szCs w:val="20"/>
        </w:rPr>
        <w:t>the right to opinion and freedom of expression as contained in article 19; and</w:t>
      </w:r>
    </w:p>
    <w:p w:rsidR="00475414" w:rsidRDefault="00B26FF6" w:rsidP="009359BB">
      <w:pPr>
        <w:pStyle w:val="Default"/>
        <w:numPr>
          <w:ilvl w:val="0"/>
          <w:numId w:val="34"/>
        </w:numPr>
        <w:spacing w:afterLines="100" w:after="240"/>
        <w:rPr>
          <w:szCs w:val="20"/>
        </w:rPr>
      </w:pPr>
      <w:r w:rsidRPr="00475414">
        <w:rPr>
          <w:szCs w:val="20"/>
        </w:rPr>
        <w:t xml:space="preserve">the right to freedom of association as contained in article 22; and </w:t>
      </w:r>
    </w:p>
    <w:p w:rsidR="00C71BD8" w:rsidRPr="00C71BD8" w:rsidRDefault="00B26FF6" w:rsidP="009359BB">
      <w:pPr>
        <w:pStyle w:val="Default"/>
        <w:numPr>
          <w:ilvl w:val="0"/>
          <w:numId w:val="34"/>
        </w:numPr>
        <w:spacing w:afterLines="100" w:after="240"/>
        <w:rPr>
          <w:i/>
          <w:szCs w:val="20"/>
        </w:rPr>
      </w:pPr>
      <w:proofErr w:type="gramStart"/>
      <w:r w:rsidRPr="00475414">
        <w:rPr>
          <w:szCs w:val="20"/>
        </w:rPr>
        <w:t>the</w:t>
      </w:r>
      <w:proofErr w:type="gramEnd"/>
      <w:r w:rsidRPr="00475414">
        <w:rPr>
          <w:szCs w:val="20"/>
        </w:rPr>
        <w:t xml:space="preserve"> right to take part in public affairs and electi</w:t>
      </w:r>
      <w:r w:rsidR="00C71BD8">
        <w:rPr>
          <w:szCs w:val="20"/>
        </w:rPr>
        <w:t>ons as contained in article 25.</w:t>
      </w:r>
    </w:p>
    <w:p w:rsidR="00097252" w:rsidRDefault="00097252" w:rsidP="00097252">
      <w:pPr>
        <w:pStyle w:val="Default"/>
        <w:spacing w:afterLines="100" w:after="240"/>
        <w:rPr>
          <w:szCs w:val="20"/>
        </w:rPr>
      </w:pPr>
      <w:r>
        <w:rPr>
          <w:szCs w:val="20"/>
        </w:rPr>
        <w:t xml:space="preserve">How the scheme engages with each of these rights is examined in detailed in the Explanatory Memorandum for the </w:t>
      </w:r>
      <w:r w:rsidRPr="008B6E7A">
        <w:rPr>
          <w:i/>
          <w:szCs w:val="20"/>
        </w:rPr>
        <w:t>Foreign Influence Transparency Scheme Bill 2017</w:t>
      </w:r>
      <w:r>
        <w:rPr>
          <w:szCs w:val="20"/>
        </w:rPr>
        <w:t xml:space="preserve">, considered by the Parliamentary Joint Committee earlier this year. </w:t>
      </w:r>
      <w:r w:rsidRPr="0051656D" w:rsidDel="0051656D">
        <w:rPr>
          <w:szCs w:val="20"/>
        </w:rPr>
        <w:t xml:space="preserve"> </w:t>
      </w:r>
    </w:p>
    <w:p w:rsidR="00097252" w:rsidRPr="003A29C3" w:rsidRDefault="00097252" w:rsidP="00097252">
      <w:pPr>
        <w:pStyle w:val="Default"/>
        <w:spacing w:afterLines="100" w:after="240"/>
        <w:rPr>
          <w:i/>
          <w:szCs w:val="20"/>
        </w:rPr>
      </w:pPr>
      <w:r>
        <w:rPr>
          <w:i/>
          <w:szCs w:val="20"/>
        </w:rPr>
        <w:t>Legitimate Objective of the R</w:t>
      </w:r>
      <w:r w:rsidRPr="003A29C3">
        <w:rPr>
          <w:i/>
          <w:szCs w:val="20"/>
        </w:rPr>
        <w:t xml:space="preserve">ules </w:t>
      </w:r>
    </w:p>
    <w:p w:rsidR="00097252" w:rsidRPr="003A29C3" w:rsidRDefault="00097252" w:rsidP="00097252">
      <w:pPr>
        <w:pStyle w:val="Default"/>
        <w:spacing w:afterLines="100" w:after="240"/>
        <w:rPr>
          <w:szCs w:val="20"/>
        </w:rPr>
      </w:pPr>
      <w:r w:rsidRPr="003A29C3">
        <w:rPr>
          <w:szCs w:val="20"/>
        </w:rPr>
        <w:t xml:space="preserve">Under international human rights law, any limitation on rights and freedoms needs to be reasonable, necessary and proportionate to the pursuit of a legitimate objective. Further, for an objective to be considered “legitimate”, it must address a ‘pressing or substantial concern, and not simply seek an outcome regarded as desirable or convenient’. The objective of the Act under which these </w:t>
      </w:r>
      <w:r>
        <w:rPr>
          <w:szCs w:val="20"/>
        </w:rPr>
        <w:t>R</w:t>
      </w:r>
      <w:r w:rsidRPr="003A29C3">
        <w:rPr>
          <w:szCs w:val="20"/>
        </w:rPr>
        <w:t xml:space="preserve">ules are made, is to </w:t>
      </w:r>
      <w:r>
        <w:rPr>
          <w:szCs w:val="20"/>
        </w:rPr>
        <w:t>facilitate transparency for the</w:t>
      </w:r>
      <w:r w:rsidRPr="003A29C3">
        <w:rPr>
          <w:szCs w:val="20"/>
        </w:rPr>
        <w:t xml:space="preserve"> public and </w:t>
      </w:r>
      <w:r>
        <w:rPr>
          <w:szCs w:val="20"/>
        </w:rPr>
        <w:t>decision makers about</w:t>
      </w:r>
      <w:r w:rsidRPr="003A29C3">
        <w:rPr>
          <w:szCs w:val="20"/>
        </w:rPr>
        <w:t xml:space="preserve"> the </w:t>
      </w:r>
      <w:r>
        <w:rPr>
          <w:szCs w:val="20"/>
        </w:rPr>
        <w:t>nature, level and extent of foreign influence in Australia’s political and governmental processes.</w:t>
      </w:r>
      <w:r w:rsidRPr="003A29C3">
        <w:rPr>
          <w:szCs w:val="20"/>
        </w:rPr>
        <w:t xml:space="preserve"> Importantly, the Act aims to solve a pressing or substantial concern within Australia, as foreign influence in governmental and political</w:t>
      </w:r>
      <w:r>
        <w:rPr>
          <w:szCs w:val="20"/>
        </w:rPr>
        <w:t xml:space="preserve"> processes and</w:t>
      </w:r>
      <w:r w:rsidRPr="003A29C3">
        <w:rPr>
          <w:szCs w:val="20"/>
        </w:rPr>
        <w:t xml:space="preserve"> decision</w:t>
      </w:r>
      <w:r>
        <w:rPr>
          <w:szCs w:val="20"/>
        </w:rPr>
        <w:t xml:space="preserve"> </w:t>
      </w:r>
      <w:r w:rsidRPr="003A29C3">
        <w:rPr>
          <w:szCs w:val="20"/>
        </w:rPr>
        <w:t>making can have serious impli</w:t>
      </w:r>
      <w:r>
        <w:rPr>
          <w:szCs w:val="20"/>
        </w:rPr>
        <w:t xml:space="preserve">cations for national policy, undermining </w:t>
      </w:r>
      <w:r w:rsidRPr="003A29C3">
        <w:rPr>
          <w:szCs w:val="20"/>
        </w:rPr>
        <w:t>the ability of the Australian public and decision</w:t>
      </w:r>
      <w:r>
        <w:rPr>
          <w:szCs w:val="20"/>
        </w:rPr>
        <w:t xml:space="preserve"> </w:t>
      </w:r>
      <w:r w:rsidRPr="003A29C3">
        <w:rPr>
          <w:szCs w:val="20"/>
        </w:rPr>
        <w:t>makers in government to make</w:t>
      </w:r>
      <w:r>
        <w:rPr>
          <w:szCs w:val="20"/>
        </w:rPr>
        <w:t xml:space="preserve"> fully</w:t>
      </w:r>
      <w:r w:rsidRPr="003A29C3">
        <w:rPr>
          <w:szCs w:val="20"/>
        </w:rPr>
        <w:t xml:space="preserve"> informed decisions. </w:t>
      </w:r>
    </w:p>
    <w:p w:rsidR="00F97966" w:rsidRDefault="00F97966" w:rsidP="00F97966">
      <w:pPr>
        <w:pStyle w:val="Default"/>
        <w:spacing w:afterLines="100" w:after="240"/>
        <w:rPr>
          <w:szCs w:val="20"/>
        </w:rPr>
      </w:pPr>
      <w:r>
        <w:rPr>
          <w:szCs w:val="20"/>
        </w:rPr>
        <w:t>It is essential that all arms of government are able to perform their functions</w:t>
      </w:r>
      <w:r w:rsidR="0025525F">
        <w:rPr>
          <w:szCs w:val="20"/>
        </w:rPr>
        <w:t>. This</w:t>
      </w:r>
      <w:r>
        <w:rPr>
          <w:szCs w:val="20"/>
        </w:rPr>
        <w:t xml:space="preserve"> ensures the proper function</w:t>
      </w:r>
      <w:r w:rsidR="0025525F">
        <w:rPr>
          <w:szCs w:val="20"/>
        </w:rPr>
        <w:t>ing</w:t>
      </w:r>
      <w:r>
        <w:rPr>
          <w:szCs w:val="20"/>
        </w:rPr>
        <w:t xml:space="preserve"> of Australia’s </w:t>
      </w:r>
      <w:r w:rsidR="0025525F">
        <w:rPr>
          <w:szCs w:val="20"/>
        </w:rPr>
        <w:t>representative democracy and its</w:t>
      </w:r>
      <w:r>
        <w:rPr>
          <w:szCs w:val="20"/>
        </w:rPr>
        <w:t xml:space="preserve"> decision making process</w:t>
      </w:r>
      <w:r w:rsidR="0025525F">
        <w:rPr>
          <w:szCs w:val="20"/>
        </w:rPr>
        <w:t>es</w:t>
      </w:r>
      <w:r>
        <w:rPr>
          <w:szCs w:val="20"/>
        </w:rPr>
        <w:t>. The Rules promote the legitimate objective the Act by ensuring that staff members employed by Members of Parliament, consultants engaged by Ministers on behalf of the Commonwealth and Commonwealth public officials are able to perform their ordinary duties, including interacting with foreign principals from time to time, so as to properly advise Government and key decision makers</w:t>
      </w:r>
      <w:r w:rsidR="0025525F">
        <w:rPr>
          <w:szCs w:val="20"/>
        </w:rPr>
        <w:t>, without attracting a registration obligation under the scheme</w:t>
      </w:r>
      <w:r>
        <w:rPr>
          <w:szCs w:val="20"/>
        </w:rPr>
        <w:t>.</w:t>
      </w:r>
      <w:r w:rsidR="0025525F">
        <w:rPr>
          <w:szCs w:val="20"/>
        </w:rPr>
        <w:t xml:space="preserve"> Prescribing this in the Rules is</w:t>
      </w:r>
      <w:r>
        <w:rPr>
          <w:szCs w:val="20"/>
        </w:rPr>
        <w:t xml:space="preserve"> reasonable and necessary to support the objectives of the scheme.  </w:t>
      </w:r>
    </w:p>
    <w:p w:rsidR="00097252" w:rsidRDefault="00097252" w:rsidP="00097252">
      <w:pPr>
        <w:pStyle w:val="Default"/>
        <w:spacing w:afterLines="100" w:after="240"/>
        <w:rPr>
          <w:szCs w:val="20"/>
        </w:rPr>
      </w:pPr>
      <w:r w:rsidRPr="003A29C3">
        <w:rPr>
          <w:szCs w:val="20"/>
        </w:rPr>
        <w:lastRenderedPageBreak/>
        <w:t xml:space="preserve">The </w:t>
      </w:r>
      <w:r>
        <w:rPr>
          <w:szCs w:val="20"/>
        </w:rPr>
        <w:t>R</w:t>
      </w:r>
      <w:r w:rsidRPr="003A29C3">
        <w:rPr>
          <w:szCs w:val="20"/>
        </w:rPr>
        <w:t>ules promote the</w:t>
      </w:r>
      <w:r w:rsidR="0025525F">
        <w:rPr>
          <w:szCs w:val="20"/>
        </w:rPr>
        <w:t xml:space="preserve"> legitimate</w:t>
      </w:r>
      <w:r w:rsidRPr="003A29C3">
        <w:rPr>
          <w:szCs w:val="20"/>
        </w:rPr>
        <w:t xml:space="preserve"> transparency objective of the Act by making information publically available on the register which demonstrates the</w:t>
      </w:r>
      <w:r>
        <w:rPr>
          <w:szCs w:val="20"/>
        </w:rPr>
        <w:t xml:space="preserve"> </w:t>
      </w:r>
      <w:r w:rsidRPr="003A29C3">
        <w:rPr>
          <w:szCs w:val="20"/>
        </w:rPr>
        <w:t xml:space="preserve">form and source of foreign influence </w:t>
      </w:r>
      <w:r>
        <w:rPr>
          <w:szCs w:val="20"/>
        </w:rPr>
        <w:t>being exerted in Australia’s</w:t>
      </w:r>
      <w:r w:rsidRPr="003A29C3">
        <w:rPr>
          <w:szCs w:val="20"/>
        </w:rPr>
        <w:t xml:space="preserve"> political and governmental </w:t>
      </w:r>
      <w:r>
        <w:rPr>
          <w:szCs w:val="20"/>
        </w:rPr>
        <w:t xml:space="preserve">processes </w:t>
      </w:r>
      <w:r w:rsidRPr="003A29C3">
        <w:rPr>
          <w:szCs w:val="20"/>
        </w:rPr>
        <w:t>and the nature of</w:t>
      </w:r>
      <w:r>
        <w:rPr>
          <w:szCs w:val="20"/>
        </w:rPr>
        <w:t xml:space="preserve"> the</w:t>
      </w:r>
      <w:r w:rsidRPr="003A29C3">
        <w:rPr>
          <w:szCs w:val="20"/>
        </w:rPr>
        <w:t xml:space="preserve"> relationship</w:t>
      </w:r>
      <w:r>
        <w:rPr>
          <w:szCs w:val="20"/>
        </w:rPr>
        <w:t>s through which the influence is exerted</w:t>
      </w:r>
      <w:r w:rsidRPr="003A29C3">
        <w:rPr>
          <w:szCs w:val="20"/>
        </w:rPr>
        <w:t>. These requirements are reasonable, necessary and proportionate to the transparency objective of the scheme, as they address pressing concerns and enhance transparency in</w:t>
      </w:r>
      <w:r>
        <w:rPr>
          <w:szCs w:val="20"/>
        </w:rPr>
        <w:t xml:space="preserve"> Australia’s</w:t>
      </w:r>
      <w:r w:rsidRPr="003A29C3">
        <w:rPr>
          <w:szCs w:val="20"/>
        </w:rPr>
        <w:t xml:space="preserve"> political and governmental </w:t>
      </w:r>
      <w:r>
        <w:rPr>
          <w:szCs w:val="20"/>
        </w:rPr>
        <w:t>processes and decision making</w:t>
      </w:r>
      <w:r w:rsidRPr="003A29C3">
        <w:rPr>
          <w:szCs w:val="20"/>
        </w:rPr>
        <w:t xml:space="preserve">. </w:t>
      </w:r>
    </w:p>
    <w:p w:rsidR="00097252" w:rsidRPr="008B6E7A" w:rsidRDefault="00097252" w:rsidP="00097252">
      <w:pPr>
        <w:pStyle w:val="Default"/>
        <w:spacing w:afterLines="100" w:after="240"/>
        <w:rPr>
          <w:szCs w:val="20"/>
          <w:u w:val="single"/>
        </w:rPr>
      </w:pPr>
      <w:r w:rsidRPr="008B6E7A">
        <w:rPr>
          <w:szCs w:val="20"/>
          <w:u w:val="single"/>
        </w:rPr>
        <w:t xml:space="preserve">Right to privacy  </w:t>
      </w:r>
    </w:p>
    <w:p w:rsidR="00097252" w:rsidRDefault="00097252" w:rsidP="00097252">
      <w:pPr>
        <w:pStyle w:val="Default"/>
        <w:spacing w:afterLines="100" w:after="240"/>
        <w:rPr>
          <w:szCs w:val="20"/>
        </w:rPr>
      </w:pPr>
      <w:r>
        <w:rPr>
          <w:szCs w:val="20"/>
        </w:rPr>
        <w:t>Pursuant to</w:t>
      </w:r>
      <w:r w:rsidRPr="003A29C3">
        <w:rPr>
          <w:szCs w:val="20"/>
        </w:rPr>
        <w:t xml:space="preserve"> Article 17 of the ICCPR, no-one should be subjected to arbitrary or unlawful interference with their privacy, family, home or correspondence, nor to unlawful attacks on their honour or reputation. Th</w:t>
      </w:r>
      <w:r>
        <w:rPr>
          <w:szCs w:val="20"/>
        </w:rPr>
        <w:t>e</w:t>
      </w:r>
      <w:r w:rsidRPr="003A29C3">
        <w:rPr>
          <w:szCs w:val="20"/>
        </w:rPr>
        <w:t xml:space="preserve"> right to privacy may be limited when the limitation is lawful, not arbitrary, and when it is reasonable, necessary and proportionate to achieve a legitimate objective. </w:t>
      </w:r>
    </w:p>
    <w:p w:rsidR="00097252" w:rsidRDefault="00097252" w:rsidP="00097252">
      <w:pPr>
        <w:pStyle w:val="Default"/>
        <w:spacing w:afterLines="100" w:after="240"/>
        <w:rPr>
          <w:szCs w:val="20"/>
        </w:rPr>
      </w:pPr>
      <w:r w:rsidRPr="003A29C3">
        <w:rPr>
          <w:szCs w:val="20"/>
        </w:rPr>
        <w:t xml:space="preserve">The Rules impose a limitation on the right to privacy by requiring information about the registrant and the foreign principal to be made publically available. </w:t>
      </w:r>
    </w:p>
    <w:p w:rsidR="00097252" w:rsidRDefault="00097252" w:rsidP="00097252">
      <w:pPr>
        <w:pStyle w:val="Default"/>
        <w:spacing w:afterLines="100" w:after="240"/>
        <w:rPr>
          <w:szCs w:val="20"/>
        </w:rPr>
      </w:pPr>
      <w:r>
        <w:rPr>
          <w:szCs w:val="20"/>
        </w:rPr>
        <w:t xml:space="preserve">Publishing information about persons registered under the scheme is clearly in pursuit of the legitimate objective of promoting transparency and awareness of </w:t>
      </w:r>
      <w:r w:rsidRPr="003A29C3">
        <w:rPr>
          <w:szCs w:val="20"/>
        </w:rPr>
        <w:t xml:space="preserve">the </w:t>
      </w:r>
      <w:r>
        <w:rPr>
          <w:szCs w:val="20"/>
        </w:rPr>
        <w:t xml:space="preserve">nature, level and extent of foreign influence in Australia’s political and governmental processes. Making this information publicly available </w:t>
      </w:r>
      <w:r w:rsidRPr="003A29C3">
        <w:rPr>
          <w:szCs w:val="20"/>
        </w:rPr>
        <w:t>satisfies the fundamental transparency objective underlying the scheme.</w:t>
      </w:r>
      <w:r>
        <w:rPr>
          <w:szCs w:val="20"/>
        </w:rPr>
        <w:t xml:space="preserve"> </w:t>
      </w:r>
    </w:p>
    <w:p w:rsidR="00097252" w:rsidRDefault="00097252" w:rsidP="00097252">
      <w:pPr>
        <w:pStyle w:val="Default"/>
        <w:spacing w:afterLines="100" w:after="240"/>
        <w:rPr>
          <w:szCs w:val="20"/>
        </w:rPr>
      </w:pPr>
      <w:r>
        <w:rPr>
          <w:szCs w:val="20"/>
        </w:rPr>
        <w:t xml:space="preserve">The type of information that can be published under section 5 of the Rules is rationally connected to the objectives of the scheme, and is necessary to achieving these legitimate objectives. The publicly available information is only that which is necessary to identify a registrant, the relevant foreign principal and the relationship with the foreign principal, and the types of activities being undertaken as a result of the relationship. The information prescribed does not go beyond the point of necessity. </w:t>
      </w:r>
    </w:p>
    <w:p w:rsidR="009F4D04" w:rsidRPr="009C2458" w:rsidRDefault="009F4D04" w:rsidP="009F4D04">
      <w:pPr>
        <w:pStyle w:val="Default"/>
        <w:spacing w:afterLines="100" w:after="240"/>
        <w:rPr>
          <w:szCs w:val="20"/>
        </w:rPr>
      </w:pPr>
      <w:r w:rsidRPr="009C2458">
        <w:rPr>
          <w:szCs w:val="20"/>
        </w:rPr>
        <w:t xml:space="preserve">The information </w:t>
      </w:r>
      <w:r>
        <w:rPr>
          <w:szCs w:val="20"/>
        </w:rPr>
        <w:t>prescribed by the</w:t>
      </w:r>
      <w:r w:rsidRPr="009C2458">
        <w:rPr>
          <w:szCs w:val="20"/>
        </w:rPr>
        <w:t xml:space="preserve"> Rules</w:t>
      </w:r>
      <w:r>
        <w:rPr>
          <w:szCs w:val="20"/>
        </w:rPr>
        <w:t xml:space="preserve"> to be made publicly available</w:t>
      </w:r>
      <w:r w:rsidRPr="009C2458">
        <w:rPr>
          <w:szCs w:val="20"/>
        </w:rPr>
        <w:t xml:space="preserve"> is a reasonable and proportionate restriction on the right to privacy. Firstly, as outlined above, the information to be published is only that necessary to identify </w:t>
      </w:r>
      <w:r>
        <w:rPr>
          <w:szCs w:val="20"/>
        </w:rPr>
        <w:t>a person registered, the foreign principal</w:t>
      </w:r>
      <w:r w:rsidRPr="009C2458">
        <w:rPr>
          <w:szCs w:val="20"/>
        </w:rPr>
        <w:t xml:space="preserve">, and is directly relevant to their registrable activities. </w:t>
      </w:r>
    </w:p>
    <w:p w:rsidR="009F4D04" w:rsidRPr="009C2458" w:rsidRDefault="009F4D04" w:rsidP="009F4D04">
      <w:pPr>
        <w:pStyle w:val="Default"/>
        <w:spacing w:afterLines="100" w:after="240"/>
        <w:rPr>
          <w:szCs w:val="20"/>
        </w:rPr>
      </w:pPr>
      <w:r w:rsidRPr="008B6E7A">
        <w:rPr>
          <w:szCs w:val="20"/>
        </w:rPr>
        <w:t>Secondly, the publication of information is limited by several key safeguard mechanisms. For example, as per subsection 43(2)</w:t>
      </w:r>
      <w:r>
        <w:rPr>
          <w:szCs w:val="20"/>
        </w:rPr>
        <w:t xml:space="preserve"> of the Act</w:t>
      </w:r>
      <w:r w:rsidRPr="009C2458">
        <w:rPr>
          <w:szCs w:val="20"/>
        </w:rPr>
        <w:t xml:space="preserve">, the website must not include information that the Secretary is satisfied is commercially sensitive or affects national security. The collection and retention of information is carefully regulated, and the information which is </w:t>
      </w:r>
      <w:r>
        <w:rPr>
          <w:szCs w:val="20"/>
        </w:rPr>
        <w:t>prescribed to be made</w:t>
      </w:r>
      <w:r w:rsidRPr="009C2458">
        <w:rPr>
          <w:szCs w:val="20"/>
        </w:rPr>
        <w:t xml:space="preserve"> publically</w:t>
      </w:r>
      <w:r>
        <w:rPr>
          <w:szCs w:val="20"/>
        </w:rPr>
        <w:t xml:space="preserve"> available</w:t>
      </w:r>
      <w:r w:rsidRPr="009C2458">
        <w:rPr>
          <w:szCs w:val="20"/>
        </w:rPr>
        <w:t xml:space="preserve"> is information which is essential to fulfil the fundamental transparency objective of the scheme. There are also processes to correct inaccurate information on the public register. </w:t>
      </w:r>
    </w:p>
    <w:p w:rsidR="009F4D04" w:rsidRPr="008B6E7A" w:rsidRDefault="009F4D04" w:rsidP="009F4D04">
      <w:pPr>
        <w:pStyle w:val="Default"/>
        <w:spacing w:afterLines="100" w:after="240"/>
        <w:rPr>
          <w:szCs w:val="20"/>
        </w:rPr>
      </w:pPr>
      <w:r w:rsidRPr="008B6E7A">
        <w:rPr>
          <w:szCs w:val="20"/>
        </w:rPr>
        <w:t xml:space="preserve">Therefore, to the extent that the scheme requires the publication of certain information about a registrant and a foreign principal, thus limiting their right to privacy, this limitation is considered reasonable, necessary and proportionate to the scheme’s transparency objective. </w:t>
      </w:r>
    </w:p>
    <w:p w:rsidR="009F4D04" w:rsidRPr="008B6E7A" w:rsidRDefault="009F4D04" w:rsidP="009F4D04">
      <w:pPr>
        <w:pStyle w:val="Default"/>
        <w:spacing w:afterLines="100" w:after="240"/>
        <w:rPr>
          <w:i/>
          <w:szCs w:val="20"/>
        </w:rPr>
      </w:pPr>
      <w:r w:rsidRPr="008B6E7A">
        <w:rPr>
          <w:szCs w:val="20"/>
          <w:u w:val="single"/>
        </w:rPr>
        <w:t xml:space="preserve">Human rights promoted by the Rules </w:t>
      </w:r>
    </w:p>
    <w:p w:rsidR="009F4D04" w:rsidRPr="008B6E7A" w:rsidRDefault="009F4D04" w:rsidP="009F4D04">
      <w:pPr>
        <w:pStyle w:val="Default"/>
        <w:spacing w:afterLines="100" w:after="240"/>
        <w:rPr>
          <w:i/>
          <w:szCs w:val="20"/>
        </w:rPr>
      </w:pPr>
      <w:r w:rsidRPr="008B6E7A">
        <w:rPr>
          <w:i/>
          <w:szCs w:val="20"/>
        </w:rPr>
        <w:lastRenderedPageBreak/>
        <w:t>Right to opinion and freedom of expression, freedom of association and right to take part in public affairs and elections</w:t>
      </w:r>
    </w:p>
    <w:p w:rsidR="009F4D04" w:rsidRPr="008B6E7A" w:rsidRDefault="009F4D04" w:rsidP="009F4D04">
      <w:pPr>
        <w:pStyle w:val="Default"/>
        <w:spacing w:afterLines="100" w:after="240"/>
        <w:rPr>
          <w:szCs w:val="20"/>
        </w:rPr>
      </w:pPr>
      <w:r w:rsidRPr="008B6E7A">
        <w:rPr>
          <w:szCs w:val="20"/>
        </w:rPr>
        <w:t xml:space="preserve">Article 19 of the ICCPR prescribes that everyone has the right to hold opinions without interference and has the right to freedom of expression, including the right to seek, receive and impart information and ideas of all kinds. Further, article 25 of the ICCPR declares that every citizen should have the right and the opportunity to take part in the conduct of public affairs, to vote and to be elected at genuine periodic election. </w:t>
      </w:r>
    </w:p>
    <w:p w:rsidR="009F4D04" w:rsidRPr="009C2458" w:rsidRDefault="009F4D04" w:rsidP="009F4D04">
      <w:pPr>
        <w:pStyle w:val="Default"/>
        <w:spacing w:afterLines="100" w:after="240"/>
        <w:rPr>
          <w:szCs w:val="20"/>
        </w:rPr>
      </w:pPr>
      <w:r w:rsidRPr="008B6E7A">
        <w:rPr>
          <w:szCs w:val="20"/>
        </w:rPr>
        <w:t xml:space="preserve">The Rules protect and promote these rights to opinions, freedom of expression, and freedom of participation in public affairs because they help to create a political system that is transparent by making the sources of foreign influence </w:t>
      </w:r>
      <w:r>
        <w:rPr>
          <w:szCs w:val="20"/>
        </w:rPr>
        <w:t xml:space="preserve">being exerted in Australia’s political and governmental processes </w:t>
      </w:r>
      <w:r w:rsidRPr="009C2458">
        <w:rPr>
          <w:szCs w:val="20"/>
        </w:rPr>
        <w:t xml:space="preserve">visible. The Rules do not prohibit registrants from acting on behalf of foreign principals to undertake </w:t>
      </w:r>
      <w:r>
        <w:rPr>
          <w:szCs w:val="20"/>
        </w:rPr>
        <w:t xml:space="preserve">the </w:t>
      </w:r>
      <w:r w:rsidRPr="009C2458">
        <w:rPr>
          <w:szCs w:val="20"/>
        </w:rPr>
        <w:t>activities</w:t>
      </w:r>
      <w:r>
        <w:rPr>
          <w:szCs w:val="20"/>
        </w:rPr>
        <w:t xml:space="preserve"> that are registrable under the scheme</w:t>
      </w:r>
      <w:r w:rsidRPr="009C2458">
        <w:rPr>
          <w:szCs w:val="20"/>
        </w:rPr>
        <w:t xml:space="preserve"> (which are prescribed by the scheme); they are merely required to ensure</w:t>
      </w:r>
      <w:r>
        <w:rPr>
          <w:szCs w:val="20"/>
        </w:rPr>
        <w:t>, through registering with the scheme,</w:t>
      </w:r>
      <w:r w:rsidRPr="009C2458">
        <w:rPr>
          <w:szCs w:val="20"/>
        </w:rPr>
        <w:t xml:space="preserve"> that the </w:t>
      </w:r>
      <w:r>
        <w:rPr>
          <w:szCs w:val="20"/>
        </w:rPr>
        <w:t>fact that the activities are undertaken on behalf of a foreign principal for the purpose of political or governmental influence is transparent to the public and decision makers. Their</w:t>
      </w:r>
      <w:r w:rsidRPr="009C2458">
        <w:rPr>
          <w:szCs w:val="20"/>
        </w:rPr>
        <w:t xml:space="preserve"> activities continue as a legitimate form of activity, engaging the right to opinion and freedom of expression in Article 19 of the ICCPR and the right to take part in political affairs in Article 25 of the ICCPR.</w:t>
      </w:r>
    </w:p>
    <w:p w:rsidR="009F4D04" w:rsidRPr="008B6E7A" w:rsidRDefault="009F4D04" w:rsidP="009F4D04">
      <w:pPr>
        <w:pStyle w:val="Default"/>
        <w:spacing w:afterLines="100" w:after="240"/>
        <w:rPr>
          <w:szCs w:val="20"/>
          <w:u w:val="single"/>
        </w:rPr>
      </w:pPr>
      <w:r w:rsidRPr="008B6E7A">
        <w:rPr>
          <w:szCs w:val="20"/>
          <w:u w:val="single"/>
        </w:rPr>
        <w:t>Conclusion</w:t>
      </w:r>
    </w:p>
    <w:p w:rsidR="00097252" w:rsidRPr="003A29C3" w:rsidRDefault="009F4D04" w:rsidP="009F4D04">
      <w:pPr>
        <w:pStyle w:val="Default"/>
        <w:spacing w:afterLines="100" w:after="240"/>
        <w:rPr>
          <w:b/>
          <w:szCs w:val="20"/>
        </w:rPr>
      </w:pPr>
      <w:r w:rsidRPr="008B6E7A">
        <w:rPr>
          <w:szCs w:val="20"/>
        </w:rPr>
        <w:t xml:space="preserve">The Rules are compatible with human rights because they promote and protect a number of rights, including; the right to hold an opinion, the right take part in public affairs and elections and the right to vote. To the extent that the Rules limit the right to privacy, </w:t>
      </w:r>
      <w:r w:rsidR="003E2BC4">
        <w:rPr>
          <w:szCs w:val="20"/>
        </w:rPr>
        <w:t>the</w:t>
      </w:r>
      <w:r w:rsidRPr="008B6E7A">
        <w:rPr>
          <w:szCs w:val="20"/>
        </w:rPr>
        <w:t xml:space="preserve"> limitations are considered reasonable, necessary and proportionate to the transparency objective of the scheme. The Rules ultimately promote and protect government and public knowledge of the nature, level and extent of foreign influence in Australian federal political and governmental processes.</w:t>
      </w:r>
      <w:r w:rsidRPr="003A29C3">
        <w:rPr>
          <w:szCs w:val="20"/>
        </w:rPr>
        <w:t xml:space="preserve"> </w:t>
      </w:r>
      <w:bookmarkStart w:id="0" w:name="_GoBack"/>
      <w:bookmarkEnd w:id="0"/>
    </w:p>
    <w:sectPr w:rsidR="00097252" w:rsidRPr="003A29C3" w:rsidSect="007B4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CE" w:rsidRDefault="00664CCE" w:rsidP="0037478D">
      <w:pPr>
        <w:spacing w:after="0"/>
      </w:pPr>
      <w:r>
        <w:separator/>
      </w:r>
    </w:p>
  </w:endnote>
  <w:endnote w:type="continuationSeparator" w:id="0">
    <w:p w:rsidR="00664CCE" w:rsidRDefault="00664CCE" w:rsidP="00374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CE" w:rsidRDefault="00664CCE" w:rsidP="0037478D">
      <w:pPr>
        <w:spacing w:after="0"/>
      </w:pPr>
      <w:r>
        <w:separator/>
      </w:r>
    </w:p>
  </w:footnote>
  <w:footnote w:type="continuationSeparator" w:id="0">
    <w:p w:rsidR="00664CCE" w:rsidRDefault="00664CCE" w:rsidP="003747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FF4"/>
    <w:multiLevelType w:val="hybridMultilevel"/>
    <w:tmpl w:val="72E09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895"/>
    <w:multiLevelType w:val="hybridMultilevel"/>
    <w:tmpl w:val="37D0B4CE"/>
    <w:lvl w:ilvl="0" w:tplc="E1AC2E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5C6303C"/>
    <w:multiLevelType w:val="hybridMultilevel"/>
    <w:tmpl w:val="718A2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B16456"/>
    <w:multiLevelType w:val="hybridMultilevel"/>
    <w:tmpl w:val="1FFE9F08"/>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5327A0"/>
    <w:multiLevelType w:val="hybridMultilevel"/>
    <w:tmpl w:val="52563E06"/>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80167"/>
    <w:multiLevelType w:val="hybridMultilevel"/>
    <w:tmpl w:val="08C48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467A58"/>
    <w:multiLevelType w:val="hybridMultilevel"/>
    <w:tmpl w:val="ED30F83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336BDC"/>
    <w:multiLevelType w:val="hybridMultilevel"/>
    <w:tmpl w:val="2808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A6BE6"/>
    <w:multiLevelType w:val="hybridMultilevel"/>
    <w:tmpl w:val="3634E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3F0008"/>
    <w:multiLevelType w:val="hybridMultilevel"/>
    <w:tmpl w:val="C174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992487"/>
    <w:multiLevelType w:val="hybridMultilevel"/>
    <w:tmpl w:val="0B3A168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D05E98"/>
    <w:multiLevelType w:val="hybridMultilevel"/>
    <w:tmpl w:val="77547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4A47B4"/>
    <w:multiLevelType w:val="hybridMultilevel"/>
    <w:tmpl w:val="046E27F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22876A4"/>
    <w:multiLevelType w:val="hybridMultilevel"/>
    <w:tmpl w:val="A45030A4"/>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1B1655"/>
    <w:multiLevelType w:val="hybridMultilevel"/>
    <w:tmpl w:val="7458D186"/>
    <w:lvl w:ilvl="0" w:tplc="963AD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8E8488D"/>
    <w:multiLevelType w:val="hybridMultilevel"/>
    <w:tmpl w:val="37705462"/>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3A8824B6"/>
    <w:multiLevelType w:val="hybridMultilevel"/>
    <w:tmpl w:val="012A20B2"/>
    <w:lvl w:ilvl="0" w:tplc="CEFC48BE">
      <w:start w:val="1"/>
      <w:numFmt w:val="lowerRoman"/>
      <w:lvlText w:val="(%1)"/>
      <w:lvlJc w:val="left"/>
      <w:pPr>
        <w:ind w:left="1440" w:hanging="72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C25107A"/>
    <w:multiLevelType w:val="hybridMultilevel"/>
    <w:tmpl w:val="2E50028A"/>
    <w:lvl w:ilvl="0" w:tplc="1B8AF124">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E83327"/>
    <w:multiLevelType w:val="hybridMultilevel"/>
    <w:tmpl w:val="4E625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A5275E"/>
    <w:multiLevelType w:val="hybridMultilevel"/>
    <w:tmpl w:val="E5D482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nsid w:val="46E87EA5"/>
    <w:multiLevelType w:val="hybridMultilevel"/>
    <w:tmpl w:val="9758B0E6"/>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AA60F5"/>
    <w:multiLevelType w:val="hybridMultilevel"/>
    <w:tmpl w:val="A3F8F2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B2B64F8"/>
    <w:multiLevelType w:val="hybridMultilevel"/>
    <w:tmpl w:val="D3121044"/>
    <w:lvl w:ilvl="0" w:tplc="68C83FA4">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4B8D296C"/>
    <w:multiLevelType w:val="hybridMultilevel"/>
    <w:tmpl w:val="9E4EB1EC"/>
    <w:lvl w:ilvl="0" w:tplc="911A30FC">
      <w:start w:val="1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07728E"/>
    <w:multiLevelType w:val="hybridMultilevel"/>
    <w:tmpl w:val="81087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33C7E09"/>
    <w:multiLevelType w:val="hybridMultilevel"/>
    <w:tmpl w:val="F9BC4C4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6FC3D7A"/>
    <w:multiLevelType w:val="hybridMultilevel"/>
    <w:tmpl w:val="A84AD2B6"/>
    <w:lvl w:ilvl="0" w:tplc="CDF6F6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5C27B3"/>
    <w:multiLevelType w:val="hybridMultilevel"/>
    <w:tmpl w:val="6D3AB3F4"/>
    <w:lvl w:ilvl="0" w:tplc="E93A08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8893E29"/>
    <w:multiLevelType w:val="hybridMultilevel"/>
    <w:tmpl w:val="D952AE5E"/>
    <w:lvl w:ilvl="0" w:tplc="99340E1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BFC16CD"/>
    <w:multiLevelType w:val="hybridMultilevel"/>
    <w:tmpl w:val="EDBCD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773EE3"/>
    <w:multiLevelType w:val="hybridMultilevel"/>
    <w:tmpl w:val="791E00B4"/>
    <w:lvl w:ilvl="0" w:tplc="1B8AF124">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EC2DCF"/>
    <w:multiLevelType w:val="hybridMultilevel"/>
    <w:tmpl w:val="023C3140"/>
    <w:lvl w:ilvl="0" w:tplc="68C83FA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81C4F45"/>
    <w:multiLevelType w:val="hybridMultilevel"/>
    <w:tmpl w:val="9500883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AD25026"/>
    <w:multiLevelType w:val="hybridMultilevel"/>
    <w:tmpl w:val="0388E59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nsid w:val="6AFC2571"/>
    <w:multiLevelType w:val="hybridMultilevel"/>
    <w:tmpl w:val="89667D88"/>
    <w:lvl w:ilvl="0" w:tplc="D6728E2A">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2A1CD3"/>
    <w:multiLevelType w:val="hybridMultilevel"/>
    <w:tmpl w:val="B6F4489C"/>
    <w:lvl w:ilvl="0" w:tplc="821618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78A639E7"/>
    <w:multiLevelType w:val="hybridMultilevel"/>
    <w:tmpl w:val="8DBCEEBE"/>
    <w:lvl w:ilvl="0" w:tplc="97B43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863C21"/>
    <w:multiLevelType w:val="hybridMultilevel"/>
    <w:tmpl w:val="18AAB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0B3972"/>
    <w:multiLevelType w:val="hybridMultilevel"/>
    <w:tmpl w:val="2E303D18"/>
    <w:lvl w:ilvl="0" w:tplc="A52880F0">
      <w:start w:val="1"/>
      <w:numFmt w:val="decimal"/>
      <w:lvlText w:val="%1."/>
      <w:lvlJc w:val="left"/>
      <w:pPr>
        <w:ind w:left="720" w:hanging="360"/>
      </w:pPr>
      <w:rPr>
        <w:rFonts w:hint="default"/>
        <w:b w:val="0"/>
        <w:color w:val="auto"/>
      </w:rPr>
    </w:lvl>
    <w:lvl w:ilvl="1" w:tplc="1FB835C6">
      <w:start w:val="1"/>
      <w:numFmt w:val="lowerLetter"/>
      <w:lvlText w:val="(%2)"/>
      <w:lvlJc w:val="left"/>
      <w:pPr>
        <w:ind w:left="1440" w:hanging="360"/>
      </w:pPr>
      <w:rPr>
        <w:rFonts w:ascii="Times New Roman" w:eastAsiaTheme="minorHAnsi" w:hAnsi="Times New Roman"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7"/>
  </w:num>
  <w:num w:numId="3">
    <w:abstractNumId w:val="29"/>
  </w:num>
  <w:num w:numId="4">
    <w:abstractNumId w:val="19"/>
  </w:num>
  <w:num w:numId="5">
    <w:abstractNumId w:val="0"/>
  </w:num>
  <w:num w:numId="6">
    <w:abstractNumId w:val="37"/>
  </w:num>
  <w:num w:numId="7">
    <w:abstractNumId w:val="18"/>
  </w:num>
  <w:num w:numId="8">
    <w:abstractNumId w:val="34"/>
  </w:num>
  <w:num w:numId="9">
    <w:abstractNumId w:val="6"/>
  </w:num>
  <w:num w:numId="10">
    <w:abstractNumId w:val="13"/>
  </w:num>
  <w:num w:numId="11">
    <w:abstractNumId w:val="15"/>
  </w:num>
  <w:num w:numId="12">
    <w:abstractNumId w:val="32"/>
  </w:num>
  <w:num w:numId="13">
    <w:abstractNumId w:val="20"/>
  </w:num>
  <w:num w:numId="14">
    <w:abstractNumId w:val="10"/>
  </w:num>
  <w:num w:numId="15">
    <w:abstractNumId w:val="12"/>
  </w:num>
  <w:num w:numId="16">
    <w:abstractNumId w:val="33"/>
  </w:num>
  <w:num w:numId="17">
    <w:abstractNumId w:val="23"/>
  </w:num>
  <w:num w:numId="18">
    <w:abstractNumId w:val="2"/>
  </w:num>
  <w:num w:numId="19">
    <w:abstractNumId w:val="4"/>
  </w:num>
  <w:num w:numId="20">
    <w:abstractNumId w:val="28"/>
  </w:num>
  <w:num w:numId="21">
    <w:abstractNumId w:val="30"/>
  </w:num>
  <w:num w:numId="22">
    <w:abstractNumId w:val="16"/>
  </w:num>
  <w:num w:numId="23">
    <w:abstractNumId w:val="31"/>
  </w:num>
  <w:num w:numId="24">
    <w:abstractNumId w:val="3"/>
  </w:num>
  <w:num w:numId="25">
    <w:abstractNumId w:val="17"/>
  </w:num>
  <w:num w:numId="26">
    <w:abstractNumId w:val="22"/>
  </w:num>
  <w:num w:numId="27">
    <w:abstractNumId w:val="35"/>
  </w:num>
  <w:num w:numId="28">
    <w:abstractNumId w:val="38"/>
  </w:num>
  <w:num w:numId="29">
    <w:abstractNumId w:val="26"/>
  </w:num>
  <w:num w:numId="30">
    <w:abstractNumId w:val="5"/>
  </w:num>
  <w:num w:numId="31">
    <w:abstractNumId w:val="27"/>
  </w:num>
  <w:num w:numId="32">
    <w:abstractNumId w:val="21"/>
  </w:num>
  <w:num w:numId="33">
    <w:abstractNumId w:val="14"/>
  </w:num>
  <w:num w:numId="34">
    <w:abstractNumId w:val="11"/>
  </w:num>
  <w:num w:numId="35">
    <w:abstractNumId w:val="1"/>
  </w:num>
  <w:num w:numId="36">
    <w:abstractNumId w:val="36"/>
  </w:num>
  <w:num w:numId="37">
    <w:abstractNumId w:val="8"/>
  </w:num>
  <w:num w:numId="38">
    <w:abstractNumId w:val="9"/>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23"/>
    <w:rsid w:val="0002569F"/>
    <w:rsid w:val="0004718B"/>
    <w:rsid w:val="00050696"/>
    <w:rsid w:val="000609CF"/>
    <w:rsid w:val="00062303"/>
    <w:rsid w:val="0007773C"/>
    <w:rsid w:val="00094F17"/>
    <w:rsid w:val="00097252"/>
    <w:rsid w:val="000A2A24"/>
    <w:rsid w:val="000A506A"/>
    <w:rsid w:val="000B007C"/>
    <w:rsid w:val="000B1DCB"/>
    <w:rsid w:val="000B5298"/>
    <w:rsid w:val="000D3938"/>
    <w:rsid w:val="000E3278"/>
    <w:rsid w:val="000E4F3E"/>
    <w:rsid w:val="000F59EC"/>
    <w:rsid w:val="001131D4"/>
    <w:rsid w:val="0011494C"/>
    <w:rsid w:val="001353E8"/>
    <w:rsid w:val="00161497"/>
    <w:rsid w:val="00165055"/>
    <w:rsid w:val="00175ACE"/>
    <w:rsid w:val="00176FFB"/>
    <w:rsid w:val="00185C4E"/>
    <w:rsid w:val="0019196F"/>
    <w:rsid w:val="001955A4"/>
    <w:rsid w:val="001A51D5"/>
    <w:rsid w:val="001C7C5C"/>
    <w:rsid w:val="001D4CB9"/>
    <w:rsid w:val="001E309B"/>
    <w:rsid w:val="001E3AD6"/>
    <w:rsid w:val="002048C0"/>
    <w:rsid w:val="00214CDD"/>
    <w:rsid w:val="00245212"/>
    <w:rsid w:val="0025525F"/>
    <w:rsid w:val="00257039"/>
    <w:rsid w:val="00271781"/>
    <w:rsid w:val="002E7379"/>
    <w:rsid w:val="003003D5"/>
    <w:rsid w:val="00307F4D"/>
    <w:rsid w:val="00310F07"/>
    <w:rsid w:val="00321B61"/>
    <w:rsid w:val="00324E3C"/>
    <w:rsid w:val="00330C7E"/>
    <w:rsid w:val="0037478D"/>
    <w:rsid w:val="00375CD1"/>
    <w:rsid w:val="00381BA9"/>
    <w:rsid w:val="00391CB1"/>
    <w:rsid w:val="003A29C3"/>
    <w:rsid w:val="003A310B"/>
    <w:rsid w:val="003B483F"/>
    <w:rsid w:val="003C3872"/>
    <w:rsid w:val="003D7A55"/>
    <w:rsid w:val="003E2BC4"/>
    <w:rsid w:val="003F6D92"/>
    <w:rsid w:val="00400F3A"/>
    <w:rsid w:val="004064B8"/>
    <w:rsid w:val="00411660"/>
    <w:rsid w:val="004242D7"/>
    <w:rsid w:val="00445A12"/>
    <w:rsid w:val="00451323"/>
    <w:rsid w:val="00454B57"/>
    <w:rsid w:val="0046275E"/>
    <w:rsid w:val="00475414"/>
    <w:rsid w:val="004B5388"/>
    <w:rsid w:val="004C5533"/>
    <w:rsid w:val="004E049D"/>
    <w:rsid w:val="004E297F"/>
    <w:rsid w:val="004E423F"/>
    <w:rsid w:val="004F0BB4"/>
    <w:rsid w:val="004F1C79"/>
    <w:rsid w:val="004F233B"/>
    <w:rsid w:val="004F308A"/>
    <w:rsid w:val="0050320D"/>
    <w:rsid w:val="005343F7"/>
    <w:rsid w:val="005534F4"/>
    <w:rsid w:val="0058136C"/>
    <w:rsid w:val="0058522E"/>
    <w:rsid w:val="005857F0"/>
    <w:rsid w:val="005D02C9"/>
    <w:rsid w:val="005D49F0"/>
    <w:rsid w:val="006135F7"/>
    <w:rsid w:val="00620165"/>
    <w:rsid w:val="00642CE2"/>
    <w:rsid w:val="00650692"/>
    <w:rsid w:val="00652250"/>
    <w:rsid w:val="00664CCE"/>
    <w:rsid w:val="00667B70"/>
    <w:rsid w:val="006743EB"/>
    <w:rsid w:val="006A69BB"/>
    <w:rsid w:val="006B0D8A"/>
    <w:rsid w:val="00704777"/>
    <w:rsid w:val="00715A5D"/>
    <w:rsid w:val="00717790"/>
    <w:rsid w:val="00734AED"/>
    <w:rsid w:val="0074610F"/>
    <w:rsid w:val="00753FB4"/>
    <w:rsid w:val="0077492B"/>
    <w:rsid w:val="007817D6"/>
    <w:rsid w:val="00785DAA"/>
    <w:rsid w:val="007A77C5"/>
    <w:rsid w:val="007B408A"/>
    <w:rsid w:val="007C5281"/>
    <w:rsid w:val="007D3448"/>
    <w:rsid w:val="007D7014"/>
    <w:rsid w:val="007F578F"/>
    <w:rsid w:val="00827E1A"/>
    <w:rsid w:val="008365F6"/>
    <w:rsid w:val="00837A5F"/>
    <w:rsid w:val="00847169"/>
    <w:rsid w:val="00881973"/>
    <w:rsid w:val="00885F0D"/>
    <w:rsid w:val="00897D84"/>
    <w:rsid w:val="008B1AAD"/>
    <w:rsid w:val="008C0A03"/>
    <w:rsid w:val="008D6004"/>
    <w:rsid w:val="008E1B70"/>
    <w:rsid w:val="008F5108"/>
    <w:rsid w:val="00902DFC"/>
    <w:rsid w:val="00923579"/>
    <w:rsid w:val="009359BB"/>
    <w:rsid w:val="009359F1"/>
    <w:rsid w:val="00937E9C"/>
    <w:rsid w:val="00944260"/>
    <w:rsid w:val="00950F9D"/>
    <w:rsid w:val="00953B86"/>
    <w:rsid w:val="00955029"/>
    <w:rsid w:val="009562C4"/>
    <w:rsid w:val="00960884"/>
    <w:rsid w:val="00967D45"/>
    <w:rsid w:val="009B0BF4"/>
    <w:rsid w:val="009D4235"/>
    <w:rsid w:val="009F27C9"/>
    <w:rsid w:val="009F4D04"/>
    <w:rsid w:val="009F5DEC"/>
    <w:rsid w:val="00A8300D"/>
    <w:rsid w:val="00A84DDE"/>
    <w:rsid w:val="00A9421D"/>
    <w:rsid w:val="00A95C4B"/>
    <w:rsid w:val="00AB1E8E"/>
    <w:rsid w:val="00AB37F5"/>
    <w:rsid w:val="00AD170E"/>
    <w:rsid w:val="00AE5671"/>
    <w:rsid w:val="00AF15C4"/>
    <w:rsid w:val="00B20474"/>
    <w:rsid w:val="00B26FF6"/>
    <w:rsid w:val="00B3347F"/>
    <w:rsid w:val="00B4389D"/>
    <w:rsid w:val="00B44B5D"/>
    <w:rsid w:val="00B62B40"/>
    <w:rsid w:val="00B6436F"/>
    <w:rsid w:val="00B72D1D"/>
    <w:rsid w:val="00B82E42"/>
    <w:rsid w:val="00B918AB"/>
    <w:rsid w:val="00B9651B"/>
    <w:rsid w:val="00BA6F42"/>
    <w:rsid w:val="00BA7DF2"/>
    <w:rsid w:val="00BC158C"/>
    <w:rsid w:val="00BC1934"/>
    <w:rsid w:val="00BD292A"/>
    <w:rsid w:val="00BF616D"/>
    <w:rsid w:val="00BF79BB"/>
    <w:rsid w:val="00C03984"/>
    <w:rsid w:val="00C35FCC"/>
    <w:rsid w:val="00C36320"/>
    <w:rsid w:val="00C36356"/>
    <w:rsid w:val="00C531BD"/>
    <w:rsid w:val="00C60227"/>
    <w:rsid w:val="00C60E3C"/>
    <w:rsid w:val="00C71BD8"/>
    <w:rsid w:val="00C93F01"/>
    <w:rsid w:val="00C97FBE"/>
    <w:rsid w:val="00CC4E3B"/>
    <w:rsid w:val="00CC5070"/>
    <w:rsid w:val="00CE6A3D"/>
    <w:rsid w:val="00D105EE"/>
    <w:rsid w:val="00D179D9"/>
    <w:rsid w:val="00D26F27"/>
    <w:rsid w:val="00D50249"/>
    <w:rsid w:val="00D53F23"/>
    <w:rsid w:val="00D93288"/>
    <w:rsid w:val="00D9444D"/>
    <w:rsid w:val="00DA5742"/>
    <w:rsid w:val="00DD73EE"/>
    <w:rsid w:val="00DE2393"/>
    <w:rsid w:val="00DE7A02"/>
    <w:rsid w:val="00DF77E2"/>
    <w:rsid w:val="00E0665E"/>
    <w:rsid w:val="00E25A3B"/>
    <w:rsid w:val="00E43DCB"/>
    <w:rsid w:val="00E53489"/>
    <w:rsid w:val="00E67B06"/>
    <w:rsid w:val="00E83759"/>
    <w:rsid w:val="00E85F43"/>
    <w:rsid w:val="00E86D0E"/>
    <w:rsid w:val="00E93D35"/>
    <w:rsid w:val="00E961F6"/>
    <w:rsid w:val="00EB4E64"/>
    <w:rsid w:val="00ED0789"/>
    <w:rsid w:val="00ED4B01"/>
    <w:rsid w:val="00ED7DF3"/>
    <w:rsid w:val="00EE5B63"/>
    <w:rsid w:val="00EE6A37"/>
    <w:rsid w:val="00EF345D"/>
    <w:rsid w:val="00F008C3"/>
    <w:rsid w:val="00F43E6C"/>
    <w:rsid w:val="00F6019F"/>
    <w:rsid w:val="00F63DF7"/>
    <w:rsid w:val="00F663E8"/>
    <w:rsid w:val="00F755D0"/>
    <w:rsid w:val="00F97966"/>
    <w:rsid w:val="00FB280D"/>
    <w:rsid w:val="00FC3EA9"/>
    <w:rsid w:val="00FC6133"/>
    <w:rsid w:val="00FD3598"/>
    <w:rsid w:val="00FE5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23"/>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D53F23"/>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D53F23"/>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D53F23"/>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D53F23"/>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D53F23"/>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53F23"/>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D53F23"/>
    <w:pPr>
      <w:ind w:left="720"/>
      <w:contextualSpacing/>
    </w:pPr>
  </w:style>
  <w:style w:type="character" w:styleId="CommentReference">
    <w:name w:val="annotation reference"/>
    <w:basedOn w:val="DefaultParagraphFont"/>
    <w:uiPriority w:val="99"/>
    <w:semiHidden/>
    <w:unhideWhenUsed/>
    <w:rsid w:val="00391CB1"/>
    <w:rPr>
      <w:sz w:val="16"/>
      <w:szCs w:val="16"/>
    </w:rPr>
  </w:style>
  <w:style w:type="paragraph" w:styleId="CommentText">
    <w:name w:val="annotation text"/>
    <w:basedOn w:val="Normal"/>
    <w:link w:val="CommentTextChar"/>
    <w:uiPriority w:val="99"/>
    <w:semiHidden/>
    <w:unhideWhenUsed/>
    <w:rsid w:val="00391CB1"/>
    <w:rPr>
      <w:sz w:val="20"/>
      <w:szCs w:val="20"/>
    </w:rPr>
  </w:style>
  <w:style w:type="character" w:customStyle="1" w:styleId="CommentTextChar">
    <w:name w:val="Comment Text Char"/>
    <w:basedOn w:val="DefaultParagraphFont"/>
    <w:link w:val="CommentText"/>
    <w:uiPriority w:val="99"/>
    <w:semiHidden/>
    <w:rsid w:val="00391C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1CB1"/>
    <w:rPr>
      <w:b/>
      <w:bCs/>
    </w:rPr>
  </w:style>
  <w:style w:type="character" w:customStyle="1" w:styleId="CommentSubjectChar">
    <w:name w:val="Comment Subject Char"/>
    <w:basedOn w:val="CommentTextChar"/>
    <w:link w:val="CommentSubject"/>
    <w:uiPriority w:val="99"/>
    <w:semiHidden/>
    <w:rsid w:val="00391CB1"/>
    <w:rPr>
      <w:rFonts w:ascii="Arial" w:hAnsi="Arial"/>
      <w:b/>
      <w:bCs/>
      <w:sz w:val="20"/>
      <w:szCs w:val="20"/>
    </w:rPr>
  </w:style>
  <w:style w:type="paragraph" w:styleId="BalloonText">
    <w:name w:val="Balloon Text"/>
    <w:basedOn w:val="Normal"/>
    <w:link w:val="BalloonTextChar"/>
    <w:uiPriority w:val="99"/>
    <w:semiHidden/>
    <w:unhideWhenUsed/>
    <w:rsid w:val="00391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B1"/>
    <w:rPr>
      <w:rFonts w:ascii="Tahoma" w:hAnsi="Tahoma" w:cs="Tahoma"/>
      <w:sz w:val="16"/>
      <w:szCs w:val="16"/>
    </w:rPr>
  </w:style>
  <w:style w:type="paragraph" w:styleId="Header">
    <w:name w:val="header"/>
    <w:basedOn w:val="Normal"/>
    <w:link w:val="HeaderChar"/>
    <w:uiPriority w:val="99"/>
    <w:unhideWhenUsed/>
    <w:rsid w:val="0037478D"/>
    <w:pPr>
      <w:tabs>
        <w:tab w:val="center" w:pos="4513"/>
        <w:tab w:val="right" w:pos="9026"/>
      </w:tabs>
      <w:spacing w:after="0"/>
    </w:pPr>
  </w:style>
  <w:style w:type="character" w:customStyle="1" w:styleId="HeaderChar">
    <w:name w:val="Header Char"/>
    <w:basedOn w:val="DefaultParagraphFont"/>
    <w:link w:val="Header"/>
    <w:uiPriority w:val="99"/>
    <w:rsid w:val="0037478D"/>
    <w:rPr>
      <w:rFonts w:ascii="Arial" w:hAnsi="Arial"/>
      <w:sz w:val="24"/>
    </w:rPr>
  </w:style>
  <w:style w:type="paragraph" w:styleId="Footer">
    <w:name w:val="footer"/>
    <w:basedOn w:val="Normal"/>
    <w:link w:val="FooterChar"/>
    <w:uiPriority w:val="99"/>
    <w:unhideWhenUsed/>
    <w:rsid w:val="0037478D"/>
    <w:pPr>
      <w:tabs>
        <w:tab w:val="center" w:pos="4513"/>
        <w:tab w:val="right" w:pos="9026"/>
      </w:tabs>
      <w:spacing w:after="0"/>
    </w:pPr>
  </w:style>
  <w:style w:type="character" w:customStyle="1" w:styleId="FooterChar">
    <w:name w:val="Footer Char"/>
    <w:basedOn w:val="DefaultParagraphFont"/>
    <w:link w:val="Footer"/>
    <w:uiPriority w:val="99"/>
    <w:rsid w:val="0037478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23"/>
    <w:pPr>
      <w:spacing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3F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inition">
    <w:name w:val="Definition"/>
    <w:aliases w:val="dd"/>
    <w:basedOn w:val="Normal"/>
    <w:rsid w:val="00D53F23"/>
    <w:pPr>
      <w:spacing w:before="180" w:after="0"/>
      <w:ind w:left="1134"/>
    </w:pPr>
    <w:rPr>
      <w:rFonts w:ascii="Times New Roman" w:eastAsia="Times New Roman" w:hAnsi="Times New Roman" w:cs="Times New Roman"/>
      <w:sz w:val="22"/>
      <w:szCs w:val="20"/>
      <w:lang w:eastAsia="en-AU"/>
    </w:rPr>
  </w:style>
  <w:style w:type="paragraph" w:customStyle="1" w:styleId="paragraphsub">
    <w:name w:val="paragraph(sub)"/>
    <w:aliases w:val="aa"/>
    <w:basedOn w:val="Normal"/>
    <w:rsid w:val="00D53F23"/>
    <w:pPr>
      <w:tabs>
        <w:tab w:val="right" w:pos="1985"/>
      </w:tabs>
      <w:spacing w:before="40" w:after="0"/>
      <w:ind w:left="2098" w:hanging="2098"/>
    </w:pPr>
    <w:rPr>
      <w:rFonts w:ascii="Times New Roman" w:eastAsia="Times New Roman" w:hAnsi="Times New Roman" w:cs="Times New Roman"/>
      <w:sz w:val="22"/>
      <w:szCs w:val="20"/>
      <w:lang w:eastAsia="en-AU"/>
    </w:rPr>
  </w:style>
  <w:style w:type="paragraph" w:customStyle="1" w:styleId="paragraph">
    <w:name w:val="paragraph"/>
    <w:aliases w:val="a"/>
    <w:basedOn w:val="Normal"/>
    <w:rsid w:val="00D53F23"/>
    <w:pPr>
      <w:tabs>
        <w:tab w:val="right" w:pos="1531"/>
      </w:tabs>
      <w:spacing w:before="40" w:after="0"/>
      <w:ind w:left="1644" w:hanging="1644"/>
    </w:pPr>
    <w:rPr>
      <w:rFonts w:ascii="Times New Roman" w:eastAsia="Times New Roman" w:hAnsi="Times New Roman" w:cs="Times New Roman"/>
      <w:sz w:val="22"/>
      <w:szCs w:val="20"/>
      <w:lang w:eastAsia="en-AU"/>
    </w:rPr>
  </w:style>
  <w:style w:type="paragraph" w:customStyle="1" w:styleId="subsection2">
    <w:name w:val="subsection2"/>
    <w:aliases w:val="ss2"/>
    <w:basedOn w:val="Normal"/>
    <w:next w:val="Normal"/>
    <w:rsid w:val="00D53F23"/>
    <w:pPr>
      <w:spacing w:before="40" w:after="0"/>
      <w:ind w:left="1134"/>
    </w:pPr>
    <w:rPr>
      <w:rFonts w:ascii="Times New Roman" w:eastAsia="Times New Roman" w:hAnsi="Times New Roman" w:cs="Times New Roman"/>
      <w:sz w:val="22"/>
      <w:szCs w:val="20"/>
      <w:lang w:eastAsia="en-AU"/>
    </w:rPr>
  </w:style>
  <w:style w:type="paragraph" w:customStyle="1" w:styleId="notetext">
    <w:name w:val="note(text)"/>
    <w:aliases w:val="n"/>
    <w:basedOn w:val="Normal"/>
    <w:link w:val="notetextChar"/>
    <w:rsid w:val="00D53F23"/>
    <w:pPr>
      <w:spacing w:before="122" w:after="0"/>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link w:val="notetext"/>
    <w:rsid w:val="00D53F23"/>
    <w:rPr>
      <w:rFonts w:ascii="Times New Roman" w:eastAsia="Times New Roman" w:hAnsi="Times New Roman" w:cs="Times New Roman"/>
      <w:sz w:val="18"/>
      <w:szCs w:val="20"/>
      <w:lang w:eastAsia="en-AU"/>
    </w:rPr>
  </w:style>
  <w:style w:type="paragraph" w:styleId="ListParagraph">
    <w:name w:val="List Paragraph"/>
    <w:basedOn w:val="Normal"/>
    <w:uiPriority w:val="34"/>
    <w:qFormat/>
    <w:rsid w:val="00D53F23"/>
    <w:pPr>
      <w:ind w:left="720"/>
      <w:contextualSpacing/>
    </w:pPr>
  </w:style>
  <w:style w:type="character" w:styleId="CommentReference">
    <w:name w:val="annotation reference"/>
    <w:basedOn w:val="DefaultParagraphFont"/>
    <w:uiPriority w:val="99"/>
    <w:semiHidden/>
    <w:unhideWhenUsed/>
    <w:rsid w:val="00391CB1"/>
    <w:rPr>
      <w:sz w:val="16"/>
      <w:szCs w:val="16"/>
    </w:rPr>
  </w:style>
  <w:style w:type="paragraph" w:styleId="CommentText">
    <w:name w:val="annotation text"/>
    <w:basedOn w:val="Normal"/>
    <w:link w:val="CommentTextChar"/>
    <w:uiPriority w:val="99"/>
    <w:semiHidden/>
    <w:unhideWhenUsed/>
    <w:rsid w:val="00391CB1"/>
    <w:rPr>
      <w:sz w:val="20"/>
      <w:szCs w:val="20"/>
    </w:rPr>
  </w:style>
  <w:style w:type="character" w:customStyle="1" w:styleId="CommentTextChar">
    <w:name w:val="Comment Text Char"/>
    <w:basedOn w:val="DefaultParagraphFont"/>
    <w:link w:val="CommentText"/>
    <w:uiPriority w:val="99"/>
    <w:semiHidden/>
    <w:rsid w:val="00391CB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91CB1"/>
    <w:rPr>
      <w:b/>
      <w:bCs/>
    </w:rPr>
  </w:style>
  <w:style w:type="character" w:customStyle="1" w:styleId="CommentSubjectChar">
    <w:name w:val="Comment Subject Char"/>
    <w:basedOn w:val="CommentTextChar"/>
    <w:link w:val="CommentSubject"/>
    <w:uiPriority w:val="99"/>
    <w:semiHidden/>
    <w:rsid w:val="00391CB1"/>
    <w:rPr>
      <w:rFonts w:ascii="Arial" w:hAnsi="Arial"/>
      <w:b/>
      <w:bCs/>
      <w:sz w:val="20"/>
      <w:szCs w:val="20"/>
    </w:rPr>
  </w:style>
  <w:style w:type="paragraph" w:styleId="BalloonText">
    <w:name w:val="Balloon Text"/>
    <w:basedOn w:val="Normal"/>
    <w:link w:val="BalloonTextChar"/>
    <w:uiPriority w:val="99"/>
    <w:semiHidden/>
    <w:unhideWhenUsed/>
    <w:rsid w:val="00391C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B1"/>
    <w:rPr>
      <w:rFonts w:ascii="Tahoma" w:hAnsi="Tahoma" w:cs="Tahoma"/>
      <w:sz w:val="16"/>
      <w:szCs w:val="16"/>
    </w:rPr>
  </w:style>
  <w:style w:type="paragraph" w:styleId="Header">
    <w:name w:val="header"/>
    <w:basedOn w:val="Normal"/>
    <w:link w:val="HeaderChar"/>
    <w:uiPriority w:val="99"/>
    <w:unhideWhenUsed/>
    <w:rsid w:val="0037478D"/>
    <w:pPr>
      <w:tabs>
        <w:tab w:val="center" w:pos="4513"/>
        <w:tab w:val="right" w:pos="9026"/>
      </w:tabs>
      <w:spacing w:after="0"/>
    </w:pPr>
  </w:style>
  <w:style w:type="character" w:customStyle="1" w:styleId="HeaderChar">
    <w:name w:val="Header Char"/>
    <w:basedOn w:val="DefaultParagraphFont"/>
    <w:link w:val="Header"/>
    <w:uiPriority w:val="99"/>
    <w:rsid w:val="0037478D"/>
    <w:rPr>
      <w:rFonts w:ascii="Arial" w:hAnsi="Arial"/>
      <w:sz w:val="24"/>
    </w:rPr>
  </w:style>
  <w:style w:type="paragraph" w:styleId="Footer">
    <w:name w:val="footer"/>
    <w:basedOn w:val="Normal"/>
    <w:link w:val="FooterChar"/>
    <w:uiPriority w:val="99"/>
    <w:unhideWhenUsed/>
    <w:rsid w:val="0037478D"/>
    <w:pPr>
      <w:tabs>
        <w:tab w:val="center" w:pos="4513"/>
        <w:tab w:val="right" w:pos="9026"/>
      </w:tabs>
      <w:spacing w:after="0"/>
    </w:pPr>
  </w:style>
  <w:style w:type="character" w:customStyle="1" w:styleId="FooterChar">
    <w:name w:val="Footer Char"/>
    <w:basedOn w:val="DefaultParagraphFont"/>
    <w:link w:val="Footer"/>
    <w:uiPriority w:val="99"/>
    <w:rsid w:val="0037478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7354">
      <w:bodyDiv w:val="1"/>
      <w:marLeft w:val="0"/>
      <w:marRight w:val="0"/>
      <w:marTop w:val="0"/>
      <w:marBottom w:val="0"/>
      <w:divBdr>
        <w:top w:val="none" w:sz="0" w:space="0" w:color="auto"/>
        <w:left w:val="none" w:sz="0" w:space="0" w:color="auto"/>
        <w:bottom w:val="none" w:sz="0" w:space="0" w:color="auto"/>
        <w:right w:val="none" w:sz="0" w:space="0" w:color="auto"/>
      </w:divBdr>
      <w:divsChild>
        <w:div w:id="1441412408">
          <w:marLeft w:val="0"/>
          <w:marRight w:val="0"/>
          <w:marTop w:val="0"/>
          <w:marBottom w:val="0"/>
          <w:divBdr>
            <w:top w:val="none" w:sz="0" w:space="0" w:color="auto"/>
            <w:left w:val="none" w:sz="0" w:space="0" w:color="auto"/>
            <w:bottom w:val="none" w:sz="0" w:space="0" w:color="auto"/>
            <w:right w:val="none" w:sz="0" w:space="0" w:color="auto"/>
          </w:divBdr>
          <w:divsChild>
            <w:div w:id="1375033526">
              <w:marLeft w:val="0"/>
              <w:marRight w:val="0"/>
              <w:marTop w:val="0"/>
              <w:marBottom w:val="0"/>
              <w:divBdr>
                <w:top w:val="none" w:sz="0" w:space="0" w:color="auto"/>
                <w:left w:val="none" w:sz="0" w:space="0" w:color="auto"/>
                <w:bottom w:val="none" w:sz="0" w:space="0" w:color="auto"/>
                <w:right w:val="none" w:sz="0" w:space="0" w:color="auto"/>
              </w:divBdr>
              <w:divsChild>
                <w:div w:id="1688168838">
                  <w:marLeft w:val="0"/>
                  <w:marRight w:val="0"/>
                  <w:marTop w:val="0"/>
                  <w:marBottom w:val="0"/>
                  <w:divBdr>
                    <w:top w:val="none" w:sz="0" w:space="0" w:color="auto"/>
                    <w:left w:val="none" w:sz="0" w:space="0" w:color="auto"/>
                    <w:bottom w:val="none" w:sz="0" w:space="0" w:color="auto"/>
                    <w:right w:val="none" w:sz="0" w:space="0" w:color="auto"/>
                  </w:divBdr>
                  <w:divsChild>
                    <w:div w:id="826671227">
                      <w:marLeft w:val="0"/>
                      <w:marRight w:val="0"/>
                      <w:marTop w:val="0"/>
                      <w:marBottom w:val="0"/>
                      <w:divBdr>
                        <w:top w:val="none" w:sz="0" w:space="0" w:color="auto"/>
                        <w:left w:val="none" w:sz="0" w:space="0" w:color="auto"/>
                        <w:bottom w:val="none" w:sz="0" w:space="0" w:color="auto"/>
                        <w:right w:val="none" w:sz="0" w:space="0" w:color="auto"/>
                      </w:divBdr>
                      <w:divsChild>
                        <w:div w:id="283050032">
                          <w:marLeft w:val="0"/>
                          <w:marRight w:val="0"/>
                          <w:marTop w:val="0"/>
                          <w:marBottom w:val="0"/>
                          <w:divBdr>
                            <w:top w:val="none" w:sz="0" w:space="0" w:color="auto"/>
                            <w:left w:val="none" w:sz="0" w:space="0" w:color="auto"/>
                            <w:bottom w:val="none" w:sz="0" w:space="0" w:color="auto"/>
                            <w:right w:val="none" w:sz="0" w:space="0" w:color="auto"/>
                          </w:divBdr>
                          <w:divsChild>
                            <w:div w:id="1515925267">
                              <w:marLeft w:val="0"/>
                              <w:marRight w:val="0"/>
                              <w:marTop w:val="0"/>
                              <w:marBottom w:val="0"/>
                              <w:divBdr>
                                <w:top w:val="none" w:sz="0" w:space="0" w:color="auto"/>
                                <w:left w:val="none" w:sz="0" w:space="0" w:color="auto"/>
                                <w:bottom w:val="none" w:sz="0" w:space="0" w:color="auto"/>
                                <w:right w:val="none" w:sz="0" w:space="0" w:color="auto"/>
                              </w:divBdr>
                              <w:divsChild>
                                <w:div w:id="423234470">
                                  <w:marLeft w:val="0"/>
                                  <w:marRight w:val="0"/>
                                  <w:marTop w:val="0"/>
                                  <w:marBottom w:val="0"/>
                                  <w:divBdr>
                                    <w:top w:val="none" w:sz="0" w:space="0" w:color="auto"/>
                                    <w:left w:val="none" w:sz="0" w:space="0" w:color="auto"/>
                                    <w:bottom w:val="none" w:sz="0" w:space="0" w:color="auto"/>
                                    <w:right w:val="none" w:sz="0" w:space="0" w:color="auto"/>
                                  </w:divBdr>
                                  <w:divsChild>
                                    <w:div w:id="622886538">
                                      <w:marLeft w:val="0"/>
                                      <w:marRight w:val="0"/>
                                      <w:marTop w:val="0"/>
                                      <w:marBottom w:val="0"/>
                                      <w:divBdr>
                                        <w:top w:val="none" w:sz="0" w:space="0" w:color="auto"/>
                                        <w:left w:val="none" w:sz="0" w:space="0" w:color="auto"/>
                                        <w:bottom w:val="none" w:sz="0" w:space="0" w:color="auto"/>
                                        <w:right w:val="none" w:sz="0" w:space="0" w:color="auto"/>
                                      </w:divBdr>
                                      <w:divsChild>
                                        <w:div w:id="1935481148">
                                          <w:marLeft w:val="0"/>
                                          <w:marRight w:val="0"/>
                                          <w:marTop w:val="0"/>
                                          <w:marBottom w:val="0"/>
                                          <w:divBdr>
                                            <w:top w:val="none" w:sz="0" w:space="0" w:color="auto"/>
                                            <w:left w:val="none" w:sz="0" w:space="0" w:color="auto"/>
                                            <w:bottom w:val="none" w:sz="0" w:space="0" w:color="auto"/>
                                            <w:right w:val="none" w:sz="0" w:space="0" w:color="auto"/>
                                          </w:divBdr>
                                          <w:divsChild>
                                            <w:div w:id="2000186061">
                                              <w:marLeft w:val="0"/>
                                              <w:marRight w:val="0"/>
                                              <w:marTop w:val="0"/>
                                              <w:marBottom w:val="0"/>
                                              <w:divBdr>
                                                <w:top w:val="none" w:sz="0" w:space="0" w:color="auto"/>
                                                <w:left w:val="none" w:sz="0" w:space="0" w:color="auto"/>
                                                <w:bottom w:val="none" w:sz="0" w:space="0" w:color="auto"/>
                                                <w:right w:val="none" w:sz="0" w:space="0" w:color="auto"/>
                                              </w:divBdr>
                                              <w:divsChild>
                                                <w:div w:id="1759978405">
                                                  <w:marLeft w:val="0"/>
                                                  <w:marRight w:val="0"/>
                                                  <w:marTop w:val="0"/>
                                                  <w:marBottom w:val="0"/>
                                                  <w:divBdr>
                                                    <w:top w:val="none" w:sz="0" w:space="0" w:color="auto"/>
                                                    <w:left w:val="none" w:sz="0" w:space="0" w:color="auto"/>
                                                    <w:bottom w:val="none" w:sz="0" w:space="0" w:color="auto"/>
                                                    <w:right w:val="none" w:sz="0" w:space="0" w:color="auto"/>
                                                  </w:divBdr>
                                                  <w:divsChild>
                                                    <w:div w:id="471750525">
                                                      <w:marLeft w:val="0"/>
                                                      <w:marRight w:val="0"/>
                                                      <w:marTop w:val="0"/>
                                                      <w:marBottom w:val="0"/>
                                                      <w:divBdr>
                                                        <w:top w:val="none" w:sz="0" w:space="0" w:color="auto"/>
                                                        <w:left w:val="none" w:sz="0" w:space="0" w:color="auto"/>
                                                        <w:bottom w:val="none" w:sz="0" w:space="0" w:color="auto"/>
                                                        <w:right w:val="none" w:sz="0" w:space="0" w:color="auto"/>
                                                      </w:divBdr>
                                                      <w:divsChild>
                                                        <w:div w:id="208032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008715">
      <w:bodyDiv w:val="1"/>
      <w:marLeft w:val="0"/>
      <w:marRight w:val="0"/>
      <w:marTop w:val="0"/>
      <w:marBottom w:val="0"/>
      <w:divBdr>
        <w:top w:val="none" w:sz="0" w:space="0" w:color="auto"/>
        <w:left w:val="none" w:sz="0" w:space="0" w:color="auto"/>
        <w:bottom w:val="none" w:sz="0" w:space="0" w:color="auto"/>
        <w:right w:val="none" w:sz="0" w:space="0" w:color="auto"/>
      </w:divBdr>
    </w:div>
    <w:div w:id="1882672995">
      <w:bodyDiv w:val="1"/>
      <w:marLeft w:val="0"/>
      <w:marRight w:val="0"/>
      <w:marTop w:val="0"/>
      <w:marBottom w:val="0"/>
      <w:divBdr>
        <w:top w:val="none" w:sz="0" w:space="0" w:color="auto"/>
        <w:left w:val="none" w:sz="0" w:space="0" w:color="auto"/>
        <w:bottom w:val="none" w:sz="0" w:space="0" w:color="auto"/>
        <w:right w:val="none" w:sz="0" w:space="0" w:color="auto"/>
      </w:divBdr>
      <w:divsChild>
        <w:div w:id="471338038">
          <w:marLeft w:val="0"/>
          <w:marRight w:val="0"/>
          <w:marTop w:val="0"/>
          <w:marBottom w:val="0"/>
          <w:divBdr>
            <w:top w:val="none" w:sz="0" w:space="0" w:color="auto"/>
            <w:left w:val="none" w:sz="0" w:space="0" w:color="auto"/>
            <w:bottom w:val="none" w:sz="0" w:space="0" w:color="auto"/>
            <w:right w:val="none" w:sz="0" w:space="0" w:color="auto"/>
          </w:divBdr>
          <w:divsChild>
            <w:div w:id="248275585">
              <w:marLeft w:val="0"/>
              <w:marRight w:val="0"/>
              <w:marTop w:val="0"/>
              <w:marBottom w:val="0"/>
              <w:divBdr>
                <w:top w:val="none" w:sz="0" w:space="0" w:color="auto"/>
                <w:left w:val="none" w:sz="0" w:space="0" w:color="auto"/>
                <w:bottom w:val="none" w:sz="0" w:space="0" w:color="auto"/>
                <w:right w:val="none" w:sz="0" w:space="0" w:color="auto"/>
              </w:divBdr>
              <w:divsChild>
                <w:div w:id="1307969740">
                  <w:marLeft w:val="0"/>
                  <w:marRight w:val="0"/>
                  <w:marTop w:val="0"/>
                  <w:marBottom w:val="0"/>
                  <w:divBdr>
                    <w:top w:val="none" w:sz="0" w:space="0" w:color="auto"/>
                    <w:left w:val="none" w:sz="0" w:space="0" w:color="auto"/>
                    <w:bottom w:val="none" w:sz="0" w:space="0" w:color="auto"/>
                    <w:right w:val="none" w:sz="0" w:space="0" w:color="auto"/>
                  </w:divBdr>
                  <w:divsChild>
                    <w:div w:id="2110157664">
                      <w:marLeft w:val="0"/>
                      <w:marRight w:val="0"/>
                      <w:marTop w:val="0"/>
                      <w:marBottom w:val="0"/>
                      <w:divBdr>
                        <w:top w:val="none" w:sz="0" w:space="0" w:color="auto"/>
                        <w:left w:val="none" w:sz="0" w:space="0" w:color="auto"/>
                        <w:bottom w:val="none" w:sz="0" w:space="0" w:color="auto"/>
                        <w:right w:val="none" w:sz="0" w:space="0" w:color="auto"/>
                      </w:divBdr>
                      <w:divsChild>
                        <w:div w:id="1073088062">
                          <w:marLeft w:val="0"/>
                          <w:marRight w:val="0"/>
                          <w:marTop w:val="0"/>
                          <w:marBottom w:val="0"/>
                          <w:divBdr>
                            <w:top w:val="none" w:sz="0" w:space="0" w:color="auto"/>
                            <w:left w:val="none" w:sz="0" w:space="0" w:color="auto"/>
                            <w:bottom w:val="none" w:sz="0" w:space="0" w:color="auto"/>
                            <w:right w:val="none" w:sz="0" w:space="0" w:color="auto"/>
                          </w:divBdr>
                          <w:divsChild>
                            <w:div w:id="96365650">
                              <w:marLeft w:val="0"/>
                              <w:marRight w:val="0"/>
                              <w:marTop w:val="0"/>
                              <w:marBottom w:val="0"/>
                              <w:divBdr>
                                <w:top w:val="none" w:sz="0" w:space="0" w:color="auto"/>
                                <w:left w:val="none" w:sz="0" w:space="0" w:color="auto"/>
                                <w:bottom w:val="none" w:sz="0" w:space="0" w:color="auto"/>
                                <w:right w:val="none" w:sz="0" w:space="0" w:color="auto"/>
                              </w:divBdr>
                              <w:divsChild>
                                <w:div w:id="1695107891">
                                  <w:marLeft w:val="0"/>
                                  <w:marRight w:val="0"/>
                                  <w:marTop w:val="0"/>
                                  <w:marBottom w:val="0"/>
                                  <w:divBdr>
                                    <w:top w:val="none" w:sz="0" w:space="0" w:color="auto"/>
                                    <w:left w:val="none" w:sz="0" w:space="0" w:color="auto"/>
                                    <w:bottom w:val="none" w:sz="0" w:space="0" w:color="auto"/>
                                    <w:right w:val="none" w:sz="0" w:space="0" w:color="auto"/>
                                  </w:divBdr>
                                  <w:divsChild>
                                    <w:div w:id="1876038920">
                                      <w:marLeft w:val="0"/>
                                      <w:marRight w:val="0"/>
                                      <w:marTop w:val="0"/>
                                      <w:marBottom w:val="0"/>
                                      <w:divBdr>
                                        <w:top w:val="none" w:sz="0" w:space="0" w:color="auto"/>
                                        <w:left w:val="none" w:sz="0" w:space="0" w:color="auto"/>
                                        <w:bottom w:val="none" w:sz="0" w:space="0" w:color="auto"/>
                                        <w:right w:val="none" w:sz="0" w:space="0" w:color="auto"/>
                                      </w:divBdr>
                                      <w:divsChild>
                                        <w:div w:id="541944662">
                                          <w:marLeft w:val="0"/>
                                          <w:marRight w:val="0"/>
                                          <w:marTop w:val="0"/>
                                          <w:marBottom w:val="0"/>
                                          <w:divBdr>
                                            <w:top w:val="none" w:sz="0" w:space="0" w:color="auto"/>
                                            <w:left w:val="none" w:sz="0" w:space="0" w:color="auto"/>
                                            <w:bottom w:val="none" w:sz="0" w:space="0" w:color="auto"/>
                                            <w:right w:val="none" w:sz="0" w:space="0" w:color="auto"/>
                                          </w:divBdr>
                                          <w:divsChild>
                                            <w:div w:id="1319655494">
                                              <w:marLeft w:val="0"/>
                                              <w:marRight w:val="0"/>
                                              <w:marTop w:val="0"/>
                                              <w:marBottom w:val="0"/>
                                              <w:divBdr>
                                                <w:top w:val="none" w:sz="0" w:space="0" w:color="auto"/>
                                                <w:left w:val="none" w:sz="0" w:space="0" w:color="auto"/>
                                                <w:bottom w:val="none" w:sz="0" w:space="0" w:color="auto"/>
                                                <w:right w:val="none" w:sz="0" w:space="0" w:color="auto"/>
                                              </w:divBdr>
                                              <w:divsChild>
                                                <w:div w:id="1921021475">
                                                  <w:marLeft w:val="0"/>
                                                  <w:marRight w:val="0"/>
                                                  <w:marTop w:val="0"/>
                                                  <w:marBottom w:val="0"/>
                                                  <w:divBdr>
                                                    <w:top w:val="none" w:sz="0" w:space="0" w:color="auto"/>
                                                    <w:left w:val="none" w:sz="0" w:space="0" w:color="auto"/>
                                                    <w:bottom w:val="none" w:sz="0" w:space="0" w:color="auto"/>
                                                    <w:right w:val="none" w:sz="0" w:space="0" w:color="auto"/>
                                                  </w:divBdr>
                                                  <w:divsChild>
                                                    <w:div w:id="1069303322">
                                                      <w:marLeft w:val="0"/>
                                                      <w:marRight w:val="0"/>
                                                      <w:marTop w:val="0"/>
                                                      <w:marBottom w:val="0"/>
                                                      <w:divBdr>
                                                        <w:top w:val="none" w:sz="0" w:space="0" w:color="auto"/>
                                                        <w:left w:val="none" w:sz="0" w:space="0" w:color="auto"/>
                                                        <w:bottom w:val="none" w:sz="0" w:space="0" w:color="auto"/>
                                                        <w:right w:val="none" w:sz="0" w:space="0" w:color="auto"/>
                                                      </w:divBdr>
                                                      <w:divsChild>
                                                        <w:div w:id="10999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596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5737</Words>
  <Characters>32702</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maybec</dc:creator>
  <cp:lastModifiedBy>maybec</cp:lastModifiedBy>
  <cp:revision>2</cp:revision>
  <dcterms:created xsi:type="dcterms:W3CDTF">2018-12-06T23:47:00Z</dcterms:created>
  <dcterms:modified xsi:type="dcterms:W3CDTF">2018-12-06T23:47:00Z</dcterms:modified>
</cp:coreProperties>
</file>