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CFF" w:rsidRPr="00C75BC3" w:rsidRDefault="00340CFF" w:rsidP="0084668D">
      <w:pPr>
        <w:shd w:val="clear" w:color="auto" w:fill="FFFFFF"/>
        <w:spacing w:after="0" w:line="240" w:lineRule="auto"/>
        <w:jc w:val="center"/>
        <w:rPr>
          <w:rFonts w:ascii="Helvetica Neue" w:eastAsia="Times New Roman" w:hAnsi="Helvetica Neue"/>
          <w:b/>
          <w:sz w:val="19"/>
          <w:szCs w:val="19"/>
          <w:u w:val="single"/>
          <w:lang w:val="en-US" w:eastAsia="en-AU"/>
        </w:rPr>
      </w:pPr>
      <w:r w:rsidRPr="00C75BC3">
        <w:rPr>
          <w:rFonts w:eastAsia="Times New Roman"/>
          <w:b/>
          <w:bCs/>
          <w:caps/>
          <w:u w:val="single"/>
          <w:lang w:eastAsia="en-AU"/>
        </w:rPr>
        <w:t>Explanatory Statement</w:t>
      </w:r>
    </w:p>
    <w:p w:rsidR="00340CFF" w:rsidRPr="0084668D" w:rsidRDefault="00340CFF" w:rsidP="0084668D">
      <w:pPr>
        <w:shd w:val="clear" w:color="auto" w:fill="FFFFFF"/>
        <w:spacing w:after="0" w:line="240" w:lineRule="auto"/>
        <w:jc w:val="center"/>
        <w:rPr>
          <w:rFonts w:ascii="Helvetica Neue" w:eastAsia="Times New Roman" w:hAnsi="Helvetica Neue"/>
          <w:sz w:val="19"/>
          <w:szCs w:val="19"/>
          <w:lang w:val="en-US" w:eastAsia="en-AU"/>
        </w:rPr>
      </w:pPr>
      <w:r w:rsidRPr="0084668D">
        <w:rPr>
          <w:rFonts w:eastAsia="Times New Roman"/>
          <w:b/>
          <w:bCs/>
          <w:caps/>
          <w:lang w:eastAsia="en-AU"/>
        </w:rPr>
        <w:t> </w:t>
      </w:r>
    </w:p>
    <w:p w:rsidR="0031699B" w:rsidRPr="0084668D" w:rsidRDefault="00340CFF" w:rsidP="0084668D">
      <w:pPr>
        <w:pStyle w:val="FootnoteText"/>
        <w:rPr>
          <w:sz w:val="24"/>
          <w:szCs w:val="24"/>
          <w:lang w:eastAsia="en-AU"/>
        </w:rPr>
      </w:pPr>
      <w:r w:rsidRPr="0084668D">
        <w:rPr>
          <w:sz w:val="24"/>
          <w:szCs w:val="24"/>
          <w:lang w:eastAsia="en-AU"/>
        </w:rPr>
        <w:t xml:space="preserve">Issued by Authority of the Minister </w:t>
      </w:r>
      <w:r w:rsidR="0031699B" w:rsidRPr="0084668D">
        <w:rPr>
          <w:sz w:val="24"/>
          <w:szCs w:val="24"/>
          <w:lang w:eastAsia="en-AU"/>
        </w:rPr>
        <w:t>for Regional Services, Sport, Local Government and Decentralisation</w:t>
      </w:r>
    </w:p>
    <w:p w:rsidR="00340CFF" w:rsidRPr="0084668D" w:rsidRDefault="00340CFF" w:rsidP="0084668D">
      <w:pPr>
        <w:shd w:val="clear" w:color="auto" w:fill="FFFFFF"/>
        <w:spacing w:after="0" w:line="240" w:lineRule="auto"/>
        <w:jc w:val="center"/>
        <w:rPr>
          <w:rFonts w:ascii="Helvetica Neue" w:eastAsia="Times New Roman" w:hAnsi="Helvetica Neue"/>
          <w:sz w:val="19"/>
          <w:szCs w:val="19"/>
          <w:lang w:val="en-US" w:eastAsia="en-AU"/>
        </w:rPr>
      </w:pPr>
    </w:p>
    <w:p w:rsidR="00340CFF" w:rsidRPr="0084668D" w:rsidRDefault="00340CFF" w:rsidP="0084668D">
      <w:pPr>
        <w:shd w:val="clear" w:color="auto" w:fill="FFFFFF"/>
        <w:spacing w:after="0" w:line="240" w:lineRule="auto"/>
        <w:jc w:val="center"/>
        <w:rPr>
          <w:rFonts w:ascii="Helvetica Neue" w:eastAsia="Times New Roman" w:hAnsi="Helvetica Neue"/>
          <w:b/>
          <w:sz w:val="19"/>
          <w:szCs w:val="19"/>
          <w:lang w:val="en-US" w:eastAsia="en-AU"/>
        </w:rPr>
      </w:pPr>
      <w:r w:rsidRPr="0084668D">
        <w:rPr>
          <w:rFonts w:eastAsia="Times New Roman"/>
          <w:b/>
          <w:lang w:eastAsia="en-AU"/>
        </w:rPr>
        <w:t> </w:t>
      </w:r>
      <w:r w:rsidR="0031699B" w:rsidRPr="0084668D">
        <w:rPr>
          <w:rFonts w:eastAsia="Times New Roman"/>
          <w:b/>
          <w:i/>
          <w:iCs/>
          <w:snapToGrid w:val="0"/>
          <w:color w:val="000000"/>
          <w:lang w:eastAsia="en-AU"/>
        </w:rPr>
        <w:t>Tobacco Plain Packaging Act 2011</w:t>
      </w:r>
    </w:p>
    <w:p w:rsidR="00340CFF" w:rsidRPr="0084668D" w:rsidRDefault="00340CFF" w:rsidP="0084668D">
      <w:pPr>
        <w:shd w:val="clear" w:color="auto" w:fill="FFFFFF"/>
        <w:spacing w:after="0" w:line="240" w:lineRule="auto"/>
        <w:jc w:val="center"/>
        <w:rPr>
          <w:rFonts w:ascii="Helvetica Neue" w:eastAsia="Times New Roman" w:hAnsi="Helvetica Neue"/>
          <w:b/>
          <w:sz w:val="19"/>
          <w:szCs w:val="19"/>
          <w:lang w:val="en-US" w:eastAsia="en-AU"/>
        </w:rPr>
      </w:pPr>
      <w:r w:rsidRPr="0084668D">
        <w:rPr>
          <w:rFonts w:eastAsia="Times New Roman"/>
          <w:b/>
          <w:i/>
          <w:iCs/>
          <w:snapToGrid w:val="0"/>
          <w:color w:val="000000"/>
          <w:lang w:eastAsia="en-AU"/>
        </w:rPr>
        <w:t> </w:t>
      </w:r>
    </w:p>
    <w:p w:rsidR="0031699B" w:rsidRPr="0084668D" w:rsidRDefault="0031699B" w:rsidP="0084668D">
      <w:pPr>
        <w:spacing w:after="0" w:line="240" w:lineRule="auto"/>
        <w:ind w:right="91"/>
        <w:jc w:val="center"/>
        <w:rPr>
          <w:b/>
          <w:i/>
        </w:rPr>
      </w:pPr>
      <w:r w:rsidRPr="0084668D">
        <w:rPr>
          <w:b/>
          <w:i/>
        </w:rPr>
        <w:t>Tobacco Plain Packaging Amendment (Track and Trace Identifiers) Regulations 2018</w:t>
      </w:r>
    </w:p>
    <w:p w:rsidR="00340CFF" w:rsidRPr="00340CFF" w:rsidRDefault="00340CFF" w:rsidP="00E62957">
      <w:pPr>
        <w:shd w:val="clear" w:color="auto" w:fill="FFFFFF"/>
        <w:spacing w:after="0" w:line="240" w:lineRule="auto"/>
        <w:jc w:val="center"/>
        <w:rPr>
          <w:rFonts w:ascii="Helvetica Neue" w:eastAsia="Times New Roman" w:hAnsi="Helvetica Neue"/>
          <w:sz w:val="19"/>
          <w:szCs w:val="19"/>
          <w:lang w:val="en-US" w:eastAsia="en-AU"/>
        </w:rPr>
      </w:pPr>
      <w:r w:rsidRPr="00340CFF">
        <w:rPr>
          <w:rFonts w:eastAsia="Times New Roman"/>
          <w:i/>
          <w:iCs/>
          <w:color w:val="000000"/>
          <w:lang w:eastAsia="en-AU"/>
        </w:rPr>
        <w:t> </w:t>
      </w:r>
    </w:p>
    <w:p w:rsidR="00340CFF" w:rsidRPr="00340CFF" w:rsidRDefault="00340CFF" w:rsidP="00FE59F4">
      <w:pPr>
        <w:shd w:val="clear" w:color="auto" w:fill="FFFFFF"/>
        <w:spacing w:after="0" w:line="240" w:lineRule="auto"/>
        <w:rPr>
          <w:rFonts w:ascii="Helvetica Neue" w:eastAsia="Times New Roman" w:hAnsi="Helvetica Neue"/>
          <w:sz w:val="19"/>
          <w:szCs w:val="19"/>
          <w:lang w:val="en-US" w:eastAsia="en-AU"/>
        </w:rPr>
      </w:pPr>
      <w:r w:rsidRPr="00340CFF">
        <w:rPr>
          <w:rFonts w:eastAsia="Times New Roman"/>
          <w:b/>
          <w:bCs/>
          <w:color w:val="000000"/>
          <w:lang w:eastAsia="en-AU"/>
        </w:rPr>
        <w:t>Legislative Authority</w:t>
      </w:r>
    </w:p>
    <w:p w:rsidR="00340CFF" w:rsidRDefault="00340CFF" w:rsidP="00FE59F4">
      <w:pPr>
        <w:shd w:val="clear" w:color="auto" w:fill="FFFFFF"/>
        <w:spacing w:after="0" w:line="240" w:lineRule="auto"/>
        <w:rPr>
          <w:rFonts w:eastAsia="Times New Roman"/>
          <w:color w:val="000000"/>
          <w:lang w:eastAsia="en-AU"/>
        </w:rPr>
      </w:pPr>
      <w:r w:rsidRPr="00340CFF">
        <w:rPr>
          <w:rFonts w:eastAsia="Times New Roman"/>
          <w:color w:val="000000"/>
          <w:lang w:eastAsia="en-AU"/>
        </w:rPr>
        <w:t>Section</w:t>
      </w:r>
      <w:r w:rsidR="00D3039B">
        <w:rPr>
          <w:rFonts w:eastAsia="Times New Roman"/>
          <w:color w:val="000000"/>
          <w:lang w:eastAsia="en-AU"/>
        </w:rPr>
        <w:t xml:space="preserve"> 109 </w:t>
      </w:r>
      <w:r w:rsidRPr="00340CFF">
        <w:rPr>
          <w:rFonts w:eastAsia="Times New Roman"/>
          <w:color w:val="000000"/>
          <w:lang w:eastAsia="en-AU"/>
        </w:rPr>
        <w:t xml:space="preserve">of the </w:t>
      </w:r>
      <w:r w:rsidR="00D3039B">
        <w:rPr>
          <w:rFonts w:eastAsia="Times New Roman"/>
          <w:i/>
          <w:iCs/>
          <w:color w:val="000000"/>
          <w:lang w:eastAsia="en-AU"/>
        </w:rPr>
        <w:t>Tobacco Plain Packaging Act 2011</w:t>
      </w:r>
      <w:r w:rsidR="00D3039B" w:rsidRPr="00340CFF">
        <w:rPr>
          <w:rFonts w:eastAsia="Times New Roman"/>
          <w:i/>
          <w:iCs/>
          <w:color w:val="000000"/>
          <w:lang w:eastAsia="en-AU"/>
        </w:rPr>
        <w:t xml:space="preserve"> </w:t>
      </w:r>
      <w:r w:rsidR="00D3039B">
        <w:rPr>
          <w:rFonts w:eastAsia="Times New Roman"/>
          <w:color w:val="000000"/>
          <w:lang w:eastAsia="en-AU"/>
        </w:rPr>
        <w:t xml:space="preserve">(the Act) provides </w:t>
      </w:r>
      <w:r w:rsidR="0084668D">
        <w:rPr>
          <w:rFonts w:eastAsia="Times New Roman"/>
          <w:color w:val="000000"/>
          <w:lang w:eastAsia="en-AU"/>
        </w:rPr>
        <w:t>that the Governor</w:t>
      </w:r>
      <w:r w:rsidR="0084668D">
        <w:rPr>
          <w:rFonts w:eastAsia="Times New Roman"/>
          <w:color w:val="000000"/>
          <w:lang w:eastAsia="en-AU"/>
        </w:rPr>
        <w:noBreakHyphen/>
      </w:r>
      <w:r w:rsidRPr="00340CFF">
        <w:rPr>
          <w:rFonts w:eastAsia="Times New Roman"/>
          <w:color w:val="000000"/>
          <w:lang w:eastAsia="en-AU"/>
        </w:rPr>
        <w:t>General may make regulations prescribing matters required or permitted to be prescribed by the Act, or necessary or convenient to be prescribed for carrying out or giving effect to the Act.</w:t>
      </w:r>
    </w:p>
    <w:p w:rsidR="00E62957" w:rsidRDefault="00E62957" w:rsidP="00FE59F4">
      <w:pPr>
        <w:shd w:val="clear" w:color="auto" w:fill="FFFFFF"/>
        <w:spacing w:after="0" w:line="240" w:lineRule="auto"/>
        <w:rPr>
          <w:rFonts w:eastAsia="Times New Roman"/>
          <w:color w:val="000000"/>
          <w:lang w:eastAsia="en-AU"/>
        </w:rPr>
      </w:pPr>
    </w:p>
    <w:p w:rsidR="00340CFF" w:rsidRPr="00340CFF" w:rsidRDefault="00340CFF" w:rsidP="00FE59F4">
      <w:pPr>
        <w:shd w:val="clear" w:color="auto" w:fill="FFFFFF"/>
        <w:spacing w:after="0" w:line="240" w:lineRule="auto"/>
        <w:rPr>
          <w:rFonts w:ascii="Helvetica Neue" w:eastAsia="Times New Roman" w:hAnsi="Helvetica Neue"/>
          <w:sz w:val="19"/>
          <w:szCs w:val="19"/>
          <w:lang w:val="en-US" w:eastAsia="en-AU"/>
        </w:rPr>
      </w:pPr>
      <w:r w:rsidRPr="00340CFF">
        <w:rPr>
          <w:rFonts w:eastAsia="Times New Roman"/>
          <w:b/>
          <w:bCs/>
          <w:color w:val="000000"/>
          <w:lang w:eastAsia="en-AU"/>
        </w:rPr>
        <w:t>Purpose</w:t>
      </w:r>
    </w:p>
    <w:p w:rsidR="00E62957" w:rsidRDefault="00E62957" w:rsidP="00FE59F4">
      <w:pPr>
        <w:autoSpaceDE w:val="0"/>
        <w:autoSpaceDN w:val="0"/>
        <w:adjustRightInd w:val="0"/>
        <w:spacing w:after="0" w:line="240" w:lineRule="auto"/>
      </w:pPr>
      <w:r w:rsidRPr="008F1F51">
        <w:rPr>
          <w:rFonts w:eastAsiaTheme="majorEastAsia"/>
          <w:bCs/>
        </w:rPr>
        <w:t>The purpose of the</w:t>
      </w:r>
      <w:r w:rsidR="00D2444C">
        <w:rPr>
          <w:rFonts w:eastAsiaTheme="majorEastAsia"/>
          <w:bCs/>
        </w:rPr>
        <w:t xml:space="preserve"> </w:t>
      </w:r>
      <w:r w:rsidRPr="006A4F1F">
        <w:rPr>
          <w:i/>
        </w:rPr>
        <w:t xml:space="preserve">Tobacco Plain Packaging </w:t>
      </w:r>
      <w:r w:rsidRPr="00547901">
        <w:rPr>
          <w:i/>
        </w:rPr>
        <w:t xml:space="preserve">Amendment </w:t>
      </w:r>
      <w:r w:rsidRPr="006A4F1F">
        <w:rPr>
          <w:i/>
        </w:rPr>
        <w:t>(Track and Trace</w:t>
      </w:r>
      <w:r>
        <w:rPr>
          <w:i/>
        </w:rPr>
        <w:t xml:space="preserve"> Identifiers</w:t>
      </w:r>
      <w:r w:rsidRPr="006A4F1F">
        <w:rPr>
          <w:i/>
        </w:rPr>
        <w:t>)</w:t>
      </w:r>
      <w:r w:rsidRPr="00547901">
        <w:rPr>
          <w:i/>
        </w:rPr>
        <w:t xml:space="preserve"> Regulation</w:t>
      </w:r>
      <w:r>
        <w:rPr>
          <w:i/>
        </w:rPr>
        <w:t>s</w:t>
      </w:r>
      <w:r w:rsidRPr="00547901">
        <w:rPr>
          <w:i/>
        </w:rPr>
        <w:t xml:space="preserve"> </w:t>
      </w:r>
      <w:r>
        <w:rPr>
          <w:i/>
        </w:rPr>
        <w:t>2018</w:t>
      </w:r>
      <w:r>
        <w:t xml:space="preserve"> (the Amendment Regulation</w:t>
      </w:r>
      <w:r w:rsidR="005858E8">
        <w:t>s</w:t>
      </w:r>
      <w:r>
        <w:t>) is to ensure the Act is facilitating and not hampering the European Union’s (EU) efforts to combat illicit tobacco under a multilateral tobacco</w:t>
      </w:r>
      <w:r w:rsidR="00716D53">
        <w:t xml:space="preserve"> control</w:t>
      </w:r>
      <w:r>
        <w:t xml:space="preserve"> agreement.  </w:t>
      </w:r>
    </w:p>
    <w:p w:rsidR="00E62957" w:rsidRDefault="00E62957" w:rsidP="00FE59F4">
      <w:pPr>
        <w:autoSpaceDE w:val="0"/>
        <w:autoSpaceDN w:val="0"/>
        <w:adjustRightInd w:val="0"/>
        <w:spacing w:after="0" w:line="240" w:lineRule="auto"/>
      </w:pPr>
    </w:p>
    <w:p w:rsidR="00E62957" w:rsidRDefault="00E62957" w:rsidP="00FE59F4">
      <w:pPr>
        <w:autoSpaceDE w:val="0"/>
        <w:autoSpaceDN w:val="0"/>
        <w:adjustRightInd w:val="0"/>
        <w:spacing w:after="0" w:line="240" w:lineRule="auto"/>
        <w:rPr>
          <w:rFonts w:eastAsiaTheme="majorEastAsia"/>
          <w:bCs/>
        </w:rPr>
      </w:pPr>
      <w:r>
        <w:t xml:space="preserve">Currently, </w:t>
      </w:r>
      <w:r w:rsidRPr="00687AA2">
        <w:rPr>
          <w:rFonts w:eastAsiaTheme="majorEastAsia"/>
          <w:bCs/>
        </w:rPr>
        <w:t xml:space="preserve">Section 20 of the Act prohibits the placing of markings on the retail packaging of tobacco </w:t>
      </w:r>
      <w:r w:rsidRPr="00C476FF">
        <w:rPr>
          <w:rFonts w:eastAsiaTheme="majorEastAsia"/>
          <w:bCs/>
        </w:rPr>
        <w:t>products unless they are expressly pe</w:t>
      </w:r>
      <w:r>
        <w:rPr>
          <w:rFonts w:eastAsiaTheme="majorEastAsia"/>
          <w:bCs/>
        </w:rPr>
        <w:t xml:space="preserve">rmitted by the </w:t>
      </w:r>
      <w:r w:rsidR="00C75BC3">
        <w:rPr>
          <w:rFonts w:eastAsiaTheme="majorEastAsia"/>
          <w:bCs/>
          <w:i/>
        </w:rPr>
        <w:t>Tobacco Plain Packaging Regulations 2011</w:t>
      </w:r>
      <w:r w:rsidR="00C75BC3">
        <w:rPr>
          <w:rFonts w:eastAsiaTheme="majorEastAsia"/>
          <w:bCs/>
        </w:rPr>
        <w:t xml:space="preserve"> (the Principal</w:t>
      </w:r>
      <w:r>
        <w:rPr>
          <w:rFonts w:eastAsiaTheme="majorEastAsia"/>
          <w:bCs/>
        </w:rPr>
        <w:t xml:space="preserve"> Regulations</w:t>
      </w:r>
      <w:r w:rsidR="00C75BC3">
        <w:rPr>
          <w:rFonts w:eastAsiaTheme="majorEastAsia"/>
          <w:bCs/>
        </w:rPr>
        <w:t>).</w:t>
      </w:r>
    </w:p>
    <w:p w:rsidR="00E62957" w:rsidRDefault="00E62957" w:rsidP="00FE59F4">
      <w:pPr>
        <w:autoSpaceDE w:val="0"/>
        <w:autoSpaceDN w:val="0"/>
        <w:adjustRightInd w:val="0"/>
        <w:spacing w:after="0" w:line="240" w:lineRule="auto"/>
        <w:rPr>
          <w:rFonts w:eastAsiaTheme="majorEastAsia"/>
          <w:bCs/>
        </w:rPr>
      </w:pPr>
    </w:p>
    <w:p w:rsidR="00E62957" w:rsidRDefault="00E62957" w:rsidP="00FE59F4">
      <w:pPr>
        <w:autoSpaceDE w:val="0"/>
        <w:autoSpaceDN w:val="0"/>
        <w:adjustRightInd w:val="0"/>
        <w:spacing w:after="0" w:line="240" w:lineRule="auto"/>
        <w:contextualSpacing/>
        <w:rPr>
          <w:rFonts w:eastAsiaTheme="majorEastAsia"/>
          <w:bCs/>
        </w:rPr>
      </w:pPr>
      <w:r>
        <w:rPr>
          <w:rFonts w:eastAsiaTheme="majorEastAsia"/>
          <w:bCs/>
        </w:rPr>
        <w:t>The Amendment Regulation</w:t>
      </w:r>
      <w:r w:rsidR="005858E8">
        <w:rPr>
          <w:rFonts w:eastAsiaTheme="majorEastAsia"/>
          <w:bCs/>
        </w:rPr>
        <w:t>s</w:t>
      </w:r>
      <w:r>
        <w:rPr>
          <w:rFonts w:eastAsiaTheme="majorEastAsia"/>
          <w:bCs/>
        </w:rPr>
        <w:t xml:space="preserve"> will amend the </w:t>
      </w:r>
      <w:r w:rsidR="00C75BC3">
        <w:rPr>
          <w:rFonts w:eastAsiaTheme="majorEastAsia"/>
          <w:bCs/>
        </w:rPr>
        <w:t>Principal</w:t>
      </w:r>
      <w:r>
        <w:rPr>
          <w:rFonts w:eastAsiaTheme="majorEastAsia"/>
          <w:bCs/>
        </w:rPr>
        <w:t xml:space="preserve"> Regulations to permit tobacco products imported into Australia from the EU to include track and trace unique identification markings on retail packaging</w:t>
      </w:r>
      <w:r w:rsidR="00FE59F4">
        <w:rPr>
          <w:rFonts w:eastAsiaTheme="majorEastAsia"/>
          <w:bCs/>
        </w:rPr>
        <w:t>.  The Amendment Regulation</w:t>
      </w:r>
      <w:r w:rsidR="005858E8">
        <w:rPr>
          <w:rFonts w:eastAsiaTheme="majorEastAsia"/>
          <w:bCs/>
        </w:rPr>
        <w:t>s</w:t>
      </w:r>
      <w:r w:rsidR="00FE59F4">
        <w:rPr>
          <w:rFonts w:eastAsiaTheme="majorEastAsia"/>
          <w:bCs/>
        </w:rPr>
        <w:t xml:space="preserve"> </w:t>
      </w:r>
      <w:r w:rsidR="001E7FD4">
        <w:rPr>
          <w:rFonts w:eastAsiaTheme="majorEastAsia"/>
          <w:bCs/>
        </w:rPr>
        <w:t>maintain the integrity of Australia’s plain packaging regulatory regime</w:t>
      </w:r>
      <w:r>
        <w:rPr>
          <w:rFonts w:eastAsiaTheme="majorEastAsia"/>
          <w:bCs/>
        </w:rPr>
        <w:t>.</w:t>
      </w:r>
    </w:p>
    <w:p w:rsidR="00D2444C" w:rsidRDefault="00D2444C" w:rsidP="00FE59F4">
      <w:pPr>
        <w:autoSpaceDE w:val="0"/>
        <w:autoSpaceDN w:val="0"/>
        <w:adjustRightInd w:val="0"/>
        <w:spacing w:after="0" w:line="240" w:lineRule="auto"/>
        <w:contextualSpacing/>
        <w:rPr>
          <w:rFonts w:eastAsiaTheme="majorEastAsia"/>
          <w:bCs/>
        </w:rPr>
      </w:pPr>
    </w:p>
    <w:p w:rsidR="00D2444C" w:rsidRPr="00426421" w:rsidRDefault="00D2444C" w:rsidP="00D2444C">
      <w:pPr>
        <w:autoSpaceDE w:val="0"/>
        <w:autoSpaceDN w:val="0"/>
        <w:adjustRightInd w:val="0"/>
        <w:jc w:val="both"/>
      </w:pPr>
      <w:r w:rsidRPr="00F2663D">
        <w:t xml:space="preserve">The </w:t>
      </w:r>
      <w:r>
        <w:t>Amendment Regulation</w:t>
      </w:r>
      <w:r w:rsidR="006773E1">
        <w:t>s</w:t>
      </w:r>
      <w:r>
        <w:t xml:space="preserve"> would allow</w:t>
      </w:r>
      <w:r w:rsidRPr="00F2663D">
        <w:t>:</w:t>
      </w:r>
    </w:p>
    <w:p w:rsidR="00D2444C" w:rsidRDefault="00D2444C" w:rsidP="00D2444C">
      <w:pPr>
        <w:pStyle w:val="ListParagraph"/>
        <w:numPr>
          <w:ilvl w:val="0"/>
          <w:numId w:val="7"/>
        </w:numPr>
        <w:ind w:left="567" w:hanging="720"/>
      </w:pPr>
      <w:r>
        <w:t>the unique identifier to appear only once on all forms of tobacco products;</w:t>
      </w:r>
    </w:p>
    <w:p w:rsidR="00D2444C" w:rsidRPr="00BF3143" w:rsidRDefault="00D2444C" w:rsidP="00D2444C">
      <w:pPr>
        <w:pStyle w:val="ListParagraph"/>
        <w:numPr>
          <w:ilvl w:val="0"/>
          <w:numId w:val="7"/>
        </w:numPr>
        <w:ind w:left="567" w:hanging="720"/>
      </w:pPr>
      <w:r>
        <w:t>for cigarette</w:t>
      </w:r>
      <w:r w:rsidRPr="00BF3143">
        <w:t xml:space="preserve"> </w:t>
      </w:r>
      <w:r>
        <w:t>packs and</w:t>
      </w:r>
      <w:r w:rsidRPr="00BF3143">
        <w:t xml:space="preserve"> cartons</w:t>
      </w:r>
      <w:r>
        <w:t>,</w:t>
      </w:r>
      <w:r w:rsidRPr="00BF3143">
        <w:t xml:space="preserve"> allow the placement of the </w:t>
      </w:r>
      <w:r w:rsidRPr="00BF3143">
        <w:rPr>
          <w:rFonts w:eastAsiaTheme="majorEastAsia"/>
          <w:bCs/>
        </w:rPr>
        <w:t>track and trace unique identifier</w:t>
      </w:r>
      <w:r w:rsidRPr="00BF3143">
        <w:t xml:space="preserve"> to appear </w:t>
      </w:r>
      <w:r>
        <w:t xml:space="preserve">once only </w:t>
      </w:r>
      <w:r w:rsidRPr="00BF3143">
        <w:t xml:space="preserve">on </w:t>
      </w:r>
      <w:r>
        <w:t>the</w:t>
      </w:r>
      <w:r w:rsidRPr="00BF3143">
        <w:t xml:space="preserve"> outer surface of the </w:t>
      </w:r>
      <w:r w:rsidR="00716D53">
        <w:t>packaging</w:t>
      </w:r>
      <w:r w:rsidRPr="00BF3143">
        <w:t xml:space="preserve"> that does not bear a health warning;</w:t>
      </w:r>
    </w:p>
    <w:p w:rsidR="00D2444C" w:rsidRPr="00B464CC" w:rsidRDefault="00D2444C" w:rsidP="00D2444C">
      <w:pPr>
        <w:pStyle w:val="ListParagraph"/>
        <w:numPr>
          <w:ilvl w:val="0"/>
          <w:numId w:val="7"/>
        </w:numPr>
        <w:ind w:left="567" w:hanging="720"/>
      </w:pPr>
      <w:r w:rsidRPr="0023104A">
        <w:t>for tobacco products other than cigarette packs</w:t>
      </w:r>
      <w:r>
        <w:t xml:space="preserve"> and cartons</w:t>
      </w:r>
      <w:r w:rsidRPr="0023104A">
        <w:t xml:space="preserve"> </w:t>
      </w:r>
      <w:r w:rsidRPr="00B464CC">
        <w:t>(for example roll-your-own, loose leaf and cigars)</w:t>
      </w:r>
      <w:r>
        <w:t xml:space="preserve"> </w:t>
      </w:r>
      <w:r w:rsidRPr="0023104A">
        <w:t xml:space="preserve">the placement of the track and trace unique identifier may appear </w:t>
      </w:r>
      <w:r>
        <w:t xml:space="preserve">once </w:t>
      </w:r>
      <w:r w:rsidRPr="0023104A">
        <w:t xml:space="preserve">on the </w:t>
      </w:r>
      <w:r>
        <w:t xml:space="preserve">side or outer </w:t>
      </w:r>
      <w:r w:rsidRPr="0023104A">
        <w:t>surface of the packaging that bears a health warning but must not wholly or partly obscure the health warning</w:t>
      </w:r>
      <w:r w:rsidRPr="00B464CC">
        <w:t>;</w:t>
      </w:r>
    </w:p>
    <w:p w:rsidR="00D2444C" w:rsidRDefault="00D2444C" w:rsidP="00D2444C">
      <w:pPr>
        <w:pStyle w:val="ListParagraph"/>
        <w:numPr>
          <w:ilvl w:val="0"/>
          <w:numId w:val="7"/>
        </w:numPr>
        <w:ind w:left="567" w:hanging="720"/>
      </w:pPr>
      <w:r w:rsidRPr="00B464CC">
        <w:t>for non-cigarette tobacco product</w:t>
      </w:r>
      <w:r w:rsidR="00716D53">
        <w:t>s</w:t>
      </w:r>
      <w:r w:rsidRPr="00B464CC">
        <w:t xml:space="preserve"> </w:t>
      </w:r>
      <w:r>
        <w:t xml:space="preserve">and cigarette carton packaging </w:t>
      </w:r>
      <w:r w:rsidRPr="00B464CC">
        <w:t xml:space="preserve">it would be permitted that the </w:t>
      </w:r>
      <w:r w:rsidRPr="00B464CC">
        <w:rPr>
          <w:rFonts w:eastAsiaTheme="majorEastAsia"/>
          <w:bCs/>
        </w:rPr>
        <w:t>track and trace unique identifier</w:t>
      </w:r>
      <w:r>
        <w:t xml:space="preserve"> </w:t>
      </w:r>
      <w:r w:rsidRPr="00B464CC">
        <w:t xml:space="preserve">may be printed </w:t>
      </w:r>
      <w:r>
        <w:t xml:space="preserve">on the packaging </w:t>
      </w:r>
      <w:r w:rsidRPr="00B464CC">
        <w:t>or affixed</w:t>
      </w:r>
      <w:r>
        <w:t xml:space="preserve"> on an adhesive label</w:t>
      </w:r>
      <w:r w:rsidRPr="00B464CC">
        <w:t xml:space="preserve">, in line with the language in the new </w:t>
      </w:r>
      <w:r>
        <w:t>EU</w:t>
      </w:r>
      <w:r w:rsidRPr="00B464CC">
        <w:t xml:space="preserve"> law; </w:t>
      </w:r>
    </w:p>
    <w:p w:rsidR="00D2444C" w:rsidRDefault="00D2444C" w:rsidP="00D2444C">
      <w:pPr>
        <w:pStyle w:val="ListParagraph"/>
        <w:numPr>
          <w:ilvl w:val="0"/>
          <w:numId w:val="7"/>
        </w:numPr>
        <w:ind w:left="567" w:hanging="720"/>
      </w:pPr>
      <w:r>
        <w:t>for the adhesive label to be fastened and not easily removable and be transparent or the colour known as Pantone 448C; and</w:t>
      </w:r>
    </w:p>
    <w:p w:rsidR="00D2444C" w:rsidRDefault="00D2444C" w:rsidP="00D2444C">
      <w:pPr>
        <w:pStyle w:val="ListParagraph"/>
        <w:numPr>
          <w:ilvl w:val="0"/>
          <w:numId w:val="7"/>
        </w:numPr>
        <w:ind w:left="567" w:hanging="720"/>
      </w:pPr>
      <w:r>
        <w:t>f</w:t>
      </w:r>
      <w:r w:rsidRPr="00B464CC">
        <w:t xml:space="preserve">or </w:t>
      </w:r>
      <w:r>
        <w:t>all forms of</w:t>
      </w:r>
      <w:r w:rsidRPr="00B464CC">
        <w:t xml:space="preserve"> tobacco product packaging</w:t>
      </w:r>
      <w:r>
        <w:t>:</w:t>
      </w:r>
    </w:p>
    <w:p w:rsidR="00D2444C" w:rsidRDefault="00D2444C" w:rsidP="00D2444C">
      <w:pPr>
        <w:pStyle w:val="ListParagraph"/>
        <w:numPr>
          <w:ilvl w:val="2"/>
          <w:numId w:val="8"/>
        </w:numPr>
        <w:ind w:left="993" w:hanging="426"/>
      </w:pPr>
      <w:r w:rsidRPr="00B464CC">
        <w:t xml:space="preserve">the </w:t>
      </w:r>
      <w:r>
        <w:rPr>
          <w:rFonts w:eastAsiaTheme="majorEastAsia"/>
          <w:bCs/>
        </w:rPr>
        <w:t>alphanumeric code component</w:t>
      </w:r>
      <w:r>
        <w:t xml:space="preserve"> of the </w:t>
      </w:r>
      <w:r w:rsidRPr="00B464CC">
        <w:rPr>
          <w:rFonts w:eastAsiaTheme="majorEastAsia"/>
          <w:bCs/>
        </w:rPr>
        <w:t>unique identifier</w:t>
      </w:r>
      <w:r>
        <w:rPr>
          <w:rFonts w:eastAsiaTheme="majorEastAsia"/>
          <w:bCs/>
        </w:rPr>
        <w:t xml:space="preserve"> </w:t>
      </w:r>
      <w:r>
        <w:t>to be printed on packaging only in normal weighted font in black, white or grey on a Pantone 448C background; and</w:t>
      </w:r>
    </w:p>
    <w:p w:rsidR="00D2444C" w:rsidRPr="00D2444C" w:rsidRDefault="00D2444C" w:rsidP="00EA0039">
      <w:pPr>
        <w:pStyle w:val="ListParagraph"/>
        <w:numPr>
          <w:ilvl w:val="2"/>
          <w:numId w:val="8"/>
        </w:numPr>
        <w:ind w:left="993" w:hanging="426"/>
      </w:pPr>
      <w:r>
        <w:lastRenderedPageBreak/>
        <w:t>the machine readable code component of the unique identifier to be printed in black, white or grey on a Pantone 448C background.</w:t>
      </w:r>
    </w:p>
    <w:p w:rsidR="00E62957" w:rsidRDefault="00E62957" w:rsidP="00FE59F4">
      <w:pPr>
        <w:spacing w:after="0" w:line="240" w:lineRule="auto"/>
        <w:ind w:right="91"/>
      </w:pPr>
    </w:p>
    <w:p w:rsidR="00340CFF" w:rsidRPr="00340CFF" w:rsidRDefault="00E62957" w:rsidP="00FE59F4">
      <w:pPr>
        <w:autoSpaceDE w:val="0"/>
        <w:autoSpaceDN w:val="0"/>
        <w:adjustRightInd w:val="0"/>
        <w:spacing w:after="0" w:line="240" w:lineRule="auto"/>
        <w:contextualSpacing/>
        <w:rPr>
          <w:rFonts w:ascii="Helvetica Neue" w:eastAsia="Times New Roman" w:hAnsi="Helvetica Neue"/>
          <w:b/>
          <w:sz w:val="19"/>
          <w:szCs w:val="19"/>
          <w:lang w:val="en-US" w:eastAsia="en-AU"/>
        </w:rPr>
      </w:pPr>
      <w:r>
        <w:rPr>
          <w:rFonts w:eastAsia="Times New Roman"/>
          <w:b/>
          <w:bCs/>
          <w:lang w:eastAsia="en-AU"/>
        </w:rPr>
        <w:t>B</w:t>
      </w:r>
      <w:r w:rsidRPr="00340CFF">
        <w:rPr>
          <w:rFonts w:eastAsia="Times New Roman"/>
          <w:b/>
          <w:bCs/>
          <w:lang w:eastAsia="en-AU"/>
        </w:rPr>
        <w:t>ackground</w:t>
      </w:r>
    </w:p>
    <w:p w:rsidR="00AB639E" w:rsidRDefault="00AB639E" w:rsidP="00AB639E">
      <w:pPr>
        <w:ind w:right="91"/>
        <w:rPr>
          <w:rFonts w:eastAsiaTheme="majorEastAsia"/>
          <w:bCs/>
        </w:rPr>
      </w:pPr>
      <w:r>
        <w:t xml:space="preserve">To implement the </w:t>
      </w:r>
      <w:r>
        <w:rPr>
          <w:rFonts w:eastAsiaTheme="majorEastAsia"/>
          <w:bCs/>
        </w:rPr>
        <w:t xml:space="preserve">World Health Organization Framework Convention on Tobacco Control’s ‘Protocol to Eliminate Illicit Trade in Tobacco Products’ (the Protocol) the EU have introduced a new law.  The new EU law provides for EU wide systems of traceability to track tobacco product movement through supply chains.  </w:t>
      </w:r>
    </w:p>
    <w:p w:rsidR="00F731E8" w:rsidRDefault="00AB639E" w:rsidP="00AB639E">
      <w:pPr>
        <w:ind w:right="91"/>
        <w:rPr>
          <w:rFonts w:eastAsiaTheme="majorEastAsia"/>
          <w:bCs/>
        </w:rPr>
      </w:pPr>
      <w:r>
        <w:rPr>
          <w:rFonts w:eastAsiaTheme="majorEastAsia"/>
          <w:bCs/>
        </w:rPr>
        <w:t xml:space="preserve">From 20 May 2019, this new </w:t>
      </w:r>
      <w:r w:rsidR="00906A7A">
        <w:rPr>
          <w:rFonts w:eastAsiaTheme="majorEastAsia"/>
          <w:bCs/>
        </w:rPr>
        <w:t>EU</w:t>
      </w:r>
      <w:r>
        <w:rPr>
          <w:rFonts w:eastAsiaTheme="majorEastAsia"/>
          <w:bCs/>
        </w:rPr>
        <w:t xml:space="preserve"> </w:t>
      </w:r>
      <w:r w:rsidR="00716D53">
        <w:rPr>
          <w:rFonts w:eastAsiaTheme="majorEastAsia"/>
          <w:bCs/>
        </w:rPr>
        <w:t xml:space="preserve">law </w:t>
      </w:r>
      <w:r>
        <w:rPr>
          <w:rFonts w:eastAsiaTheme="majorEastAsia"/>
          <w:bCs/>
        </w:rPr>
        <w:t>will require cigarettes and roll</w:t>
      </w:r>
      <w:r>
        <w:rPr>
          <w:rFonts w:eastAsiaTheme="majorEastAsia"/>
          <w:bCs/>
        </w:rPr>
        <w:noBreakHyphen/>
        <w:t>your</w:t>
      </w:r>
      <w:r>
        <w:rPr>
          <w:rFonts w:eastAsiaTheme="majorEastAsia"/>
          <w:bCs/>
        </w:rPr>
        <w:noBreakHyphen/>
        <w:t xml:space="preserve">own tobacco products manufactured in or imported into the EU to be marked with a track and trace </w:t>
      </w:r>
      <w:r w:rsidRPr="00312E82">
        <w:rPr>
          <w:rFonts w:eastAsiaTheme="majorEastAsia"/>
          <w:bCs/>
        </w:rPr>
        <w:t>unique identifier.  For traceability, th</w:t>
      </w:r>
      <w:r>
        <w:rPr>
          <w:rFonts w:eastAsiaTheme="majorEastAsia"/>
          <w:bCs/>
        </w:rPr>
        <w:t>is identification</w:t>
      </w:r>
      <w:r w:rsidRPr="00312E82">
        <w:rPr>
          <w:rFonts w:eastAsiaTheme="majorEastAsia"/>
          <w:bCs/>
        </w:rPr>
        <w:t xml:space="preserve"> will apply to </w:t>
      </w:r>
      <w:r>
        <w:rPr>
          <w:rFonts w:eastAsiaTheme="majorEastAsia"/>
          <w:bCs/>
        </w:rPr>
        <w:t xml:space="preserve">the </w:t>
      </w:r>
      <w:r w:rsidRPr="00312E82">
        <w:rPr>
          <w:rFonts w:eastAsiaTheme="majorEastAsia"/>
          <w:bCs/>
        </w:rPr>
        <w:t xml:space="preserve">primary and secondary </w:t>
      </w:r>
      <w:r>
        <w:rPr>
          <w:rFonts w:eastAsiaTheme="majorEastAsia"/>
          <w:bCs/>
        </w:rPr>
        <w:t xml:space="preserve">retail </w:t>
      </w:r>
      <w:r w:rsidRPr="00312E82">
        <w:rPr>
          <w:rFonts w:eastAsiaTheme="majorEastAsia"/>
          <w:bCs/>
        </w:rPr>
        <w:t xml:space="preserve">packaging of tobacco </w:t>
      </w:r>
      <w:r>
        <w:rPr>
          <w:rFonts w:eastAsiaTheme="majorEastAsia"/>
          <w:bCs/>
        </w:rPr>
        <w:t xml:space="preserve">products. </w:t>
      </w:r>
      <w:r w:rsidRPr="00AA78BD">
        <w:rPr>
          <w:rFonts w:eastAsiaTheme="majorEastAsia"/>
          <w:bCs/>
        </w:rPr>
        <w:t xml:space="preserve">This requirement will also apply to tobacco products exported from the EU, including </w:t>
      </w:r>
      <w:r w:rsidR="00906A7A">
        <w:rPr>
          <w:rFonts w:eastAsiaTheme="majorEastAsia"/>
          <w:bCs/>
        </w:rPr>
        <w:t>in</w:t>
      </w:r>
      <w:r w:rsidRPr="00AA78BD">
        <w:rPr>
          <w:rFonts w:eastAsiaTheme="majorEastAsia"/>
          <w:bCs/>
        </w:rPr>
        <w:t xml:space="preserve">to Australia. </w:t>
      </w:r>
    </w:p>
    <w:p w:rsidR="00AB639E" w:rsidRDefault="00AB639E" w:rsidP="00AB639E">
      <w:pPr>
        <w:ind w:right="91"/>
        <w:rPr>
          <w:rFonts w:eastAsiaTheme="majorEastAsia"/>
          <w:bCs/>
        </w:rPr>
      </w:pPr>
      <w:r>
        <w:rPr>
          <w:rFonts w:eastAsiaTheme="majorEastAsia"/>
          <w:bCs/>
        </w:rPr>
        <w:t>The EU track and trace unique identifier will comprise both a human readable and a machine readable code. The human readable code is an alphanumeric code subject to required EU specifications. The machine readable code is an optical code representing data in a form that is only readable with the aid of an optical scanner. The machine readable code can be one of the following types: QR code, Dat</w:t>
      </w:r>
      <w:r w:rsidR="004C6AAC">
        <w:rPr>
          <w:rFonts w:eastAsiaTheme="majorEastAsia"/>
          <w:bCs/>
        </w:rPr>
        <w:t>a</w:t>
      </w:r>
      <w:r>
        <w:rPr>
          <w:rFonts w:eastAsiaTheme="majorEastAsia"/>
          <w:bCs/>
        </w:rPr>
        <w:t xml:space="preserve"> Matrix or Dot Code, Code 128 or barcodes subject to EU specifications.</w:t>
      </w:r>
    </w:p>
    <w:p w:rsidR="00F731E8" w:rsidRPr="00E15E17" w:rsidRDefault="00AB639E" w:rsidP="00E15E17">
      <w:pPr>
        <w:ind w:right="91"/>
        <w:rPr>
          <w:rFonts w:eastAsiaTheme="majorEastAsia"/>
          <w:bCs/>
        </w:rPr>
      </w:pPr>
      <w:r w:rsidRPr="00AA78BD">
        <w:rPr>
          <w:rFonts w:eastAsiaTheme="majorEastAsia"/>
          <w:bCs/>
        </w:rPr>
        <w:t>The new EU law will also require that tobacco products placed on the market in the EU carry a security feature</w:t>
      </w:r>
      <w:r>
        <w:rPr>
          <w:rFonts w:eastAsiaTheme="majorEastAsia"/>
          <w:bCs/>
        </w:rPr>
        <w:t xml:space="preserve"> for the purpose of verifying whether or not tobacco products are authentic</w:t>
      </w:r>
      <w:r w:rsidRPr="00AA78BD">
        <w:rPr>
          <w:rFonts w:eastAsiaTheme="majorEastAsia"/>
          <w:bCs/>
        </w:rPr>
        <w:t xml:space="preserve">. This requirement is not applicable to products exported from the EU and therefore </w:t>
      </w:r>
      <w:r>
        <w:rPr>
          <w:rFonts w:eastAsiaTheme="majorEastAsia"/>
          <w:bCs/>
        </w:rPr>
        <w:t xml:space="preserve">is </w:t>
      </w:r>
      <w:r w:rsidRPr="00AA78BD">
        <w:rPr>
          <w:rFonts w:eastAsiaTheme="majorEastAsia"/>
          <w:bCs/>
        </w:rPr>
        <w:t xml:space="preserve">not </w:t>
      </w:r>
      <w:r>
        <w:rPr>
          <w:rFonts w:eastAsiaTheme="majorEastAsia"/>
          <w:bCs/>
        </w:rPr>
        <w:t>covered by</w:t>
      </w:r>
      <w:r w:rsidRPr="00AA78BD">
        <w:rPr>
          <w:rFonts w:eastAsiaTheme="majorEastAsia"/>
          <w:bCs/>
        </w:rPr>
        <w:t xml:space="preserve"> the </w:t>
      </w:r>
      <w:r w:rsidR="00F731E8">
        <w:rPr>
          <w:rFonts w:eastAsiaTheme="majorEastAsia"/>
          <w:bCs/>
        </w:rPr>
        <w:t>A</w:t>
      </w:r>
      <w:r w:rsidRPr="00AA78BD">
        <w:rPr>
          <w:rFonts w:eastAsiaTheme="majorEastAsia"/>
          <w:bCs/>
        </w:rPr>
        <w:t>mendment</w:t>
      </w:r>
      <w:r>
        <w:rPr>
          <w:rFonts w:eastAsiaTheme="majorEastAsia"/>
          <w:bCs/>
        </w:rPr>
        <w:t xml:space="preserve"> </w:t>
      </w:r>
      <w:r w:rsidR="00F731E8">
        <w:rPr>
          <w:rFonts w:eastAsiaTheme="majorEastAsia"/>
          <w:bCs/>
        </w:rPr>
        <w:t>R</w:t>
      </w:r>
      <w:r>
        <w:rPr>
          <w:rFonts w:eastAsiaTheme="majorEastAsia"/>
          <w:bCs/>
        </w:rPr>
        <w:t>egulation</w:t>
      </w:r>
      <w:r w:rsidRPr="00AA78BD">
        <w:rPr>
          <w:rFonts w:eastAsiaTheme="majorEastAsia"/>
          <w:bCs/>
        </w:rPr>
        <w:t>.</w:t>
      </w:r>
    </w:p>
    <w:p w:rsidR="00340CFF" w:rsidRPr="00340CFF" w:rsidRDefault="00340CFF" w:rsidP="00FE59F4">
      <w:pPr>
        <w:shd w:val="clear" w:color="auto" w:fill="FFFFFF"/>
        <w:spacing w:after="0" w:line="240" w:lineRule="auto"/>
        <w:rPr>
          <w:rFonts w:ascii="Helvetica Neue" w:eastAsia="Times New Roman" w:hAnsi="Helvetica Neue"/>
          <w:sz w:val="19"/>
          <w:szCs w:val="19"/>
          <w:lang w:val="en-US" w:eastAsia="en-AU"/>
        </w:rPr>
      </w:pPr>
      <w:r w:rsidRPr="00340CFF">
        <w:rPr>
          <w:rFonts w:eastAsia="Times New Roman"/>
          <w:b/>
          <w:bCs/>
          <w:color w:val="000000"/>
          <w:lang w:eastAsia="en-AU"/>
        </w:rPr>
        <w:t>Consultation</w:t>
      </w:r>
    </w:p>
    <w:p w:rsidR="001E7FD4" w:rsidRDefault="00716D53" w:rsidP="00FE59F4">
      <w:pPr>
        <w:spacing w:after="0" w:line="240" w:lineRule="auto"/>
      </w:pPr>
      <w:r>
        <w:t>C</w:t>
      </w:r>
      <w:r w:rsidR="001E7FD4" w:rsidRPr="00B15FD6">
        <w:t xml:space="preserve">onsultation on the proposed </w:t>
      </w:r>
      <w:r w:rsidR="00F731E8">
        <w:t>Amendment Regulation</w:t>
      </w:r>
      <w:r w:rsidR="001E7FD4" w:rsidRPr="00B15FD6">
        <w:t xml:space="preserve"> was undertaken with</w:t>
      </w:r>
      <w:r w:rsidR="00F731E8">
        <w:t xml:space="preserve"> tobacco companies and importers wh</w:t>
      </w:r>
      <w:r w:rsidR="00B26ABE">
        <w:t>o may be affected (24 entities)</w:t>
      </w:r>
      <w:r w:rsidR="00D504FB">
        <w:t xml:space="preserve">. The European Commission, </w:t>
      </w:r>
      <w:r w:rsidR="001E7FD4">
        <w:t>Commonwealth agencies including</w:t>
      </w:r>
      <w:r w:rsidR="00D504FB">
        <w:t xml:space="preserve"> the </w:t>
      </w:r>
      <w:r w:rsidR="001E7FD4" w:rsidRPr="00B15FD6">
        <w:t xml:space="preserve">National Measurement Institute, </w:t>
      </w:r>
      <w:r w:rsidR="001E7FD4">
        <w:t>Department of Home</w:t>
      </w:r>
      <w:r w:rsidR="001E7FD4" w:rsidRPr="00B15FD6">
        <w:t xml:space="preserve"> Affairs, Australian Taxation Office</w:t>
      </w:r>
      <w:r w:rsidR="001E7FD4">
        <w:t xml:space="preserve"> and Australian Compe</w:t>
      </w:r>
      <w:r w:rsidR="00D504FB">
        <w:t>tition and Consumer Commission, jurisdictional representatives on the National Expert Reference Group on Tobacco and key tobacco non-government organisation stakeholders were also consulted.</w:t>
      </w:r>
    </w:p>
    <w:p w:rsidR="0057267C" w:rsidRDefault="0057267C" w:rsidP="00FE59F4">
      <w:pPr>
        <w:spacing w:after="0" w:line="240" w:lineRule="auto"/>
      </w:pPr>
    </w:p>
    <w:p w:rsidR="0057267C" w:rsidRDefault="00D7578D" w:rsidP="00D7578D">
      <w:r>
        <w:t>Tobacco importers were supportive of the proposed amendment. Consultation highlighted some technical concerns about the application and placement of the identifier on varying formats of tobacco product packaging. These were considered and addressed where this facilitated application of the identifier whilst maintaining the integrity of the plain packaging regulations.</w:t>
      </w:r>
    </w:p>
    <w:p w:rsidR="00A91E93" w:rsidRDefault="00A91E93" w:rsidP="00A91E93">
      <w:r>
        <w:t>Stakeholders also requested that the Amendment Regulation allow for all further track and trace identifiers required by other countries implementing the Protocol and related new laws. The Amendment Regulation only addresses the new EU law at this time as it is not possible by regulations to allow for new laws that have not come into force in other countries.</w:t>
      </w:r>
    </w:p>
    <w:p w:rsidR="00F731E8" w:rsidRDefault="00A91E93" w:rsidP="00FE59F4">
      <w:pPr>
        <w:shd w:val="clear" w:color="auto" w:fill="FFFFFF"/>
        <w:spacing w:after="0" w:line="240" w:lineRule="auto"/>
        <w:rPr>
          <w:rFonts w:eastAsia="Times New Roman"/>
          <w:lang w:eastAsia="en-AU"/>
        </w:rPr>
      </w:pPr>
      <w:r>
        <w:t>The Principal Regulations are due to sunset on 1 April 2022 and are subject to thematic review prior to that time. It is anticipated that through this review there may be amendments to the Act to allow track and trace identifiers from other countries and an opportunity for refinement of the regulations to address any further technical considerations.</w:t>
      </w:r>
    </w:p>
    <w:p w:rsidR="00340CFF" w:rsidRPr="00340CFF" w:rsidRDefault="00340CFF" w:rsidP="00FE59F4">
      <w:pPr>
        <w:shd w:val="clear" w:color="auto" w:fill="FFFFFF"/>
        <w:spacing w:after="0" w:line="240" w:lineRule="auto"/>
        <w:rPr>
          <w:rFonts w:ascii="Helvetica Neue" w:eastAsia="Times New Roman" w:hAnsi="Helvetica Neue"/>
          <w:sz w:val="19"/>
          <w:szCs w:val="19"/>
          <w:lang w:val="en-US" w:eastAsia="en-AU"/>
        </w:rPr>
      </w:pPr>
      <w:r w:rsidRPr="00340CFF">
        <w:rPr>
          <w:rFonts w:eastAsia="Times New Roman"/>
          <w:lang w:eastAsia="en-AU"/>
        </w:rPr>
        <w:lastRenderedPageBreak/>
        <w:t xml:space="preserve">Details of the </w:t>
      </w:r>
      <w:r w:rsidR="00A91E93">
        <w:rPr>
          <w:rFonts w:eastAsia="Times New Roman"/>
          <w:lang w:eastAsia="en-AU"/>
        </w:rPr>
        <w:t xml:space="preserve">Amendment Regulation </w:t>
      </w:r>
      <w:r w:rsidR="00D243CB">
        <w:rPr>
          <w:rFonts w:eastAsia="Times New Roman"/>
          <w:lang w:eastAsia="en-AU"/>
        </w:rPr>
        <w:t>is</w:t>
      </w:r>
      <w:r w:rsidRPr="00340CFF">
        <w:rPr>
          <w:rFonts w:eastAsia="Times New Roman"/>
          <w:lang w:eastAsia="en-AU"/>
        </w:rPr>
        <w:t xml:space="preserve"> set out in </w:t>
      </w:r>
      <w:r w:rsidRPr="00340CFF">
        <w:rPr>
          <w:rFonts w:eastAsia="Times New Roman"/>
          <w:u w:val="single"/>
          <w:lang w:eastAsia="en-AU"/>
        </w:rPr>
        <w:t>Attachment A</w:t>
      </w:r>
      <w:r w:rsidRPr="00340CFF">
        <w:rPr>
          <w:rFonts w:eastAsia="Times New Roman"/>
          <w:lang w:eastAsia="en-AU"/>
        </w:rPr>
        <w:t>.</w:t>
      </w:r>
    </w:p>
    <w:p w:rsidR="00E62957" w:rsidRDefault="00E62957" w:rsidP="00FE59F4">
      <w:pPr>
        <w:shd w:val="clear" w:color="auto" w:fill="FFFFFF"/>
        <w:spacing w:after="0" w:line="240" w:lineRule="auto"/>
        <w:rPr>
          <w:rFonts w:eastAsia="Times New Roman"/>
          <w:color w:val="000000"/>
          <w:lang w:eastAsia="en-AU"/>
        </w:rPr>
      </w:pPr>
    </w:p>
    <w:p w:rsidR="00340CFF" w:rsidRPr="00283C80" w:rsidRDefault="00340CFF" w:rsidP="00E62957">
      <w:pPr>
        <w:shd w:val="clear" w:color="auto" w:fill="FFFFFF"/>
        <w:spacing w:after="0" w:line="240" w:lineRule="auto"/>
        <w:rPr>
          <w:rFonts w:ascii="Helvetica Neue" w:eastAsia="Times New Roman" w:hAnsi="Helvetica Neue"/>
          <w:sz w:val="19"/>
          <w:szCs w:val="19"/>
          <w:lang w:val="en-US" w:eastAsia="en-AU"/>
        </w:rPr>
      </w:pPr>
      <w:r w:rsidRPr="00340CFF">
        <w:rPr>
          <w:rFonts w:eastAsia="Times New Roman"/>
          <w:color w:val="000000"/>
          <w:lang w:eastAsia="en-AU"/>
        </w:rPr>
        <w:t xml:space="preserve">The Amendment Regulation </w:t>
      </w:r>
      <w:r w:rsidR="00D243CB">
        <w:rPr>
          <w:rFonts w:eastAsia="Times New Roman"/>
          <w:color w:val="000000"/>
          <w:lang w:eastAsia="en-AU"/>
        </w:rPr>
        <w:t>is</w:t>
      </w:r>
      <w:r w:rsidRPr="00340CFF">
        <w:rPr>
          <w:rFonts w:eastAsia="Times New Roman"/>
          <w:color w:val="000000"/>
          <w:lang w:eastAsia="en-AU"/>
        </w:rPr>
        <w:t xml:space="preserve"> a legislative instrument for the purposes of the </w:t>
      </w:r>
      <w:r w:rsidRPr="00340CFF">
        <w:rPr>
          <w:rFonts w:eastAsia="Times New Roman"/>
          <w:i/>
          <w:iCs/>
          <w:color w:val="000000"/>
          <w:lang w:eastAsia="en-AU"/>
        </w:rPr>
        <w:t>Legislation Act 2003</w:t>
      </w:r>
      <w:r w:rsidRPr="00340CFF">
        <w:rPr>
          <w:rFonts w:eastAsia="Times New Roman"/>
          <w:color w:val="000000"/>
          <w:lang w:eastAsia="en-AU"/>
        </w:rPr>
        <w:t>.</w:t>
      </w:r>
    </w:p>
    <w:p w:rsidR="00A91E93" w:rsidRDefault="00A91E93" w:rsidP="00E62957">
      <w:pPr>
        <w:shd w:val="clear" w:color="auto" w:fill="FFFFFF"/>
        <w:spacing w:after="0" w:line="240" w:lineRule="auto"/>
        <w:rPr>
          <w:rFonts w:eastAsia="Times New Roman"/>
          <w:color w:val="000000"/>
          <w:lang w:eastAsia="en-AU"/>
        </w:rPr>
      </w:pPr>
    </w:p>
    <w:p w:rsidR="00957DB2" w:rsidRPr="00957DB2" w:rsidRDefault="00957DB2" w:rsidP="00E62957">
      <w:pPr>
        <w:spacing w:after="0" w:line="240" w:lineRule="auto"/>
      </w:pPr>
      <w:r w:rsidRPr="00FB0EAA">
        <w:t xml:space="preserve">The Principal Regulations are a legislative instrument for the purposes of the </w:t>
      </w:r>
      <w:r>
        <w:br/>
      </w:r>
      <w:r w:rsidRPr="00FB0EAA">
        <w:rPr>
          <w:i/>
          <w:iCs/>
        </w:rPr>
        <w:t>Legislation Act 2003</w:t>
      </w:r>
      <w:r w:rsidRPr="00FB0EAA">
        <w:t>.</w:t>
      </w:r>
    </w:p>
    <w:p w:rsidR="00957DB2" w:rsidRPr="00FB0EAA" w:rsidRDefault="00957DB2" w:rsidP="00E62957">
      <w:pPr>
        <w:spacing w:after="0" w:line="240" w:lineRule="auto"/>
      </w:pPr>
    </w:p>
    <w:p w:rsidR="00957DB2" w:rsidRDefault="00957DB2" w:rsidP="00FE59F4">
      <w:pPr>
        <w:spacing w:after="0" w:line="240" w:lineRule="auto"/>
        <w:ind w:left="720" w:firstLine="720"/>
        <w:jc w:val="right"/>
        <w:rPr>
          <w:rFonts w:eastAsia="Times New Roman"/>
          <w:i/>
          <w:iCs/>
          <w:color w:val="000000"/>
          <w:lang w:eastAsia="en-AU"/>
        </w:rPr>
      </w:pPr>
      <w:r w:rsidRPr="00FB0EAA">
        <w:rPr>
          <w:u w:val="single"/>
        </w:rPr>
        <w:t>Authority</w:t>
      </w:r>
      <w:r w:rsidR="00283C80">
        <w:t>: Subsection 109</w:t>
      </w:r>
      <w:r w:rsidRPr="00FB0EAA">
        <w:t xml:space="preserve"> of the </w:t>
      </w:r>
      <w:r w:rsidR="00283C80">
        <w:rPr>
          <w:rFonts w:eastAsia="Times New Roman"/>
          <w:i/>
          <w:iCs/>
          <w:color w:val="000000"/>
          <w:lang w:eastAsia="en-AU"/>
        </w:rPr>
        <w:t>Tobacco Plain Packaging Act 2011</w:t>
      </w:r>
    </w:p>
    <w:p w:rsidR="00064D87" w:rsidRDefault="00064D87" w:rsidP="00FE59F4">
      <w:pPr>
        <w:spacing w:after="0" w:line="240" w:lineRule="auto"/>
        <w:ind w:left="720" w:firstLine="720"/>
        <w:jc w:val="right"/>
      </w:pPr>
    </w:p>
    <w:p w:rsidR="00064D87" w:rsidRPr="00FB0EAA" w:rsidRDefault="00064D87" w:rsidP="00FE59F4">
      <w:pPr>
        <w:spacing w:after="0" w:line="240" w:lineRule="auto"/>
        <w:ind w:left="720" w:firstLine="720"/>
        <w:jc w:val="right"/>
      </w:pPr>
    </w:p>
    <w:p w:rsidR="00C57842" w:rsidRDefault="00C57842">
      <w:pPr>
        <w:rPr>
          <w:b/>
          <w:sz w:val="28"/>
          <w:szCs w:val="28"/>
        </w:rPr>
      </w:pPr>
      <w:r>
        <w:br w:type="page"/>
      </w:r>
    </w:p>
    <w:p w:rsidR="00340CFF" w:rsidRPr="00FE59F4" w:rsidRDefault="00340CFF" w:rsidP="00FE59F4">
      <w:pPr>
        <w:shd w:val="clear" w:color="auto" w:fill="FFFFFF"/>
        <w:spacing w:after="0" w:line="240" w:lineRule="auto"/>
        <w:jc w:val="right"/>
        <w:rPr>
          <w:rFonts w:eastAsia="Times New Roman"/>
          <w:lang w:val="en-US" w:eastAsia="en-AU"/>
        </w:rPr>
      </w:pPr>
      <w:r w:rsidRPr="00FE59F4">
        <w:rPr>
          <w:rFonts w:eastAsia="Times New Roman"/>
          <w:b/>
          <w:bCs/>
          <w:caps/>
          <w:lang w:eastAsia="en-AU"/>
        </w:rPr>
        <w:lastRenderedPageBreak/>
        <w:t> </w:t>
      </w:r>
      <w:r w:rsidRPr="00FE59F4">
        <w:rPr>
          <w:rFonts w:eastAsia="Times New Roman"/>
          <w:b/>
          <w:bCs/>
          <w:caps/>
          <w:u w:val="single"/>
          <w:lang w:eastAsia="en-AU"/>
        </w:rPr>
        <w:t>Attachment A</w:t>
      </w:r>
    </w:p>
    <w:p w:rsidR="00340CFF" w:rsidRPr="00FE59F4" w:rsidRDefault="00340CFF" w:rsidP="00FE59F4">
      <w:pPr>
        <w:shd w:val="clear" w:color="auto" w:fill="FFFFFF"/>
        <w:spacing w:after="0" w:line="240" w:lineRule="auto"/>
        <w:rPr>
          <w:rFonts w:eastAsia="Times New Roman"/>
          <w:lang w:val="en-US" w:eastAsia="en-AU"/>
        </w:rPr>
      </w:pPr>
      <w:r w:rsidRPr="00FE59F4">
        <w:rPr>
          <w:rFonts w:eastAsia="Times New Roman"/>
          <w:lang w:eastAsia="en-AU"/>
        </w:rPr>
        <w:t> </w:t>
      </w:r>
    </w:p>
    <w:p w:rsidR="00957DB2" w:rsidRPr="00FE59F4" w:rsidRDefault="00340CFF" w:rsidP="00FE59F4">
      <w:pPr>
        <w:spacing w:after="0" w:line="240" w:lineRule="auto"/>
        <w:ind w:right="91"/>
        <w:rPr>
          <w:rFonts w:eastAsia="Times New Roman"/>
          <w:b/>
          <w:bCs/>
          <w:color w:val="000000"/>
          <w:u w:val="single"/>
          <w:lang w:eastAsia="en-AU"/>
        </w:rPr>
      </w:pPr>
      <w:r w:rsidRPr="00FE59F4">
        <w:rPr>
          <w:rFonts w:eastAsia="Times New Roman"/>
          <w:b/>
          <w:bCs/>
          <w:color w:val="000000"/>
          <w:u w:val="single"/>
          <w:lang w:eastAsia="en-AU"/>
        </w:rPr>
        <w:t xml:space="preserve">Details of the </w:t>
      </w:r>
      <w:r w:rsidR="00957DB2" w:rsidRPr="00FE59F4">
        <w:rPr>
          <w:rFonts w:eastAsia="Times New Roman"/>
          <w:b/>
          <w:bCs/>
          <w:i/>
          <w:color w:val="000000"/>
          <w:u w:val="single"/>
          <w:lang w:eastAsia="en-AU"/>
        </w:rPr>
        <w:t>Tobacco Plain Packaging Amendment (Track and Trace Identifiers) Regulations 2018</w:t>
      </w:r>
    </w:p>
    <w:p w:rsidR="00340CFF" w:rsidRPr="00FE59F4" w:rsidRDefault="00340CFF" w:rsidP="00FE59F4">
      <w:pPr>
        <w:shd w:val="clear" w:color="auto" w:fill="FFFFFF"/>
        <w:spacing w:after="0" w:line="240" w:lineRule="auto"/>
        <w:rPr>
          <w:rFonts w:eastAsia="Times New Roman"/>
          <w:lang w:val="en-US" w:eastAsia="en-AU"/>
        </w:rPr>
      </w:pPr>
      <w:r w:rsidRPr="00FE59F4">
        <w:rPr>
          <w:rFonts w:eastAsia="Times New Roman"/>
          <w:color w:val="000000"/>
          <w:lang w:eastAsia="en-AU"/>
        </w:rPr>
        <w:t> </w:t>
      </w:r>
    </w:p>
    <w:p w:rsidR="00A42C22" w:rsidRDefault="00A42C22" w:rsidP="00A42C22">
      <w:pPr>
        <w:spacing w:after="0" w:line="240" w:lineRule="auto"/>
        <w:ind w:right="91"/>
      </w:pPr>
      <w:r>
        <w:rPr>
          <w:u w:val="single"/>
        </w:rPr>
        <w:t>Section 1 – Name of Regulations</w:t>
      </w:r>
    </w:p>
    <w:p w:rsidR="00A42C22" w:rsidRPr="00A42C22" w:rsidRDefault="00A42C22" w:rsidP="00A42C22">
      <w:pPr>
        <w:ind w:right="91"/>
        <w:rPr>
          <w:i/>
        </w:rPr>
      </w:pPr>
      <w:r>
        <w:t xml:space="preserve">This section provides that the title of the Regulations is the </w:t>
      </w:r>
      <w:r>
        <w:rPr>
          <w:i/>
        </w:rPr>
        <w:t>Tobacco Plain Packaging Amendment (Track and Trace Identifiers) Regulations 2018.</w:t>
      </w:r>
    </w:p>
    <w:p w:rsidR="00A42C22" w:rsidRPr="00A42C22" w:rsidRDefault="00A42C22" w:rsidP="00A42C22">
      <w:pPr>
        <w:spacing w:after="0" w:line="240" w:lineRule="auto"/>
        <w:ind w:right="91"/>
        <w:rPr>
          <w:u w:val="single"/>
        </w:rPr>
      </w:pPr>
      <w:r>
        <w:rPr>
          <w:u w:val="single"/>
        </w:rPr>
        <w:t>Section</w:t>
      </w:r>
      <w:r w:rsidRPr="00AE63D2">
        <w:rPr>
          <w:u w:val="single"/>
        </w:rPr>
        <w:t xml:space="preserve"> 2 </w:t>
      </w:r>
      <w:r>
        <w:rPr>
          <w:u w:val="single"/>
        </w:rPr>
        <w:t>– C</w:t>
      </w:r>
      <w:r w:rsidRPr="00AE63D2">
        <w:rPr>
          <w:u w:val="single"/>
        </w:rPr>
        <w:t>ommencement</w:t>
      </w:r>
    </w:p>
    <w:p w:rsidR="00A42C22" w:rsidRDefault="00C07AE6" w:rsidP="00C07AE6">
      <w:pPr>
        <w:ind w:right="91"/>
      </w:pPr>
      <w:r>
        <w:t xml:space="preserve">This section would provide for the Regulations to commence the day after the Instrument is registered. </w:t>
      </w:r>
    </w:p>
    <w:p w:rsidR="00A42C22" w:rsidRPr="00A42C22" w:rsidRDefault="00A42C22" w:rsidP="00A42C22">
      <w:pPr>
        <w:spacing w:after="0" w:line="240" w:lineRule="auto"/>
        <w:ind w:right="91"/>
        <w:rPr>
          <w:u w:val="single"/>
        </w:rPr>
      </w:pPr>
      <w:r>
        <w:rPr>
          <w:u w:val="single"/>
        </w:rPr>
        <w:t>Section 3 – Authority</w:t>
      </w:r>
    </w:p>
    <w:p w:rsidR="00A42C22" w:rsidRDefault="00A42C22" w:rsidP="00A42C22">
      <w:pPr>
        <w:ind w:right="91"/>
      </w:pPr>
      <w:r>
        <w:t xml:space="preserve">This section provides that the </w:t>
      </w:r>
      <w:r>
        <w:rPr>
          <w:i/>
        </w:rPr>
        <w:t xml:space="preserve">Tobacco Plain Packaging Amendment (Track and Trace Identifiers) Regulations 2018 </w:t>
      </w:r>
      <w:r>
        <w:t xml:space="preserve">is made under Section 109 of the </w:t>
      </w:r>
      <w:r>
        <w:rPr>
          <w:i/>
        </w:rPr>
        <w:t>Tobacco Plain Packaging Act 2011.</w:t>
      </w:r>
    </w:p>
    <w:p w:rsidR="00A42C22" w:rsidRPr="00A42C22" w:rsidRDefault="00A42C22" w:rsidP="00A42C22">
      <w:pPr>
        <w:keepNext/>
        <w:spacing w:after="0" w:line="240" w:lineRule="auto"/>
        <w:ind w:right="748"/>
        <w:rPr>
          <w:u w:val="single"/>
        </w:rPr>
      </w:pPr>
      <w:r>
        <w:rPr>
          <w:u w:val="single"/>
        </w:rPr>
        <w:t>Section 4 – Schedule(s)</w:t>
      </w:r>
    </w:p>
    <w:p w:rsidR="00A42C22" w:rsidRPr="00A42C22" w:rsidRDefault="00A42C22" w:rsidP="00A42C22">
      <w:pPr>
        <w:keepNext/>
        <w:ind w:right="748"/>
      </w:pPr>
      <w: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rsidR="00A42C22" w:rsidRDefault="00A42C22" w:rsidP="00A42C22">
      <w:pPr>
        <w:ind w:right="91"/>
      </w:pPr>
      <w:r>
        <w:rPr>
          <w:u w:val="single"/>
        </w:rPr>
        <w:t>Schedule – Amendments</w:t>
      </w:r>
    </w:p>
    <w:p w:rsidR="00A42C22" w:rsidRDefault="00A42C22" w:rsidP="00A42C22">
      <w:pPr>
        <w:spacing w:after="0" w:line="240" w:lineRule="auto"/>
        <w:ind w:right="91"/>
      </w:pPr>
      <w:r>
        <w:rPr>
          <w:b/>
        </w:rPr>
        <w:t>Item 1 – After the heading to Regulation 1.1.3</w:t>
      </w:r>
    </w:p>
    <w:p w:rsidR="00A42C22" w:rsidRDefault="00A42C22" w:rsidP="00A42C22">
      <w:pPr>
        <w:ind w:right="91"/>
      </w:pPr>
      <w:r>
        <w:t xml:space="preserve">Item 1 adds a note after the heading of Regulation 1.1.3 of the </w:t>
      </w:r>
      <w:r w:rsidRPr="00C476FF">
        <w:rPr>
          <w:rFonts w:eastAsiaTheme="majorEastAsia"/>
          <w:bCs/>
        </w:rPr>
        <w:t>P</w:t>
      </w:r>
      <w:r>
        <w:rPr>
          <w:rFonts w:eastAsiaTheme="majorEastAsia"/>
          <w:bCs/>
        </w:rPr>
        <w:t>rincipal</w:t>
      </w:r>
      <w:r>
        <w:t xml:space="preserve"> Regulations.  The purpose of this note is to provide for a number of expressions used in the </w:t>
      </w:r>
      <w:r w:rsidRPr="00C476FF">
        <w:rPr>
          <w:rFonts w:eastAsiaTheme="majorEastAsia"/>
          <w:bCs/>
        </w:rPr>
        <w:t>P</w:t>
      </w:r>
      <w:r>
        <w:rPr>
          <w:rFonts w:eastAsiaTheme="majorEastAsia"/>
          <w:bCs/>
        </w:rPr>
        <w:t>rincipal</w:t>
      </w:r>
      <w:r>
        <w:t xml:space="preserve"> Regulations that are defined in the Act.</w:t>
      </w:r>
    </w:p>
    <w:p w:rsidR="00A42C22" w:rsidRDefault="00A42C22" w:rsidP="00A42C22">
      <w:pPr>
        <w:spacing w:after="0" w:line="240" w:lineRule="auto"/>
        <w:ind w:right="91"/>
        <w:rPr>
          <w:b/>
        </w:rPr>
      </w:pPr>
      <w:r>
        <w:rPr>
          <w:b/>
        </w:rPr>
        <w:t>Item 2 – Regulation 1.1.3</w:t>
      </w:r>
    </w:p>
    <w:p w:rsidR="00413DDE" w:rsidRPr="00413DDE" w:rsidRDefault="00413DDE" w:rsidP="00413DDE">
      <w:pPr>
        <w:autoSpaceDE w:val="0"/>
        <w:autoSpaceDN w:val="0"/>
        <w:adjustRightInd w:val="0"/>
      </w:pPr>
      <w:r w:rsidRPr="006C42D4">
        <w:t>Item 2 adds</w:t>
      </w:r>
      <w:r>
        <w:t xml:space="preserve"> definitions to Regulation 1.1.3 of the </w:t>
      </w:r>
      <w:r w:rsidRPr="00C476FF">
        <w:rPr>
          <w:rFonts w:eastAsiaTheme="majorEastAsia"/>
          <w:bCs/>
        </w:rPr>
        <w:t>P</w:t>
      </w:r>
      <w:r>
        <w:rPr>
          <w:rFonts w:eastAsiaTheme="majorEastAsia"/>
          <w:bCs/>
        </w:rPr>
        <w:t>rincipal</w:t>
      </w:r>
      <w:r>
        <w:t xml:space="preserve"> Regulations for machine readable code. The purpose of this Regulation is to provide meaning for the format of one of the forms of the track and trace identifier that would be allowed on retail tobacco packaging.</w:t>
      </w:r>
    </w:p>
    <w:p w:rsidR="00413DDE" w:rsidRDefault="00413DDE" w:rsidP="00413DDE">
      <w:pPr>
        <w:autoSpaceDE w:val="0"/>
        <w:autoSpaceDN w:val="0"/>
        <w:adjustRightInd w:val="0"/>
      </w:pPr>
      <w:r>
        <w:t>Item 2 also adds definition for the primary packaging track and trace identifier and for secondary packaging track and trace identifier.  The purpose of this Regulation is to provide meaning for the retail tobacco packaging the track and trace identifier is required to appear on.</w:t>
      </w:r>
    </w:p>
    <w:p w:rsidR="00413DDE" w:rsidRPr="00413DDE" w:rsidRDefault="00413DDE" w:rsidP="00413DDE">
      <w:pPr>
        <w:autoSpaceDE w:val="0"/>
        <w:autoSpaceDN w:val="0"/>
        <w:adjustRightInd w:val="0"/>
        <w:rPr>
          <w:b/>
        </w:rPr>
      </w:pPr>
      <w:r>
        <w:t>Item 2 incorporates by reference Articles 6 and 10 of the Commission Implementing Regulation (EU) 2018/574 of 15 December 2017, as existing on the day this definition commences. The Regulation could in 2018 viewed on the European Union website (</w:t>
      </w:r>
      <w:hyperlink r:id="rId7" w:history="1">
        <w:r w:rsidRPr="00BC757A">
          <w:rPr>
            <w:rStyle w:val="Hyperlink"/>
          </w:rPr>
          <w:t>http://europa.eu</w:t>
        </w:r>
      </w:hyperlink>
      <w:r>
        <w:t>)</w:t>
      </w:r>
    </w:p>
    <w:p w:rsidR="00A42C22" w:rsidRDefault="00A42C22" w:rsidP="00A42C22">
      <w:pPr>
        <w:spacing w:after="0" w:line="240" w:lineRule="auto"/>
        <w:ind w:right="91"/>
        <w:rPr>
          <w:b/>
        </w:rPr>
      </w:pPr>
      <w:r>
        <w:rPr>
          <w:b/>
        </w:rPr>
        <w:t>Item 3 – Regulation 1.1.3</w:t>
      </w:r>
    </w:p>
    <w:p w:rsidR="002839E0" w:rsidRPr="002839E0" w:rsidRDefault="00A42C22" w:rsidP="002839E0">
      <w:pPr>
        <w:autoSpaceDE w:val="0"/>
        <w:autoSpaceDN w:val="0"/>
        <w:adjustRightInd w:val="0"/>
      </w:pPr>
      <w:r>
        <w:t xml:space="preserve">Item 3 repeals the note in Regulation 1.1.3 of the </w:t>
      </w:r>
      <w:r w:rsidRPr="00C476FF">
        <w:rPr>
          <w:rFonts w:eastAsiaTheme="majorEastAsia"/>
          <w:bCs/>
        </w:rPr>
        <w:t>P</w:t>
      </w:r>
      <w:r>
        <w:rPr>
          <w:rFonts w:eastAsiaTheme="majorEastAsia"/>
          <w:bCs/>
        </w:rPr>
        <w:t>rincipal</w:t>
      </w:r>
      <w:r>
        <w:t xml:space="preserve"> Regulations.  </w:t>
      </w:r>
    </w:p>
    <w:p w:rsidR="00A42C22" w:rsidRDefault="00A42C22" w:rsidP="00A42C22">
      <w:pPr>
        <w:spacing w:after="0" w:line="240" w:lineRule="auto"/>
        <w:ind w:right="91"/>
        <w:rPr>
          <w:b/>
        </w:rPr>
      </w:pPr>
      <w:r>
        <w:rPr>
          <w:b/>
        </w:rPr>
        <w:t>Item 4 – After subregulation 2.3.1(2)</w:t>
      </w:r>
    </w:p>
    <w:p w:rsidR="00A42C22" w:rsidRDefault="00A42C22" w:rsidP="00A42C22">
      <w:pPr>
        <w:ind w:right="91"/>
      </w:pPr>
      <w:r>
        <w:lastRenderedPageBreak/>
        <w:t xml:space="preserve">Item 4 adds a subregulation to Regulation 2.3.1 of the </w:t>
      </w:r>
      <w:r w:rsidRPr="00C476FF">
        <w:rPr>
          <w:rFonts w:eastAsiaTheme="majorEastAsia"/>
          <w:bCs/>
        </w:rPr>
        <w:t>P</w:t>
      </w:r>
      <w:r>
        <w:rPr>
          <w:rFonts w:eastAsiaTheme="majorEastAsia"/>
          <w:bCs/>
        </w:rPr>
        <w:t>rincipal</w:t>
      </w:r>
      <w:r>
        <w:t xml:space="preserve"> Regulations.  The purpose of this subregulation is to provide for the circumstances for track and trace identifier marks appearing on retail packaging.</w:t>
      </w:r>
    </w:p>
    <w:p w:rsidR="00A42C22" w:rsidRDefault="00A42C22" w:rsidP="00A42C22">
      <w:pPr>
        <w:spacing w:after="0" w:line="240" w:lineRule="auto"/>
        <w:ind w:right="91"/>
        <w:rPr>
          <w:b/>
        </w:rPr>
      </w:pPr>
      <w:r>
        <w:rPr>
          <w:b/>
        </w:rPr>
        <w:t>Item 5 – Subregulation 2.3.1(5)</w:t>
      </w:r>
    </w:p>
    <w:p w:rsidR="001E679D" w:rsidRPr="00E730C5" w:rsidRDefault="00A42C22" w:rsidP="00E730C5">
      <w:pPr>
        <w:ind w:right="91"/>
      </w:pPr>
      <w:r>
        <w:t xml:space="preserve">Item 5 adds a subregulation to Regulation 2.3.1(5) of the </w:t>
      </w:r>
      <w:r w:rsidRPr="00C476FF">
        <w:rPr>
          <w:rFonts w:eastAsiaTheme="majorEastAsia"/>
          <w:bCs/>
        </w:rPr>
        <w:t>P</w:t>
      </w:r>
      <w:r>
        <w:rPr>
          <w:rFonts w:eastAsiaTheme="majorEastAsia"/>
          <w:bCs/>
        </w:rPr>
        <w:t>rincipal</w:t>
      </w:r>
      <w:r>
        <w:t xml:space="preserve"> Regulations.  The purpose of this subregulation is to provide for track and </w:t>
      </w:r>
      <w:r w:rsidR="002839E0">
        <w:t>trace identifier marks that do</w:t>
      </w:r>
      <w:r>
        <w:t xml:space="preserve"> not obscure any relevant legislative requirement, constitute tobacco advertising and promotion, or provide access to tobacco advertising and promotion.</w:t>
      </w:r>
    </w:p>
    <w:p w:rsidR="00A42C22" w:rsidRDefault="00A42C22" w:rsidP="00A42C22">
      <w:pPr>
        <w:spacing w:after="0" w:line="240" w:lineRule="auto"/>
        <w:ind w:right="91"/>
        <w:rPr>
          <w:b/>
        </w:rPr>
      </w:pPr>
      <w:r>
        <w:rPr>
          <w:b/>
        </w:rPr>
        <w:t>Item 6 – At the end of Division 2.3</w:t>
      </w:r>
    </w:p>
    <w:p w:rsidR="00A42C22" w:rsidRDefault="00A42C22" w:rsidP="00A42C22">
      <w:pPr>
        <w:ind w:right="91"/>
      </w:pPr>
      <w:r>
        <w:t xml:space="preserve">Item 6 adds Regulation 2.3.10 and 2.3.11 to the </w:t>
      </w:r>
      <w:r w:rsidRPr="00C476FF">
        <w:rPr>
          <w:rFonts w:eastAsiaTheme="majorEastAsia"/>
          <w:bCs/>
        </w:rPr>
        <w:t>P</w:t>
      </w:r>
      <w:r>
        <w:rPr>
          <w:rFonts w:eastAsiaTheme="majorEastAsia"/>
          <w:bCs/>
        </w:rPr>
        <w:t>rincipal</w:t>
      </w:r>
      <w:r>
        <w:t xml:space="preserve"> Regulations.  The purpose of this Regulation is to provide for track and trace identifier marks on retail packaging and prescribes requirements for placement and adherence that is consistent with the Act and </w:t>
      </w:r>
      <w:r w:rsidRPr="00C476FF">
        <w:rPr>
          <w:rFonts w:eastAsiaTheme="majorEastAsia"/>
          <w:bCs/>
        </w:rPr>
        <w:t>P</w:t>
      </w:r>
      <w:r>
        <w:rPr>
          <w:rFonts w:eastAsiaTheme="majorEastAsia"/>
          <w:bCs/>
        </w:rPr>
        <w:t>rincipal</w:t>
      </w:r>
      <w:r>
        <w:t xml:space="preserve"> Regulations.</w:t>
      </w:r>
    </w:p>
    <w:p w:rsidR="00064D87" w:rsidRDefault="00064D87" w:rsidP="00A42C22">
      <w:pPr>
        <w:ind w:right="91"/>
      </w:pPr>
    </w:p>
    <w:p w:rsidR="00F32169" w:rsidRDefault="00F32169">
      <w:r>
        <w:br w:type="page"/>
      </w:r>
    </w:p>
    <w:p w:rsidR="00F32169" w:rsidRDefault="00F32169" w:rsidP="00F32169">
      <w:pPr>
        <w:pStyle w:val="Heading2"/>
        <w:spacing w:before="0" w:after="0"/>
        <w:rPr>
          <w:rFonts w:cs="Times New Roman"/>
        </w:rPr>
      </w:pPr>
      <w:r>
        <w:rPr>
          <w:rFonts w:cs="Times New Roman"/>
        </w:rPr>
        <w:lastRenderedPageBreak/>
        <w:t>Statement of Compatibility with Human Rights</w:t>
      </w:r>
    </w:p>
    <w:p w:rsidR="00F32169" w:rsidRDefault="00F32169" w:rsidP="00F32169">
      <w:pPr>
        <w:spacing w:after="0" w:line="240" w:lineRule="auto"/>
        <w:jc w:val="center"/>
        <w:rPr>
          <w:i/>
        </w:rPr>
      </w:pPr>
    </w:p>
    <w:p w:rsidR="00F32169" w:rsidRDefault="00F32169" w:rsidP="00F32169">
      <w:pPr>
        <w:spacing w:after="0" w:line="240" w:lineRule="auto"/>
        <w:jc w:val="center"/>
      </w:pPr>
      <w:r>
        <w:rPr>
          <w:i/>
        </w:rPr>
        <w:t>Prepared in accordance with Part 3 of the Human Rights (Parliamentary Scrutiny) Act 2011</w:t>
      </w:r>
    </w:p>
    <w:p w:rsidR="00F32169" w:rsidRDefault="00F32169" w:rsidP="00F32169">
      <w:pPr>
        <w:spacing w:after="0" w:line="240" w:lineRule="auto"/>
        <w:ind w:right="91"/>
        <w:jc w:val="center"/>
        <w:rPr>
          <w:b/>
        </w:rPr>
      </w:pPr>
    </w:p>
    <w:p w:rsidR="00F32169" w:rsidRDefault="00F32169" w:rsidP="00F32169">
      <w:pPr>
        <w:spacing w:after="0" w:line="240" w:lineRule="auto"/>
        <w:ind w:right="91"/>
        <w:jc w:val="center"/>
        <w:rPr>
          <w:b/>
          <w:i/>
        </w:rPr>
      </w:pPr>
      <w:r>
        <w:rPr>
          <w:b/>
          <w:i/>
        </w:rPr>
        <w:t>Tobacco Plain Packaging Amendment (Track and Trace Identifiers) Regulations 2018</w:t>
      </w:r>
    </w:p>
    <w:p w:rsidR="00F32169" w:rsidRDefault="00F32169" w:rsidP="00F32169">
      <w:pPr>
        <w:spacing w:after="0" w:line="240" w:lineRule="auto"/>
        <w:jc w:val="center"/>
      </w:pPr>
    </w:p>
    <w:p w:rsidR="00F32169" w:rsidRDefault="00F32169" w:rsidP="00F32169">
      <w:pPr>
        <w:spacing w:after="0" w:line="240" w:lineRule="auto"/>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rsidR="00F32169" w:rsidRDefault="00F32169" w:rsidP="00F32169">
      <w:pPr>
        <w:spacing w:after="0" w:line="240" w:lineRule="auto"/>
      </w:pPr>
    </w:p>
    <w:p w:rsidR="00F32169" w:rsidRDefault="00F32169" w:rsidP="00F32169">
      <w:pPr>
        <w:pStyle w:val="Heading3"/>
        <w:spacing w:before="0" w:after="0"/>
        <w:rPr>
          <w:rFonts w:cs="Times New Roman"/>
        </w:rPr>
      </w:pPr>
      <w:r>
        <w:rPr>
          <w:rFonts w:cs="Times New Roman"/>
        </w:rPr>
        <w:t>Overview of the Legislative Instrument</w:t>
      </w:r>
    </w:p>
    <w:p w:rsidR="00F32169" w:rsidRDefault="00F32169" w:rsidP="00F32169">
      <w:pPr>
        <w:spacing w:after="0" w:line="240" w:lineRule="auto"/>
        <w:ind w:right="91"/>
      </w:pPr>
      <w:r>
        <w:rPr>
          <w:rFonts w:eastAsiaTheme="majorEastAsia"/>
          <w:bCs/>
        </w:rPr>
        <w:t xml:space="preserve">The </w:t>
      </w:r>
      <w:r>
        <w:rPr>
          <w:i/>
        </w:rPr>
        <w:t>Tobacco Plain Packaging Amendment (Track and Trace Identifiers) Regulations 2018</w:t>
      </w:r>
      <w:r>
        <w:t xml:space="preserve"> (the Amendment Regulations) amends the </w:t>
      </w:r>
      <w:r>
        <w:rPr>
          <w:i/>
        </w:rPr>
        <w:t>Tobacco Plain Packaging Regulations 2011</w:t>
      </w:r>
      <w:r>
        <w:t xml:space="preserve"> (the Principal Regulations) t</w:t>
      </w:r>
      <w:r>
        <w:rPr>
          <w:rFonts w:eastAsiaTheme="majorEastAsia"/>
          <w:bCs/>
        </w:rPr>
        <w:t>o allow tobacco products imported into Australia from the European Union’s (EU) to include track and trace unique identification markings on retail packaging.</w:t>
      </w:r>
      <w:r>
        <w:t xml:space="preserve"> </w:t>
      </w:r>
    </w:p>
    <w:p w:rsidR="00F32169" w:rsidRDefault="00F32169" w:rsidP="00F32169">
      <w:pPr>
        <w:spacing w:after="0" w:line="240" w:lineRule="auto"/>
        <w:ind w:right="91"/>
      </w:pPr>
    </w:p>
    <w:p w:rsidR="00F32169" w:rsidRDefault="00F32169" w:rsidP="00F32169">
      <w:pPr>
        <w:spacing w:after="0" w:line="240" w:lineRule="auto"/>
        <w:ind w:right="91"/>
      </w:pPr>
      <w:r>
        <w:t xml:space="preserve">The Amendment Regulations ensure the </w:t>
      </w:r>
      <w:r>
        <w:rPr>
          <w:i/>
        </w:rPr>
        <w:t>Tobacco Plain Packaging Act 2011</w:t>
      </w:r>
      <w:r>
        <w:t xml:space="preserve"> is facilitating and not hampering the EU efforts to combat illicit tobacco under a multilateral tobacco control agreement.  </w:t>
      </w:r>
    </w:p>
    <w:p w:rsidR="00F32169" w:rsidRDefault="00F32169" w:rsidP="00F32169">
      <w:pPr>
        <w:autoSpaceDE w:val="0"/>
        <w:autoSpaceDN w:val="0"/>
        <w:adjustRightInd w:val="0"/>
        <w:spacing w:after="0" w:line="240" w:lineRule="auto"/>
        <w:jc w:val="both"/>
      </w:pPr>
    </w:p>
    <w:p w:rsidR="00F32169" w:rsidRDefault="00F32169" w:rsidP="00F32169">
      <w:pPr>
        <w:pStyle w:val="Heading3"/>
        <w:spacing w:before="0" w:after="0"/>
        <w:rPr>
          <w:rFonts w:cs="Times New Roman"/>
        </w:rPr>
      </w:pPr>
      <w:r>
        <w:rPr>
          <w:rFonts w:cs="Times New Roman"/>
        </w:rPr>
        <w:t>Human rights implications</w:t>
      </w:r>
    </w:p>
    <w:p w:rsidR="00F32169" w:rsidRDefault="00F32169" w:rsidP="00F32169">
      <w:pPr>
        <w:spacing w:after="0" w:line="240" w:lineRule="auto"/>
      </w:pPr>
      <w:r>
        <w:t>This Disallowable Legislative Instrument engages the following rights:</w:t>
      </w:r>
    </w:p>
    <w:p w:rsidR="00F32169" w:rsidRDefault="00F32169" w:rsidP="00F32169">
      <w:pPr>
        <w:pStyle w:val="ListParagraph"/>
        <w:numPr>
          <w:ilvl w:val="0"/>
          <w:numId w:val="5"/>
        </w:numPr>
        <w:ind w:left="714" w:hanging="357"/>
        <w:contextualSpacing w:val="0"/>
        <w:rPr>
          <w:color w:val="000000" w:themeColor="text1"/>
        </w:rPr>
      </w:pPr>
      <w:r>
        <w:rPr>
          <w:color w:val="000000" w:themeColor="text1"/>
        </w:rPr>
        <w:t xml:space="preserve">The right to health: Article 12 of the International Covenant on Economic, Social and Cultural Rights (ICESCR); and </w:t>
      </w:r>
    </w:p>
    <w:p w:rsidR="00F32169" w:rsidRDefault="00F32169" w:rsidP="00F32169">
      <w:pPr>
        <w:pStyle w:val="ListParagraph"/>
        <w:numPr>
          <w:ilvl w:val="0"/>
          <w:numId w:val="5"/>
        </w:numPr>
        <w:ind w:left="714" w:hanging="357"/>
        <w:contextualSpacing w:val="0"/>
        <w:rPr>
          <w:color w:val="000000" w:themeColor="text1"/>
        </w:rPr>
      </w:pPr>
      <w:r>
        <w:rPr>
          <w:color w:val="000000" w:themeColor="text1"/>
        </w:rPr>
        <w:t>The right to life: Article 6 of the International Covenant on Civil and Political Rights (ICCPR).</w:t>
      </w:r>
    </w:p>
    <w:p w:rsidR="00F32169" w:rsidRDefault="00F32169" w:rsidP="00F32169">
      <w:pPr>
        <w:spacing w:after="0" w:line="240" w:lineRule="auto"/>
        <w:rPr>
          <w:color w:val="000000" w:themeColor="text1"/>
          <w:u w:val="single"/>
        </w:rPr>
      </w:pPr>
    </w:p>
    <w:p w:rsidR="00F32169" w:rsidRDefault="00F32169" w:rsidP="00F32169">
      <w:pPr>
        <w:spacing w:after="0" w:line="240" w:lineRule="auto"/>
        <w:rPr>
          <w:color w:val="000000" w:themeColor="text1"/>
          <w:u w:val="single"/>
        </w:rPr>
      </w:pPr>
      <w:r>
        <w:rPr>
          <w:color w:val="000000" w:themeColor="text1"/>
          <w:u w:val="single"/>
        </w:rPr>
        <w:t xml:space="preserve">Right to health; right to life </w:t>
      </w:r>
    </w:p>
    <w:p w:rsidR="00F32169" w:rsidRDefault="00F32169" w:rsidP="00F32169">
      <w:pPr>
        <w:spacing w:after="0" w:line="240" w:lineRule="auto"/>
        <w:rPr>
          <w:color w:val="000000" w:themeColor="text1"/>
        </w:rPr>
      </w:pPr>
      <w:r>
        <w:rPr>
          <w:color w:val="000000" w:themeColor="text1"/>
        </w:rPr>
        <w:t>The right to health is understood as the right to enjoy the highest attainable standard of physical and mental health, and includes an obligation to take reasonable measures within available resources to progressively secure broader enjoyment of the right.</w:t>
      </w:r>
    </w:p>
    <w:p w:rsidR="00F32169" w:rsidRDefault="00F32169" w:rsidP="00F32169">
      <w:pPr>
        <w:spacing w:after="0" w:line="240" w:lineRule="auto"/>
        <w:rPr>
          <w:color w:val="000000" w:themeColor="text1"/>
        </w:rPr>
      </w:pPr>
    </w:p>
    <w:p w:rsidR="00F32169" w:rsidRDefault="00F32169" w:rsidP="00F32169">
      <w:pPr>
        <w:pStyle w:val="firstdot"/>
        <w:spacing w:before="0" w:line="240" w:lineRule="auto"/>
        <w:rPr>
          <w:rFonts w:eastAsiaTheme="majorEastAsia"/>
          <w:bCs/>
          <w:lang w:eastAsia="en-US"/>
        </w:rPr>
      </w:pPr>
      <w:r>
        <w:t xml:space="preserve">Permitting the EU track and trace unique identifier on imported tobacco products helps to promote the right to health. This is because the measure enhances efforts to combat the global illicit tobacco trade. </w:t>
      </w:r>
      <w:r>
        <w:rPr>
          <w:rFonts w:eastAsiaTheme="majorEastAsia"/>
          <w:bCs/>
          <w:lang w:eastAsia="en-US"/>
        </w:rPr>
        <w:t xml:space="preserve">Combatting illicit tobacco ensures that consumers are provided with a full suite of Government strategies, aimed at reducing tobacco consumption rates in Australia. </w:t>
      </w:r>
      <w:r>
        <w:t>This is important because the illicit tobacco trade:</w:t>
      </w:r>
    </w:p>
    <w:p w:rsidR="00F32169" w:rsidRDefault="00F32169" w:rsidP="00F32169">
      <w:pPr>
        <w:pStyle w:val="ListParagraph"/>
        <w:numPr>
          <w:ilvl w:val="0"/>
          <w:numId w:val="6"/>
        </w:numPr>
        <w:contextualSpacing w:val="0"/>
        <w:rPr>
          <w:rFonts w:eastAsia="Calibri"/>
        </w:rPr>
      </w:pPr>
      <w:r>
        <w:t xml:space="preserve">impacts directly on the effectiveness of price-based public health policies aimed at decreasing smoking rates; and </w:t>
      </w:r>
    </w:p>
    <w:p w:rsidR="00F32169" w:rsidRDefault="00F32169" w:rsidP="00F32169">
      <w:pPr>
        <w:pStyle w:val="ListParagraph"/>
        <w:numPr>
          <w:ilvl w:val="0"/>
          <w:numId w:val="6"/>
        </w:numPr>
        <w:contextualSpacing w:val="0"/>
      </w:pPr>
      <w:proofErr w:type="gramStart"/>
      <w:r>
        <w:t>smokers</w:t>
      </w:r>
      <w:proofErr w:type="gramEnd"/>
      <w:r>
        <w:t xml:space="preserve"> accessing illicit products may not benefit from other public health measures including tobacco plain packaging and graphic health warnings.</w:t>
      </w:r>
    </w:p>
    <w:p w:rsidR="00F32169" w:rsidRDefault="00F32169" w:rsidP="00F32169">
      <w:pPr>
        <w:spacing w:after="0" w:line="240" w:lineRule="auto"/>
        <w:rPr>
          <w:rFonts w:eastAsiaTheme="majorEastAsia"/>
          <w:bCs/>
          <w:lang w:eastAsia="en-AU"/>
        </w:rPr>
      </w:pPr>
    </w:p>
    <w:p w:rsidR="00F32169" w:rsidRDefault="00F32169" w:rsidP="00F32169">
      <w:pPr>
        <w:spacing w:after="0" w:line="240" w:lineRule="auto"/>
        <w:rPr>
          <w:rFonts w:eastAsiaTheme="majorEastAsia"/>
          <w:bCs/>
          <w:lang w:eastAsia="en-AU"/>
        </w:rPr>
      </w:pPr>
      <w:r>
        <w:rPr>
          <w:rFonts w:eastAsiaTheme="majorEastAsia"/>
          <w:bCs/>
          <w:lang w:eastAsia="en-AU"/>
        </w:rPr>
        <w:t>By facilitating efforts to combat the global illicit tobacco trade this measure contributes to work to reduce smoking prevalence rates. By reducing the incidence of smoking and thereby reducing the risk of smoking-related deaths, the measure also promotes the right to life. Tobacco use is a leading cause of preventable and premature death and</w:t>
      </w:r>
      <w:r>
        <w:rPr>
          <w:rFonts w:eastAsiaTheme="majorEastAsia"/>
          <w:bCs/>
        </w:rPr>
        <w:t xml:space="preserve"> disability and contributes to and compounds existing health and social inequalities. In 2011, tobacco use killed almost 19,000 people in Australia and was responsible for nine per cent of the total burden of disease and injury, making it the most burdensome risk factor. </w:t>
      </w:r>
    </w:p>
    <w:p w:rsidR="00F32169" w:rsidRDefault="00F32169" w:rsidP="00F32169">
      <w:pPr>
        <w:pStyle w:val="Heading3"/>
        <w:spacing w:before="0" w:after="0"/>
        <w:rPr>
          <w:rFonts w:cs="Times New Roman"/>
        </w:rPr>
      </w:pPr>
    </w:p>
    <w:p w:rsidR="00F32169" w:rsidRDefault="00F32169" w:rsidP="00F32169">
      <w:pPr>
        <w:pStyle w:val="Heading3"/>
        <w:spacing w:before="0" w:after="0"/>
        <w:rPr>
          <w:rFonts w:cs="Times New Roman"/>
        </w:rPr>
      </w:pPr>
      <w:r>
        <w:rPr>
          <w:rFonts w:cs="Times New Roman"/>
        </w:rPr>
        <w:lastRenderedPageBreak/>
        <w:t xml:space="preserve">Conclusion </w:t>
      </w:r>
    </w:p>
    <w:p w:rsidR="00F32169" w:rsidRDefault="00F32169" w:rsidP="00F32169">
      <w:pPr>
        <w:spacing w:after="0" w:line="240" w:lineRule="auto"/>
      </w:pPr>
      <w:r>
        <w:t>The Disallowable Legislative Instrument is compatible with human rights because it promotes the protection of human rights.</w:t>
      </w:r>
    </w:p>
    <w:p w:rsidR="00F32169" w:rsidRDefault="00F32169" w:rsidP="00F32169">
      <w:pPr>
        <w:spacing w:after="0" w:line="240" w:lineRule="auto"/>
      </w:pPr>
    </w:p>
    <w:p w:rsidR="00F32169" w:rsidRDefault="00F32169" w:rsidP="00F32169">
      <w:pPr>
        <w:spacing w:after="0" w:line="240" w:lineRule="auto"/>
        <w:rPr>
          <w:szCs w:val="22"/>
        </w:rPr>
      </w:pPr>
    </w:p>
    <w:p w:rsidR="00F32169" w:rsidRDefault="00F32169" w:rsidP="00F32169">
      <w:pPr>
        <w:pStyle w:val="FootnoteText"/>
        <w:jc w:val="center"/>
        <w:rPr>
          <w:rFonts w:eastAsiaTheme="minorHAnsi" w:cstheme="minorBidi"/>
          <w:b/>
          <w:sz w:val="24"/>
          <w:szCs w:val="24"/>
          <w:lang w:val="en-AU"/>
        </w:rPr>
      </w:pPr>
      <w:r>
        <w:rPr>
          <w:rFonts w:eastAsiaTheme="minorHAnsi" w:cstheme="minorBidi"/>
          <w:b/>
          <w:sz w:val="24"/>
          <w:szCs w:val="24"/>
          <w:lang w:val="en-AU"/>
        </w:rPr>
        <w:t>Senator the Hon Bridget McKenzie</w:t>
      </w:r>
    </w:p>
    <w:p w:rsidR="00F32169" w:rsidRDefault="00F32169" w:rsidP="00F32169">
      <w:pPr>
        <w:pStyle w:val="FootnoteText"/>
        <w:rPr>
          <w:rFonts w:eastAsiaTheme="minorHAnsi" w:cstheme="minorBidi"/>
          <w:b/>
          <w:sz w:val="24"/>
          <w:szCs w:val="24"/>
          <w:lang w:val="en-AU"/>
        </w:rPr>
      </w:pPr>
      <w:r>
        <w:rPr>
          <w:rFonts w:eastAsiaTheme="minorHAnsi" w:cstheme="minorBidi"/>
          <w:b/>
          <w:sz w:val="24"/>
          <w:szCs w:val="24"/>
          <w:lang w:val="en-AU"/>
        </w:rPr>
        <w:t>Minister for Regional Services, Sport, Local Government and Decentralisation</w:t>
      </w:r>
    </w:p>
    <w:p w:rsidR="00F32169" w:rsidRDefault="00F32169" w:rsidP="00F32169">
      <w:pPr>
        <w:spacing w:after="0" w:line="240" w:lineRule="auto"/>
        <w:rPr>
          <w:sz w:val="22"/>
          <w:szCs w:val="22"/>
        </w:rPr>
      </w:pPr>
    </w:p>
    <w:p w:rsidR="00F32169" w:rsidRPr="00FB0EAA" w:rsidRDefault="00F32169" w:rsidP="00F32169">
      <w:pPr>
        <w:pStyle w:val="Subtitle"/>
        <w:rPr>
          <w:szCs w:val="24"/>
          <w:u w:val="none"/>
        </w:rPr>
      </w:pPr>
    </w:p>
    <w:p w:rsidR="00F32169" w:rsidRDefault="00F32169" w:rsidP="00F32169">
      <w:pPr>
        <w:pStyle w:val="Heading2"/>
        <w:spacing w:before="0" w:after="0"/>
        <w:jc w:val="left"/>
        <w:rPr>
          <w:sz w:val="22"/>
          <w:szCs w:val="22"/>
        </w:rPr>
      </w:pPr>
      <w:bookmarkStart w:id="0" w:name="_GoBack"/>
      <w:bookmarkEnd w:id="0"/>
      <w:r>
        <w:rPr>
          <w:sz w:val="22"/>
          <w:szCs w:val="22"/>
        </w:rPr>
        <w:t xml:space="preserve"> </w:t>
      </w:r>
    </w:p>
    <w:p w:rsidR="00064D87" w:rsidRDefault="00064D87" w:rsidP="00F32169"/>
    <w:sectPr w:rsidR="00064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E24"/>
    <w:multiLevelType w:val="hybridMultilevel"/>
    <w:tmpl w:val="7654FD72"/>
    <w:lvl w:ilvl="0" w:tplc="012AFDFE">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25346E9F"/>
    <w:multiLevelType w:val="hybridMultilevel"/>
    <w:tmpl w:val="41E2F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AB53A3"/>
    <w:multiLevelType w:val="hybridMultilevel"/>
    <w:tmpl w:val="89784B9A"/>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D04085E"/>
    <w:multiLevelType w:val="hybridMultilevel"/>
    <w:tmpl w:val="7DC6ADE4"/>
    <w:lvl w:ilvl="0" w:tplc="9CD29EE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B356898"/>
    <w:multiLevelType w:val="hybridMultilevel"/>
    <w:tmpl w:val="98A69C64"/>
    <w:lvl w:ilvl="0" w:tplc="9CD29EE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FF"/>
    <w:rsid w:val="0003756D"/>
    <w:rsid w:val="00064D87"/>
    <w:rsid w:val="00065BA1"/>
    <w:rsid w:val="000C452E"/>
    <w:rsid w:val="00132A73"/>
    <w:rsid w:val="001B2282"/>
    <w:rsid w:val="001E679D"/>
    <w:rsid w:val="001E7FD4"/>
    <w:rsid w:val="00280050"/>
    <w:rsid w:val="002839E0"/>
    <w:rsid w:val="00283C80"/>
    <w:rsid w:val="0031699B"/>
    <w:rsid w:val="00340CFF"/>
    <w:rsid w:val="003F5C87"/>
    <w:rsid w:val="00413DDE"/>
    <w:rsid w:val="004C6AAC"/>
    <w:rsid w:val="0057267C"/>
    <w:rsid w:val="005858E8"/>
    <w:rsid w:val="006067B5"/>
    <w:rsid w:val="006709B8"/>
    <w:rsid w:val="006773E1"/>
    <w:rsid w:val="006D289E"/>
    <w:rsid w:val="00716D53"/>
    <w:rsid w:val="00733A24"/>
    <w:rsid w:val="007A240B"/>
    <w:rsid w:val="0084668D"/>
    <w:rsid w:val="00872A53"/>
    <w:rsid w:val="00906A7A"/>
    <w:rsid w:val="00946276"/>
    <w:rsid w:val="00957DB2"/>
    <w:rsid w:val="00A36394"/>
    <w:rsid w:val="00A42C22"/>
    <w:rsid w:val="00A91E93"/>
    <w:rsid w:val="00AB639E"/>
    <w:rsid w:val="00B26ABE"/>
    <w:rsid w:val="00BC757A"/>
    <w:rsid w:val="00C07AE6"/>
    <w:rsid w:val="00C57842"/>
    <w:rsid w:val="00C75BC3"/>
    <w:rsid w:val="00D243CB"/>
    <w:rsid w:val="00D2444C"/>
    <w:rsid w:val="00D3039B"/>
    <w:rsid w:val="00D40B47"/>
    <w:rsid w:val="00D42CD6"/>
    <w:rsid w:val="00D504FB"/>
    <w:rsid w:val="00D7578D"/>
    <w:rsid w:val="00D9707E"/>
    <w:rsid w:val="00E15E17"/>
    <w:rsid w:val="00E62957"/>
    <w:rsid w:val="00E730C5"/>
    <w:rsid w:val="00EA0039"/>
    <w:rsid w:val="00F14D6C"/>
    <w:rsid w:val="00F32169"/>
    <w:rsid w:val="00F731E8"/>
    <w:rsid w:val="00FC771F"/>
    <w:rsid w:val="00FD2517"/>
    <w:rsid w:val="00FE59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64D87"/>
    <w:pPr>
      <w:spacing w:before="360" w:after="120" w:line="240" w:lineRule="auto"/>
      <w:jc w:val="center"/>
      <w:outlineLvl w:val="1"/>
    </w:pPr>
    <w:rPr>
      <w:rFonts w:cstheme="minorBidi"/>
      <w:b/>
      <w:sz w:val="28"/>
      <w:szCs w:val="28"/>
    </w:rPr>
  </w:style>
  <w:style w:type="paragraph" w:styleId="Heading3">
    <w:name w:val="heading 3"/>
    <w:basedOn w:val="Normal"/>
    <w:next w:val="Normal"/>
    <w:link w:val="Heading3Char"/>
    <w:uiPriority w:val="9"/>
    <w:unhideWhenUsed/>
    <w:qFormat/>
    <w:rsid w:val="00064D87"/>
    <w:pPr>
      <w:spacing w:before="120" w:after="120" w:line="240" w:lineRule="auto"/>
      <w:jc w:val="both"/>
      <w:outlineLvl w:val="2"/>
    </w:pPr>
    <w:rPr>
      <w:rFonts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m">
    <w:name w:val="normal-em"/>
    <w:basedOn w:val="Normal"/>
    <w:rsid w:val="00340CFF"/>
    <w:pPr>
      <w:spacing w:before="100" w:beforeAutospacing="1" w:after="100" w:afterAutospacing="1" w:line="240" w:lineRule="auto"/>
    </w:pPr>
    <w:rPr>
      <w:rFonts w:eastAsia="Times New Roman"/>
      <w:lang w:eastAsia="en-AU"/>
    </w:rPr>
  </w:style>
  <w:style w:type="paragraph" w:styleId="ListParagraph">
    <w:name w:val="List Paragraph"/>
    <w:aliases w:val="List Paragraph1,List Paragraph11,Recommendation,CV text,Dot pt,F5 List Paragraph,Indicator Text,L,List Paragraph Char Char Char,List Paragraph111,List Paragraph2,MAIN CONTENT,Normal numbered,Numbered Para 1,Table text,Bullet 1,FooterText"/>
    <w:basedOn w:val="Normal"/>
    <w:link w:val="ListParagraphChar"/>
    <w:uiPriority w:val="34"/>
    <w:qFormat/>
    <w:rsid w:val="00A36394"/>
    <w:pPr>
      <w:spacing w:after="0" w:line="240" w:lineRule="auto"/>
      <w:ind w:left="720"/>
      <w:contextualSpacing/>
    </w:pPr>
    <w:rPr>
      <w:rFonts w:eastAsia="Times New Roman"/>
    </w:rPr>
  </w:style>
  <w:style w:type="character" w:customStyle="1" w:styleId="ListParagraphChar">
    <w:name w:val="List Paragraph Char"/>
    <w:aliases w:val="List Paragraph1 Char,List Paragraph11 Char,Recommendation Char,CV text Char,Dot pt Char,F5 List Paragraph Char,Indicator Text Char,L Char,List Paragraph Char Char Char Char,List Paragraph111 Char,List Paragraph2 Char,Table text Char"/>
    <w:basedOn w:val="DefaultParagraphFont"/>
    <w:link w:val="ListParagraph"/>
    <w:uiPriority w:val="34"/>
    <w:qFormat/>
    <w:locked/>
    <w:rsid w:val="00A36394"/>
    <w:rPr>
      <w:rFonts w:eastAsia="Times New Roman"/>
    </w:rPr>
  </w:style>
  <w:style w:type="paragraph" w:styleId="FootnoteText">
    <w:name w:val="footnote text"/>
    <w:aliases w:val="(NECG) Footnote Text,ADB,Car,FOOTNOTES,Footnote,Footnote Text Char Char,Footnote Text Char Char Char Char,Footnote Text Char Char Char Char Char,Footnote Text Char Char Char Char Char Char Char Char,Fu§note,Fußnote,Normal + Times: 9 Point"/>
    <w:basedOn w:val="Normal"/>
    <w:link w:val="FootnoteTextChar"/>
    <w:uiPriority w:val="99"/>
    <w:qFormat/>
    <w:rsid w:val="0031699B"/>
    <w:pPr>
      <w:spacing w:after="0" w:line="240" w:lineRule="auto"/>
    </w:pPr>
    <w:rPr>
      <w:rFonts w:eastAsia="Times New Roman"/>
      <w:sz w:val="20"/>
      <w:szCs w:val="20"/>
      <w:lang w:val="en-US"/>
    </w:rPr>
  </w:style>
  <w:style w:type="character" w:customStyle="1" w:styleId="FootnoteTextChar">
    <w:name w:val="Footnote Text Char"/>
    <w:aliases w:val="(NECG) Footnote Text Char,ADB Char,Car Char,FOOTNOTES Char,Footnote Char,Footnote Text Char Char Char,Footnote Text Char Char Char Char Char1,Footnote Text Char Char Char Char Char Char,Fu§note Char,Fußnote Char"/>
    <w:basedOn w:val="DefaultParagraphFont"/>
    <w:link w:val="FootnoteText"/>
    <w:uiPriority w:val="99"/>
    <w:rsid w:val="0031699B"/>
    <w:rPr>
      <w:rFonts w:eastAsia="Times New Roman"/>
      <w:sz w:val="20"/>
      <w:szCs w:val="20"/>
      <w:lang w:val="en-US"/>
    </w:rPr>
  </w:style>
  <w:style w:type="paragraph" w:styleId="Subtitle">
    <w:name w:val="Subtitle"/>
    <w:basedOn w:val="Normal"/>
    <w:link w:val="SubtitleChar"/>
    <w:qFormat/>
    <w:rsid w:val="00957DB2"/>
    <w:pPr>
      <w:spacing w:after="0" w:line="240" w:lineRule="auto"/>
    </w:pPr>
    <w:rPr>
      <w:rFonts w:eastAsia="Times New Roman"/>
      <w:szCs w:val="20"/>
      <w:u w:val="single"/>
      <w:lang w:eastAsia="en-AU"/>
    </w:rPr>
  </w:style>
  <w:style w:type="character" w:customStyle="1" w:styleId="SubtitleChar">
    <w:name w:val="Subtitle Char"/>
    <w:basedOn w:val="DefaultParagraphFont"/>
    <w:link w:val="Subtitle"/>
    <w:rsid w:val="00957DB2"/>
    <w:rPr>
      <w:rFonts w:eastAsia="Times New Roman"/>
      <w:szCs w:val="20"/>
      <w:u w:val="single"/>
      <w:lang w:eastAsia="en-AU"/>
    </w:rPr>
  </w:style>
  <w:style w:type="character" w:styleId="CommentReference">
    <w:name w:val="annotation reference"/>
    <w:basedOn w:val="DefaultParagraphFont"/>
    <w:rsid w:val="00957DB2"/>
    <w:rPr>
      <w:sz w:val="16"/>
      <w:szCs w:val="16"/>
    </w:rPr>
  </w:style>
  <w:style w:type="paragraph" w:styleId="CommentText">
    <w:name w:val="annotation text"/>
    <w:basedOn w:val="Normal"/>
    <w:link w:val="CommentTextChar"/>
    <w:rsid w:val="00957DB2"/>
    <w:pPr>
      <w:spacing w:after="0" w:line="240" w:lineRule="auto"/>
    </w:pPr>
    <w:rPr>
      <w:rFonts w:eastAsia="Times New Roman"/>
      <w:sz w:val="20"/>
      <w:szCs w:val="20"/>
    </w:rPr>
  </w:style>
  <w:style w:type="character" w:customStyle="1" w:styleId="CommentTextChar">
    <w:name w:val="Comment Text Char"/>
    <w:basedOn w:val="DefaultParagraphFont"/>
    <w:link w:val="CommentText"/>
    <w:rsid w:val="00957DB2"/>
    <w:rPr>
      <w:rFonts w:eastAsia="Times New Roman"/>
      <w:sz w:val="20"/>
      <w:szCs w:val="20"/>
    </w:rPr>
  </w:style>
  <w:style w:type="paragraph" w:styleId="BalloonText">
    <w:name w:val="Balloon Text"/>
    <w:basedOn w:val="Normal"/>
    <w:link w:val="BalloonTextChar"/>
    <w:uiPriority w:val="99"/>
    <w:semiHidden/>
    <w:unhideWhenUsed/>
    <w:rsid w:val="00957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DB2"/>
    <w:rPr>
      <w:rFonts w:ascii="Segoe UI" w:hAnsi="Segoe UI" w:cs="Segoe UI"/>
      <w:sz w:val="18"/>
      <w:szCs w:val="18"/>
    </w:rPr>
  </w:style>
  <w:style w:type="character" w:customStyle="1" w:styleId="Heading2Char">
    <w:name w:val="Heading 2 Char"/>
    <w:basedOn w:val="DefaultParagraphFont"/>
    <w:link w:val="Heading2"/>
    <w:uiPriority w:val="9"/>
    <w:rsid w:val="00064D87"/>
    <w:rPr>
      <w:rFonts w:cstheme="minorBidi"/>
      <w:b/>
      <w:sz w:val="28"/>
      <w:szCs w:val="28"/>
    </w:rPr>
  </w:style>
  <w:style w:type="character" w:customStyle="1" w:styleId="Heading3Char">
    <w:name w:val="Heading 3 Char"/>
    <w:basedOn w:val="DefaultParagraphFont"/>
    <w:link w:val="Heading3"/>
    <w:uiPriority w:val="9"/>
    <w:rsid w:val="00064D87"/>
    <w:rPr>
      <w:rFonts w:cstheme="minorBidi"/>
      <w:b/>
    </w:rPr>
  </w:style>
  <w:style w:type="paragraph" w:customStyle="1" w:styleId="firstdot">
    <w:name w:val="first dot"/>
    <w:basedOn w:val="Normal"/>
    <w:qFormat/>
    <w:rsid w:val="00064D87"/>
    <w:pPr>
      <w:autoSpaceDE w:val="0"/>
      <w:autoSpaceDN w:val="0"/>
      <w:adjustRightInd w:val="0"/>
      <w:spacing w:before="120" w:after="0" w:line="276" w:lineRule="auto"/>
    </w:pPr>
    <w:rPr>
      <w:rFonts w:eastAsia="Times New Roman"/>
      <w:lang w:eastAsia="en-AU"/>
    </w:rPr>
  </w:style>
  <w:style w:type="character" w:styleId="Hyperlink">
    <w:name w:val="Hyperlink"/>
    <w:basedOn w:val="DefaultParagraphFont"/>
    <w:uiPriority w:val="99"/>
    <w:unhideWhenUsed/>
    <w:rsid w:val="00BC757A"/>
    <w:rPr>
      <w:color w:val="0563C1" w:themeColor="hyperlink"/>
      <w:u w:val="single"/>
    </w:rPr>
  </w:style>
  <w:style w:type="character" w:styleId="FollowedHyperlink">
    <w:name w:val="FollowedHyperlink"/>
    <w:basedOn w:val="DefaultParagraphFont"/>
    <w:uiPriority w:val="99"/>
    <w:semiHidden/>
    <w:unhideWhenUsed/>
    <w:rsid w:val="00BC757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64D87"/>
    <w:pPr>
      <w:spacing w:before="360" w:after="120" w:line="240" w:lineRule="auto"/>
      <w:jc w:val="center"/>
      <w:outlineLvl w:val="1"/>
    </w:pPr>
    <w:rPr>
      <w:rFonts w:cstheme="minorBidi"/>
      <w:b/>
      <w:sz w:val="28"/>
      <w:szCs w:val="28"/>
    </w:rPr>
  </w:style>
  <w:style w:type="paragraph" w:styleId="Heading3">
    <w:name w:val="heading 3"/>
    <w:basedOn w:val="Normal"/>
    <w:next w:val="Normal"/>
    <w:link w:val="Heading3Char"/>
    <w:uiPriority w:val="9"/>
    <w:unhideWhenUsed/>
    <w:qFormat/>
    <w:rsid w:val="00064D87"/>
    <w:pPr>
      <w:spacing w:before="120" w:after="120" w:line="240" w:lineRule="auto"/>
      <w:jc w:val="both"/>
      <w:outlineLvl w:val="2"/>
    </w:pPr>
    <w:rPr>
      <w:rFonts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m">
    <w:name w:val="normal-em"/>
    <w:basedOn w:val="Normal"/>
    <w:rsid w:val="00340CFF"/>
    <w:pPr>
      <w:spacing w:before="100" w:beforeAutospacing="1" w:after="100" w:afterAutospacing="1" w:line="240" w:lineRule="auto"/>
    </w:pPr>
    <w:rPr>
      <w:rFonts w:eastAsia="Times New Roman"/>
      <w:lang w:eastAsia="en-AU"/>
    </w:rPr>
  </w:style>
  <w:style w:type="paragraph" w:styleId="ListParagraph">
    <w:name w:val="List Paragraph"/>
    <w:aliases w:val="List Paragraph1,List Paragraph11,Recommendation,CV text,Dot pt,F5 List Paragraph,Indicator Text,L,List Paragraph Char Char Char,List Paragraph111,List Paragraph2,MAIN CONTENT,Normal numbered,Numbered Para 1,Table text,Bullet 1,FooterText"/>
    <w:basedOn w:val="Normal"/>
    <w:link w:val="ListParagraphChar"/>
    <w:uiPriority w:val="34"/>
    <w:qFormat/>
    <w:rsid w:val="00A36394"/>
    <w:pPr>
      <w:spacing w:after="0" w:line="240" w:lineRule="auto"/>
      <w:ind w:left="720"/>
      <w:contextualSpacing/>
    </w:pPr>
    <w:rPr>
      <w:rFonts w:eastAsia="Times New Roman"/>
    </w:rPr>
  </w:style>
  <w:style w:type="character" w:customStyle="1" w:styleId="ListParagraphChar">
    <w:name w:val="List Paragraph Char"/>
    <w:aliases w:val="List Paragraph1 Char,List Paragraph11 Char,Recommendation Char,CV text Char,Dot pt Char,F5 List Paragraph Char,Indicator Text Char,L Char,List Paragraph Char Char Char Char,List Paragraph111 Char,List Paragraph2 Char,Table text Char"/>
    <w:basedOn w:val="DefaultParagraphFont"/>
    <w:link w:val="ListParagraph"/>
    <w:uiPriority w:val="34"/>
    <w:qFormat/>
    <w:locked/>
    <w:rsid w:val="00A36394"/>
    <w:rPr>
      <w:rFonts w:eastAsia="Times New Roman"/>
    </w:rPr>
  </w:style>
  <w:style w:type="paragraph" w:styleId="FootnoteText">
    <w:name w:val="footnote text"/>
    <w:aliases w:val="(NECG) Footnote Text,ADB,Car,FOOTNOTES,Footnote,Footnote Text Char Char,Footnote Text Char Char Char Char,Footnote Text Char Char Char Char Char,Footnote Text Char Char Char Char Char Char Char Char,Fu§note,Fußnote,Normal + Times: 9 Point"/>
    <w:basedOn w:val="Normal"/>
    <w:link w:val="FootnoteTextChar"/>
    <w:uiPriority w:val="99"/>
    <w:qFormat/>
    <w:rsid w:val="0031699B"/>
    <w:pPr>
      <w:spacing w:after="0" w:line="240" w:lineRule="auto"/>
    </w:pPr>
    <w:rPr>
      <w:rFonts w:eastAsia="Times New Roman"/>
      <w:sz w:val="20"/>
      <w:szCs w:val="20"/>
      <w:lang w:val="en-US"/>
    </w:rPr>
  </w:style>
  <w:style w:type="character" w:customStyle="1" w:styleId="FootnoteTextChar">
    <w:name w:val="Footnote Text Char"/>
    <w:aliases w:val="(NECG) Footnote Text Char,ADB Char,Car Char,FOOTNOTES Char,Footnote Char,Footnote Text Char Char Char,Footnote Text Char Char Char Char Char1,Footnote Text Char Char Char Char Char Char,Fu§note Char,Fußnote Char"/>
    <w:basedOn w:val="DefaultParagraphFont"/>
    <w:link w:val="FootnoteText"/>
    <w:uiPriority w:val="99"/>
    <w:rsid w:val="0031699B"/>
    <w:rPr>
      <w:rFonts w:eastAsia="Times New Roman"/>
      <w:sz w:val="20"/>
      <w:szCs w:val="20"/>
      <w:lang w:val="en-US"/>
    </w:rPr>
  </w:style>
  <w:style w:type="paragraph" w:styleId="Subtitle">
    <w:name w:val="Subtitle"/>
    <w:basedOn w:val="Normal"/>
    <w:link w:val="SubtitleChar"/>
    <w:qFormat/>
    <w:rsid w:val="00957DB2"/>
    <w:pPr>
      <w:spacing w:after="0" w:line="240" w:lineRule="auto"/>
    </w:pPr>
    <w:rPr>
      <w:rFonts w:eastAsia="Times New Roman"/>
      <w:szCs w:val="20"/>
      <w:u w:val="single"/>
      <w:lang w:eastAsia="en-AU"/>
    </w:rPr>
  </w:style>
  <w:style w:type="character" w:customStyle="1" w:styleId="SubtitleChar">
    <w:name w:val="Subtitle Char"/>
    <w:basedOn w:val="DefaultParagraphFont"/>
    <w:link w:val="Subtitle"/>
    <w:rsid w:val="00957DB2"/>
    <w:rPr>
      <w:rFonts w:eastAsia="Times New Roman"/>
      <w:szCs w:val="20"/>
      <w:u w:val="single"/>
      <w:lang w:eastAsia="en-AU"/>
    </w:rPr>
  </w:style>
  <w:style w:type="character" w:styleId="CommentReference">
    <w:name w:val="annotation reference"/>
    <w:basedOn w:val="DefaultParagraphFont"/>
    <w:rsid w:val="00957DB2"/>
    <w:rPr>
      <w:sz w:val="16"/>
      <w:szCs w:val="16"/>
    </w:rPr>
  </w:style>
  <w:style w:type="paragraph" w:styleId="CommentText">
    <w:name w:val="annotation text"/>
    <w:basedOn w:val="Normal"/>
    <w:link w:val="CommentTextChar"/>
    <w:rsid w:val="00957DB2"/>
    <w:pPr>
      <w:spacing w:after="0" w:line="240" w:lineRule="auto"/>
    </w:pPr>
    <w:rPr>
      <w:rFonts w:eastAsia="Times New Roman"/>
      <w:sz w:val="20"/>
      <w:szCs w:val="20"/>
    </w:rPr>
  </w:style>
  <w:style w:type="character" w:customStyle="1" w:styleId="CommentTextChar">
    <w:name w:val="Comment Text Char"/>
    <w:basedOn w:val="DefaultParagraphFont"/>
    <w:link w:val="CommentText"/>
    <w:rsid w:val="00957DB2"/>
    <w:rPr>
      <w:rFonts w:eastAsia="Times New Roman"/>
      <w:sz w:val="20"/>
      <w:szCs w:val="20"/>
    </w:rPr>
  </w:style>
  <w:style w:type="paragraph" w:styleId="BalloonText">
    <w:name w:val="Balloon Text"/>
    <w:basedOn w:val="Normal"/>
    <w:link w:val="BalloonTextChar"/>
    <w:uiPriority w:val="99"/>
    <w:semiHidden/>
    <w:unhideWhenUsed/>
    <w:rsid w:val="00957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DB2"/>
    <w:rPr>
      <w:rFonts w:ascii="Segoe UI" w:hAnsi="Segoe UI" w:cs="Segoe UI"/>
      <w:sz w:val="18"/>
      <w:szCs w:val="18"/>
    </w:rPr>
  </w:style>
  <w:style w:type="character" w:customStyle="1" w:styleId="Heading2Char">
    <w:name w:val="Heading 2 Char"/>
    <w:basedOn w:val="DefaultParagraphFont"/>
    <w:link w:val="Heading2"/>
    <w:uiPriority w:val="9"/>
    <w:rsid w:val="00064D87"/>
    <w:rPr>
      <w:rFonts w:cstheme="minorBidi"/>
      <w:b/>
      <w:sz w:val="28"/>
      <w:szCs w:val="28"/>
    </w:rPr>
  </w:style>
  <w:style w:type="character" w:customStyle="1" w:styleId="Heading3Char">
    <w:name w:val="Heading 3 Char"/>
    <w:basedOn w:val="DefaultParagraphFont"/>
    <w:link w:val="Heading3"/>
    <w:uiPriority w:val="9"/>
    <w:rsid w:val="00064D87"/>
    <w:rPr>
      <w:rFonts w:cstheme="minorBidi"/>
      <w:b/>
    </w:rPr>
  </w:style>
  <w:style w:type="paragraph" w:customStyle="1" w:styleId="firstdot">
    <w:name w:val="first dot"/>
    <w:basedOn w:val="Normal"/>
    <w:qFormat/>
    <w:rsid w:val="00064D87"/>
    <w:pPr>
      <w:autoSpaceDE w:val="0"/>
      <w:autoSpaceDN w:val="0"/>
      <w:adjustRightInd w:val="0"/>
      <w:spacing w:before="120" w:after="0" w:line="276" w:lineRule="auto"/>
    </w:pPr>
    <w:rPr>
      <w:rFonts w:eastAsia="Times New Roman"/>
      <w:lang w:eastAsia="en-AU"/>
    </w:rPr>
  </w:style>
  <w:style w:type="character" w:styleId="Hyperlink">
    <w:name w:val="Hyperlink"/>
    <w:basedOn w:val="DefaultParagraphFont"/>
    <w:uiPriority w:val="99"/>
    <w:unhideWhenUsed/>
    <w:rsid w:val="00BC757A"/>
    <w:rPr>
      <w:color w:val="0563C1" w:themeColor="hyperlink"/>
      <w:u w:val="single"/>
    </w:rPr>
  </w:style>
  <w:style w:type="character" w:styleId="FollowedHyperlink">
    <w:name w:val="FollowedHyperlink"/>
    <w:basedOn w:val="DefaultParagraphFont"/>
    <w:uiPriority w:val="99"/>
    <w:semiHidden/>
    <w:unhideWhenUsed/>
    <w:rsid w:val="00BC75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533041">
      <w:bodyDiv w:val="1"/>
      <w:marLeft w:val="0"/>
      <w:marRight w:val="0"/>
      <w:marTop w:val="0"/>
      <w:marBottom w:val="0"/>
      <w:divBdr>
        <w:top w:val="none" w:sz="0" w:space="0" w:color="auto"/>
        <w:left w:val="none" w:sz="0" w:space="0" w:color="auto"/>
        <w:bottom w:val="none" w:sz="0" w:space="0" w:color="auto"/>
        <w:right w:val="none" w:sz="0" w:space="0" w:color="auto"/>
      </w:divBdr>
      <w:divsChild>
        <w:div w:id="625350638">
          <w:marLeft w:val="0"/>
          <w:marRight w:val="0"/>
          <w:marTop w:val="0"/>
          <w:marBottom w:val="0"/>
          <w:divBdr>
            <w:top w:val="none" w:sz="0" w:space="0" w:color="auto"/>
            <w:left w:val="none" w:sz="0" w:space="0" w:color="auto"/>
            <w:bottom w:val="none" w:sz="0" w:space="0" w:color="auto"/>
            <w:right w:val="none" w:sz="0" w:space="0" w:color="auto"/>
          </w:divBdr>
          <w:divsChild>
            <w:div w:id="1235508778">
              <w:marLeft w:val="0"/>
              <w:marRight w:val="0"/>
              <w:marTop w:val="0"/>
              <w:marBottom w:val="0"/>
              <w:divBdr>
                <w:top w:val="none" w:sz="0" w:space="0" w:color="auto"/>
                <w:left w:val="none" w:sz="0" w:space="0" w:color="auto"/>
                <w:bottom w:val="none" w:sz="0" w:space="0" w:color="auto"/>
                <w:right w:val="none" w:sz="0" w:space="0" w:color="auto"/>
              </w:divBdr>
              <w:divsChild>
                <w:div w:id="496459197">
                  <w:marLeft w:val="0"/>
                  <w:marRight w:val="0"/>
                  <w:marTop w:val="0"/>
                  <w:marBottom w:val="0"/>
                  <w:divBdr>
                    <w:top w:val="none" w:sz="0" w:space="0" w:color="auto"/>
                    <w:left w:val="none" w:sz="0" w:space="0" w:color="auto"/>
                    <w:bottom w:val="none" w:sz="0" w:space="0" w:color="auto"/>
                    <w:right w:val="none" w:sz="0" w:space="0" w:color="auto"/>
                  </w:divBdr>
                  <w:divsChild>
                    <w:div w:id="1360624269">
                      <w:marLeft w:val="0"/>
                      <w:marRight w:val="0"/>
                      <w:marTop w:val="0"/>
                      <w:marBottom w:val="0"/>
                      <w:divBdr>
                        <w:top w:val="none" w:sz="0" w:space="0" w:color="auto"/>
                        <w:left w:val="none" w:sz="0" w:space="0" w:color="auto"/>
                        <w:bottom w:val="none" w:sz="0" w:space="0" w:color="auto"/>
                        <w:right w:val="none" w:sz="0" w:space="0" w:color="auto"/>
                      </w:divBdr>
                      <w:divsChild>
                        <w:div w:id="758406056">
                          <w:marLeft w:val="0"/>
                          <w:marRight w:val="0"/>
                          <w:marTop w:val="0"/>
                          <w:marBottom w:val="0"/>
                          <w:divBdr>
                            <w:top w:val="none" w:sz="0" w:space="0" w:color="auto"/>
                            <w:left w:val="none" w:sz="0" w:space="0" w:color="auto"/>
                            <w:bottom w:val="none" w:sz="0" w:space="0" w:color="auto"/>
                            <w:right w:val="none" w:sz="0" w:space="0" w:color="auto"/>
                          </w:divBdr>
                          <w:divsChild>
                            <w:div w:id="179635625">
                              <w:marLeft w:val="0"/>
                              <w:marRight w:val="0"/>
                              <w:marTop w:val="0"/>
                              <w:marBottom w:val="0"/>
                              <w:divBdr>
                                <w:top w:val="none" w:sz="0" w:space="0" w:color="auto"/>
                                <w:left w:val="none" w:sz="0" w:space="0" w:color="auto"/>
                                <w:bottom w:val="none" w:sz="0" w:space="0" w:color="auto"/>
                                <w:right w:val="none" w:sz="0" w:space="0" w:color="auto"/>
                              </w:divBdr>
                              <w:divsChild>
                                <w:div w:id="265508577">
                                  <w:marLeft w:val="0"/>
                                  <w:marRight w:val="0"/>
                                  <w:marTop w:val="0"/>
                                  <w:marBottom w:val="0"/>
                                  <w:divBdr>
                                    <w:top w:val="none" w:sz="0" w:space="0" w:color="auto"/>
                                    <w:left w:val="none" w:sz="0" w:space="0" w:color="auto"/>
                                    <w:bottom w:val="none" w:sz="0" w:space="0" w:color="auto"/>
                                    <w:right w:val="none" w:sz="0" w:space="0" w:color="auto"/>
                                  </w:divBdr>
                                  <w:divsChild>
                                    <w:div w:id="267272630">
                                      <w:marLeft w:val="0"/>
                                      <w:marRight w:val="0"/>
                                      <w:marTop w:val="0"/>
                                      <w:marBottom w:val="0"/>
                                      <w:divBdr>
                                        <w:top w:val="none" w:sz="0" w:space="0" w:color="auto"/>
                                        <w:left w:val="none" w:sz="0" w:space="0" w:color="auto"/>
                                        <w:bottom w:val="none" w:sz="0" w:space="0" w:color="auto"/>
                                        <w:right w:val="none" w:sz="0" w:space="0" w:color="auto"/>
                                      </w:divBdr>
                                      <w:divsChild>
                                        <w:div w:id="1518809328">
                                          <w:marLeft w:val="0"/>
                                          <w:marRight w:val="0"/>
                                          <w:marTop w:val="0"/>
                                          <w:marBottom w:val="0"/>
                                          <w:divBdr>
                                            <w:top w:val="none" w:sz="0" w:space="0" w:color="auto"/>
                                            <w:left w:val="none" w:sz="0" w:space="0" w:color="auto"/>
                                            <w:bottom w:val="none" w:sz="0" w:space="0" w:color="auto"/>
                                            <w:right w:val="none" w:sz="0" w:space="0" w:color="auto"/>
                                          </w:divBdr>
                                          <w:divsChild>
                                            <w:div w:id="1376730499">
                                              <w:marLeft w:val="0"/>
                                              <w:marRight w:val="0"/>
                                              <w:marTop w:val="0"/>
                                              <w:marBottom w:val="0"/>
                                              <w:divBdr>
                                                <w:top w:val="none" w:sz="0" w:space="0" w:color="auto"/>
                                                <w:left w:val="none" w:sz="0" w:space="0" w:color="auto"/>
                                                <w:bottom w:val="none" w:sz="0" w:space="0" w:color="auto"/>
                                                <w:right w:val="none" w:sz="0" w:space="0" w:color="auto"/>
                                              </w:divBdr>
                                              <w:divsChild>
                                                <w:div w:id="1534612965">
                                                  <w:marLeft w:val="0"/>
                                                  <w:marRight w:val="0"/>
                                                  <w:marTop w:val="0"/>
                                                  <w:marBottom w:val="0"/>
                                                  <w:divBdr>
                                                    <w:top w:val="none" w:sz="0" w:space="0" w:color="auto"/>
                                                    <w:left w:val="none" w:sz="0" w:space="0" w:color="auto"/>
                                                    <w:bottom w:val="none" w:sz="0" w:space="0" w:color="auto"/>
                                                    <w:right w:val="none" w:sz="0" w:space="0" w:color="auto"/>
                                                  </w:divBdr>
                                                  <w:divsChild>
                                                    <w:div w:id="382872241">
                                                      <w:marLeft w:val="0"/>
                                                      <w:marRight w:val="0"/>
                                                      <w:marTop w:val="0"/>
                                                      <w:marBottom w:val="0"/>
                                                      <w:divBdr>
                                                        <w:top w:val="none" w:sz="0" w:space="0" w:color="auto"/>
                                                        <w:left w:val="none" w:sz="0" w:space="0" w:color="auto"/>
                                                        <w:bottom w:val="none" w:sz="0" w:space="0" w:color="auto"/>
                                                        <w:right w:val="none" w:sz="0" w:space="0" w:color="auto"/>
                                                      </w:divBdr>
                                                      <w:divsChild>
                                                        <w:div w:id="5148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478921">
      <w:bodyDiv w:val="1"/>
      <w:marLeft w:val="0"/>
      <w:marRight w:val="0"/>
      <w:marTop w:val="0"/>
      <w:marBottom w:val="0"/>
      <w:divBdr>
        <w:top w:val="none" w:sz="0" w:space="0" w:color="auto"/>
        <w:left w:val="none" w:sz="0" w:space="0" w:color="auto"/>
        <w:bottom w:val="none" w:sz="0" w:space="0" w:color="auto"/>
        <w:right w:val="none" w:sz="0" w:space="0" w:color="auto"/>
      </w:divBdr>
    </w:div>
    <w:div w:id="1654797082">
      <w:bodyDiv w:val="1"/>
      <w:marLeft w:val="0"/>
      <w:marRight w:val="0"/>
      <w:marTop w:val="0"/>
      <w:marBottom w:val="0"/>
      <w:divBdr>
        <w:top w:val="none" w:sz="0" w:space="0" w:color="auto"/>
        <w:left w:val="none" w:sz="0" w:space="0" w:color="auto"/>
        <w:bottom w:val="none" w:sz="0" w:space="0" w:color="auto"/>
        <w:right w:val="none" w:sz="0" w:space="0" w:color="auto"/>
      </w:divBdr>
      <w:divsChild>
        <w:div w:id="1756901966">
          <w:marLeft w:val="0"/>
          <w:marRight w:val="0"/>
          <w:marTop w:val="0"/>
          <w:marBottom w:val="0"/>
          <w:divBdr>
            <w:top w:val="none" w:sz="0" w:space="0" w:color="auto"/>
            <w:left w:val="none" w:sz="0" w:space="0" w:color="auto"/>
            <w:bottom w:val="none" w:sz="0" w:space="0" w:color="auto"/>
            <w:right w:val="none" w:sz="0" w:space="0" w:color="auto"/>
          </w:divBdr>
          <w:divsChild>
            <w:div w:id="993607290">
              <w:marLeft w:val="0"/>
              <w:marRight w:val="0"/>
              <w:marTop w:val="0"/>
              <w:marBottom w:val="0"/>
              <w:divBdr>
                <w:top w:val="none" w:sz="0" w:space="0" w:color="auto"/>
                <w:left w:val="none" w:sz="0" w:space="0" w:color="auto"/>
                <w:bottom w:val="none" w:sz="0" w:space="0" w:color="auto"/>
                <w:right w:val="none" w:sz="0" w:space="0" w:color="auto"/>
              </w:divBdr>
              <w:divsChild>
                <w:div w:id="14819231">
                  <w:marLeft w:val="0"/>
                  <w:marRight w:val="0"/>
                  <w:marTop w:val="0"/>
                  <w:marBottom w:val="0"/>
                  <w:divBdr>
                    <w:top w:val="none" w:sz="0" w:space="0" w:color="auto"/>
                    <w:left w:val="none" w:sz="0" w:space="0" w:color="auto"/>
                    <w:bottom w:val="none" w:sz="0" w:space="0" w:color="auto"/>
                    <w:right w:val="none" w:sz="0" w:space="0" w:color="auto"/>
                  </w:divBdr>
                  <w:divsChild>
                    <w:div w:id="1322736860">
                      <w:marLeft w:val="0"/>
                      <w:marRight w:val="0"/>
                      <w:marTop w:val="0"/>
                      <w:marBottom w:val="0"/>
                      <w:divBdr>
                        <w:top w:val="none" w:sz="0" w:space="0" w:color="auto"/>
                        <w:left w:val="none" w:sz="0" w:space="0" w:color="auto"/>
                        <w:bottom w:val="none" w:sz="0" w:space="0" w:color="auto"/>
                        <w:right w:val="none" w:sz="0" w:space="0" w:color="auto"/>
                      </w:divBdr>
                      <w:divsChild>
                        <w:div w:id="1113137330">
                          <w:marLeft w:val="0"/>
                          <w:marRight w:val="0"/>
                          <w:marTop w:val="0"/>
                          <w:marBottom w:val="0"/>
                          <w:divBdr>
                            <w:top w:val="none" w:sz="0" w:space="0" w:color="auto"/>
                            <w:left w:val="none" w:sz="0" w:space="0" w:color="auto"/>
                            <w:bottom w:val="none" w:sz="0" w:space="0" w:color="auto"/>
                            <w:right w:val="none" w:sz="0" w:space="0" w:color="auto"/>
                          </w:divBdr>
                          <w:divsChild>
                            <w:div w:id="1781025415">
                              <w:marLeft w:val="0"/>
                              <w:marRight w:val="0"/>
                              <w:marTop w:val="0"/>
                              <w:marBottom w:val="0"/>
                              <w:divBdr>
                                <w:top w:val="none" w:sz="0" w:space="0" w:color="auto"/>
                                <w:left w:val="none" w:sz="0" w:space="0" w:color="auto"/>
                                <w:bottom w:val="none" w:sz="0" w:space="0" w:color="auto"/>
                                <w:right w:val="none" w:sz="0" w:space="0" w:color="auto"/>
                              </w:divBdr>
                              <w:divsChild>
                                <w:div w:id="792596437">
                                  <w:marLeft w:val="0"/>
                                  <w:marRight w:val="0"/>
                                  <w:marTop w:val="0"/>
                                  <w:marBottom w:val="0"/>
                                  <w:divBdr>
                                    <w:top w:val="none" w:sz="0" w:space="0" w:color="auto"/>
                                    <w:left w:val="none" w:sz="0" w:space="0" w:color="auto"/>
                                    <w:bottom w:val="none" w:sz="0" w:space="0" w:color="auto"/>
                                    <w:right w:val="none" w:sz="0" w:space="0" w:color="auto"/>
                                  </w:divBdr>
                                  <w:divsChild>
                                    <w:div w:id="470487603">
                                      <w:marLeft w:val="0"/>
                                      <w:marRight w:val="0"/>
                                      <w:marTop w:val="0"/>
                                      <w:marBottom w:val="0"/>
                                      <w:divBdr>
                                        <w:top w:val="none" w:sz="0" w:space="0" w:color="auto"/>
                                        <w:left w:val="none" w:sz="0" w:space="0" w:color="auto"/>
                                        <w:bottom w:val="none" w:sz="0" w:space="0" w:color="auto"/>
                                        <w:right w:val="none" w:sz="0" w:space="0" w:color="auto"/>
                                      </w:divBdr>
                                      <w:divsChild>
                                        <w:div w:id="952394900">
                                          <w:marLeft w:val="0"/>
                                          <w:marRight w:val="0"/>
                                          <w:marTop w:val="0"/>
                                          <w:marBottom w:val="0"/>
                                          <w:divBdr>
                                            <w:top w:val="none" w:sz="0" w:space="0" w:color="auto"/>
                                            <w:left w:val="none" w:sz="0" w:space="0" w:color="auto"/>
                                            <w:bottom w:val="none" w:sz="0" w:space="0" w:color="auto"/>
                                            <w:right w:val="none" w:sz="0" w:space="0" w:color="auto"/>
                                          </w:divBdr>
                                          <w:divsChild>
                                            <w:div w:id="1549730577">
                                              <w:marLeft w:val="0"/>
                                              <w:marRight w:val="0"/>
                                              <w:marTop w:val="0"/>
                                              <w:marBottom w:val="0"/>
                                              <w:divBdr>
                                                <w:top w:val="none" w:sz="0" w:space="0" w:color="auto"/>
                                                <w:left w:val="none" w:sz="0" w:space="0" w:color="auto"/>
                                                <w:bottom w:val="none" w:sz="0" w:space="0" w:color="auto"/>
                                                <w:right w:val="none" w:sz="0" w:space="0" w:color="auto"/>
                                              </w:divBdr>
                                              <w:divsChild>
                                                <w:div w:id="1915430303">
                                                  <w:marLeft w:val="0"/>
                                                  <w:marRight w:val="0"/>
                                                  <w:marTop w:val="0"/>
                                                  <w:marBottom w:val="0"/>
                                                  <w:divBdr>
                                                    <w:top w:val="none" w:sz="0" w:space="0" w:color="auto"/>
                                                    <w:left w:val="none" w:sz="0" w:space="0" w:color="auto"/>
                                                    <w:bottom w:val="none" w:sz="0" w:space="0" w:color="auto"/>
                                                    <w:right w:val="none" w:sz="0" w:space="0" w:color="auto"/>
                                                  </w:divBdr>
                                                  <w:divsChild>
                                                    <w:div w:id="184948901">
                                                      <w:marLeft w:val="0"/>
                                                      <w:marRight w:val="0"/>
                                                      <w:marTop w:val="0"/>
                                                      <w:marBottom w:val="0"/>
                                                      <w:divBdr>
                                                        <w:top w:val="none" w:sz="0" w:space="0" w:color="auto"/>
                                                        <w:left w:val="none" w:sz="0" w:space="0" w:color="auto"/>
                                                        <w:bottom w:val="none" w:sz="0" w:space="0" w:color="auto"/>
                                                        <w:right w:val="none" w:sz="0" w:space="0" w:color="auto"/>
                                                      </w:divBdr>
                                                      <w:divsChild>
                                                        <w:div w:id="517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op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3904F69-19E5-4F19-B997-2800AB8A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Julia</dc:creator>
  <cp:lastModifiedBy>Pooja Bedi</cp:lastModifiedBy>
  <cp:revision>6</cp:revision>
  <cp:lastPrinted>2018-11-07T00:12:00Z</cp:lastPrinted>
  <dcterms:created xsi:type="dcterms:W3CDTF">2018-11-25T23:54:00Z</dcterms:created>
  <dcterms:modified xsi:type="dcterms:W3CDTF">2018-12-02T21:59:00Z</dcterms:modified>
</cp:coreProperties>
</file>