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5BAAA" w14:textId="77777777" w:rsidR="00D947B6" w:rsidRDefault="00D947B6" w:rsidP="0071788B">
      <w:pPr>
        <w:spacing w:line="360" w:lineRule="auto"/>
        <w:jc w:val="center"/>
        <w:rPr>
          <w:rFonts w:cs="Times New Roman"/>
          <w:b/>
          <w:szCs w:val="24"/>
          <w:u w:val="single"/>
        </w:rPr>
      </w:pPr>
      <w:r w:rsidRPr="006B663B">
        <w:rPr>
          <w:rFonts w:cs="Times New Roman"/>
          <w:b/>
          <w:szCs w:val="24"/>
          <w:u w:val="single"/>
        </w:rPr>
        <w:t>EXPLANATORY STATEMENT</w:t>
      </w:r>
    </w:p>
    <w:p w14:paraId="2CDD950E" w14:textId="4BAC14F9" w:rsidR="001C451D" w:rsidRDefault="001C451D" w:rsidP="0071788B">
      <w:pPr>
        <w:tabs>
          <w:tab w:val="left" w:pos="993"/>
        </w:tabs>
        <w:spacing w:line="360" w:lineRule="auto"/>
        <w:jc w:val="center"/>
        <w:rPr>
          <w:b/>
          <w:i/>
          <w:szCs w:val="24"/>
        </w:rPr>
      </w:pPr>
      <w:r w:rsidRPr="001C451D">
        <w:rPr>
          <w:i/>
          <w:szCs w:val="24"/>
        </w:rPr>
        <w:t>Protection of Movable Cultural Heritage Act 1986</w:t>
      </w:r>
    </w:p>
    <w:p w14:paraId="54A9D358" w14:textId="6CD0B26B" w:rsidR="00083824" w:rsidRPr="00265189" w:rsidRDefault="001C451D" w:rsidP="004C2E1A">
      <w:pPr>
        <w:tabs>
          <w:tab w:val="left" w:pos="993"/>
        </w:tabs>
        <w:spacing w:line="360" w:lineRule="auto"/>
        <w:jc w:val="center"/>
        <w:rPr>
          <w:rFonts w:cs="Times New Roman"/>
          <w:b/>
          <w:szCs w:val="24"/>
        </w:rPr>
      </w:pPr>
      <w:r w:rsidRPr="00265189">
        <w:rPr>
          <w:rFonts w:cs="Times New Roman"/>
          <w:b/>
          <w:szCs w:val="24"/>
        </w:rPr>
        <w:t>Protection of Movable Cultural Heritage Regulations 2018</w:t>
      </w:r>
    </w:p>
    <w:p w14:paraId="40EF8CAE" w14:textId="6E51EA3B" w:rsidR="006B663B" w:rsidRPr="006B663B" w:rsidRDefault="006B663B" w:rsidP="0071788B">
      <w:pPr>
        <w:tabs>
          <w:tab w:val="left" w:pos="993"/>
        </w:tabs>
        <w:spacing w:line="360" w:lineRule="auto"/>
        <w:jc w:val="center"/>
        <w:rPr>
          <w:szCs w:val="24"/>
        </w:rPr>
      </w:pPr>
      <w:r w:rsidRPr="00D061A8">
        <w:rPr>
          <w:szCs w:val="24"/>
        </w:rPr>
        <w:t>Issued by authority of the Ministe</w:t>
      </w:r>
      <w:r>
        <w:rPr>
          <w:szCs w:val="24"/>
        </w:rPr>
        <w:t xml:space="preserve">r for </w:t>
      </w:r>
      <w:r w:rsidR="001140F1">
        <w:rPr>
          <w:szCs w:val="24"/>
        </w:rPr>
        <w:t xml:space="preserve">Communications and </w:t>
      </w:r>
      <w:r>
        <w:rPr>
          <w:szCs w:val="24"/>
        </w:rPr>
        <w:t>the Arts</w:t>
      </w:r>
    </w:p>
    <w:p w14:paraId="2DF1A165" w14:textId="48DA3B7B" w:rsidR="00083824" w:rsidRPr="008F2240" w:rsidRDefault="009B2CEB" w:rsidP="008F2240">
      <w:pPr>
        <w:rPr>
          <w:b/>
          <w:u w:val="single"/>
        </w:rPr>
      </w:pPr>
      <w:r w:rsidRPr="008F2240">
        <w:rPr>
          <w:b/>
          <w:u w:val="single"/>
        </w:rPr>
        <w:t>Purpose</w:t>
      </w:r>
    </w:p>
    <w:p w14:paraId="0D7D4080" w14:textId="717131B3" w:rsidR="00083824" w:rsidRPr="00BD1F11" w:rsidRDefault="00D947B6" w:rsidP="00242473">
      <w:pPr>
        <w:rPr>
          <w:rFonts w:cs="Times New Roman"/>
          <w:b/>
          <w:szCs w:val="24"/>
        </w:rPr>
      </w:pPr>
      <w:r w:rsidRPr="006B663B">
        <w:rPr>
          <w:rFonts w:cs="Times New Roman"/>
          <w:szCs w:val="24"/>
        </w:rPr>
        <w:t xml:space="preserve">This Explanatory Statement relates </w:t>
      </w:r>
      <w:r w:rsidRPr="00BD1F11">
        <w:rPr>
          <w:rFonts w:cs="Times New Roman"/>
          <w:szCs w:val="24"/>
        </w:rPr>
        <w:t xml:space="preserve">to the </w:t>
      </w:r>
      <w:r w:rsidRPr="00417758">
        <w:rPr>
          <w:rFonts w:cs="Times New Roman"/>
          <w:szCs w:val="24"/>
        </w:rPr>
        <w:t>Protection of Movabl</w:t>
      </w:r>
      <w:r w:rsidR="00280D29" w:rsidRPr="00417758">
        <w:rPr>
          <w:rFonts w:cs="Times New Roman"/>
          <w:szCs w:val="24"/>
        </w:rPr>
        <w:t>e Cultural Heritage Regulations</w:t>
      </w:r>
      <w:r w:rsidR="00280D29" w:rsidRPr="00417758">
        <w:rPr>
          <w:rFonts w:cs="Times New Roman"/>
          <w:szCs w:val="24"/>
          <w:lang w:val="en"/>
        </w:rPr>
        <w:t> </w:t>
      </w:r>
      <w:r w:rsidRPr="00417758">
        <w:rPr>
          <w:rFonts w:cs="Times New Roman"/>
          <w:szCs w:val="24"/>
        </w:rPr>
        <w:t>2018 (the Regulations</w:t>
      </w:r>
      <w:r w:rsidRPr="00BD1F11">
        <w:rPr>
          <w:rFonts w:cs="Times New Roman"/>
          <w:szCs w:val="24"/>
        </w:rPr>
        <w:t>).</w:t>
      </w:r>
    </w:p>
    <w:p w14:paraId="09299664" w14:textId="25BAA070" w:rsidR="00083824" w:rsidRDefault="0071788B" w:rsidP="00242473">
      <w:pPr>
        <w:rPr>
          <w:rFonts w:cs="Times New Roman"/>
          <w:szCs w:val="24"/>
        </w:rPr>
      </w:pPr>
      <w:r w:rsidRPr="00AC5CFF">
        <w:rPr>
          <w:rFonts w:cs="Times New Roman"/>
          <w:szCs w:val="24"/>
        </w:rPr>
        <w:t>The Reg</w:t>
      </w:r>
      <w:r w:rsidR="001145E6">
        <w:rPr>
          <w:rFonts w:cs="Times New Roman"/>
          <w:szCs w:val="24"/>
        </w:rPr>
        <w:t>ulations are enabled by section </w:t>
      </w:r>
      <w:r w:rsidRPr="00AC5CFF">
        <w:rPr>
          <w:rFonts w:cs="Times New Roman"/>
          <w:szCs w:val="24"/>
        </w:rPr>
        <w:t xml:space="preserve">49 of the </w:t>
      </w:r>
      <w:r w:rsidRPr="00AC5CFF">
        <w:rPr>
          <w:rFonts w:cs="Times New Roman"/>
          <w:i/>
          <w:szCs w:val="24"/>
        </w:rPr>
        <w:t>Protection o</w:t>
      </w:r>
      <w:r w:rsidR="00280D29">
        <w:rPr>
          <w:rFonts w:cs="Times New Roman"/>
          <w:i/>
          <w:szCs w:val="24"/>
        </w:rPr>
        <w:t>f Movable Cultural Heritage Act</w:t>
      </w:r>
      <w:r w:rsidR="00280D29" w:rsidRPr="000116A5">
        <w:rPr>
          <w:rFonts w:cs="Times New Roman"/>
          <w:szCs w:val="24"/>
          <w:lang w:val="en"/>
        </w:rPr>
        <w:t> </w:t>
      </w:r>
      <w:r w:rsidRPr="00AC5CFF">
        <w:rPr>
          <w:rFonts w:cs="Times New Roman"/>
          <w:i/>
          <w:szCs w:val="24"/>
        </w:rPr>
        <w:t>1986</w:t>
      </w:r>
      <w:r w:rsidR="00DE4464">
        <w:rPr>
          <w:rFonts w:cs="Times New Roman"/>
          <w:szCs w:val="24"/>
        </w:rPr>
        <w:t xml:space="preserve"> (the</w:t>
      </w:r>
      <w:r w:rsidRPr="00AC5CFF">
        <w:rPr>
          <w:rFonts w:cs="Times New Roman"/>
          <w:szCs w:val="24"/>
        </w:rPr>
        <w:t xml:space="preserve"> Act)</w:t>
      </w:r>
      <w:r w:rsidR="00DE4464">
        <w:rPr>
          <w:rFonts w:cs="Times New Roman"/>
          <w:szCs w:val="24"/>
        </w:rPr>
        <w:t xml:space="preserve">. </w:t>
      </w:r>
      <w:r w:rsidR="00DE4464" w:rsidRPr="00C6086C">
        <w:rPr>
          <w:szCs w:val="24"/>
        </w:rPr>
        <w:t>Section</w:t>
      </w:r>
      <w:r w:rsidR="00DE4464">
        <w:rPr>
          <w:szCs w:val="24"/>
        </w:rPr>
        <w:t xml:space="preserve"> 49 of the </w:t>
      </w:r>
      <w:r w:rsidR="00DE4464" w:rsidRPr="00C6086C">
        <w:rPr>
          <w:szCs w:val="24"/>
        </w:rPr>
        <w:t>Act provides that the Governor-General may make regulations</w:t>
      </w:r>
      <w:r w:rsidR="00DE4464">
        <w:rPr>
          <w:szCs w:val="24"/>
        </w:rPr>
        <w:t>, not inconsistent with the Act,</w:t>
      </w:r>
      <w:r w:rsidR="00DE4464" w:rsidRPr="00C6086C">
        <w:rPr>
          <w:szCs w:val="24"/>
        </w:rPr>
        <w:t xml:space="preserve"> prescribing m</w:t>
      </w:r>
      <w:r w:rsidR="00894FE2">
        <w:rPr>
          <w:szCs w:val="24"/>
        </w:rPr>
        <w:t>atters required or permitted by</w:t>
      </w:r>
      <w:r w:rsidR="00BD3A9B">
        <w:rPr>
          <w:szCs w:val="24"/>
        </w:rPr>
        <w:t xml:space="preserve"> </w:t>
      </w:r>
      <w:r w:rsidR="00280D29">
        <w:rPr>
          <w:szCs w:val="24"/>
        </w:rPr>
        <w:t xml:space="preserve">the </w:t>
      </w:r>
      <w:r w:rsidR="00DE4464" w:rsidRPr="00C6086C">
        <w:rPr>
          <w:szCs w:val="24"/>
        </w:rPr>
        <w:t>Act to be prescribed, or necessary or convenient to be prescribed for carrying out or giving effect to the Act.</w:t>
      </w:r>
    </w:p>
    <w:p w14:paraId="53BECB56" w14:textId="4E373945" w:rsidR="00083824" w:rsidRDefault="00DE4464" w:rsidP="00242473">
      <w:pPr>
        <w:rPr>
          <w:rFonts w:cs="Times New Roman"/>
          <w:b/>
          <w:szCs w:val="24"/>
        </w:rPr>
      </w:pPr>
      <w:r>
        <w:rPr>
          <w:rFonts w:cs="Times New Roman"/>
          <w:szCs w:val="24"/>
        </w:rPr>
        <w:t xml:space="preserve">The </w:t>
      </w:r>
      <w:r w:rsidR="008301A8">
        <w:rPr>
          <w:rFonts w:cs="Times New Roman"/>
          <w:szCs w:val="24"/>
        </w:rPr>
        <w:t>Act regulates</w:t>
      </w:r>
      <w:r w:rsidR="00450E79">
        <w:rPr>
          <w:rFonts w:cs="Times New Roman"/>
          <w:szCs w:val="24"/>
        </w:rPr>
        <w:t>,</w:t>
      </w:r>
      <w:r w:rsidR="008301A8">
        <w:rPr>
          <w:rFonts w:cs="Times New Roman"/>
          <w:szCs w:val="24"/>
        </w:rPr>
        <w:t xml:space="preserve"> and by extension protects</w:t>
      </w:r>
      <w:r w:rsidR="0071788B" w:rsidRPr="00AC5CFF">
        <w:rPr>
          <w:rFonts w:cs="Times New Roman"/>
          <w:szCs w:val="24"/>
        </w:rPr>
        <w:t xml:space="preserve"> Austral</w:t>
      </w:r>
      <w:r w:rsidR="008301A8">
        <w:rPr>
          <w:rFonts w:cs="Times New Roman"/>
          <w:szCs w:val="24"/>
        </w:rPr>
        <w:t xml:space="preserve">ia's movable cultural heritage, </w:t>
      </w:r>
      <w:r w:rsidR="0071788B" w:rsidRPr="00AC5CFF">
        <w:rPr>
          <w:rFonts w:cs="Times New Roman"/>
          <w:szCs w:val="24"/>
        </w:rPr>
        <w:t>largely though an export control fram</w:t>
      </w:r>
      <w:r w:rsidR="008301A8">
        <w:rPr>
          <w:rFonts w:cs="Times New Roman"/>
          <w:szCs w:val="24"/>
        </w:rPr>
        <w:t>ework,</w:t>
      </w:r>
      <w:r w:rsidR="0071788B" w:rsidRPr="00AC5CFF">
        <w:rPr>
          <w:rFonts w:cs="Times New Roman"/>
          <w:szCs w:val="24"/>
        </w:rPr>
        <w:t xml:space="preserve"> and provides for the return of foreign cultural property that has been illegally exported from its </w:t>
      </w:r>
      <w:r w:rsidR="0071788B" w:rsidRPr="00C25434">
        <w:rPr>
          <w:rFonts w:cs="Times New Roman"/>
          <w:szCs w:val="24"/>
        </w:rPr>
        <w:t>country of origin</w:t>
      </w:r>
      <w:r w:rsidR="00BD3A9B">
        <w:rPr>
          <w:rFonts w:cs="Times New Roman"/>
          <w:szCs w:val="24"/>
        </w:rPr>
        <w:t xml:space="preserve"> and imported into Australia.</w:t>
      </w:r>
      <w:r w:rsidR="00280D29" w:rsidRPr="00AC5CFF">
        <w:rPr>
          <w:rFonts w:cs="Times New Roman"/>
          <w:szCs w:val="24"/>
        </w:rPr>
        <w:t xml:space="preserve"> </w:t>
      </w:r>
      <w:r w:rsidR="00280D29">
        <w:rPr>
          <w:rFonts w:cs="Times New Roman"/>
          <w:szCs w:val="24"/>
        </w:rPr>
        <w:t>The</w:t>
      </w:r>
      <w:r w:rsidR="00280D29" w:rsidRPr="000116A5">
        <w:rPr>
          <w:rFonts w:cs="Times New Roman"/>
          <w:szCs w:val="24"/>
          <w:lang w:val="en"/>
        </w:rPr>
        <w:t> </w:t>
      </w:r>
      <w:r w:rsidR="0071788B" w:rsidRPr="00AC5CFF">
        <w:rPr>
          <w:rFonts w:cs="Times New Roman"/>
          <w:szCs w:val="24"/>
        </w:rPr>
        <w:t>Act gives effect to, and implements Australia's obligations under the UNESCO</w:t>
      </w:r>
      <w:r w:rsidR="0071788B" w:rsidRPr="00AC5CFF">
        <w:rPr>
          <w:rFonts w:cs="Times New Roman"/>
          <w:i/>
          <w:szCs w:val="24"/>
        </w:rPr>
        <w:t xml:space="preserve"> Convention on the Means of Prohibiting and Preventing the Illicit Import, Export and Transfer of Ownership of Cultural Property</w:t>
      </w:r>
      <w:r w:rsidR="00343CC3">
        <w:rPr>
          <w:rFonts w:cs="Times New Roman"/>
          <w:i/>
          <w:szCs w:val="24"/>
        </w:rPr>
        <w:t> </w:t>
      </w:r>
      <w:r w:rsidR="0071788B" w:rsidRPr="00401B42">
        <w:rPr>
          <w:rFonts w:cs="Times New Roman"/>
          <w:szCs w:val="24"/>
        </w:rPr>
        <w:t>1970</w:t>
      </w:r>
      <w:r w:rsidR="0071788B" w:rsidRPr="006D3467">
        <w:rPr>
          <w:rFonts w:cs="Times New Roman"/>
          <w:i/>
          <w:szCs w:val="24"/>
        </w:rPr>
        <w:t xml:space="preserve"> </w:t>
      </w:r>
      <w:r w:rsidR="00343CC3">
        <w:rPr>
          <w:rFonts w:cs="Times New Roman"/>
          <w:szCs w:val="24"/>
        </w:rPr>
        <w:t>(the 1970 </w:t>
      </w:r>
      <w:r w:rsidR="0071788B" w:rsidRPr="00AC5CFF">
        <w:rPr>
          <w:rFonts w:cs="Times New Roman"/>
          <w:szCs w:val="24"/>
        </w:rPr>
        <w:t>Convention).</w:t>
      </w:r>
    </w:p>
    <w:p w14:paraId="5A7B4003" w14:textId="07CF14BA" w:rsidR="000C3D33" w:rsidRDefault="00DE4464" w:rsidP="00242473">
      <w:pPr>
        <w:rPr>
          <w:rFonts w:cs="Times New Roman"/>
          <w:szCs w:val="24"/>
        </w:rPr>
      </w:pPr>
      <w:r>
        <w:rPr>
          <w:szCs w:val="24"/>
        </w:rPr>
        <w:t>The purpose of the</w:t>
      </w:r>
      <w:r w:rsidR="008301A8">
        <w:rPr>
          <w:szCs w:val="24"/>
        </w:rPr>
        <w:t>se</w:t>
      </w:r>
      <w:r>
        <w:rPr>
          <w:szCs w:val="24"/>
        </w:rPr>
        <w:t xml:space="preserve"> Regulations </w:t>
      </w:r>
      <w:r w:rsidRPr="008F3F86">
        <w:rPr>
          <w:szCs w:val="24"/>
        </w:rPr>
        <w:t xml:space="preserve">is </w:t>
      </w:r>
      <w:r w:rsidRPr="00BD1F11">
        <w:rPr>
          <w:szCs w:val="24"/>
        </w:rPr>
        <w:t>to</w:t>
      </w:r>
      <w:r w:rsidR="00063617" w:rsidRPr="00BD1F11">
        <w:rPr>
          <w:szCs w:val="24"/>
        </w:rPr>
        <w:t xml:space="preserve"> </w:t>
      </w:r>
      <w:r w:rsidR="006D3467" w:rsidRPr="00BD1F11">
        <w:rPr>
          <w:szCs w:val="24"/>
        </w:rPr>
        <w:t xml:space="preserve">repeal and </w:t>
      </w:r>
      <w:r w:rsidR="00063617" w:rsidRPr="00BD1F11">
        <w:rPr>
          <w:szCs w:val="24"/>
        </w:rPr>
        <w:t>remake the</w:t>
      </w:r>
      <w:r w:rsidR="00063617" w:rsidRPr="00BD1F11">
        <w:rPr>
          <w:rFonts w:cs="Times New Roman"/>
          <w:szCs w:val="24"/>
        </w:rPr>
        <w:t xml:space="preserve"> </w:t>
      </w:r>
      <w:r w:rsidR="00063617" w:rsidRPr="00417758">
        <w:rPr>
          <w:rFonts w:cs="Times New Roman"/>
          <w:szCs w:val="24"/>
        </w:rPr>
        <w:t>Protection of Movabl</w:t>
      </w:r>
      <w:r w:rsidR="00881B9C" w:rsidRPr="00417758">
        <w:rPr>
          <w:rFonts w:cs="Times New Roman"/>
          <w:szCs w:val="24"/>
        </w:rPr>
        <w:t>e Cultural Heritage Regulations 1987</w:t>
      </w:r>
      <w:r w:rsidR="00881B9C">
        <w:rPr>
          <w:rFonts w:cs="Times New Roman"/>
          <w:szCs w:val="24"/>
        </w:rPr>
        <w:t xml:space="preserve"> (the 1987 </w:t>
      </w:r>
      <w:r w:rsidR="00063617" w:rsidRPr="00BD1F11">
        <w:rPr>
          <w:rFonts w:cs="Times New Roman"/>
          <w:szCs w:val="24"/>
        </w:rPr>
        <w:t>Regulations</w:t>
      </w:r>
      <w:r w:rsidR="00063617" w:rsidRPr="00AC5CFF">
        <w:rPr>
          <w:rFonts w:cs="Times New Roman"/>
          <w:szCs w:val="24"/>
        </w:rPr>
        <w:t>)</w:t>
      </w:r>
      <w:r>
        <w:rPr>
          <w:szCs w:val="24"/>
        </w:rPr>
        <w:t>, which are due to sunset on 1 April</w:t>
      </w:r>
      <w:r w:rsidR="00063617">
        <w:rPr>
          <w:szCs w:val="24"/>
        </w:rPr>
        <w:t> 2019</w:t>
      </w:r>
      <w:r>
        <w:rPr>
          <w:szCs w:val="24"/>
        </w:rPr>
        <w:t>.</w:t>
      </w:r>
      <w:r w:rsidR="00BD3A9B">
        <w:rPr>
          <w:szCs w:val="24"/>
        </w:rPr>
        <w:t xml:space="preserve"> </w:t>
      </w:r>
      <w:r w:rsidR="00D47A1F" w:rsidRPr="00BA254F">
        <w:rPr>
          <w:rFonts w:cs="Times New Roman"/>
          <w:szCs w:val="24"/>
        </w:rPr>
        <w:t xml:space="preserve">The </w:t>
      </w:r>
      <w:r w:rsidR="000A7B49" w:rsidRPr="00265189">
        <w:rPr>
          <w:rFonts w:cs="Times New Roman"/>
          <w:szCs w:val="24"/>
        </w:rPr>
        <w:t xml:space="preserve">Regulations </w:t>
      </w:r>
      <w:r w:rsidR="000C3D33">
        <w:rPr>
          <w:rFonts w:cs="Times New Roman"/>
          <w:szCs w:val="24"/>
        </w:rPr>
        <w:t>are</w:t>
      </w:r>
      <w:r w:rsidR="00B173A4">
        <w:rPr>
          <w:rFonts w:cs="Times New Roman"/>
          <w:szCs w:val="24"/>
        </w:rPr>
        <w:t xml:space="preserve"> intended</w:t>
      </w:r>
      <w:r w:rsidR="00D47A1F" w:rsidRPr="00BA254F">
        <w:rPr>
          <w:rFonts w:cs="Times New Roman"/>
          <w:szCs w:val="24"/>
        </w:rPr>
        <w:t xml:space="preserve"> to </w:t>
      </w:r>
      <w:r w:rsidR="00B173A4">
        <w:rPr>
          <w:rFonts w:cs="Times New Roman"/>
          <w:szCs w:val="24"/>
        </w:rPr>
        <w:t xml:space="preserve">largely </w:t>
      </w:r>
      <w:r w:rsidR="00D47A1F" w:rsidRPr="00BA254F">
        <w:rPr>
          <w:rFonts w:cs="Times New Roman"/>
          <w:szCs w:val="24"/>
        </w:rPr>
        <w:t xml:space="preserve">maintain the regulatory arrangements </w:t>
      </w:r>
      <w:r w:rsidR="00881B9C">
        <w:rPr>
          <w:rFonts w:cs="Times New Roman"/>
          <w:szCs w:val="24"/>
        </w:rPr>
        <w:t>under the 1987 </w:t>
      </w:r>
      <w:r w:rsidR="000C3D33">
        <w:rPr>
          <w:rFonts w:cs="Times New Roman"/>
          <w:szCs w:val="24"/>
        </w:rPr>
        <w:t>Regulations in a manner that reflects modern drafting styles and practices.</w:t>
      </w:r>
    </w:p>
    <w:p w14:paraId="1E5A17D6" w14:textId="5DBFA98E" w:rsidR="0002130E" w:rsidRDefault="0002130E" w:rsidP="00242473">
      <w:pPr>
        <w:rPr>
          <w:rFonts w:cs="Times New Roman"/>
          <w:szCs w:val="24"/>
        </w:rPr>
      </w:pPr>
      <w:r>
        <w:rPr>
          <w:rFonts w:cs="Times New Roman"/>
          <w:szCs w:val="24"/>
        </w:rPr>
        <w:t xml:space="preserve">The Regulations omit </w:t>
      </w:r>
      <w:r w:rsidRPr="00AC5CFF">
        <w:rPr>
          <w:rFonts w:cs="Times New Roman"/>
          <w:szCs w:val="24"/>
        </w:rPr>
        <w:t>redundant provisions and associated definitions from</w:t>
      </w:r>
      <w:r>
        <w:rPr>
          <w:rFonts w:cs="Times New Roman"/>
          <w:szCs w:val="24"/>
        </w:rPr>
        <w:t xml:space="preserve"> the 1987 Regulations relating</w:t>
      </w:r>
      <w:r w:rsidRPr="00AC5CFF">
        <w:rPr>
          <w:rFonts w:cs="Times New Roman"/>
          <w:szCs w:val="24"/>
        </w:rPr>
        <w:t xml:space="preserve"> to the National Cultural Heritage Fund (the Fund). The provisions are redundant as amendments to the Act in 1999 res</w:t>
      </w:r>
      <w:r>
        <w:rPr>
          <w:rFonts w:cs="Times New Roman"/>
          <w:szCs w:val="24"/>
        </w:rPr>
        <w:t>ulted in the Fund being replaced</w:t>
      </w:r>
      <w:r w:rsidRPr="00AC5CFF">
        <w:rPr>
          <w:rFonts w:cs="Times New Roman"/>
          <w:szCs w:val="24"/>
        </w:rPr>
        <w:t xml:space="preserve"> </w:t>
      </w:r>
      <w:r>
        <w:rPr>
          <w:rFonts w:cs="Times New Roman"/>
          <w:szCs w:val="24"/>
        </w:rPr>
        <w:t>by a special account,</w:t>
      </w:r>
      <w:r w:rsidRPr="00AC5CFF">
        <w:rPr>
          <w:rFonts w:cs="Times New Roman"/>
          <w:szCs w:val="24"/>
        </w:rPr>
        <w:t xml:space="preserve"> the National</w:t>
      </w:r>
      <w:r>
        <w:rPr>
          <w:rFonts w:cs="Times New Roman"/>
          <w:szCs w:val="24"/>
        </w:rPr>
        <w:t xml:space="preserve"> Cultural Heritage Account</w:t>
      </w:r>
      <w:r w:rsidRPr="00AC5CFF">
        <w:rPr>
          <w:rFonts w:cs="Times New Roman"/>
          <w:szCs w:val="24"/>
        </w:rPr>
        <w:t>.</w:t>
      </w:r>
    </w:p>
    <w:p w14:paraId="1D03FAFF" w14:textId="1C5EF38E" w:rsidR="000C3D33" w:rsidRDefault="000C3D33" w:rsidP="00242473">
      <w:pPr>
        <w:rPr>
          <w:rFonts w:cs="Times New Roman"/>
          <w:szCs w:val="24"/>
        </w:rPr>
      </w:pPr>
      <w:r>
        <w:rPr>
          <w:rFonts w:cs="Times New Roman"/>
          <w:szCs w:val="24"/>
        </w:rPr>
        <w:t>The Regulations prescribe a number of matters required or pe</w:t>
      </w:r>
      <w:r w:rsidR="00343CC3">
        <w:rPr>
          <w:rFonts w:cs="Times New Roman"/>
          <w:szCs w:val="24"/>
        </w:rPr>
        <w:t>rmitted to be prescribed by the </w:t>
      </w:r>
      <w:r>
        <w:rPr>
          <w:rFonts w:cs="Times New Roman"/>
          <w:szCs w:val="24"/>
        </w:rPr>
        <w:t>Act.</w:t>
      </w:r>
    </w:p>
    <w:p w14:paraId="67DD5565" w14:textId="2AF6F03D" w:rsidR="00BA254F" w:rsidRDefault="00881B9C" w:rsidP="00242473">
      <w:pPr>
        <w:rPr>
          <w:rFonts w:cs="Times New Roman"/>
          <w:szCs w:val="24"/>
        </w:rPr>
      </w:pPr>
      <w:r>
        <w:rPr>
          <w:rFonts w:cs="Times New Roman"/>
          <w:szCs w:val="24"/>
        </w:rPr>
        <w:t>Subsection </w:t>
      </w:r>
      <w:r w:rsidR="00AE6613">
        <w:rPr>
          <w:rFonts w:cs="Times New Roman"/>
          <w:szCs w:val="24"/>
        </w:rPr>
        <w:t>8(1) of the Act provides that the</w:t>
      </w:r>
      <w:r w:rsidR="00D947B6" w:rsidRPr="00AC5CFF">
        <w:rPr>
          <w:rFonts w:cs="Times New Roman"/>
          <w:szCs w:val="24"/>
        </w:rPr>
        <w:t xml:space="preserve"> Regulations </w:t>
      </w:r>
      <w:r w:rsidR="00AE6613">
        <w:rPr>
          <w:rFonts w:cs="Times New Roman"/>
          <w:szCs w:val="24"/>
        </w:rPr>
        <w:t xml:space="preserve">shall </w:t>
      </w:r>
      <w:r w:rsidR="00D947B6" w:rsidRPr="00AC5CFF">
        <w:rPr>
          <w:rFonts w:cs="Times New Roman"/>
          <w:szCs w:val="24"/>
        </w:rPr>
        <w:t xml:space="preserve">prescribe </w:t>
      </w:r>
      <w:r w:rsidR="00AE6613">
        <w:rPr>
          <w:rFonts w:cs="Times New Roman"/>
          <w:szCs w:val="24"/>
        </w:rPr>
        <w:t xml:space="preserve">a list, to be known as </w:t>
      </w:r>
      <w:r w:rsidR="00D947B6" w:rsidRPr="00AC5CFF">
        <w:rPr>
          <w:rFonts w:cs="Times New Roman"/>
          <w:szCs w:val="24"/>
        </w:rPr>
        <w:t>the National Cultural Heritage Control List</w:t>
      </w:r>
      <w:r w:rsidR="000C3D33">
        <w:rPr>
          <w:rFonts w:cs="Times New Roman"/>
          <w:szCs w:val="24"/>
        </w:rPr>
        <w:t xml:space="preserve"> (the Control List)</w:t>
      </w:r>
      <w:r w:rsidR="00D947B6" w:rsidRPr="00AC5CFF">
        <w:rPr>
          <w:rFonts w:cs="Times New Roman"/>
          <w:szCs w:val="24"/>
        </w:rPr>
        <w:t>, which lists the categories of objects that constitute the movable cultural heritage of Australia</w:t>
      </w:r>
      <w:r w:rsidR="00B94F82">
        <w:rPr>
          <w:rFonts w:cs="Times New Roman"/>
          <w:szCs w:val="24"/>
        </w:rPr>
        <w:t xml:space="preserve"> </w:t>
      </w:r>
      <w:r w:rsidR="00D947B6" w:rsidRPr="00AC5CFF">
        <w:rPr>
          <w:rFonts w:cs="Times New Roman"/>
          <w:szCs w:val="24"/>
        </w:rPr>
        <w:t xml:space="preserve">and </w:t>
      </w:r>
      <w:r w:rsidR="006E3A18">
        <w:rPr>
          <w:rFonts w:cs="Times New Roman"/>
          <w:szCs w:val="24"/>
        </w:rPr>
        <w:t xml:space="preserve">that </w:t>
      </w:r>
      <w:r w:rsidR="00D947B6" w:rsidRPr="00AC5CFF">
        <w:rPr>
          <w:rFonts w:cs="Times New Roman"/>
          <w:szCs w:val="24"/>
        </w:rPr>
        <w:t>are subject to export control</w:t>
      </w:r>
      <w:r w:rsidR="00AE6613">
        <w:rPr>
          <w:rFonts w:cs="Times New Roman"/>
          <w:szCs w:val="24"/>
        </w:rPr>
        <w:t xml:space="preserve"> under the Act</w:t>
      </w:r>
      <w:r w:rsidR="00D947B6" w:rsidRPr="00AC5CFF">
        <w:rPr>
          <w:rFonts w:cs="Times New Roman"/>
          <w:szCs w:val="24"/>
        </w:rPr>
        <w:t xml:space="preserve">. </w:t>
      </w:r>
      <w:r w:rsidR="000C3D33">
        <w:rPr>
          <w:rFonts w:cs="Times New Roman"/>
          <w:szCs w:val="24"/>
        </w:rPr>
        <w:t xml:space="preserve">The prescription of the Control </w:t>
      </w:r>
      <w:r w:rsidR="000C3D33">
        <w:rPr>
          <w:rFonts w:cs="Times New Roman"/>
          <w:szCs w:val="24"/>
        </w:rPr>
        <w:lastRenderedPageBreak/>
        <w:t>List is fundamental to the</w:t>
      </w:r>
      <w:r w:rsidR="00D947B6" w:rsidRPr="00AC5CFF">
        <w:rPr>
          <w:rFonts w:cs="Times New Roman"/>
          <w:szCs w:val="24"/>
        </w:rPr>
        <w:t xml:space="preserve"> </w:t>
      </w:r>
      <w:r w:rsidR="00FC751F">
        <w:rPr>
          <w:rFonts w:cs="Times New Roman"/>
          <w:szCs w:val="24"/>
        </w:rPr>
        <w:t xml:space="preserve">operation of </w:t>
      </w:r>
      <w:r w:rsidR="00D947B6" w:rsidRPr="00AC5CFF">
        <w:rPr>
          <w:rFonts w:cs="Times New Roman"/>
          <w:szCs w:val="24"/>
        </w:rPr>
        <w:t xml:space="preserve">the provisions in the Act that </w:t>
      </w:r>
      <w:r w:rsidR="00FC751F">
        <w:rPr>
          <w:rFonts w:cs="Times New Roman"/>
          <w:szCs w:val="24"/>
        </w:rPr>
        <w:t xml:space="preserve">regulate the export of movable objects of significance to Australia’s cultural heritage, as the Act does not regulate or restrict the export of </w:t>
      </w:r>
      <w:r w:rsidR="00BA254F">
        <w:rPr>
          <w:rFonts w:cs="Times New Roman"/>
          <w:szCs w:val="24"/>
        </w:rPr>
        <w:t>Australian</w:t>
      </w:r>
      <w:r w:rsidR="00FC751F">
        <w:rPr>
          <w:rFonts w:cs="Times New Roman"/>
          <w:szCs w:val="24"/>
        </w:rPr>
        <w:t xml:space="preserve"> objects other than those prescribed on the list.</w:t>
      </w:r>
      <w:r w:rsidR="00D947B6" w:rsidRPr="00AC5CFF">
        <w:rPr>
          <w:rFonts w:cs="Times New Roman"/>
          <w:szCs w:val="24"/>
        </w:rPr>
        <w:t xml:space="preserve"> </w:t>
      </w:r>
      <w:r w:rsidR="0067401E">
        <w:rPr>
          <w:rFonts w:cs="Times New Roman"/>
          <w:szCs w:val="24"/>
        </w:rPr>
        <w:t>Without the Control List,</w:t>
      </w:r>
      <w:r w:rsidR="00D947B6" w:rsidRPr="00AC5CFF">
        <w:rPr>
          <w:rFonts w:cs="Times New Roman"/>
          <w:szCs w:val="24"/>
        </w:rPr>
        <w:t xml:space="preserve"> significant objects, including those that would have been denied an export permit, could be exported and permanently lost to Australia</w:t>
      </w:r>
      <w:r w:rsidR="00FC751F">
        <w:rPr>
          <w:rFonts w:cs="Times New Roman"/>
          <w:szCs w:val="24"/>
        </w:rPr>
        <w:t xml:space="preserve"> with no recourse to impose penalties or take other enforcement actions in relation to the objects</w:t>
      </w:r>
      <w:r w:rsidR="00D947B6" w:rsidRPr="00AC5CFF">
        <w:rPr>
          <w:rFonts w:cs="Times New Roman"/>
          <w:szCs w:val="24"/>
        </w:rPr>
        <w:t>.</w:t>
      </w:r>
    </w:p>
    <w:p w14:paraId="02500119" w14:textId="7CAA8EB6" w:rsidR="004C2E1A" w:rsidRDefault="00881B9C" w:rsidP="00242473">
      <w:pPr>
        <w:rPr>
          <w:rFonts w:cs="Times New Roman"/>
          <w:szCs w:val="24"/>
        </w:rPr>
      </w:pPr>
      <w:r>
        <w:rPr>
          <w:rFonts w:cs="Times New Roman"/>
          <w:szCs w:val="24"/>
        </w:rPr>
        <w:t>Schedule </w:t>
      </w:r>
      <w:r w:rsidR="00BA254F">
        <w:rPr>
          <w:rFonts w:cs="Times New Roman"/>
          <w:szCs w:val="24"/>
        </w:rPr>
        <w:t>1 of the Regulations prescribes the Control</w:t>
      </w:r>
      <w:r>
        <w:rPr>
          <w:rFonts w:cs="Times New Roman"/>
          <w:szCs w:val="24"/>
        </w:rPr>
        <w:t xml:space="preserve"> List as required by subsection </w:t>
      </w:r>
      <w:r w:rsidR="00BA254F">
        <w:rPr>
          <w:rFonts w:cs="Times New Roman"/>
          <w:szCs w:val="24"/>
        </w:rPr>
        <w:t>8(1). The</w:t>
      </w:r>
      <w:r w:rsidR="00343CC3">
        <w:rPr>
          <w:rFonts w:cs="Times New Roman"/>
          <w:szCs w:val="24"/>
        </w:rPr>
        <w:t> </w:t>
      </w:r>
      <w:r w:rsidR="00BA254F">
        <w:rPr>
          <w:rFonts w:cs="Times New Roman"/>
          <w:szCs w:val="24"/>
        </w:rPr>
        <w:t>Control List prescribed substantially replicates the Control List prescri</w:t>
      </w:r>
      <w:r w:rsidR="001145E6">
        <w:rPr>
          <w:rFonts w:cs="Times New Roman"/>
          <w:szCs w:val="24"/>
        </w:rPr>
        <w:t>bed by the 1987 </w:t>
      </w:r>
      <w:r w:rsidR="00323CD6">
        <w:rPr>
          <w:rFonts w:cs="Times New Roman"/>
          <w:szCs w:val="24"/>
        </w:rPr>
        <w:t>Regulations, with</w:t>
      </w:r>
      <w:r w:rsidR="00BA254F">
        <w:rPr>
          <w:rFonts w:cs="Times New Roman"/>
          <w:szCs w:val="24"/>
        </w:rPr>
        <w:t xml:space="preserve"> </w:t>
      </w:r>
      <w:r w:rsidR="00323CD6">
        <w:rPr>
          <w:rFonts w:cs="Times New Roman"/>
          <w:szCs w:val="24"/>
        </w:rPr>
        <w:t>modernised drafting</w:t>
      </w:r>
      <w:r w:rsidR="0067401E">
        <w:rPr>
          <w:rFonts w:cs="Times New Roman"/>
          <w:szCs w:val="24"/>
        </w:rPr>
        <w:t>.</w:t>
      </w:r>
    </w:p>
    <w:p w14:paraId="596A3335" w14:textId="7CEFC497" w:rsidR="00083824" w:rsidRDefault="0002130E" w:rsidP="00242473">
      <w:pPr>
        <w:rPr>
          <w:rFonts w:cs="Times New Roman"/>
          <w:szCs w:val="24"/>
        </w:rPr>
      </w:pPr>
      <w:r>
        <w:rPr>
          <w:rFonts w:cs="Times New Roman"/>
          <w:szCs w:val="24"/>
        </w:rPr>
        <w:t>T</w:t>
      </w:r>
      <w:r w:rsidR="003215FF">
        <w:rPr>
          <w:rFonts w:cs="Times New Roman"/>
          <w:szCs w:val="24"/>
        </w:rPr>
        <w:t>he Regulations</w:t>
      </w:r>
      <w:r w:rsidR="00BA254F">
        <w:rPr>
          <w:rFonts w:cs="Times New Roman"/>
          <w:szCs w:val="24"/>
        </w:rPr>
        <w:t xml:space="preserve"> </w:t>
      </w:r>
      <w:r>
        <w:rPr>
          <w:rFonts w:cs="Times New Roman"/>
          <w:szCs w:val="24"/>
        </w:rPr>
        <w:t xml:space="preserve">also </w:t>
      </w:r>
      <w:r w:rsidR="00FC751F">
        <w:rPr>
          <w:rFonts w:cs="Times New Roman"/>
          <w:szCs w:val="24"/>
        </w:rPr>
        <w:t>implement</w:t>
      </w:r>
      <w:r w:rsidR="00FC751F" w:rsidRPr="00AC5CFF">
        <w:rPr>
          <w:rFonts w:cs="Times New Roman"/>
          <w:szCs w:val="24"/>
        </w:rPr>
        <w:t xml:space="preserve"> </w:t>
      </w:r>
      <w:r w:rsidR="007F2194" w:rsidRPr="00AC5CFF">
        <w:rPr>
          <w:rFonts w:cs="Times New Roman"/>
          <w:szCs w:val="24"/>
        </w:rPr>
        <w:t>some limited e</w:t>
      </w:r>
      <w:r w:rsidR="00387459">
        <w:rPr>
          <w:rFonts w:cs="Times New Roman"/>
          <w:szCs w:val="24"/>
        </w:rPr>
        <w:t>lements of the model proposed by</w:t>
      </w:r>
      <w:r w:rsidR="007F2194" w:rsidRPr="00AC5CFF">
        <w:rPr>
          <w:rFonts w:cs="Times New Roman"/>
          <w:szCs w:val="24"/>
        </w:rPr>
        <w:t xml:space="preserve"> the </w:t>
      </w:r>
      <w:r>
        <w:rPr>
          <w:rFonts w:cs="Times New Roman"/>
          <w:szCs w:val="24"/>
        </w:rPr>
        <w:t xml:space="preserve">independent review of the Act undertaken by </w:t>
      </w:r>
      <w:r w:rsidR="00343CC3">
        <w:rPr>
          <w:rFonts w:cs="Times New Roman"/>
          <w:szCs w:val="24"/>
        </w:rPr>
        <w:t>Mr Shane Simpson </w:t>
      </w:r>
      <w:r>
        <w:rPr>
          <w:rFonts w:cs="Times New Roman"/>
          <w:szCs w:val="24"/>
        </w:rPr>
        <w:t>AM in 2015 (</w:t>
      </w:r>
      <w:r w:rsidR="00BA254F">
        <w:rPr>
          <w:rFonts w:cs="Times New Roman"/>
          <w:szCs w:val="24"/>
        </w:rPr>
        <w:t>Simpson Review</w:t>
      </w:r>
      <w:r>
        <w:rPr>
          <w:rFonts w:cs="Times New Roman"/>
          <w:szCs w:val="24"/>
        </w:rPr>
        <w:t>), as an interim measure until the remake of the primary legislation.</w:t>
      </w:r>
    </w:p>
    <w:p w14:paraId="2D649A1A" w14:textId="22DC17F8" w:rsidR="003C5FC0" w:rsidRDefault="00280D29" w:rsidP="00242473">
      <w:pPr>
        <w:rPr>
          <w:rFonts w:cs="Times New Roman"/>
          <w:szCs w:val="24"/>
        </w:rPr>
      </w:pPr>
      <w:r>
        <w:rPr>
          <w:rFonts w:cs="Times New Roman"/>
          <w:szCs w:val="24"/>
        </w:rPr>
        <w:t>Part</w:t>
      </w:r>
      <w:r w:rsidRPr="000116A5">
        <w:rPr>
          <w:rFonts w:cs="Times New Roman"/>
          <w:szCs w:val="24"/>
          <w:lang w:val="en"/>
        </w:rPr>
        <w:t> </w:t>
      </w:r>
      <w:r w:rsidR="00A513D2">
        <w:rPr>
          <w:rFonts w:cs="Times New Roman"/>
          <w:szCs w:val="24"/>
        </w:rPr>
        <w:t>5</w:t>
      </w:r>
      <w:r w:rsidR="0002130E">
        <w:rPr>
          <w:rFonts w:cs="Times New Roman"/>
          <w:szCs w:val="24"/>
        </w:rPr>
        <w:t>—Objects of Fine or Decorative Art</w:t>
      </w:r>
      <w:r w:rsidR="00A513D2">
        <w:rPr>
          <w:rFonts w:cs="Times New Roman"/>
          <w:szCs w:val="24"/>
        </w:rPr>
        <w:t xml:space="preserve"> of the National Cultural Heritage Control </w:t>
      </w:r>
      <w:r w:rsidR="00CF4CD3">
        <w:rPr>
          <w:rFonts w:cs="Times New Roman"/>
          <w:szCs w:val="24"/>
        </w:rPr>
        <w:t xml:space="preserve">List </w:t>
      </w:r>
      <w:r w:rsidR="006303F8">
        <w:rPr>
          <w:rFonts w:cs="Times New Roman"/>
          <w:szCs w:val="24"/>
        </w:rPr>
        <w:t xml:space="preserve">prescribes </w:t>
      </w:r>
      <w:r w:rsidR="00CF4CD3">
        <w:rPr>
          <w:rFonts w:cs="Times New Roman"/>
          <w:szCs w:val="24"/>
        </w:rPr>
        <w:t xml:space="preserve">the </w:t>
      </w:r>
      <w:r w:rsidR="006303F8">
        <w:rPr>
          <w:rFonts w:cs="Times New Roman"/>
          <w:szCs w:val="24"/>
        </w:rPr>
        <w:t>category of objects of</w:t>
      </w:r>
      <w:r w:rsidR="00CF4CD3">
        <w:rPr>
          <w:rFonts w:cs="Times New Roman"/>
          <w:szCs w:val="24"/>
        </w:rPr>
        <w:t xml:space="preserve"> f</w:t>
      </w:r>
      <w:r w:rsidR="00A513D2">
        <w:rPr>
          <w:rFonts w:cs="Times New Roman"/>
          <w:szCs w:val="24"/>
        </w:rPr>
        <w:t>ine and decorative art.</w:t>
      </w:r>
      <w:r w:rsidR="00B94F82">
        <w:rPr>
          <w:rFonts w:cs="Times New Roman"/>
          <w:szCs w:val="24"/>
        </w:rPr>
        <w:t xml:space="preserve"> </w:t>
      </w:r>
      <w:r w:rsidR="006303F8">
        <w:rPr>
          <w:rFonts w:cs="Times New Roman"/>
          <w:szCs w:val="24"/>
        </w:rPr>
        <w:t xml:space="preserve">Under the </w:t>
      </w:r>
      <w:r w:rsidR="00B94F82">
        <w:rPr>
          <w:rFonts w:cs="Times New Roman"/>
          <w:szCs w:val="24"/>
        </w:rPr>
        <w:t>1987</w:t>
      </w:r>
      <w:r w:rsidR="00343CC3">
        <w:rPr>
          <w:rFonts w:cs="Times New Roman"/>
          <w:szCs w:val="24"/>
        </w:rPr>
        <w:t> </w:t>
      </w:r>
      <w:r w:rsidR="00A513D2">
        <w:rPr>
          <w:rFonts w:cs="Times New Roman"/>
          <w:szCs w:val="24"/>
        </w:rPr>
        <w:t>Regulations</w:t>
      </w:r>
      <w:r w:rsidR="006303F8">
        <w:rPr>
          <w:rFonts w:cs="Times New Roman"/>
          <w:szCs w:val="24"/>
        </w:rPr>
        <w:t>,</w:t>
      </w:r>
      <w:r w:rsidR="00A513D2">
        <w:rPr>
          <w:rFonts w:cs="Times New Roman"/>
          <w:szCs w:val="24"/>
        </w:rPr>
        <w:t xml:space="preserve"> </w:t>
      </w:r>
      <w:r w:rsidR="006303F8">
        <w:rPr>
          <w:rFonts w:cs="Times New Roman"/>
          <w:szCs w:val="24"/>
        </w:rPr>
        <w:t xml:space="preserve">whether objects were within the category was determined </w:t>
      </w:r>
      <w:r w:rsidR="00A513D2">
        <w:rPr>
          <w:rFonts w:cs="Times New Roman"/>
          <w:szCs w:val="24"/>
        </w:rPr>
        <w:t>by medi</w:t>
      </w:r>
      <w:r w:rsidR="006303F8">
        <w:rPr>
          <w:rFonts w:cs="Times New Roman"/>
          <w:szCs w:val="24"/>
        </w:rPr>
        <w:t>um</w:t>
      </w:r>
      <w:r w:rsidR="00A513D2">
        <w:rPr>
          <w:rFonts w:cs="Times New Roman"/>
          <w:szCs w:val="24"/>
        </w:rPr>
        <w:t xml:space="preserve">, price, </w:t>
      </w:r>
      <w:r w:rsidR="008B3EFD">
        <w:rPr>
          <w:rFonts w:cs="Times New Roman"/>
          <w:szCs w:val="24"/>
        </w:rPr>
        <w:t>age and, in the case of paintings</w:t>
      </w:r>
      <w:r w:rsidR="006B175C">
        <w:rPr>
          <w:rFonts w:cs="Times New Roman"/>
          <w:szCs w:val="24"/>
        </w:rPr>
        <w:t xml:space="preserve"> (which is </w:t>
      </w:r>
      <w:r w:rsidR="008B3EFD">
        <w:rPr>
          <w:rFonts w:cs="Times New Roman"/>
          <w:szCs w:val="24"/>
        </w:rPr>
        <w:t xml:space="preserve">the most </w:t>
      </w:r>
      <w:r w:rsidR="00323CD6">
        <w:rPr>
          <w:rFonts w:cs="Times New Roman"/>
          <w:szCs w:val="24"/>
        </w:rPr>
        <w:t xml:space="preserve">commonly encountered </w:t>
      </w:r>
      <w:r w:rsidR="008B3EFD">
        <w:rPr>
          <w:rFonts w:cs="Times New Roman"/>
          <w:szCs w:val="24"/>
        </w:rPr>
        <w:t>media category</w:t>
      </w:r>
      <w:r w:rsidR="006B175C">
        <w:rPr>
          <w:rFonts w:cs="Times New Roman"/>
          <w:szCs w:val="24"/>
        </w:rPr>
        <w:t>)</w:t>
      </w:r>
      <w:r w:rsidR="008B3EFD">
        <w:rPr>
          <w:rFonts w:cs="Times New Roman"/>
          <w:szCs w:val="24"/>
        </w:rPr>
        <w:t xml:space="preserve">, </w:t>
      </w:r>
      <w:r w:rsidR="00613850">
        <w:rPr>
          <w:rFonts w:cs="Times New Roman"/>
          <w:szCs w:val="24"/>
        </w:rPr>
        <w:t>whether they were</w:t>
      </w:r>
      <w:r w:rsidR="008B3EFD">
        <w:rPr>
          <w:rFonts w:cs="Times New Roman"/>
          <w:szCs w:val="24"/>
        </w:rPr>
        <w:t xml:space="preserve"> </w:t>
      </w:r>
      <w:r w:rsidR="00B862D0">
        <w:rPr>
          <w:rFonts w:cs="Times New Roman"/>
          <w:szCs w:val="24"/>
        </w:rPr>
        <w:t xml:space="preserve">made </w:t>
      </w:r>
      <w:r w:rsidR="008B3EFD">
        <w:rPr>
          <w:rFonts w:cs="Times New Roman"/>
          <w:szCs w:val="24"/>
        </w:rPr>
        <w:t>by artists</w:t>
      </w:r>
      <w:r w:rsidR="00613850">
        <w:rPr>
          <w:rFonts w:cs="Times New Roman"/>
          <w:szCs w:val="24"/>
        </w:rPr>
        <w:t xml:space="preserve"> identifying as Australian Aboriginal </w:t>
      </w:r>
      <w:r w:rsidR="006303F8">
        <w:rPr>
          <w:rFonts w:cs="Times New Roman"/>
          <w:szCs w:val="24"/>
        </w:rPr>
        <w:t xml:space="preserve">or </w:t>
      </w:r>
      <w:r w:rsidR="00613850">
        <w:rPr>
          <w:rFonts w:cs="Times New Roman"/>
          <w:szCs w:val="24"/>
        </w:rPr>
        <w:t>Torres Strait Islander</w:t>
      </w:r>
      <w:r w:rsidR="008B3EFD">
        <w:rPr>
          <w:rFonts w:cs="Times New Roman"/>
          <w:szCs w:val="24"/>
        </w:rPr>
        <w:t>.</w:t>
      </w:r>
      <w:r w:rsidR="003C5FC0">
        <w:rPr>
          <w:rFonts w:cs="Times New Roman"/>
          <w:szCs w:val="24"/>
        </w:rPr>
        <w:t xml:space="preserve"> A single</w:t>
      </w:r>
      <w:r w:rsidR="00D35537">
        <w:rPr>
          <w:rFonts w:cs="Times New Roman"/>
          <w:szCs w:val="24"/>
        </w:rPr>
        <w:t xml:space="preserve"> age and monetary threshold </w:t>
      </w:r>
      <w:r w:rsidR="00143CFB">
        <w:rPr>
          <w:rFonts w:cs="Times New Roman"/>
          <w:szCs w:val="24"/>
        </w:rPr>
        <w:t xml:space="preserve">for these works </w:t>
      </w:r>
      <w:r w:rsidR="00A71B34">
        <w:rPr>
          <w:rFonts w:cs="Times New Roman"/>
          <w:szCs w:val="24"/>
        </w:rPr>
        <w:t>is unnecessarily broad, and results in an unintended restriction on the secondary market value of works by Aboriginal and Torres Strait Islander artists.</w:t>
      </w:r>
      <w:r w:rsidR="00143CFB">
        <w:rPr>
          <w:rFonts w:cs="Times New Roman"/>
          <w:szCs w:val="24"/>
        </w:rPr>
        <w:t xml:space="preserve"> This iteration of the Regulations aims to redress the balance.</w:t>
      </w:r>
    </w:p>
    <w:p w14:paraId="00E11DB1" w14:textId="04B227AF" w:rsidR="00D82BBB" w:rsidRDefault="00D37508" w:rsidP="00242473">
      <w:pPr>
        <w:rPr>
          <w:rFonts w:cs="Times New Roman"/>
          <w:szCs w:val="24"/>
        </w:rPr>
      </w:pPr>
      <w:r>
        <w:rPr>
          <w:rFonts w:cs="Times New Roman"/>
          <w:szCs w:val="24"/>
        </w:rPr>
        <w:t>The</w:t>
      </w:r>
      <w:r w:rsidR="002C219A">
        <w:rPr>
          <w:rFonts w:cs="Times New Roman"/>
          <w:szCs w:val="24"/>
        </w:rPr>
        <w:t xml:space="preserve"> Regulations </w:t>
      </w:r>
      <w:r w:rsidR="00143CFB">
        <w:rPr>
          <w:rFonts w:cs="Times New Roman"/>
          <w:szCs w:val="24"/>
        </w:rPr>
        <w:t>therefore</w:t>
      </w:r>
      <w:r w:rsidR="00410670">
        <w:rPr>
          <w:rFonts w:cs="Times New Roman"/>
          <w:szCs w:val="24"/>
        </w:rPr>
        <w:t xml:space="preserve"> include a number of more specific categories that</w:t>
      </w:r>
      <w:r w:rsidR="002C219A">
        <w:rPr>
          <w:rFonts w:cs="Times New Roman"/>
          <w:szCs w:val="24"/>
        </w:rPr>
        <w:t xml:space="preserve"> target specific regional </w:t>
      </w:r>
      <w:r w:rsidR="00BA2A4A">
        <w:rPr>
          <w:rFonts w:cs="Times New Roman"/>
          <w:szCs w:val="24"/>
        </w:rPr>
        <w:t>styl</w:t>
      </w:r>
      <w:r w:rsidR="00410670">
        <w:rPr>
          <w:rFonts w:cs="Times New Roman"/>
          <w:szCs w:val="24"/>
        </w:rPr>
        <w:t>es, media and historical periods</w:t>
      </w:r>
      <w:r w:rsidR="002C219A">
        <w:rPr>
          <w:rFonts w:cs="Times New Roman"/>
          <w:szCs w:val="24"/>
        </w:rPr>
        <w:t>, each with their own age and monetary threshold</w:t>
      </w:r>
      <w:r w:rsidR="00410670">
        <w:rPr>
          <w:rFonts w:cs="Times New Roman"/>
          <w:szCs w:val="24"/>
        </w:rPr>
        <w:t>s</w:t>
      </w:r>
      <w:r w:rsidR="002C219A">
        <w:rPr>
          <w:rFonts w:cs="Times New Roman"/>
          <w:szCs w:val="24"/>
        </w:rPr>
        <w:t>. T</w:t>
      </w:r>
      <w:r w:rsidR="005A5DDC">
        <w:rPr>
          <w:rFonts w:cs="Times New Roman"/>
          <w:szCs w:val="24"/>
        </w:rPr>
        <w:t>hese categories were independently developed</w:t>
      </w:r>
      <w:r w:rsidR="00114402">
        <w:rPr>
          <w:rFonts w:cs="Times New Roman"/>
          <w:szCs w:val="24"/>
        </w:rPr>
        <w:t xml:space="preserve"> </w:t>
      </w:r>
      <w:r w:rsidR="005A5DDC">
        <w:rPr>
          <w:rFonts w:cs="Times New Roman"/>
          <w:szCs w:val="24"/>
        </w:rPr>
        <w:t>by a specialist consultant</w:t>
      </w:r>
      <w:r w:rsidR="00114402">
        <w:rPr>
          <w:rFonts w:cs="Times New Roman"/>
          <w:szCs w:val="24"/>
        </w:rPr>
        <w:t xml:space="preserve">, with reference to </w:t>
      </w:r>
      <w:r w:rsidR="002C219A">
        <w:rPr>
          <w:rFonts w:cs="Times New Roman"/>
          <w:szCs w:val="24"/>
        </w:rPr>
        <w:t xml:space="preserve">auction and art market </w:t>
      </w:r>
      <w:r w:rsidR="00114402">
        <w:rPr>
          <w:rFonts w:cs="Times New Roman"/>
          <w:szCs w:val="24"/>
        </w:rPr>
        <w:t xml:space="preserve">results for these </w:t>
      </w:r>
      <w:r w:rsidR="00BA2A4A">
        <w:rPr>
          <w:rFonts w:cs="Times New Roman"/>
          <w:szCs w:val="24"/>
        </w:rPr>
        <w:t>different styles</w:t>
      </w:r>
      <w:r w:rsidR="00410670">
        <w:rPr>
          <w:rFonts w:cs="Times New Roman"/>
          <w:szCs w:val="24"/>
        </w:rPr>
        <w:t xml:space="preserve"> and periods</w:t>
      </w:r>
      <w:r w:rsidR="002C219A">
        <w:rPr>
          <w:rFonts w:cs="Times New Roman"/>
          <w:szCs w:val="24"/>
        </w:rPr>
        <w:t xml:space="preserve">. The </w:t>
      </w:r>
      <w:r w:rsidR="004B1F9B">
        <w:rPr>
          <w:rFonts w:cs="Times New Roman"/>
          <w:szCs w:val="24"/>
        </w:rPr>
        <w:t xml:space="preserve">expected result of the new categorisation will be </w:t>
      </w:r>
      <w:r w:rsidR="00C25434">
        <w:rPr>
          <w:rFonts w:cs="Times New Roman"/>
          <w:szCs w:val="24"/>
        </w:rPr>
        <w:t xml:space="preserve">that significant works are more clearly targeted, and fewer </w:t>
      </w:r>
      <w:r w:rsidR="00143CFB">
        <w:rPr>
          <w:rFonts w:cs="Times New Roman"/>
          <w:szCs w:val="24"/>
        </w:rPr>
        <w:t xml:space="preserve">works of </w:t>
      </w:r>
      <w:r w:rsidR="005F62CE">
        <w:rPr>
          <w:rFonts w:cs="Times New Roman"/>
          <w:szCs w:val="24"/>
        </w:rPr>
        <w:t xml:space="preserve">a </w:t>
      </w:r>
      <w:r w:rsidR="00C25434">
        <w:rPr>
          <w:rFonts w:cs="Times New Roman"/>
          <w:szCs w:val="24"/>
        </w:rPr>
        <w:t>less</w:t>
      </w:r>
      <w:r w:rsidR="005F62CE">
        <w:rPr>
          <w:rFonts w:cs="Times New Roman"/>
          <w:szCs w:val="24"/>
        </w:rPr>
        <w:t>er</w:t>
      </w:r>
      <w:r w:rsidR="00C25434">
        <w:rPr>
          <w:rFonts w:cs="Times New Roman"/>
          <w:szCs w:val="24"/>
        </w:rPr>
        <w:t xml:space="preserve"> significan</w:t>
      </w:r>
      <w:r w:rsidR="00143CFB">
        <w:rPr>
          <w:rFonts w:cs="Times New Roman"/>
          <w:szCs w:val="24"/>
        </w:rPr>
        <w:t>ce</w:t>
      </w:r>
      <w:r w:rsidR="00C25434">
        <w:rPr>
          <w:rFonts w:cs="Times New Roman"/>
          <w:szCs w:val="24"/>
        </w:rPr>
        <w:t xml:space="preserve"> are required to be assessed. This will </w:t>
      </w:r>
      <w:r w:rsidR="00BD1F11">
        <w:rPr>
          <w:rFonts w:cs="Times New Roman"/>
          <w:szCs w:val="24"/>
        </w:rPr>
        <w:t>re</w:t>
      </w:r>
      <w:r w:rsidR="000D21E0">
        <w:rPr>
          <w:rFonts w:cs="Times New Roman"/>
          <w:szCs w:val="24"/>
        </w:rPr>
        <w:t>duce</w:t>
      </w:r>
      <w:r w:rsidR="00BD1F11">
        <w:rPr>
          <w:rFonts w:cs="Times New Roman"/>
          <w:szCs w:val="24"/>
        </w:rPr>
        <w:t xml:space="preserve"> the</w:t>
      </w:r>
      <w:r w:rsidR="00C25434">
        <w:rPr>
          <w:rFonts w:cs="Times New Roman"/>
          <w:szCs w:val="24"/>
        </w:rPr>
        <w:t xml:space="preserve"> </w:t>
      </w:r>
      <w:r w:rsidR="00BD1F11">
        <w:rPr>
          <w:rFonts w:cs="Times New Roman"/>
          <w:szCs w:val="24"/>
        </w:rPr>
        <w:t>over</w:t>
      </w:r>
      <w:r w:rsidR="00C25434">
        <w:rPr>
          <w:rFonts w:cs="Times New Roman"/>
          <w:szCs w:val="24"/>
        </w:rPr>
        <w:t>regulation of Aboriginal and Torres Strait Islander artist</w:t>
      </w:r>
      <w:r w:rsidR="00BA2A4A">
        <w:rPr>
          <w:rFonts w:cs="Times New Roman"/>
          <w:szCs w:val="24"/>
        </w:rPr>
        <w:t>s</w:t>
      </w:r>
      <w:r w:rsidR="00D82BBB">
        <w:rPr>
          <w:rFonts w:cs="Times New Roman"/>
          <w:szCs w:val="24"/>
        </w:rPr>
        <w:t>’</w:t>
      </w:r>
      <w:r w:rsidR="00C25434">
        <w:rPr>
          <w:rFonts w:cs="Times New Roman"/>
          <w:szCs w:val="24"/>
        </w:rPr>
        <w:t xml:space="preserve"> work</w:t>
      </w:r>
      <w:r w:rsidR="00BD1F11">
        <w:rPr>
          <w:rFonts w:cs="Times New Roman"/>
          <w:szCs w:val="24"/>
        </w:rPr>
        <w:t>s</w:t>
      </w:r>
      <w:r w:rsidR="00C25434">
        <w:rPr>
          <w:rFonts w:cs="Times New Roman"/>
          <w:szCs w:val="24"/>
        </w:rPr>
        <w:t xml:space="preserve"> on the secondary market</w:t>
      </w:r>
      <w:r w:rsidR="00A031D5">
        <w:rPr>
          <w:rFonts w:cs="Times New Roman"/>
          <w:szCs w:val="24"/>
        </w:rPr>
        <w:t xml:space="preserve">, and provide </w:t>
      </w:r>
      <w:r w:rsidR="008C1BDD">
        <w:rPr>
          <w:rFonts w:cs="Times New Roman"/>
          <w:szCs w:val="24"/>
        </w:rPr>
        <w:t>more opportunities to market such works internationally</w:t>
      </w:r>
      <w:r w:rsidR="00C25434">
        <w:rPr>
          <w:rFonts w:cs="Times New Roman"/>
          <w:szCs w:val="24"/>
        </w:rPr>
        <w:t>.</w:t>
      </w:r>
    </w:p>
    <w:p w14:paraId="5CE25301" w14:textId="7B0ADCBD" w:rsidR="00FC751F" w:rsidRDefault="00D82BBB" w:rsidP="00242473">
      <w:pPr>
        <w:rPr>
          <w:rFonts w:cs="Times New Roman"/>
          <w:szCs w:val="24"/>
        </w:rPr>
      </w:pPr>
      <w:r>
        <w:rPr>
          <w:rFonts w:cs="Times New Roman"/>
          <w:szCs w:val="24"/>
        </w:rPr>
        <w:t>Some other</w:t>
      </w:r>
      <w:r w:rsidRPr="00242473">
        <w:rPr>
          <w:rFonts w:cs="Times New Roman"/>
          <w:szCs w:val="24"/>
        </w:rPr>
        <w:t xml:space="preserve"> monetary value thresholds</w:t>
      </w:r>
      <w:r w:rsidR="00881B9C">
        <w:rPr>
          <w:rFonts w:cs="Times New Roman"/>
          <w:szCs w:val="24"/>
        </w:rPr>
        <w:t xml:space="preserve"> in Part </w:t>
      </w:r>
      <w:r>
        <w:rPr>
          <w:rFonts w:cs="Times New Roman"/>
          <w:szCs w:val="24"/>
        </w:rPr>
        <w:t>5</w:t>
      </w:r>
      <w:r w:rsidRPr="00242473">
        <w:rPr>
          <w:rFonts w:cs="Times New Roman"/>
          <w:szCs w:val="24"/>
        </w:rPr>
        <w:t xml:space="preserve"> are </w:t>
      </w:r>
      <w:r>
        <w:rPr>
          <w:rFonts w:cs="Times New Roman"/>
          <w:szCs w:val="24"/>
        </w:rPr>
        <w:t xml:space="preserve">also </w:t>
      </w:r>
      <w:r w:rsidRPr="00242473">
        <w:rPr>
          <w:rFonts w:cs="Times New Roman"/>
          <w:szCs w:val="24"/>
        </w:rPr>
        <w:t xml:space="preserve">amended to </w:t>
      </w:r>
      <w:r>
        <w:rPr>
          <w:rFonts w:cs="Times New Roman"/>
          <w:szCs w:val="24"/>
        </w:rPr>
        <w:t xml:space="preserve">better </w:t>
      </w:r>
      <w:r w:rsidRPr="00242473">
        <w:rPr>
          <w:rFonts w:cs="Times New Roman"/>
          <w:szCs w:val="24"/>
        </w:rPr>
        <w:t xml:space="preserve">reflect the current market value in Australian dollars of </w:t>
      </w:r>
      <w:r>
        <w:rPr>
          <w:rFonts w:cs="Times New Roman"/>
          <w:szCs w:val="24"/>
        </w:rPr>
        <w:t xml:space="preserve">the </w:t>
      </w:r>
      <w:r w:rsidRPr="00242473">
        <w:rPr>
          <w:rFonts w:cs="Times New Roman"/>
          <w:szCs w:val="24"/>
        </w:rPr>
        <w:t>categorised objects</w:t>
      </w:r>
      <w:r>
        <w:rPr>
          <w:rFonts w:cs="Times New Roman"/>
          <w:szCs w:val="24"/>
        </w:rPr>
        <w:t>, consistent with the Simpson Review</w:t>
      </w:r>
      <w:r w:rsidRPr="00242473">
        <w:rPr>
          <w:rFonts w:cs="Times New Roman"/>
          <w:szCs w:val="24"/>
        </w:rPr>
        <w:t>.</w:t>
      </w:r>
    </w:p>
    <w:p w14:paraId="6F94B35E" w14:textId="510AF050" w:rsidR="003C5FC0" w:rsidRDefault="00881B9C" w:rsidP="00242473">
      <w:pPr>
        <w:rPr>
          <w:rFonts w:cs="Times New Roman"/>
          <w:szCs w:val="24"/>
        </w:rPr>
      </w:pPr>
      <w:r>
        <w:rPr>
          <w:rFonts w:cs="Times New Roman"/>
          <w:szCs w:val="24"/>
        </w:rPr>
        <w:t>Part </w:t>
      </w:r>
      <w:r w:rsidR="00D37508">
        <w:rPr>
          <w:rFonts w:cs="Times New Roman"/>
          <w:szCs w:val="24"/>
        </w:rPr>
        <w:t>7—Numismatic objects of Schedule</w:t>
      </w:r>
      <w:r>
        <w:rPr>
          <w:rFonts w:cs="Times New Roman"/>
          <w:szCs w:val="24"/>
          <w:lang w:val="en"/>
        </w:rPr>
        <w:t> </w:t>
      </w:r>
      <w:r w:rsidR="0046205E">
        <w:rPr>
          <w:rFonts w:cs="Times New Roman"/>
          <w:szCs w:val="24"/>
        </w:rPr>
        <w:t xml:space="preserve">1 to the Regulations is updated to reflect the current list of recipients of </w:t>
      </w:r>
      <w:r w:rsidR="00D37508">
        <w:rPr>
          <w:rFonts w:cs="Times New Roman"/>
          <w:szCs w:val="24"/>
        </w:rPr>
        <w:t xml:space="preserve">all </w:t>
      </w:r>
      <w:r w:rsidR="0046205E">
        <w:rPr>
          <w:rFonts w:cs="Times New Roman"/>
          <w:szCs w:val="24"/>
        </w:rPr>
        <w:t>Victoria Cross</w:t>
      </w:r>
      <w:r w:rsidR="00D37508">
        <w:rPr>
          <w:rFonts w:cs="Times New Roman"/>
          <w:szCs w:val="24"/>
        </w:rPr>
        <w:t xml:space="preserve"> (VC)</w:t>
      </w:r>
      <w:r w:rsidR="0046205E">
        <w:rPr>
          <w:rFonts w:cs="Times New Roman"/>
          <w:szCs w:val="24"/>
        </w:rPr>
        <w:t xml:space="preserve"> medals</w:t>
      </w:r>
      <w:r w:rsidR="00D37508">
        <w:rPr>
          <w:rFonts w:cs="Times New Roman"/>
          <w:szCs w:val="24"/>
        </w:rPr>
        <w:t xml:space="preserve"> so that there is no doubt that these are prima facie on the Control List (with</w:t>
      </w:r>
      <w:r>
        <w:rPr>
          <w:rFonts w:cs="Times New Roman"/>
          <w:szCs w:val="24"/>
        </w:rPr>
        <w:t xml:space="preserve"> some exceptions) and are </w:t>
      </w:r>
      <w:r>
        <w:rPr>
          <w:rFonts w:cs="Times New Roman"/>
          <w:szCs w:val="24"/>
        </w:rPr>
        <w:lastRenderedPageBreak/>
        <w:t>Class </w:t>
      </w:r>
      <w:r w:rsidR="00D37508">
        <w:rPr>
          <w:rFonts w:cs="Times New Roman"/>
          <w:szCs w:val="24"/>
        </w:rPr>
        <w:t>A objects</w:t>
      </w:r>
      <w:r w:rsidR="00C333A6">
        <w:rPr>
          <w:rFonts w:cs="Times New Roman"/>
          <w:szCs w:val="24"/>
        </w:rPr>
        <w:t xml:space="preserve"> unless owned or held on loan by the Commonwealth (including Departments of State such as the Department of Defence) or a principal collecting ins</w:t>
      </w:r>
      <w:r>
        <w:rPr>
          <w:rFonts w:cs="Times New Roman"/>
          <w:szCs w:val="24"/>
        </w:rPr>
        <w:t>titut</w:t>
      </w:r>
      <w:r w:rsidR="00343CC3">
        <w:rPr>
          <w:rFonts w:cs="Times New Roman"/>
          <w:szCs w:val="24"/>
        </w:rPr>
        <w:t>ion (as defined in section 3 of the </w:t>
      </w:r>
      <w:r>
        <w:rPr>
          <w:rFonts w:cs="Times New Roman"/>
          <w:szCs w:val="24"/>
        </w:rPr>
        <w:t xml:space="preserve">Act). </w:t>
      </w:r>
      <w:r w:rsidR="00287B8C">
        <w:rPr>
          <w:rFonts w:cs="Times New Roman"/>
          <w:szCs w:val="24"/>
        </w:rPr>
        <w:t>As</w:t>
      </w:r>
      <w:r>
        <w:rPr>
          <w:rFonts w:cs="Times New Roman"/>
          <w:szCs w:val="24"/>
        </w:rPr>
        <w:t xml:space="preserve"> Class </w:t>
      </w:r>
      <w:r w:rsidR="00C333A6">
        <w:rPr>
          <w:rFonts w:cs="Times New Roman"/>
          <w:szCs w:val="24"/>
        </w:rPr>
        <w:t>A objects</w:t>
      </w:r>
      <w:r w:rsidR="00287B8C">
        <w:rPr>
          <w:rFonts w:cs="Times New Roman"/>
          <w:szCs w:val="24"/>
        </w:rPr>
        <w:t xml:space="preserve">, these could </w:t>
      </w:r>
      <w:r w:rsidR="00D37508">
        <w:rPr>
          <w:rFonts w:cs="Times New Roman"/>
          <w:szCs w:val="24"/>
        </w:rPr>
        <w:t>not be exported</w:t>
      </w:r>
      <w:r w:rsidR="00D82BBB">
        <w:rPr>
          <w:rFonts w:cs="Times New Roman"/>
          <w:szCs w:val="24"/>
        </w:rPr>
        <w:t xml:space="preserve"> in any circumstances</w:t>
      </w:r>
      <w:r w:rsidR="0046205E">
        <w:rPr>
          <w:rFonts w:cs="Times New Roman"/>
          <w:szCs w:val="24"/>
        </w:rPr>
        <w:t xml:space="preserve">. </w:t>
      </w:r>
      <w:r w:rsidR="00C333A6">
        <w:rPr>
          <w:rFonts w:cs="Times New Roman"/>
          <w:szCs w:val="24"/>
        </w:rPr>
        <w:t>A</w:t>
      </w:r>
      <w:r w:rsidR="00D37508">
        <w:rPr>
          <w:rFonts w:cs="Times New Roman"/>
          <w:szCs w:val="24"/>
        </w:rPr>
        <w:t>mendments have also been made so that</w:t>
      </w:r>
      <w:r w:rsidR="00D623A8">
        <w:rPr>
          <w:rFonts w:cs="Times New Roman"/>
          <w:szCs w:val="24"/>
        </w:rPr>
        <w:t xml:space="preserve"> </w:t>
      </w:r>
      <w:r w:rsidR="00D37508">
        <w:rPr>
          <w:rFonts w:cs="Times New Roman"/>
          <w:szCs w:val="24"/>
        </w:rPr>
        <w:t>VC</w:t>
      </w:r>
      <w:r w:rsidR="0046205E" w:rsidRPr="0046205E">
        <w:rPr>
          <w:rFonts w:cs="Times New Roman"/>
          <w:szCs w:val="24"/>
        </w:rPr>
        <w:t xml:space="preserve"> medals owned or held </w:t>
      </w:r>
      <w:r w:rsidR="00D37508">
        <w:rPr>
          <w:rFonts w:cs="Times New Roman"/>
          <w:szCs w:val="24"/>
        </w:rPr>
        <w:t xml:space="preserve">on loan </w:t>
      </w:r>
      <w:r w:rsidR="0046205E" w:rsidRPr="0046205E">
        <w:rPr>
          <w:rFonts w:cs="Times New Roman"/>
          <w:szCs w:val="24"/>
        </w:rPr>
        <w:t xml:space="preserve">by </w:t>
      </w:r>
      <w:r w:rsidR="00D37508">
        <w:rPr>
          <w:rFonts w:cs="Times New Roman"/>
          <w:szCs w:val="24"/>
        </w:rPr>
        <w:t>the</w:t>
      </w:r>
      <w:r w:rsidR="0046205E">
        <w:rPr>
          <w:rFonts w:cs="Times New Roman"/>
          <w:szCs w:val="24"/>
        </w:rPr>
        <w:t xml:space="preserve"> Commonwealth</w:t>
      </w:r>
      <w:r w:rsidR="00D37508">
        <w:rPr>
          <w:rFonts w:cs="Times New Roman"/>
          <w:szCs w:val="24"/>
        </w:rPr>
        <w:t xml:space="preserve"> </w:t>
      </w:r>
      <w:r w:rsidR="00D623A8">
        <w:rPr>
          <w:rFonts w:cs="Times New Roman"/>
          <w:szCs w:val="24"/>
        </w:rPr>
        <w:t>or a principal collecting institution</w:t>
      </w:r>
      <w:r>
        <w:rPr>
          <w:rFonts w:cs="Times New Roman"/>
          <w:szCs w:val="24"/>
        </w:rPr>
        <w:t xml:space="preserve"> are Class </w:t>
      </w:r>
      <w:r w:rsidR="00D37508">
        <w:rPr>
          <w:rFonts w:cs="Times New Roman"/>
          <w:szCs w:val="24"/>
        </w:rPr>
        <w:t>B objects, meaning they</w:t>
      </w:r>
      <w:r w:rsidR="003C5FC0">
        <w:rPr>
          <w:rFonts w:cs="Times New Roman"/>
          <w:szCs w:val="24"/>
        </w:rPr>
        <w:t xml:space="preserve"> may be </w:t>
      </w:r>
      <w:r w:rsidR="00D82BBB">
        <w:rPr>
          <w:rFonts w:cs="Times New Roman"/>
          <w:szCs w:val="24"/>
        </w:rPr>
        <w:t>able</w:t>
      </w:r>
      <w:r w:rsidR="003C5FC0">
        <w:rPr>
          <w:rFonts w:cs="Times New Roman"/>
          <w:szCs w:val="24"/>
        </w:rPr>
        <w:t xml:space="preserve"> to be</w:t>
      </w:r>
      <w:r w:rsidR="0046205E" w:rsidRPr="0046205E">
        <w:rPr>
          <w:rFonts w:cs="Times New Roman"/>
          <w:szCs w:val="24"/>
        </w:rPr>
        <w:t xml:space="preserve"> temporarily exported</w:t>
      </w:r>
      <w:r w:rsidR="00D37508">
        <w:rPr>
          <w:rFonts w:cs="Times New Roman"/>
          <w:szCs w:val="24"/>
        </w:rPr>
        <w:t xml:space="preserve"> by the Commonwealth or certain statutory bodies</w:t>
      </w:r>
      <w:r w:rsidR="0046205E" w:rsidRPr="0046205E">
        <w:rPr>
          <w:rFonts w:cs="Times New Roman"/>
          <w:szCs w:val="24"/>
        </w:rPr>
        <w:t xml:space="preserve"> for the purposes of public</w:t>
      </w:r>
      <w:r w:rsidR="006D0281">
        <w:rPr>
          <w:rFonts w:cs="Times New Roman"/>
          <w:szCs w:val="24"/>
        </w:rPr>
        <w:t xml:space="preserve"> exhibition and commemoration.</w:t>
      </w:r>
    </w:p>
    <w:p w14:paraId="730F503D" w14:textId="76F72569" w:rsidR="00FC751F" w:rsidRDefault="00D37508" w:rsidP="00242473">
      <w:pPr>
        <w:rPr>
          <w:rFonts w:cs="Times New Roman"/>
          <w:szCs w:val="24"/>
        </w:rPr>
      </w:pPr>
      <w:r>
        <w:rPr>
          <w:rFonts w:cs="Times New Roman"/>
          <w:szCs w:val="24"/>
        </w:rPr>
        <w:t xml:space="preserve">The Regulations </w:t>
      </w:r>
      <w:r w:rsidR="00C52AD0">
        <w:rPr>
          <w:rFonts w:cs="Times New Roman"/>
          <w:szCs w:val="24"/>
        </w:rPr>
        <w:t>continue to provide</w:t>
      </w:r>
      <w:r>
        <w:rPr>
          <w:rFonts w:cs="Times New Roman"/>
          <w:szCs w:val="24"/>
        </w:rPr>
        <w:t xml:space="preserve"> that </w:t>
      </w:r>
      <w:r w:rsidR="003C5FC0">
        <w:rPr>
          <w:rFonts w:cs="Times New Roman"/>
          <w:szCs w:val="24"/>
        </w:rPr>
        <w:t>VC medals will not be on the Control L</w:t>
      </w:r>
      <w:r>
        <w:rPr>
          <w:rFonts w:cs="Times New Roman"/>
          <w:szCs w:val="24"/>
        </w:rPr>
        <w:t>ist</w:t>
      </w:r>
      <w:r w:rsidR="00881B9C">
        <w:rPr>
          <w:rFonts w:cs="Times New Roman"/>
          <w:szCs w:val="24"/>
        </w:rPr>
        <w:t xml:space="preserve"> by reason of Part </w:t>
      </w:r>
      <w:r w:rsidR="003C5FC0">
        <w:rPr>
          <w:rFonts w:cs="Times New Roman"/>
          <w:szCs w:val="24"/>
        </w:rPr>
        <w:t>7</w:t>
      </w:r>
      <w:r>
        <w:rPr>
          <w:rFonts w:cs="Times New Roman"/>
          <w:szCs w:val="24"/>
        </w:rPr>
        <w:t xml:space="preserve"> where they are owned by the person to whom they are awarded or, i</w:t>
      </w:r>
      <w:r w:rsidR="003C5FC0">
        <w:rPr>
          <w:rFonts w:cs="Times New Roman"/>
          <w:szCs w:val="24"/>
        </w:rPr>
        <w:t>n the case of a posthumous award, the person’s next of kin (except where the Commonwealth or a principal collecting institution holds the medal on loan). Similarly, other medals or decorations that may be</w:t>
      </w:r>
      <w:r w:rsidR="00881B9C">
        <w:rPr>
          <w:rFonts w:cs="Times New Roman"/>
          <w:szCs w:val="24"/>
        </w:rPr>
        <w:t xml:space="preserve"> on the control list under Part </w:t>
      </w:r>
      <w:r w:rsidR="003C5FC0">
        <w:rPr>
          <w:rFonts w:cs="Times New Roman"/>
          <w:szCs w:val="24"/>
        </w:rPr>
        <w:t>7 will not be on the Control List where owned by the awardee (or their next of kin, for a posthumous award).</w:t>
      </w:r>
    </w:p>
    <w:p w14:paraId="24E9251B" w14:textId="4BCC6661" w:rsidR="00515D0A" w:rsidRDefault="00037980" w:rsidP="00242473">
      <w:pPr>
        <w:rPr>
          <w:szCs w:val="24"/>
        </w:rPr>
      </w:pPr>
      <w:r>
        <w:rPr>
          <w:rFonts w:cs="Times New Roman"/>
          <w:szCs w:val="24"/>
        </w:rPr>
        <w:t xml:space="preserve">The Regulations </w:t>
      </w:r>
      <w:r w:rsidR="00BA254F">
        <w:rPr>
          <w:rFonts w:cs="Times New Roman"/>
          <w:szCs w:val="24"/>
        </w:rPr>
        <w:t>also update an outdated</w:t>
      </w:r>
      <w:r>
        <w:rPr>
          <w:rFonts w:cs="Times New Roman"/>
          <w:szCs w:val="24"/>
        </w:rPr>
        <w:t xml:space="preserve"> </w:t>
      </w:r>
      <w:r w:rsidR="00BA254F">
        <w:rPr>
          <w:rFonts w:cs="Times New Roman"/>
          <w:szCs w:val="24"/>
        </w:rPr>
        <w:t xml:space="preserve">reference in </w:t>
      </w:r>
      <w:r w:rsidR="00280D29">
        <w:rPr>
          <w:rFonts w:cs="Times New Roman"/>
          <w:szCs w:val="24"/>
        </w:rPr>
        <w:t>Part</w:t>
      </w:r>
      <w:r w:rsidR="00881B9C">
        <w:rPr>
          <w:rFonts w:cs="Times New Roman"/>
          <w:szCs w:val="24"/>
          <w:lang w:val="en"/>
        </w:rPr>
        <w:t> </w:t>
      </w:r>
      <w:r w:rsidR="006C711F">
        <w:rPr>
          <w:rFonts w:cs="Times New Roman"/>
          <w:szCs w:val="24"/>
        </w:rPr>
        <w:t>3</w:t>
      </w:r>
      <w:r w:rsidR="006C711F" w:rsidRPr="001E70F9">
        <w:rPr>
          <w:rFonts w:cs="Times New Roman"/>
          <w:szCs w:val="24"/>
        </w:rPr>
        <w:t>—</w:t>
      </w:r>
      <w:r>
        <w:rPr>
          <w:rFonts w:cs="Times New Roman"/>
          <w:szCs w:val="24"/>
        </w:rPr>
        <w:t>Natural Science Objects</w:t>
      </w:r>
      <w:r w:rsidR="00881B9C">
        <w:rPr>
          <w:rFonts w:cs="Times New Roman"/>
          <w:szCs w:val="24"/>
        </w:rPr>
        <w:t xml:space="preserve"> of Schedule </w:t>
      </w:r>
      <w:r w:rsidR="00BA254F">
        <w:rPr>
          <w:rFonts w:cs="Times New Roman"/>
          <w:szCs w:val="24"/>
        </w:rPr>
        <w:t xml:space="preserve">1 to provisions of the </w:t>
      </w:r>
      <w:r w:rsidR="00BA254F">
        <w:rPr>
          <w:rFonts w:cs="Times New Roman"/>
          <w:i/>
          <w:szCs w:val="24"/>
        </w:rPr>
        <w:t>Wildlife Protection (Regulat</w:t>
      </w:r>
      <w:r w:rsidR="009C64A7">
        <w:rPr>
          <w:rFonts w:cs="Times New Roman"/>
          <w:i/>
          <w:szCs w:val="24"/>
        </w:rPr>
        <w:t>ion of Exports and Imports) Act </w:t>
      </w:r>
      <w:r w:rsidR="00BA254F">
        <w:rPr>
          <w:rFonts w:cs="Times New Roman"/>
          <w:i/>
          <w:szCs w:val="24"/>
        </w:rPr>
        <w:t>1982</w:t>
      </w:r>
      <w:r w:rsidR="00BA254F">
        <w:rPr>
          <w:rFonts w:cs="Times New Roman"/>
          <w:szCs w:val="24"/>
        </w:rPr>
        <w:t xml:space="preserve">, which is no longer in force, with reference to provisions of the </w:t>
      </w:r>
      <w:r w:rsidR="00BA254F">
        <w:rPr>
          <w:rFonts w:cs="Times New Roman"/>
          <w:i/>
          <w:szCs w:val="24"/>
        </w:rPr>
        <w:t>Environment Protection an</w:t>
      </w:r>
      <w:r w:rsidR="009C64A7">
        <w:rPr>
          <w:rFonts w:cs="Times New Roman"/>
          <w:i/>
          <w:szCs w:val="24"/>
        </w:rPr>
        <w:t>d Biodiversity Conservation Act </w:t>
      </w:r>
      <w:r w:rsidR="00BA254F">
        <w:rPr>
          <w:rFonts w:cs="Times New Roman"/>
          <w:i/>
          <w:szCs w:val="24"/>
        </w:rPr>
        <w:t>1999</w:t>
      </w:r>
      <w:r w:rsidR="00BA254F">
        <w:rPr>
          <w:rFonts w:cs="Times New Roman"/>
          <w:szCs w:val="24"/>
        </w:rPr>
        <w:t>, which now contains the relevant provisions</w:t>
      </w:r>
      <w:r>
        <w:rPr>
          <w:rFonts w:cs="Times New Roman"/>
          <w:szCs w:val="24"/>
        </w:rPr>
        <w:t>.</w:t>
      </w:r>
    </w:p>
    <w:p w14:paraId="32DB228F" w14:textId="2E4FF1BC" w:rsidR="00265189" w:rsidRDefault="00E51804" w:rsidP="00242473">
      <w:pPr>
        <w:rPr>
          <w:szCs w:val="24"/>
        </w:rPr>
      </w:pPr>
      <w:r>
        <w:rPr>
          <w:szCs w:val="24"/>
        </w:rPr>
        <w:t xml:space="preserve">The Regulations also </w:t>
      </w:r>
      <w:r w:rsidR="00265189">
        <w:rPr>
          <w:szCs w:val="24"/>
        </w:rPr>
        <w:t>prescribe:</w:t>
      </w:r>
    </w:p>
    <w:p w14:paraId="540A749A" w14:textId="4186BB37" w:rsidR="0067401E" w:rsidRPr="0067401E" w:rsidRDefault="00881B9C" w:rsidP="00417758">
      <w:pPr>
        <w:pStyle w:val="ListParagraph"/>
        <w:numPr>
          <w:ilvl w:val="0"/>
          <w:numId w:val="13"/>
        </w:numPr>
        <w:spacing w:line="240" w:lineRule="auto"/>
        <w:ind w:left="714" w:hanging="357"/>
        <w:rPr>
          <w:rFonts w:cs="Times New Roman"/>
          <w:szCs w:val="24"/>
        </w:rPr>
      </w:pPr>
      <w:r>
        <w:rPr>
          <w:rFonts w:cs="Times New Roman"/>
          <w:szCs w:val="24"/>
        </w:rPr>
        <w:t xml:space="preserve">for the purposes of </w:t>
      </w:r>
      <w:r w:rsidR="00D20E7F">
        <w:rPr>
          <w:rFonts w:cs="Times New Roman"/>
          <w:szCs w:val="24"/>
        </w:rPr>
        <w:t>paragraph </w:t>
      </w:r>
      <w:r w:rsidR="00C80A37" w:rsidRPr="0067401E">
        <w:rPr>
          <w:rFonts w:cs="Times New Roman"/>
          <w:szCs w:val="24"/>
        </w:rPr>
        <w:t xml:space="preserve">7(1)(j) of the Act, additional categories </w:t>
      </w:r>
      <w:r w:rsidR="00C52AD0">
        <w:rPr>
          <w:rFonts w:cs="Times New Roman"/>
          <w:szCs w:val="24"/>
        </w:rPr>
        <w:t>of</w:t>
      </w:r>
      <w:r w:rsidR="00C80A37" w:rsidRPr="0067401E">
        <w:rPr>
          <w:rFonts w:cs="Times New Roman"/>
          <w:szCs w:val="24"/>
        </w:rPr>
        <w:t xml:space="preserve"> obj</w:t>
      </w:r>
      <w:r w:rsidR="0067401E" w:rsidRPr="0067401E">
        <w:rPr>
          <w:rFonts w:cs="Times New Roman"/>
          <w:szCs w:val="24"/>
        </w:rPr>
        <w:t xml:space="preserve">ects </w:t>
      </w:r>
      <w:r w:rsidR="0067401E">
        <w:rPr>
          <w:rFonts w:cs="Times New Roman"/>
          <w:szCs w:val="24"/>
        </w:rPr>
        <w:t>of importance to Australia or a particular part of Australia fo</w:t>
      </w:r>
      <w:r>
        <w:rPr>
          <w:rFonts w:cs="Times New Roman"/>
          <w:szCs w:val="24"/>
        </w:rPr>
        <w:t>r a reason listed in subsection </w:t>
      </w:r>
      <w:r w:rsidR="0067401E">
        <w:rPr>
          <w:rFonts w:cs="Times New Roman"/>
          <w:szCs w:val="24"/>
        </w:rPr>
        <w:t xml:space="preserve">7(1), </w:t>
      </w:r>
      <w:r w:rsidR="00C52AD0">
        <w:rPr>
          <w:rFonts w:cs="Times New Roman"/>
          <w:szCs w:val="24"/>
        </w:rPr>
        <w:t xml:space="preserve">which </w:t>
      </w:r>
      <w:r w:rsidR="0067401E">
        <w:rPr>
          <w:rFonts w:cs="Times New Roman"/>
          <w:szCs w:val="24"/>
        </w:rPr>
        <w:t>will be taken to be part of the movable cultural heritage of Austra</w:t>
      </w:r>
      <w:r>
        <w:rPr>
          <w:rFonts w:cs="Times New Roman"/>
          <w:szCs w:val="24"/>
        </w:rPr>
        <w:t>lia for the purposes of section </w:t>
      </w:r>
      <w:r w:rsidR="00343CC3">
        <w:rPr>
          <w:rFonts w:cs="Times New Roman"/>
          <w:szCs w:val="24"/>
        </w:rPr>
        <w:t>8 of the </w:t>
      </w:r>
      <w:r w:rsidR="0067401E">
        <w:rPr>
          <w:rFonts w:cs="Times New Roman"/>
          <w:szCs w:val="24"/>
        </w:rPr>
        <w:t>Act;</w:t>
      </w:r>
    </w:p>
    <w:p w14:paraId="3394E3F0" w14:textId="68C8FA74" w:rsidR="00265189" w:rsidRDefault="00881B9C" w:rsidP="00417758">
      <w:pPr>
        <w:pStyle w:val="ListParagraph"/>
        <w:numPr>
          <w:ilvl w:val="0"/>
          <w:numId w:val="13"/>
        </w:numPr>
        <w:spacing w:line="240" w:lineRule="auto"/>
        <w:ind w:left="714" w:hanging="357"/>
        <w:rPr>
          <w:rFonts w:cs="Times New Roman"/>
          <w:szCs w:val="24"/>
        </w:rPr>
      </w:pPr>
      <w:r>
        <w:rPr>
          <w:rFonts w:cs="Times New Roman"/>
          <w:szCs w:val="24"/>
        </w:rPr>
        <w:t>for the purposes of subsection </w:t>
      </w:r>
      <w:r w:rsidR="00265189">
        <w:rPr>
          <w:rFonts w:cs="Times New Roman"/>
          <w:szCs w:val="24"/>
        </w:rPr>
        <w:t>10(7)</w:t>
      </w:r>
      <w:r w:rsidR="00C80A37">
        <w:rPr>
          <w:rFonts w:cs="Times New Roman"/>
          <w:szCs w:val="24"/>
        </w:rPr>
        <w:t xml:space="preserve"> of the Act</w:t>
      </w:r>
      <w:r w:rsidR="00265189">
        <w:rPr>
          <w:rFonts w:cs="Times New Roman"/>
          <w:szCs w:val="24"/>
        </w:rPr>
        <w:t xml:space="preserve">, the period within which notice of a </w:t>
      </w:r>
      <w:r w:rsidR="00D20E7F">
        <w:rPr>
          <w:rFonts w:cs="Times New Roman"/>
          <w:szCs w:val="24"/>
        </w:rPr>
        <w:t xml:space="preserve">refusal </w:t>
      </w:r>
      <w:r w:rsidR="00265189">
        <w:rPr>
          <w:rFonts w:cs="Times New Roman"/>
          <w:szCs w:val="24"/>
        </w:rPr>
        <w:t xml:space="preserve">to grant a permit under </w:t>
      </w:r>
      <w:r w:rsidR="00343CC3">
        <w:rPr>
          <w:rFonts w:cs="Times New Roman"/>
          <w:szCs w:val="24"/>
        </w:rPr>
        <w:t>the </w:t>
      </w:r>
      <w:r>
        <w:rPr>
          <w:rFonts w:cs="Times New Roman"/>
          <w:szCs w:val="24"/>
        </w:rPr>
        <w:t>Act must be given—namely 14 </w:t>
      </w:r>
      <w:r w:rsidR="00265189">
        <w:rPr>
          <w:rFonts w:cs="Times New Roman"/>
          <w:szCs w:val="24"/>
        </w:rPr>
        <w:t>days;</w:t>
      </w:r>
    </w:p>
    <w:p w14:paraId="79A3D7A3" w14:textId="51AA8ADB" w:rsidR="00265189" w:rsidRPr="00265189" w:rsidRDefault="00265189" w:rsidP="00417758">
      <w:pPr>
        <w:pStyle w:val="ListParagraph"/>
        <w:numPr>
          <w:ilvl w:val="0"/>
          <w:numId w:val="13"/>
        </w:numPr>
        <w:spacing w:line="240" w:lineRule="auto"/>
        <w:ind w:left="714" w:hanging="357"/>
        <w:rPr>
          <w:rFonts w:cs="Times New Roman"/>
          <w:szCs w:val="24"/>
        </w:rPr>
      </w:pPr>
      <w:r>
        <w:rPr>
          <w:rFonts w:cs="Times New Roman"/>
          <w:szCs w:val="24"/>
        </w:rPr>
        <w:t xml:space="preserve">for the purposes of </w:t>
      </w:r>
      <w:r w:rsidR="00881B9C">
        <w:rPr>
          <w:rFonts w:cs="Times New Roman"/>
          <w:szCs w:val="24"/>
        </w:rPr>
        <w:t>subsection </w:t>
      </w:r>
      <w:r>
        <w:rPr>
          <w:rFonts w:cs="Times New Roman"/>
          <w:szCs w:val="24"/>
        </w:rPr>
        <w:t>12(6)</w:t>
      </w:r>
      <w:r w:rsidR="00C80A37">
        <w:rPr>
          <w:rFonts w:cs="Times New Roman"/>
          <w:szCs w:val="24"/>
        </w:rPr>
        <w:t xml:space="preserve"> of the Act</w:t>
      </w:r>
      <w:r>
        <w:rPr>
          <w:rFonts w:cs="Times New Roman"/>
          <w:szCs w:val="24"/>
        </w:rPr>
        <w:t xml:space="preserve">, the period within which notice of a </w:t>
      </w:r>
      <w:r w:rsidR="00D20E7F">
        <w:rPr>
          <w:rFonts w:cs="Times New Roman"/>
          <w:szCs w:val="24"/>
        </w:rPr>
        <w:t xml:space="preserve">refusal </w:t>
      </w:r>
      <w:r>
        <w:rPr>
          <w:rFonts w:cs="Times New Roman"/>
          <w:szCs w:val="24"/>
        </w:rPr>
        <w:t xml:space="preserve">to grant a certificate of exemption under </w:t>
      </w:r>
      <w:r w:rsidR="00881B9C">
        <w:rPr>
          <w:rFonts w:cs="Times New Roman"/>
          <w:szCs w:val="24"/>
        </w:rPr>
        <w:t>the Act must be given—namely 14 </w:t>
      </w:r>
      <w:r>
        <w:rPr>
          <w:rFonts w:cs="Times New Roman"/>
          <w:szCs w:val="24"/>
        </w:rPr>
        <w:t>days</w:t>
      </w:r>
      <w:r w:rsidR="00323557">
        <w:rPr>
          <w:rFonts w:cs="Times New Roman"/>
          <w:szCs w:val="24"/>
        </w:rPr>
        <w:t>;</w:t>
      </w:r>
      <w:r w:rsidR="00417758">
        <w:rPr>
          <w:rFonts w:cs="Times New Roman"/>
          <w:szCs w:val="24"/>
        </w:rPr>
        <w:t xml:space="preserve"> and</w:t>
      </w:r>
    </w:p>
    <w:p w14:paraId="79BCDD5F" w14:textId="67236A1A" w:rsidR="00E51804" w:rsidRPr="00265189" w:rsidRDefault="00881B9C" w:rsidP="00417758">
      <w:pPr>
        <w:pStyle w:val="ListParagraph"/>
        <w:numPr>
          <w:ilvl w:val="0"/>
          <w:numId w:val="13"/>
        </w:numPr>
        <w:spacing w:line="240" w:lineRule="auto"/>
        <w:ind w:left="714" w:hanging="357"/>
        <w:rPr>
          <w:rFonts w:cs="Times New Roman"/>
          <w:szCs w:val="24"/>
        </w:rPr>
      </w:pPr>
      <w:r>
        <w:rPr>
          <w:rFonts w:cs="Times New Roman"/>
          <w:szCs w:val="24"/>
        </w:rPr>
        <w:t>for the purposes of section </w:t>
      </w:r>
      <w:r w:rsidR="00265189" w:rsidRPr="0067401E">
        <w:rPr>
          <w:rFonts w:cs="Times New Roman"/>
          <w:szCs w:val="24"/>
        </w:rPr>
        <w:t>22 of the Act, matters which must be set out in the register</w:t>
      </w:r>
      <w:r w:rsidR="00265189">
        <w:rPr>
          <w:szCs w:val="24"/>
        </w:rPr>
        <w:t xml:space="preserve"> of expert examiners required to be maintained by the National Cultural Heritage Committee—namely the name of each person determined by the Committee to be an expert e</w:t>
      </w:r>
      <w:r w:rsidR="00343CC3">
        <w:rPr>
          <w:szCs w:val="24"/>
        </w:rPr>
        <w:t>xaminer for the purposes of the </w:t>
      </w:r>
      <w:r w:rsidR="00265189">
        <w:rPr>
          <w:szCs w:val="24"/>
        </w:rPr>
        <w:t>Act.</w:t>
      </w:r>
    </w:p>
    <w:p w14:paraId="3E919871" w14:textId="77777777" w:rsidR="00123976" w:rsidRPr="00123976" w:rsidRDefault="00265189" w:rsidP="00265189">
      <w:pPr>
        <w:rPr>
          <w:rFonts w:cs="Times New Roman"/>
          <w:szCs w:val="24"/>
        </w:rPr>
      </w:pPr>
      <w:r>
        <w:rPr>
          <w:rFonts w:cs="Times New Roman"/>
          <w:szCs w:val="24"/>
        </w:rPr>
        <w:t>The periods prescribed for giving notice</w:t>
      </w:r>
      <w:r w:rsidR="00E75A9B">
        <w:rPr>
          <w:rFonts w:cs="Times New Roman"/>
          <w:szCs w:val="24"/>
        </w:rPr>
        <w:t>s</w:t>
      </w:r>
      <w:r>
        <w:rPr>
          <w:rFonts w:cs="Times New Roman"/>
          <w:szCs w:val="24"/>
        </w:rPr>
        <w:t xml:space="preserve"> of permit and certificate of exemption refusals are the same as </w:t>
      </w:r>
      <w:r w:rsidR="00881B9C">
        <w:rPr>
          <w:rFonts w:cs="Times New Roman"/>
          <w:szCs w:val="24"/>
        </w:rPr>
        <w:t>those prescribed under the 1987 </w:t>
      </w:r>
      <w:r>
        <w:rPr>
          <w:rFonts w:cs="Times New Roman"/>
          <w:szCs w:val="24"/>
        </w:rPr>
        <w:t>Regulations. The Regulations do not replicate the requirement for the National Cultural Heritage Committee to in</w:t>
      </w:r>
      <w:r>
        <w:rPr>
          <w:rFonts w:cs="Times New Roman"/>
          <w:szCs w:val="24"/>
        </w:rPr>
        <w:lastRenderedPageBreak/>
        <w:t>clude the residential or principal office addresses for expert examiners on the regis</w:t>
      </w:r>
      <w:r w:rsidR="00881B9C">
        <w:rPr>
          <w:rFonts w:cs="Times New Roman"/>
          <w:szCs w:val="24"/>
        </w:rPr>
        <w:t>ter for the purposes of section </w:t>
      </w:r>
      <w:r>
        <w:rPr>
          <w:rFonts w:cs="Times New Roman"/>
          <w:szCs w:val="24"/>
        </w:rPr>
        <w:t xml:space="preserve">22, </w:t>
      </w:r>
      <w:r w:rsidRPr="00123976">
        <w:rPr>
          <w:rFonts w:cs="Times New Roman"/>
          <w:szCs w:val="24"/>
        </w:rPr>
        <w:t xml:space="preserve">as </w:t>
      </w:r>
      <w:r w:rsidR="005D2FCC" w:rsidRPr="00123976">
        <w:rPr>
          <w:rFonts w:cs="Times New Roman"/>
          <w:szCs w:val="24"/>
        </w:rPr>
        <w:t>the Register</w:t>
      </w:r>
      <w:r w:rsidR="00881B9C" w:rsidRPr="00123976">
        <w:rPr>
          <w:rFonts w:cs="Times New Roman"/>
          <w:szCs w:val="24"/>
        </w:rPr>
        <w:t xml:space="preserve"> of expert examiners</w:t>
      </w:r>
      <w:r w:rsidR="005D2FCC" w:rsidRPr="00123976">
        <w:rPr>
          <w:rFonts w:cs="Times New Roman"/>
          <w:szCs w:val="24"/>
        </w:rPr>
        <w:t xml:space="preserve"> is</w:t>
      </w:r>
      <w:r w:rsidRPr="00123976">
        <w:rPr>
          <w:rFonts w:cs="Times New Roman"/>
          <w:szCs w:val="24"/>
        </w:rPr>
        <w:t xml:space="preserve"> dealt with administratively.</w:t>
      </w:r>
    </w:p>
    <w:p w14:paraId="2B216371" w14:textId="3976DB20" w:rsidR="00265189" w:rsidRPr="00265189" w:rsidRDefault="00123976" w:rsidP="00265189">
      <w:pPr>
        <w:rPr>
          <w:rFonts w:cs="Times New Roman"/>
          <w:szCs w:val="24"/>
        </w:rPr>
      </w:pPr>
      <w:r w:rsidRPr="00123976">
        <w:rPr>
          <w:rFonts w:cs="Times New Roman"/>
          <w:szCs w:val="24"/>
        </w:rPr>
        <w:t xml:space="preserve">The Register of expert </w:t>
      </w:r>
      <w:r w:rsidR="00343CC3">
        <w:rPr>
          <w:rFonts w:cs="Times New Roman"/>
          <w:szCs w:val="24"/>
        </w:rPr>
        <w:t>examiners referenced in section </w:t>
      </w:r>
      <w:r w:rsidRPr="00123976">
        <w:rPr>
          <w:rFonts w:cs="Times New Roman"/>
          <w:szCs w:val="24"/>
        </w:rPr>
        <w:t>10 of the Regulations is an internal departmental document which does not affect the operation of the law and which is managed solely for the purpose of the administrative management of information relating to expert examiners who have applied to work, and who work, in that capacity. The expert examiners assist in assessing applications for export made by individuals or bodies corporate, and hold appropriate qualifications and skills in the field. They provide assessments to the National Cultural Heritage Committee</w:t>
      </w:r>
      <w:r>
        <w:rPr>
          <w:rFonts w:cs="Times New Roman"/>
          <w:szCs w:val="24"/>
        </w:rPr>
        <w:t>, who further review the applications</w:t>
      </w:r>
      <w:r w:rsidRPr="00123976">
        <w:rPr>
          <w:rFonts w:cs="Times New Roman"/>
          <w:szCs w:val="24"/>
        </w:rPr>
        <w:t>.</w:t>
      </w:r>
    </w:p>
    <w:p w14:paraId="6C7F3188" w14:textId="7E07B878" w:rsidR="00BA2A4A" w:rsidRDefault="00515D0A" w:rsidP="00242473">
      <w:pPr>
        <w:rPr>
          <w:rFonts w:cs="Times New Roman"/>
          <w:b/>
          <w:szCs w:val="24"/>
        </w:rPr>
      </w:pPr>
      <w:r w:rsidRPr="00C6086C">
        <w:rPr>
          <w:szCs w:val="24"/>
        </w:rPr>
        <w:t>The Regulation</w:t>
      </w:r>
      <w:r>
        <w:rPr>
          <w:szCs w:val="24"/>
        </w:rPr>
        <w:t>s</w:t>
      </w:r>
      <w:r w:rsidRPr="00C6086C">
        <w:rPr>
          <w:szCs w:val="24"/>
        </w:rPr>
        <w:t xml:space="preserve"> </w:t>
      </w:r>
      <w:r>
        <w:rPr>
          <w:szCs w:val="24"/>
        </w:rPr>
        <w:t xml:space="preserve">are </w:t>
      </w:r>
      <w:r w:rsidRPr="00C6086C">
        <w:rPr>
          <w:szCs w:val="24"/>
        </w:rPr>
        <w:t xml:space="preserve">a legislative instrument for the purposes of the </w:t>
      </w:r>
      <w:r w:rsidRPr="00C6086C">
        <w:rPr>
          <w:i/>
          <w:szCs w:val="24"/>
        </w:rPr>
        <w:t>Legislation Act</w:t>
      </w:r>
      <w:r>
        <w:rPr>
          <w:i/>
          <w:szCs w:val="24"/>
        </w:rPr>
        <w:t> </w:t>
      </w:r>
      <w:r w:rsidRPr="00C6086C">
        <w:rPr>
          <w:i/>
          <w:szCs w:val="24"/>
        </w:rPr>
        <w:t>2003</w:t>
      </w:r>
      <w:r w:rsidRPr="00C6086C">
        <w:rPr>
          <w:szCs w:val="24"/>
        </w:rPr>
        <w:t>.</w:t>
      </w:r>
    </w:p>
    <w:p w14:paraId="1F9032B5" w14:textId="27F2488E" w:rsidR="00083824" w:rsidRPr="008F2240" w:rsidRDefault="009B2CEB" w:rsidP="008F2240">
      <w:pPr>
        <w:rPr>
          <w:b/>
          <w:u w:val="single"/>
        </w:rPr>
      </w:pPr>
      <w:r w:rsidRPr="008F2240">
        <w:rPr>
          <w:b/>
          <w:u w:val="single"/>
        </w:rPr>
        <w:t>Consultation</w:t>
      </w:r>
    </w:p>
    <w:p w14:paraId="0E58E252" w14:textId="77C69374" w:rsidR="0076442B" w:rsidRDefault="00AB5B92" w:rsidP="00242473">
      <w:pPr>
        <w:rPr>
          <w:rFonts w:cs="Times New Roman"/>
          <w:szCs w:val="24"/>
        </w:rPr>
      </w:pPr>
      <w:r>
        <w:rPr>
          <w:rFonts w:cs="Times New Roman"/>
          <w:szCs w:val="24"/>
        </w:rPr>
        <w:t>Consultation undertaken in making the</w:t>
      </w:r>
      <w:r w:rsidR="000C7549" w:rsidRPr="000C7549">
        <w:rPr>
          <w:rFonts w:cs="Times New Roman"/>
          <w:szCs w:val="24"/>
        </w:rPr>
        <w:t xml:space="preserve"> Regulations</w:t>
      </w:r>
      <w:r w:rsidR="000C7549">
        <w:rPr>
          <w:rFonts w:cs="Times New Roman"/>
          <w:szCs w:val="24"/>
        </w:rPr>
        <w:t xml:space="preserve"> included the</w:t>
      </w:r>
      <w:r w:rsidR="00C24953">
        <w:rPr>
          <w:rFonts w:cs="Times New Roman"/>
          <w:szCs w:val="24"/>
        </w:rPr>
        <w:t xml:space="preserve"> Australian Government</w:t>
      </w:r>
      <w:r w:rsidR="00637200">
        <w:rPr>
          <w:rFonts w:cs="Times New Roman"/>
          <w:szCs w:val="24"/>
        </w:rPr>
        <w:t xml:space="preserve"> </w:t>
      </w:r>
      <w:r w:rsidR="00A703E1">
        <w:rPr>
          <w:rFonts w:cs="Times New Roman"/>
          <w:szCs w:val="24"/>
        </w:rPr>
        <w:t xml:space="preserve">Department of Foreign Affairs and Trade, </w:t>
      </w:r>
      <w:r w:rsidR="00E75A9B">
        <w:rPr>
          <w:rFonts w:cs="Times New Roman"/>
          <w:szCs w:val="24"/>
        </w:rPr>
        <w:t xml:space="preserve">the </w:t>
      </w:r>
      <w:r w:rsidR="00637200">
        <w:rPr>
          <w:rFonts w:cs="Times New Roman"/>
          <w:szCs w:val="24"/>
        </w:rPr>
        <w:t xml:space="preserve">Attorney-General’s Department, </w:t>
      </w:r>
      <w:r w:rsidR="00A703E1">
        <w:rPr>
          <w:rFonts w:cs="Times New Roman"/>
          <w:szCs w:val="24"/>
        </w:rPr>
        <w:t xml:space="preserve">and </w:t>
      </w:r>
      <w:r w:rsidR="00E75A9B">
        <w:rPr>
          <w:rFonts w:cs="Times New Roman"/>
          <w:szCs w:val="24"/>
        </w:rPr>
        <w:t xml:space="preserve">the </w:t>
      </w:r>
      <w:r>
        <w:rPr>
          <w:rFonts w:cs="Times New Roman"/>
          <w:szCs w:val="24"/>
        </w:rPr>
        <w:t>Department of Defence.</w:t>
      </w:r>
    </w:p>
    <w:p w14:paraId="7C6ACD6D" w14:textId="15B4B036" w:rsidR="004C2E1A" w:rsidRDefault="00CE5369" w:rsidP="00242473">
      <w:pPr>
        <w:rPr>
          <w:rFonts w:cs="Times New Roman"/>
          <w:szCs w:val="24"/>
        </w:rPr>
      </w:pPr>
      <w:r>
        <w:rPr>
          <w:rFonts w:cs="Times New Roman"/>
          <w:szCs w:val="24"/>
        </w:rPr>
        <w:t xml:space="preserve">In addition, the </w:t>
      </w:r>
      <w:r w:rsidR="004C2E1A">
        <w:rPr>
          <w:rFonts w:cs="Times New Roman"/>
          <w:szCs w:val="24"/>
        </w:rPr>
        <w:t>Simpson Review</w:t>
      </w:r>
      <w:r w:rsidR="00D13D5D">
        <w:rPr>
          <w:rFonts w:cs="Times New Roman"/>
          <w:szCs w:val="24"/>
        </w:rPr>
        <w:t xml:space="preserve"> </w:t>
      </w:r>
      <w:r w:rsidR="00C24953">
        <w:rPr>
          <w:rFonts w:cs="Times New Roman"/>
          <w:szCs w:val="24"/>
        </w:rPr>
        <w:t>comprised consultation with experts across the arts sector, collecting institut</w:t>
      </w:r>
      <w:r w:rsidR="00943B23">
        <w:rPr>
          <w:rFonts w:cs="Times New Roman"/>
          <w:szCs w:val="24"/>
        </w:rPr>
        <w:t>ions and the wider community across the</w:t>
      </w:r>
      <w:r w:rsidR="00C24953">
        <w:rPr>
          <w:rFonts w:cs="Times New Roman"/>
          <w:szCs w:val="24"/>
        </w:rPr>
        <w:t xml:space="preserve"> states and territories t</w:t>
      </w:r>
      <w:r w:rsidR="0056096B">
        <w:rPr>
          <w:rFonts w:cs="Times New Roman"/>
          <w:szCs w:val="24"/>
        </w:rPr>
        <w:t>hroughout July and August 2015.</w:t>
      </w:r>
    </w:p>
    <w:p w14:paraId="1134F99F" w14:textId="2A6AC06A" w:rsidR="0076442B" w:rsidRDefault="00242473" w:rsidP="00242473">
      <w:pPr>
        <w:rPr>
          <w:rFonts w:cs="Times New Roman"/>
          <w:szCs w:val="24"/>
        </w:rPr>
      </w:pPr>
      <w:r>
        <w:rPr>
          <w:rFonts w:cs="Times New Roman"/>
          <w:szCs w:val="24"/>
        </w:rPr>
        <w:t>A</w:t>
      </w:r>
      <w:r w:rsidR="00C24953">
        <w:rPr>
          <w:rFonts w:cs="Times New Roman"/>
          <w:szCs w:val="24"/>
        </w:rPr>
        <w:t xml:space="preserve"> national online survey </w:t>
      </w:r>
      <w:r w:rsidR="009D39EB">
        <w:rPr>
          <w:rFonts w:cs="Times New Roman"/>
          <w:szCs w:val="24"/>
        </w:rPr>
        <w:t>sought</w:t>
      </w:r>
      <w:r w:rsidR="00C24953">
        <w:rPr>
          <w:rFonts w:cs="Times New Roman"/>
          <w:szCs w:val="24"/>
        </w:rPr>
        <w:t xml:space="preserve"> wider input on the model</w:t>
      </w:r>
      <w:r w:rsidR="00235A71">
        <w:rPr>
          <w:rFonts w:cs="Times New Roman"/>
          <w:szCs w:val="24"/>
        </w:rPr>
        <w:t xml:space="preserve"> proposed by the Review</w:t>
      </w:r>
      <w:r w:rsidR="00943B23">
        <w:rPr>
          <w:rFonts w:cs="Times New Roman"/>
          <w:szCs w:val="24"/>
        </w:rPr>
        <w:t xml:space="preserve">, </w:t>
      </w:r>
      <w:r w:rsidR="009D39EB">
        <w:rPr>
          <w:rFonts w:cs="Times New Roman"/>
          <w:szCs w:val="24"/>
        </w:rPr>
        <w:t xml:space="preserve">and received </w:t>
      </w:r>
      <w:r w:rsidR="00943B23">
        <w:rPr>
          <w:rFonts w:cs="Times New Roman"/>
          <w:szCs w:val="24"/>
        </w:rPr>
        <w:t xml:space="preserve">over 120 </w:t>
      </w:r>
      <w:r w:rsidR="009D39EB">
        <w:rPr>
          <w:rFonts w:cs="Times New Roman"/>
          <w:szCs w:val="24"/>
        </w:rPr>
        <w:t>responses. Over</w:t>
      </w:r>
      <w:r w:rsidR="00C24953">
        <w:rPr>
          <w:rFonts w:cs="Times New Roman"/>
          <w:szCs w:val="24"/>
        </w:rPr>
        <w:t xml:space="preserve"> 40 meetings were held and over 500 institutions and individuals </w:t>
      </w:r>
      <w:r w:rsidR="009D39EB">
        <w:rPr>
          <w:rFonts w:cs="Times New Roman"/>
          <w:szCs w:val="24"/>
        </w:rPr>
        <w:t xml:space="preserve">were </w:t>
      </w:r>
      <w:r w:rsidR="00C24953">
        <w:rPr>
          <w:rFonts w:cs="Times New Roman"/>
          <w:szCs w:val="24"/>
        </w:rPr>
        <w:t xml:space="preserve">invited to attend, including academics, representatives of collecting institutions, Aboriginal and Torres Strait Islander communities, special interest groups, commercial arts sector, non-government organisations and state, territory and federal Government bodies. </w:t>
      </w:r>
      <w:r w:rsidR="00943B23">
        <w:rPr>
          <w:szCs w:val="24"/>
        </w:rPr>
        <w:t xml:space="preserve">These stakeholders </w:t>
      </w:r>
      <w:r w:rsidR="00FE3427">
        <w:rPr>
          <w:szCs w:val="24"/>
        </w:rPr>
        <w:t>were largely supportive of changes to modernise and imp</w:t>
      </w:r>
      <w:r>
        <w:rPr>
          <w:szCs w:val="24"/>
        </w:rPr>
        <w:t>rove the legislation</w:t>
      </w:r>
      <w:r w:rsidR="00FE3427">
        <w:rPr>
          <w:szCs w:val="24"/>
        </w:rPr>
        <w:t xml:space="preserve">. </w:t>
      </w:r>
      <w:r w:rsidR="00C24953">
        <w:rPr>
          <w:rFonts w:cs="Times New Roman"/>
          <w:szCs w:val="24"/>
        </w:rPr>
        <w:t xml:space="preserve">The </w:t>
      </w:r>
      <w:r w:rsidR="00FE3427">
        <w:rPr>
          <w:rFonts w:cs="Times New Roman"/>
          <w:szCs w:val="24"/>
        </w:rPr>
        <w:t>findings from the</w:t>
      </w:r>
      <w:r w:rsidR="00C24953">
        <w:rPr>
          <w:rFonts w:cs="Times New Roman"/>
          <w:szCs w:val="24"/>
        </w:rPr>
        <w:t xml:space="preserve"> consultations fed into the final </w:t>
      </w:r>
      <w:r w:rsidR="00235A71">
        <w:rPr>
          <w:rFonts w:cs="Times New Roman"/>
          <w:szCs w:val="24"/>
        </w:rPr>
        <w:t xml:space="preserve">Simpson Review report, </w:t>
      </w:r>
      <w:r w:rsidR="005D2FCC" w:rsidRPr="005D2FCC">
        <w:rPr>
          <w:rFonts w:cs="Times New Roman"/>
          <w:i/>
          <w:szCs w:val="24"/>
        </w:rPr>
        <w:t>Borders of Culture</w:t>
      </w:r>
      <w:r w:rsidR="005D2FCC">
        <w:rPr>
          <w:rFonts w:cs="Times New Roman"/>
          <w:szCs w:val="24"/>
        </w:rPr>
        <w:t xml:space="preserve">, </w:t>
      </w:r>
      <w:r w:rsidR="00235A71">
        <w:rPr>
          <w:rFonts w:cs="Times New Roman"/>
          <w:szCs w:val="24"/>
        </w:rPr>
        <w:t>a copy of which is</w:t>
      </w:r>
      <w:r w:rsidR="00E8029B">
        <w:rPr>
          <w:rFonts w:cs="Times New Roman"/>
          <w:szCs w:val="24"/>
        </w:rPr>
        <w:t xml:space="preserve"> available from</w:t>
      </w:r>
      <w:r w:rsidR="00C24953">
        <w:rPr>
          <w:rFonts w:cs="Times New Roman"/>
          <w:szCs w:val="24"/>
        </w:rPr>
        <w:t xml:space="preserve"> the </w:t>
      </w:r>
      <w:r w:rsidR="00E8029B">
        <w:rPr>
          <w:rFonts w:cs="Times New Roman"/>
          <w:szCs w:val="24"/>
        </w:rPr>
        <w:t>Department of Communication</w:t>
      </w:r>
      <w:r w:rsidR="008F6E39">
        <w:rPr>
          <w:rFonts w:cs="Times New Roman"/>
          <w:szCs w:val="24"/>
        </w:rPr>
        <w:t xml:space="preserve">s </w:t>
      </w:r>
      <w:r w:rsidR="005D2FCC">
        <w:rPr>
          <w:rFonts w:cs="Times New Roman"/>
          <w:szCs w:val="24"/>
        </w:rPr>
        <w:t>and Arts website.</w:t>
      </w:r>
    </w:p>
    <w:p w14:paraId="7BEF884F" w14:textId="22479449" w:rsidR="0076442B" w:rsidRDefault="008F6E39" w:rsidP="00242473">
      <w:pPr>
        <w:rPr>
          <w:rFonts w:cs="Times New Roman"/>
          <w:szCs w:val="24"/>
        </w:rPr>
      </w:pPr>
      <w:r>
        <w:rPr>
          <w:rFonts w:cs="Times New Roman"/>
          <w:szCs w:val="24"/>
        </w:rPr>
        <w:t xml:space="preserve">Some of the </w:t>
      </w:r>
      <w:r w:rsidR="00FE3427">
        <w:rPr>
          <w:rFonts w:cs="Times New Roman"/>
          <w:szCs w:val="24"/>
        </w:rPr>
        <w:t xml:space="preserve">elements of the </w:t>
      </w:r>
      <w:r w:rsidR="00943B23">
        <w:rPr>
          <w:rFonts w:cs="Times New Roman"/>
          <w:szCs w:val="24"/>
        </w:rPr>
        <w:t xml:space="preserve">report </w:t>
      </w:r>
      <w:r w:rsidR="00881B9C">
        <w:rPr>
          <w:rFonts w:cs="Times New Roman"/>
          <w:szCs w:val="24"/>
        </w:rPr>
        <w:t>in relation to Part </w:t>
      </w:r>
      <w:r w:rsidR="00235A71">
        <w:rPr>
          <w:rFonts w:cs="Times New Roman"/>
          <w:szCs w:val="24"/>
        </w:rPr>
        <w:t xml:space="preserve">5 of the Control List </w:t>
      </w:r>
      <w:r w:rsidR="00943B23">
        <w:rPr>
          <w:rFonts w:cs="Times New Roman"/>
          <w:szCs w:val="24"/>
        </w:rPr>
        <w:t>are included in the</w:t>
      </w:r>
      <w:r w:rsidR="00E8029B">
        <w:rPr>
          <w:rFonts w:cs="Times New Roman"/>
          <w:szCs w:val="24"/>
        </w:rPr>
        <w:t xml:space="preserve"> Regulations</w:t>
      </w:r>
      <w:r w:rsidR="00AB5B92" w:rsidRPr="00AB5B92">
        <w:rPr>
          <w:rFonts w:cs="Times New Roman"/>
          <w:szCs w:val="24"/>
        </w:rPr>
        <w:t>.</w:t>
      </w:r>
    </w:p>
    <w:p w14:paraId="7ED0C676" w14:textId="3025C769" w:rsidR="00083824" w:rsidRPr="008F2240" w:rsidRDefault="0076442B" w:rsidP="008F2240">
      <w:pPr>
        <w:rPr>
          <w:b/>
          <w:u w:val="single"/>
        </w:rPr>
      </w:pPr>
      <w:r w:rsidRPr="008F2240">
        <w:rPr>
          <w:b/>
          <w:u w:val="single"/>
        </w:rPr>
        <w:t>Regulat</w:t>
      </w:r>
      <w:r w:rsidR="005D2FCC" w:rsidRPr="008F2240">
        <w:rPr>
          <w:b/>
          <w:u w:val="single"/>
        </w:rPr>
        <w:t>ory</w:t>
      </w:r>
      <w:r w:rsidRPr="008F2240">
        <w:rPr>
          <w:b/>
          <w:u w:val="single"/>
        </w:rPr>
        <w:t xml:space="preserve"> Impact Statement</w:t>
      </w:r>
    </w:p>
    <w:p w14:paraId="2D5F6A87" w14:textId="65ADEB6F" w:rsidR="00083824" w:rsidRDefault="00FE3427" w:rsidP="00265189">
      <w:pPr>
        <w:rPr>
          <w:rFonts w:cs="Times New Roman"/>
          <w:szCs w:val="24"/>
        </w:rPr>
      </w:pPr>
      <w:r>
        <w:rPr>
          <w:szCs w:val="24"/>
        </w:rPr>
        <w:t xml:space="preserve">The </w:t>
      </w:r>
      <w:r w:rsidRPr="00494092">
        <w:rPr>
          <w:szCs w:val="24"/>
        </w:rPr>
        <w:t>Office of Best Practice Regulation</w:t>
      </w:r>
      <w:r>
        <w:rPr>
          <w:szCs w:val="24"/>
        </w:rPr>
        <w:t xml:space="preserve"> (OBPR) was co</w:t>
      </w:r>
      <w:r w:rsidR="00581B5D">
        <w:rPr>
          <w:szCs w:val="24"/>
        </w:rPr>
        <w:t>nsulted concerning any requirement</w:t>
      </w:r>
      <w:r>
        <w:rPr>
          <w:szCs w:val="24"/>
        </w:rPr>
        <w:t xml:space="preserve"> to </w:t>
      </w:r>
      <w:r w:rsidRPr="007467E2">
        <w:rPr>
          <w:szCs w:val="24"/>
        </w:rPr>
        <w:t>prepare a Regulatory Impact Statement (RIS) for the</w:t>
      </w:r>
      <w:r w:rsidR="00881B9C">
        <w:rPr>
          <w:szCs w:val="24"/>
        </w:rPr>
        <w:t xml:space="preserve"> Regulations</w:t>
      </w:r>
      <w:r w:rsidR="00343CC3">
        <w:rPr>
          <w:szCs w:val="24"/>
        </w:rPr>
        <w:t xml:space="preserve"> (OBPR reference ID </w:t>
      </w:r>
      <w:r w:rsidR="007467E2" w:rsidRPr="007467E2">
        <w:rPr>
          <w:szCs w:val="24"/>
        </w:rPr>
        <w:t>22158</w:t>
      </w:r>
      <w:r w:rsidR="007467E2">
        <w:rPr>
          <w:szCs w:val="24"/>
        </w:rPr>
        <w:t>).</w:t>
      </w:r>
      <w:r w:rsidRPr="007467E2">
        <w:rPr>
          <w:szCs w:val="24"/>
        </w:rPr>
        <w:t xml:space="preserve"> OBPR advised that the </w:t>
      </w:r>
      <w:r w:rsidR="007467E2" w:rsidRPr="007467E2">
        <w:rPr>
          <w:szCs w:val="24"/>
        </w:rPr>
        <w:t>regulatory impact of the Regulations is</w:t>
      </w:r>
      <w:r w:rsidRPr="007467E2">
        <w:rPr>
          <w:szCs w:val="24"/>
        </w:rPr>
        <w:t xml:space="preserve"> minor or machinery in nature and</w:t>
      </w:r>
      <w:r w:rsidR="007467E2" w:rsidRPr="007467E2">
        <w:rPr>
          <w:szCs w:val="24"/>
        </w:rPr>
        <w:t xml:space="preserve"> that a RIS</w:t>
      </w:r>
      <w:r w:rsidRPr="007467E2">
        <w:rPr>
          <w:szCs w:val="24"/>
        </w:rPr>
        <w:t xml:space="preserve"> is</w:t>
      </w:r>
      <w:r w:rsidR="007467E2" w:rsidRPr="007467E2">
        <w:rPr>
          <w:szCs w:val="24"/>
        </w:rPr>
        <w:t xml:space="preserve"> not</w:t>
      </w:r>
      <w:r w:rsidRPr="007467E2">
        <w:rPr>
          <w:szCs w:val="24"/>
        </w:rPr>
        <w:t xml:space="preserve"> required.</w:t>
      </w:r>
    </w:p>
    <w:p w14:paraId="1B1C7D41" w14:textId="3BBC0A83" w:rsidR="00BE4FF4" w:rsidRPr="00CD046F" w:rsidRDefault="00BE4FF4" w:rsidP="00417758">
      <w:pPr>
        <w:keepNext/>
        <w:pageBreakBefore/>
        <w:tabs>
          <w:tab w:val="left" w:pos="4678"/>
          <w:tab w:val="left" w:pos="5387"/>
        </w:tabs>
        <w:spacing w:after="0" w:line="240" w:lineRule="auto"/>
        <w:ind w:left="5812" w:hanging="5812"/>
        <w:jc w:val="center"/>
        <w:rPr>
          <w:i/>
          <w:szCs w:val="24"/>
        </w:rPr>
      </w:pPr>
      <w:r w:rsidRPr="00D061A8">
        <w:rPr>
          <w:b/>
          <w:szCs w:val="24"/>
        </w:rPr>
        <w:lastRenderedPageBreak/>
        <w:t>Statement of Compatibility with Human Rights</w:t>
      </w:r>
    </w:p>
    <w:p w14:paraId="2EFDE927" w14:textId="77777777" w:rsidR="00BE4FF4" w:rsidRPr="00D061A8" w:rsidRDefault="00BE4FF4" w:rsidP="00BE4FF4">
      <w:pPr>
        <w:spacing w:after="0" w:line="240" w:lineRule="auto"/>
        <w:jc w:val="center"/>
        <w:rPr>
          <w:i/>
          <w:szCs w:val="24"/>
        </w:rPr>
      </w:pPr>
    </w:p>
    <w:p w14:paraId="5DE63C08" w14:textId="77777777" w:rsidR="00BE4FF4" w:rsidRPr="00D061A8" w:rsidRDefault="00BE4FF4" w:rsidP="00BE4FF4">
      <w:pPr>
        <w:spacing w:after="0" w:line="240" w:lineRule="auto"/>
        <w:jc w:val="center"/>
        <w:rPr>
          <w:i/>
          <w:szCs w:val="24"/>
        </w:rPr>
      </w:pPr>
    </w:p>
    <w:p w14:paraId="6499E7F4" w14:textId="054DBD5A" w:rsidR="00BE4FF4" w:rsidRPr="00D061A8" w:rsidRDefault="00BE4FF4" w:rsidP="00BE4FF4">
      <w:pPr>
        <w:spacing w:after="0" w:line="240" w:lineRule="auto"/>
        <w:jc w:val="center"/>
        <w:rPr>
          <w:szCs w:val="24"/>
        </w:rPr>
      </w:pPr>
      <w:r w:rsidRPr="00D061A8">
        <w:rPr>
          <w:i/>
          <w:szCs w:val="24"/>
        </w:rPr>
        <w:t>P</w:t>
      </w:r>
      <w:r w:rsidR="00343CC3">
        <w:rPr>
          <w:i/>
          <w:szCs w:val="24"/>
        </w:rPr>
        <w:t>repared in accordance with Part </w:t>
      </w:r>
      <w:r w:rsidRPr="00D061A8">
        <w:rPr>
          <w:i/>
          <w:szCs w:val="24"/>
        </w:rPr>
        <w:t>3 of the Human Righ</w:t>
      </w:r>
      <w:r>
        <w:rPr>
          <w:i/>
          <w:szCs w:val="24"/>
        </w:rPr>
        <w:t>ts (Parliamentary Scrutiny) Act</w:t>
      </w:r>
      <w:r w:rsidRPr="000116A5">
        <w:rPr>
          <w:rFonts w:cs="Times New Roman"/>
          <w:szCs w:val="24"/>
          <w:lang w:val="en"/>
        </w:rPr>
        <w:t> </w:t>
      </w:r>
      <w:r w:rsidRPr="00D061A8">
        <w:rPr>
          <w:i/>
          <w:szCs w:val="24"/>
        </w:rPr>
        <w:t>2011</w:t>
      </w:r>
    </w:p>
    <w:p w14:paraId="7F646ECD" w14:textId="77777777" w:rsidR="00BE4FF4" w:rsidRPr="00AC5CFF" w:rsidRDefault="00BE4FF4" w:rsidP="00BE4FF4">
      <w:pPr>
        <w:spacing w:after="0" w:line="240" w:lineRule="auto"/>
        <w:jc w:val="center"/>
        <w:rPr>
          <w:rFonts w:eastAsia="Calibri" w:cs="Times New Roman"/>
          <w:b/>
          <w:i/>
          <w:szCs w:val="24"/>
        </w:rPr>
      </w:pPr>
    </w:p>
    <w:p w14:paraId="4AFBB5A5" w14:textId="77777777" w:rsidR="00BE4FF4" w:rsidRPr="009B2CEB" w:rsidRDefault="00BE4FF4" w:rsidP="00BE4FF4">
      <w:pPr>
        <w:jc w:val="center"/>
        <w:rPr>
          <w:rFonts w:eastAsia="Calibri" w:cs="Times New Roman"/>
          <w:b/>
          <w:szCs w:val="24"/>
        </w:rPr>
      </w:pPr>
      <w:r w:rsidRPr="009B2CEB">
        <w:rPr>
          <w:rFonts w:eastAsia="Calibri" w:cs="Times New Roman"/>
          <w:b/>
          <w:szCs w:val="24"/>
        </w:rPr>
        <w:t>Protection of Movabl</w:t>
      </w:r>
      <w:r>
        <w:rPr>
          <w:rFonts w:eastAsia="Calibri" w:cs="Times New Roman"/>
          <w:b/>
          <w:szCs w:val="24"/>
        </w:rPr>
        <w:t>e Cultural Heritage Regulations</w:t>
      </w:r>
      <w:r w:rsidRPr="000116A5">
        <w:rPr>
          <w:rFonts w:cs="Times New Roman"/>
          <w:szCs w:val="24"/>
          <w:lang w:val="en"/>
        </w:rPr>
        <w:t> </w:t>
      </w:r>
      <w:r w:rsidRPr="009B2CEB">
        <w:rPr>
          <w:rFonts w:eastAsia="Calibri" w:cs="Times New Roman"/>
          <w:b/>
          <w:szCs w:val="24"/>
        </w:rPr>
        <w:t>2018</w:t>
      </w:r>
    </w:p>
    <w:p w14:paraId="0FD8A1F4" w14:textId="77777777" w:rsidR="00BE4FF4" w:rsidRPr="00BE4FF4" w:rsidRDefault="00BE4FF4" w:rsidP="00BE4FF4"/>
    <w:p w14:paraId="6C451369" w14:textId="1F77EC6B" w:rsidR="00AC5CFF" w:rsidRPr="00515D0A" w:rsidRDefault="00515D0A" w:rsidP="00265189">
      <w:r>
        <w:t>This statement of compatibility</w:t>
      </w:r>
      <w:r w:rsidR="00BD1F11">
        <w:t xml:space="preserve"> with human rights</w:t>
      </w:r>
      <w:r>
        <w:t xml:space="preserve"> is p</w:t>
      </w:r>
      <w:r w:rsidR="00881B9C">
        <w:t>repared in accordance with Part </w:t>
      </w:r>
      <w:r w:rsidR="00AC5CFF" w:rsidRPr="00265189">
        <w:t>3 of the</w:t>
      </w:r>
      <w:r w:rsidR="00AC5CFF" w:rsidRPr="00D061A8">
        <w:rPr>
          <w:i/>
        </w:rPr>
        <w:t xml:space="preserve"> Human Righ</w:t>
      </w:r>
      <w:r w:rsidR="00533015">
        <w:rPr>
          <w:i/>
        </w:rPr>
        <w:t>ts (Parliamentary Scrutiny) Act</w:t>
      </w:r>
      <w:r w:rsidR="00533015" w:rsidRPr="000116A5">
        <w:rPr>
          <w:rFonts w:cs="Times New Roman"/>
          <w:lang w:val="en"/>
        </w:rPr>
        <w:t> </w:t>
      </w:r>
      <w:r w:rsidR="00AC5CFF" w:rsidRPr="00D061A8">
        <w:rPr>
          <w:i/>
        </w:rPr>
        <w:t>2011</w:t>
      </w:r>
      <w:r>
        <w:t>.</w:t>
      </w:r>
    </w:p>
    <w:p w14:paraId="0E75B378" w14:textId="3CD271C2" w:rsidR="00083824" w:rsidRDefault="00AC5CFF" w:rsidP="00265189">
      <w:pPr>
        <w:rPr>
          <w:szCs w:val="24"/>
        </w:rPr>
      </w:pPr>
      <w:r>
        <w:rPr>
          <w:szCs w:val="24"/>
        </w:rPr>
        <w:t xml:space="preserve">The </w:t>
      </w:r>
      <w:r w:rsidRPr="00BD1F11">
        <w:rPr>
          <w:szCs w:val="24"/>
        </w:rPr>
        <w:t xml:space="preserve">Protection of Movable Cultural Heritage </w:t>
      </w:r>
      <w:r w:rsidR="00533015" w:rsidRPr="00BD1F11">
        <w:rPr>
          <w:szCs w:val="24"/>
        </w:rPr>
        <w:t>Regulations </w:t>
      </w:r>
      <w:r w:rsidRPr="00BD1F11">
        <w:rPr>
          <w:szCs w:val="24"/>
        </w:rPr>
        <w:t>2018</w:t>
      </w:r>
      <w:r>
        <w:rPr>
          <w:szCs w:val="24"/>
        </w:rPr>
        <w:t xml:space="preserve"> (the Regulations) are compatible with the human rights and freedoms recognised or declared in the internationa</w:t>
      </w:r>
      <w:r w:rsidR="00533015">
        <w:rPr>
          <w:szCs w:val="24"/>
        </w:rPr>
        <w:t>l instruments listed in section</w:t>
      </w:r>
      <w:r w:rsidR="00533015" w:rsidRPr="00265189">
        <w:rPr>
          <w:szCs w:val="24"/>
        </w:rPr>
        <w:t> </w:t>
      </w:r>
      <w:r>
        <w:rPr>
          <w:szCs w:val="24"/>
        </w:rPr>
        <w:t xml:space="preserve">3 of the </w:t>
      </w:r>
      <w:r w:rsidRPr="00265189">
        <w:rPr>
          <w:i/>
          <w:szCs w:val="24"/>
        </w:rPr>
        <w:t>Human Righ</w:t>
      </w:r>
      <w:r w:rsidR="00533015" w:rsidRPr="00265189">
        <w:rPr>
          <w:i/>
          <w:szCs w:val="24"/>
        </w:rPr>
        <w:t>ts (Parliamentary Scrutiny) Act </w:t>
      </w:r>
      <w:r w:rsidRPr="00265189">
        <w:rPr>
          <w:i/>
          <w:szCs w:val="24"/>
        </w:rPr>
        <w:t>2011</w:t>
      </w:r>
      <w:r>
        <w:rPr>
          <w:szCs w:val="24"/>
        </w:rPr>
        <w:t>.</w:t>
      </w:r>
    </w:p>
    <w:p w14:paraId="7AD13478" w14:textId="0EC961E9" w:rsidR="00083824" w:rsidRPr="008F2240" w:rsidRDefault="000A7B49" w:rsidP="008F2240">
      <w:pPr>
        <w:rPr>
          <w:b/>
        </w:rPr>
      </w:pPr>
      <w:r w:rsidRPr="008F2240">
        <w:rPr>
          <w:b/>
        </w:rPr>
        <w:t>Overview of the legislative i</w:t>
      </w:r>
      <w:r w:rsidR="00AC5CFF" w:rsidRPr="008F2240">
        <w:rPr>
          <w:b/>
        </w:rPr>
        <w:t>nstrument</w:t>
      </w:r>
    </w:p>
    <w:p w14:paraId="73751716" w14:textId="58B3ECEF" w:rsidR="004C2E1A" w:rsidRDefault="00D4612E" w:rsidP="004C2E1A">
      <w:pPr>
        <w:rPr>
          <w:szCs w:val="24"/>
        </w:rPr>
      </w:pPr>
      <w:r>
        <w:rPr>
          <w:szCs w:val="24"/>
        </w:rPr>
        <w:t xml:space="preserve">The purpose of the Regulations </w:t>
      </w:r>
      <w:r w:rsidRPr="008F3F86">
        <w:rPr>
          <w:szCs w:val="24"/>
        </w:rPr>
        <w:t>is to</w:t>
      </w:r>
      <w:r>
        <w:rPr>
          <w:szCs w:val="24"/>
        </w:rPr>
        <w:t xml:space="preserve"> remake the</w:t>
      </w:r>
      <w:r w:rsidRPr="004C2E1A">
        <w:rPr>
          <w:szCs w:val="24"/>
        </w:rPr>
        <w:t xml:space="preserve"> </w:t>
      </w:r>
      <w:r w:rsidRPr="00BD1F11">
        <w:rPr>
          <w:szCs w:val="24"/>
        </w:rPr>
        <w:t>Protection of Movabl</w:t>
      </w:r>
      <w:r w:rsidR="00533015" w:rsidRPr="00BD1F11">
        <w:rPr>
          <w:szCs w:val="24"/>
        </w:rPr>
        <w:t>e Cultural Heritage Regulations </w:t>
      </w:r>
      <w:r w:rsidRPr="00BD1F11">
        <w:rPr>
          <w:szCs w:val="24"/>
        </w:rPr>
        <w:t>1987</w:t>
      </w:r>
      <w:r w:rsidR="00881B9C">
        <w:rPr>
          <w:szCs w:val="24"/>
        </w:rPr>
        <w:t xml:space="preserve"> (the 1987 </w:t>
      </w:r>
      <w:r w:rsidRPr="004C2E1A">
        <w:rPr>
          <w:szCs w:val="24"/>
        </w:rPr>
        <w:t>Regulations)</w:t>
      </w:r>
      <w:r>
        <w:rPr>
          <w:szCs w:val="24"/>
        </w:rPr>
        <w:t xml:space="preserve">, which are </w:t>
      </w:r>
      <w:r w:rsidR="00533015" w:rsidRPr="004C2E1A">
        <w:rPr>
          <w:szCs w:val="24"/>
        </w:rPr>
        <w:t>enabled by section </w:t>
      </w:r>
      <w:r w:rsidR="00620BFE" w:rsidRPr="004C2E1A">
        <w:rPr>
          <w:szCs w:val="24"/>
        </w:rPr>
        <w:t xml:space="preserve">49 of the </w:t>
      </w:r>
      <w:r w:rsidR="00620BFE" w:rsidRPr="00BD1F11">
        <w:rPr>
          <w:i/>
          <w:szCs w:val="24"/>
        </w:rPr>
        <w:t>Protection o</w:t>
      </w:r>
      <w:r w:rsidR="00533015" w:rsidRPr="00BD1F11">
        <w:rPr>
          <w:i/>
          <w:szCs w:val="24"/>
        </w:rPr>
        <w:t>f Movable Cultural Heritage Act </w:t>
      </w:r>
      <w:r w:rsidR="00620BFE" w:rsidRPr="00BD1F11">
        <w:rPr>
          <w:i/>
          <w:szCs w:val="24"/>
        </w:rPr>
        <w:t>1986</w:t>
      </w:r>
      <w:r w:rsidR="00620BFE" w:rsidRPr="004C2E1A">
        <w:rPr>
          <w:szCs w:val="24"/>
        </w:rPr>
        <w:t xml:space="preserve"> (the Act), and which are </w:t>
      </w:r>
      <w:r>
        <w:rPr>
          <w:szCs w:val="24"/>
        </w:rPr>
        <w:t xml:space="preserve">due to sunset on 1 April 2019. </w:t>
      </w:r>
    </w:p>
    <w:p w14:paraId="01D0EC99" w14:textId="6E039715" w:rsidR="00AC5CFF" w:rsidRPr="0071360D" w:rsidRDefault="00AC5CFF" w:rsidP="004C2E1A">
      <w:pPr>
        <w:rPr>
          <w:szCs w:val="24"/>
        </w:rPr>
      </w:pPr>
      <w:r>
        <w:rPr>
          <w:szCs w:val="24"/>
        </w:rPr>
        <w:t>The Regulations</w:t>
      </w:r>
      <w:r w:rsidRPr="0071360D">
        <w:rPr>
          <w:szCs w:val="24"/>
        </w:rPr>
        <w:t>:</w:t>
      </w:r>
    </w:p>
    <w:p w14:paraId="03E4DF0B" w14:textId="068D8419" w:rsidR="00B3493E" w:rsidRPr="00B3493E" w:rsidRDefault="00E75A9B" w:rsidP="00AC5CFF">
      <w:pPr>
        <w:numPr>
          <w:ilvl w:val="0"/>
          <w:numId w:val="4"/>
        </w:numPr>
        <w:spacing w:after="200" w:line="240" w:lineRule="auto"/>
        <w:rPr>
          <w:szCs w:val="24"/>
        </w:rPr>
      </w:pPr>
      <w:r>
        <w:rPr>
          <w:rFonts w:cs="Times New Roman"/>
          <w:szCs w:val="24"/>
        </w:rPr>
        <w:t>r</w:t>
      </w:r>
      <w:r w:rsidR="00BE4FF4">
        <w:rPr>
          <w:rFonts w:cs="Times New Roman"/>
          <w:szCs w:val="24"/>
        </w:rPr>
        <w:t>eflect modern</w:t>
      </w:r>
      <w:r w:rsidR="00324AAF" w:rsidRPr="00620BFE">
        <w:rPr>
          <w:rFonts w:cs="Times New Roman"/>
          <w:szCs w:val="24"/>
        </w:rPr>
        <w:t xml:space="preserve"> drafting style</w:t>
      </w:r>
      <w:r w:rsidR="00A57238">
        <w:rPr>
          <w:rFonts w:cs="Times New Roman"/>
          <w:szCs w:val="24"/>
        </w:rPr>
        <w:t>s and practices</w:t>
      </w:r>
      <w:r w:rsidR="00B3493E">
        <w:rPr>
          <w:rFonts w:cs="Times New Roman"/>
          <w:szCs w:val="24"/>
        </w:rPr>
        <w:t>;</w:t>
      </w:r>
    </w:p>
    <w:p w14:paraId="5CE9ABA4" w14:textId="42E39F65" w:rsidR="00AC5CFF" w:rsidRPr="00620BFE" w:rsidRDefault="00E75A9B" w:rsidP="00AC5CFF">
      <w:pPr>
        <w:numPr>
          <w:ilvl w:val="0"/>
          <w:numId w:val="4"/>
        </w:numPr>
        <w:spacing w:after="200" w:line="240" w:lineRule="auto"/>
        <w:rPr>
          <w:szCs w:val="24"/>
        </w:rPr>
      </w:pPr>
      <w:r>
        <w:rPr>
          <w:rFonts w:cs="Times New Roman"/>
          <w:szCs w:val="24"/>
        </w:rPr>
        <w:t>r</w:t>
      </w:r>
      <w:r w:rsidR="00324AAF" w:rsidRPr="00620BFE">
        <w:rPr>
          <w:rFonts w:cs="Times New Roman"/>
          <w:szCs w:val="24"/>
        </w:rPr>
        <w:t>epeal redundant provisions and associated definitions from</w:t>
      </w:r>
      <w:r w:rsidR="00881B9C">
        <w:rPr>
          <w:rFonts w:cs="Times New Roman"/>
          <w:szCs w:val="24"/>
        </w:rPr>
        <w:t xml:space="preserve"> the 1987 </w:t>
      </w:r>
      <w:r w:rsidR="00F64606">
        <w:rPr>
          <w:rFonts w:cs="Times New Roman"/>
          <w:szCs w:val="24"/>
        </w:rPr>
        <w:t xml:space="preserve">Regulations </w:t>
      </w:r>
      <w:r w:rsidR="00324AAF" w:rsidRPr="00620BFE">
        <w:rPr>
          <w:rFonts w:cs="Times New Roman"/>
          <w:szCs w:val="24"/>
        </w:rPr>
        <w:t>in relation to the National Cultural Heritage Fund (the Fund</w:t>
      </w:r>
      <w:r w:rsidR="00B3493E" w:rsidRPr="00620BFE">
        <w:rPr>
          <w:rFonts w:cs="Times New Roman"/>
          <w:szCs w:val="24"/>
        </w:rPr>
        <w:t>)</w:t>
      </w:r>
      <w:r w:rsidR="00B3493E">
        <w:rPr>
          <w:rFonts w:cs="Times New Roman"/>
          <w:szCs w:val="24"/>
        </w:rPr>
        <w:t xml:space="preserve"> as a consequence of </w:t>
      </w:r>
      <w:r>
        <w:rPr>
          <w:rFonts w:cs="Times New Roman"/>
          <w:szCs w:val="24"/>
        </w:rPr>
        <w:t>a</w:t>
      </w:r>
      <w:r w:rsidR="00324AAF" w:rsidRPr="00620BFE">
        <w:rPr>
          <w:rFonts w:cs="Times New Roman"/>
          <w:szCs w:val="24"/>
        </w:rPr>
        <w:t xml:space="preserve">mendments to the Act in 1999 </w:t>
      </w:r>
      <w:r w:rsidR="00B3493E">
        <w:rPr>
          <w:rFonts w:cs="Times New Roman"/>
          <w:szCs w:val="24"/>
        </w:rPr>
        <w:t xml:space="preserve">that </w:t>
      </w:r>
      <w:r w:rsidR="00324AAF" w:rsidRPr="00620BFE">
        <w:rPr>
          <w:rFonts w:cs="Times New Roman"/>
          <w:szCs w:val="24"/>
        </w:rPr>
        <w:t>resulted in the Fund being repealed and the National Cultural Heritage Account established in its place</w:t>
      </w:r>
      <w:r w:rsidR="00B3493E">
        <w:rPr>
          <w:rFonts w:cs="Times New Roman"/>
          <w:szCs w:val="24"/>
        </w:rPr>
        <w:t>;</w:t>
      </w:r>
    </w:p>
    <w:p w14:paraId="7A338708" w14:textId="4D9D58F3" w:rsidR="001862CE" w:rsidRPr="00651E50" w:rsidRDefault="001862CE" w:rsidP="00651E50">
      <w:pPr>
        <w:pStyle w:val="ListParagraph"/>
        <w:numPr>
          <w:ilvl w:val="0"/>
          <w:numId w:val="4"/>
        </w:numPr>
        <w:spacing w:line="240" w:lineRule="auto"/>
        <w:ind w:hanging="357"/>
        <w:rPr>
          <w:rFonts w:cs="Times New Roman"/>
          <w:szCs w:val="24"/>
        </w:rPr>
      </w:pPr>
      <w:r w:rsidRPr="00651E50">
        <w:rPr>
          <w:rFonts w:cs="Times New Roman"/>
          <w:szCs w:val="24"/>
        </w:rPr>
        <w:t>prescribe, pursuant to section 49 of the Act, various matters required or permitted by the Act to be prescribed, namely:</w:t>
      </w:r>
    </w:p>
    <w:p w14:paraId="24FD52EC" w14:textId="3E5CAC21" w:rsidR="001862CE" w:rsidRPr="00651E50" w:rsidRDefault="001862CE" w:rsidP="00651E50">
      <w:pPr>
        <w:pStyle w:val="ListParagraph"/>
        <w:numPr>
          <w:ilvl w:val="0"/>
          <w:numId w:val="34"/>
        </w:numPr>
        <w:spacing w:line="240" w:lineRule="auto"/>
        <w:ind w:hanging="357"/>
        <w:rPr>
          <w:rFonts w:cs="Times New Roman"/>
          <w:szCs w:val="24"/>
        </w:rPr>
      </w:pPr>
      <w:r w:rsidRPr="00651E50">
        <w:rPr>
          <w:rFonts w:cs="Times New Roman"/>
          <w:szCs w:val="24"/>
        </w:rPr>
        <w:t>the list, known as the National Cultural Heritage Control List (the Control List), required to be prescribed by subsection 8(1) of the Act, which lists the categories of objects that constitute the movable cultural heritage of Australia and that are subject to export control under the Act;</w:t>
      </w:r>
    </w:p>
    <w:p w14:paraId="4884A0FB" w14:textId="50069171" w:rsidR="0067401E" w:rsidRPr="0067401E" w:rsidRDefault="0067401E" w:rsidP="00651E50">
      <w:pPr>
        <w:pStyle w:val="ListParagraph"/>
        <w:numPr>
          <w:ilvl w:val="0"/>
          <w:numId w:val="34"/>
        </w:numPr>
        <w:spacing w:line="240" w:lineRule="auto"/>
        <w:ind w:hanging="357"/>
        <w:rPr>
          <w:rFonts w:cs="Times New Roman"/>
          <w:szCs w:val="24"/>
        </w:rPr>
      </w:pPr>
      <w:r w:rsidRPr="0067401E">
        <w:rPr>
          <w:rFonts w:cs="Times New Roman"/>
          <w:szCs w:val="24"/>
        </w:rPr>
        <w:t xml:space="preserve">additional categories </w:t>
      </w:r>
      <w:r w:rsidR="005F68A5">
        <w:rPr>
          <w:rFonts w:cs="Times New Roman"/>
          <w:szCs w:val="24"/>
        </w:rPr>
        <w:t>of</w:t>
      </w:r>
      <w:r w:rsidRPr="0067401E">
        <w:rPr>
          <w:rFonts w:cs="Times New Roman"/>
          <w:szCs w:val="24"/>
        </w:rPr>
        <w:t xml:space="preserve"> objects </w:t>
      </w:r>
      <w:r>
        <w:rPr>
          <w:rFonts w:cs="Times New Roman"/>
          <w:szCs w:val="24"/>
        </w:rPr>
        <w:t>of importance to Australia or a particular part of Australia fo</w:t>
      </w:r>
      <w:r w:rsidR="00881B9C">
        <w:rPr>
          <w:rFonts w:cs="Times New Roman"/>
          <w:szCs w:val="24"/>
        </w:rPr>
        <w:t>r a reason listed in subsection </w:t>
      </w:r>
      <w:r>
        <w:rPr>
          <w:rFonts w:cs="Times New Roman"/>
          <w:szCs w:val="24"/>
        </w:rPr>
        <w:t xml:space="preserve">7(1), </w:t>
      </w:r>
      <w:r w:rsidR="005F68A5">
        <w:rPr>
          <w:rFonts w:cs="Times New Roman"/>
          <w:szCs w:val="24"/>
        </w:rPr>
        <w:t xml:space="preserve">which </w:t>
      </w:r>
      <w:r>
        <w:rPr>
          <w:rFonts w:cs="Times New Roman"/>
          <w:szCs w:val="24"/>
        </w:rPr>
        <w:t>will be taken to be part of the movable cultural heritage of Austra</w:t>
      </w:r>
      <w:r w:rsidR="00881B9C">
        <w:rPr>
          <w:rFonts w:cs="Times New Roman"/>
          <w:szCs w:val="24"/>
        </w:rPr>
        <w:t>lia for the purposes of section </w:t>
      </w:r>
      <w:r>
        <w:rPr>
          <w:rFonts w:cs="Times New Roman"/>
          <w:szCs w:val="24"/>
        </w:rPr>
        <w:t>8 of the Act;</w:t>
      </w:r>
    </w:p>
    <w:p w14:paraId="58E0A829" w14:textId="36D8D47D" w:rsidR="001F7D72" w:rsidRPr="001862CE" w:rsidRDefault="00E75A9B" w:rsidP="00651E50">
      <w:pPr>
        <w:pStyle w:val="ListParagraph"/>
        <w:numPr>
          <w:ilvl w:val="0"/>
          <w:numId w:val="34"/>
        </w:numPr>
        <w:spacing w:line="240" w:lineRule="auto"/>
        <w:ind w:hanging="357"/>
        <w:rPr>
          <w:szCs w:val="24"/>
        </w:rPr>
      </w:pPr>
      <w:r w:rsidRPr="001862CE">
        <w:rPr>
          <w:rFonts w:cs="Times New Roman"/>
          <w:szCs w:val="24"/>
        </w:rPr>
        <w:t>p</w:t>
      </w:r>
      <w:r w:rsidR="00881B9C" w:rsidRPr="001862CE">
        <w:rPr>
          <w:rFonts w:cs="Times New Roman"/>
          <w:szCs w:val="24"/>
        </w:rPr>
        <w:t>rescribe the period of 14 </w:t>
      </w:r>
      <w:r w:rsidR="00653169" w:rsidRPr="001862CE">
        <w:rPr>
          <w:rFonts w:cs="Times New Roman"/>
          <w:szCs w:val="24"/>
        </w:rPr>
        <w:t>days for the Minister to give notice of refusal to grant a permit</w:t>
      </w:r>
      <w:r w:rsidR="00533015" w:rsidRPr="001862CE">
        <w:rPr>
          <w:rFonts w:cs="Times New Roman"/>
          <w:szCs w:val="24"/>
        </w:rPr>
        <w:t xml:space="preserve"> for the purposes of subsectio</w:t>
      </w:r>
      <w:r w:rsidR="00533015" w:rsidRPr="00714864">
        <w:rPr>
          <w:rFonts w:cs="Times New Roman"/>
          <w:szCs w:val="24"/>
        </w:rPr>
        <w:t>n</w:t>
      </w:r>
      <w:r w:rsidR="00881B9C" w:rsidRPr="00714864">
        <w:rPr>
          <w:rFonts w:cs="Times New Roman"/>
          <w:szCs w:val="24"/>
        </w:rPr>
        <w:t> </w:t>
      </w:r>
      <w:r w:rsidR="00653169" w:rsidRPr="001862CE">
        <w:rPr>
          <w:rFonts w:cs="Times New Roman"/>
          <w:szCs w:val="24"/>
        </w:rPr>
        <w:t>10(7) of the Act, and to give notice of refusal to grant a certificate of exemption</w:t>
      </w:r>
      <w:r w:rsidR="00533015" w:rsidRPr="001862CE">
        <w:rPr>
          <w:rFonts w:cs="Times New Roman"/>
          <w:szCs w:val="24"/>
        </w:rPr>
        <w:t xml:space="preserve"> for the purposes of subsectio</w:t>
      </w:r>
      <w:r w:rsidR="00533015" w:rsidRPr="00714864">
        <w:rPr>
          <w:rFonts w:cs="Times New Roman"/>
          <w:szCs w:val="24"/>
        </w:rPr>
        <w:t>n</w:t>
      </w:r>
      <w:r w:rsidR="00881B9C" w:rsidRPr="00714864">
        <w:rPr>
          <w:rFonts w:cs="Times New Roman"/>
          <w:szCs w:val="24"/>
        </w:rPr>
        <w:t> </w:t>
      </w:r>
      <w:r w:rsidR="00653169" w:rsidRPr="001862CE">
        <w:rPr>
          <w:rFonts w:cs="Times New Roman"/>
          <w:szCs w:val="24"/>
        </w:rPr>
        <w:t>12(6) of the Act</w:t>
      </w:r>
      <w:r w:rsidRPr="001862CE">
        <w:rPr>
          <w:rFonts w:cs="Times New Roman"/>
          <w:szCs w:val="24"/>
        </w:rPr>
        <w:t>;</w:t>
      </w:r>
    </w:p>
    <w:p w14:paraId="32CBDEE2" w14:textId="023B06A7" w:rsidR="00653169" w:rsidRPr="001862CE" w:rsidRDefault="00E75A9B" w:rsidP="00651E50">
      <w:pPr>
        <w:pStyle w:val="ListParagraph"/>
        <w:numPr>
          <w:ilvl w:val="0"/>
          <w:numId w:val="34"/>
        </w:numPr>
        <w:spacing w:line="240" w:lineRule="auto"/>
        <w:ind w:hanging="357"/>
        <w:rPr>
          <w:szCs w:val="24"/>
        </w:rPr>
      </w:pPr>
      <w:r w:rsidRPr="001862CE">
        <w:rPr>
          <w:rFonts w:cs="Times New Roman"/>
          <w:szCs w:val="24"/>
        </w:rPr>
        <w:lastRenderedPageBreak/>
        <w:t>p</w:t>
      </w:r>
      <w:r w:rsidR="00653169" w:rsidRPr="001862CE">
        <w:rPr>
          <w:rFonts w:cs="Times New Roman"/>
          <w:szCs w:val="24"/>
        </w:rPr>
        <w:t>rescribe that the register of expert examiners to be maintained by the National Cultural Heritage Committee must set out the name of each person determined by that Committee to be an expert examiner, for the pu</w:t>
      </w:r>
      <w:r w:rsidR="00533015" w:rsidRPr="001862CE">
        <w:rPr>
          <w:rFonts w:cs="Times New Roman"/>
          <w:szCs w:val="24"/>
        </w:rPr>
        <w:t>rposes of section</w:t>
      </w:r>
      <w:r w:rsidR="00533015" w:rsidRPr="00714864">
        <w:rPr>
          <w:rFonts w:cs="Times New Roman"/>
          <w:szCs w:val="24"/>
        </w:rPr>
        <w:t> </w:t>
      </w:r>
      <w:r w:rsidR="00651E50">
        <w:rPr>
          <w:rFonts w:cs="Times New Roman"/>
          <w:szCs w:val="24"/>
        </w:rPr>
        <w:t>22 of the Act;</w:t>
      </w:r>
    </w:p>
    <w:p w14:paraId="0E78DE09" w14:textId="77777777" w:rsidR="001862CE" w:rsidRDefault="001862CE" w:rsidP="001862CE">
      <w:pPr>
        <w:pStyle w:val="ListBullet"/>
        <w:numPr>
          <w:ilvl w:val="0"/>
          <w:numId w:val="4"/>
        </w:numPr>
        <w:spacing w:line="240" w:lineRule="auto"/>
        <w:rPr>
          <w:rFonts w:ascii="Times New Roman" w:hAnsi="Times New Roman"/>
          <w:szCs w:val="24"/>
        </w:rPr>
      </w:pPr>
      <w:r>
        <w:rPr>
          <w:rFonts w:ascii="Times New Roman" w:hAnsi="Times New Roman"/>
          <w:szCs w:val="24"/>
        </w:rPr>
        <w:t>update</w:t>
      </w:r>
      <w:r w:rsidRPr="00620BFE">
        <w:rPr>
          <w:rFonts w:ascii="Times New Roman" w:hAnsi="Times New Roman"/>
          <w:szCs w:val="24"/>
        </w:rPr>
        <w:t xml:space="preserve"> </w:t>
      </w:r>
      <w:r>
        <w:rPr>
          <w:rFonts w:ascii="Times New Roman" w:hAnsi="Times New Roman"/>
          <w:szCs w:val="24"/>
        </w:rPr>
        <w:t>aspects of Part</w:t>
      </w:r>
      <w:r w:rsidRPr="000116A5">
        <w:rPr>
          <w:rFonts w:ascii="Times New Roman" w:hAnsi="Times New Roman"/>
          <w:szCs w:val="24"/>
          <w:lang w:val="en"/>
        </w:rPr>
        <w:t> </w:t>
      </w:r>
      <w:r>
        <w:rPr>
          <w:rFonts w:ascii="Times New Roman" w:hAnsi="Times New Roman"/>
          <w:szCs w:val="24"/>
        </w:rPr>
        <w:t>5</w:t>
      </w:r>
      <w:r w:rsidRPr="001E70F9">
        <w:rPr>
          <w:rFonts w:ascii="Times New Roman" w:hAnsi="Times New Roman"/>
          <w:szCs w:val="24"/>
        </w:rPr>
        <w:t>—</w:t>
      </w:r>
      <w:r>
        <w:rPr>
          <w:rFonts w:ascii="Times New Roman" w:hAnsi="Times New Roman"/>
          <w:szCs w:val="24"/>
        </w:rPr>
        <w:t>Objects of Fine or Decorative Art of Schedule</w:t>
      </w:r>
      <w:r w:rsidRPr="000116A5">
        <w:rPr>
          <w:rFonts w:ascii="Times New Roman" w:hAnsi="Times New Roman"/>
          <w:szCs w:val="24"/>
          <w:lang w:val="en"/>
        </w:rPr>
        <w:t> </w:t>
      </w:r>
      <w:r>
        <w:rPr>
          <w:rFonts w:ascii="Times New Roman" w:hAnsi="Times New Roman"/>
          <w:szCs w:val="24"/>
        </w:rPr>
        <w:t>1 to better capture only the most significant types of Aboriginal and Torres Strait Islander objects of fine or decorative art, and to revise value thresholds as they relate to specific types of objects of fine and decorative art;</w:t>
      </w:r>
    </w:p>
    <w:p w14:paraId="4DEAA8DB" w14:textId="3A1139D2" w:rsidR="001862CE" w:rsidRDefault="001862CE" w:rsidP="001862CE">
      <w:pPr>
        <w:pStyle w:val="ListBullet"/>
        <w:numPr>
          <w:ilvl w:val="0"/>
          <w:numId w:val="4"/>
        </w:numPr>
        <w:spacing w:line="240" w:lineRule="auto"/>
        <w:rPr>
          <w:rFonts w:ascii="Times New Roman" w:hAnsi="Times New Roman"/>
          <w:szCs w:val="24"/>
        </w:rPr>
      </w:pPr>
      <w:r>
        <w:rPr>
          <w:rFonts w:ascii="Times New Roman" w:hAnsi="Times New Roman"/>
          <w:szCs w:val="24"/>
        </w:rPr>
        <w:t>update Part</w:t>
      </w:r>
      <w:r>
        <w:rPr>
          <w:rFonts w:ascii="Times New Roman" w:hAnsi="Times New Roman"/>
          <w:szCs w:val="24"/>
          <w:lang w:val="en"/>
        </w:rPr>
        <w:t xml:space="preserve"> </w:t>
      </w:r>
      <w:r>
        <w:rPr>
          <w:rFonts w:ascii="Times New Roman" w:hAnsi="Times New Roman"/>
          <w:szCs w:val="24"/>
        </w:rPr>
        <w:t>7</w:t>
      </w:r>
      <w:r w:rsidRPr="001E70F9">
        <w:rPr>
          <w:rFonts w:ascii="Times New Roman" w:hAnsi="Times New Roman"/>
          <w:szCs w:val="24"/>
        </w:rPr>
        <w:t>—Numismatic objects</w:t>
      </w:r>
      <w:r>
        <w:rPr>
          <w:rFonts w:ascii="Times New Roman" w:hAnsi="Times New Roman"/>
          <w:szCs w:val="24"/>
        </w:rPr>
        <w:t xml:space="preserve"> in Schedule 1 to list all current Victoria Cross medal awardees, and ensure it is possible for </w:t>
      </w:r>
      <w:r w:rsidRPr="0046205E">
        <w:rPr>
          <w:rFonts w:ascii="Times New Roman" w:hAnsi="Times New Roman"/>
          <w:szCs w:val="24"/>
        </w:rPr>
        <w:t>V</w:t>
      </w:r>
      <w:r>
        <w:rPr>
          <w:rFonts w:ascii="Times New Roman" w:hAnsi="Times New Roman"/>
          <w:szCs w:val="24"/>
        </w:rPr>
        <w:t xml:space="preserve">ictoria </w:t>
      </w:r>
      <w:r w:rsidRPr="0046205E">
        <w:rPr>
          <w:rFonts w:ascii="Times New Roman" w:hAnsi="Times New Roman"/>
          <w:szCs w:val="24"/>
        </w:rPr>
        <w:t>C</w:t>
      </w:r>
      <w:r>
        <w:rPr>
          <w:rFonts w:ascii="Times New Roman" w:hAnsi="Times New Roman"/>
          <w:szCs w:val="24"/>
        </w:rPr>
        <w:t>ross</w:t>
      </w:r>
      <w:r w:rsidRPr="0046205E">
        <w:rPr>
          <w:rFonts w:ascii="Times New Roman" w:hAnsi="Times New Roman"/>
          <w:szCs w:val="24"/>
        </w:rPr>
        <w:t xml:space="preserve"> medals owned or held</w:t>
      </w:r>
      <w:r>
        <w:rPr>
          <w:rFonts w:ascii="Times New Roman" w:hAnsi="Times New Roman"/>
          <w:szCs w:val="24"/>
        </w:rPr>
        <w:t xml:space="preserve"> on loan</w:t>
      </w:r>
      <w:r w:rsidRPr="0046205E">
        <w:rPr>
          <w:rFonts w:ascii="Times New Roman" w:hAnsi="Times New Roman"/>
          <w:szCs w:val="24"/>
        </w:rPr>
        <w:t xml:space="preserve"> by </w:t>
      </w:r>
      <w:r>
        <w:rPr>
          <w:rFonts w:ascii="Times New Roman" w:hAnsi="Times New Roman"/>
          <w:szCs w:val="24"/>
        </w:rPr>
        <w:t xml:space="preserve">the Commonwealth or a principal collecting institution to be </w:t>
      </w:r>
      <w:r w:rsidRPr="0046205E">
        <w:rPr>
          <w:rFonts w:ascii="Times New Roman" w:hAnsi="Times New Roman"/>
          <w:szCs w:val="24"/>
        </w:rPr>
        <w:t>temporarily exported for the purposes of public</w:t>
      </w:r>
      <w:r>
        <w:rPr>
          <w:rFonts w:ascii="Times New Roman" w:hAnsi="Times New Roman"/>
          <w:szCs w:val="24"/>
        </w:rPr>
        <w:t xml:space="preserve"> exhibition and commemoration;</w:t>
      </w:r>
      <w:r w:rsidR="00651E50">
        <w:rPr>
          <w:rFonts w:ascii="Times New Roman" w:hAnsi="Times New Roman"/>
          <w:szCs w:val="24"/>
        </w:rPr>
        <w:t xml:space="preserve"> and</w:t>
      </w:r>
    </w:p>
    <w:p w14:paraId="2797AAE9" w14:textId="4B870B5B" w:rsidR="004C2E1A" w:rsidRDefault="00E75A9B" w:rsidP="004C2E1A">
      <w:pPr>
        <w:pStyle w:val="ListBullet"/>
        <w:numPr>
          <w:ilvl w:val="0"/>
          <w:numId w:val="4"/>
        </w:numPr>
        <w:spacing w:after="160" w:line="240" w:lineRule="auto"/>
        <w:ind w:left="357" w:hanging="357"/>
        <w:rPr>
          <w:rFonts w:ascii="Times New Roman" w:hAnsi="Times New Roman"/>
          <w:szCs w:val="24"/>
        </w:rPr>
      </w:pPr>
      <w:r>
        <w:rPr>
          <w:rFonts w:ascii="Times New Roman" w:hAnsi="Times New Roman"/>
          <w:szCs w:val="24"/>
        </w:rPr>
        <w:t>r</w:t>
      </w:r>
      <w:r w:rsidR="00653169">
        <w:rPr>
          <w:rFonts w:ascii="Times New Roman" w:hAnsi="Times New Roman"/>
          <w:szCs w:val="24"/>
        </w:rPr>
        <w:t xml:space="preserve">epeal </w:t>
      </w:r>
      <w:r w:rsidR="00653169" w:rsidRPr="00653169">
        <w:rPr>
          <w:rFonts w:ascii="Times New Roman" w:hAnsi="Times New Roman"/>
          <w:szCs w:val="24"/>
        </w:rPr>
        <w:t xml:space="preserve">the </w:t>
      </w:r>
      <w:r w:rsidR="00881B9C">
        <w:rPr>
          <w:rFonts w:ascii="Times New Roman" w:hAnsi="Times New Roman"/>
          <w:szCs w:val="24"/>
        </w:rPr>
        <w:t>1987 </w:t>
      </w:r>
      <w:r w:rsidR="009A51AB" w:rsidRPr="00401B42">
        <w:rPr>
          <w:rFonts w:ascii="Times New Roman" w:hAnsi="Times New Roman"/>
          <w:szCs w:val="24"/>
        </w:rPr>
        <w:t>Regulations</w:t>
      </w:r>
      <w:r w:rsidR="00653169">
        <w:rPr>
          <w:rFonts w:ascii="Times New Roman" w:hAnsi="Times New Roman"/>
          <w:szCs w:val="24"/>
        </w:rPr>
        <w:t>.</w:t>
      </w:r>
    </w:p>
    <w:p w14:paraId="5A115B05" w14:textId="4FA3EF05" w:rsidR="004C2E1A" w:rsidRPr="004C2E1A" w:rsidRDefault="00F64606" w:rsidP="004C2E1A">
      <w:pPr>
        <w:rPr>
          <w:szCs w:val="24"/>
        </w:rPr>
      </w:pPr>
      <w:r w:rsidRPr="004C2E1A">
        <w:rPr>
          <w:szCs w:val="24"/>
        </w:rPr>
        <w:t>The Act regulates</w:t>
      </w:r>
      <w:r w:rsidR="00450E79">
        <w:rPr>
          <w:szCs w:val="24"/>
        </w:rPr>
        <w:t>,</w:t>
      </w:r>
      <w:r w:rsidRPr="004C2E1A">
        <w:rPr>
          <w:szCs w:val="24"/>
        </w:rPr>
        <w:t xml:space="preserve"> and by extension protects Australia's movable cultural heritage, largely though an export control framework, and provides for the return of foreign cultural property that has been illegally exported from its country of origin and imported into Australia. The</w:t>
      </w:r>
      <w:r w:rsidR="00533015" w:rsidRPr="004C2E1A">
        <w:rPr>
          <w:szCs w:val="24"/>
        </w:rPr>
        <w:t> </w:t>
      </w:r>
      <w:r w:rsidRPr="004C2E1A">
        <w:rPr>
          <w:szCs w:val="24"/>
        </w:rPr>
        <w:t xml:space="preserve">Act gives effect to, and implements Australia's obligations under the UNESCO </w:t>
      </w:r>
      <w:r w:rsidRPr="00401B42">
        <w:rPr>
          <w:i/>
          <w:szCs w:val="24"/>
        </w:rPr>
        <w:t>Convention on the Means of Prohibiting and Preventing the Illicit Import, Export and Transfer of Ownersh</w:t>
      </w:r>
      <w:r w:rsidR="00533015" w:rsidRPr="00401B42">
        <w:rPr>
          <w:i/>
          <w:szCs w:val="24"/>
        </w:rPr>
        <w:t>ip of Cultural Property </w:t>
      </w:r>
      <w:r w:rsidRPr="00401B42">
        <w:rPr>
          <w:szCs w:val="24"/>
        </w:rPr>
        <w:t>1970</w:t>
      </w:r>
      <w:r w:rsidR="00881B9C">
        <w:rPr>
          <w:szCs w:val="24"/>
        </w:rPr>
        <w:t xml:space="preserve"> (the 1970 </w:t>
      </w:r>
      <w:r w:rsidRPr="004C2E1A">
        <w:rPr>
          <w:szCs w:val="24"/>
        </w:rPr>
        <w:t>Convention).</w:t>
      </w:r>
    </w:p>
    <w:p w14:paraId="14D0E860" w14:textId="3E788446" w:rsidR="004C2E1A" w:rsidRDefault="00D55964" w:rsidP="00BA254F">
      <w:r>
        <w:t>The</w:t>
      </w:r>
      <w:r w:rsidR="00E709E5">
        <w:t xml:space="preserve"> Regulations </w:t>
      </w:r>
      <w:r>
        <w:t>are fundamental to the effectiveness of the Act</w:t>
      </w:r>
      <w:r w:rsidR="00F64606" w:rsidRPr="00AC5CFF">
        <w:t>. The Regulations prescribe the National Cultural Heritage Control List</w:t>
      </w:r>
      <w:r w:rsidR="001862CE">
        <w:t xml:space="preserve"> (the Control List)</w:t>
      </w:r>
      <w:r w:rsidR="00F64606" w:rsidRPr="00AC5CFF">
        <w:t xml:space="preserve">, which lists the categories of objects that constitute the movable cultural heritage of Australia and are subject to export control. </w:t>
      </w:r>
      <w:r w:rsidR="001862CE">
        <w:t>In the absence of the Control List,</w:t>
      </w:r>
      <w:r w:rsidR="00F64606" w:rsidRPr="00AC5CFF">
        <w:t xml:space="preserve"> it would not be possible to administer the provisions in the Act that relate to the export of objects. The practical implication of this is that there would be no controls in relation to the export of objects of movable cultural heritage. Consequently, significant objects, including those that would have </w:t>
      </w:r>
      <w:r w:rsidR="00F64606" w:rsidRPr="00653169">
        <w:t>been denied an export permit, could be exported and permanently lost to Australia</w:t>
      </w:r>
      <w:r w:rsidR="001862CE">
        <w:t xml:space="preserve">, </w:t>
      </w:r>
      <w:r w:rsidR="001862CE">
        <w:rPr>
          <w:rFonts w:cs="Times New Roman"/>
          <w:szCs w:val="24"/>
        </w:rPr>
        <w:t>with no recourse to impose penalties or take other enforcement actions in relation to the objects</w:t>
      </w:r>
      <w:r w:rsidR="00F64606" w:rsidRPr="00653169">
        <w:t>.</w:t>
      </w:r>
    </w:p>
    <w:p w14:paraId="642A5661" w14:textId="0BB1FA5E" w:rsidR="004C2E1A" w:rsidRDefault="00E709E5" w:rsidP="00BA254F">
      <w:r>
        <w:t>The Regulations</w:t>
      </w:r>
      <w:r w:rsidR="00F64606" w:rsidRPr="00653169">
        <w:t xml:space="preserve">, in conjunction with the Act, </w:t>
      </w:r>
      <w:r w:rsidR="00D55964">
        <w:t>enable</w:t>
      </w:r>
      <w:r w:rsidR="00F64606" w:rsidRPr="00653169">
        <w:t xml:space="preserve"> Australia to fully meet its obligations as a State Par</w:t>
      </w:r>
      <w:r w:rsidR="00881B9C">
        <w:t>ty to the 1970 </w:t>
      </w:r>
      <w:r w:rsidR="00F64606" w:rsidRPr="00653169">
        <w:t>Convention, through ensuring that the provisions in the Act that relate to export control can be administered.</w:t>
      </w:r>
    </w:p>
    <w:p w14:paraId="6BB872F2" w14:textId="7DEBC9A1" w:rsidR="00D55964" w:rsidRPr="00327C06" w:rsidRDefault="00D55964" w:rsidP="00BA254F">
      <w:pPr>
        <w:rPr>
          <w:rFonts w:cs="Times New Roman"/>
          <w:szCs w:val="24"/>
        </w:rPr>
      </w:pPr>
      <w:r w:rsidRPr="00327C06">
        <w:rPr>
          <w:rFonts w:cs="Times New Roman"/>
          <w:szCs w:val="24"/>
        </w:rPr>
        <w:t>The Regulations also implement some limited elements of the model proposed by the independent review of the Act undertaken by Mr Shane Simpson AM in 2015 (Simpson Review), as an interim measure until the remake of the primary legislation. The elements that have been implemented relate to Part</w:t>
      </w:r>
      <w:r w:rsidRPr="00327C06">
        <w:rPr>
          <w:rFonts w:cs="Times New Roman"/>
          <w:szCs w:val="24"/>
          <w:lang w:val="en"/>
        </w:rPr>
        <w:t> </w:t>
      </w:r>
      <w:r w:rsidRPr="00327C06">
        <w:rPr>
          <w:rFonts w:cs="Times New Roman"/>
          <w:szCs w:val="24"/>
        </w:rPr>
        <w:t xml:space="preserve">5—Objects of Fine or Decorative Art. In particular, the Regulations seek to redress unintended restrictions on </w:t>
      </w:r>
      <w:r w:rsidRPr="00327C06">
        <w:rPr>
          <w:rFonts w:cs="Times New Roman"/>
          <w:szCs w:val="24"/>
        </w:rPr>
        <w:lastRenderedPageBreak/>
        <w:t xml:space="preserve">the secondary market value of works by Aboriginal and Torres Strait Islander artists, </w:t>
      </w:r>
      <w:r w:rsidRPr="009B3A22">
        <w:rPr>
          <w:rFonts w:cs="Times New Roman"/>
          <w:szCs w:val="24"/>
        </w:rPr>
        <w:t>which is extant in the 1987 Regulations</w:t>
      </w:r>
      <w:r w:rsidRPr="00327C06">
        <w:rPr>
          <w:rFonts w:cs="Times New Roman"/>
          <w:szCs w:val="24"/>
        </w:rPr>
        <w:t>, by replacing the single monetary and age threshold around all Aboriginal and Torres Strait Islander works of fine and decorative art with more targeted categories and thresholds.</w:t>
      </w:r>
    </w:p>
    <w:p w14:paraId="4AD4500F" w14:textId="4235FD74" w:rsidR="00083824" w:rsidRDefault="00F64606" w:rsidP="00BA254F">
      <w:pPr>
        <w:rPr>
          <w:b/>
        </w:rPr>
      </w:pPr>
      <w:r w:rsidRPr="00327C06">
        <w:t xml:space="preserve">Specifically, </w:t>
      </w:r>
      <w:r w:rsidR="00533015" w:rsidRPr="00327C06">
        <w:t>Part</w:t>
      </w:r>
      <w:r w:rsidR="00533015" w:rsidRPr="00327C06">
        <w:rPr>
          <w:lang w:val="en"/>
        </w:rPr>
        <w:t> </w:t>
      </w:r>
      <w:r w:rsidR="001F66D6" w:rsidRPr="00327C06">
        <w:t>5 of the National Cultural Heritage Control List defines the categories of fine and decorative art</w:t>
      </w:r>
      <w:r w:rsidR="00881B9C" w:rsidRPr="00327C06">
        <w:t xml:space="preserve"> regulated by the Act. The 1987 </w:t>
      </w:r>
      <w:r w:rsidR="001F66D6" w:rsidRPr="00327C06">
        <w:t>Regulations divided works by media, price, age and, in the case of paintings (which is the most used media category), according to whether they were made by artists identifying as Australian Aboriginal an</w:t>
      </w:r>
      <w:r w:rsidR="00E52523" w:rsidRPr="00327C06">
        <w:t>d Torres Strait Islanders</w:t>
      </w:r>
      <w:r w:rsidR="001F66D6" w:rsidRPr="00327C06">
        <w:t>, with a different age and monetary threshold for each</w:t>
      </w:r>
      <w:r w:rsidR="002B26C1" w:rsidRPr="00327C06">
        <w:t xml:space="preserve"> case</w:t>
      </w:r>
      <w:r w:rsidR="001F66D6" w:rsidRPr="00327C06">
        <w:t>. The new Regulations do not differentiate between the works on this basis.</w:t>
      </w:r>
    </w:p>
    <w:p w14:paraId="07088CC0" w14:textId="65D2C430" w:rsidR="008B3EFD" w:rsidRPr="008F2240" w:rsidRDefault="008B3EFD" w:rsidP="008F2240">
      <w:pPr>
        <w:rPr>
          <w:b/>
        </w:rPr>
      </w:pPr>
      <w:r w:rsidRPr="008F2240">
        <w:rPr>
          <w:b/>
        </w:rPr>
        <w:t>Human rights implications</w:t>
      </w:r>
    </w:p>
    <w:p w14:paraId="5A3E3F7B" w14:textId="37E8235C" w:rsidR="00EF1BB0" w:rsidRDefault="007F2194" w:rsidP="001E6C2F">
      <w:pPr>
        <w:spacing w:line="256" w:lineRule="auto"/>
        <w:rPr>
          <w:rFonts w:cs="Times New Roman"/>
          <w:i/>
          <w:szCs w:val="24"/>
        </w:rPr>
      </w:pPr>
      <w:r w:rsidRPr="00D4612E">
        <w:rPr>
          <w:rFonts w:cs="Times New Roman"/>
          <w:szCs w:val="24"/>
        </w:rPr>
        <w:t>Human rights engaged in these Re</w:t>
      </w:r>
      <w:r w:rsidR="00324AAF">
        <w:rPr>
          <w:rFonts w:cs="Times New Roman"/>
          <w:szCs w:val="24"/>
        </w:rPr>
        <w:t>gu</w:t>
      </w:r>
      <w:r w:rsidR="008B3EFD">
        <w:rPr>
          <w:rFonts w:cs="Times New Roman"/>
          <w:szCs w:val="24"/>
        </w:rPr>
        <w:t>lations</w:t>
      </w:r>
      <w:r w:rsidR="0032278D">
        <w:rPr>
          <w:rFonts w:cs="Times New Roman"/>
          <w:szCs w:val="24"/>
        </w:rPr>
        <w:t>,</w:t>
      </w:r>
      <w:r w:rsidR="008B3EFD">
        <w:rPr>
          <w:rFonts w:cs="Times New Roman"/>
          <w:szCs w:val="24"/>
        </w:rPr>
        <w:t xml:space="preserve"> </w:t>
      </w:r>
      <w:r w:rsidR="00C2315D">
        <w:rPr>
          <w:rFonts w:cs="Times New Roman"/>
          <w:szCs w:val="24"/>
        </w:rPr>
        <w:t xml:space="preserve">as they </w:t>
      </w:r>
      <w:r w:rsidR="00C2315D" w:rsidRPr="00D041FF">
        <w:rPr>
          <w:rFonts w:cs="Times New Roman"/>
          <w:szCs w:val="24"/>
        </w:rPr>
        <w:t>operate in conjunction with the enabling Act</w:t>
      </w:r>
      <w:r w:rsidR="0032278D">
        <w:rPr>
          <w:rFonts w:cs="Times New Roman"/>
          <w:szCs w:val="24"/>
        </w:rPr>
        <w:t>,</w:t>
      </w:r>
      <w:r w:rsidR="00C2315D" w:rsidRPr="00D041FF">
        <w:rPr>
          <w:rFonts w:cs="Times New Roman"/>
          <w:szCs w:val="24"/>
        </w:rPr>
        <w:t xml:space="preserve"> </w:t>
      </w:r>
      <w:r w:rsidR="008B3EFD" w:rsidRPr="00D041FF">
        <w:rPr>
          <w:rFonts w:cs="Times New Roman"/>
          <w:szCs w:val="24"/>
        </w:rPr>
        <w:t>are</w:t>
      </w:r>
      <w:r w:rsidR="00324AAF" w:rsidRPr="00D041FF">
        <w:rPr>
          <w:rFonts w:cs="Times New Roman"/>
          <w:szCs w:val="24"/>
        </w:rPr>
        <w:t xml:space="preserve"> the right</w:t>
      </w:r>
      <w:r w:rsidRPr="00D041FF">
        <w:rPr>
          <w:rFonts w:cs="Times New Roman"/>
          <w:szCs w:val="24"/>
        </w:rPr>
        <w:t xml:space="preserve"> to</w:t>
      </w:r>
      <w:r w:rsidR="00A17913" w:rsidRPr="00D041FF">
        <w:rPr>
          <w:rFonts w:cs="Times New Roman"/>
          <w:szCs w:val="24"/>
        </w:rPr>
        <w:t xml:space="preserve"> enjoy and benefit from culture,</w:t>
      </w:r>
      <w:r w:rsidRPr="00D041FF">
        <w:rPr>
          <w:rFonts w:cs="Times New Roman"/>
          <w:szCs w:val="24"/>
        </w:rPr>
        <w:t xml:space="preserve"> and the right to self-determination (contained in the International Covenant on Economic, Social and Cultural Rights to which Australia is a party).</w:t>
      </w:r>
    </w:p>
    <w:p w14:paraId="25F17D36" w14:textId="06F3414F" w:rsidR="00EF1BB0" w:rsidRPr="008F2240" w:rsidRDefault="00F64606" w:rsidP="008F2240">
      <w:pPr>
        <w:rPr>
          <w:u w:val="single"/>
        </w:rPr>
      </w:pPr>
      <w:r w:rsidRPr="008F2240">
        <w:rPr>
          <w:u w:val="single"/>
        </w:rPr>
        <w:t>The right to enjoy and benefit from culture, including the right to take part in cultural life</w:t>
      </w:r>
    </w:p>
    <w:p w14:paraId="219A44DA" w14:textId="77777777" w:rsidR="00265189" w:rsidRDefault="00F64606" w:rsidP="001E6C2F">
      <w:pPr>
        <w:spacing w:line="256" w:lineRule="auto"/>
        <w:rPr>
          <w:rFonts w:cs="Times New Roman"/>
          <w:szCs w:val="24"/>
        </w:rPr>
      </w:pPr>
      <w:r w:rsidRPr="00F64606">
        <w:rPr>
          <w:rFonts w:cs="Times New Roman"/>
          <w:szCs w:val="24"/>
        </w:rPr>
        <w:t xml:space="preserve">The Regulations engage the right to enjoy and benefit from culture, including </w:t>
      </w:r>
      <w:r w:rsidRPr="00D041FF">
        <w:rPr>
          <w:rFonts w:cs="Times New Roman"/>
          <w:szCs w:val="24"/>
        </w:rPr>
        <w:t>the right to take part in cultural life.</w:t>
      </w:r>
    </w:p>
    <w:p w14:paraId="4BA9D9AA" w14:textId="77777777" w:rsidR="00265189" w:rsidRDefault="00533015" w:rsidP="001E6C2F">
      <w:pPr>
        <w:spacing w:line="256" w:lineRule="auto"/>
        <w:rPr>
          <w:rFonts w:cs="Times New Roman"/>
          <w:szCs w:val="24"/>
        </w:rPr>
      </w:pPr>
      <w:r>
        <w:rPr>
          <w:rFonts w:cs="Times New Roman"/>
          <w:szCs w:val="24"/>
        </w:rPr>
        <w:t>Article</w:t>
      </w:r>
      <w:r w:rsidRPr="000116A5">
        <w:rPr>
          <w:rFonts w:cs="Times New Roman"/>
          <w:szCs w:val="24"/>
          <w:lang w:val="en"/>
        </w:rPr>
        <w:t> </w:t>
      </w:r>
      <w:r w:rsidR="00D041FF" w:rsidRPr="00D041FF">
        <w:rPr>
          <w:rFonts w:cs="Times New Roman"/>
          <w:szCs w:val="24"/>
        </w:rPr>
        <w:t>15(1)(a) of the International Covenant on Economic, Social and Cultural Rights (ICESCR) recognises the right of everyone to take</w:t>
      </w:r>
      <w:r>
        <w:rPr>
          <w:rFonts w:cs="Times New Roman"/>
          <w:szCs w:val="24"/>
        </w:rPr>
        <w:t xml:space="preserve"> part in cultural life. Article</w:t>
      </w:r>
      <w:r w:rsidRPr="000116A5">
        <w:rPr>
          <w:rFonts w:cs="Times New Roman"/>
          <w:szCs w:val="24"/>
          <w:lang w:val="en"/>
        </w:rPr>
        <w:t> </w:t>
      </w:r>
      <w:r w:rsidR="00D041FF" w:rsidRPr="00D041FF">
        <w:rPr>
          <w:rFonts w:cs="Times New Roman"/>
          <w:szCs w:val="24"/>
        </w:rPr>
        <w:t xml:space="preserve">15(2) states that the steps to be taken by parties to the ICESCR to achieve the full realisation of the right shall include those necessary for the conservation, the development and the diffusion </w:t>
      </w:r>
      <w:r>
        <w:rPr>
          <w:rFonts w:cs="Times New Roman"/>
          <w:szCs w:val="24"/>
        </w:rPr>
        <w:t>of science and culture. Article</w:t>
      </w:r>
      <w:r w:rsidRPr="000116A5">
        <w:rPr>
          <w:rFonts w:cs="Times New Roman"/>
          <w:szCs w:val="24"/>
          <w:lang w:val="en"/>
        </w:rPr>
        <w:t> </w:t>
      </w:r>
      <w:r w:rsidR="00D041FF" w:rsidRPr="00D041FF">
        <w:rPr>
          <w:rFonts w:cs="Times New Roman"/>
          <w:szCs w:val="24"/>
        </w:rPr>
        <w:t>15(4) states that parties to the ICESCR recognise the benefits to be derived from the encouragement and development of international contacts and co</w:t>
      </w:r>
      <w:r w:rsidR="00D041FF" w:rsidRPr="00D041FF">
        <w:rPr>
          <w:rFonts w:cs="Times New Roman"/>
          <w:szCs w:val="24"/>
        </w:rPr>
        <w:noBreakHyphen/>
        <w:t>operation in the scientific and cultural fields.</w:t>
      </w:r>
    </w:p>
    <w:p w14:paraId="2E424855" w14:textId="246484E9" w:rsidR="00083824" w:rsidRDefault="00D041FF" w:rsidP="001E6C2F">
      <w:pPr>
        <w:spacing w:line="256" w:lineRule="auto"/>
        <w:rPr>
          <w:rFonts w:cs="Times New Roman"/>
          <w:szCs w:val="24"/>
        </w:rPr>
      </w:pPr>
      <w:r w:rsidRPr="00D041FF">
        <w:rPr>
          <w:rFonts w:cs="Times New Roman"/>
          <w:szCs w:val="24"/>
        </w:rPr>
        <w:t>To the extent that the right to enjoy and benefit from culture is engaged, this right is promoted by the Regulations as they operate in conjunction with the enabling Act.</w:t>
      </w:r>
      <w:r w:rsidR="0075386C">
        <w:rPr>
          <w:rFonts w:cs="Times New Roman"/>
          <w:szCs w:val="24"/>
        </w:rPr>
        <w:t xml:space="preserve"> </w:t>
      </w:r>
      <w:r w:rsidR="00533015">
        <w:rPr>
          <w:rFonts w:cs="Times New Roman"/>
          <w:szCs w:val="24"/>
        </w:rPr>
        <w:t>The</w:t>
      </w:r>
      <w:r w:rsidR="0075386C">
        <w:rPr>
          <w:rFonts w:cs="Times New Roman"/>
          <w:szCs w:val="24"/>
          <w:lang w:val="en"/>
        </w:rPr>
        <w:t xml:space="preserve"> </w:t>
      </w:r>
      <w:r w:rsidR="00023991" w:rsidRPr="00D4612E">
        <w:rPr>
          <w:rFonts w:cs="Times New Roman"/>
          <w:szCs w:val="24"/>
        </w:rPr>
        <w:t xml:space="preserve">Regulations are compatible with human rights because they promote the right to enjoy and benefit from culture and enhance cultural life in Australia and internationally by ensuring a continued ability of Australia to fulfil its obligations under the UNESCO </w:t>
      </w:r>
      <w:r w:rsidR="00023991" w:rsidRPr="00D4612E">
        <w:rPr>
          <w:rFonts w:cs="Times New Roman"/>
          <w:i/>
          <w:szCs w:val="24"/>
        </w:rPr>
        <w:t>Convention on the Means of Prohibiting and Preventing the Illicit Import, Export and Transfer of Ownership of Cultural Property</w:t>
      </w:r>
      <w:r w:rsidR="00533015" w:rsidRPr="000116A5">
        <w:rPr>
          <w:rFonts w:cs="Times New Roman"/>
          <w:szCs w:val="24"/>
          <w:lang w:val="en"/>
        </w:rPr>
        <w:t> </w:t>
      </w:r>
      <w:r w:rsidR="00023991" w:rsidRPr="00D4612E">
        <w:rPr>
          <w:rFonts w:cs="Times New Roman"/>
          <w:szCs w:val="24"/>
        </w:rPr>
        <w:t>1970.</w:t>
      </w:r>
    </w:p>
    <w:p w14:paraId="16E193F2" w14:textId="77777777" w:rsidR="00651E50" w:rsidRDefault="00651E50" w:rsidP="00651E50">
      <w:pPr>
        <w:spacing w:line="256" w:lineRule="auto"/>
        <w:rPr>
          <w:rFonts w:cs="Times New Roman"/>
          <w:szCs w:val="24"/>
        </w:rPr>
      </w:pPr>
      <w:r w:rsidRPr="00692110">
        <w:rPr>
          <w:rFonts w:cs="Times New Roman"/>
          <w:szCs w:val="24"/>
        </w:rPr>
        <w:t>The Regulations in conjunction with the enabling Act enhance cultural life in Australia by safeguarding Australia’s movable cultural heritage, largely through an ex</w:t>
      </w:r>
      <w:r w:rsidRPr="00692110">
        <w:rPr>
          <w:rFonts w:cs="Times New Roman"/>
          <w:szCs w:val="24"/>
        </w:rPr>
        <w:lastRenderedPageBreak/>
        <w:t>port control framework. The Regulations specify the objects regulated, with applicants required to apply for an export permit irrespective of whether the export is on a permanent or temporary basis.</w:t>
      </w:r>
    </w:p>
    <w:p w14:paraId="451E83B7" w14:textId="4B1C733F" w:rsidR="00265189" w:rsidRDefault="00F3487D" w:rsidP="001E6C2F">
      <w:pPr>
        <w:spacing w:line="256" w:lineRule="auto"/>
        <w:rPr>
          <w:rFonts w:cs="Times New Roman"/>
          <w:szCs w:val="24"/>
        </w:rPr>
      </w:pPr>
      <w:r w:rsidRPr="00711A00">
        <w:rPr>
          <w:rFonts w:cs="Times New Roman"/>
          <w:szCs w:val="24"/>
        </w:rPr>
        <w:t xml:space="preserve">The Regulations recognise an individual’s right to the enjoyment of cultural material they own whilst </w:t>
      </w:r>
      <w:r w:rsidR="00196C55">
        <w:rPr>
          <w:rFonts w:cs="Times New Roman"/>
          <w:szCs w:val="24"/>
        </w:rPr>
        <w:t>enabling Australia to enforce its</w:t>
      </w:r>
      <w:r w:rsidRPr="00711A00">
        <w:rPr>
          <w:rFonts w:cs="Times New Roman"/>
          <w:szCs w:val="24"/>
        </w:rPr>
        <w:t xml:space="preserve"> right to restrict the movement of that material where it represents a significant part of Australia’s cultural heritage. </w:t>
      </w:r>
      <w:r w:rsidR="008F5425">
        <w:rPr>
          <w:rFonts w:cs="Times New Roman"/>
          <w:szCs w:val="24"/>
        </w:rPr>
        <w:t>The Regulations achieve this in relation to Australian cultural material firstly by prescribing a Control List of objects of importance to Australia, or a particular part of Australia, for a reason listed in subsection</w:t>
      </w:r>
      <w:r w:rsidR="00651E50">
        <w:rPr>
          <w:rFonts w:cs="Times New Roman"/>
          <w:szCs w:val="24"/>
        </w:rPr>
        <w:t> </w:t>
      </w:r>
      <w:r w:rsidR="008F5425">
        <w:rPr>
          <w:rFonts w:cs="Times New Roman"/>
          <w:szCs w:val="24"/>
        </w:rPr>
        <w:t>7(1) of the Act, which fall into a cat</w:t>
      </w:r>
      <w:r w:rsidR="00CA1AB4">
        <w:rPr>
          <w:rFonts w:cs="Times New Roman"/>
          <w:szCs w:val="24"/>
        </w:rPr>
        <w:t>egory listed in that subsection. Secondly, the Regulations</w:t>
      </w:r>
      <w:r w:rsidR="008F5425">
        <w:rPr>
          <w:rFonts w:cs="Times New Roman"/>
          <w:szCs w:val="24"/>
        </w:rPr>
        <w:t xml:space="preserve"> </w:t>
      </w:r>
      <w:r w:rsidR="00CA1AB4">
        <w:rPr>
          <w:rFonts w:cs="Times New Roman"/>
          <w:szCs w:val="24"/>
        </w:rPr>
        <w:t>prescribe</w:t>
      </w:r>
      <w:r w:rsidR="008F5425">
        <w:rPr>
          <w:rFonts w:cs="Times New Roman"/>
          <w:szCs w:val="24"/>
        </w:rPr>
        <w:t xml:space="preserve"> these objects as either Class A or </w:t>
      </w:r>
      <w:r w:rsidR="00651E50">
        <w:rPr>
          <w:rFonts w:cs="Times New Roman"/>
          <w:szCs w:val="24"/>
        </w:rPr>
        <w:t>B in accordance with subsection </w:t>
      </w:r>
      <w:r w:rsidR="008F5425">
        <w:rPr>
          <w:rFonts w:cs="Times New Roman"/>
          <w:szCs w:val="24"/>
        </w:rPr>
        <w:t xml:space="preserve">8(2) of the Act with regard to whether these objects are so important by nature that they should be prohibited from export </w:t>
      </w:r>
      <w:r w:rsidR="008F5425" w:rsidRPr="00651E50">
        <w:rPr>
          <w:rFonts w:cs="Times New Roman"/>
          <w:szCs w:val="24"/>
        </w:rPr>
        <w:t>entirely, or should be able to be exported in certain circumstances on a case by case basis. P</w:t>
      </w:r>
      <w:r w:rsidR="00651E50">
        <w:rPr>
          <w:rFonts w:cs="Times New Roman"/>
          <w:szCs w:val="24"/>
        </w:rPr>
        <w:t>rescribing an object as a Class </w:t>
      </w:r>
      <w:r w:rsidR="008F5425" w:rsidRPr="00651E50">
        <w:rPr>
          <w:rFonts w:cs="Times New Roman"/>
          <w:szCs w:val="24"/>
        </w:rPr>
        <w:t>B object means that a person may apply for an export permit, at which point a ‘</w:t>
      </w:r>
      <w:r w:rsidRPr="00651E50">
        <w:rPr>
          <w:rFonts w:cs="Times New Roman"/>
          <w:szCs w:val="24"/>
        </w:rPr>
        <w:t>significance test</w:t>
      </w:r>
      <w:r w:rsidR="008F5425" w:rsidRPr="00651E50">
        <w:rPr>
          <w:rFonts w:cs="Times New Roman"/>
          <w:szCs w:val="24"/>
        </w:rPr>
        <w:t>’</w:t>
      </w:r>
      <w:r w:rsidRPr="00651E50">
        <w:rPr>
          <w:rFonts w:cs="Times New Roman"/>
          <w:szCs w:val="24"/>
        </w:rPr>
        <w:t xml:space="preserve"> is applie</w:t>
      </w:r>
      <w:r w:rsidR="00315AB0" w:rsidRPr="00651E50">
        <w:rPr>
          <w:rFonts w:cs="Times New Roman"/>
          <w:szCs w:val="24"/>
        </w:rPr>
        <w:t>d</w:t>
      </w:r>
      <w:r w:rsidR="00651E50">
        <w:rPr>
          <w:rFonts w:cs="Times New Roman"/>
          <w:szCs w:val="24"/>
        </w:rPr>
        <w:t xml:space="preserve"> under paragraph </w:t>
      </w:r>
      <w:r w:rsidR="008F5425" w:rsidRPr="00651E50">
        <w:rPr>
          <w:rFonts w:cs="Times New Roman"/>
          <w:szCs w:val="24"/>
        </w:rPr>
        <w:t>10(6)(b) of the Act</w:t>
      </w:r>
      <w:r w:rsidR="00315AB0" w:rsidRPr="00651E50">
        <w:rPr>
          <w:rFonts w:cs="Times New Roman"/>
          <w:szCs w:val="24"/>
        </w:rPr>
        <w:t xml:space="preserve"> </w:t>
      </w:r>
      <w:r w:rsidR="008F5425" w:rsidRPr="00651E50">
        <w:rPr>
          <w:rFonts w:cs="Times New Roman"/>
          <w:szCs w:val="24"/>
        </w:rPr>
        <w:t xml:space="preserve">to assess </w:t>
      </w:r>
      <w:r w:rsidRPr="00651E50">
        <w:rPr>
          <w:rFonts w:cs="Times New Roman"/>
          <w:szCs w:val="24"/>
        </w:rPr>
        <w:t>whether</w:t>
      </w:r>
      <w:r w:rsidR="008F5425" w:rsidRPr="00651E50">
        <w:rPr>
          <w:rFonts w:cs="Times New Roman"/>
          <w:szCs w:val="24"/>
        </w:rPr>
        <w:t xml:space="preserve"> the object</w:t>
      </w:r>
      <w:r w:rsidRPr="00651E50">
        <w:rPr>
          <w:rFonts w:cs="Times New Roman"/>
          <w:szCs w:val="24"/>
        </w:rPr>
        <w:t xml:space="preserve"> is suitable for export.</w:t>
      </w:r>
      <w:r w:rsidR="00B862D0" w:rsidRPr="00651E50">
        <w:rPr>
          <w:rFonts w:cs="Times New Roman"/>
          <w:szCs w:val="24"/>
        </w:rPr>
        <w:t xml:space="preserve"> </w:t>
      </w:r>
      <w:r w:rsidR="008F5425" w:rsidRPr="00651E50">
        <w:rPr>
          <w:rFonts w:cs="Times New Roman"/>
          <w:szCs w:val="24"/>
        </w:rPr>
        <w:t>Such a</w:t>
      </w:r>
      <w:r w:rsidR="00B862D0" w:rsidRPr="00651E50">
        <w:rPr>
          <w:rFonts w:cs="Times New Roman"/>
          <w:szCs w:val="24"/>
        </w:rPr>
        <w:t>pplications for export are independently assessed by expert examiners with the appropriate qualifications and skills in the field, and the National Cultural Heritage Committee made u</w:t>
      </w:r>
      <w:r w:rsidR="00315AB0" w:rsidRPr="00651E50">
        <w:rPr>
          <w:rFonts w:cs="Times New Roman"/>
          <w:szCs w:val="24"/>
        </w:rPr>
        <w:t>p of experts and provided for in</w:t>
      </w:r>
      <w:r w:rsidR="00B862D0" w:rsidRPr="00651E50">
        <w:rPr>
          <w:rFonts w:cs="Times New Roman"/>
          <w:szCs w:val="24"/>
        </w:rPr>
        <w:t xml:space="preserve"> the Act.</w:t>
      </w:r>
    </w:p>
    <w:p w14:paraId="685399DD" w14:textId="43E4FCDD" w:rsidR="00265189" w:rsidRDefault="00D041FF" w:rsidP="001E6C2F">
      <w:pPr>
        <w:spacing w:line="256" w:lineRule="auto"/>
        <w:rPr>
          <w:rFonts w:cs="Times New Roman"/>
          <w:szCs w:val="24"/>
        </w:rPr>
      </w:pPr>
      <w:r w:rsidRPr="00692110">
        <w:rPr>
          <w:rFonts w:cs="Times New Roman"/>
          <w:szCs w:val="24"/>
        </w:rPr>
        <w:t>Any limitations on individuals’ right to export objects which are regulated as protected objects of Australian cultural heritage are reasonable and justifiable in light of the overall aim of protecting the cultural heritage of Australia for the</w:t>
      </w:r>
      <w:r w:rsidR="00F3487D" w:rsidRPr="00692110">
        <w:rPr>
          <w:rFonts w:cs="Times New Roman"/>
          <w:szCs w:val="24"/>
        </w:rPr>
        <w:t xml:space="preserve"> preservation and</w:t>
      </w:r>
      <w:r w:rsidR="002C0DF6">
        <w:rPr>
          <w:rFonts w:cs="Times New Roman"/>
          <w:szCs w:val="24"/>
        </w:rPr>
        <w:t xml:space="preserve"> future </w:t>
      </w:r>
      <w:r w:rsidRPr="00692110">
        <w:rPr>
          <w:rFonts w:cs="Times New Roman"/>
          <w:szCs w:val="24"/>
        </w:rPr>
        <w:t xml:space="preserve">enjoyment of </w:t>
      </w:r>
      <w:r w:rsidR="00692110">
        <w:rPr>
          <w:rFonts w:cs="Times New Roman"/>
          <w:szCs w:val="24"/>
        </w:rPr>
        <w:t>people.</w:t>
      </w:r>
    </w:p>
    <w:p w14:paraId="432BE22A" w14:textId="6CBE19C7" w:rsidR="00EF1BB0" w:rsidRDefault="003009B0" w:rsidP="001E6C2F">
      <w:pPr>
        <w:spacing w:line="256" w:lineRule="auto"/>
        <w:rPr>
          <w:rFonts w:cs="Times New Roman"/>
          <w:i/>
          <w:szCs w:val="24"/>
        </w:rPr>
      </w:pPr>
      <w:r w:rsidRPr="00692110">
        <w:rPr>
          <w:rFonts w:cs="Times New Roman"/>
          <w:szCs w:val="24"/>
        </w:rPr>
        <w:t>The Regulations pursue the legitimate objective of regulating the import and export of significant cultural material. To the extent that they may limit the right of</w:t>
      </w:r>
      <w:r w:rsidR="00BA2A4A">
        <w:rPr>
          <w:rFonts w:cs="Times New Roman"/>
          <w:szCs w:val="24"/>
        </w:rPr>
        <w:t xml:space="preserve"> people to enjoy and benefit fro</w:t>
      </w:r>
      <w:r w:rsidRPr="00692110">
        <w:rPr>
          <w:rFonts w:cs="Times New Roman"/>
          <w:szCs w:val="24"/>
        </w:rPr>
        <w:t xml:space="preserve">m cultural property that they own as a result of the regulation of those objects, those limitations are reasonable, necessary and proportionate and the limitations are not </w:t>
      </w:r>
      <w:r w:rsidRPr="00C019B7">
        <w:rPr>
          <w:rFonts w:cs="Times New Roman"/>
          <w:szCs w:val="24"/>
        </w:rPr>
        <w:t>arbitrary. Decisions made by the Minister</w:t>
      </w:r>
      <w:r w:rsidR="00196C55" w:rsidRPr="00C019B7">
        <w:rPr>
          <w:rFonts w:cs="Times New Roman"/>
          <w:szCs w:val="24"/>
        </w:rPr>
        <w:t xml:space="preserve"> to refuse to grant an export permit</w:t>
      </w:r>
      <w:r w:rsidRPr="00C019B7">
        <w:rPr>
          <w:rFonts w:cs="Times New Roman"/>
          <w:szCs w:val="24"/>
        </w:rPr>
        <w:t xml:space="preserve"> are </w:t>
      </w:r>
      <w:r w:rsidR="00196C55" w:rsidRPr="00C019B7">
        <w:rPr>
          <w:rFonts w:cs="Times New Roman"/>
          <w:szCs w:val="24"/>
        </w:rPr>
        <w:t xml:space="preserve">merits </w:t>
      </w:r>
      <w:r w:rsidRPr="00C019B7">
        <w:rPr>
          <w:rFonts w:cs="Times New Roman"/>
          <w:szCs w:val="24"/>
        </w:rPr>
        <w:t>reviewable, and there is sufficient flexibility to treat different cases on their individual merit.</w:t>
      </w:r>
    </w:p>
    <w:p w14:paraId="1A0B96FD" w14:textId="0013008C" w:rsidR="00EF1BB0" w:rsidRPr="008F2240" w:rsidRDefault="00F64606" w:rsidP="008F2240">
      <w:pPr>
        <w:rPr>
          <w:u w:val="single"/>
        </w:rPr>
      </w:pPr>
      <w:r w:rsidRPr="008F2240">
        <w:rPr>
          <w:u w:val="single"/>
        </w:rPr>
        <w:t>The right to self-determination</w:t>
      </w:r>
    </w:p>
    <w:p w14:paraId="0F861171" w14:textId="5224F8FA" w:rsidR="00265189" w:rsidRDefault="003009B0" w:rsidP="001E6C2F">
      <w:pPr>
        <w:spacing w:line="256" w:lineRule="auto"/>
        <w:rPr>
          <w:rFonts w:cs="Times New Roman"/>
          <w:szCs w:val="24"/>
        </w:rPr>
      </w:pPr>
      <w:r w:rsidRPr="00932222">
        <w:rPr>
          <w:rFonts w:cs="Times New Roman"/>
          <w:szCs w:val="24"/>
        </w:rPr>
        <w:t>The</w:t>
      </w:r>
      <w:r w:rsidR="00315AB0">
        <w:rPr>
          <w:rFonts w:cs="Times New Roman"/>
          <w:szCs w:val="24"/>
        </w:rPr>
        <w:t xml:space="preserve"> Regulations engage</w:t>
      </w:r>
      <w:r w:rsidRPr="00932222">
        <w:rPr>
          <w:rFonts w:cs="Times New Roman"/>
          <w:szCs w:val="24"/>
        </w:rPr>
        <w:t xml:space="preserve"> the right to self-determination to the extent that they </w:t>
      </w:r>
      <w:r w:rsidR="0072471B">
        <w:rPr>
          <w:rFonts w:cs="Times New Roman"/>
          <w:szCs w:val="24"/>
        </w:rPr>
        <w:t>allow</w:t>
      </w:r>
      <w:r w:rsidRPr="00932222">
        <w:rPr>
          <w:rFonts w:cs="Times New Roman"/>
          <w:szCs w:val="24"/>
        </w:rPr>
        <w:t xml:space="preserve"> Australian Aboriginal and Torres Strait Islander </w:t>
      </w:r>
      <w:r w:rsidR="00CA4736">
        <w:rPr>
          <w:rFonts w:cs="Times New Roman"/>
          <w:szCs w:val="24"/>
        </w:rPr>
        <w:t xml:space="preserve">people </w:t>
      </w:r>
      <w:r w:rsidRPr="00932222">
        <w:rPr>
          <w:rFonts w:cs="Times New Roman"/>
          <w:szCs w:val="24"/>
        </w:rPr>
        <w:t>to</w:t>
      </w:r>
      <w:r w:rsidR="0072471B">
        <w:rPr>
          <w:rFonts w:cs="Times New Roman"/>
          <w:szCs w:val="24"/>
        </w:rPr>
        <w:t xml:space="preserve"> freely</w:t>
      </w:r>
      <w:r w:rsidRPr="00932222">
        <w:rPr>
          <w:rFonts w:cs="Times New Roman"/>
          <w:szCs w:val="24"/>
        </w:rPr>
        <w:t xml:space="preserve"> pu</w:t>
      </w:r>
      <w:r w:rsidR="00932222" w:rsidRPr="00932222">
        <w:rPr>
          <w:rFonts w:cs="Times New Roman"/>
          <w:szCs w:val="24"/>
        </w:rPr>
        <w:t>rsue their cultural development.</w:t>
      </w:r>
    </w:p>
    <w:p w14:paraId="3DBF93F9" w14:textId="6E9AC5D3" w:rsidR="009B3A22" w:rsidRDefault="009B3A22" w:rsidP="001E6C2F">
      <w:pPr>
        <w:spacing w:line="256" w:lineRule="auto"/>
        <w:rPr>
          <w:rFonts w:cs="Times New Roman"/>
          <w:szCs w:val="24"/>
        </w:rPr>
      </w:pPr>
      <w:r>
        <w:rPr>
          <w:rFonts w:cs="Times New Roman"/>
          <w:szCs w:val="24"/>
        </w:rPr>
        <w:t>This is done in a manner which both promotes this right, by preventing the unrestricted export of Aboriginal and Torres Strait Islander heritage; but also limits this right as these export regulations also apply to Aboriginal and T</w:t>
      </w:r>
      <w:r w:rsidR="00CA4736">
        <w:rPr>
          <w:rFonts w:cs="Times New Roman"/>
          <w:szCs w:val="24"/>
        </w:rPr>
        <w:t xml:space="preserve">orres Strait Islander people. </w:t>
      </w:r>
      <w:r>
        <w:rPr>
          <w:rFonts w:cs="Times New Roman"/>
          <w:szCs w:val="24"/>
        </w:rPr>
        <w:t xml:space="preserve">This is done in a </w:t>
      </w:r>
      <w:r w:rsidR="00DA7F20">
        <w:rPr>
          <w:rFonts w:cs="Times New Roman"/>
          <w:szCs w:val="24"/>
        </w:rPr>
        <w:t xml:space="preserve">reasonable and </w:t>
      </w:r>
      <w:r>
        <w:rPr>
          <w:rFonts w:cs="Times New Roman"/>
          <w:szCs w:val="24"/>
        </w:rPr>
        <w:t>proportionate manner</w:t>
      </w:r>
      <w:r w:rsidR="00DA7F20">
        <w:rPr>
          <w:rFonts w:cs="Times New Roman"/>
          <w:szCs w:val="24"/>
        </w:rPr>
        <w:t xml:space="preserve"> to ensure the export of this significant material is regulated</w:t>
      </w:r>
      <w:r w:rsidR="00657999">
        <w:rPr>
          <w:rFonts w:cs="Times New Roman"/>
          <w:szCs w:val="24"/>
        </w:rPr>
        <w:t>.</w:t>
      </w:r>
      <w:r w:rsidR="00CA4736">
        <w:rPr>
          <w:rFonts w:cs="Times New Roman"/>
          <w:szCs w:val="24"/>
        </w:rPr>
        <w:t xml:space="preserve"> </w:t>
      </w:r>
      <w:r w:rsidR="00DA7F20">
        <w:rPr>
          <w:rFonts w:cs="Times New Roman"/>
          <w:szCs w:val="24"/>
        </w:rPr>
        <w:t xml:space="preserve">Recommendations as to export are made by </w:t>
      </w:r>
      <w:r w:rsidR="00DA7F20">
        <w:rPr>
          <w:rFonts w:cs="Times New Roman"/>
          <w:szCs w:val="24"/>
        </w:rPr>
        <w:lastRenderedPageBreak/>
        <w:t xml:space="preserve">the National Cultural Heritage Committee, which includes an identified position for an Aboriginal or </w:t>
      </w:r>
      <w:r w:rsidR="00CA4736">
        <w:rPr>
          <w:rFonts w:cs="Times New Roman"/>
          <w:szCs w:val="24"/>
        </w:rPr>
        <w:t>Torres Strait Islander person.</w:t>
      </w:r>
    </w:p>
    <w:p w14:paraId="60379223" w14:textId="28C38768" w:rsidR="009B3A22" w:rsidRDefault="00CA4736" w:rsidP="006259F4">
      <w:pPr>
        <w:rPr>
          <w:rFonts w:cs="Times New Roman"/>
          <w:szCs w:val="24"/>
        </w:rPr>
      </w:pPr>
      <w:r>
        <w:rPr>
          <w:rFonts w:cs="Times New Roman"/>
          <w:szCs w:val="24"/>
        </w:rPr>
        <w:t>Part 1—</w:t>
      </w:r>
      <w:r w:rsidR="009B3A22">
        <w:rPr>
          <w:rFonts w:cs="Times New Roman"/>
          <w:szCs w:val="24"/>
        </w:rPr>
        <w:t xml:space="preserve">Objects of Australian Aboriginal and Torres Strait Islander heritage </w:t>
      </w:r>
      <w:r w:rsidR="00657999">
        <w:rPr>
          <w:rFonts w:cs="Times New Roman"/>
          <w:szCs w:val="24"/>
        </w:rPr>
        <w:t>of the National Cultural Heritage Control List prescribes categories of objects of Aboriginal and To</w:t>
      </w:r>
      <w:r>
        <w:rPr>
          <w:rFonts w:cs="Times New Roman"/>
          <w:szCs w:val="24"/>
        </w:rPr>
        <w:t xml:space="preserve">rres Strait Islander heritage. </w:t>
      </w:r>
      <w:r w:rsidR="00657999">
        <w:rPr>
          <w:rFonts w:cs="Times New Roman"/>
          <w:szCs w:val="24"/>
        </w:rPr>
        <w:t>These Regulations conti</w:t>
      </w:r>
      <w:r w:rsidR="00024B3A">
        <w:rPr>
          <w:rFonts w:cs="Times New Roman"/>
          <w:szCs w:val="24"/>
        </w:rPr>
        <w:t>nue the protections of the 1987 </w:t>
      </w:r>
      <w:r w:rsidR="00657999">
        <w:rPr>
          <w:rFonts w:cs="Times New Roman"/>
          <w:szCs w:val="24"/>
        </w:rPr>
        <w:t>Regulations which define a number of subcategories, inc</w:t>
      </w:r>
      <w:r w:rsidR="00DA7F20">
        <w:rPr>
          <w:rFonts w:cs="Times New Roman"/>
          <w:szCs w:val="24"/>
        </w:rPr>
        <w:t>luding Indigenous human remains and secret sacred objects,</w:t>
      </w:r>
      <w:r>
        <w:rPr>
          <w:rFonts w:cs="Times New Roman"/>
          <w:szCs w:val="24"/>
        </w:rPr>
        <w:t xml:space="preserve"> as Class A objects. T</w:t>
      </w:r>
      <w:r w:rsidR="00657999">
        <w:rPr>
          <w:rFonts w:cs="Times New Roman"/>
          <w:szCs w:val="24"/>
        </w:rPr>
        <w:t xml:space="preserve">his is consistent with the Australian Government’s </w:t>
      </w:r>
      <w:r w:rsidR="00DA7F20">
        <w:rPr>
          <w:rFonts w:cs="Times New Roman"/>
          <w:szCs w:val="24"/>
        </w:rPr>
        <w:t>Indigenous Repatriation Policy, which seeks to return ancestral remains to Aboriginal and Torre</w:t>
      </w:r>
      <w:r>
        <w:rPr>
          <w:rFonts w:cs="Times New Roman"/>
          <w:szCs w:val="24"/>
        </w:rPr>
        <w:t>s Strait Islander communities.</w:t>
      </w:r>
    </w:p>
    <w:p w14:paraId="5989447F" w14:textId="4EEE2A1F" w:rsidR="006259F4" w:rsidRDefault="006259F4" w:rsidP="006259F4">
      <w:pPr>
        <w:rPr>
          <w:rFonts w:cs="Times New Roman"/>
          <w:szCs w:val="24"/>
        </w:rPr>
      </w:pPr>
      <w:r>
        <w:rPr>
          <w:rFonts w:cs="Times New Roman"/>
          <w:szCs w:val="24"/>
        </w:rPr>
        <w:t>Part</w:t>
      </w:r>
      <w:r w:rsidRPr="000116A5">
        <w:rPr>
          <w:rFonts w:cs="Times New Roman"/>
          <w:szCs w:val="24"/>
          <w:lang w:val="en"/>
        </w:rPr>
        <w:t> </w:t>
      </w:r>
      <w:r>
        <w:rPr>
          <w:rFonts w:cs="Times New Roman"/>
          <w:szCs w:val="24"/>
        </w:rPr>
        <w:t xml:space="preserve">5—Objects of Fine or Decorative Art of the National Cultural Heritage Control List prescribes the category of objects of fine and decorative art. Under the 1987 Regulations, whether objects were within the category was determined by medium, price, age and, in the case of paintings (which is the most commonly encountered media category), whether they were made by artists identifying as Australian Aboriginal or Torres Strait Islander. A single age and monetary threshold for these works is unnecessarily broad, and results in an unintended restriction on the secondary market value of works by Aboriginal and Torres Strait Islander artists. This </w:t>
      </w:r>
      <w:r w:rsidR="00287B8C">
        <w:rPr>
          <w:rFonts w:cs="Times New Roman"/>
          <w:szCs w:val="24"/>
        </w:rPr>
        <w:t>remake</w:t>
      </w:r>
      <w:r>
        <w:rPr>
          <w:rFonts w:cs="Times New Roman"/>
          <w:szCs w:val="24"/>
        </w:rPr>
        <w:t xml:space="preserve"> of the Regulations aims to redress the balance.</w:t>
      </w:r>
    </w:p>
    <w:p w14:paraId="0215A81D" w14:textId="1E98D9CE" w:rsidR="006259F4" w:rsidRDefault="006259F4" w:rsidP="006259F4">
      <w:pPr>
        <w:rPr>
          <w:rFonts w:cs="Times New Roman"/>
          <w:szCs w:val="24"/>
        </w:rPr>
      </w:pPr>
      <w:r>
        <w:rPr>
          <w:rFonts w:cs="Times New Roman"/>
          <w:szCs w:val="24"/>
        </w:rPr>
        <w:t xml:space="preserve">The Regulations therefore include a number of more specific categories that target specific regional styles, media and historical periods, each with their own age and monetary thresholds. These categories were independently developed </w:t>
      </w:r>
      <w:r w:rsidR="001E0BBE">
        <w:rPr>
          <w:rFonts w:cs="Times New Roman"/>
          <w:szCs w:val="24"/>
        </w:rPr>
        <w:t>during the Simpson Review</w:t>
      </w:r>
      <w:r>
        <w:rPr>
          <w:rFonts w:cs="Times New Roman"/>
          <w:szCs w:val="24"/>
        </w:rPr>
        <w:t xml:space="preserve">, with reference to auction and art market results for these different styles and periods. The expected result of the new categorisation will be that significant works are more clearly targeted, and fewer works of a lesser significance are required to be assessed. This will reduce the overregulation of Aboriginal and Torres Strait Islander artists’ works on the secondary market, </w:t>
      </w:r>
      <w:r w:rsidR="008C1BDD">
        <w:rPr>
          <w:rFonts w:cs="Times New Roman"/>
          <w:szCs w:val="24"/>
        </w:rPr>
        <w:t>and provide more opportunities to market such works internationally.</w:t>
      </w:r>
    </w:p>
    <w:p w14:paraId="5717625C" w14:textId="0D78262F" w:rsidR="001C6F93" w:rsidRPr="001361FD" w:rsidRDefault="006259F4" w:rsidP="008F2240">
      <w:pPr>
        <w:rPr>
          <w:rFonts w:cs="Times New Roman"/>
          <w:szCs w:val="24"/>
        </w:rPr>
      </w:pPr>
      <w:r>
        <w:rPr>
          <w:rFonts w:cs="Times New Roman"/>
          <w:szCs w:val="24"/>
        </w:rPr>
        <w:t>Some other</w:t>
      </w:r>
      <w:r w:rsidRPr="00242473">
        <w:rPr>
          <w:rFonts w:cs="Times New Roman"/>
          <w:szCs w:val="24"/>
        </w:rPr>
        <w:t xml:space="preserve"> monetary value thresholds</w:t>
      </w:r>
      <w:r>
        <w:rPr>
          <w:rFonts w:cs="Times New Roman"/>
          <w:szCs w:val="24"/>
        </w:rPr>
        <w:t xml:space="preserve"> in Part 5</w:t>
      </w:r>
      <w:r w:rsidRPr="00242473">
        <w:rPr>
          <w:rFonts w:cs="Times New Roman"/>
          <w:szCs w:val="24"/>
        </w:rPr>
        <w:t xml:space="preserve"> are </w:t>
      </w:r>
      <w:r>
        <w:rPr>
          <w:rFonts w:cs="Times New Roman"/>
          <w:szCs w:val="24"/>
        </w:rPr>
        <w:t xml:space="preserve">also </w:t>
      </w:r>
      <w:r w:rsidRPr="00242473">
        <w:rPr>
          <w:rFonts w:cs="Times New Roman"/>
          <w:szCs w:val="24"/>
        </w:rPr>
        <w:t xml:space="preserve">amended to </w:t>
      </w:r>
      <w:r>
        <w:rPr>
          <w:rFonts w:cs="Times New Roman"/>
          <w:szCs w:val="24"/>
        </w:rPr>
        <w:t xml:space="preserve">better </w:t>
      </w:r>
      <w:r w:rsidRPr="00242473">
        <w:rPr>
          <w:rFonts w:cs="Times New Roman"/>
          <w:szCs w:val="24"/>
        </w:rPr>
        <w:t xml:space="preserve">reflect the current market value in Australian dollars of </w:t>
      </w:r>
      <w:r>
        <w:rPr>
          <w:rFonts w:cs="Times New Roman"/>
          <w:szCs w:val="24"/>
        </w:rPr>
        <w:t xml:space="preserve">the </w:t>
      </w:r>
      <w:r w:rsidRPr="00242473">
        <w:rPr>
          <w:rFonts w:cs="Times New Roman"/>
          <w:szCs w:val="24"/>
        </w:rPr>
        <w:t>categorised objects</w:t>
      </w:r>
      <w:r>
        <w:rPr>
          <w:rFonts w:cs="Times New Roman"/>
          <w:szCs w:val="24"/>
        </w:rPr>
        <w:t>, consistent with the Simpson Review</w:t>
      </w:r>
      <w:r w:rsidRPr="00242473">
        <w:rPr>
          <w:rFonts w:cs="Times New Roman"/>
          <w:szCs w:val="24"/>
        </w:rPr>
        <w:t>.</w:t>
      </w:r>
    </w:p>
    <w:p w14:paraId="5AB0388C" w14:textId="21B27AA2" w:rsidR="00EF1BB0" w:rsidRPr="008F2240" w:rsidRDefault="00F64606" w:rsidP="001361FD">
      <w:pPr>
        <w:keepNext/>
        <w:pageBreakBefore/>
        <w:rPr>
          <w:b/>
        </w:rPr>
      </w:pPr>
      <w:r w:rsidRPr="008F2240">
        <w:rPr>
          <w:b/>
        </w:rPr>
        <w:lastRenderedPageBreak/>
        <w:t>Conclusion</w:t>
      </w:r>
    </w:p>
    <w:p w14:paraId="1ACCB797" w14:textId="2065E925" w:rsidR="001E6C2F" w:rsidRPr="0046553E" w:rsidRDefault="00F64606" w:rsidP="001E6C2F">
      <w:pPr>
        <w:spacing w:line="256" w:lineRule="auto"/>
        <w:rPr>
          <w:b/>
          <w:szCs w:val="24"/>
        </w:rPr>
      </w:pPr>
      <w:r>
        <w:rPr>
          <w:iCs/>
          <w:szCs w:val="24"/>
          <w:shd w:val="clear" w:color="auto" w:fill="FFFFFF"/>
        </w:rPr>
        <w:t>The Regulations are compatible with human rights as they do not rai</w:t>
      </w:r>
      <w:r w:rsidR="008F2240">
        <w:rPr>
          <w:iCs/>
          <w:szCs w:val="24"/>
          <w:shd w:val="clear" w:color="auto" w:fill="FFFFFF"/>
        </w:rPr>
        <w:t>se any human rights issues.</w:t>
      </w:r>
    </w:p>
    <w:p w14:paraId="0BE08BB2" w14:textId="69EBCE44" w:rsidR="003405A9" w:rsidRPr="008F2240" w:rsidRDefault="00515D0A" w:rsidP="00AC19E0">
      <w:pPr>
        <w:keepNext/>
        <w:pageBreakBefore/>
        <w:rPr>
          <w:b/>
          <w:i/>
        </w:rPr>
      </w:pPr>
      <w:r w:rsidRPr="008F2240">
        <w:rPr>
          <w:b/>
        </w:rPr>
        <w:lastRenderedPageBreak/>
        <w:t>Notes on Clauses</w:t>
      </w:r>
    </w:p>
    <w:p w14:paraId="4A4C9E62" w14:textId="7BA3B4D5" w:rsidR="003405A9" w:rsidRPr="008F2240" w:rsidRDefault="003405A9" w:rsidP="008F2240">
      <w:pPr>
        <w:rPr>
          <w:u w:val="single"/>
        </w:rPr>
      </w:pPr>
      <w:r w:rsidRPr="008F2240">
        <w:rPr>
          <w:u w:val="single"/>
        </w:rPr>
        <w:t>Section 1 – Name</w:t>
      </w:r>
      <w:r w:rsidR="00401B42" w:rsidRPr="008F2240">
        <w:rPr>
          <w:u w:val="single"/>
        </w:rPr>
        <w:t xml:space="preserve"> of Regulations</w:t>
      </w:r>
    </w:p>
    <w:p w14:paraId="7864EBC4" w14:textId="525D3E46" w:rsidR="003405A9" w:rsidRPr="009B2CEB" w:rsidRDefault="003405A9" w:rsidP="004C2E1A">
      <w:r w:rsidRPr="003405A9">
        <w:t xml:space="preserve">This section provides that the instrument </w:t>
      </w:r>
      <w:r w:rsidRPr="009B2CEB">
        <w:t xml:space="preserve">is the </w:t>
      </w:r>
      <w:r w:rsidRPr="00AC19E0">
        <w:rPr>
          <w:i/>
        </w:rPr>
        <w:t>Protection of Movable Cultural Heritage Re</w:t>
      </w:r>
      <w:r w:rsidR="003502A4" w:rsidRPr="00AC19E0">
        <w:rPr>
          <w:i/>
        </w:rPr>
        <w:t>gulations 2018</w:t>
      </w:r>
      <w:r w:rsidRPr="009B2CEB">
        <w:t>.</w:t>
      </w:r>
    </w:p>
    <w:p w14:paraId="52B5BA0F" w14:textId="0DA59D2E" w:rsidR="003405A9" w:rsidRPr="008F2240" w:rsidRDefault="003405A9" w:rsidP="008F2240">
      <w:pPr>
        <w:rPr>
          <w:u w:val="single"/>
        </w:rPr>
      </w:pPr>
      <w:r w:rsidRPr="008F2240">
        <w:rPr>
          <w:u w:val="single"/>
        </w:rPr>
        <w:t>Section 2 – Commencement</w:t>
      </w:r>
    </w:p>
    <w:p w14:paraId="0FC0B6BF" w14:textId="2EACA95B" w:rsidR="003405A9" w:rsidRPr="003502A4" w:rsidRDefault="003405A9" w:rsidP="004C2E1A">
      <w:r w:rsidRPr="003502A4">
        <w:t>This section provides that the Regulations commence on the day afte</w:t>
      </w:r>
      <w:r w:rsidR="007679AF">
        <w:t>r the instrument is registered on the Federal Register of Legislation.</w:t>
      </w:r>
    </w:p>
    <w:p w14:paraId="6F2F71C2" w14:textId="258BAADB" w:rsidR="003405A9" w:rsidRPr="008F2240" w:rsidRDefault="003405A9" w:rsidP="008F2240">
      <w:pPr>
        <w:rPr>
          <w:u w:val="single"/>
        </w:rPr>
      </w:pPr>
      <w:r w:rsidRPr="008F2240">
        <w:rPr>
          <w:u w:val="single"/>
        </w:rPr>
        <w:t>Section 3 – Authority</w:t>
      </w:r>
    </w:p>
    <w:p w14:paraId="59974A3B" w14:textId="7A264F6C" w:rsidR="003405A9" w:rsidRPr="003502A4" w:rsidRDefault="003405A9" w:rsidP="004C2E1A">
      <w:r w:rsidRPr="003502A4">
        <w:t xml:space="preserve">This section provides that the Regulations are made under the </w:t>
      </w:r>
      <w:r w:rsidRPr="003502A4">
        <w:rPr>
          <w:i/>
        </w:rPr>
        <w:t>Protection o</w:t>
      </w:r>
      <w:r w:rsidR="00533015">
        <w:rPr>
          <w:i/>
        </w:rPr>
        <w:t>f Movable Cultural Heritage Act</w:t>
      </w:r>
      <w:r w:rsidR="00533015" w:rsidRPr="000116A5">
        <w:rPr>
          <w:lang w:val="en"/>
        </w:rPr>
        <w:t> </w:t>
      </w:r>
      <w:r w:rsidRPr="003502A4">
        <w:rPr>
          <w:i/>
        </w:rPr>
        <w:t>1986</w:t>
      </w:r>
      <w:r w:rsidRPr="003502A4">
        <w:t>.</w:t>
      </w:r>
    </w:p>
    <w:p w14:paraId="192F54CD" w14:textId="47900330" w:rsidR="00CE2DF3" w:rsidRPr="008F2240" w:rsidRDefault="003502A4" w:rsidP="008F2240">
      <w:pPr>
        <w:rPr>
          <w:u w:val="single"/>
        </w:rPr>
      </w:pPr>
      <w:r w:rsidRPr="008F2240">
        <w:rPr>
          <w:u w:val="single"/>
        </w:rPr>
        <w:t>Section 4</w:t>
      </w:r>
      <w:r w:rsidR="00CE2DF3" w:rsidRPr="008F2240">
        <w:rPr>
          <w:u w:val="single"/>
        </w:rPr>
        <w:t xml:space="preserve"> – </w:t>
      </w:r>
      <w:r w:rsidRPr="008F2240">
        <w:rPr>
          <w:u w:val="single"/>
        </w:rPr>
        <w:t>Schedule 2</w:t>
      </w:r>
    </w:p>
    <w:p w14:paraId="1C7E2892" w14:textId="2092306D" w:rsidR="00CE2DF3" w:rsidRPr="003502A4" w:rsidRDefault="00CE2DF3" w:rsidP="004C2E1A">
      <w:r w:rsidRPr="003502A4">
        <w:t>This section provides that each instrument</w:t>
      </w:r>
      <w:r w:rsidR="00533015">
        <w:t xml:space="preserve"> that is specified in Schedule</w:t>
      </w:r>
      <w:r w:rsidR="00533015" w:rsidRPr="000116A5">
        <w:rPr>
          <w:lang w:val="en"/>
        </w:rPr>
        <w:t> </w:t>
      </w:r>
      <w:r w:rsidR="003502A4" w:rsidRPr="003502A4">
        <w:t>2</w:t>
      </w:r>
      <w:r w:rsidRPr="003502A4">
        <w:t xml:space="preserve"> to the Regulations is amended or repealed</w:t>
      </w:r>
      <w:r w:rsidR="003502A4" w:rsidRPr="003502A4">
        <w:t xml:space="preserve"> as set out in the applicable items</w:t>
      </w:r>
      <w:r w:rsidRPr="003502A4">
        <w:t xml:space="preserve"> in that Schedule, and any other item in that Schedule has effect according to its terms.</w:t>
      </w:r>
    </w:p>
    <w:p w14:paraId="447A3710" w14:textId="7ED7FE26" w:rsidR="00CE2DF3" w:rsidRPr="008F2240" w:rsidRDefault="003502A4" w:rsidP="008F2240">
      <w:pPr>
        <w:rPr>
          <w:u w:val="single"/>
        </w:rPr>
      </w:pPr>
      <w:r w:rsidRPr="008F2240">
        <w:rPr>
          <w:u w:val="single"/>
        </w:rPr>
        <w:t>Section 5</w:t>
      </w:r>
      <w:r w:rsidR="00F13DFF" w:rsidRPr="008F2240">
        <w:rPr>
          <w:u w:val="single"/>
        </w:rPr>
        <w:t xml:space="preserve"> – Definitions</w:t>
      </w:r>
    </w:p>
    <w:p w14:paraId="06F8914F" w14:textId="4759C6F4" w:rsidR="003405A9" w:rsidRDefault="00881B9C" w:rsidP="004C2E1A">
      <w:r>
        <w:t>Subsection </w:t>
      </w:r>
      <w:r w:rsidR="00C80A37">
        <w:t>5(1)</w:t>
      </w:r>
      <w:r w:rsidR="00CE2DF3" w:rsidRPr="003502A4">
        <w:t xml:space="preserve"> provides definitions relevant to the operation of the Regulations</w:t>
      </w:r>
      <w:r w:rsidR="004C2E1A">
        <w:t>.</w:t>
      </w:r>
    </w:p>
    <w:p w14:paraId="64557CA4" w14:textId="33E62983" w:rsidR="00443666" w:rsidRDefault="00443666" w:rsidP="004C2E1A">
      <w:r>
        <w:rPr>
          <w:i/>
        </w:rPr>
        <w:t xml:space="preserve">Act </w:t>
      </w:r>
      <w:r>
        <w:t xml:space="preserve">is defined to mean the </w:t>
      </w:r>
      <w:r>
        <w:rPr>
          <w:i/>
        </w:rPr>
        <w:t>Protection o</w:t>
      </w:r>
      <w:r w:rsidR="00881B9C">
        <w:rPr>
          <w:i/>
        </w:rPr>
        <w:t>f Movable Cultural Heritage Act </w:t>
      </w:r>
      <w:r>
        <w:rPr>
          <w:i/>
        </w:rPr>
        <w:t>1986</w:t>
      </w:r>
      <w:r>
        <w:t>.</w:t>
      </w:r>
    </w:p>
    <w:p w14:paraId="07E27069" w14:textId="2B649EED" w:rsidR="00443666" w:rsidRDefault="00443666" w:rsidP="004C2E1A">
      <w:r>
        <w:rPr>
          <w:i/>
        </w:rPr>
        <w:t>significance to Australia</w:t>
      </w:r>
      <w:r>
        <w:t xml:space="preserve"> for an object, means that the object is of Australian origin, has substantial Australian content, or has been used in Australia, and:</w:t>
      </w:r>
    </w:p>
    <w:p w14:paraId="4C3F1710" w14:textId="2B8DE75C" w:rsidR="00443666" w:rsidRDefault="00443666" w:rsidP="005B040B">
      <w:pPr>
        <w:pStyle w:val="ListParagraph"/>
        <w:numPr>
          <w:ilvl w:val="0"/>
          <w:numId w:val="14"/>
        </w:numPr>
        <w:spacing w:line="240" w:lineRule="auto"/>
        <w:ind w:left="714" w:hanging="357"/>
      </w:pPr>
      <w:r>
        <w:t>is associated with a person, activity, event, place or business enterprise</w:t>
      </w:r>
      <w:r w:rsidR="00D20E7F">
        <w:t>,</w:t>
      </w:r>
      <w:r>
        <w:t xml:space="preserve"> notable in history; or</w:t>
      </w:r>
    </w:p>
    <w:p w14:paraId="29D23F55" w14:textId="7B336079" w:rsidR="00443666" w:rsidRDefault="00443666" w:rsidP="005B040B">
      <w:pPr>
        <w:pStyle w:val="ListParagraph"/>
        <w:numPr>
          <w:ilvl w:val="0"/>
          <w:numId w:val="14"/>
        </w:numPr>
        <w:spacing w:line="240" w:lineRule="auto"/>
        <w:ind w:left="714" w:hanging="357"/>
      </w:pPr>
      <w:r>
        <w:t>has received a national or international awar</w:t>
      </w:r>
      <w:r w:rsidR="00957F41">
        <w:t>d</w:t>
      </w:r>
      <w:r>
        <w:t xml:space="preserve"> or has significant association with an international event; or</w:t>
      </w:r>
    </w:p>
    <w:p w14:paraId="035796D0" w14:textId="35BC8041" w:rsidR="00443666" w:rsidRDefault="00443666" w:rsidP="005B040B">
      <w:pPr>
        <w:pStyle w:val="ListParagraph"/>
        <w:numPr>
          <w:ilvl w:val="0"/>
          <w:numId w:val="14"/>
        </w:numPr>
        <w:spacing w:line="240" w:lineRule="auto"/>
        <w:ind w:left="714" w:hanging="357"/>
      </w:pPr>
      <w:r>
        <w:t>represents significant technological or social progress for its time; or</w:t>
      </w:r>
    </w:p>
    <w:p w14:paraId="742B21CC" w14:textId="57646330" w:rsidR="00443666" w:rsidRDefault="00443666" w:rsidP="005B040B">
      <w:pPr>
        <w:pStyle w:val="ListParagraph"/>
        <w:numPr>
          <w:ilvl w:val="0"/>
          <w:numId w:val="14"/>
        </w:numPr>
        <w:spacing w:line="240" w:lineRule="auto"/>
        <w:ind w:left="714" w:hanging="357"/>
      </w:pPr>
      <w:r>
        <w:t>is an object of scientific or archaeological interest.</w:t>
      </w:r>
    </w:p>
    <w:p w14:paraId="413E063F" w14:textId="3CE1A315" w:rsidR="00443666" w:rsidRDefault="00443666" w:rsidP="00443666">
      <w:r>
        <w:t>This definition is used</w:t>
      </w:r>
      <w:r w:rsidR="00C80A37">
        <w:t xml:space="preserve"> in determining whether particular objects will be taken to be part of certain categories of objects prescribed to be </w:t>
      </w:r>
      <w:r w:rsidR="00881B9C">
        <w:t>on the Control List in Schedule </w:t>
      </w:r>
      <w:r w:rsidR="00957F41">
        <w:t xml:space="preserve">1 </w:t>
      </w:r>
      <w:r w:rsidR="00ED69D3">
        <w:t xml:space="preserve">to the Regulations </w:t>
      </w:r>
      <w:r w:rsidR="00881B9C">
        <w:t>for the purposes of subsection </w:t>
      </w:r>
      <w:r w:rsidR="00C80A37">
        <w:t>8(1) of the Act.</w:t>
      </w:r>
    </w:p>
    <w:p w14:paraId="365766DB" w14:textId="4030B530" w:rsidR="00C80A37" w:rsidRDefault="00C80A37" w:rsidP="00443666">
      <w:r>
        <w:t>S</w:t>
      </w:r>
      <w:r w:rsidR="00881B9C">
        <w:t>ubsection </w:t>
      </w:r>
      <w:r>
        <w:t>5(2) provides that if an object of</w:t>
      </w:r>
      <w:r w:rsidR="00881B9C">
        <w:t xml:space="preserve"> the kind mentioned in Schedule </w:t>
      </w:r>
      <w:r>
        <w:t xml:space="preserve">1 has been repaired, restored or reassembled, the age of the object is not affected by that action for any provision of </w:t>
      </w:r>
      <w:r w:rsidR="00881B9C">
        <w:t>Schedule </w:t>
      </w:r>
      <w:r>
        <w:t xml:space="preserve">1 unless the action has substantially modified the object. Because certain categories of objects prescribed to be </w:t>
      </w:r>
      <w:r w:rsidR="00881B9C">
        <w:t xml:space="preserve">on the Control List </w:t>
      </w:r>
      <w:r w:rsidR="00881B9C">
        <w:lastRenderedPageBreak/>
        <w:t>in Schedule </w:t>
      </w:r>
      <w:r>
        <w:t xml:space="preserve">1 are defined by criteria which include their age, this is intended to clarify that certain actions do not have an effect on what can be taken to be the age of the object, unless the object </w:t>
      </w:r>
      <w:r w:rsidR="0067401E">
        <w:t>h</w:t>
      </w:r>
      <w:r>
        <w:t>as been substantially modified as a result.</w:t>
      </w:r>
    </w:p>
    <w:p w14:paraId="27E2EE1F" w14:textId="63F1A760" w:rsidR="003D0644" w:rsidRPr="003D0644" w:rsidRDefault="003D0644" w:rsidP="00443666">
      <w:r>
        <w:t>Other terms used in the Regulation</w:t>
      </w:r>
      <w:r w:rsidR="006D3467">
        <w:t>s</w:t>
      </w:r>
      <w:r>
        <w:t xml:space="preserve"> that are defined in the Act will have the same meaning as in the Act (subject to any contrary intent</w:t>
      </w:r>
      <w:r w:rsidR="00881B9C">
        <w:t>ion) by operation of subsection </w:t>
      </w:r>
      <w:r>
        <w:t xml:space="preserve">13(1) of the </w:t>
      </w:r>
      <w:r w:rsidR="00881B9C">
        <w:rPr>
          <w:i/>
        </w:rPr>
        <w:t>Legislation Act </w:t>
      </w:r>
      <w:r>
        <w:rPr>
          <w:i/>
        </w:rPr>
        <w:t>2003</w:t>
      </w:r>
      <w:r>
        <w:t>. One such term which has the meaning set out in the Act is ‘principal collecting inst</w:t>
      </w:r>
      <w:r w:rsidR="00881B9C">
        <w:t>itution’, which is used in Part </w:t>
      </w:r>
      <w:r>
        <w:t>7 of the Cont</w:t>
      </w:r>
      <w:r w:rsidR="00881B9C">
        <w:t>rol List prescribed in Schedule </w:t>
      </w:r>
      <w:r>
        <w:t>1.</w:t>
      </w:r>
    </w:p>
    <w:p w14:paraId="40BAA6FC" w14:textId="6FE00F9C" w:rsidR="003405A9" w:rsidRPr="008F2240" w:rsidRDefault="003405A9" w:rsidP="008F2240">
      <w:pPr>
        <w:rPr>
          <w:u w:val="single"/>
        </w:rPr>
      </w:pPr>
      <w:r w:rsidRPr="008F2240">
        <w:rPr>
          <w:u w:val="single"/>
        </w:rPr>
        <w:t>S</w:t>
      </w:r>
      <w:r w:rsidR="003502A4" w:rsidRPr="008F2240">
        <w:rPr>
          <w:u w:val="single"/>
        </w:rPr>
        <w:t xml:space="preserve">ection 6 – </w:t>
      </w:r>
      <w:r w:rsidR="00AD751A" w:rsidRPr="008F2240">
        <w:rPr>
          <w:u w:val="single"/>
        </w:rPr>
        <w:t>Categories of objects that are the movable cultural heritage of Australia</w:t>
      </w:r>
    </w:p>
    <w:p w14:paraId="5AD20976" w14:textId="5B77CA72" w:rsidR="00C80A37" w:rsidRDefault="00C80A37" w:rsidP="0067401E">
      <w:pPr>
        <w:spacing w:before="240"/>
      </w:pPr>
      <w:r>
        <w:t>S</w:t>
      </w:r>
      <w:r w:rsidR="00881B9C">
        <w:t>ubsection </w:t>
      </w:r>
      <w:r>
        <w:t>7(1) of the Act provi</w:t>
      </w:r>
      <w:r w:rsidR="00881B9C">
        <w:t>des that a reference in section </w:t>
      </w:r>
      <w:r>
        <w:t>8 of the Act to the movable cultural heritage of Australia is a reference to objects that are of importance to Australia</w:t>
      </w:r>
      <w:r w:rsidR="00E33351">
        <w:t>, or a particular part of Australia,</w:t>
      </w:r>
      <w:r>
        <w:t xml:space="preserve"> for one of a number of specified reasons, </w:t>
      </w:r>
      <w:r w:rsidR="00E33351">
        <w:t>and are</w:t>
      </w:r>
      <w:r>
        <w:t xml:space="preserve"> objects falling within categories listed in paragraphs (a)-(j</w:t>
      </w:r>
      <w:r w:rsidR="00881B9C">
        <w:t>) of that subsection. Paragraph </w:t>
      </w:r>
      <w:r>
        <w:t>7(1)(j) refers to any other prescribed categories.</w:t>
      </w:r>
    </w:p>
    <w:p w14:paraId="10EE93CB" w14:textId="30FF18CB" w:rsidR="00C80A37" w:rsidRDefault="00AD751A" w:rsidP="004C2E1A">
      <w:r w:rsidRPr="00AD751A">
        <w:t xml:space="preserve">This section </w:t>
      </w:r>
      <w:r w:rsidR="00C80A37">
        <w:t>provides that</w:t>
      </w:r>
      <w:r w:rsidR="00881B9C">
        <w:t>, for the purposes of paragraph </w:t>
      </w:r>
      <w:r w:rsidR="00C80A37">
        <w:t>7(1)(j) of the Act, the following categories are prescribed:</w:t>
      </w:r>
    </w:p>
    <w:p w14:paraId="3145A4E2" w14:textId="77777777" w:rsidR="00C80A37" w:rsidRDefault="00C80A37" w:rsidP="005B040B">
      <w:pPr>
        <w:pStyle w:val="ListParagraph"/>
        <w:numPr>
          <w:ilvl w:val="0"/>
          <w:numId w:val="15"/>
        </w:numPr>
        <w:spacing w:line="240" w:lineRule="auto"/>
        <w:ind w:left="714" w:hanging="357"/>
      </w:pPr>
      <w:r>
        <w:t>archaeological objects of non-Australian origin;</w:t>
      </w:r>
    </w:p>
    <w:p w14:paraId="37796CDA" w14:textId="445B20FF" w:rsidR="00C80A37" w:rsidRDefault="00C80A37" w:rsidP="005B040B">
      <w:pPr>
        <w:pStyle w:val="ListParagraph"/>
        <w:numPr>
          <w:ilvl w:val="0"/>
          <w:numId w:val="15"/>
        </w:numPr>
        <w:spacing w:line="240" w:lineRule="auto"/>
        <w:ind w:left="714" w:hanging="357"/>
      </w:pPr>
      <w:r>
        <w:t>natural science objects</w:t>
      </w:r>
      <w:r w:rsidR="00F26177">
        <w:t>;</w:t>
      </w:r>
    </w:p>
    <w:p w14:paraId="7FC3F1D7" w14:textId="77777777" w:rsidR="00C80A37" w:rsidRDefault="00C80A37" w:rsidP="005B040B">
      <w:pPr>
        <w:pStyle w:val="ListParagraph"/>
        <w:numPr>
          <w:ilvl w:val="0"/>
          <w:numId w:val="15"/>
        </w:numPr>
        <w:spacing w:line="240" w:lineRule="auto"/>
        <w:ind w:left="714" w:hanging="357"/>
      </w:pPr>
      <w:r>
        <w:t>numismatic objects;</w:t>
      </w:r>
    </w:p>
    <w:p w14:paraId="786A8727" w14:textId="77777777" w:rsidR="00C80A37" w:rsidRDefault="00C80A37" w:rsidP="005B040B">
      <w:pPr>
        <w:pStyle w:val="ListParagraph"/>
        <w:numPr>
          <w:ilvl w:val="0"/>
          <w:numId w:val="15"/>
        </w:numPr>
        <w:spacing w:line="240" w:lineRule="auto"/>
        <w:ind w:left="714" w:hanging="357"/>
      </w:pPr>
      <w:r>
        <w:t>objects of social history;</w:t>
      </w:r>
    </w:p>
    <w:p w14:paraId="5D6A8EC3" w14:textId="34AFE431" w:rsidR="00AD751A" w:rsidRPr="00AD751A" w:rsidRDefault="00C80A37" w:rsidP="005B040B">
      <w:pPr>
        <w:pStyle w:val="ListParagraph"/>
        <w:numPr>
          <w:ilvl w:val="0"/>
          <w:numId w:val="15"/>
        </w:numPr>
        <w:spacing w:line="240" w:lineRule="auto"/>
        <w:ind w:left="714" w:hanging="357"/>
      </w:pPr>
      <w:r>
        <w:t>philatelic objects</w:t>
      </w:r>
      <w:r w:rsidR="00AD751A">
        <w:t>.</w:t>
      </w:r>
    </w:p>
    <w:p w14:paraId="068C579D" w14:textId="371A8DB0" w:rsidR="003502A4" w:rsidRPr="008F2240" w:rsidRDefault="003502A4" w:rsidP="008F2240">
      <w:pPr>
        <w:rPr>
          <w:u w:val="single"/>
        </w:rPr>
      </w:pPr>
      <w:r w:rsidRPr="008F2240">
        <w:rPr>
          <w:u w:val="single"/>
        </w:rPr>
        <w:t xml:space="preserve">Section 7 – </w:t>
      </w:r>
      <w:r w:rsidR="00AD751A" w:rsidRPr="008F2240">
        <w:rPr>
          <w:u w:val="single"/>
        </w:rPr>
        <w:t>National Cultural Heritage Control List</w:t>
      </w:r>
    </w:p>
    <w:p w14:paraId="323C5AD1" w14:textId="1AB6DB8C" w:rsidR="0067401E" w:rsidRDefault="00881B9C" w:rsidP="0067401E">
      <w:pPr>
        <w:rPr>
          <w:rFonts w:cs="Times New Roman"/>
          <w:szCs w:val="24"/>
        </w:rPr>
      </w:pPr>
      <w:r>
        <w:rPr>
          <w:rFonts w:cs="Times New Roman"/>
          <w:szCs w:val="24"/>
        </w:rPr>
        <w:t>Subsection </w:t>
      </w:r>
      <w:r w:rsidR="0067401E">
        <w:rPr>
          <w:rFonts w:cs="Times New Roman"/>
          <w:szCs w:val="24"/>
        </w:rPr>
        <w:t>8(1) of the Act provides that the</w:t>
      </w:r>
      <w:r w:rsidR="0067401E" w:rsidRPr="00AC5CFF">
        <w:rPr>
          <w:rFonts w:cs="Times New Roman"/>
          <w:szCs w:val="24"/>
        </w:rPr>
        <w:t xml:space="preserve"> Regulations </w:t>
      </w:r>
      <w:r w:rsidR="0067401E">
        <w:rPr>
          <w:rFonts w:cs="Times New Roman"/>
          <w:szCs w:val="24"/>
        </w:rPr>
        <w:t xml:space="preserve">shall </w:t>
      </w:r>
      <w:r w:rsidR="0067401E" w:rsidRPr="00AC5CFF">
        <w:rPr>
          <w:rFonts w:cs="Times New Roman"/>
          <w:szCs w:val="24"/>
        </w:rPr>
        <w:t xml:space="preserve">prescribe </w:t>
      </w:r>
      <w:r w:rsidR="0067401E">
        <w:rPr>
          <w:rFonts w:cs="Times New Roman"/>
          <w:szCs w:val="24"/>
        </w:rPr>
        <w:t xml:space="preserve">a list, to be known as </w:t>
      </w:r>
      <w:r w:rsidR="0067401E" w:rsidRPr="00AC5CFF">
        <w:rPr>
          <w:rFonts w:cs="Times New Roman"/>
          <w:szCs w:val="24"/>
        </w:rPr>
        <w:t>the National Cultural Heritage Control List</w:t>
      </w:r>
      <w:r w:rsidR="0067401E">
        <w:rPr>
          <w:rFonts w:cs="Times New Roman"/>
          <w:szCs w:val="24"/>
        </w:rPr>
        <w:t xml:space="preserve"> (the Control List)</w:t>
      </w:r>
      <w:r w:rsidR="0067401E" w:rsidRPr="00AC5CFF">
        <w:rPr>
          <w:rFonts w:cs="Times New Roman"/>
          <w:szCs w:val="24"/>
        </w:rPr>
        <w:t>, which lists the categories of objects that constitute the movable cultural heritage of Australia</w:t>
      </w:r>
      <w:r w:rsidR="0067401E">
        <w:rPr>
          <w:rFonts w:cs="Times New Roman"/>
          <w:szCs w:val="24"/>
        </w:rPr>
        <w:t xml:space="preserve"> </w:t>
      </w:r>
      <w:r w:rsidR="0067401E" w:rsidRPr="00AC5CFF">
        <w:rPr>
          <w:rFonts w:cs="Times New Roman"/>
          <w:szCs w:val="24"/>
        </w:rPr>
        <w:t xml:space="preserve">and </w:t>
      </w:r>
      <w:r w:rsidR="0067401E">
        <w:rPr>
          <w:rFonts w:cs="Times New Roman"/>
          <w:szCs w:val="24"/>
        </w:rPr>
        <w:t xml:space="preserve">that </w:t>
      </w:r>
      <w:r w:rsidR="0067401E" w:rsidRPr="00AC5CFF">
        <w:rPr>
          <w:rFonts w:cs="Times New Roman"/>
          <w:szCs w:val="24"/>
        </w:rPr>
        <w:t>are subject to export control</w:t>
      </w:r>
      <w:r w:rsidR="0067401E">
        <w:rPr>
          <w:rFonts w:cs="Times New Roman"/>
          <w:szCs w:val="24"/>
        </w:rPr>
        <w:t xml:space="preserve"> under the Act</w:t>
      </w:r>
      <w:r w:rsidR="0067401E" w:rsidRPr="00AC5CFF">
        <w:rPr>
          <w:rFonts w:cs="Times New Roman"/>
          <w:szCs w:val="24"/>
        </w:rPr>
        <w:t xml:space="preserve">. </w:t>
      </w:r>
      <w:r w:rsidR="0067401E">
        <w:rPr>
          <w:rFonts w:cs="Times New Roman"/>
          <w:szCs w:val="24"/>
        </w:rPr>
        <w:t>The prescription of the Control List is fundamental to the</w:t>
      </w:r>
      <w:r w:rsidR="0067401E" w:rsidRPr="00AC5CFF">
        <w:rPr>
          <w:rFonts w:cs="Times New Roman"/>
          <w:szCs w:val="24"/>
        </w:rPr>
        <w:t xml:space="preserve"> </w:t>
      </w:r>
      <w:r w:rsidR="0067401E">
        <w:rPr>
          <w:rFonts w:cs="Times New Roman"/>
          <w:szCs w:val="24"/>
        </w:rPr>
        <w:t xml:space="preserve">operation of </w:t>
      </w:r>
      <w:r w:rsidR="0067401E" w:rsidRPr="00AC5CFF">
        <w:rPr>
          <w:rFonts w:cs="Times New Roman"/>
          <w:szCs w:val="24"/>
        </w:rPr>
        <w:t xml:space="preserve">the provisions in the Act that </w:t>
      </w:r>
      <w:r w:rsidR="0067401E">
        <w:rPr>
          <w:rFonts w:cs="Times New Roman"/>
          <w:szCs w:val="24"/>
        </w:rPr>
        <w:t>regulate the export of movable objects of significance to Australia’s cultural heritage, as the Act does not regulate or restrict the export of Australian objects other than those prescribed on the list.</w:t>
      </w:r>
    </w:p>
    <w:p w14:paraId="35E62612" w14:textId="45D48D1E" w:rsidR="003D0644" w:rsidRDefault="003D0644" w:rsidP="0067401E">
      <w:pPr>
        <w:rPr>
          <w:rFonts w:cs="Times New Roman"/>
          <w:szCs w:val="24"/>
        </w:rPr>
      </w:pPr>
      <w:r>
        <w:rPr>
          <w:rFonts w:cs="Times New Roman"/>
          <w:szCs w:val="24"/>
        </w:rPr>
        <w:t>Section 7 of the Regulations provides that,</w:t>
      </w:r>
      <w:r w:rsidR="00881B9C">
        <w:rPr>
          <w:rFonts w:cs="Times New Roman"/>
          <w:szCs w:val="24"/>
        </w:rPr>
        <w:t xml:space="preserve"> for the purposes of subsection </w:t>
      </w:r>
      <w:r>
        <w:rPr>
          <w:rFonts w:cs="Times New Roman"/>
          <w:szCs w:val="24"/>
        </w:rPr>
        <w:t>8(1) of the Act, the list of</w:t>
      </w:r>
      <w:r w:rsidR="00881B9C">
        <w:rPr>
          <w:rFonts w:cs="Times New Roman"/>
          <w:szCs w:val="24"/>
        </w:rPr>
        <w:t xml:space="preserve"> categories set out in Schedule </w:t>
      </w:r>
      <w:r>
        <w:rPr>
          <w:rFonts w:cs="Times New Roman"/>
          <w:szCs w:val="24"/>
        </w:rPr>
        <w:t>1 is prescribed.</w:t>
      </w:r>
    </w:p>
    <w:p w14:paraId="15DE20C8" w14:textId="5773646A" w:rsidR="003502A4" w:rsidRPr="008F2240" w:rsidRDefault="003502A4" w:rsidP="008F2240">
      <w:pPr>
        <w:rPr>
          <w:u w:val="single"/>
        </w:rPr>
      </w:pPr>
      <w:r w:rsidRPr="008F2240">
        <w:rPr>
          <w:u w:val="single"/>
        </w:rPr>
        <w:t xml:space="preserve">Section 8 – </w:t>
      </w:r>
      <w:r w:rsidR="00AD751A" w:rsidRPr="008F2240">
        <w:rPr>
          <w:u w:val="single"/>
        </w:rPr>
        <w:t>Period for giving notice of refusal to grant permit</w:t>
      </w:r>
    </w:p>
    <w:p w14:paraId="111BBDD3" w14:textId="0FB1D308" w:rsidR="003D0644" w:rsidRDefault="00881B9C" w:rsidP="004C2E1A">
      <w:r>
        <w:t>Under subsection </w:t>
      </w:r>
      <w:r w:rsidR="003D0644">
        <w:t>10(1) of the Act, a person may apply to the Minister</w:t>
      </w:r>
      <w:r>
        <w:t xml:space="preserve"> for a permit to export a Class </w:t>
      </w:r>
      <w:r w:rsidR="003D0644">
        <w:t>B object.</w:t>
      </w:r>
    </w:p>
    <w:p w14:paraId="5A604D41" w14:textId="32990D4A" w:rsidR="00014407" w:rsidRDefault="00881B9C" w:rsidP="004C2E1A">
      <w:r>
        <w:lastRenderedPageBreak/>
        <w:t>Subsection </w:t>
      </w:r>
      <w:r w:rsidR="00014407">
        <w:t>10(7) provides that if the Minister refuses to grant the permit, the Minister shall, within prescribed period after the decision is made, cause to be served on the applicant a notice in writing of the refusal, setting out the reasons for the refusal.</w:t>
      </w:r>
    </w:p>
    <w:p w14:paraId="57470FDA" w14:textId="46BE26B8" w:rsidR="003502A4" w:rsidRPr="00AD751A" w:rsidRDefault="00881B9C" w:rsidP="004C2E1A">
      <w:r>
        <w:t>Section </w:t>
      </w:r>
      <w:r w:rsidR="00014407">
        <w:t>8 of the Regulations</w:t>
      </w:r>
      <w:r>
        <w:t xml:space="preserve"> prescribes the period of 14 </w:t>
      </w:r>
      <w:r w:rsidR="00D176AB">
        <w:t>days for the Minister to give notice of refusal to grant a permit,</w:t>
      </w:r>
      <w:r w:rsidR="00533015">
        <w:t xml:space="preserve"> for the purposes of subsection</w:t>
      </w:r>
      <w:r w:rsidR="00533015" w:rsidRPr="000116A5">
        <w:rPr>
          <w:lang w:val="en"/>
        </w:rPr>
        <w:t> </w:t>
      </w:r>
      <w:r w:rsidR="00D176AB">
        <w:t>10(7) of the Act.</w:t>
      </w:r>
    </w:p>
    <w:p w14:paraId="41155CEE" w14:textId="0BBF2CB8" w:rsidR="003502A4" w:rsidRPr="008F2240" w:rsidRDefault="003502A4" w:rsidP="008F2240">
      <w:pPr>
        <w:rPr>
          <w:u w:val="single"/>
        </w:rPr>
      </w:pPr>
      <w:r w:rsidRPr="008F2240">
        <w:rPr>
          <w:u w:val="single"/>
        </w:rPr>
        <w:t xml:space="preserve">Section </w:t>
      </w:r>
      <w:r w:rsidR="00AC578B" w:rsidRPr="008F2240">
        <w:rPr>
          <w:u w:val="single"/>
        </w:rPr>
        <w:t>9</w:t>
      </w:r>
      <w:r w:rsidRPr="008F2240">
        <w:rPr>
          <w:u w:val="single"/>
        </w:rPr>
        <w:t xml:space="preserve"> – </w:t>
      </w:r>
      <w:r w:rsidR="00AD751A" w:rsidRPr="008F2240">
        <w:rPr>
          <w:u w:val="single"/>
        </w:rPr>
        <w:t>Period for giving notice of refusal to grant certificate of exemption</w:t>
      </w:r>
    </w:p>
    <w:p w14:paraId="0E133032" w14:textId="778336A1" w:rsidR="00014407" w:rsidRDefault="00881B9C" w:rsidP="004C2E1A">
      <w:r>
        <w:t>Subsection </w:t>
      </w:r>
      <w:r w:rsidR="00014407">
        <w:t xml:space="preserve">12(1) provides that where a person intends to import an Australian protected object in certain circumstances, the person may apply to the Minister for a certificate authorising the exportation of the object. This </w:t>
      </w:r>
      <w:r w:rsidR="00AC33D0">
        <w:t>authorises</w:t>
      </w:r>
      <w:r w:rsidR="00014407">
        <w:t xml:space="preserve"> a person </w:t>
      </w:r>
      <w:r w:rsidR="00AC33D0">
        <w:t>who</w:t>
      </w:r>
      <w:r w:rsidR="00014407">
        <w:t xml:space="preserve"> </w:t>
      </w:r>
      <w:r w:rsidR="00AC33D0">
        <w:t xml:space="preserve">temporarily </w:t>
      </w:r>
      <w:r w:rsidR="00014407">
        <w:t>import</w:t>
      </w:r>
      <w:r w:rsidR="00AC33D0">
        <w:t>s</w:t>
      </w:r>
      <w:r w:rsidR="00014407">
        <w:t xml:space="preserve"> an object to Australia </w:t>
      </w:r>
      <w:r w:rsidR="00AC33D0">
        <w:t>to later re-export</w:t>
      </w:r>
      <w:r w:rsidR="00014407">
        <w:t xml:space="preserve"> that </w:t>
      </w:r>
      <w:r w:rsidR="00AC33D0">
        <w:t>object where they</w:t>
      </w:r>
      <w:r w:rsidR="00014407">
        <w:t xml:space="preserve"> may </w:t>
      </w:r>
      <w:r w:rsidR="00706A31">
        <w:t>otherwise</w:t>
      </w:r>
      <w:r w:rsidR="00014407">
        <w:t xml:space="preserve"> be unable to </w:t>
      </w:r>
      <w:r w:rsidR="00AC33D0">
        <w:t>do so</w:t>
      </w:r>
      <w:r w:rsidR="00014407">
        <w:t xml:space="preserve"> due to the operation of the Act.</w:t>
      </w:r>
    </w:p>
    <w:p w14:paraId="112CADA2" w14:textId="61202F62" w:rsidR="00014407" w:rsidRDefault="00881B9C" w:rsidP="004C2E1A">
      <w:r>
        <w:t>Subsection </w:t>
      </w:r>
      <w:r w:rsidR="00014407">
        <w:t>12(6) provides that if the Minister refuses to grant the certificate, the Minister shall, within the prescribed period after the decision is made, cause to be served on the applicant a notice in writing of the refusal, setting out the reasons for refusal.</w:t>
      </w:r>
    </w:p>
    <w:p w14:paraId="007DB6EB" w14:textId="12C8C425" w:rsidR="00B173A4" w:rsidRPr="00D176AB" w:rsidRDefault="00881B9C" w:rsidP="004C2E1A">
      <w:r>
        <w:t>Section </w:t>
      </w:r>
      <w:r w:rsidR="00014407">
        <w:t>9 of the Regulations</w:t>
      </w:r>
      <w:r>
        <w:t xml:space="preserve"> prescribes the period of 14 </w:t>
      </w:r>
      <w:r w:rsidR="00D176AB">
        <w:t>days for the Minister to give notice of refusal to grant a certificate of exemption,</w:t>
      </w:r>
      <w:r w:rsidR="00533015">
        <w:t xml:space="preserve"> for the purposes of subsection</w:t>
      </w:r>
      <w:r w:rsidR="00533015" w:rsidRPr="000116A5">
        <w:rPr>
          <w:lang w:val="en"/>
        </w:rPr>
        <w:t> </w:t>
      </w:r>
      <w:r w:rsidR="00D176AB">
        <w:t>12(6) of the Act.</w:t>
      </w:r>
    </w:p>
    <w:p w14:paraId="49494C89" w14:textId="23EA8DFB" w:rsidR="003502A4" w:rsidRPr="008F2240" w:rsidRDefault="003502A4" w:rsidP="008F2240">
      <w:pPr>
        <w:rPr>
          <w:u w:val="single"/>
        </w:rPr>
      </w:pPr>
      <w:r w:rsidRPr="008F2240">
        <w:rPr>
          <w:u w:val="single"/>
        </w:rPr>
        <w:t xml:space="preserve">Section </w:t>
      </w:r>
      <w:r w:rsidR="00AC578B" w:rsidRPr="008F2240">
        <w:rPr>
          <w:u w:val="single"/>
        </w:rPr>
        <w:t>10</w:t>
      </w:r>
      <w:r w:rsidRPr="008F2240">
        <w:rPr>
          <w:u w:val="single"/>
        </w:rPr>
        <w:t xml:space="preserve"> – </w:t>
      </w:r>
      <w:r w:rsidR="00AD751A" w:rsidRPr="008F2240">
        <w:rPr>
          <w:u w:val="single"/>
        </w:rPr>
        <w:t>Register of expert examiners</w:t>
      </w:r>
    </w:p>
    <w:p w14:paraId="475CA5EF" w14:textId="00BB0437" w:rsidR="00014407" w:rsidRDefault="00014407" w:rsidP="004C2E1A">
      <w:r>
        <w:t>When applications for permits of Australian protected objects are received by the Minister, the Act requires the Minister to refer the application to the National Cultural Heritage Committee (the Committee), who must in turn refer the application to one or more expert examiners. These examiners submit to the Committee a written report on the application, which is then forwarded to the Minister along with any recommendations made by the Committee.</w:t>
      </w:r>
    </w:p>
    <w:p w14:paraId="219D6F20" w14:textId="139CA1D6" w:rsidR="00014407" w:rsidRDefault="00014407" w:rsidP="004C2E1A">
      <w:r>
        <w:t>The Committ</w:t>
      </w:r>
      <w:r w:rsidR="00881B9C">
        <w:t>ee is required under subsection </w:t>
      </w:r>
      <w:r>
        <w:t>22(1) to maintain</w:t>
      </w:r>
      <w:r w:rsidR="00AC03F0">
        <w:t>, in accordance with the R</w:t>
      </w:r>
      <w:r>
        <w:t>egulations</w:t>
      </w:r>
      <w:r w:rsidR="00EF7AA7">
        <w:t>,</w:t>
      </w:r>
      <w:r>
        <w:t xml:space="preserve"> a register of the names of persons determined by the Committee to be expert examiners for the purposes of the Act.</w:t>
      </w:r>
    </w:p>
    <w:p w14:paraId="69F07654" w14:textId="1309529B" w:rsidR="001E70F9" w:rsidRPr="001E70F9" w:rsidRDefault="00881B9C" w:rsidP="004C2E1A">
      <w:r>
        <w:t>Section </w:t>
      </w:r>
      <w:r w:rsidR="00014407">
        <w:t>10 of the Regulations</w:t>
      </w:r>
      <w:r w:rsidR="00017144" w:rsidRPr="00017144">
        <w:t xml:space="preserve"> prescribes that</w:t>
      </w:r>
      <w:r>
        <w:t>, for the purposes of section </w:t>
      </w:r>
      <w:r w:rsidR="00014407">
        <w:t>22 of the Act,</w:t>
      </w:r>
      <w:r w:rsidR="00017144">
        <w:t xml:space="preserve"> the</w:t>
      </w:r>
      <w:r w:rsidR="00A5007E">
        <w:t xml:space="preserve"> </w:t>
      </w:r>
      <w:r w:rsidR="00AC03F0">
        <w:t>R</w:t>
      </w:r>
      <w:r w:rsidR="00017144" w:rsidRPr="00017144">
        <w:t xml:space="preserve">egister </w:t>
      </w:r>
      <w:r w:rsidR="00017144">
        <w:t xml:space="preserve">of expert examiners </w:t>
      </w:r>
      <w:r w:rsidR="00017144" w:rsidRPr="00017144">
        <w:t xml:space="preserve">must set out the name </w:t>
      </w:r>
      <w:r w:rsidR="00017144">
        <w:t>of each person determined by that</w:t>
      </w:r>
      <w:r w:rsidR="00017144" w:rsidRPr="00017144">
        <w:t xml:space="preserve"> Committee to be an expert examiner</w:t>
      </w:r>
      <w:r w:rsidR="00017144">
        <w:t>.</w:t>
      </w:r>
    </w:p>
    <w:p w14:paraId="4BF7FE62" w14:textId="4BCEF605" w:rsidR="001E70F9" w:rsidRPr="008F2240" w:rsidRDefault="001E70F9" w:rsidP="008F2240">
      <w:pPr>
        <w:rPr>
          <w:u w:val="single"/>
        </w:rPr>
      </w:pPr>
      <w:r w:rsidRPr="008F2240">
        <w:rPr>
          <w:u w:val="single"/>
        </w:rPr>
        <w:t>Schedule 1 – National Cultural Heritage Control List</w:t>
      </w:r>
    </w:p>
    <w:p w14:paraId="634A63FD" w14:textId="6A7D755F" w:rsidR="00DE5FE4" w:rsidRDefault="001E70F9" w:rsidP="004C2E1A">
      <w:r w:rsidRPr="001E70F9">
        <w:t xml:space="preserve">Schedule 1 </w:t>
      </w:r>
      <w:r w:rsidR="00DE5FE4">
        <w:t>lists</w:t>
      </w:r>
      <w:r w:rsidRPr="001E70F9">
        <w:t xml:space="preserve"> the categories of objects </w:t>
      </w:r>
      <w:r w:rsidR="00DE5FE4">
        <w:t>which comprise the</w:t>
      </w:r>
      <w:r w:rsidRPr="001E70F9">
        <w:t xml:space="preserve"> Control Li</w:t>
      </w:r>
      <w:r w:rsidR="00533015">
        <w:t>st for the purposes of section</w:t>
      </w:r>
      <w:r w:rsidR="00533015" w:rsidRPr="000116A5">
        <w:rPr>
          <w:lang w:val="en"/>
        </w:rPr>
        <w:t> </w:t>
      </w:r>
      <w:r w:rsidRPr="001E70F9">
        <w:t>8 of the Act</w:t>
      </w:r>
      <w:r w:rsidR="00881B9C">
        <w:t>, as prescribed by section </w:t>
      </w:r>
      <w:r w:rsidR="00DE5FE4">
        <w:t>7 of the Regulations</w:t>
      </w:r>
      <w:r w:rsidRPr="001E70F9">
        <w:t>.</w:t>
      </w:r>
    </w:p>
    <w:p w14:paraId="0B8E054D" w14:textId="4E20F453" w:rsidR="00EF1BB0" w:rsidRDefault="001E70F9" w:rsidP="004C2E1A">
      <w:r w:rsidRPr="001E70F9">
        <w:lastRenderedPageBreak/>
        <w:t xml:space="preserve">The </w:t>
      </w:r>
      <w:r w:rsidR="00533015">
        <w:t>Control List consists of 9</w:t>
      </w:r>
      <w:r w:rsidR="00533015" w:rsidRPr="000116A5">
        <w:rPr>
          <w:lang w:val="en"/>
        </w:rPr>
        <w:t> </w:t>
      </w:r>
      <w:r w:rsidRPr="001E70F9">
        <w:t>Parts</w:t>
      </w:r>
      <w:r w:rsidR="00DE5FE4">
        <w:t xml:space="preserve"> each listing a category of objects. The Control List divides these categories of objects</w:t>
      </w:r>
      <w:r w:rsidR="00881B9C">
        <w:t xml:space="preserve"> into Class A objects and Class </w:t>
      </w:r>
      <w:r w:rsidR="00DE5FE4">
        <w:t>B obj</w:t>
      </w:r>
      <w:r w:rsidR="00881B9C">
        <w:t>ects, as required by subsection </w:t>
      </w:r>
      <w:r w:rsidR="00DE5FE4">
        <w:t>8(2) of the Act.</w:t>
      </w:r>
    </w:p>
    <w:p w14:paraId="7D7BF410" w14:textId="7DEA3229" w:rsidR="00DE5FE4" w:rsidRDefault="00881B9C" w:rsidP="004C2E1A">
      <w:r>
        <w:t>Class </w:t>
      </w:r>
      <w:r w:rsidR="00DE5FE4">
        <w:t>A objects are objects that cannot lawfully be exported otherwise than in accordance with a certificate of exempt</w:t>
      </w:r>
      <w:r>
        <w:t>ion. Class </w:t>
      </w:r>
      <w:r w:rsidR="00DE5FE4">
        <w:t>B objects are objects that it may be possible to temporarily or permanently export, but which cannot lawfully be exported otherwise than in accordance with an export permit or a certificate of exemption.</w:t>
      </w:r>
    </w:p>
    <w:p w14:paraId="6629325A" w14:textId="3C81EF58" w:rsidR="00EF1BB0" w:rsidRPr="008F2240" w:rsidRDefault="001E70F9" w:rsidP="008F2240">
      <w:pPr>
        <w:rPr>
          <w:i/>
        </w:rPr>
      </w:pPr>
      <w:r w:rsidRPr="008F2240">
        <w:rPr>
          <w:i/>
        </w:rPr>
        <w:t>Part 1—Objects of Australian Aboriginal and Torres Strait Islander heritage</w:t>
      </w:r>
    </w:p>
    <w:p w14:paraId="619E2936" w14:textId="6B10301F" w:rsidR="00805D80" w:rsidRDefault="00881B9C" w:rsidP="005B22F0">
      <w:r>
        <w:t>Clause </w:t>
      </w:r>
      <w:r w:rsidR="00FD3C5F">
        <w:t>1.1 provides that</w:t>
      </w:r>
      <w:r w:rsidR="007D65E4">
        <w:t xml:space="preserve"> this</w:t>
      </w:r>
      <w:r w:rsidR="005B22F0" w:rsidRPr="005B22F0">
        <w:t xml:space="preserve"> Part lists objects </w:t>
      </w:r>
      <w:r w:rsidR="00805D80">
        <w:t>of</w:t>
      </w:r>
      <w:r w:rsidR="00805D80" w:rsidRPr="005B22F0">
        <w:t xml:space="preserve"> </w:t>
      </w:r>
      <w:r w:rsidR="005B22F0" w:rsidRPr="005B22F0">
        <w:t>the category ‘</w:t>
      </w:r>
      <w:r w:rsidR="00805D80">
        <w:t xml:space="preserve">Objects of </w:t>
      </w:r>
      <w:r w:rsidR="005B22F0" w:rsidRPr="005B22F0">
        <w:t>Australian Aboriginal and Torres Strait Islander heritage’.</w:t>
      </w:r>
    </w:p>
    <w:p w14:paraId="3552F77E" w14:textId="75D6D583" w:rsidR="00F26177" w:rsidRDefault="00881B9C" w:rsidP="005B22F0">
      <w:r>
        <w:t>Clause </w:t>
      </w:r>
      <w:r w:rsidR="005B22F0" w:rsidRPr="005B22F0">
        <w:t xml:space="preserve">1.2 </w:t>
      </w:r>
      <w:r w:rsidR="00F26177">
        <w:t>provides that an object is</w:t>
      </w:r>
      <w:r w:rsidR="005B22F0" w:rsidRPr="005B22F0">
        <w:t xml:space="preserve"> in this category</w:t>
      </w:r>
      <w:r w:rsidR="00F26177">
        <w:t xml:space="preserve"> if it is:</w:t>
      </w:r>
    </w:p>
    <w:p w14:paraId="265158EF" w14:textId="1117AA87" w:rsidR="00F26177" w:rsidRDefault="00F26177" w:rsidP="005B040B">
      <w:pPr>
        <w:pStyle w:val="ListParagraph"/>
        <w:numPr>
          <w:ilvl w:val="0"/>
          <w:numId w:val="19"/>
        </w:numPr>
        <w:spacing w:line="240" w:lineRule="auto"/>
        <w:ind w:left="714" w:hanging="357"/>
      </w:pPr>
      <w:r>
        <w:t>of cultural significance to Aboriginal or Torres Strait Islander people, or made by Aboriginal or Torres Strait Islander people; and</w:t>
      </w:r>
    </w:p>
    <w:p w14:paraId="53F5A714" w14:textId="77777777" w:rsidR="00F26177" w:rsidRDefault="00F26177" w:rsidP="005B040B">
      <w:pPr>
        <w:pStyle w:val="ListParagraph"/>
        <w:numPr>
          <w:ilvl w:val="0"/>
          <w:numId w:val="19"/>
        </w:numPr>
        <w:spacing w:line="240" w:lineRule="auto"/>
        <w:ind w:left="714" w:hanging="357"/>
      </w:pPr>
      <w:r>
        <w:t>not created specifically for sale; and</w:t>
      </w:r>
    </w:p>
    <w:p w14:paraId="16EA2FD8" w14:textId="10ECA4CE" w:rsidR="00F26177" w:rsidRDefault="00F26177" w:rsidP="005B040B">
      <w:pPr>
        <w:pStyle w:val="ListParagraph"/>
        <w:numPr>
          <w:ilvl w:val="0"/>
          <w:numId w:val="19"/>
        </w:numPr>
        <w:spacing w:line="240" w:lineRule="auto"/>
        <w:ind w:left="714" w:hanging="357"/>
      </w:pPr>
      <w:r>
        <w:t>fo</w:t>
      </w:r>
      <w:r w:rsidR="00881B9C">
        <w:t>r an object mentioned in clause </w:t>
      </w:r>
      <w:r>
        <w:t>1.4—</w:t>
      </w:r>
      <w:r w:rsidR="00881B9C">
        <w:t>is at least 30 </w:t>
      </w:r>
      <w:r>
        <w:t>years old, and is not adequately represented in Aboriginal or Torres Strait Islander community collections, or public collections in Australia</w:t>
      </w:r>
      <w:r w:rsidR="005B22F0" w:rsidRPr="005B22F0">
        <w:t>.</w:t>
      </w:r>
    </w:p>
    <w:p w14:paraId="5A683954" w14:textId="665A9BD1" w:rsidR="00F117BD" w:rsidRDefault="00881B9C" w:rsidP="005B22F0">
      <w:r>
        <w:t>Clause </w:t>
      </w:r>
      <w:r w:rsidR="00F117BD">
        <w:t>1.3 lists certain objects o</w:t>
      </w:r>
      <w:r>
        <w:t>f this category which are Class </w:t>
      </w:r>
      <w:r w:rsidR="00F117BD">
        <w:t>A objects, namely: sacred and secret ritual objects; bark and log coffins used as traditional burial objects; human remains; rock art; and, dendroglyphs.</w:t>
      </w:r>
    </w:p>
    <w:p w14:paraId="0A41D20F" w14:textId="794F9229" w:rsidR="005B22F0" w:rsidRPr="005B22F0" w:rsidRDefault="00881B9C" w:rsidP="005B22F0">
      <w:r>
        <w:t>Clause </w:t>
      </w:r>
      <w:r w:rsidR="00F117BD">
        <w:t>1.4 provides that all objects in this category, other</w:t>
      </w:r>
      <w:r>
        <w:t xml:space="preserve"> than those mentioned in clause </w:t>
      </w:r>
      <w:r w:rsidR="00F117BD">
        <w:t xml:space="preserve">1.3, </w:t>
      </w:r>
      <w:r>
        <w:t>are Class </w:t>
      </w:r>
      <w:r w:rsidR="005B22F0" w:rsidRPr="005B22F0">
        <w:t>B objects</w:t>
      </w:r>
      <w:r w:rsidR="007149E3">
        <w:t>,</w:t>
      </w:r>
      <w:r w:rsidR="005B22F0" w:rsidRPr="005B22F0">
        <w:t xml:space="preserve"> </w:t>
      </w:r>
      <w:r w:rsidR="007149E3">
        <w:t>and lists a number of examples of</w:t>
      </w:r>
      <w:r w:rsidR="006031E6">
        <w:t xml:space="preserve"> the kinds</w:t>
      </w:r>
      <w:r w:rsidR="007149E3">
        <w:t xml:space="preserve"> </w:t>
      </w:r>
      <w:r w:rsidR="009B735E">
        <w:t xml:space="preserve">of </w:t>
      </w:r>
      <w:r w:rsidR="007149E3">
        <w:t>objects in this category</w:t>
      </w:r>
      <w:r w:rsidR="005B22F0" w:rsidRPr="005B22F0">
        <w:t>.</w:t>
      </w:r>
    </w:p>
    <w:p w14:paraId="1A243403" w14:textId="77EFBF6C" w:rsidR="005B22F0" w:rsidRPr="005B22F0" w:rsidRDefault="00F117BD" w:rsidP="005B22F0">
      <w:r w:rsidRPr="007A6BCA">
        <w:t>The note following clause</w:t>
      </w:r>
      <w:r w:rsidR="00881B9C">
        <w:t> </w:t>
      </w:r>
      <w:r w:rsidRPr="007A6BCA">
        <w:t xml:space="preserve">1.4 </w:t>
      </w:r>
      <w:r w:rsidR="007149E3" w:rsidRPr="007A6BCA">
        <w:t>clarifies</w:t>
      </w:r>
      <w:r w:rsidRPr="007A6BCA">
        <w:t xml:space="preserve"> that </w:t>
      </w:r>
      <w:r w:rsidR="007A6BCA" w:rsidRPr="007A6BCA">
        <w:t>o</w:t>
      </w:r>
      <w:r w:rsidRPr="007A6BCA">
        <w:t>bjects of Aboriginal or Torres Strait Islander fine or decorative arts are dealt with in Part</w:t>
      </w:r>
      <w:r w:rsidR="00881B9C">
        <w:t> </w:t>
      </w:r>
      <w:r w:rsidRPr="007A6BCA">
        <w:t>5 of Schedule 1</w:t>
      </w:r>
      <w:r w:rsidR="007A6BCA" w:rsidRPr="007A6BCA">
        <w:t xml:space="preserve"> (which deals with ‘Objects of fine or decorative art’)</w:t>
      </w:r>
      <w:r w:rsidRPr="007A6BCA">
        <w:t>. The intention is that objects that are within the category</w:t>
      </w:r>
      <w:r w:rsidR="00EA3B18" w:rsidRPr="007A6BCA">
        <w:t xml:space="preserve"> of objects</w:t>
      </w:r>
      <w:r w:rsidRPr="007A6BCA">
        <w:t xml:space="preserve"> listed in Part</w:t>
      </w:r>
      <w:r w:rsidR="00881B9C">
        <w:t> </w:t>
      </w:r>
      <w:r w:rsidRPr="007A6BCA">
        <w:t xml:space="preserve">5 are not also within the category </w:t>
      </w:r>
      <w:r w:rsidR="00EA3B18" w:rsidRPr="007A6BCA">
        <w:t xml:space="preserve">of objects listed </w:t>
      </w:r>
      <w:r w:rsidR="00881B9C">
        <w:t>Part </w:t>
      </w:r>
      <w:r w:rsidR="005B22F0" w:rsidRPr="007A6BCA">
        <w:t>1.</w:t>
      </w:r>
      <w:r w:rsidR="00D22D1A">
        <w:t xml:space="preserve"> </w:t>
      </w:r>
      <w:r w:rsidR="007A6BCA">
        <w:t>This provision is included to provide clarity due to the ability for Aboriginal or Torres Strait Islander objects of fine and decorative art to come within both the categories specified in Part</w:t>
      </w:r>
      <w:r w:rsidR="00881B9C">
        <w:t> </w:t>
      </w:r>
      <w:r w:rsidR="007A6BCA">
        <w:t>1 and Part</w:t>
      </w:r>
      <w:r w:rsidR="00881B9C">
        <w:t> </w:t>
      </w:r>
      <w:r w:rsidR="007A6BCA">
        <w:t>5. For example, a person may seek to export an artwork that meets the criteria in paragraph</w:t>
      </w:r>
      <w:r w:rsidR="00881B9C">
        <w:t> </w:t>
      </w:r>
      <w:r w:rsidR="007A6BCA">
        <w:t>1.2(c) that is also a kind of object mentioned in clause</w:t>
      </w:r>
      <w:r w:rsidR="00881B9C">
        <w:t> </w:t>
      </w:r>
      <w:r w:rsidR="007A6BCA">
        <w:t>1.4. That object would be a Class</w:t>
      </w:r>
      <w:r w:rsidR="00881B9C">
        <w:t> </w:t>
      </w:r>
      <w:r w:rsidR="007A6BCA">
        <w:t>B object under Part</w:t>
      </w:r>
      <w:r w:rsidR="00881B9C">
        <w:t> </w:t>
      </w:r>
      <w:r w:rsidR="007A6BCA">
        <w:t xml:space="preserve">1. However, if that artwork was created pre-1901, it would </w:t>
      </w:r>
      <w:r w:rsidR="004C20C9">
        <w:t xml:space="preserve">instead </w:t>
      </w:r>
      <w:r w:rsidR="007A6BCA">
        <w:t>be a Class</w:t>
      </w:r>
      <w:r w:rsidR="00881B9C">
        <w:t> </w:t>
      </w:r>
      <w:r w:rsidR="007A6BCA">
        <w:t>A object pursuant to item 1 of the table in clause</w:t>
      </w:r>
      <w:r w:rsidR="00881B9C">
        <w:t> </w:t>
      </w:r>
      <w:r w:rsidR="007A6BCA">
        <w:t>5.3 in Part</w:t>
      </w:r>
      <w:r w:rsidR="00881B9C">
        <w:t> </w:t>
      </w:r>
      <w:r w:rsidR="007A6BCA">
        <w:t>5. In this case, for the purposes of the Act, the object should be treated as though it were on the list under Part</w:t>
      </w:r>
      <w:r w:rsidR="00881B9C">
        <w:t> </w:t>
      </w:r>
      <w:r w:rsidR="007A6BCA">
        <w:t>5 and therefore not able to be exported due to being a Class</w:t>
      </w:r>
      <w:r w:rsidR="00983336">
        <w:t> </w:t>
      </w:r>
      <w:r w:rsidR="007A6BCA">
        <w:t>A object.</w:t>
      </w:r>
    </w:p>
    <w:p w14:paraId="17EEB181" w14:textId="013DC17E" w:rsidR="00EF1BB0" w:rsidRPr="008F2240" w:rsidRDefault="001E70F9" w:rsidP="008F2240">
      <w:pPr>
        <w:rPr>
          <w:i/>
        </w:rPr>
      </w:pPr>
      <w:r w:rsidRPr="008F2240">
        <w:rPr>
          <w:i/>
        </w:rPr>
        <w:lastRenderedPageBreak/>
        <w:t>Part 2—Archaeological objects</w:t>
      </w:r>
    </w:p>
    <w:p w14:paraId="5ACE5555" w14:textId="6040637B" w:rsidR="00B000ED" w:rsidRDefault="00983336" w:rsidP="00463496">
      <w:r>
        <w:t>Clause </w:t>
      </w:r>
      <w:r w:rsidR="00FD3C5F">
        <w:t>2.1 provides that this</w:t>
      </w:r>
      <w:r w:rsidR="00FD3C5F" w:rsidRPr="00463496">
        <w:t xml:space="preserve"> </w:t>
      </w:r>
      <w:r w:rsidR="00463496" w:rsidRPr="00463496">
        <w:t xml:space="preserve">Part lists objects </w:t>
      </w:r>
      <w:r w:rsidR="00FD3C5F">
        <w:t>of</w:t>
      </w:r>
      <w:r w:rsidR="00FD3C5F" w:rsidRPr="00463496">
        <w:t xml:space="preserve"> </w:t>
      </w:r>
      <w:r w:rsidR="00463496" w:rsidRPr="00463496">
        <w:t>the category ‘Archaeological objects’.</w:t>
      </w:r>
    </w:p>
    <w:p w14:paraId="0B6474AB" w14:textId="04125D60" w:rsidR="00B000ED" w:rsidRDefault="00983336" w:rsidP="00463496">
      <w:r>
        <w:t>Clause </w:t>
      </w:r>
      <w:r w:rsidR="00463496" w:rsidRPr="00463496">
        <w:t xml:space="preserve">2.2 </w:t>
      </w:r>
      <w:r w:rsidR="00B000ED">
        <w:t xml:space="preserve">provides that an object is </w:t>
      </w:r>
      <w:r w:rsidR="00463496" w:rsidRPr="00463496">
        <w:t>in this category</w:t>
      </w:r>
      <w:r w:rsidR="00B000ED">
        <w:t xml:space="preserve"> if it is:</w:t>
      </w:r>
    </w:p>
    <w:p w14:paraId="227989D5" w14:textId="77777777" w:rsidR="00B000ED" w:rsidRDefault="00B000ED" w:rsidP="005B040B">
      <w:pPr>
        <w:pStyle w:val="ListParagraph"/>
        <w:numPr>
          <w:ilvl w:val="0"/>
          <w:numId w:val="20"/>
        </w:numPr>
        <w:spacing w:line="240" w:lineRule="auto"/>
        <w:ind w:left="714" w:hanging="357"/>
      </w:pPr>
      <w:r>
        <w:t>of significance to Australia; and</w:t>
      </w:r>
    </w:p>
    <w:p w14:paraId="1C62DA7E" w14:textId="65A307D2" w:rsidR="00B000ED" w:rsidRDefault="00B000ED" w:rsidP="005B040B">
      <w:pPr>
        <w:pStyle w:val="ListParagraph"/>
        <w:numPr>
          <w:ilvl w:val="0"/>
          <w:numId w:val="20"/>
        </w:numPr>
        <w:spacing w:line="240" w:lineRule="auto"/>
        <w:ind w:left="714" w:hanging="357"/>
      </w:pPr>
      <w:r>
        <w:t>is an Indigenous or non-Indigenous object that was recov</w:t>
      </w:r>
      <w:r w:rsidR="00983336">
        <w:t>ered, as mentioned in paragraph </w:t>
      </w:r>
      <w:r>
        <w:t xml:space="preserve">7(1)(a) of the Act, </w:t>
      </w:r>
      <w:r w:rsidR="00983336">
        <w:t>after remaining for at least 50 </w:t>
      </w:r>
      <w:r>
        <w:t>years in the place from which it was removed; and</w:t>
      </w:r>
    </w:p>
    <w:p w14:paraId="2B76C3C1" w14:textId="07DE6B3A" w:rsidR="00B000ED" w:rsidRDefault="00B000ED" w:rsidP="005B040B">
      <w:pPr>
        <w:pStyle w:val="ListParagraph"/>
        <w:numPr>
          <w:ilvl w:val="0"/>
          <w:numId w:val="20"/>
        </w:numPr>
        <w:spacing w:line="240" w:lineRule="auto"/>
        <w:ind w:left="714" w:hanging="357"/>
      </w:pPr>
      <w:r>
        <w:t>is not represented in at least 2 public collections in Australia by an object of equivalent quality</w:t>
      </w:r>
      <w:r w:rsidR="00463496" w:rsidRPr="00463496">
        <w:t>.</w:t>
      </w:r>
    </w:p>
    <w:p w14:paraId="2ECE142A" w14:textId="788032F1" w:rsidR="007149E3" w:rsidRDefault="007149E3" w:rsidP="00463496">
      <w:r>
        <w:t>The term ‘significance to Australia’ h</w:t>
      </w:r>
      <w:r w:rsidR="00983336">
        <w:t>as the meaning given in section </w:t>
      </w:r>
      <w:r>
        <w:t>5 of the Regulations.</w:t>
      </w:r>
    </w:p>
    <w:p w14:paraId="69E0EC46" w14:textId="3A1882E7" w:rsidR="00A57724" w:rsidRDefault="00983336" w:rsidP="00463496">
      <w:r>
        <w:t>Paragraph </w:t>
      </w:r>
      <w:r w:rsidR="00A57724">
        <w:t>7(1)(a) of the Act refers to objects recovered from: the soil or inland waters of Australia; the coastal sea of Australia or the waters above the continental shelf of Australia; or, the seabed or subsoil beneath the coastal sea of Australia or the waters above the continental shelf of Australia. ‘Australia’ is defined for the purposes of the Act to include the external Territories.</w:t>
      </w:r>
    </w:p>
    <w:p w14:paraId="218F6392" w14:textId="46F555BA" w:rsidR="00463496" w:rsidRPr="00463496" w:rsidRDefault="00983336" w:rsidP="00463496">
      <w:r>
        <w:t>Clause </w:t>
      </w:r>
      <w:r w:rsidR="007149E3">
        <w:t>2.3 provides that all</w:t>
      </w:r>
      <w:r w:rsidR="00463496" w:rsidRPr="00463496">
        <w:t xml:space="preserve"> obj</w:t>
      </w:r>
      <w:r>
        <w:t>ects in this category are Class </w:t>
      </w:r>
      <w:r w:rsidR="00463496" w:rsidRPr="00463496">
        <w:t>B objects</w:t>
      </w:r>
      <w:r w:rsidR="007149E3">
        <w:t xml:space="preserve">, and lists a number of examples of </w:t>
      </w:r>
      <w:r w:rsidR="00F10679">
        <w:t xml:space="preserve">the </w:t>
      </w:r>
      <w:r w:rsidR="006031E6">
        <w:t xml:space="preserve">kinds of objects </w:t>
      </w:r>
      <w:r w:rsidR="00CF1DE9">
        <w:t xml:space="preserve">that </w:t>
      </w:r>
      <w:r w:rsidR="006F7E81">
        <w:t>are</w:t>
      </w:r>
      <w:r w:rsidR="00CF1DE9">
        <w:t xml:space="preserve"> included</w:t>
      </w:r>
      <w:r w:rsidR="006031E6">
        <w:t xml:space="preserve"> in this category</w:t>
      </w:r>
      <w:r w:rsidR="00463496" w:rsidRPr="00463496">
        <w:t>.</w:t>
      </w:r>
    </w:p>
    <w:p w14:paraId="7919CEA4" w14:textId="77777777" w:rsidR="00B173A4" w:rsidRPr="008F2240" w:rsidRDefault="001E70F9" w:rsidP="008F2240">
      <w:pPr>
        <w:rPr>
          <w:i/>
        </w:rPr>
      </w:pPr>
      <w:r w:rsidRPr="008F2240">
        <w:rPr>
          <w:i/>
        </w:rPr>
        <w:t>Part 3—Natural science objects</w:t>
      </w:r>
    </w:p>
    <w:p w14:paraId="4723890D" w14:textId="457AD911" w:rsidR="00B000ED" w:rsidRDefault="00983336" w:rsidP="00463496">
      <w:r>
        <w:t>Clause </w:t>
      </w:r>
      <w:r w:rsidR="00FD3C5F">
        <w:t xml:space="preserve">3.1 provides that this </w:t>
      </w:r>
      <w:r w:rsidR="00463496" w:rsidRPr="00463496">
        <w:t xml:space="preserve">Part lists objects </w:t>
      </w:r>
      <w:r w:rsidR="00FD3C5F">
        <w:t>of</w:t>
      </w:r>
      <w:r w:rsidR="00FD3C5F" w:rsidRPr="00463496">
        <w:t xml:space="preserve"> </w:t>
      </w:r>
      <w:r w:rsidR="00463496" w:rsidRPr="00463496">
        <w:t>the category ‘Natural science objects’.</w:t>
      </w:r>
    </w:p>
    <w:p w14:paraId="6CA7A27E" w14:textId="011C778F" w:rsidR="007149E3" w:rsidRDefault="00983336" w:rsidP="00463496">
      <w:r>
        <w:t>Clause </w:t>
      </w:r>
      <w:r w:rsidR="00463496" w:rsidRPr="00463496">
        <w:t xml:space="preserve">3.2 </w:t>
      </w:r>
      <w:r w:rsidR="007149E3">
        <w:t>provides that an object is</w:t>
      </w:r>
      <w:r w:rsidR="00463496" w:rsidRPr="00463496">
        <w:t xml:space="preserve"> in this category</w:t>
      </w:r>
      <w:r w:rsidR="007149E3">
        <w:t xml:space="preserve"> if it is:</w:t>
      </w:r>
    </w:p>
    <w:p w14:paraId="2951E9C8" w14:textId="77777777" w:rsidR="007149E3" w:rsidRDefault="007149E3" w:rsidP="005B040B">
      <w:pPr>
        <w:pStyle w:val="ListParagraph"/>
        <w:numPr>
          <w:ilvl w:val="0"/>
          <w:numId w:val="21"/>
        </w:numPr>
        <w:spacing w:line="240" w:lineRule="auto"/>
        <w:ind w:left="1077" w:hanging="357"/>
      </w:pPr>
      <w:r>
        <w:t>of significance to Australia;</w:t>
      </w:r>
    </w:p>
    <w:p w14:paraId="132417DC" w14:textId="41AA1885" w:rsidR="007149E3" w:rsidRDefault="00983336" w:rsidP="005B040B">
      <w:pPr>
        <w:pStyle w:val="ListParagraph"/>
        <w:numPr>
          <w:ilvl w:val="0"/>
          <w:numId w:val="21"/>
        </w:numPr>
        <w:spacing w:line="240" w:lineRule="auto"/>
        <w:ind w:left="1077" w:hanging="357"/>
      </w:pPr>
      <w:r>
        <w:t>of a kind mentioned in clause </w:t>
      </w:r>
      <w:r w:rsidR="007149E3">
        <w:t>3.4; and</w:t>
      </w:r>
    </w:p>
    <w:p w14:paraId="108751F2" w14:textId="60EAB536" w:rsidR="007149E3" w:rsidRDefault="007149E3" w:rsidP="005B040B">
      <w:pPr>
        <w:pStyle w:val="ListParagraph"/>
        <w:numPr>
          <w:ilvl w:val="0"/>
          <w:numId w:val="21"/>
        </w:numPr>
        <w:spacing w:line="240" w:lineRule="auto"/>
        <w:ind w:left="1077" w:hanging="357"/>
      </w:pPr>
      <w:r>
        <w:t>is not adequately represented in public collection</w:t>
      </w:r>
      <w:r w:rsidR="006F7E81">
        <w:t>s</w:t>
      </w:r>
      <w:r>
        <w:t xml:space="preserve"> in Australia</w:t>
      </w:r>
      <w:r w:rsidR="00463496" w:rsidRPr="00463496">
        <w:t>.</w:t>
      </w:r>
    </w:p>
    <w:p w14:paraId="3A81679C" w14:textId="3E38F8FA" w:rsidR="007149E3" w:rsidRDefault="007149E3" w:rsidP="00463496">
      <w:r>
        <w:t>The term ‘significance to Australia’ has</w:t>
      </w:r>
      <w:r w:rsidR="00983336">
        <w:t xml:space="preserve"> the meaning given in section </w:t>
      </w:r>
      <w:r>
        <w:t>5 of the Regulations.</w:t>
      </w:r>
    </w:p>
    <w:p w14:paraId="71281D1B" w14:textId="322586FD" w:rsidR="00083E21" w:rsidRDefault="00083E21" w:rsidP="00463496">
      <w:r>
        <w:t>Clause</w:t>
      </w:r>
      <w:r w:rsidR="00983336">
        <w:t> </w:t>
      </w:r>
      <w:r>
        <w:t>3.3 provides tha</w:t>
      </w:r>
      <w:r w:rsidR="00983336">
        <w:t>t for the purposes of paragraph </w:t>
      </w:r>
      <w:r>
        <w:t>3.2(c), an object of a kind well represented in public collections in Australia may nevertheless not be adequately represented because of the object’s quality or because of the place where the object was collected. This clarifies that</w:t>
      </w:r>
      <w:r w:rsidR="00596CB9">
        <w:t xml:space="preserve"> the question of whether an object is ‘adequately represented’ for the purposes of this clause required not only considering the number of objects of the same kind that are represented, but also the quality and origin of those objects.</w:t>
      </w:r>
    </w:p>
    <w:p w14:paraId="6E6A83D9" w14:textId="772F61C7" w:rsidR="00463496" w:rsidRDefault="007149E3" w:rsidP="00463496">
      <w:r>
        <w:lastRenderedPageBreak/>
        <w:t>Clause 3.</w:t>
      </w:r>
      <w:r w:rsidR="00083E21">
        <w:t>4</w:t>
      </w:r>
      <w:r>
        <w:t xml:space="preserve"> provides that </w:t>
      </w:r>
      <w:r w:rsidR="00083E21">
        <w:t>all</w:t>
      </w:r>
      <w:r w:rsidR="00463496" w:rsidRPr="00463496">
        <w:t xml:space="preserve"> objects in this category are Class B objects</w:t>
      </w:r>
      <w:r w:rsidR="00596CB9">
        <w:t xml:space="preserve">, and lists </w:t>
      </w:r>
      <w:r w:rsidR="006031E6">
        <w:t>the kinds of objects that will be included</w:t>
      </w:r>
      <w:r w:rsidR="00596CB9">
        <w:t xml:space="preserve"> in this category </w:t>
      </w:r>
      <w:r w:rsidR="006031E6">
        <w:t>for the purposes of paragraph 3.2(b)</w:t>
      </w:r>
      <w:r w:rsidR="00463496" w:rsidRPr="00463496">
        <w:t>.</w:t>
      </w:r>
    </w:p>
    <w:p w14:paraId="2C4B1A91" w14:textId="642D0ADB" w:rsidR="00B0525E" w:rsidRPr="00463496" w:rsidRDefault="00B0525E" w:rsidP="00463496">
      <w:r>
        <w:t>Clause 3.5 defines a number of terms relevant to the kinds of Cl</w:t>
      </w:r>
      <w:r w:rsidR="008F2240">
        <w:t>ass B objects listed in clause </w:t>
      </w:r>
      <w:r>
        <w:t>3.4.</w:t>
      </w:r>
    </w:p>
    <w:p w14:paraId="221410C9" w14:textId="3576351F" w:rsidR="00B173A4" w:rsidRPr="008F2240" w:rsidRDefault="001E70F9" w:rsidP="008F2240">
      <w:pPr>
        <w:rPr>
          <w:i/>
        </w:rPr>
      </w:pPr>
      <w:r w:rsidRPr="008F2240">
        <w:rPr>
          <w:i/>
        </w:rPr>
        <w:t>Part 4—Objects of applied science or technology</w:t>
      </w:r>
    </w:p>
    <w:p w14:paraId="2D511D52" w14:textId="44167674" w:rsidR="00B0525E" w:rsidRDefault="00062B5A" w:rsidP="00463496">
      <w:r>
        <w:t>Clause </w:t>
      </w:r>
      <w:r w:rsidR="00FD3C5F">
        <w:t xml:space="preserve">4.1 provides that this </w:t>
      </w:r>
      <w:r w:rsidR="00463496" w:rsidRPr="00463496">
        <w:t xml:space="preserve">Part lists objects </w:t>
      </w:r>
      <w:r w:rsidR="00FD3C5F">
        <w:t>of</w:t>
      </w:r>
      <w:r w:rsidR="00FD3C5F" w:rsidRPr="00463496">
        <w:t xml:space="preserve"> </w:t>
      </w:r>
      <w:r w:rsidR="00463496" w:rsidRPr="00463496">
        <w:t>the category ‘Objects of applied science or technology’.</w:t>
      </w:r>
    </w:p>
    <w:p w14:paraId="47245E96" w14:textId="404ECFDD" w:rsidR="00B0525E" w:rsidRDefault="00062B5A" w:rsidP="00463496">
      <w:r>
        <w:t>Clause </w:t>
      </w:r>
      <w:r w:rsidR="00B0525E">
        <w:t xml:space="preserve">4.2 </w:t>
      </w:r>
      <w:r w:rsidR="002F764E">
        <w:t>notes</w:t>
      </w:r>
      <w:r w:rsidR="00B0525E">
        <w:t xml:space="preserve"> that objects in this category relate to human enterprise and activity, other than artistic activity, such as tools, weapons, implements and machines, and any other object produced by, or related to, such objects (including prototypes, models, patents and equipment).</w:t>
      </w:r>
    </w:p>
    <w:p w14:paraId="5995A089" w14:textId="088B2E29" w:rsidR="006031E6" w:rsidRDefault="00463496" w:rsidP="00463496">
      <w:r w:rsidRPr="00463496">
        <w:t xml:space="preserve">Clause 4.3 </w:t>
      </w:r>
      <w:r w:rsidR="006031E6">
        <w:t>provides that an object is</w:t>
      </w:r>
      <w:r w:rsidRPr="00463496">
        <w:t xml:space="preserve"> in this category</w:t>
      </w:r>
      <w:r w:rsidR="006031E6">
        <w:t xml:space="preserve"> if:</w:t>
      </w:r>
    </w:p>
    <w:p w14:paraId="1153C807" w14:textId="27BBADC5" w:rsidR="006031E6" w:rsidRDefault="006031E6" w:rsidP="005B040B">
      <w:pPr>
        <w:pStyle w:val="ListParagraph"/>
        <w:numPr>
          <w:ilvl w:val="0"/>
          <w:numId w:val="22"/>
        </w:numPr>
        <w:spacing w:line="240" w:lineRule="auto"/>
        <w:ind w:hanging="357"/>
      </w:pPr>
      <w:r>
        <w:t>it is of significance to Australia; and</w:t>
      </w:r>
    </w:p>
    <w:p w14:paraId="5E456835" w14:textId="5790A234" w:rsidR="006031E6" w:rsidRDefault="006031E6" w:rsidP="005B040B">
      <w:pPr>
        <w:pStyle w:val="ListParagraph"/>
        <w:numPr>
          <w:ilvl w:val="0"/>
          <w:numId w:val="22"/>
        </w:numPr>
        <w:spacing w:line="240" w:lineRule="auto"/>
        <w:ind w:hanging="357"/>
      </w:pPr>
      <w:r>
        <w:t>for an object</w:t>
      </w:r>
      <w:r w:rsidR="00F10679">
        <w:t>:</w:t>
      </w:r>
    </w:p>
    <w:p w14:paraId="148703CC" w14:textId="34A22485" w:rsidR="006031E6" w:rsidRDefault="006031E6" w:rsidP="005B040B">
      <w:pPr>
        <w:pStyle w:val="ListParagraph"/>
        <w:numPr>
          <w:ilvl w:val="1"/>
          <w:numId w:val="22"/>
        </w:numPr>
        <w:spacing w:line="240" w:lineRule="auto"/>
        <w:ind w:hanging="357"/>
      </w:pPr>
      <w:r>
        <w:t>of Australian origin—it wa</w:t>
      </w:r>
      <w:r w:rsidR="00062B5A">
        <w:t>s made in Australia at least 30 </w:t>
      </w:r>
      <w:r>
        <w:t>years ago; or</w:t>
      </w:r>
    </w:p>
    <w:p w14:paraId="5EF6D214" w14:textId="61C31595" w:rsidR="006031E6" w:rsidRDefault="006031E6" w:rsidP="005B040B">
      <w:pPr>
        <w:pStyle w:val="ListParagraph"/>
        <w:numPr>
          <w:ilvl w:val="1"/>
          <w:numId w:val="22"/>
        </w:numPr>
        <w:spacing w:line="240" w:lineRule="auto"/>
        <w:ind w:hanging="357"/>
      </w:pPr>
      <w:r>
        <w:t>that has substantial Australian content—the Australian content was made in Australi</w:t>
      </w:r>
      <w:r w:rsidR="00062B5A">
        <w:t>a at least 30 </w:t>
      </w:r>
      <w:r>
        <w:t>years ago; or</w:t>
      </w:r>
    </w:p>
    <w:p w14:paraId="4DD8A37C" w14:textId="0AEA1B1D" w:rsidR="006031E6" w:rsidRDefault="006031E6" w:rsidP="005B040B">
      <w:pPr>
        <w:pStyle w:val="ListParagraph"/>
        <w:numPr>
          <w:ilvl w:val="1"/>
          <w:numId w:val="22"/>
        </w:numPr>
        <w:spacing w:line="240" w:lineRule="auto"/>
        <w:ind w:hanging="357"/>
      </w:pPr>
      <w:r>
        <w:t xml:space="preserve">that is not of Australian origin—it was </w:t>
      </w:r>
      <w:r w:rsidR="00062B5A">
        <w:t>in use in Australia at least 30 </w:t>
      </w:r>
      <w:r>
        <w:t>years ago; and</w:t>
      </w:r>
    </w:p>
    <w:p w14:paraId="5E4BA452" w14:textId="0AED619A" w:rsidR="006031E6" w:rsidRDefault="006031E6" w:rsidP="005B040B">
      <w:pPr>
        <w:pStyle w:val="ListParagraph"/>
        <w:numPr>
          <w:ilvl w:val="0"/>
          <w:numId w:val="22"/>
        </w:numPr>
        <w:spacing w:line="240" w:lineRule="auto"/>
        <w:ind w:hanging="357"/>
      </w:pPr>
      <w:r>
        <w:t>it i</w:t>
      </w:r>
      <w:r w:rsidR="00062B5A">
        <w:t>s of a kind mentioned in clause </w:t>
      </w:r>
      <w:r>
        <w:t>4.4; and</w:t>
      </w:r>
    </w:p>
    <w:p w14:paraId="0BC525C2" w14:textId="419DD7CF" w:rsidR="006031E6" w:rsidRDefault="006031E6" w:rsidP="005B040B">
      <w:pPr>
        <w:pStyle w:val="ListParagraph"/>
        <w:numPr>
          <w:ilvl w:val="0"/>
          <w:numId w:val="22"/>
        </w:numPr>
        <w:spacing w:line="240" w:lineRule="auto"/>
        <w:ind w:hanging="357"/>
      </w:pPr>
      <w:r>
        <w:t>it i</w:t>
      </w:r>
      <w:r w:rsidR="00062B5A">
        <w:t>s not represented in at least 2 </w:t>
      </w:r>
      <w:r>
        <w:t>public collection</w:t>
      </w:r>
      <w:r w:rsidR="00062B5A">
        <w:t>s</w:t>
      </w:r>
      <w:r>
        <w:t xml:space="preserve"> in Australia by an object of equivalent quality.</w:t>
      </w:r>
    </w:p>
    <w:p w14:paraId="779A51FF" w14:textId="00C2217B" w:rsidR="006031E6" w:rsidRDefault="006031E6" w:rsidP="006031E6">
      <w:r>
        <w:t>The term ‘significance to Australia’ h</w:t>
      </w:r>
      <w:r w:rsidR="00062B5A">
        <w:t>as the meaning given in section </w:t>
      </w:r>
      <w:r>
        <w:t>5 of the Regulations.</w:t>
      </w:r>
    </w:p>
    <w:p w14:paraId="11DCFED6" w14:textId="652974E8" w:rsidR="00463496" w:rsidRPr="00463496" w:rsidRDefault="006031E6" w:rsidP="00463496">
      <w:r>
        <w:t>Clause 4.4 provides that all</w:t>
      </w:r>
      <w:r w:rsidR="00463496" w:rsidRPr="00463496">
        <w:t xml:space="preserve"> obj</w:t>
      </w:r>
      <w:r w:rsidR="00062B5A">
        <w:t>ects in this category are Class </w:t>
      </w:r>
      <w:r w:rsidR="00463496" w:rsidRPr="00463496">
        <w:t>B objects</w:t>
      </w:r>
      <w:r>
        <w:t xml:space="preserve">, and </w:t>
      </w:r>
      <w:r w:rsidR="00F10679">
        <w:t>lists the kinds of objects that will be included in this categor</w:t>
      </w:r>
      <w:r w:rsidR="00062B5A">
        <w:t>y for the purposes of paragraph </w:t>
      </w:r>
      <w:r w:rsidR="00F10679">
        <w:t>4.3(c)</w:t>
      </w:r>
      <w:r w:rsidR="00463496" w:rsidRPr="00463496">
        <w:t>.</w:t>
      </w:r>
    </w:p>
    <w:p w14:paraId="0F5C52F1" w14:textId="12E0C473" w:rsidR="00B173A4" w:rsidRPr="008F2240" w:rsidRDefault="001E70F9" w:rsidP="008F2240">
      <w:pPr>
        <w:rPr>
          <w:i/>
        </w:rPr>
      </w:pPr>
      <w:r w:rsidRPr="008F2240">
        <w:rPr>
          <w:i/>
        </w:rPr>
        <w:t>Part 5—Objects of fine or decorative art</w:t>
      </w:r>
    </w:p>
    <w:p w14:paraId="3798F62B" w14:textId="02FF171E" w:rsidR="00D8217E" w:rsidRDefault="00062B5A" w:rsidP="00463496">
      <w:r>
        <w:t>Clause </w:t>
      </w:r>
      <w:r w:rsidR="00FD3C5F">
        <w:t>5.1 provides that this</w:t>
      </w:r>
      <w:r w:rsidR="00FD3C5F" w:rsidRPr="00463496">
        <w:t xml:space="preserve"> </w:t>
      </w:r>
      <w:r w:rsidR="00463496" w:rsidRPr="00463496">
        <w:t xml:space="preserve">Part lists objects </w:t>
      </w:r>
      <w:r w:rsidR="00FD3C5F">
        <w:t>of</w:t>
      </w:r>
      <w:r w:rsidR="00FD3C5F" w:rsidRPr="00463496">
        <w:t xml:space="preserve"> </w:t>
      </w:r>
      <w:r w:rsidR="00463496" w:rsidRPr="00463496">
        <w:t>the category ‘Objects of fine or decorative art’.</w:t>
      </w:r>
    </w:p>
    <w:p w14:paraId="7CD9A25D" w14:textId="709F3F9B" w:rsidR="00D8217E" w:rsidRDefault="00062B5A" w:rsidP="00463496">
      <w:r>
        <w:t>Clause </w:t>
      </w:r>
      <w:r w:rsidR="00463496" w:rsidRPr="00463496">
        <w:t xml:space="preserve">5.2 </w:t>
      </w:r>
      <w:r w:rsidR="00D8217E">
        <w:t>provides that an object is</w:t>
      </w:r>
      <w:r w:rsidR="00463496" w:rsidRPr="00463496">
        <w:t xml:space="preserve"> in this category</w:t>
      </w:r>
      <w:r w:rsidR="00D8217E">
        <w:t xml:space="preserve"> if it is:</w:t>
      </w:r>
    </w:p>
    <w:p w14:paraId="628A7E2F" w14:textId="2848615F" w:rsidR="00D8217E" w:rsidRDefault="00D8217E" w:rsidP="005B040B">
      <w:pPr>
        <w:pStyle w:val="ListParagraph"/>
        <w:numPr>
          <w:ilvl w:val="0"/>
          <w:numId w:val="23"/>
        </w:numPr>
        <w:spacing w:line="240" w:lineRule="auto"/>
        <w:ind w:left="714" w:hanging="357"/>
      </w:pPr>
      <w:r>
        <w:t xml:space="preserve">an object </w:t>
      </w:r>
      <w:r w:rsidR="00062B5A">
        <w:t>of the kind mentioned in clause </w:t>
      </w:r>
      <w:r>
        <w:t>5.3; or</w:t>
      </w:r>
    </w:p>
    <w:p w14:paraId="74D72422" w14:textId="30F6F113" w:rsidR="00D8217E" w:rsidRDefault="00D8217E" w:rsidP="005B040B">
      <w:pPr>
        <w:pStyle w:val="ListParagraph"/>
        <w:numPr>
          <w:ilvl w:val="0"/>
          <w:numId w:val="23"/>
        </w:numPr>
        <w:spacing w:line="240" w:lineRule="auto"/>
        <w:ind w:left="714" w:hanging="357"/>
      </w:pPr>
      <w:r>
        <w:t xml:space="preserve">an object </w:t>
      </w:r>
      <w:r w:rsidR="00062B5A">
        <w:t>of the kind mentioned in clause </w:t>
      </w:r>
      <w:r>
        <w:t xml:space="preserve">5.4 </w:t>
      </w:r>
      <w:r w:rsidR="00FB5621">
        <w:t>that is an Australia-re</w:t>
      </w:r>
      <w:r w:rsidR="00062B5A">
        <w:t>lated object and is at least 30 </w:t>
      </w:r>
      <w:r w:rsidR="00FB5621">
        <w:t>years old</w:t>
      </w:r>
      <w:r w:rsidR="00463496" w:rsidRPr="00463496">
        <w:t>.</w:t>
      </w:r>
    </w:p>
    <w:p w14:paraId="63513AD6" w14:textId="34A42743" w:rsidR="00463496" w:rsidRPr="00463496" w:rsidRDefault="00FB5621" w:rsidP="00463496">
      <w:r>
        <w:lastRenderedPageBreak/>
        <w:t xml:space="preserve">For the purposes of </w:t>
      </w:r>
      <w:r w:rsidR="00E51DB8">
        <w:t>paragraph</w:t>
      </w:r>
      <w:r w:rsidR="00062B5A">
        <w:t> </w:t>
      </w:r>
      <w:r>
        <w:t>5.2(a), cl</w:t>
      </w:r>
      <w:r w:rsidR="00062B5A">
        <w:t>ause </w:t>
      </w:r>
      <w:r>
        <w:t xml:space="preserve">5.3 provides that objects mentioned in </w:t>
      </w:r>
      <w:r w:rsidR="00616446">
        <w:t>C</w:t>
      </w:r>
      <w:r w:rsidR="00062B5A">
        <w:t>olumn </w:t>
      </w:r>
      <w:r>
        <w:t xml:space="preserve">1 of the items in the table contained in the clause that have a current Australian market value of at least the amount mentioned in </w:t>
      </w:r>
      <w:r w:rsidR="00616446">
        <w:t>C</w:t>
      </w:r>
      <w:r w:rsidR="00062B5A">
        <w:t>olumn </w:t>
      </w:r>
      <w:r>
        <w:t>2 of the table fo</w:t>
      </w:r>
      <w:r w:rsidR="00062B5A">
        <w:t>r that item are Class </w:t>
      </w:r>
      <w:r>
        <w:t>A objects.</w:t>
      </w:r>
    </w:p>
    <w:p w14:paraId="06EED0E5" w14:textId="5EA189A3" w:rsidR="00FB5621" w:rsidRPr="00463496" w:rsidRDefault="00FB5621" w:rsidP="00463496">
      <w:r>
        <w:t xml:space="preserve">For the purposes of </w:t>
      </w:r>
      <w:r w:rsidR="00E51DB8">
        <w:t>paragraph</w:t>
      </w:r>
      <w:r w:rsidR="00062B5A">
        <w:t> </w:t>
      </w:r>
      <w:r>
        <w:t>5.2(b), c</w:t>
      </w:r>
      <w:r w:rsidR="00062B5A">
        <w:t>lause </w:t>
      </w:r>
      <w:r>
        <w:t xml:space="preserve">5.4 provides that objects mentioned in </w:t>
      </w:r>
      <w:r w:rsidR="00616446">
        <w:t>C</w:t>
      </w:r>
      <w:r w:rsidR="00062B5A">
        <w:t>olumn </w:t>
      </w:r>
      <w:r>
        <w:t xml:space="preserve">1 of the items in the table contained in the clause that have a current Australian market value of at least the amount mentioned in </w:t>
      </w:r>
      <w:r w:rsidR="00616446">
        <w:t>C</w:t>
      </w:r>
      <w:r w:rsidR="00062B5A">
        <w:t>olumn 2 of that item are Class </w:t>
      </w:r>
      <w:r>
        <w:t>B objects (providing those objects are Au</w:t>
      </w:r>
      <w:r w:rsidR="00062B5A">
        <w:t>stralia-related and at least 30 </w:t>
      </w:r>
      <w:r>
        <w:t>year</w:t>
      </w:r>
      <w:r w:rsidR="00062B5A">
        <w:t xml:space="preserve">s old in accordance with </w:t>
      </w:r>
      <w:r w:rsidR="00CA1AB4">
        <w:t>paragraph </w:t>
      </w:r>
      <w:r>
        <w:t>5.2(b)).</w:t>
      </w:r>
    </w:p>
    <w:p w14:paraId="1CCBDB6E" w14:textId="40324B97" w:rsidR="00082100" w:rsidRDefault="00463496" w:rsidP="00463496">
      <w:r w:rsidRPr="00463496">
        <w:t xml:space="preserve">Objects in this category are </w:t>
      </w:r>
      <w:r w:rsidR="00FB5621">
        <w:t>subcategorised</w:t>
      </w:r>
      <w:r w:rsidRPr="00463496">
        <w:t xml:space="preserve"> according to </w:t>
      </w:r>
      <w:r w:rsidR="00FB5621">
        <w:t>historical period</w:t>
      </w:r>
      <w:r w:rsidRPr="00463496">
        <w:t xml:space="preserve">, medium and in some cases </w:t>
      </w:r>
      <w:r w:rsidR="00FB5621">
        <w:t xml:space="preserve">creator or </w:t>
      </w:r>
      <w:r w:rsidRPr="00463496">
        <w:t xml:space="preserve">region of creation. </w:t>
      </w:r>
      <w:r w:rsidR="00326936">
        <w:t xml:space="preserve">In relation to determining </w:t>
      </w:r>
      <w:r w:rsidR="00082100">
        <w:t>whether</w:t>
      </w:r>
      <w:r w:rsidR="007F759A">
        <w:t xml:space="preserve"> </w:t>
      </w:r>
      <w:r w:rsidRPr="00463496">
        <w:t xml:space="preserve">an object </w:t>
      </w:r>
      <w:r w:rsidR="00326936">
        <w:t xml:space="preserve">that </w:t>
      </w:r>
      <w:r w:rsidRPr="00463496">
        <w:t xml:space="preserve">is </w:t>
      </w:r>
      <w:r w:rsidR="00326936">
        <w:t>‘</w:t>
      </w:r>
      <w:r w:rsidRPr="00463496">
        <w:t>mixed media</w:t>
      </w:r>
      <w:r w:rsidR="00326936">
        <w:t>’</w:t>
      </w:r>
      <w:r w:rsidR="00062B5A">
        <w:t xml:space="preserve"> </w:t>
      </w:r>
      <w:r w:rsidR="0050752E">
        <w:t>is</w:t>
      </w:r>
      <w:r w:rsidR="00062B5A">
        <w:t xml:space="preserve"> a Class </w:t>
      </w:r>
      <w:r w:rsidR="00082100">
        <w:t xml:space="preserve">A object </w:t>
      </w:r>
      <w:r w:rsidR="00062B5A">
        <w:t>a Class </w:t>
      </w:r>
      <w:r w:rsidR="00082100">
        <w:t>B object in this category</w:t>
      </w:r>
      <w:r w:rsidRPr="00463496">
        <w:t xml:space="preserve">, </w:t>
      </w:r>
      <w:r w:rsidR="00082100">
        <w:t>the object</w:t>
      </w:r>
      <w:r w:rsidR="00082100" w:rsidRPr="00463496">
        <w:t xml:space="preserve"> </w:t>
      </w:r>
      <w:r w:rsidRPr="00463496">
        <w:t xml:space="preserve">should be </w:t>
      </w:r>
      <w:r w:rsidR="00326936">
        <w:t>categorised</w:t>
      </w:r>
      <w:r w:rsidR="00326936" w:rsidRPr="00463496">
        <w:t xml:space="preserve"> </w:t>
      </w:r>
      <w:r w:rsidRPr="00463496">
        <w:t xml:space="preserve">according to the primary medium, or where no single </w:t>
      </w:r>
      <w:r w:rsidR="00326936">
        <w:t>primary</w:t>
      </w:r>
      <w:r w:rsidRPr="00463496">
        <w:t xml:space="preserve"> medium can be identified, as an object </w:t>
      </w:r>
      <w:r w:rsidR="00062B5A">
        <w:t>within item 15 of the table in clause </w:t>
      </w:r>
      <w:r w:rsidR="00326936">
        <w:t>5.4 (any</w:t>
      </w:r>
      <w:r w:rsidRPr="00463496">
        <w:t xml:space="preserve"> object of fine and decorat</w:t>
      </w:r>
      <w:r>
        <w:t>ive art not otherwise covered</w:t>
      </w:r>
      <w:r w:rsidR="00326936">
        <w:t xml:space="preserve"> by an </w:t>
      </w:r>
      <w:r w:rsidR="00062B5A">
        <w:t>item of the table in clause </w:t>
      </w:r>
      <w:r w:rsidR="00326936">
        <w:t>5.4)</w:t>
      </w:r>
      <w:r>
        <w:t>.</w:t>
      </w:r>
    </w:p>
    <w:p w14:paraId="3E4B1CFA" w14:textId="33D7FEDC" w:rsidR="00463496" w:rsidRPr="00463496" w:rsidRDefault="00082100" w:rsidP="00463496">
      <w:r>
        <w:t>For example, a person might seek to export a 50</w:t>
      </w:r>
      <w:r w:rsidR="00162789">
        <w:t>-</w:t>
      </w:r>
      <w:r>
        <w:t>year-old artwork that was ‘Australia-related’ and created using a mixture of oil paint and watercolours. If the primary medium could be ascertained to be oil painting, then t</w:t>
      </w:r>
      <w:r w:rsidR="00062B5A">
        <w:t>he work would be a Class </w:t>
      </w:r>
      <w:r>
        <w:t>B object only if the current Australian market value of the object was $3</w:t>
      </w:r>
      <w:r w:rsidR="00062B5A">
        <w:t>50,000, in accordance with item 4 of the table in clause </w:t>
      </w:r>
      <w:r>
        <w:t xml:space="preserve">5.4. However, if the primary medium of the work was ascertained to be watercolour, the work would be </w:t>
      </w:r>
      <w:r w:rsidR="00062B5A">
        <w:t>a Class </w:t>
      </w:r>
      <w:r>
        <w:t>B object if the current Australian market value was at least $</w:t>
      </w:r>
      <w:r w:rsidR="00062B5A">
        <w:t>40,000, in accordance with item 1 of the table in clause </w:t>
      </w:r>
      <w:r>
        <w:t>5.4</w:t>
      </w:r>
      <w:r w:rsidR="00162789">
        <w:t>. If no primary medium could be identi</w:t>
      </w:r>
      <w:r w:rsidR="00062B5A">
        <w:t>fied, the work would be a Class </w:t>
      </w:r>
      <w:r w:rsidR="00162789">
        <w:t xml:space="preserve">B object if the current Australian market value was at least </w:t>
      </w:r>
      <w:r w:rsidR="00062B5A">
        <w:t>$10,000 in accordance with item 15 of the table in clause </w:t>
      </w:r>
      <w:r w:rsidR="00162789">
        <w:t>5.4.</w:t>
      </w:r>
    </w:p>
    <w:p w14:paraId="62A3789D" w14:textId="7D56FAD5" w:rsidR="00463496" w:rsidRPr="00463496" w:rsidRDefault="00162789" w:rsidP="00463496">
      <w:r>
        <w:t>Clause 5.5 provides that, notwithstanding clauses 5.2 to 5.4, an</w:t>
      </w:r>
      <w:r w:rsidR="00463496" w:rsidRPr="00463496">
        <w:t xml:space="preserve"> object is not in this category </w:t>
      </w:r>
      <w:r w:rsidR="001724FD">
        <w:t>(and therefore not on the Control List)</w:t>
      </w:r>
      <w:r w:rsidR="00463496" w:rsidRPr="00463496">
        <w:t xml:space="preserve"> if it is owned by the person who created the object.</w:t>
      </w:r>
      <w:r w:rsidR="009340B7">
        <w:t xml:space="preserve"> This will ensure that the ability of artists to deal with their own work is not impeded.</w:t>
      </w:r>
    </w:p>
    <w:p w14:paraId="355C7F7C" w14:textId="7878713C" w:rsidR="00162789" w:rsidRDefault="002B5D9A" w:rsidP="00463496">
      <w:r>
        <w:t>Clause 5.6 provides that, for the purposes of Part</w:t>
      </w:r>
      <w:r w:rsidR="00062B5A">
        <w:t> </w:t>
      </w:r>
      <w:r>
        <w:t>5, the term ‘Australia-related object’ means an object designed or made:</w:t>
      </w:r>
    </w:p>
    <w:p w14:paraId="4B5B064E" w14:textId="45ED020D" w:rsidR="002B5D9A" w:rsidRDefault="002B5D9A" w:rsidP="005B040B">
      <w:pPr>
        <w:pStyle w:val="ListParagraph"/>
        <w:numPr>
          <w:ilvl w:val="0"/>
          <w:numId w:val="24"/>
        </w:numPr>
        <w:spacing w:line="240" w:lineRule="auto"/>
        <w:ind w:left="714" w:hanging="357"/>
      </w:pPr>
      <w:r>
        <w:t>in or outside Australia by an Australian; or</w:t>
      </w:r>
    </w:p>
    <w:p w14:paraId="7DBC8FFE" w14:textId="58C0731C" w:rsidR="002B5D9A" w:rsidRDefault="002B5D9A" w:rsidP="005B040B">
      <w:pPr>
        <w:pStyle w:val="ListParagraph"/>
        <w:numPr>
          <w:ilvl w:val="0"/>
          <w:numId w:val="24"/>
        </w:numPr>
        <w:spacing w:line="240" w:lineRule="auto"/>
        <w:ind w:left="714" w:hanging="357"/>
      </w:pPr>
      <w:r>
        <w:t>in Australia by a foreign person who , at some time, worked or resided in Australia; or</w:t>
      </w:r>
    </w:p>
    <w:p w14:paraId="0412043F" w14:textId="58BC1A29" w:rsidR="002B5D9A" w:rsidRPr="00463496" w:rsidRDefault="002B5D9A" w:rsidP="005B040B">
      <w:pPr>
        <w:pStyle w:val="ListParagraph"/>
        <w:numPr>
          <w:ilvl w:val="0"/>
          <w:numId w:val="24"/>
        </w:numPr>
        <w:spacing w:line="240" w:lineRule="auto"/>
        <w:ind w:left="714" w:hanging="357"/>
      </w:pPr>
      <w:r>
        <w:t>outside Australia by a foreign person, if the object incorporates Australian motifs or subject matter, or is otherwise relevant to Australia.</w:t>
      </w:r>
    </w:p>
    <w:p w14:paraId="1E64AE0B" w14:textId="53DD2F9E" w:rsidR="00B173A4" w:rsidRPr="008F2240" w:rsidRDefault="001E70F9" w:rsidP="008F2240">
      <w:pPr>
        <w:rPr>
          <w:i/>
        </w:rPr>
      </w:pPr>
      <w:r w:rsidRPr="008F2240">
        <w:rPr>
          <w:i/>
        </w:rPr>
        <w:t>Part 6—Objects of documentary heritage</w:t>
      </w:r>
    </w:p>
    <w:p w14:paraId="3946C662" w14:textId="2292E02F" w:rsidR="002B5D9A" w:rsidRDefault="00FD3C5F" w:rsidP="00463496">
      <w:r>
        <w:lastRenderedPageBreak/>
        <w:t>Clause 6.1 provides that this</w:t>
      </w:r>
      <w:r w:rsidRPr="00463496">
        <w:t xml:space="preserve"> </w:t>
      </w:r>
      <w:r w:rsidR="00463496" w:rsidRPr="00463496">
        <w:t xml:space="preserve">Part lists objects </w:t>
      </w:r>
      <w:r>
        <w:t>of</w:t>
      </w:r>
      <w:r w:rsidRPr="00463496">
        <w:t xml:space="preserve"> </w:t>
      </w:r>
      <w:r w:rsidR="00463496" w:rsidRPr="00463496">
        <w:t>the category ‘Objects of documentary heritage’.</w:t>
      </w:r>
    </w:p>
    <w:p w14:paraId="208D26C4" w14:textId="153C4D00" w:rsidR="002B5D9A" w:rsidRDefault="00463496" w:rsidP="002B5D9A">
      <w:r w:rsidRPr="00463496">
        <w:t xml:space="preserve">Clause 6.2 </w:t>
      </w:r>
      <w:r w:rsidR="002B5D9A">
        <w:t>provides that an object is</w:t>
      </w:r>
      <w:r w:rsidRPr="00463496">
        <w:t xml:space="preserve"> in this category</w:t>
      </w:r>
      <w:r w:rsidR="002B5D9A">
        <w:t xml:space="preserve"> if it is a document that:</w:t>
      </w:r>
    </w:p>
    <w:p w14:paraId="6214E686" w14:textId="148ED35B" w:rsidR="002B5D9A" w:rsidRDefault="007F759A" w:rsidP="005B040B">
      <w:pPr>
        <w:pStyle w:val="ListParagraph"/>
        <w:numPr>
          <w:ilvl w:val="0"/>
          <w:numId w:val="25"/>
        </w:numPr>
        <w:spacing w:line="240" w:lineRule="auto"/>
        <w:ind w:left="714" w:hanging="357"/>
      </w:pPr>
      <w:r>
        <w:t xml:space="preserve">is </w:t>
      </w:r>
      <w:r w:rsidR="002B5D9A">
        <w:t>of significance to Australia; and</w:t>
      </w:r>
    </w:p>
    <w:p w14:paraId="56DC7ACB" w14:textId="6545893C" w:rsidR="002B5D9A" w:rsidRDefault="00062B5A" w:rsidP="005B040B">
      <w:pPr>
        <w:pStyle w:val="ListParagraph"/>
        <w:numPr>
          <w:ilvl w:val="0"/>
          <w:numId w:val="25"/>
        </w:numPr>
        <w:spacing w:line="240" w:lineRule="auto"/>
        <w:ind w:left="714" w:hanging="357"/>
      </w:pPr>
      <w:r>
        <w:t>at least 30 </w:t>
      </w:r>
      <w:r w:rsidR="002B5D9A">
        <w:t>years old; and</w:t>
      </w:r>
    </w:p>
    <w:p w14:paraId="5090FD0E" w14:textId="1DC2406F" w:rsidR="002B5D9A" w:rsidRDefault="002B5D9A" w:rsidP="005B040B">
      <w:pPr>
        <w:pStyle w:val="ListParagraph"/>
        <w:numPr>
          <w:ilvl w:val="0"/>
          <w:numId w:val="25"/>
        </w:numPr>
        <w:spacing w:line="240" w:lineRule="auto"/>
        <w:ind w:left="714" w:hanging="357"/>
      </w:pPr>
      <w:r>
        <w:t>is not represe</w:t>
      </w:r>
      <w:r w:rsidR="00062B5A">
        <w:t>nted in at least 2 </w:t>
      </w:r>
      <w:r>
        <w:t>public collections in Australia by an object of equivalent quality</w:t>
      </w:r>
      <w:r w:rsidR="00463496" w:rsidRPr="00463496">
        <w:t>.</w:t>
      </w:r>
    </w:p>
    <w:p w14:paraId="157F99D5" w14:textId="2C0611B1" w:rsidR="00463496" w:rsidRPr="00463496" w:rsidRDefault="002B5D9A" w:rsidP="00463496">
      <w:r>
        <w:t>Clause 6.3 provides that all</w:t>
      </w:r>
      <w:r w:rsidR="00463496" w:rsidRPr="00463496">
        <w:t xml:space="preserve"> obj</w:t>
      </w:r>
      <w:r w:rsidR="00062B5A">
        <w:t>ects in this category are Class </w:t>
      </w:r>
      <w:r w:rsidR="00463496" w:rsidRPr="00463496">
        <w:t>B objects.</w:t>
      </w:r>
    </w:p>
    <w:p w14:paraId="2F85BB35" w14:textId="50C2B277" w:rsidR="002B5D9A" w:rsidRPr="00463496" w:rsidRDefault="002B5D9A" w:rsidP="00463496">
      <w:r>
        <w:t>Clause 6.4 contains definitions of the term ‘document’ and ‘government records or archives’ for the purposes of the Part.</w:t>
      </w:r>
    </w:p>
    <w:p w14:paraId="32A76735" w14:textId="677890F2" w:rsidR="00B173A4" w:rsidRPr="008F2240" w:rsidRDefault="001E70F9" w:rsidP="008F2240">
      <w:pPr>
        <w:rPr>
          <w:i/>
        </w:rPr>
      </w:pPr>
      <w:r w:rsidRPr="008F2240">
        <w:rPr>
          <w:i/>
        </w:rPr>
        <w:t>Part 7—Numismatic objects</w:t>
      </w:r>
    </w:p>
    <w:p w14:paraId="0FBC47E1" w14:textId="35677A62" w:rsidR="002B5D9A" w:rsidRDefault="00FD3C5F" w:rsidP="00463496">
      <w:r>
        <w:t xml:space="preserve">Clause 7.1 provides that this </w:t>
      </w:r>
      <w:r w:rsidR="00463496" w:rsidRPr="00463496">
        <w:t xml:space="preserve">Part lists objects </w:t>
      </w:r>
      <w:r>
        <w:t>of</w:t>
      </w:r>
      <w:r w:rsidRPr="00463496">
        <w:t xml:space="preserve"> </w:t>
      </w:r>
      <w:r w:rsidR="00463496" w:rsidRPr="00463496">
        <w:t>the category ‘Numismatic objects’.</w:t>
      </w:r>
    </w:p>
    <w:p w14:paraId="14B94A87" w14:textId="639A31A9" w:rsidR="00447A2A" w:rsidRDefault="00463496" w:rsidP="00447A2A">
      <w:r w:rsidRPr="00463496">
        <w:t xml:space="preserve">Clause 7.2 </w:t>
      </w:r>
      <w:r w:rsidR="002B5D9A">
        <w:t>provides that an object is</w:t>
      </w:r>
      <w:r w:rsidRPr="00463496">
        <w:t xml:space="preserve"> in this category</w:t>
      </w:r>
      <w:r w:rsidR="00447A2A">
        <w:t xml:space="preserve"> if it is:</w:t>
      </w:r>
    </w:p>
    <w:p w14:paraId="535A1BDB" w14:textId="77777777" w:rsidR="00447A2A" w:rsidRDefault="00447A2A" w:rsidP="005B040B">
      <w:pPr>
        <w:pStyle w:val="ListParagraph"/>
        <w:numPr>
          <w:ilvl w:val="0"/>
          <w:numId w:val="26"/>
        </w:numPr>
        <w:spacing w:line="240" w:lineRule="auto"/>
        <w:ind w:hanging="357"/>
      </w:pPr>
      <w:r>
        <w:t>a Victoria Cross medal awarded to a person mentioned in clause 7.3; or</w:t>
      </w:r>
    </w:p>
    <w:p w14:paraId="67573E1B" w14:textId="162D3F5C" w:rsidR="00447A2A" w:rsidRDefault="00447A2A" w:rsidP="005B040B">
      <w:pPr>
        <w:pStyle w:val="ListParagraph"/>
        <w:numPr>
          <w:ilvl w:val="0"/>
          <w:numId w:val="26"/>
        </w:numPr>
        <w:spacing w:line="240" w:lineRule="auto"/>
        <w:ind w:hanging="357"/>
      </w:pPr>
      <w:r>
        <w:t>an object of a kind mentioned in any of paragraphs 7.4(b) to (e) that:</w:t>
      </w:r>
    </w:p>
    <w:p w14:paraId="3394B6F1" w14:textId="77777777" w:rsidR="00E448CF" w:rsidRDefault="00E448CF" w:rsidP="005B040B">
      <w:pPr>
        <w:pStyle w:val="ListParagraph"/>
        <w:numPr>
          <w:ilvl w:val="1"/>
          <w:numId w:val="26"/>
        </w:numPr>
        <w:spacing w:line="240" w:lineRule="auto"/>
        <w:ind w:hanging="357"/>
      </w:pPr>
      <w:r>
        <w:t>is of significance to Australia; and</w:t>
      </w:r>
    </w:p>
    <w:p w14:paraId="6F2CA327" w14:textId="77777777" w:rsidR="00E448CF" w:rsidRDefault="00E448CF" w:rsidP="005B040B">
      <w:pPr>
        <w:pStyle w:val="ListParagraph"/>
        <w:numPr>
          <w:ilvl w:val="1"/>
          <w:numId w:val="26"/>
        </w:numPr>
        <w:spacing w:line="240" w:lineRule="auto"/>
        <w:ind w:hanging="357"/>
      </w:pPr>
      <w:r>
        <w:t>has a current Australian market value of at least $15,000; and</w:t>
      </w:r>
    </w:p>
    <w:p w14:paraId="22D2334C" w14:textId="2D70113D" w:rsidR="002B5D9A" w:rsidRDefault="00E448CF" w:rsidP="005B040B">
      <w:pPr>
        <w:pStyle w:val="ListParagraph"/>
        <w:numPr>
          <w:ilvl w:val="1"/>
          <w:numId w:val="26"/>
        </w:numPr>
        <w:spacing w:line="240" w:lineRule="auto"/>
        <w:ind w:hanging="357"/>
      </w:pPr>
      <w:r>
        <w:t>is not represented in at least 2 public collections in Australia by an object of equivalent quality</w:t>
      </w:r>
      <w:r w:rsidR="00463496" w:rsidRPr="00463496">
        <w:t>.</w:t>
      </w:r>
    </w:p>
    <w:p w14:paraId="35476B94" w14:textId="0A4FBD04" w:rsidR="00E448CF" w:rsidRDefault="00E448CF" w:rsidP="002B5D9A">
      <w:r>
        <w:t xml:space="preserve">Clause 7.3 lists a number of Victoria Cross medal recipients and provides that a Victoria Cross medal awarded to </w:t>
      </w:r>
      <w:r w:rsidR="00062B5A">
        <w:t>any of those persons is a Class </w:t>
      </w:r>
      <w:r>
        <w:t>A object unless it is owned, or held on loan, by the Commonwealth or a principal collecting institution.</w:t>
      </w:r>
      <w:r w:rsidR="008A4936">
        <w:t xml:space="preserve"> This will allow, for example, a Victoria Cross medal in the collection of the Australian War Memorial to be temporarily exported for commemorative purposes.</w:t>
      </w:r>
    </w:p>
    <w:p w14:paraId="1BE36129" w14:textId="332A27C5" w:rsidR="00E448CF" w:rsidRDefault="00E448CF" w:rsidP="002B5D9A">
      <w:r>
        <w:t>The Commonwealth is intended to include Departments of State, such as the Department of Defence, but is not intended to have a restrictive meaning. The term ‘principal collecting institution’ h</w:t>
      </w:r>
      <w:r w:rsidR="00062B5A">
        <w:t>as the meaning given in section </w:t>
      </w:r>
      <w:r>
        <w:t>3 of the</w:t>
      </w:r>
      <w:r w:rsidR="00062B5A">
        <w:t xml:space="preserve"> Act by operation of subsection </w:t>
      </w:r>
      <w:r>
        <w:t xml:space="preserve">13(1) of the </w:t>
      </w:r>
      <w:r w:rsidR="00062B5A">
        <w:rPr>
          <w:i/>
        </w:rPr>
        <w:t>Legislation Act </w:t>
      </w:r>
      <w:r>
        <w:rPr>
          <w:i/>
        </w:rPr>
        <w:t>2003</w:t>
      </w:r>
      <w:r>
        <w:t>. The term is defined in that section to mean any of the following established under a law of the Commonwealth, a State or a Territory:</w:t>
      </w:r>
    </w:p>
    <w:p w14:paraId="03948925" w14:textId="3EC22188" w:rsidR="00E448CF" w:rsidRDefault="00E448CF" w:rsidP="005B040B">
      <w:pPr>
        <w:pStyle w:val="ListParagraph"/>
        <w:numPr>
          <w:ilvl w:val="0"/>
          <w:numId w:val="27"/>
        </w:numPr>
        <w:spacing w:line="240" w:lineRule="auto"/>
        <w:ind w:left="714" w:hanging="357"/>
      </w:pPr>
      <w:r>
        <w:t>a public art gallery; or</w:t>
      </w:r>
    </w:p>
    <w:p w14:paraId="2FF40074" w14:textId="7691070C" w:rsidR="00E448CF" w:rsidRDefault="00E448CF" w:rsidP="005B040B">
      <w:pPr>
        <w:pStyle w:val="ListParagraph"/>
        <w:numPr>
          <w:ilvl w:val="0"/>
          <w:numId w:val="27"/>
        </w:numPr>
        <w:spacing w:line="240" w:lineRule="auto"/>
        <w:ind w:left="714" w:hanging="357"/>
      </w:pPr>
      <w:r>
        <w:t>a public museum; or</w:t>
      </w:r>
    </w:p>
    <w:p w14:paraId="7CD0EFEB" w14:textId="0B1EC068" w:rsidR="00E448CF" w:rsidRDefault="00E448CF" w:rsidP="005B040B">
      <w:pPr>
        <w:pStyle w:val="ListParagraph"/>
        <w:numPr>
          <w:ilvl w:val="0"/>
          <w:numId w:val="27"/>
        </w:numPr>
        <w:spacing w:line="240" w:lineRule="auto"/>
        <w:ind w:left="714" w:hanging="357"/>
      </w:pPr>
      <w:r>
        <w:t>a public library; or</w:t>
      </w:r>
    </w:p>
    <w:p w14:paraId="5F9C52BB" w14:textId="453A2DB3" w:rsidR="00E448CF" w:rsidRDefault="00E448CF" w:rsidP="005B040B">
      <w:pPr>
        <w:pStyle w:val="ListParagraph"/>
        <w:numPr>
          <w:ilvl w:val="0"/>
          <w:numId w:val="27"/>
        </w:numPr>
        <w:spacing w:line="240" w:lineRule="auto"/>
        <w:ind w:left="714" w:hanging="357"/>
      </w:pPr>
      <w:r>
        <w:t>public archives.</w:t>
      </w:r>
    </w:p>
    <w:p w14:paraId="7EA2C3B0" w14:textId="25A924B9" w:rsidR="00E448CF" w:rsidRDefault="00E448CF" w:rsidP="00E448CF">
      <w:r>
        <w:lastRenderedPageBreak/>
        <w:t>For example, a Victoria Cross medal awarded</w:t>
      </w:r>
      <w:r w:rsidR="00062B5A">
        <w:t xml:space="preserve"> to a person listed in clause 7.3 should not be a Class </w:t>
      </w:r>
      <w:r>
        <w:t xml:space="preserve">A object where owned or held on loan by the Australian War Memorial, which is a statutory corporation established by the </w:t>
      </w:r>
      <w:r w:rsidR="00062B5A">
        <w:rPr>
          <w:i/>
        </w:rPr>
        <w:t>Australian War Memorial Act </w:t>
      </w:r>
      <w:r>
        <w:rPr>
          <w:i/>
        </w:rPr>
        <w:t>1980</w:t>
      </w:r>
      <w:r>
        <w:t>.</w:t>
      </w:r>
    </w:p>
    <w:p w14:paraId="5FD4A09F" w14:textId="602497B8" w:rsidR="00B47955" w:rsidRDefault="00B47955" w:rsidP="002B5D9A">
      <w:r>
        <w:t xml:space="preserve">Clause 7.4 </w:t>
      </w:r>
      <w:r w:rsidR="004E2E31">
        <w:t>lists</w:t>
      </w:r>
      <w:r>
        <w:t xml:space="preserve"> the other </w:t>
      </w:r>
      <w:r w:rsidR="004E2E31">
        <w:t>kinds</w:t>
      </w:r>
      <w:r>
        <w:t xml:space="preserve"> of objects </w:t>
      </w:r>
      <w:r w:rsidR="004E2E31">
        <w:t>that will be included</w:t>
      </w:r>
      <w:r>
        <w:t xml:space="preserve"> in this category for the purposes of paragraph 7.2(b) (providing they meet the significance test, market value threshold and representation test in paragraph 7.2(b))</w:t>
      </w:r>
      <w:r w:rsidR="004E2E31">
        <w:t xml:space="preserve">, and that </w:t>
      </w:r>
      <w:r w:rsidR="0093144C">
        <w:t xml:space="preserve">they </w:t>
      </w:r>
      <w:r w:rsidR="004E2E31">
        <w:t>will be Class B objects</w:t>
      </w:r>
      <w:r>
        <w:t xml:space="preserve">. For avoidance of doubt, a Victoria Cross medal awarded to a person mentioned in clause 7.3 that is owned or held on loan by the Commonwealth </w:t>
      </w:r>
      <w:r w:rsidR="001724FD">
        <w:t xml:space="preserve">will be a Class B object regardless of whether it meets the tests and threshold in </w:t>
      </w:r>
      <w:r w:rsidR="00E51DB8">
        <w:t>paragraph</w:t>
      </w:r>
      <w:r w:rsidR="001724FD">
        <w:t xml:space="preserve"> 7.2(b).</w:t>
      </w:r>
    </w:p>
    <w:p w14:paraId="01F64816" w14:textId="2B29490E" w:rsidR="001724FD" w:rsidRDefault="001724FD" w:rsidP="002B5D9A">
      <w:r>
        <w:t>The result is that Victoria Cross medal</w:t>
      </w:r>
      <w:r w:rsidR="00062B5A">
        <w:t>s that would otherwise be Class </w:t>
      </w:r>
      <w:r>
        <w:t>A objects but are</w:t>
      </w:r>
      <w:r w:rsidR="00463496" w:rsidRPr="00463496">
        <w:t xml:space="preserve"> owned or held on loan by the Commonwealth or a principal c</w:t>
      </w:r>
      <w:r w:rsidR="00062B5A">
        <w:t>ollecting institution are Class </w:t>
      </w:r>
      <w:r w:rsidR="00463496" w:rsidRPr="00463496">
        <w:t>B objects</w:t>
      </w:r>
      <w:r>
        <w:t>,</w:t>
      </w:r>
      <w:r w:rsidR="0093144C">
        <w:t xml:space="preserve"> </w:t>
      </w:r>
      <w:r w:rsidR="00463496" w:rsidRPr="00463496">
        <w:t xml:space="preserve">and </w:t>
      </w:r>
      <w:r>
        <w:t>may</w:t>
      </w:r>
      <w:r w:rsidRPr="00463496">
        <w:t xml:space="preserve"> </w:t>
      </w:r>
      <w:r w:rsidR="00463496" w:rsidRPr="00463496">
        <w:t xml:space="preserve">therefore be </w:t>
      </w:r>
      <w:r>
        <w:t>able to be</w:t>
      </w:r>
      <w:r w:rsidR="00463496" w:rsidRPr="00463496">
        <w:t xml:space="preserve"> temporarily exported, i.e. for the purposes of public exhibition and commemoration.</w:t>
      </w:r>
    </w:p>
    <w:p w14:paraId="7ECAC8B9" w14:textId="6AF9C194" w:rsidR="00A102B1" w:rsidRDefault="007933C5" w:rsidP="002B5D9A">
      <w:r>
        <w:t>Paragraph</w:t>
      </w:r>
      <w:r w:rsidR="00463496" w:rsidRPr="00463496">
        <w:t xml:space="preserve"> 7.5</w:t>
      </w:r>
      <w:r w:rsidR="001724FD">
        <w:t>(a), however, provides</w:t>
      </w:r>
      <w:r w:rsidR="00463496" w:rsidRPr="00463496">
        <w:t xml:space="preserve"> </w:t>
      </w:r>
      <w:r w:rsidR="001724FD">
        <w:t>that a</w:t>
      </w:r>
      <w:r w:rsidR="00463496" w:rsidRPr="00463496">
        <w:t xml:space="preserve"> Victoria Cross medal </w:t>
      </w:r>
      <w:r w:rsidR="001724FD">
        <w:t>awarded to a person mentioned in clause 7.3</w:t>
      </w:r>
      <w:r w:rsidR="007F0D4B">
        <w:t xml:space="preserve"> </w:t>
      </w:r>
      <w:r w:rsidR="001724FD">
        <w:t>is</w:t>
      </w:r>
      <w:r w:rsidR="00463496" w:rsidRPr="00463496">
        <w:t xml:space="preserve"> not in this category</w:t>
      </w:r>
      <w:r w:rsidR="001724FD">
        <w:t xml:space="preserve"> (and therefore not on the Control</w:t>
      </w:r>
      <w:r w:rsidR="00062B5A">
        <w:t xml:space="preserve"> List), notwithstanding clauses </w:t>
      </w:r>
      <w:r w:rsidR="001724FD">
        <w:t>7.2 to 7.4, if</w:t>
      </w:r>
      <w:r w:rsidR="00A102B1">
        <w:t xml:space="preserve"> it is:</w:t>
      </w:r>
    </w:p>
    <w:p w14:paraId="7D20A38F" w14:textId="51BB2161" w:rsidR="00A102B1" w:rsidRDefault="00A102B1" w:rsidP="005B040B">
      <w:pPr>
        <w:pStyle w:val="ListParagraph"/>
        <w:numPr>
          <w:ilvl w:val="0"/>
          <w:numId w:val="28"/>
        </w:numPr>
        <w:spacing w:line="240" w:lineRule="auto"/>
        <w:ind w:left="714" w:hanging="357"/>
      </w:pPr>
      <w:r>
        <w:t>owned by the person to whom the award was made, or, in the case of a posthumous awar</w:t>
      </w:r>
      <w:r w:rsidR="007F0D4B">
        <w:t>d</w:t>
      </w:r>
      <w:r>
        <w:t>, the person’s next of kind; and</w:t>
      </w:r>
    </w:p>
    <w:p w14:paraId="5C66489D" w14:textId="69659A95" w:rsidR="00463496" w:rsidRPr="00463496" w:rsidRDefault="00A102B1" w:rsidP="005B040B">
      <w:pPr>
        <w:pStyle w:val="ListParagraph"/>
        <w:numPr>
          <w:ilvl w:val="0"/>
          <w:numId w:val="28"/>
        </w:numPr>
        <w:spacing w:line="240" w:lineRule="auto"/>
        <w:ind w:left="714" w:hanging="357"/>
      </w:pPr>
      <w:r>
        <w:t>not held on loan by the Commonwealth or a principal collecting institution</w:t>
      </w:r>
      <w:r w:rsidR="00463496" w:rsidRPr="00463496">
        <w:t>.</w:t>
      </w:r>
    </w:p>
    <w:p w14:paraId="7BE9D3BE" w14:textId="7B44AD58" w:rsidR="007933C5" w:rsidRDefault="007933C5" w:rsidP="00463496">
      <w:r>
        <w:t xml:space="preserve">Paragraph 7.5(b) also provides that </w:t>
      </w:r>
      <w:r w:rsidR="00E51DB8">
        <w:t>a</w:t>
      </w:r>
      <w:r>
        <w:t xml:space="preserve"> medal or de</w:t>
      </w:r>
      <w:r w:rsidR="00062B5A">
        <w:t>coration mentioned in paragraph </w:t>
      </w:r>
      <w:r>
        <w:t>7.4(b), or a citation or other document or insignia mentioned in par</w:t>
      </w:r>
      <w:r w:rsidR="00062B5A">
        <w:t>agraph </w:t>
      </w:r>
      <w:r>
        <w:t>7.4(c) that relates to such a medal or decoration, is not in the category (and therefore not on the Control List)</w:t>
      </w:r>
      <w:r w:rsidR="00062B5A">
        <w:t>, notwithstanding clauses </w:t>
      </w:r>
      <w:r>
        <w:t>7.2 and 7.4, if it is owned by the person to whom the award was made or, in the case of a posthumous awar</w:t>
      </w:r>
      <w:r w:rsidR="00E51DB8">
        <w:t>d</w:t>
      </w:r>
      <w:r>
        <w:t>, by the next of kin of that person.</w:t>
      </w:r>
      <w:r w:rsidR="00B60636">
        <w:t xml:space="preserve"> This would include any Victoria Crosses awarded to pe</w:t>
      </w:r>
      <w:r w:rsidR="00130F2E">
        <w:t>ople not lis</w:t>
      </w:r>
      <w:r w:rsidR="00D83270">
        <w:t>ted at Clause 7.3, which may otherwise be</w:t>
      </w:r>
      <w:r w:rsidR="00D83270" w:rsidRPr="00D83270">
        <w:t xml:space="preserve"> on the Control List by operation of paragraph 7.4(b).  </w:t>
      </w:r>
    </w:p>
    <w:p w14:paraId="5C65DD38" w14:textId="016312F9" w:rsidR="00B173A4" w:rsidRPr="008F2240" w:rsidRDefault="001E70F9" w:rsidP="008F2240">
      <w:pPr>
        <w:rPr>
          <w:i/>
        </w:rPr>
      </w:pPr>
      <w:r w:rsidRPr="008F2240">
        <w:rPr>
          <w:i/>
        </w:rPr>
        <w:t>Part 8—Philatelic objects</w:t>
      </w:r>
    </w:p>
    <w:p w14:paraId="5E50C5D6" w14:textId="42746A37" w:rsidR="004E2E31" w:rsidRDefault="00FD3C5F" w:rsidP="00463496">
      <w:r>
        <w:t xml:space="preserve">Clause 8.1 provides that this </w:t>
      </w:r>
      <w:r w:rsidR="00463496" w:rsidRPr="00463496">
        <w:t xml:space="preserve">Part lists objects </w:t>
      </w:r>
      <w:r>
        <w:t>of</w:t>
      </w:r>
      <w:r w:rsidRPr="00463496">
        <w:t xml:space="preserve"> </w:t>
      </w:r>
      <w:r w:rsidR="00463496" w:rsidRPr="00463496">
        <w:t>the cat</w:t>
      </w:r>
      <w:bookmarkStart w:id="0" w:name="_GoBack"/>
      <w:bookmarkEnd w:id="0"/>
      <w:r w:rsidR="00463496" w:rsidRPr="00463496">
        <w:t>egory ‘Philatelic objects’.</w:t>
      </w:r>
    </w:p>
    <w:p w14:paraId="2E43413B" w14:textId="4A2DB059" w:rsidR="004E2E31" w:rsidRDefault="00463496" w:rsidP="00463496">
      <w:r w:rsidRPr="00463496">
        <w:t xml:space="preserve">Clause 8.2 </w:t>
      </w:r>
      <w:r w:rsidR="004E2E31">
        <w:t>provides that an object is</w:t>
      </w:r>
      <w:r w:rsidRPr="00463496">
        <w:t xml:space="preserve"> in this category</w:t>
      </w:r>
      <w:r w:rsidR="004E2E31">
        <w:t xml:space="preserve"> if it is:</w:t>
      </w:r>
    </w:p>
    <w:p w14:paraId="472B9C81" w14:textId="77777777" w:rsidR="004E2E31" w:rsidRDefault="004E2E31" w:rsidP="005B040B">
      <w:pPr>
        <w:pStyle w:val="ListParagraph"/>
        <w:numPr>
          <w:ilvl w:val="0"/>
          <w:numId w:val="32"/>
        </w:numPr>
        <w:spacing w:line="240" w:lineRule="auto"/>
        <w:ind w:left="714" w:hanging="357"/>
      </w:pPr>
      <w:r>
        <w:t>of significance to Australia; and</w:t>
      </w:r>
    </w:p>
    <w:p w14:paraId="324FD17F" w14:textId="55D31A67" w:rsidR="004E2E31" w:rsidRDefault="004E2E31" w:rsidP="005B040B">
      <w:pPr>
        <w:pStyle w:val="ListParagraph"/>
        <w:numPr>
          <w:ilvl w:val="0"/>
          <w:numId w:val="32"/>
        </w:numPr>
        <w:spacing w:line="240" w:lineRule="auto"/>
        <w:ind w:left="714" w:hanging="357"/>
      </w:pPr>
      <w:r>
        <w:t>of the kind mentioned in clause 8.3; and</w:t>
      </w:r>
    </w:p>
    <w:p w14:paraId="2620701F" w14:textId="5132DD32" w:rsidR="004E2E31" w:rsidRDefault="004E2E31" w:rsidP="005B040B">
      <w:pPr>
        <w:pStyle w:val="ListParagraph"/>
        <w:numPr>
          <w:ilvl w:val="0"/>
          <w:numId w:val="32"/>
        </w:numPr>
        <w:spacing w:line="240" w:lineRule="auto"/>
        <w:ind w:left="714" w:hanging="357"/>
      </w:pPr>
      <w:r>
        <w:t>an object of which no more than 2 examples are known to exist in Austr</w:t>
      </w:r>
      <w:r w:rsidR="001B7DB3">
        <w:t>a</w:t>
      </w:r>
      <w:r>
        <w:t>lia; and</w:t>
      </w:r>
    </w:p>
    <w:p w14:paraId="14397F59" w14:textId="57A129E3" w:rsidR="004E2E31" w:rsidRDefault="00984357" w:rsidP="005B040B">
      <w:pPr>
        <w:pStyle w:val="ListParagraph"/>
        <w:numPr>
          <w:ilvl w:val="0"/>
          <w:numId w:val="32"/>
        </w:numPr>
        <w:spacing w:line="240" w:lineRule="auto"/>
        <w:ind w:left="714" w:hanging="357"/>
      </w:pPr>
      <w:r>
        <w:t>not represented in at least 2 </w:t>
      </w:r>
      <w:r w:rsidR="004E2E31">
        <w:t>public collections in Australia by an object of equivalent quality</w:t>
      </w:r>
      <w:r w:rsidR="00463496" w:rsidRPr="00463496">
        <w:t>.</w:t>
      </w:r>
    </w:p>
    <w:p w14:paraId="5286B2D6" w14:textId="538EF132" w:rsidR="00463496" w:rsidRPr="00463496" w:rsidRDefault="004E2E31" w:rsidP="00463496">
      <w:r>
        <w:lastRenderedPageBreak/>
        <w:t>Clause 8.3 provides that all</w:t>
      </w:r>
      <w:r w:rsidR="00463496" w:rsidRPr="00463496">
        <w:t xml:space="preserve"> objects in this category are Class B objects</w:t>
      </w:r>
      <w:r>
        <w:t xml:space="preserve">, and lists the kinds of objects </w:t>
      </w:r>
      <w:r w:rsidR="00CF1DE9">
        <w:t>that will be included</w:t>
      </w:r>
      <w:r>
        <w:t xml:space="preserve"> in this category for the purposes of </w:t>
      </w:r>
      <w:r w:rsidR="00984357">
        <w:t>paragraph </w:t>
      </w:r>
      <w:r>
        <w:t>8.2(</w:t>
      </w:r>
      <w:r w:rsidR="001B7DB3">
        <w:t>b</w:t>
      </w:r>
      <w:r>
        <w:t>)</w:t>
      </w:r>
      <w:r w:rsidR="00463496" w:rsidRPr="00463496">
        <w:t>.</w:t>
      </w:r>
    </w:p>
    <w:p w14:paraId="490EBC15" w14:textId="79476FD0" w:rsidR="001E70F9" w:rsidRPr="008F2240" w:rsidRDefault="001E70F9" w:rsidP="008F2240">
      <w:pPr>
        <w:rPr>
          <w:i/>
        </w:rPr>
      </w:pPr>
      <w:r w:rsidRPr="008F2240">
        <w:rPr>
          <w:i/>
        </w:rPr>
        <w:t>Part 9—Objects of historical significance</w:t>
      </w:r>
    </w:p>
    <w:p w14:paraId="5C25F13F" w14:textId="197861F0" w:rsidR="00B4257A" w:rsidRDefault="00FD3C5F" w:rsidP="00463496">
      <w:r>
        <w:t>Clause 9.1 provides that this</w:t>
      </w:r>
      <w:r w:rsidRPr="00463496">
        <w:t xml:space="preserve"> </w:t>
      </w:r>
      <w:r w:rsidR="00463496" w:rsidRPr="00463496">
        <w:t xml:space="preserve">Part lists objects </w:t>
      </w:r>
      <w:r>
        <w:t>of</w:t>
      </w:r>
      <w:r w:rsidRPr="00463496">
        <w:t xml:space="preserve"> </w:t>
      </w:r>
      <w:r w:rsidR="00463496" w:rsidRPr="00463496">
        <w:t>the category ‘Objects of historical significance’.</w:t>
      </w:r>
    </w:p>
    <w:p w14:paraId="35ED4C6D" w14:textId="3A5201AA" w:rsidR="00B4257A" w:rsidRDefault="00463496" w:rsidP="00463496">
      <w:r w:rsidRPr="00463496">
        <w:t xml:space="preserve">Clause 9.2 </w:t>
      </w:r>
      <w:r w:rsidR="00B4257A">
        <w:t>provides that an object is</w:t>
      </w:r>
      <w:r w:rsidRPr="00463496">
        <w:t xml:space="preserve"> in this category</w:t>
      </w:r>
      <w:r w:rsidR="00B4257A">
        <w:t xml:space="preserve"> if it is:</w:t>
      </w:r>
    </w:p>
    <w:p w14:paraId="66B8C0B7" w14:textId="77777777" w:rsidR="00B4257A" w:rsidRDefault="00B4257A" w:rsidP="005B040B">
      <w:pPr>
        <w:pStyle w:val="ListParagraph"/>
        <w:numPr>
          <w:ilvl w:val="0"/>
          <w:numId w:val="33"/>
        </w:numPr>
        <w:spacing w:line="240" w:lineRule="auto"/>
        <w:ind w:hanging="357"/>
      </w:pPr>
      <w:r>
        <w:t>an object of the kind mentioned in clause 9.3; or</w:t>
      </w:r>
    </w:p>
    <w:p w14:paraId="4400BA84" w14:textId="11ADE472" w:rsidR="00B4257A" w:rsidRDefault="00B4257A" w:rsidP="005B040B">
      <w:pPr>
        <w:pStyle w:val="ListParagraph"/>
        <w:numPr>
          <w:ilvl w:val="0"/>
          <w:numId w:val="33"/>
        </w:numPr>
        <w:spacing w:line="240" w:lineRule="auto"/>
        <w:ind w:hanging="357"/>
      </w:pPr>
      <w:r>
        <w:t>an object of the kind mentioned in clause 9.4 that is:</w:t>
      </w:r>
    </w:p>
    <w:p w14:paraId="752B7C97" w14:textId="22C4F8F3" w:rsidR="00B4257A" w:rsidRDefault="00B4257A" w:rsidP="005B040B">
      <w:pPr>
        <w:pStyle w:val="ListParagraph"/>
        <w:numPr>
          <w:ilvl w:val="1"/>
          <w:numId w:val="33"/>
        </w:numPr>
        <w:spacing w:line="240" w:lineRule="auto"/>
        <w:ind w:hanging="357"/>
      </w:pPr>
      <w:r>
        <w:t>associated with a person, activity, event, place or business enterprise, notable in Australian history; and</w:t>
      </w:r>
    </w:p>
    <w:p w14:paraId="39BB16A5" w14:textId="77777777" w:rsidR="00B4257A" w:rsidRDefault="00B4257A" w:rsidP="005B040B">
      <w:pPr>
        <w:pStyle w:val="ListParagraph"/>
        <w:numPr>
          <w:ilvl w:val="1"/>
          <w:numId w:val="33"/>
        </w:numPr>
        <w:spacing w:line="240" w:lineRule="auto"/>
        <w:ind w:hanging="357"/>
      </w:pPr>
      <w:r>
        <w:t>at least 30 years old; and</w:t>
      </w:r>
    </w:p>
    <w:p w14:paraId="7C0F1CF3" w14:textId="7716A98D" w:rsidR="00B4257A" w:rsidRDefault="00B4257A" w:rsidP="005B040B">
      <w:pPr>
        <w:pStyle w:val="ListParagraph"/>
        <w:numPr>
          <w:ilvl w:val="1"/>
          <w:numId w:val="33"/>
        </w:numPr>
        <w:spacing w:line="240" w:lineRule="auto"/>
        <w:ind w:hanging="357"/>
      </w:pPr>
      <w:r>
        <w:t>not represented in at least 2 public collections in Australia by an object of equivalent quality</w:t>
      </w:r>
      <w:r w:rsidR="00463496" w:rsidRPr="00463496">
        <w:t>.</w:t>
      </w:r>
    </w:p>
    <w:p w14:paraId="02B6CCB3" w14:textId="09101967" w:rsidR="00B4257A" w:rsidRDefault="00B4257A" w:rsidP="00463496">
      <w:r>
        <w:t xml:space="preserve">Clause 9.3 provides that each piece of the </w:t>
      </w:r>
      <w:r w:rsidR="00984357">
        <w:t>suit of metal armour worn by Ned</w:t>
      </w:r>
      <w:r>
        <w:t xml:space="preserve"> Kelly at the event known as the siege of Glenrowan</w:t>
      </w:r>
      <w:r w:rsidR="00984357">
        <w:t xml:space="preserve"> in Victoria in 1880 is a Class </w:t>
      </w:r>
      <w:r>
        <w:t>A object.</w:t>
      </w:r>
    </w:p>
    <w:p w14:paraId="182BF0B7" w14:textId="625EC564" w:rsidR="00463496" w:rsidRPr="00463496" w:rsidRDefault="00B4257A" w:rsidP="00463496">
      <w:r>
        <w:t>Clause 9.4 provides that</w:t>
      </w:r>
      <w:r w:rsidRPr="00463496">
        <w:t xml:space="preserve"> </w:t>
      </w:r>
      <w:r w:rsidR="00463496" w:rsidRPr="00463496">
        <w:t>objects in this category</w:t>
      </w:r>
      <w:r>
        <w:t>, other t</w:t>
      </w:r>
      <w:r w:rsidR="00984357">
        <w:t>han objects mentioned in clause </w:t>
      </w:r>
      <w:r>
        <w:t>9.3,</w:t>
      </w:r>
      <w:r w:rsidR="00984357">
        <w:t xml:space="preserve"> are Class </w:t>
      </w:r>
      <w:r w:rsidR="00463496" w:rsidRPr="00463496">
        <w:t>B objects</w:t>
      </w:r>
      <w:r>
        <w:t>,</w:t>
      </w:r>
      <w:r w:rsidR="00463496" w:rsidRPr="00463496">
        <w:t xml:space="preserve"> </w:t>
      </w:r>
      <w:r>
        <w:t xml:space="preserve">and lists the kinds of objects that will be included in this category for the purposes of </w:t>
      </w:r>
      <w:r w:rsidR="00984357">
        <w:t>paragraph </w:t>
      </w:r>
      <w:r w:rsidR="001F0DC8">
        <w:t>9.2(b)</w:t>
      </w:r>
      <w:r w:rsidR="00463496" w:rsidRPr="00463496">
        <w:t>.</w:t>
      </w:r>
    </w:p>
    <w:p w14:paraId="562F4C3B" w14:textId="57DF474A" w:rsidR="001F0DC8" w:rsidRPr="00463496" w:rsidRDefault="001F0DC8" w:rsidP="00463496">
      <w:r>
        <w:t>Clause 9.5 sets of the meaning of the terms ‘Australian military history’ and ‘objects of heraldry’ for the purposes of Part</w:t>
      </w:r>
      <w:r w:rsidR="00984357">
        <w:t> </w:t>
      </w:r>
      <w:r w:rsidR="00B54C20">
        <w:t>9</w:t>
      </w:r>
      <w:r>
        <w:t>.</w:t>
      </w:r>
    </w:p>
    <w:p w14:paraId="340BAE95" w14:textId="414C316C" w:rsidR="009B2CEB" w:rsidRPr="008F2240" w:rsidRDefault="009B2CEB" w:rsidP="001361FD">
      <w:pPr>
        <w:keepNext/>
        <w:pageBreakBefore/>
        <w:rPr>
          <w:u w:val="single"/>
        </w:rPr>
      </w:pPr>
      <w:r w:rsidRPr="008F2240">
        <w:rPr>
          <w:u w:val="single"/>
        </w:rPr>
        <w:lastRenderedPageBreak/>
        <w:t>Schedule 2 – Repeals</w:t>
      </w:r>
    </w:p>
    <w:p w14:paraId="64285A8B" w14:textId="35254A01" w:rsidR="006B663B" w:rsidRPr="008E0439" w:rsidRDefault="00984357" w:rsidP="004C2E1A">
      <w:r>
        <w:t>Item </w:t>
      </w:r>
      <w:r w:rsidR="00DE5FE4">
        <w:t xml:space="preserve">1 of </w:t>
      </w:r>
      <w:r w:rsidR="009B2CEB">
        <w:t xml:space="preserve">Schedule 2 </w:t>
      </w:r>
      <w:r w:rsidR="00DE5FE4">
        <w:t>repeals</w:t>
      </w:r>
      <w:r w:rsidR="009B2CEB">
        <w:t xml:space="preserve"> </w:t>
      </w:r>
      <w:r w:rsidR="009B2CEB" w:rsidRPr="009B2CEB">
        <w:t xml:space="preserve">the </w:t>
      </w:r>
      <w:r w:rsidR="009B2CEB" w:rsidRPr="00AC19E0">
        <w:t>Protection of Movable Cultural Heritage Regulations 1987</w:t>
      </w:r>
      <w:r w:rsidR="00DE5FE4" w:rsidRPr="00401B42">
        <w:t>,</w:t>
      </w:r>
      <w:r w:rsidR="00DE5FE4">
        <w:t xml:space="preserve"> which are remade by these Regulations</w:t>
      </w:r>
      <w:r w:rsidR="009B2CEB" w:rsidRPr="009B2CEB">
        <w:t>.</w:t>
      </w:r>
    </w:p>
    <w:sectPr w:rsidR="006B663B" w:rsidRPr="008E043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53F2B" w14:textId="77777777" w:rsidR="00525E1B" w:rsidRDefault="00525E1B" w:rsidP="005B7931">
      <w:pPr>
        <w:spacing w:after="0" w:line="240" w:lineRule="auto"/>
      </w:pPr>
      <w:r>
        <w:separator/>
      </w:r>
    </w:p>
  </w:endnote>
  <w:endnote w:type="continuationSeparator" w:id="0">
    <w:p w14:paraId="20EE8134" w14:textId="77777777" w:rsidR="00525E1B" w:rsidRDefault="00525E1B" w:rsidP="005B7931">
      <w:pPr>
        <w:spacing w:after="0" w:line="240" w:lineRule="auto"/>
      </w:pPr>
      <w:r>
        <w:continuationSeparator/>
      </w:r>
    </w:p>
  </w:endnote>
  <w:endnote w:type="continuationNotice" w:id="1">
    <w:p w14:paraId="2D45055D" w14:textId="77777777" w:rsidR="00525E1B" w:rsidRDefault="00525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034172"/>
      <w:docPartObj>
        <w:docPartGallery w:val="Page Numbers (Bottom of Page)"/>
        <w:docPartUnique/>
      </w:docPartObj>
    </w:sdtPr>
    <w:sdtEndPr>
      <w:rPr>
        <w:rFonts w:cs="Times New Roman"/>
        <w:noProof/>
        <w:szCs w:val="24"/>
      </w:rPr>
    </w:sdtEndPr>
    <w:sdtContent>
      <w:p w14:paraId="2CF610FB" w14:textId="5F353830" w:rsidR="00525E1B" w:rsidRPr="001767F7" w:rsidRDefault="00525E1B">
        <w:pPr>
          <w:pStyle w:val="Footer"/>
          <w:jc w:val="right"/>
          <w:rPr>
            <w:rFonts w:cs="Times New Roman"/>
            <w:szCs w:val="24"/>
          </w:rPr>
        </w:pPr>
        <w:r w:rsidRPr="001767F7">
          <w:rPr>
            <w:rFonts w:cs="Times New Roman"/>
            <w:szCs w:val="24"/>
          </w:rPr>
          <w:fldChar w:fldCharType="begin"/>
        </w:r>
        <w:r w:rsidRPr="001767F7">
          <w:rPr>
            <w:rFonts w:cs="Times New Roman"/>
            <w:szCs w:val="24"/>
          </w:rPr>
          <w:instrText xml:space="preserve"> PAGE   \* MERGEFORMAT </w:instrText>
        </w:r>
        <w:r w:rsidRPr="001767F7">
          <w:rPr>
            <w:rFonts w:cs="Times New Roman"/>
            <w:szCs w:val="24"/>
          </w:rPr>
          <w:fldChar w:fldCharType="separate"/>
        </w:r>
        <w:r w:rsidR="00D83270">
          <w:rPr>
            <w:rFonts w:cs="Times New Roman"/>
            <w:noProof/>
            <w:szCs w:val="24"/>
          </w:rPr>
          <w:t>13</w:t>
        </w:r>
        <w:r w:rsidRPr="001767F7">
          <w:rPr>
            <w:rFonts w:cs="Times New Roman"/>
            <w:noProof/>
            <w:szCs w:val="24"/>
          </w:rPr>
          <w:fldChar w:fldCharType="end"/>
        </w:r>
      </w:p>
    </w:sdtContent>
  </w:sdt>
  <w:p w14:paraId="3AD1FF99" w14:textId="77777777" w:rsidR="00525E1B" w:rsidRDefault="00525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E7C70" w14:textId="77777777" w:rsidR="00525E1B" w:rsidRDefault="00525E1B" w:rsidP="005B7931">
      <w:pPr>
        <w:spacing w:after="0" w:line="240" w:lineRule="auto"/>
      </w:pPr>
      <w:r>
        <w:separator/>
      </w:r>
    </w:p>
  </w:footnote>
  <w:footnote w:type="continuationSeparator" w:id="0">
    <w:p w14:paraId="03CF2297" w14:textId="77777777" w:rsidR="00525E1B" w:rsidRDefault="00525E1B" w:rsidP="005B7931">
      <w:pPr>
        <w:spacing w:after="0" w:line="240" w:lineRule="auto"/>
      </w:pPr>
      <w:r>
        <w:continuationSeparator/>
      </w:r>
    </w:p>
  </w:footnote>
  <w:footnote w:type="continuationNotice" w:id="1">
    <w:p w14:paraId="7C764C4F" w14:textId="77777777" w:rsidR="00525E1B" w:rsidRDefault="00525E1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6A2328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49256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0920762"/>
    <w:multiLevelType w:val="hybridMultilevel"/>
    <w:tmpl w:val="4FFA91E8"/>
    <w:lvl w:ilvl="0" w:tplc="C492C1D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0E27EC9"/>
    <w:multiLevelType w:val="hybridMultilevel"/>
    <w:tmpl w:val="75AA94E8"/>
    <w:lvl w:ilvl="0" w:tplc="F3B04E92">
      <w:start w:val="1"/>
      <w:numFmt w:val="decimal"/>
      <w:lvlText w:val="%1."/>
      <w:lvlJc w:val="left"/>
      <w:pPr>
        <w:ind w:left="720" w:hanging="360"/>
      </w:pPr>
      <w:rPr>
        <w:rFonts w:hint="default"/>
        <w:b w:val="0"/>
        <w:i w:val="0"/>
      </w:rPr>
    </w:lvl>
    <w:lvl w:ilvl="1" w:tplc="B6CC3268">
      <w:start w:val="1"/>
      <w:numFmt w:val="lowerLetter"/>
      <w:lvlText w:val="(%2)"/>
      <w:lvlJc w:val="left"/>
      <w:pPr>
        <w:ind w:left="1440" w:hanging="360"/>
      </w:pPr>
      <w:rPr>
        <w:rFonts w:asciiTheme="minorHAnsi" w:eastAsiaTheme="minorHAnsi" w:hAnsiTheme="minorHAnsi" w:cstheme="minorBidi"/>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6825F7"/>
    <w:multiLevelType w:val="hybridMultilevel"/>
    <w:tmpl w:val="C84E0790"/>
    <w:lvl w:ilvl="0" w:tplc="7694752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5D5BCE"/>
    <w:multiLevelType w:val="hybridMultilevel"/>
    <w:tmpl w:val="D8BE9CAC"/>
    <w:lvl w:ilvl="0" w:tplc="C00038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D41B6F"/>
    <w:multiLevelType w:val="hybridMultilevel"/>
    <w:tmpl w:val="56E853B2"/>
    <w:lvl w:ilvl="0" w:tplc="F7B220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D42B85"/>
    <w:multiLevelType w:val="hybridMultilevel"/>
    <w:tmpl w:val="0D782B3A"/>
    <w:lvl w:ilvl="0" w:tplc="0C09001B">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F745BC2"/>
    <w:multiLevelType w:val="multilevel"/>
    <w:tmpl w:val="E5E89F92"/>
    <w:numStyleLink w:val="BulletList"/>
  </w:abstractNum>
  <w:abstractNum w:abstractNumId="10" w15:restartNumberingAfterBreak="0">
    <w:nsid w:val="22B108B1"/>
    <w:multiLevelType w:val="hybridMultilevel"/>
    <w:tmpl w:val="0D78140E"/>
    <w:lvl w:ilvl="0" w:tplc="B95A53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C54774"/>
    <w:multiLevelType w:val="hybridMultilevel"/>
    <w:tmpl w:val="60644224"/>
    <w:lvl w:ilvl="0" w:tplc="882A14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1414A88"/>
    <w:multiLevelType w:val="hybridMultilevel"/>
    <w:tmpl w:val="F2729A5A"/>
    <w:lvl w:ilvl="0" w:tplc="5D40DE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392084"/>
    <w:multiLevelType w:val="hybridMultilevel"/>
    <w:tmpl w:val="52BC51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8400A6"/>
    <w:multiLevelType w:val="hybridMultilevel"/>
    <w:tmpl w:val="AD9E0FCA"/>
    <w:lvl w:ilvl="0" w:tplc="0024B84C">
      <w:start w:val="1"/>
      <w:numFmt w:val="lowerLetter"/>
      <w:lvlText w:val="(%1)"/>
      <w:lvlJc w:val="left"/>
      <w:pPr>
        <w:ind w:left="720" w:hanging="360"/>
      </w:pPr>
      <w:rPr>
        <w:rFonts w:ascii="Times New Roman" w:eastAsiaTheme="minorHAnsi"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DE7F31"/>
    <w:multiLevelType w:val="hybridMultilevel"/>
    <w:tmpl w:val="B3684C1A"/>
    <w:lvl w:ilvl="0" w:tplc="5508AA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F42019"/>
    <w:multiLevelType w:val="hybridMultilevel"/>
    <w:tmpl w:val="8814F5F4"/>
    <w:lvl w:ilvl="0" w:tplc="76F2C0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0C1A85"/>
    <w:multiLevelType w:val="hybridMultilevel"/>
    <w:tmpl w:val="83CC932A"/>
    <w:lvl w:ilvl="0" w:tplc="68B097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6B1D5C"/>
    <w:multiLevelType w:val="hybridMultilevel"/>
    <w:tmpl w:val="B8F04E7E"/>
    <w:lvl w:ilvl="0" w:tplc="ACFA70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9851DF"/>
    <w:multiLevelType w:val="hybridMultilevel"/>
    <w:tmpl w:val="CEE00920"/>
    <w:lvl w:ilvl="0" w:tplc="7BCE09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6E385D"/>
    <w:multiLevelType w:val="hybridMultilevel"/>
    <w:tmpl w:val="62302F2E"/>
    <w:lvl w:ilvl="0" w:tplc="8698F5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D110CB"/>
    <w:multiLevelType w:val="singleLevel"/>
    <w:tmpl w:val="0C090001"/>
    <w:lvl w:ilvl="0">
      <w:start w:val="1"/>
      <w:numFmt w:val="bullet"/>
      <w:lvlText w:val=""/>
      <w:lvlJc w:val="left"/>
      <w:pPr>
        <w:ind w:left="360" w:hanging="360"/>
      </w:pPr>
      <w:rPr>
        <w:rFonts w:ascii="Symbol" w:hAnsi="Symbol" w:hint="default"/>
      </w:rPr>
    </w:lvl>
  </w:abstractNum>
  <w:abstractNum w:abstractNumId="22" w15:restartNumberingAfterBreak="0">
    <w:nsid w:val="5C3056F1"/>
    <w:multiLevelType w:val="hybridMultilevel"/>
    <w:tmpl w:val="11622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1B07F8"/>
    <w:multiLevelType w:val="hybridMultilevel"/>
    <w:tmpl w:val="F7D4009E"/>
    <w:lvl w:ilvl="0" w:tplc="A41C3C8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297126"/>
    <w:multiLevelType w:val="hybridMultilevel"/>
    <w:tmpl w:val="357EAF52"/>
    <w:lvl w:ilvl="0" w:tplc="280CAB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456429"/>
    <w:multiLevelType w:val="multilevel"/>
    <w:tmpl w:val="E898CC72"/>
    <w:numStyleLink w:val="KeyPoints"/>
  </w:abstractNum>
  <w:abstractNum w:abstractNumId="26" w15:restartNumberingAfterBreak="0">
    <w:nsid w:val="65AB1B41"/>
    <w:multiLevelType w:val="hybridMultilevel"/>
    <w:tmpl w:val="40206B1C"/>
    <w:lvl w:ilvl="0" w:tplc="6D3ABD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E53249E"/>
    <w:multiLevelType w:val="hybridMultilevel"/>
    <w:tmpl w:val="FE32926E"/>
    <w:lvl w:ilvl="0" w:tplc="C0D67246">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521770"/>
    <w:multiLevelType w:val="hybridMultilevel"/>
    <w:tmpl w:val="0854BF3E"/>
    <w:lvl w:ilvl="0" w:tplc="F642CD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15:restartNumberingAfterBreak="0">
    <w:nsid w:val="7A93271E"/>
    <w:multiLevelType w:val="hybridMultilevel"/>
    <w:tmpl w:val="BF800E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7AD7566C"/>
    <w:multiLevelType w:val="hybridMultilevel"/>
    <w:tmpl w:val="7B98EB0C"/>
    <w:lvl w:ilvl="0" w:tplc="FE324F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751BFB"/>
    <w:multiLevelType w:val="hybridMultilevel"/>
    <w:tmpl w:val="32067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21"/>
  </w:num>
  <w:num w:numId="5">
    <w:abstractNumId w:val="29"/>
  </w:num>
  <w:num w:numId="6">
    <w:abstractNumId w:val="25"/>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7">
    <w:abstractNumId w:val="32"/>
  </w:num>
  <w:num w:numId="8">
    <w:abstractNumId w:val="22"/>
  </w:num>
  <w:num w:numId="9">
    <w:abstractNumId w:val="30"/>
  </w:num>
  <w:num w:numId="10">
    <w:abstractNumId w:val="0"/>
  </w:num>
  <w:num w:numId="11">
    <w:abstractNumId w:val="1"/>
  </w:num>
  <w:num w:numId="12">
    <w:abstractNumId w:val="25"/>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13">
    <w:abstractNumId w:val="14"/>
  </w:num>
  <w:num w:numId="14">
    <w:abstractNumId w:val="19"/>
  </w:num>
  <w:num w:numId="15">
    <w:abstractNumId w:val="18"/>
  </w:num>
  <w:num w:numId="16">
    <w:abstractNumId w:val="8"/>
  </w:num>
  <w:num w:numId="17">
    <w:abstractNumId w:val="3"/>
  </w:num>
  <w:num w:numId="18">
    <w:abstractNumId w:val="28"/>
  </w:num>
  <w:num w:numId="19">
    <w:abstractNumId w:val="10"/>
  </w:num>
  <w:num w:numId="20">
    <w:abstractNumId w:val="6"/>
  </w:num>
  <w:num w:numId="21">
    <w:abstractNumId w:val="11"/>
  </w:num>
  <w:num w:numId="22">
    <w:abstractNumId w:val="23"/>
  </w:num>
  <w:num w:numId="23">
    <w:abstractNumId w:val="15"/>
  </w:num>
  <w:num w:numId="24">
    <w:abstractNumId w:val="17"/>
  </w:num>
  <w:num w:numId="25">
    <w:abstractNumId w:val="7"/>
  </w:num>
  <w:num w:numId="26">
    <w:abstractNumId w:val="5"/>
  </w:num>
  <w:num w:numId="27">
    <w:abstractNumId w:val="12"/>
  </w:num>
  <w:num w:numId="28">
    <w:abstractNumId w:val="16"/>
  </w:num>
  <w:num w:numId="29">
    <w:abstractNumId w:val="24"/>
  </w:num>
  <w:num w:numId="30">
    <w:abstractNumId w:val="31"/>
  </w:num>
  <w:num w:numId="31">
    <w:abstractNumId w:val="26"/>
  </w:num>
  <w:num w:numId="32">
    <w:abstractNumId w:val="20"/>
  </w:num>
  <w:num w:numId="33">
    <w:abstractNumId w:val="2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B6"/>
    <w:rsid w:val="00003A40"/>
    <w:rsid w:val="000116A5"/>
    <w:rsid w:val="00011D28"/>
    <w:rsid w:val="00014407"/>
    <w:rsid w:val="00017144"/>
    <w:rsid w:val="0002130E"/>
    <w:rsid w:val="00023991"/>
    <w:rsid w:val="00024B3A"/>
    <w:rsid w:val="00027CDE"/>
    <w:rsid w:val="00037980"/>
    <w:rsid w:val="000505CE"/>
    <w:rsid w:val="00056387"/>
    <w:rsid w:val="00056CC6"/>
    <w:rsid w:val="00062B5A"/>
    <w:rsid w:val="00063617"/>
    <w:rsid w:val="0007665E"/>
    <w:rsid w:val="00081361"/>
    <w:rsid w:val="00082100"/>
    <w:rsid w:val="00083824"/>
    <w:rsid w:val="00083E21"/>
    <w:rsid w:val="000A0D0C"/>
    <w:rsid w:val="000A7B49"/>
    <w:rsid w:val="000C3D33"/>
    <w:rsid w:val="000C565E"/>
    <w:rsid w:val="000C7549"/>
    <w:rsid w:val="000D21E0"/>
    <w:rsid w:val="000D42AB"/>
    <w:rsid w:val="000E79E6"/>
    <w:rsid w:val="000F77A5"/>
    <w:rsid w:val="001140F1"/>
    <w:rsid w:val="00114402"/>
    <w:rsid w:val="001145E6"/>
    <w:rsid w:val="00123976"/>
    <w:rsid w:val="00130F2E"/>
    <w:rsid w:val="00134BE2"/>
    <w:rsid w:val="001361FD"/>
    <w:rsid w:val="00143CFB"/>
    <w:rsid w:val="00146F73"/>
    <w:rsid w:val="0015799A"/>
    <w:rsid w:val="00162789"/>
    <w:rsid w:val="001724FD"/>
    <w:rsid w:val="00174F13"/>
    <w:rsid w:val="001767F7"/>
    <w:rsid w:val="001862CE"/>
    <w:rsid w:val="00196C55"/>
    <w:rsid w:val="001A5579"/>
    <w:rsid w:val="001B7DB3"/>
    <w:rsid w:val="001C1862"/>
    <w:rsid w:val="001C451D"/>
    <w:rsid w:val="001C6F93"/>
    <w:rsid w:val="001E0BBE"/>
    <w:rsid w:val="001E6C2F"/>
    <w:rsid w:val="001E70F9"/>
    <w:rsid w:val="001F0DC8"/>
    <w:rsid w:val="001F349E"/>
    <w:rsid w:val="001F66D6"/>
    <w:rsid w:val="001F7D72"/>
    <w:rsid w:val="00225A59"/>
    <w:rsid w:val="00235094"/>
    <w:rsid w:val="00235A71"/>
    <w:rsid w:val="00242473"/>
    <w:rsid w:val="00255156"/>
    <w:rsid w:val="00264F20"/>
    <w:rsid w:val="00265189"/>
    <w:rsid w:val="00275973"/>
    <w:rsid w:val="00280D29"/>
    <w:rsid w:val="00287B8C"/>
    <w:rsid w:val="002B26C1"/>
    <w:rsid w:val="002B5D9A"/>
    <w:rsid w:val="002C0DF6"/>
    <w:rsid w:val="002C219A"/>
    <w:rsid w:val="002F764E"/>
    <w:rsid w:val="003009B0"/>
    <w:rsid w:val="003023D7"/>
    <w:rsid w:val="00305A45"/>
    <w:rsid w:val="00313ADB"/>
    <w:rsid w:val="00315AB0"/>
    <w:rsid w:val="003215FF"/>
    <w:rsid w:val="0032278D"/>
    <w:rsid w:val="00323557"/>
    <w:rsid w:val="00323CD6"/>
    <w:rsid w:val="00324A60"/>
    <w:rsid w:val="00324AAF"/>
    <w:rsid w:val="00326936"/>
    <w:rsid w:val="00327C06"/>
    <w:rsid w:val="003405A9"/>
    <w:rsid w:val="00343CC3"/>
    <w:rsid w:val="003502A4"/>
    <w:rsid w:val="003600CF"/>
    <w:rsid w:val="003657FD"/>
    <w:rsid w:val="00367241"/>
    <w:rsid w:val="00381D94"/>
    <w:rsid w:val="00386B35"/>
    <w:rsid w:val="00387459"/>
    <w:rsid w:val="00390EBA"/>
    <w:rsid w:val="00395C41"/>
    <w:rsid w:val="003A498D"/>
    <w:rsid w:val="003A7D36"/>
    <w:rsid w:val="003B4301"/>
    <w:rsid w:val="003B5AA9"/>
    <w:rsid w:val="003C07EE"/>
    <w:rsid w:val="003C18DD"/>
    <w:rsid w:val="003C5FC0"/>
    <w:rsid w:val="003D0644"/>
    <w:rsid w:val="003D270C"/>
    <w:rsid w:val="003D7737"/>
    <w:rsid w:val="003E46A0"/>
    <w:rsid w:val="003F78A7"/>
    <w:rsid w:val="00401B42"/>
    <w:rsid w:val="00410670"/>
    <w:rsid w:val="00417758"/>
    <w:rsid w:val="00425818"/>
    <w:rsid w:val="004263CE"/>
    <w:rsid w:val="00427887"/>
    <w:rsid w:val="00433757"/>
    <w:rsid w:val="00443666"/>
    <w:rsid w:val="00447A2A"/>
    <w:rsid w:val="00450E79"/>
    <w:rsid w:val="004531E0"/>
    <w:rsid w:val="0046205E"/>
    <w:rsid w:val="00463496"/>
    <w:rsid w:val="0046553E"/>
    <w:rsid w:val="004B1F9B"/>
    <w:rsid w:val="004C20C9"/>
    <w:rsid w:val="004C2E1A"/>
    <w:rsid w:val="004E2E31"/>
    <w:rsid w:val="004F458D"/>
    <w:rsid w:val="0050752E"/>
    <w:rsid w:val="00514C9F"/>
    <w:rsid w:val="00515D0A"/>
    <w:rsid w:val="005230FE"/>
    <w:rsid w:val="00525E1B"/>
    <w:rsid w:val="00531373"/>
    <w:rsid w:val="00533015"/>
    <w:rsid w:val="0056096B"/>
    <w:rsid w:val="00564003"/>
    <w:rsid w:val="00581B5D"/>
    <w:rsid w:val="00596CB9"/>
    <w:rsid w:val="00597019"/>
    <w:rsid w:val="005A5DDC"/>
    <w:rsid w:val="005B040B"/>
    <w:rsid w:val="005B22F0"/>
    <w:rsid w:val="005B7931"/>
    <w:rsid w:val="005D2FCC"/>
    <w:rsid w:val="005D5D89"/>
    <w:rsid w:val="005E58B3"/>
    <w:rsid w:val="005F14DF"/>
    <w:rsid w:val="005F62CE"/>
    <w:rsid w:val="005F68A5"/>
    <w:rsid w:val="006031E6"/>
    <w:rsid w:val="00613850"/>
    <w:rsid w:val="00616446"/>
    <w:rsid w:val="00620BFE"/>
    <w:rsid w:val="006259F4"/>
    <w:rsid w:val="006303F8"/>
    <w:rsid w:val="00637200"/>
    <w:rsid w:val="00651E50"/>
    <w:rsid w:val="00652F9A"/>
    <w:rsid w:val="00653169"/>
    <w:rsid w:val="00657999"/>
    <w:rsid w:val="0067401E"/>
    <w:rsid w:val="00676273"/>
    <w:rsid w:val="00676437"/>
    <w:rsid w:val="00687FF2"/>
    <w:rsid w:val="00692110"/>
    <w:rsid w:val="00693E2D"/>
    <w:rsid w:val="00694EA5"/>
    <w:rsid w:val="006A5F26"/>
    <w:rsid w:val="006B175C"/>
    <w:rsid w:val="006B663B"/>
    <w:rsid w:val="006B6740"/>
    <w:rsid w:val="006C711F"/>
    <w:rsid w:val="006D0281"/>
    <w:rsid w:val="006D3467"/>
    <w:rsid w:val="006E3A18"/>
    <w:rsid w:val="006F7E81"/>
    <w:rsid w:val="00706A31"/>
    <w:rsid w:val="00711A00"/>
    <w:rsid w:val="00714864"/>
    <w:rsid w:val="007149E3"/>
    <w:rsid w:val="0071788B"/>
    <w:rsid w:val="0072471B"/>
    <w:rsid w:val="00742E9C"/>
    <w:rsid w:val="00744163"/>
    <w:rsid w:val="007467E2"/>
    <w:rsid w:val="0075386C"/>
    <w:rsid w:val="0076442B"/>
    <w:rsid w:val="0076791E"/>
    <w:rsid w:val="007679AF"/>
    <w:rsid w:val="007734D5"/>
    <w:rsid w:val="0078694B"/>
    <w:rsid w:val="00786FF8"/>
    <w:rsid w:val="007933C5"/>
    <w:rsid w:val="00795C59"/>
    <w:rsid w:val="007A583B"/>
    <w:rsid w:val="007A6BCA"/>
    <w:rsid w:val="007D65E4"/>
    <w:rsid w:val="007E7408"/>
    <w:rsid w:val="007F0D4B"/>
    <w:rsid w:val="007F0F1F"/>
    <w:rsid w:val="007F2194"/>
    <w:rsid w:val="007F37E4"/>
    <w:rsid w:val="007F759A"/>
    <w:rsid w:val="00805D80"/>
    <w:rsid w:val="008301A8"/>
    <w:rsid w:val="008334B8"/>
    <w:rsid w:val="008340F5"/>
    <w:rsid w:val="008713DB"/>
    <w:rsid w:val="008778F9"/>
    <w:rsid w:val="00881B9C"/>
    <w:rsid w:val="00894FE2"/>
    <w:rsid w:val="008A2FFD"/>
    <w:rsid w:val="008A4936"/>
    <w:rsid w:val="008A5052"/>
    <w:rsid w:val="008B02FE"/>
    <w:rsid w:val="008B15DA"/>
    <w:rsid w:val="008B3EFD"/>
    <w:rsid w:val="008B581B"/>
    <w:rsid w:val="008B7371"/>
    <w:rsid w:val="008C1BDD"/>
    <w:rsid w:val="008C374B"/>
    <w:rsid w:val="008E0439"/>
    <w:rsid w:val="008F2240"/>
    <w:rsid w:val="008F3868"/>
    <w:rsid w:val="008F5425"/>
    <w:rsid w:val="008F6E39"/>
    <w:rsid w:val="00926DD3"/>
    <w:rsid w:val="0093144C"/>
    <w:rsid w:val="00931F0B"/>
    <w:rsid w:val="00932222"/>
    <w:rsid w:val="0093302A"/>
    <w:rsid w:val="009340B7"/>
    <w:rsid w:val="00943B23"/>
    <w:rsid w:val="00943C33"/>
    <w:rsid w:val="00957F41"/>
    <w:rsid w:val="00962F6C"/>
    <w:rsid w:val="009814AF"/>
    <w:rsid w:val="00983336"/>
    <w:rsid w:val="00984357"/>
    <w:rsid w:val="009A51AB"/>
    <w:rsid w:val="009A7CDE"/>
    <w:rsid w:val="009B2CEB"/>
    <w:rsid w:val="009B3A22"/>
    <w:rsid w:val="009B735E"/>
    <w:rsid w:val="009C64A7"/>
    <w:rsid w:val="009D39EB"/>
    <w:rsid w:val="009F6DBE"/>
    <w:rsid w:val="00A031D5"/>
    <w:rsid w:val="00A102B1"/>
    <w:rsid w:val="00A17913"/>
    <w:rsid w:val="00A232C3"/>
    <w:rsid w:val="00A27741"/>
    <w:rsid w:val="00A5007E"/>
    <w:rsid w:val="00A513D2"/>
    <w:rsid w:val="00A53289"/>
    <w:rsid w:val="00A57238"/>
    <w:rsid w:val="00A57724"/>
    <w:rsid w:val="00A703E1"/>
    <w:rsid w:val="00A71B34"/>
    <w:rsid w:val="00A96BB0"/>
    <w:rsid w:val="00A97067"/>
    <w:rsid w:val="00AB2A5F"/>
    <w:rsid w:val="00AB5B92"/>
    <w:rsid w:val="00AC03F0"/>
    <w:rsid w:val="00AC19E0"/>
    <w:rsid w:val="00AC33D0"/>
    <w:rsid w:val="00AC3766"/>
    <w:rsid w:val="00AC578B"/>
    <w:rsid w:val="00AC5CFF"/>
    <w:rsid w:val="00AD751A"/>
    <w:rsid w:val="00AE5E20"/>
    <w:rsid w:val="00AE6613"/>
    <w:rsid w:val="00AF6018"/>
    <w:rsid w:val="00B000ED"/>
    <w:rsid w:val="00B04082"/>
    <w:rsid w:val="00B0525E"/>
    <w:rsid w:val="00B173A4"/>
    <w:rsid w:val="00B17FC8"/>
    <w:rsid w:val="00B25404"/>
    <w:rsid w:val="00B26ED8"/>
    <w:rsid w:val="00B33F21"/>
    <w:rsid w:val="00B3493E"/>
    <w:rsid w:val="00B422C9"/>
    <w:rsid w:val="00B4257A"/>
    <w:rsid w:val="00B47955"/>
    <w:rsid w:val="00B502F0"/>
    <w:rsid w:val="00B54C20"/>
    <w:rsid w:val="00B60636"/>
    <w:rsid w:val="00B65250"/>
    <w:rsid w:val="00B80D5D"/>
    <w:rsid w:val="00B862D0"/>
    <w:rsid w:val="00B94F82"/>
    <w:rsid w:val="00BA254F"/>
    <w:rsid w:val="00BA2A4A"/>
    <w:rsid w:val="00BA6C1D"/>
    <w:rsid w:val="00BD1F11"/>
    <w:rsid w:val="00BD2728"/>
    <w:rsid w:val="00BD3A9B"/>
    <w:rsid w:val="00BE07CF"/>
    <w:rsid w:val="00BE4FF4"/>
    <w:rsid w:val="00BF522D"/>
    <w:rsid w:val="00C019B7"/>
    <w:rsid w:val="00C05BFF"/>
    <w:rsid w:val="00C1012F"/>
    <w:rsid w:val="00C15CB4"/>
    <w:rsid w:val="00C2315D"/>
    <w:rsid w:val="00C24953"/>
    <w:rsid w:val="00C24AFA"/>
    <w:rsid w:val="00C25434"/>
    <w:rsid w:val="00C2698C"/>
    <w:rsid w:val="00C333A6"/>
    <w:rsid w:val="00C52AD0"/>
    <w:rsid w:val="00C676A8"/>
    <w:rsid w:val="00C800F7"/>
    <w:rsid w:val="00C80A37"/>
    <w:rsid w:val="00C819FE"/>
    <w:rsid w:val="00CA1AB4"/>
    <w:rsid w:val="00CA4736"/>
    <w:rsid w:val="00CB1D42"/>
    <w:rsid w:val="00CD23A6"/>
    <w:rsid w:val="00CE2DF3"/>
    <w:rsid w:val="00CE5369"/>
    <w:rsid w:val="00CE6CE9"/>
    <w:rsid w:val="00CE7856"/>
    <w:rsid w:val="00CF05FA"/>
    <w:rsid w:val="00CF1DE9"/>
    <w:rsid w:val="00CF4CD3"/>
    <w:rsid w:val="00D03EB8"/>
    <w:rsid w:val="00D041FF"/>
    <w:rsid w:val="00D061E8"/>
    <w:rsid w:val="00D1202C"/>
    <w:rsid w:val="00D13D5D"/>
    <w:rsid w:val="00D14E26"/>
    <w:rsid w:val="00D176AB"/>
    <w:rsid w:val="00D20E7F"/>
    <w:rsid w:val="00D22D1A"/>
    <w:rsid w:val="00D35537"/>
    <w:rsid w:val="00D37508"/>
    <w:rsid w:val="00D4082A"/>
    <w:rsid w:val="00D4612E"/>
    <w:rsid w:val="00D47A1F"/>
    <w:rsid w:val="00D55964"/>
    <w:rsid w:val="00D55D1A"/>
    <w:rsid w:val="00D623A8"/>
    <w:rsid w:val="00D648EB"/>
    <w:rsid w:val="00D8217E"/>
    <w:rsid w:val="00D82BBB"/>
    <w:rsid w:val="00D83270"/>
    <w:rsid w:val="00D947B6"/>
    <w:rsid w:val="00DA7820"/>
    <w:rsid w:val="00DA7F20"/>
    <w:rsid w:val="00DB712B"/>
    <w:rsid w:val="00DC21FB"/>
    <w:rsid w:val="00DE4464"/>
    <w:rsid w:val="00DE5FE4"/>
    <w:rsid w:val="00E33351"/>
    <w:rsid w:val="00E34A80"/>
    <w:rsid w:val="00E448CF"/>
    <w:rsid w:val="00E51804"/>
    <w:rsid w:val="00E51DB8"/>
    <w:rsid w:val="00E52523"/>
    <w:rsid w:val="00E709E5"/>
    <w:rsid w:val="00E74BDF"/>
    <w:rsid w:val="00E75A9B"/>
    <w:rsid w:val="00E8029B"/>
    <w:rsid w:val="00EA25A8"/>
    <w:rsid w:val="00EA3B18"/>
    <w:rsid w:val="00EC0297"/>
    <w:rsid w:val="00EC4C42"/>
    <w:rsid w:val="00EC4D95"/>
    <w:rsid w:val="00EC78B0"/>
    <w:rsid w:val="00ED69D3"/>
    <w:rsid w:val="00EE0973"/>
    <w:rsid w:val="00EF1BB0"/>
    <w:rsid w:val="00EF447F"/>
    <w:rsid w:val="00EF7AA7"/>
    <w:rsid w:val="00F10679"/>
    <w:rsid w:val="00F117BD"/>
    <w:rsid w:val="00F11AB4"/>
    <w:rsid w:val="00F13DFF"/>
    <w:rsid w:val="00F2186E"/>
    <w:rsid w:val="00F26177"/>
    <w:rsid w:val="00F3487D"/>
    <w:rsid w:val="00F64606"/>
    <w:rsid w:val="00F66DC7"/>
    <w:rsid w:val="00F7096E"/>
    <w:rsid w:val="00FA60DC"/>
    <w:rsid w:val="00FB5621"/>
    <w:rsid w:val="00FC1D10"/>
    <w:rsid w:val="00FC751F"/>
    <w:rsid w:val="00FD3C5F"/>
    <w:rsid w:val="00FD7F7E"/>
    <w:rsid w:val="00FE3427"/>
    <w:rsid w:val="00FF1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BAAA"/>
  <w15:chartTrackingRefBased/>
  <w15:docId w15:val="{69DF0C3D-64DA-42C5-A16C-92455FB5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824"/>
    <w:rPr>
      <w:rFonts w:ascii="Times New Roman" w:hAnsi="Times New Roman"/>
      <w:sz w:val="24"/>
    </w:rPr>
  </w:style>
  <w:style w:type="paragraph" w:styleId="Heading1">
    <w:name w:val="heading 1"/>
    <w:basedOn w:val="Normal"/>
    <w:next w:val="Normal"/>
    <w:link w:val="Heading1Char"/>
    <w:uiPriority w:val="9"/>
    <w:qFormat/>
    <w:rsid w:val="00EF1BB0"/>
    <w:pPr>
      <w:keepNext/>
      <w:outlineLvl w:val="0"/>
    </w:pPr>
    <w:rPr>
      <w:rFonts w:cs="Times New Roman"/>
      <w:b/>
      <w:szCs w:val="24"/>
      <w:u w:val="single"/>
    </w:rPr>
  </w:style>
  <w:style w:type="paragraph" w:styleId="Heading2">
    <w:name w:val="heading 2"/>
    <w:basedOn w:val="Normal"/>
    <w:next w:val="Normal"/>
    <w:link w:val="Heading2Char"/>
    <w:uiPriority w:val="9"/>
    <w:unhideWhenUsed/>
    <w:qFormat/>
    <w:rsid w:val="00EF1BB0"/>
    <w:pPr>
      <w:keepNext/>
      <w:outlineLvl w:val="1"/>
    </w:pPr>
    <w:rPr>
      <w:rFonts w:cs="Times New Roman"/>
      <w:b/>
    </w:rPr>
  </w:style>
  <w:style w:type="paragraph" w:styleId="Heading3">
    <w:name w:val="heading 3"/>
    <w:basedOn w:val="Normal"/>
    <w:next w:val="Normal"/>
    <w:link w:val="Heading3Char"/>
    <w:uiPriority w:val="9"/>
    <w:unhideWhenUsed/>
    <w:qFormat/>
    <w:rsid w:val="00EF1BB0"/>
    <w:pPr>
      <w:keepNext/>
      <w:spacing w:line="240" w:lineRule="auto"/>
      <w:outlineLvl w:val="2"/>
    </w:pPr>
    <w:rPr>
      <w:szCs w:val="24"/>
      <w:u w:val="single"/>
    </w:rPr>
  </w:style>
  <w:style w:type="paragraph" w:styleId="Heading4">
    <w:name w:val="heading 4"/>
    <w:basedOn w:val="Normal"/>
    <w:next w:val="Normal"/>
    <w:link w:val="Heading4Char"/>
    <w:uiPriority w:val="9"/>
    <w:unhideWhenUsed/>
    <w:qFormat/>
    <w:rsid w:val="00EF1BB0"/>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ullet point list,List Bullet Cab,CAB - List Bullet,Bulletr List Paragraph,FooterText,List Paragraph11,List Paragraph2,List Paragraph21,Listeafsnit1,Listenabsatz,Paragraphe de liste1,numbered,L"/>
    <w:basedOn w:val="Normal"/>
    <w:link w:val="ListParagraphChar"/>
    <w:uiPriority w:val="34"/>
    <w:qFormat/>
    <w:rsid w:val="00D947B6"/>
    <w:pPr>
      <w:spacing w:after="200" w:line="276" w:lineRule="auto"/>
      <w:ind w:left="720"/>
      <w:contextualSpacing/>
    </w:pPr>
  </w:style>
  <w:style w:type="character" w:styleId="CommentReference">
    <w:name w:val="annotation reference"/>
    <w:basedOn w:val="DefaultParagraphFont"/>
    <w:uiPriority w:val="99"/>
    <w:unhideWhenUsed/>
    <w:rsid w:val="007F2194"/>
    <w:rPr>
      <w:sz w:val="16"/>
      <w:szCs w:val="16"/>
    </w:rPr>
  </w:style>
  <w:style w:type="paragraph" w:styleId="CommentText">
    <w:name w:val="annotation text"/>
    <w:basedOn w:val="Normal"/>
    <w:link w:val="CommentTextChar"/>
    <w:uiPriority w:val="99"/>
    <w:unhideWhenUsed/>
    <w:rsid w:val="007F2194"/>
    <w:pPr>
      <w:spacing w:after="200" w:line="240" w:lineRule="auto"/>
    </w:pPr>
    <w:rPr>
      <w:sz w:val="20"/>
      <w:szCs w:val="20"/>
    </w:rPr>
  </w:style>
  <w:style w:type="character" w:customStyle="1" w:styleId="CommentTextChar">
    <w:name w:val="Comment Text Char"/>
    <w:basedOn w:val="DefaultParagraphFont"/>
    <w:link w:val="CommentText"/>
    <w:uiPriority w:val="99"/>
    <w:rsid w:val="007F2194"/>
    <w:rPr>
      <w:sz w:val="20"/>
      <w:szCs w:val="20"/>
    </w:rPr>
  </w:style>
  <w:style w:type="paragraph" w:styleId="BalloonText">
    <w:name w:val="Balloon Text"/>
    <w:basedOn w:val="Normal"/>
    <w:link w:val="BalloonTextChar"/>
    <w:uiPriority w:val="99"/>
    <w:semiHidden/>
    <w:unhideWhenUsed/>
    <w:rsid w:val="007F2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194"/>
    <w:rPr>
      <w:rFonts w:ascii="Segoe UI" w:hAnsi="Segoe UI" w:cs="Segoe UI"/>
      <w:sz w:val="18"/>
      <w:szCs w:val="18"/>
    </w:rPr>
  </w:style>
  <w:style w:type="numbering" w:customStyle="1" w:styleId="BulletList">
    <w:name w:val="Bullet List"/>
    <w:uiPriority w:val="99"/>
    <w:rsid w:val="00AC5CFF"/>
    <w:pPr>
      <w:numPr>
        <w:numId w:val="2"/>
      </w:numPr>
    </w:pPr>
  </w:style>
  <w:style w:type="paragraph" w:styleId="ListBullet">
    <w:name w:val="List Bullet"/>
    <w:basedOn w:val="Normal"/>
    <w:uiPriority w:val="99"/>
    <w:unhideWhenUsed/>
    <w:qFormat/>
    <w:rsid w:val="00AC5CFF"/>
    <w:pPr>
      <w:numPr>
        <w:numId w:val="3"/>
      </w:numPr>
      <w:spacing w:after="200" w:line="276" w:lineRule="auto"/>
    </w:pPr>
    <w:rPr>
      <w:rFonts w:ascii="Arial" w:eastAsia="Calibri" w:hAnsi="Arial" w:cs="Times New Roman"/>
    </w:rPr>
  </w:style>
  <w:style w:type="paragraph" w:styleId="ListBullet2">
    <w:name w:val="List Bullet 2"/>
    <w:basedOn w:val="Normal"/>
    <w:uiPriority w:val="99"/>
    <w:unhideWhenUsed/>
    <w:rsid w:val="00AC5CFF"/>
    <w:pPr>
      <w:numPr>
        <w:ilvl w:val="1"/>
        <w:numId w:val="3"/>
      </w:numPr>
      <w:spacing w:after="200" w:line="276" w:lineRule="auto"/>
    </w:pPr>
    <w:rPr>
      <w:rFonts w:ascii="Arial" w:eastAsia="Calibri" w:hAnsi="Arial" w:cs="Times New Roman"/>
    </w:rPr>
  </w:style>
  <w:style w:type="paragraph" w:styleId="ListBullet3">
    <w:name w:val="List Bullet 3"/>
    <w:basedOn w:val="Normal"/>
    <w:uiPriority w:val="99"/>
    <w:unhideWhenUsed/>
    <w:rsid w:val="00AC5CFF"/>
    <w:pPr>
      <w:numPr>
        <w:ilvl w:val="2"/>
        <w:numId w:val="3"/>
      </w:numPr>
      <w:spacing w:after="200" w:line="276" w:lineRule="auto"/>
    </w:pPr>
    <w:rPr>
      <w:rFonts w:ascii="Arial" w:eastAsia="Calibri" w:hAnsi="Arial" w:cs="Times New Roman"/>
    </w:rPr>
  </w:style>
  <w:style w:type="paragraph" w:styleId="ListBullet4">
    <w:name w:val="List Bullet 4"/>
    <w:basedOn w:val="Normal"/>
    <w:uiPriority w:val="99"/>
    <w:unhideWhenUsed/>
    <w:rsid w:val="00AC5CFF"/>
    <w:pPr>
      <w:numPr>
        <w:ilvl w:val="3"/>
        <w:numId w:val="3"/>
      </w:numPr>
      <w:spacing w:after="200" w:line="276" w:lineRule="auto"/>
    </w:pPr>
    <w:rPr>
      <w:rFonts w:ascii="Arial" w:eastAsia="Calibri" w:hAnsi="Arial" w:cs="Times New Roman"/>
    </w:rPr>
  </w:style>
  <w:style w:type="paragraph" w:styleId="ListBullet5">
    <w:name w:val="List Bullet 5"/>
    <w:basedOn w:val="Normal"/>
    <w:uiPriority w:val="99"/>
    <w:unhideWhenUsed/>
    <w:rsid w:val="00AC5CFF"/>
    <w:pPr>
      <w:numPr>
        <w:ilvl w:val="4"/>
        <w:numId w:val="3"/>
      </w:numPr>
      <w:spacing w:after="200" w:line="276" w:lineRule="auto"/>
    </w:pPr>
    <w:rPr>
      <w:rFonts w:ascii="Arial" w:eastAsia="Calibri" w:hAnsi="Arial" w:cs="Times New Roman"/>
    </w:rPr>
  </w:style>
  <w:style w:type="paragraph" w:styleId="Header">
    <w:name w:val="header"/>
    <w:basedOn w:val="Normal"/>
    <w:link w:val="HeaderChar"/>
    <w:uiPriority w:val="99"/>
    <w:unhideWhenUsed/>
    <w:rsid w:val="005B7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931"/>
  </w:style>
  <w:style w:type="paragraph" w:styleId="Footer">
    <w:name w:val="footer"/>
    <w:basedOn w:val="Normal"/>
    <w:link w:val="FooterChar"/>
    <w:uiPriority w:val="99"/>
    <w:unhideWhenUsed/>
    <w:rsid w:val="005B7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931"/>
  </w:style>
  <w:style w:type="character" w:styleId="Emphasis">
    <w:name w:val="Emphasis"/>
    <w:basedOn w:val="DefaultParagraphFont"/>
    <w:uiPriority w:val="20"/>
    <w:qFormat/>
    <w:rsid w:val="000116A5"/>
    <w:rPr>
      <w:i/>
      <w:iCs/>
    </w:rPr>
  </w:style>
  <w:style w:type="numbering" w:customStyle="1" w:styleId="KeyPoints">
    <w:name w:val="Key Points"/>
    <w:basedOn w:val="NoList"/>
    <w:uiPriority w:val="99"/>
    <w:rsid w:val="003405A9"/>
    <w:pPr>
      <w:numPr>
        <w:numId w:val="5"/>
      </w:numPr>
    </w:pPr>
  </w:style>
  <w:style w:type="paragraph" w:styleId="ListNumber">
    <w:name w:val="List Number"/>
    <w:basedOn w:val="Normal"/>
    <w:uiPriority w:val="99"/>
    <w:qFormat/>
    <w:rsid w:val="003405A9"/>
    <w:pPr>
      <w:numPr>
        <w:numId w:val="6"/>
      </w:numPr>
      <w:spacing w:after="200" w:line="276" w:lineRule="auto"/>
    </w:pPr>
    <w:rPr>
      <w:rFonts w:ascii="Arial" w:eastAsia="Calibri" w:hAnsi="Arial" w:cs="Times New Roman"/>
    </w:rPr>
  </w:style>
  <w:style w:type="paragraph" w:styleId="ListNumber2">
    <w:name w:val="List Number 2"/>
    <w:basedOn w:val="Normal"/>
    <w:uiPriority w:val="99"/>
    <w:rsid w:val="003405A9"/>
    <w:pPr>
      <w:numPr>
        <w:ilvl w:val="1"/>
        <w:numId w:val="6"/>
      </w:numPr>
      <w:spacing w:after="200" w:line="276" w:lineRule="auto"/>
    </w:pPr>
    <w:rPr>
      <w:rFonts w:ascii="Arial" w:eastAsia="Calibri" w:hAnsi="Arial" w:cs="Times New Roman"/>
    </w:rPr>
  </w:style>
  <w:style w:type="paragraph" w:styleId="ListNumber3">
    <w:name w:val="List Number 3"/>
    <w:basedOn w:val="Normal"/>
    <w:uiPriority w:val="99"/>
    <w:rsid w:val="003405A9"/>
    <w:pPr>
      <w:numPr>
        <w:ilvl w:val="2"/>
        <w:numId w:val="6"/>
      </w:numPr>
      <w:spacing w:after="200" w:line="276" w:lineRule="auto"/>
    </w:pPr>
    <w:rPr>
      <w:rFonts w:ascii="Arial" w:eastAsia="Calibri" w:hAnsi="Arial" w:cs="Times New Roman"/>
    </w:rPr>
  </w:style>
  <w:style w:type="paragraph" w:styleId="ListNumber4">
    <w:name w:val="List Number 4"/>
    <w:basedOn w:val="Normal"/>
    <w:uiPriority w:val="99"/>
    <w:rsid w:val="003405A9"/>
    <w:pPr>
      <w:numPr>
        <w:ilvl w:val="3"/>
        <w:numId w:val="6"/>
      </w:numPr>
      <w:spacing w:after="200" w:line="276" w:lineRule="auto"/>
    </w:pPr>
    <w:rPr>
      <w:rFonts w:ascii="Arial" w:eastAsia="Calibri" w:hAnsi="Arial" w:cs="Times New Roman"/>
    </w:rPr>
  </w:style>
  <w:style w:type="paragraph" w:styleId="ListNumber5">
    <w:name w:val="List Number 5"/>
    <w:basedOn w:val="Normal"/>
    <w:uiPriority w:val="99"/>
    <w:rsid w:val="003405A9"/>
    <w:pPr>
      <w:numPr>
        <w:ilvl w:val="4"/>
        <w:numId w:val="6"/>
      </w:numPr>
      <w:spacing w:after="200" w:line="276" w:lineRule="auto"/>
    </w:pPr>
    <w:rPr>
      <w:rFonts w:ascii="Arial" w:eastAsia="Calibri" w:hAnsi="Arial" w:cs="Times New Roman"/>
    </w:rPr>
  </w:style>
  <w:style w:type="paragraph" w:styleId="CommentSubject">
    <w:name w:val="annotation subject"/>
    <w:basedOn w:val="CommentText"/>
    <w:next w:val="CommentText"/>
    <w:link w:val="CommentSubjectChar"/>
    <w:uiPriority w:val="99"/>
    <w:semiHidden/>
    <w:unhideWhenUsed/>
    <w:rsid w:val="00C24953"/>
    <w:pPr>
      <w:spacing w:after="160"/>
    </w:pPr>
    <w:rPr>
      <w:b/>
      <w:bCs/>
    </w:rPr>
  </w:style>
  <w:style w:type="character" w:customStyle="1" w:styleId="CommentSubjectChar">
    <w:name w:val="Comment Subject Char"/>
    <w:basedOn w:val="CommentTextChar"/>
    <w:link w:val="CommentSubject"/>
    <w:uiPriority w:val="99"/>
    <w:semiHidden/>
    <w:rsid w:val="00C24953"/>
    <w:rPr>
      <w:b/>
      <w:bCs/>
      <w:sz w:val="20"/>
      <w:szCs w:val="20"/>
    </w:rPr>
  </w:style>
  <w:style w:type="character" w:styleId="Hyperlink">
    <w:name w:val="Hyperlink"/>
    <w:uiPriority w:val="99"/>
    <w:unhideWhenUsed/>
    <w:rsid w:val="001E6C2F"/>
    <w:rPr>
      <w:color w:val="0000FF"/>
      <w:u w:val="single"/>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unhideWhenUsed/>
    <w:rsid w:val="001E6C2F"/>
    <w:pPr>
      <w:spacing w:after="0" w:line="240" w:lineRule="auto"/>
    </w:pPr>
    <w:rPr>
      <w:sz w:val="20"/>
      <w:szCs w:val="20"/>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basedOn w:val="DefaultParagraphFont"/>
    <w:link w:val="FootnoteText"/>
    <w:rsid w:val="001E6C2F"/>
    <w:rPr>
      <w:sz w:val="20"/>
      <w:szCs w:val="20"/>
    </w:rPr>
  </w:style>
  <w:style w:type="character" w:styleId="FootnoteReference">
    <w:name w:val="footnote reference"/>
    <w:aliases w:val="Appel note de bas de p,Appel note de bas de p + 11 pt,Italic,Footnote,Footnote symbol,Appel note de bas de p1,Appel note de bas de p2,Appel note de bas de p3,Footnote Reference/,Style 12,(NECG) Footnote Reference,Style 124,o,fr"/>
    <w:basedOn w:val="DefaultParagraphFont"/>
    <w:unhideWhenUsed/>
    <w:rsid w:val="001E6C2F"/>
    <w:rPr>
      <w:vertAlign w:val="superscript"/>
    </w:rPr>
  </w:style>
  <w:style w:type="character" w:customStyle="1" w:styleId="ListParagraphChar">
    <w:name w:val="List Paragraph Char"/>
    <w:aliases w:val="List Paragraph1 Char,Recommendation Char,bullet point list Char,List Bullet Cab Char,CAB - List Bullet Char,Bulletr List Paragraph Char,FooterText Char,List Paragraph11 Char,List Paragraph2 Char,List Paragraph21 Char,numbered Char"/>
    <w:link w:val="ListParagraph"/>
    <w:uiPriority w:val="34"/>
    <w:rsid w:val="001E6C2F"/>
  </w:style>
  <w:style w:type="paragraph" w:customStyle="1" w:styleId="EMclauseheading">
    <w:name w:val="EM clause heading"/>
    <w:basedOn w:val="Normal"/>
    <w:qFormat/>
    <w:rsid w:val="00242473"/>
    <w:pPr>
      <w:spacing w:after="200" w:line="276" w:lineRule="auto"/>
    </w:pPr>
    <w:rPr>
      <w:rFonts w:ascii="Arial" w:hAnsi="Arial" w:cs="Arial"/>
      <w:b/>
    </w:rPr>
  </w:style>
  <w:style w:type="character" w:customStyle="1" w:styleId="Heading1Char">
    <w:name w:val="Heading 1 Char"/>
    <w:basedOn w:val="DefaultParagraphFont"/>
    <w:link w:val="Heading1"/>
    <w:uiPriority w:val="9"/>
    <w:rsid w:val="00EF1BB0"/>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sid w:val="00EF1BB0"/>
    <w:rPr>
      <w:rFonts w:ascii="Times New Roman" w:hAnsi="Times New Roman" w:cs="Times New Roman"/>
      <w:b/>
      <w:sz w:val="24"/>
    </w:rPr>
  </w:style>
  <w:style w:type="character" w:customStyle="1" w:styleId="Heading3Char">
    <w:name w:val="Heading 3 Char"/>
    <w:basedOn w:val="DefaultParagraphFont"/>
    <w:link w:val="Heading3"/>
    <w:uiPriority w:val="9"/>
    <w:rsid w:val="00EF1BB0"/>
    <w:rPr>
      <w:rFonts w:ascii="Times New Roman" w:hAnsi="Times New Roman"/>
      <w:sz w:val="24"/>
      <w:szCs w:val="24"/>
      <w:u w:val="single"/>
    </w:rPr>
  </w:style>
  <w:style w:type="character" w:customStyle="1" w:styleId="Heading4Char">
    <w:name w:val="Heading 4 Char"/>
    <w:basedOn w:val="DefaultParagraphFont"/>
    <w:link w:val="Heading4"/>
    <w:uiPriority w:val="9"/>
    <w:rsid w:val="00EF1BB0"/>
    <w:rPr>
      <w:rFonts w:ascii="Times New Roman" w:hAnsi="Times New Roman"/>
      <w:i/>
      <w:sz w:val="24"/>
    </w:rPr>
  </w:style>
  <w:style w:type="paragraph" w:styleId="Revision">
    <w:name w:val="Revision"/>
    <w:hidden/>
    <w:uiPriority w:val="99"/>
    <w:semiHidden/>
    <w:rsid w:val="0071486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49F503160664391608491EDD8F087" ma:contentTypeVersion="0" ma:contentTypeDescription="Create a new document." ma:contentTypeScope="" ma:versionID="f34f2a6b0ac87f86fa202a145d001af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CBE92-C205-4ECE-BAAF-7C1D13C4489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7DC4F49-F9E7-44C4-9A38-60393AC307F3}">
  <ds:schemaRefs>
    <ds:schemaRef ds:uri="http://schemas.microsoft.com/sharepoint/v3/contenttype/forms"/>
  </ds:schemaRefs>
</ds:datastoreItem>
</file>

<file path=customXml/itemProps3.xml><?xml version="1.0" encoding="utf-8"?>
<ds:datastoreItem xmlns:ds="http://schemas.openxmlformats.org/officeDocument/2006/customXml" ds:itemID="{EA1F51DF-DAF3-42C3-94BA-BA6AF90F0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E1CDBB-53A9-437C-88EE-C48FDAED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18</Pages>
  <Words>6815</Words>
  <Characters>38851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PMCH Regulations 2018 - final Explanatory Statement.docx</vt:lpstr>
    </vt:vector>
  </TitlesOfParts>
  <Company>Department of Communications</Company>
  <LinksUpToDate>false</LinksUpToDate>
  <CharactersWithSpaces>45575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PMCH Regulations 2018 - final Explanatory Statement.docx</dc:title>
  <dc:subject/>
  <dc:creator>Kavgic, Morana</dc:creator>
  <cp:keywords/>
  <dc:description/>
  <cp:lastModifiedBy>Kavgic, Morana</cp:lastModifiedBy>
  <cp:revision>24</cp:revision>
  <cp:lastPrinted>2018-11-28T23:00:00Z</cp:lastPrinted>
  <dcterms:created xsi:type="dcterms:W3CDTF">2018-11-28T03:50:00Z</dcterms:created>
  <dcterms:modified xsi:type="dcterms:W3CDTF">2018-11-29T02:40:00Z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0x0101004A849F503160664391608491EDD8F087</vt:lpwstr>
  </property>
  <property fmtid="{D5CDD505-2E9C-101B-9397-08002B2CF9AE}" pid="3" name="TrimRevisionNumber">
    <vt:i4>21</vt:i4>
  </property>
</Properties>
</file>