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9194E" w14:textId="233F4F9A" w:rsidR="002436BD" w:rsidRPr="002C6D26" w:rsidRDefault="002436BD" w:rsidP="00D85E77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6D26">
        <w:rPr>
          <w:rFonts w:ascii="Times New Roman" w:hAnsi="Times New Roman"/>
          <w:sz w:val="24"/>
          <w:szCs w:val="24"/>
        </w:rPr>
        <w:t>Banking</w:t>
      </w:r>
      <w:r w:rsidR="004D4384">
        <w:rPr>
          <w:rFonts w:ascii="Times New Roman" w:hAnsi="Times New Roman"/>
          <w:sz w:val="24"/>
          <w:szCs w:val="24"/>
        </w:rPr>
        <w:t xml:space="preserve">, Insurance, Life Insurance, Health Insurance and Superannuation </w:t>
      </w:r>
      <w:r w:rsidRPr="002C6D26">
        <w:rPr>
          <w:rFonts w:ascii="Times New Roman" w:hAnsi="Times New Roman"/>
          <w:sz w:val="24"/>
          <w:szCs w:val="24"/>
        </w:rPr>
        <w:t xml:space="preserve">(prudential standard) determination No. </w:t>
      </w:r>
      <w:r w:rsidR="00F631FD">
        <w:rPr>
          <w:rFonts w:ascii="Times New Roman" w:hAnsi="Times New Roman"/>
          <w:sz w:val="24"/>
          <w:szCs w:val="24"/>
        </w:rPr>
        <w:t>1</w:t>
      </w:r>
      <w:r w:rsidRPr="002C6D26">
        <w:rPr>
          <w:rFonts w:ascii="Times New Roman" w:hAnsi="Times New Roman"/>
          <w:sz w:val="24"/>
          <w:szCs w:val="24"/>
        </w:rPr>
        <w:t xml:space="preserve"> of 20</w:t>
      </w:r>
      <w:r w:rsidR="004D4384">
        <w:rPr>
          <w:rFonts w:ascii="Times New Roman" w:hAnsi="Times New Roman"/>
          <w:sz w:val="24"/>
          <w:szCs w:val="24"/>
        </w:rPr>
        <w:t>18</w:t>
      </w:r>
    </w:p>
    <w:p w14:paraId="753CBC9E" w14:textId="77777777" w:rsidR="002436BD" w:rsidRPr="002C6D26" w:rsidRDefault="002436BD" w:rsidP="00D85E77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sz w:val="24"/>
          <w:szCs w:val="24"/>
          <w:u w:val="single"/>
        </w:rPr>
      </w:pPr>
      <w:bookmarkStart w:id="1" w:name="bkInstrumentSubTitle"/>
      <w:bookmarkEnd w:id="1"/>
      <w:r w:rsidRPr="002C6D26">
        <w:rPr>
          <w:rFonts w:ascii="Times New Roman" w:hAnsi="Times New Roman"/>
          <w:sz w:val="24"/>
          <w:szCs w:val="24"/>
          <w:u w:val="single"/>
        </w:rPr>
        <w:t>EXPLANATORY STATEMENT</w:t>
      </w:r>
    </w:p>
    <w:p w14:paraId="361D0032" w14:textId="77777777" w:rsidR="002436BD" w:rsidRPr="002C6D26" w:rsidRDefault="002436BD" w:rsidP="00D85E77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Prepared by the Australian Prudential Regulation Authority (APRA)</w:t>
      </w:r>
    </w:p>
    <w:p w14:paraId="119D4F51" w14:textId="77777777" w:rsidR="002436BD" w:rsidRDefault="002436BD" w:rsidP="004D4384">
      <w:pPr>
        <w:pStyle w:val="Heading"/>
        <w:tabs>
          <w:tab w:val="left" w:pos="360"/>
        </w:tabs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2C6D26">
        <w:rPr>
          <w:rFonts w:ascii="Times New Roman" w:hAnsi="Times New Roman"/>
          <w:b w:val="0"/>
          <w:i/>
          <w:sz w:val="24"/>
          <w:szCs w:val="24"/>
        </w:rPr>
        <w:t>Banking Act 1959</w:t>
      </w:r>
      <w:r w:rsidRPr="002C6D26">
        <w:rPr>
          <w:rFonts w:ascii="Times New Roman" w:hAnsi="Times New Roman"/>
          <w:b w:val="0"/>
          <w:sz w:val="24"/>
          <w:szCs w:val="24"/>
        </w:rPr>
        <w:t xml:space="preserve">, </w:t>
      </w:r>
      <w:r w:rsidRPr="002C6D26">
        <w:rPr>
          <w:rFonts w:ascii="Times New Roman" w:hAnsi="Times New Roman"/>
          <w:b w:val="0"/>
          <w:color w:val="000000"/>
          <w:sz w:val="24"/>
          <w:szCs w:val="24"/>
        </w:rPr>
        <w:t>section 11AF</w:t>
      </w:r>
    </w:p>
    <w:p w14:paraId="7281CF30" w14:textId="24FA70FF" w:rsidR="004D4384" w:rsidRDefault="00505AD3" w:rsidP="00505AD3">
      <w:pPr>
        <w:pStyle w:val="Heading"/>
        <w:tabs>
          <w:tab w:val="left" w:pos="360"/>
          <w:tab w:val="center" w:pos="4153"/>
          <w:tab w:val="right" w:pos="8306"/>
        </w:tabs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 w:rsidR="004D4384" w:rsidRPr="004D4384">
        <w:rPr>
          <w:rFonts w:ascii="Times New Roman" w:hAnsi="Times New Roman"/>
          <w:b w:val="0"/>
          <w:i/>
          <w:sz w:val="24"/>
          <w:szCs w:val="24"/>
        </w:rPr>
        <w:t>Insurance Act 1973</w:t>
      </w:r>
      <w:r w:rsidR="004D4384">
        <w:rPr>
          <w:rFonts w:ascii="Times New Roman" w:hAnsi="Times New Roman"/>
          <w:b w:val="0"/>
          <w:sz w:val="24"/>
          <w:szCs w:val="24"/>
        </w:rPr>
        <w:t>, section 32</w:t>
      </w:r>
      <w:r>
        <w:rPr>
          <w:rFonts w:ascii="Times New Roman" w:hAnsi="Times New Roman"/>
          <w:b w:val="0"/>
          <w:sz w:val="24"/>
          <w:szCs w:val="24"/>
        </w:rPr>
        <w:tab/>
      </w:r>
    </w:p>
    <w:p w14:paraId="46C228D3" w14:textId="516D0CC8" w:rsidR="004D4384" w:rsidRDefault="004D4384" w:rsidP="004D4384">
      <w:pPr>
        <w:pStyle w:val="Heading"/>
        <w:tabs>
          <w:tab w:val="left" w:pos="360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4D4384">
        <w:rPr>
          <w:rFonts w:ascii="Times New Roman" w:hAnsi="Times New Roman"/>
          <w:b w:val="0"/>
          <w:i/>
          <w:sz w:val="24"/>
          <w:szCs w:val="24"/>
        </w:rPr>
        <w:t>Life Insurance Act 1995</w:t>
      </w:r>
      <w:r>
        <w:rPr>
          <w:rFonts w:ascii="Times New Roman" w:hAnsi="Times New Roman"/>
          <w:b w:val="0"/>
          <w:sz w:val="24"/>
          <w:szCs w:val="24"/>
        </w:rPr>
        <w:t>, section 230A</w:t>
      </w:r>
    </w:p>
    <w:p w14:paraId="1DC609A7" w14:textId="17737DF9" w:rsidR="004D4384" w:rsidRDefault="004D4384" w:rsidP="004D4384">
      <w:pPr>
        <w:pStyle w:val="Heading"/>
        <w:tabs>
          <w:tab w:val="left" w:pos="360"/>
        </w:tabs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Private Health Insurance (Prudential Supervision) Act 2015</w:t>
      </w:r>
      <w:r>
        <w:rPr>
          <w:rFonts w:ascii="Times New Roman" w:hAnsi="Times New Roman"/>
          <w:b w:val="0"/>
          <w:sz w:val="24"/>
          <w:szCs w:val="24"/>
        </w:rPr>
        <w:t>, section 92</w:t>
      </w:r>
    </w:p>
    <w:p w14:paraId="0E1A0661" w14:textId="478CFB8E" w:rsidR="004D4384" w:rsidRDefault="004D4384" w:rsidP="004D4384">
      <w:pPr>
        <w:pStyle w:val="Heading"/>
        <w:tabs>
          <w:tab w:val="left" w:pos="360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4D4384">
        <w:rPr>
          <w:rFonts w:ascii="Times New Roman" w:hAnsi="Times New Roman"/>
          <w:b w:val="0"/>
          <w:i/>
          <w:sz w:val="24"/>
          <w:szCs w:val="24"/>
        </w:rPr>
        <w:t>Superannuation Industry (Supervision) Act 1993</w:t>
      </w:r>
      <w:r>
        <w:rPr>
          <w:rFonts w:ascii="Times New Roman" w:hAnsi="Times New Roman"/>
          <w:b w:val="0"/>
          <w:sz w:val="24"/>
          <w:szCs w:val="24"/>
        </w:rPr>
        <w:t>, section 34C</w:t>
      </w:r>
    </w:p>
    <w:p w14:paraId="699300A7" w14:textId="77777777" w:rsidR="004D4384" w:rsidRPr="00CB65ED" w:rsidRDefault="004D4384" w:rsidP="004D4384">
      <w:pPr>
        <w:pStyle w:val="Heading"/>
        <w:tabs>
          <w:tab w:val="left" w:pos="360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258AC937" w14:textId="36064B52" w:rsidR="0057272D" w:rsidRDefault="0057272D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bookmarkStart w:id="2" w:name="bkAct"/>
      <w:bookmarkStart w:id="3" w:name="bkExplanatory"/>
      <w:bookmarkEnd w:id="2"/>
      <w:bookmarkEnd w:id="3"/>
      <w:r>
        <w:rPr>
          <w:rFonts w:ascii="Times New Roman" w:hAnsi="Times New Roman"/>
          <w:sz w:val="24"/>
          <w:szCs w:val="24"/>
        </w:rPr>
        <w:t>APRA may</w:t>
      </w:r>
      <w:r w:rsidR="00D21D35">
        <w:rPr>
          <w:rFonts w:ascii="Times New Roman" w:hAnsi="Times New Roman"/>
          <w:sz w:val="24"/>
          <w:szCs w:val="24"/>
        </w:rPr>
        <w:t>, in writing, determine a prudential standard that applies to an APRA-regulated institution under:</w:t>
      </w:r>
    </w:p>
    <w:p w14:paraId="5AF87F09" w14:textId="27A1E37D" w:rsidR="002436BD" w:rsidRDefault="002436BD" w:rsidP="00D21D35">
      <w:pPr>
        <w:pStyle w:val="ListParagraph"/>
        <w:widowControl w:val="0"/>
        <w:numPr>
          <w:ilvl w:val="0"/>
          <w:numId w:val="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D21D35">
        <w:rPr>
          <w:rFonts w:ascii="Times New Roman" w:hAnsi="Times New Roman"/>
          <w:sz w:val="24"/>
          <w:szCs w:val="24"/>
        </w:rPr>
        <w:t xml:space="preserve">subsection 11AF(1) of the </w:t>
      </w:r>
      <w:r w:rsidRPr="00D21D35">
        <w:rPr>
          <w:rFonts w:ascii="Times New Roman" w:hAnsi="Times New Roman"/>
          <w:i/>
          <w:sz w:val="24"/>
          <w:szCs w:val="24"/>
        </w:rPr>
        <w:t>Banking Act 1959</w:t>
      </w:r>
      <w:r w:rsidRPr="00D21D35">
        <w:rPr>
          <w:rFonts w:ascii="Times New Roman" w:hAnsi="Times New Roman"/>
          <w:sz w:val="24"/>
          <w:szCs w:val="24"/>
        </w:rPr>
        <w:t xml:space="preserve"> (</w:t>
      </w:r>
      <w:r w:rsidR="003910A8" w:rsidRPr="00D21D35">
        <w:rPr>
          <w:rFonts w:ascii="Times New Roman" w:hAnsi="Times New Roman"/>
          <w:sz w:val="24"/>
          <w:szCs w:val="24"/>
        </w:rPr>
        <w:t>Banking</w:t>
      </w:r>
      <w:r w:rsidRPr="00D21D35">
        <w:rPr>
          <w:rFonts w:ascii="Times New Roman" w:hAnsi="Times New Roman"/>
          <w:sz w:val="24"/>
          <w:szCs w:val="24"/>
        </w:rPr>
        <w:t xml:space="preserve"> Act), in relation to authorised deposit-taking institutions (ADIs) and authorised non-operating holding companies (authorised NOHCs)</w:t>
      </w:r>
      <w:r w:rsidR="00D21D35">
        <w:rPr>
          <w:rFonts w:ascii="Times New Roman" w:hAnsi="Times New Roman"/>
          <w:sz w:val="24"/>
          <w:szCs w:val="24"/>
        </w:rPr>
        <w:t>;</w:t>
      </w:r>
    </w:p>
    <w:p w14:paraId="08A10163" w14:textId="718F4F32" w:rsidR="00D21D35" w:rsidRDefault="00D21D35" w:rsidP="00D21D35">
      <w:pPr>
        <w:pStyle w:val="ListParagraph"/>
        <w:widowControl w:val="0"/>
        <w:numPr>
          <w:ilvl w:val="0"/>
          <w:numId w:val="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D21D35">
        <w:rPr>
          <w:rFonts w:ascii="Times New Roman" w:hAnsi="Times New Roman"/>
          <w:sz w:val="24"/>
          <w:szCs w:val="24"/>
        </w:rPr>
        <w:t xml:space="preserve">subsection </w:t>
      </w:r>
      <w:r>
        <w:rPr>
          <w:rFonts w:ascii="Times New Roman" w:hAnsi="Times New Roman"/>
          <w:sz w:val="24"/>
          <w:szCs w:val="24"/>
        </w:rPr>
        <w:t>32</w:t>
      </w:r>
      <w:r w:rsidRPr="00D21D35">
        <w:rPr>
          <w:rFonts w:ascii="Times New Roman" w:hAnsi="Times New Roman"/>
          <w:sz w:val="24"/>
          <w:szCs w:val="24"/>
        </w:rPr>
        <w:t xml:space="preserve">(1) of the </w:t>
      </w:r>
      <w:r>
        <w:rPr>
          <w:rFonts w:ascii="Times New Roman" w:hAnsi="Times New Roman"/>
          <w:i/>
          <w:sz w:val="24"/>
          <w:szCs w:val="24"/>
        </w:rPr>
        <w:t>Insurance</w:t>
      </w:r>
      <w:r w:rsidRPr="00D21D35">
        <w:rPr>
          <w:rFonts w:ascii="Times New Roman" w:hAnsi="Times New Roman"/>
          <w:i/>
          <w:sz w:val="24"/>
          <w:szCs w:val="24"/>
        </w:rPr>
        <w:t xml:space="preserve"> Act 19</w:t>
      </w:r>
      <w:r>
        <w:rPr>
          <w:rFonts w:ascii="Times New Roman" w:hAnsi="Times New Roman"/>
          <w:i/>
          <w:sz w:val="24"/>
          <w:szCs w:val="24"/>
        </w:rPr>
        <w:t>73</w:t>
      </w:r>
      <w:r w:rsidRPr="00D21D3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Insurance</w:t>
      </w:r>
      <w:r w:rsidRPr="00D21D35">
        <w:rPr>
          <w:rFonts w:ascii="Times New Roman" w:hAnsi="Times New Roman"/>
          <w:sz w:val="24"/>
          <w:szCs w:val="24"/>
        </w:rPr>
        <w:t xml:space="preserve"> Act), in relation to </w:t>
      </w:r>
      <w:r>
        <w:rPr>
          <w:rFonts w:ascii="Times New Roman" w:hAnsi="Times New Roman"/>
          <w:sz w:val="24"/>
          <w:szCs w:val="24"/>
        </w:rPr>
        <w:t>general insurers</w:t>
      </w:r>
      <w:r w:rsidRPr="00D21D35">
        <w:rPr>
          <w:rFonts w:ascii="Times New Roman" w:hAnsi="Times New Roman"/>
          <w:sz w:val="24"/>
          <w:szCs w:val="24"/>
        </w:rPr>
        <w:t xml:space="preserve"> and authorised non-operating holding companies (authorised</w:t>
      </w:r>
      <w:r>
        <w:rPr>
          <w:rFonts w:ascii="Times New Roman" w:hAnsi="Times New Roman"/>
          <w:sz w:val="24"/>
          <w:szCs w:val="24"/>
        </w:rPr>
        <w:t xml:space="preserve"> insurance</w:t>
      </w:r>
      <w:r w:rsidRPr="00D21D35">
        <w:rPr>
          <w:rFonts w:ascii="Times New Roman" w:hAnsi="Times New Roman"/>
          <w:sz w:val="24"/>
          <w:szCs w:val="24"/>
        </w:rPr>
        <w:t xml:space="preserve"> NOHCs)</w:t>
      </w:r>
      <w:r>
        <w:rPr>
          <w:rFonts w:ascii="Times New Roman" w:hAnsi="Times New Roman"/>
          <w:sz w:val="24"/>
          <w:szCs w:val="24"/>
        </w:rPr>
        <w:t>;</w:t>
      </w:r>
    </w:p>
    <w:p w14:paraId="28D0E935" w14:textId="79B7EF92" w:rsidR="00D21D35" w:rsidRDefault="00D21D35" w:rsidP="00D21D35">
      <w:pPr>
        <w:pStyle w:val="ListParagraph"/>
        <w:widowControl w:val="0"/>
        <w:numPr>
          <w:ilvl w:val="0"/>
          <w:numId w:val="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5B0CCE">
        <w:rPr>
          <w:rFonts w:ascii="Times New Roman" w:hAnsi="Times New Roman"/>
          <w:sz w:val="24"/>
          <w:szCs w:val="24"/>
        </w:rPr>
        <w:t xml:space="preserve">subsection 230A(1) of the </w:t>
      </w:r>
      <w:r w:rsidRPr="006F312D">
        <w:rPr>
          <w:rFonts w:ascii="Times New Roman" w:hAnsi="Times New Roman"/>
          <w:i/>
          <w:iCs/>
          <w:sz w:val="24"/>
          <w:szCs w:val="24"/>
        </w:rPr>
        <w:t>Life Insurance Act 1995</w:t>
      </w:r>
      <w:r w:rsidRPr="006F312D">
        <w:rPr>
          <w:rFonts w:ascii="Times New Roman" w:hAnsi="Times New Roman"/>
          <w:sz w:val="24"/>
          <w:szCs w:val="24"/>
        </w:rPr>
        <w:t xml:space="preserve"> (Life Insurance Act),</w:t>
      </w:r>
      <w:r w:rsidRPr="005B0CCE">
        <w:rPr>
          <w:rFonts w:ascii="Times New Roman" w:hAnsi="Times New Roman"/>
          <w:sz w:val="24"/>
          <w:szCs w:val="24"/>
        </w:rPr>
        <w:t xml:space="preserve"> in relation to life companies (including friendly societies) and </w:t>
      </w:r>
      <w:r w:rsidRPr="006F312D">
        <w:rPr>
          <w:rFonts w:ascii="Times New Roman" w:hAnsi="Times New Roman"/>
          <w:sz w:val="24"/>
          <w:szCs w:val="24"/>
        </w:rPr>
        <w:t>registered non-operating holding companies (registered life NOHCs)</w:t>
      </w:r>
      <w:r>
        <w:rPr>
          <w:rFonts w:ascii="Times New Roman" w:hAnsi="Times New Roman"/>
          <w:sz w:val="24"/>
          <w:szCs w:val="24"/>
        </w:rPr>
        <w:t>;</w:t>
      </w:r>
    </w:p>
    <w:p w14:paraId="6BFD9131" w14:textId="797F0518" w:rsidR="00D21D35" w:rsidRDefault="00D21D35" w:rsidP="00D21D35">
      <w:pPr>
        <w:pStyle w:val="ListParagraph"/>
        <w:widowControl w:val="0"/>
        <w:numPr>
          <w:ilvl w:val="0"/>
          <w:numId w:val="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subsection 92(1) of the </w:t>
      </w:r>
      <w:r>
        <w:rPr>
          <w:rFonts w:ascii="Times New Roman" w:hAnsi="Times New Roman"/>
          <w:i/>
          <w:sz w:val="24"/>
          <w:szCs w:val="24"/>
        </w:rPr>
        <w:t>Private Health Insurance (Prudential Supervision)</w:t>
      </w:r>
      <w:r w:rsidR="000F4454">
        <w:rPr>
          <w:rFonts w:ascii="Times New Roman" w:hAnsi="Times New Roman"/>
          <w:i/>
          <w:sz w:val="24"/>
          <w:szCs w:val="24"/>
        </w:rPr>
        <w:t xml:space="preserve"> Act 2015</w:t>
      </w:r>
      <w:r w:rsidR="000F4454">
        <w:rPr>
          <w:rFonts w:ascii="Times New Roman" w:hAnsi="Times New Roman"/>
          <w:sz w:val="24"/>
          <w:szCs w:val="24"/>
        </w:rPr>
        <w:t xml:space="preserve"> (Health Insurance Act), in relation to private health insurers; and</w:t>
      </w:r>
    </w:p>
    <w:p w14:paraId="6777C9A1" w14:textId="042C2F27" w:rsidR="000F4454" w:rsidRPr="00D21D35" w:rsidRDefault="00544AE4" w:rsidP="00D21D35">
      <w:pPr>
        <w:pStyle w:val="ListParagraph"/>
        <w:widowControl w:val="0"/>
        <w:numPr>
          <w:ilvl w:val="0"/>
          <w:numId w:val="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subsection 34C(1) of the </w:t>
      </w:r>
      <w:r>
        <w:rPr>
          <w:rFonts w:ascii="Times New Roman" w:hAnsi="Times New Roman"/>
          <w:i/>
          <w:sz w:val="24"/>
          <w:szCs w:val="24"/>
        </w:rPr>
        <w:t>Superannuation Industry (Supervision) Act 1993</w:t>
      </w:r>
      <w:r>
        <w:rPr>
          <w:rFonts w:ascii="Times New Roman" w:hAnsi="Times New Roman"/>
          <w:sz w:val="24"/>
          <w:szCs w:val="24"/>
        </w:rPr>
        <w:t xml:space="preserve"> (SIS Act), in relation to RSE licensees.</w:t>
      </w:r>
    </w:p>
    <w:p w14:paraId="0A2E6758" w14:textId="6701D1BE" w:rsidR="00246723" w:rsidRDefault="002436BD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E275B9">
        <w:rPr>
          <w:rFonts w:ascii="Times New Roman" w:hAnsi="Times New Roman"/>
          <w:sz w:val="24"/>
          <w:szCs w:val="24"/>
        </w:rPr>
        <w:t>30 November</w:t>
      </w:r>
      <w:r>
        <w:rPr>
          <w:rFonts w:ascii="Times New Roman" w:hAnsi="Times New Roman"/>
          <w:sz w:val="24"/>
          <w:szCs w:val="24"/>
        </w:rPr>
        <w:t xml:space="preserve">, APRA made </w:t>
      </w:r>
      <w:r w:rsidR="00544AE4">
        <w:rPr>
          <w:rFonts w:ascii="Times New Roman" w:hAnsi="Times New Roman"/>
          <w:sz w:val="24"/>
          <w:szCs w:val="24"/>
        </w:rPr>
        <w:t>cross-industry</w:t>
      </w:r>
      <w:r w:rsidRPr="002C6D26">
        <w:rPr>
          <w:rFonts w:ascii="Times New Roman" w:hAnsi="Times New Roman"/>
          <w:sz w:val="24"/>
          <w:szCs w:val="24"/>
        </w:rPr>
        <w:t xml:space="preserve"> (prudential standard) determination No. </w:t>
      </w:r>
      <w:r w:rsidR="00F631FD">
        <w:rPr>
          <w:rFonts w:ascii="Times New Roman" w:hAnsi="Times New Roman"/>
          <w:sz w:val="24"/>
          <w:szCs w:val="24"/>
        </w:rPr>
        <w:t>1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 w:rsidRPr="002C6D26">
        <w:rPr>
          <w:rFonts w:ascii="Times New Roman" w:hAnsi="Times New Roman"/>
          <w:sz w:val="24"/>
          <w:szCs w:val="24"/>
        </w:rPr>
        <w:lastRenderedPageBreak/>
        <w:t>of 20</w:t>
      </w:r>
      <w:r w:rsidR="00544AE4">
        <w:rPr>
          <w:rFonts w:ascii="Times New Roman" w:hAnsi="Times New Roman"/>
          <w:sz w:val="24"/>
          <w:szCs w:val="24"/>
        </w:rPr>
        <w:t>18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(the instrument) which </w:t>
      </w:r>
      <w:r w:rsidRPr="002C6D26">
        <w:rPr>
          <w:rFonts w:ascii="Times New Roman" w:hAnsi="Times New Roman"/>
          <w:sz w:val="24"/>
          <w:szCs w:val="24"/>
        </w:rPr>
        <w:t xml:space="preserve">determines </w:t>
      </w:r>
      <w:r>
        <w:rPr>
          <w:rFonts w:ascii="Times New Roman" w:hAnsi="Times New Roman"/>
          <w:i/>
          <w:sz w:val="24"/>
          <w:szCs w:val="24"/>
        </w:rPr>
        <w:t>Prudential Standard</w:t>
      </w:r>
      <w:r w:rsidRPr="00246723">
        <w:rPr>
          <w:rFonts w:ascii="Times New Roman" w:hAnsi="Times New Roman"/>
          <w:sz w:val="24"/>
          <w:szCs w:val="24"/>
        </w:rPr>
        <w:t xml:space="preserve"> </w:t>
      </w:r>
      <w:r w:rsidR="00544AE4">
        <w:rPr>
          <w:rFonts w:ascii="Times New Roman" w:hAnsi="Times New Roman"/>
          <w:i/>
          <w:sz w:val="24"/>
          <w:szCs w:val="24"/>
        </w:rPr>
        <w:t>C</w:t>
      </w:r>
      <w:r w:rsidR="0040175E" w:rsidRPr="0040175E">
        <w:rPr>
          <w:rFonts w:ascii="Times New Roman" w:hAnsi="Times New Roman"/>
          <w:i/>
          <w:sz w:val="24"/>
          <w:szCs w:val="24"/>
        </w:rPr>
        <w:t xml:space="preserve">PS </w:t>
      </w:r>
      <w:r w:rsidR="00544AE4">
        <w:rPr>
          <w:rFonts w:ascii="Times New Roman" w:hAnsi="Times New Roman"/>
          <w:i/>
          <w:sz w:val="24"/>
          <w:szCs w:val="24"/>
        </w:rPr>
        <w:t>234 Information Security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44AE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PS </w:t>
      </w:r>
      <w:r w:rsidR="00544AE4">
        <w:rPr>
          <w:rFonts w:ascii="Times New Roman" w:hAnsi="Times New Roman"/>
          <w:sz w:val="24"/>
          <w:szCs w:val="24"/>
        </w:rPr>
        <w:t>234</w:t>
      </w:r>
      <w:r>
        <w:rPr>
          <w:rFonts w:ascii="Times New Roman" w:hAnsi="Times New Roman"/>
          <w:sz w:val="24"/>
          <w:szCs w:val="24"/>
        </w:rPr>
        <w:t>)</w:t>
      </w:r>
      <w:r w:rsidR="00246723">
        <w:rPr>
          <w:rFonts w:ascii="Times New Roman" w:hAnsi="Times New Roman"/>
          <w:sz w:val="24"/>
          <w:szCs w:val="24"/>
        </w:rPr>
        <w:t>.</w:t>
      </w:r>
    </w:p>
    <w:p w14:paraId="7183B473" w14:textId="42488EE8" w:rsidR="00246723" w:rsidRDefault="00246723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instrument commences on</w:t>
      </w:r>
      <w:r w:rsidR="002436BD" w:rsidRPr="002C6D26">
        <w:rPr>
          <w:rFonts w:ascii="Times New Roman" w:hAnsi="Times New Roman"/>
          <w:sz w:val="24"/>
          <w:szCs w:val="24"/>
        </w:rPr>
        <w:t xml:space="preserve"> </w:t>
      </w:r>
      <w:r w:rsidR="00B62FE5">
        <w:rPr>
          <w:rFonts w:ascii="Times New Roman" w:hAnsi="Times New Roman"/>
          <w:sz w:val="24"/>
          <w:szCs w:val="24"/>
        </w:rPr>
        <w:t>1 July 2019</w:t>
      </w:r>
      <w:r w:rsidR="002436BD" w:rsidRPr="002C6D26">
        <w:rPr>
          <w:rFonts w:ascii="Times New Roman" w:hAnsi="Times New Roman"/>
          <w:sz w:val="24"/>
          <w:szCs w:val="24"/>
        </w:rPr>
        <w:t>.</w:t>
      </w:r>
    </w:p>
    <w:p w14:paraId="64AE87C7" w14:textId="77777777" w:rsidR="002436BD" w:rsidRDefault="002436BD" w:rsidP="00D85E77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Background</w:t>
      </w:r>
    </w:p>
    <w:p w14:paraId="169BCA04" w14:textId="19829987" w:rsidR="00310CF8" w:rsidRPr="00470375" w:rsidRDefault="00F807DA" w:rsidP="001A380F">
      <w:pPr>
        <w:pStyle w:val="Heading"/>
        <w:keepNext/>
        <w:tabs>
          <w:tab w:val="left" w:pos="7215"/>
        </w:tabs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 w:rsidRPr="00F807DA">
        <w:rPr>
          <w:rFonts w:ascii="Times New Roman" w:hAnsi="Times New Roman"/>
          <w:b w:val="0"/>
          <w:sz w:val="24"/>
          <w:szCs w:val="24"/>
        </w:rPr>
        <w:t>Sound risk management</w:t>
      </w:r>
      <w:r>
        <w:rPr>
          <w:rFonts w:ascii="Times New Roman" w:hAnsi="Times New Roman"/>
          <w:b w:val="0"/>
          <w:sz w:val="24"/>
          <w:szCs w:val="24"/>
        </w:rPr>
        <w:t xml:space="preserve"> is a key foundation to APRA’s prudential framework across all APRA-regulated entities, and includes the management of information security. Effective information security is increasingly critical as information security threats and attacks </w:t>
      </w:r>
      <w:r w:rsidR="00803134">
        <w:rPr>
          <w:rFonts w:ascii="Times New Roman" w:hAnsi="Times New Roman"/>
          <w:b w:val="0"/>
          <w:sz w:val="24"/>
          <w:szCs w:val="24"/>
        </w:rPr>
        <w:t xml:space="preserve">escalate </w:t>
      </w:r>
      <w:r>
        <w:rPr>
          <w:rFonts w:ascii="Times New Roman" w:hAnsi="Times New Roman"/>
          <w:b w:val="0"/>
          <w:sz w:val="24"/>
          <w:szCs w:val="24"/>
        </w:rPr>
        <w:t>in frequency, sophistication and impact.</w:t>
      </w:r>
    </w:p>
    <w:p w14:paraId="71A1C46E" w14:textId="77777777" w:rsidR="002436BD" w:rsidRDefault="002436BD" w:rsidP="00D85E77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bookmarkStart w:id="4" w:name="bkBackground"/>
      <w:bookmarkEnd w:id="4"/>
      <w:r w:rsidRPr="002C6D26">
        <w:rPr>
          <w:rFonts w:ascii="Times New Roman" w:hAnsi="Times New Roman"/>
          <w:sz w:val="24"/>
          <w:szCs w:val="24"/>
        </w:rPr>
        <w:t xml:space="preserve">Purpose </w:t>
      </w:r>
      <w:r w:rsidR="00DF524E">
        <w:rPr>
          <w:rFonts w:ascii="Times New Roman" w:hAnsi="Times New Roman"/>
          <w:sz w:val="24"/>
          <w:szCs w:val="24"/>
        </w:rPr>
        <w:t xml:space="preserve">and operation </w:t>
      </w:r>
      <w:r w:rsidRPr="002C6D26">
        <w:rPr>
          <w:rFonts w:ascii="Times New Roman" w:hAnsi="Times New Roman"/>
          <w:sz w:val="24"/>
          <w:szCs w:val="24"/>
        </w:rPr>
        <w:t>of the instrument</w:t>
      </w:r>
    </w:p>
    <w:p w14:paraId="65F9AD04" w14:textId="749F4354" w:rsidR="007E4B2A" w:rsidRDefault="00F807DA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bookmarkStart w:id="5" w:name="bkPurpose"/>
      <w:bookmarkEnd w:id="5"/>
      <w:r w:rsidRPr="00F807DA">
        <w:rPr>
          <w:rFonts w:ascii="Times New Roman" w:hAnsi="Times New Roman"/>
          <w:b w:val="0"/>
          <w:sz w:val="24"/>
          <w:szCs w:val="24"/>
        </w:rPr>
        <w:t xml:space="preserve">APRA </w:t>
      </w:r>
      <w:r w:rsidR="008B54F8">
        <w:rPr>
          <w:rFonts w:ascii="Times New Roman" w:hAnsi="Times New Roman"/>
          <w:b w:val="0"/>
          <w:sz w:val="24"/>
          <w:szCs w:val="24"/>
        </w:rPr>
        <w:t>has made</w:t>
      </w:r>
      <w:r w:rsidRPr="00F807DA">
        <w:rPr>
          <w:rFonts w:ascii="Times New Roman" w:hAnsi="Times New Roman"/>
          <w:b w:val="0"/>
          <w:sz w:val="24"/>
          <w:szCs w:val="24"/>
        </w:rPr>
        <w:t xml:space="preserve"> a new prudential standard designed to ensure that APRA-regulated entities have in place appropriate information security capabilities to be resilient against information security incidents.</w:t>
      </w:r>
      <w:r w:rsidR="00D9737F">
        <w:rPr>
          <w:rFonts w:ascii="Times New Roman" w:hAnsi="Times New Roman"/>
          <w:b w:val="0"/>
          <w:sz w:val="24"/>
          <w:szCs w:val="24"/>
        </w:rPr>
        <w:t xml:space="preserve"> APRA has previously release</w:t>
      </w:r>
      <w:r w:rsidR="00803134">
        <w:rPr>
          <w:rFonts w:ascii="Times New Roman" w:hAnsi="Times New Roman"/>
          <w:b w:val="0"/>
          <w:sz w:val="24"/>
          <w:szCs w:val="24"/>
        </w:rPr>
        <w:t>d</w:t>
      </w:r>
      <w:r w:rsidR="00D9737F">
        <w:rPr>
          <w:rFonts w:ascii="Times New Roman" w:hAnsi="Times New Roman"/>
          <w:b w:val="0"/>
          <w:sz w:val="24"/>
          <w:szCs w:val="24"/>
        </w:rPr>
        <w:t xml:space="preserve"> guidance on managing security risk in information and information technology</w:t>
      </w:r>
      <w:r w:rsidR="00446F71">
        <w:rPr>
          <w:rFonts w:ascii="Times New Roman" w:hAnsi="Times New Roman"/>
          <w:b w:val="0"/>
          <w:sz w:val="24"/>
          <w:szCs w:val="24"/>
        </w:rPr>
        <w:t>.</w:t>
      </w:r>
      <w:r w:rsidR="00D9737F">
        <w:rPr>
          <w:rFonts w:ascii="Times New Roman" w:hAnsi="Times New Roman"/>
          <w:b w:val="0"/>
          <w:sz w:val="24"/>
          <w:szCs w:val="24"/>
        </w:rPr>
        <w:t xml:space="preserve"> </w:t>
      </w:r>
      <w:r w:rsidR="00446F71">
        <w:rPr>
          <w:rFonts w:ascii="Times New Roman" w:hAnsi="Times New Roman"/>
          <w:b w:val="0"/>
          <w:sz w:val="24"/>
          <w:szCs w:val="24"/>
        </w:rPr>
        <w:t>H</w:t>
      </w:r>
      <w:r w:rsidR="00D9737F">
        <w:rPr>
          <w:rFonts w:ascii="Times New Roman" w:hAnsi="Times New Roman"/>
          <w:b w:val="0"/>
          <w:sz w:val="24"/>
          <w:szCs w:val="24"/>
        </w:rPr>
        <w:t>owever</w:t>
      </w:r>
      <w:r w:rsidR="00446F71">
        <w:rPr>
          <w:rFonts w:ascii="Times New Roman" w:hAnsi="Times New Roman"/>
          <w:b w:val="0"/>
          <w:sz w:val="24"/>
          <w:szCs w:val="24"/>
        </w:rPr>
        <w:t>,</w:t>
      </w:r>
      <w:r w:rsidR="00D9737F">
        <w:rPr>
          <w:rFonts w:ascii="Times New Roman" w:hAnsi="Times New Roman"/>
          <w:b w:val="0"/>
          <w:sz w:val="24"/>
          <w:szCs w:val="24"/>
        </w:rPr>
        <w:t xml:space="preserve"> given the criticality of information security to the operation of entities in the regulated financial sector and the varying levels and sophistication of information security in APRA-regulated entities, APRA considers it appropriate </w:t>
      </w:r>
      <w:r w:rsidR="00446F71">
        <w:rPr>
          <w:rFonts w:ascii="Times New Roman" w:hAnsi="Times New Roman"/>
          <w:b w:val="0"/>
          <w:sz w:val="24"/>
          <w:szCs w:val="24"/>
        </w:rPr>
        <w:t xml:space="preserve">to </w:t>
      </w:r>
      <w:r w:rsidR="00D9737F">
        <w:rPr>
          <w:rFonts w:ascii="Times New Roman" w:hAnsi="Times New Roman"/>
          <w:b w:val="0"/>
          <w:sz w:val="24"/>
          <w:szCs w:val="24"/>
        </w:rPr>
        <w:t>set out its expectations as to minimum standards in a prudential standard.</w:t>
      </w:r>
    </w:p>
    <w:p w14:paraId="1670C31E" w14:textId="0A95639E" w:rsidR="00D9737F" w:rsidRDefault="009D3AAE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CPS 234 will require an APRA-regulated entity to:</w:t>
      </w:r>
    </w:p>
    <w:p w14:paraId="67C152B0" w14:textId="49FD000C" w:rsidR="005333AC" w:rsidRDefault="005333AC" w:rsidP="009D3AAE">
      <w:pPr>
        <w:pStyle w:val="Heading"/>
        <w:numPr>
          <w:ilvl w:val="0"/>
          <w:numId w:val="7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classify its information assets by criticality and sensitivity to determine the potential impact </w:t>
      </w:r>
      <w:r w:rsidR="009017B4">
        <w:rPr>
          <w:rFonts w:ascii="Times New Roman" w:hAnsi="Times New Roman"/>
          <w:b w:val="0"/>
          <w:sz w:val="24"/>
          <w:szCs w:val="24"/>
        </w:rPr>
        <w:t xml:space="preserve">of an information security incident </w:t>
      </w:r>
      <w:r>
        <w:rPr>
          <w:rFonts w:ascii="Times New Roman" w:hAnsi="Times New Roman"/>
          <w:b w:val="0"/>
          <w:sz w:val="24"/>
          <w:szCs w:val="24"/>
        </w:rPr>
        <w:t>on the entity and the interests of benef</w:t>
      </w:r>
      <w:r w:rsidR="009017B4">
        <w:rPr>
          <w:rFonts w:ascii="Times New Roman" w:hAnsi="Times New Roman"/>
          <w:b w:val="0"/>
          <w:sz w:val="24"/>
          <w:szCs w:val="24"/>
        </w:rPr>
        <w:t>iciaries and other customers;</w:t>
      </w:r>
    </w:p>
    <w:p w14:paraId="238D9B8E" w14:textId="164B354D" w:rsidR="009D3AAE" w:rsidRDefault="009D3AAE" w:rsidP="009D3AAE">
      <w:pPr>
        <w:pStyle w:val="Heading"/>
        <w:numPr>
          <w:ilvl w:val="0"/>
          <w:numId w:val="7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clearly define the information-security related roles and responsibilities of the Board, senior management, governance bodies and individuals;</w:t>
      </w:r>
    </w:p>
    <w:p w14:paraId="57A5FF97" w14:textId="36473531" w:rsidR="009D3AAE" w:rsidRDefault="009D3AAE" w:rsidP="009D3AAE">
      <w:pPr>
        <w:pStyle w:val="Heading"/>
        <w:numPr>
          <w:ilvl w:val="0"/>
          <w:numId w:val="7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maintain an appropriate information security capability;</w:t>
      </w:r>
    </w:p>
    <w:p w14:paraId="18FCD369" w14:textId="2ECEA9D6" w:rsidR="006A6D15" w:rsidRDefault="006A6D15" w:rsidP="009D3AAE">
      <w:pPr>
        <w:pStyle w:val="Heading"/>
        <w:numPr>
          <w:ilvl w:val="0"/>
          <w:numId w:val="7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implement controls to protect information assets commensurate with the size and extent of threats to its information assets; and</w:t>
      </w:r>
    </w:p>
    <w:p w14:paraId="4FEC142C" w14:textId="0B947003" w:rsidR="006A6D15" w:rsidRDefault="006A6D15" w:rsidP="009D3AAE">
      <w:pPr>
        <w:pStyle w:val="Heading"/>
        <w:numPr>
          <w:ilvl w:val="0"/>
          <w:numId w:val="7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notify APRA of material information security incidents and certain information security control weaknesses.</w:t>
      </w:r>
    </w:p>
    <w:p w14:paraId="4AC550B2" w14:textId="7FE3818C" w:rsidR="005A77FF" w:rsidRDefault="005A77FF" w:rsidP="005A77FF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In finalising CPS 234, APRA has made a number of modifications to the original draft version of the standard to address concerns raised by submissions. These changes will assist APRA-regulated entities in both implementing and complying with CPS 234 while continuing to meet the original objectives set out by APRA in proposing information security requirements. The key changes include:</w:t>
      </w:r>
    </w:p>
    <w:p w14:paraId="2ACC6FA3" w14:textId="7EBEA4F3" w:rsidR="005A77FF" w:rsidRDefault="005A77FF" w:rsidP="005A77FF">
      <w:pPr>
        <w:pStyle w:val="Heading"/>
        <w:numPr>
          <w:ilvl w:val="0"/>
          <w:numId w:val="9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inclusion of definitions of key concepts underlying the standard, including criticality, sensitivity, confidentiality, integrity and accessibility;</w:t>
      </w:r>
    </w:p>
    <w:p w14:paraId="72CB0765" w14:textId="0FD8779C" w:rsidR="005A77FF" w:rsidRDefault="005A77FF" w:rsidP="005A77FF">
      <w:pPr>
        <w:pStyle w:val="Heading"/>
        <w:numPr>
          <w:ilvl w:val="0"/>
          <w:numId w:val="9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providing a transition period in relation to information assets managed by third parties on behalf of APRA-regulated entities;</w:t>
      </w:r>
    </w:p>
    <w:p w14:paraId="4680105F" w14:textId="3637D8F4" w:rsidR="00E87D11" w:rsidRDefault="00E87D11" w:rsidP="005A77FF">
      <w:pPr>
        <w:pStyle w:val="Heading"/>
        <w:numPr>
          <w:ilvl w:val="0"/>
          <w:numId w:val="9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extending the maximum allowable timeframes from 24 hours to 72 hours for APRA-regulated entities to notify APRA of information security incidents that </w:t>
      </w:r>
      <w:r w:rsidR="00347DCE">
        <w:rPr>
          <w:rFonts w:ascii="Times New Roman" w:hAnsi="Times New Roman"/>
          <w:b w:val="0"/>
          <w:sz w:val="24"/>
          <w:szCs w:val="24"/>
        </w:rPr>
        <w:t xml:space="preserve">either </w:t>
      </w:r>
      <w:r>
        <w:rPr>
          <w:rFonts w:ascii="Times New Roman" w:hAnsi="Times New Roman"/>
          <w:b w:val="0"/>
          <w:sz w:val="24"/>
          <w:szCs w:val="24"/>
        </w:rPr>
        <w:t>materially affected, or had the potential to materially affect, the entity or the interests of depositors, policyholders, beneficiaries or other customers</w:t>
      </w:r>
      <w:r w:rsidR="009F09C1">
        <w:rPr>
          <w:rFonts w:ascii="Times New Roman" w:hAnsi="Times New Roman"/>
          <w:b w:val="0"/>
          <w:sz w:val="24"/>
          <w:szCs w:val="24"/>
        </w:rPr>
        <w:t>, or</w:t>
      </w:r>
      <w:r w:rsidR="00347DCE">
        <w:rPr>
          <w:rFonts w:ascii="Times New Roman" w:hAnsi="Times New Roman"/>
          <w:b w:val="0"/>
          <w:sz w:val="24"/>
          <w:szCs w:val="24"/>
        </w:rPr>
        <w:t xml:space="preserve"> that </w:t>
      </w:r>
      <w:r w:rsidR="009F09C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had been notified to other regulators</w:t>
      </w:r>
      <w:r>
        <w:rPr>
          <w:rFonts w:ascii="Times New Roman" w:hAnsi="Times New Roman"/>
          <w:b w:val="0"/>
          <w:sz w:val="24"/>
          <w:szCs w:val="24"/>
        </w:rPr>
        <w:t>; and</w:t>
      </w:r>
    </w:p>
    <w:p w14:paraId="4F865CE2" w14:textId="722D239A" w:rsidR="00E87D11" w:rsidRDefault="00E87D11" w:rsidP="005A77FF">
      <w:pPr>
        <w:pStyle w:val="Heading"/>
        <w:numPr>
          <w:ilvl w:val="0"/>
          <w:numId w:val="9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extending the maximum allowable timeframe from five to ten business days for APRA-regulated entities to notify APRA of a material information security control weakness which the entity expects will not be remediated in a timely manner.</w:t>
      </w:r>
    </w:p>
    <w:p w14:paraId="296A96A4" w14:textId="669FD364" w:rsidR="005A77FF" w:rsidRPr="00F807DA" w:rsidRDefault="00E87D11" w:rsidP="00E87D11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APRA also made a number of additional drafting changes to the final CPS 234 </w:t>
      </w:r>
      <w:r w:rsidR="00347DCE">
        <w:rPr>
          <w:rFonts w:ascii="Times New Roman" w:hAnsi="Times New Roman"/>
          <w:b w:val="0"/>
          <w:sz w:val="24"/>
          <w:szCs w:val="24"/>
        </w:rPr>
        <w:t xml:space="preserve">to </w:t>
      </w:r>
      <w:r>
        <w:rPr>
          <w:rFonts w:ascii="Times New Roman" w:hAnsi="Times New Roman"/>
          <w:b w:val="0"/>
          <w:sz w:val="24"/>
          <w:szCs w:val="24"/>
        </w:rPr>
        <w:t>provide greater clarity.</w:t>
      </w:r>
    </w:p>
    <w:p w14:paraId="152DD883" w14:textId="0C96BEC9" w:rsidR="005B0BAF" w:rsidRDefault="005B0BAF" w:rsidP="005B0BAF">
      <w:pPr>
        <w:pStyle w:val="Heading"/>
        <w:spacing w:after="240"/>
        <w:rPr>
          <w:rFonts w:ascii="Times New Roman" w:hAnsi="Times New Roman"/>
          <w:b w:val="0"/>
          <w:sz w:val="24"/>
          <w:szCs w:val="24"/>
          <w:highlight w:val="yellow"/>
        </w:rPr>
      </w:pPr>
      <w:r w:rsidRPr="00FD728F">
        <w:rPr>
          <w:rFonts w:ascii="Times New Roman" w:hAnsi="Times New Roman"/>
          <w:b w:val="0"/>
          <w:sz w:val="24"/>
          <w:szCs w:val="24"/>
        </w:rPr>
        <w:t xml:space="preserve">Where </w:t>
      </w:r>
      <w:r w:rsidR="00D9737F">
        <w:rPr>
          <w:rFonts w:ascii="Times New Roman" w:hAnsi="Times New Roman"/>
          <w:b w:val="0"/>
          <w:sz w:val="24"/>
          <w:szCs w:val="24"/>
        </w:rPr>
        <w:t>CPS 234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A1493">
        <w:rPr>
          <w:rFonts w:ascii="Times New Roman" w:hAnsi="Times New Roman"/>
          <w:b w:val="0"/>
          <w:sz w:val="24"/>
          <w:szCs w:val="24"/>
        </w:rPr>
        <w:t>refers to</w:t>
      </w:r>
      <w:r w:rsidRPr="00FD728F">
        <w:rPr>
          <w:rFonts w:ascii="Times New Roman" w:hAnsi="Times New Roman"/>
          <w:b w:val="0"/>
          <w:sz w:val="24"/>
          <w:szCs w:val="24"/>
        </w:rPr>
        <w:t xml:space="preserve"> </w:t>
      </w:r>
      <w:r w:rsidR="009B2829">
        <w:rPr>
          <w:rFonts w:ascii="Times New Roman" w:hAnsi="Times New Roman"/>
          <w:b w:val="0"/>
          <w:sz w:val="24"/>
          <w:szCs w:val="24"/>
        </w:rPr>
        <w:t>an Act, Regulation or</w:t>
      </w:r>
      <w:r w:rsidRPr="00FD728F">
        <w:rPr>
          <w:rFonts w:ascii="Times New Roman" w:hAnsi="Times New Roman"/>
          <w:b w:val="0"/>
          <w:sz w:val="24"/>
          <w:szCs w:val="24"/>
        </w:rPr>
        <w:t xml:space="preserve"> prudential standard, this is a reference to the </w:t>
      </w:r>
      <w:r w:rsidR="00AA1493">
        <w:rPr>
          <w:rFonts w:ascii="Times New Roman" w:hAnsi="Times New Roman"/>
          <w:b w:val="0"/>
          <w:sz w:val="24"/>
          <w:szCs w:val="24"/>
        </w:rPr>
        <w:t>document</w:t>
      </w:r>
      <w:r w:rsidRPr="00FD728F">
        <w:rPr>
          <w:rFonts w:ascii="Times New Roman" w:hAnsi="Times New Roman"/>
          <w:b w:val="0"/>
          <w:sz w:val="24"/>
          <w:szCs w:val="24"/>
        </w:rPr>
        <w:t xml:space="preserve"> as it exists from time to time</w:t>
      </w:r>
      <w:r w:rsidR="00157D65">
        <w:rPr>
          <w:rFonts w:ascii="Times New Roman" w:hAnsi="Times New Roman"/>
          <w:b w:val="0"/>
          <w:sz w:val="24"/>
          <w:szCs w:val="24"/>
        </w:rPr>
        <w:t>,</w:t>
      </w:r>
      <w:r w:rsidR="00157D65" w:rsidRPr="00157D65">
        <w:rPr>
          <w:b w:val="0"/>
          <w:sz w:val="22"/>
          <w:szCs w:val="20"/>
        </w:rPr>
        <w:t xml:space="preserve"> </w:t>
      </w:r>
      <w:r w:rsidR="00157D65" w:rsidRPr="00157D65">
        <w:rPr>
          <w:rFonts w:ascii="Times New Roman" w:hAnsi="Times New Roman"/>
          <w:b w:val="0"/>
          <w:sz w:val="24"/>
          <w:szCs w:val="24"/>
        </w:rPr>
        <w:t xml:space="preserve">and </w:t>
      </w:r>
      <w:r w:rsidR="0069678B">
        <w:rPr>
          <w:rFonts w:ascii="Times New Roman" w:hAnsi="Times New Roman"/>
          <w:b w:val="0"/>
          <w:sz w:val="24"/>
          <w:szCs w:val="24"/>
        </w:rPr>
        <w:t>which is</w:t>
      </w:r>
      <w:r w:rsidR="00157D65" w:rsidRPr="00157D65">
        <w:rPr>
          <w:rFonts w:ascii="Times New Roman" w:hAnsi="Times New Roman"/>
          <w:b w:val="0"/>
          <w:sz w:val="24"/>
          <w:szCs w:val="24"/>
        </w:rPr>
        <w:t xml:space="preserve"> available on the Federal Register of Legislation at </w:t>
      </w:r>
      <w:hyperlink r:id="rId13" w:history="1">
        <w:r w:rsidR="00157D65" w:rsidRPr="00157D65">
          <w:rPr>
            <w:rStyle w:val="Hyperlink"/>
            <w:rFonts w:ascii="Times New Roman" w:hAnsi="Times New Roman"/>
            <w:b w:val="0"/>
            <w:sz w:val="24"/>
            <w:szCs w:val="24"/>
          </w:rPr>
          <w:t>www.legislation.gov.au</w:t>
        </w:r>
      </w:hyperlink>
      <w:r w:rsidRPr="00FD728F">
        <w:rPr>
          <w:rFonts w:ascii="Times New Roman" w:hAnsi="Times New Roman"/>
          <w:b w:val="0"/>
          <w:sz w:val="24"/>
          <w:szCs w:val="24"/>
        </w:rPr>
        <w:t>.</w:t>
      </w:r>
    </w:p>
    <w:p w14:paraId="63BA98A8" w14:textId="77777777" w:rsidR="002436BD" w:rsidRDefault="002436BD" w:rsidP="005333AC">
      <w:pPr>
        <w:pStyle w:val="Heading"/>
        <w:keepNext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bookmarkStart w:id="6" w:name="bkoperation"/>
      <w:bookmarkStart w:id="7" w:name="bkConsultationNo"/>
      <w:bookmarkEnd w:id="6"/>
      <w:bookmarkEnd w:id="7"/>
      <w:r w:rsidRPr="002C6D26">
        <w:rPr>
          <w:rFonts w:ascii="Times New Roman" w:hAnsi="Times New Roman"/>
          <w:sz w:val="24"/>
          <w:szCs w:val="24"/>
        </w:rPr>
        <w:lastRenderedPageBreak/>
        <w:t>Consultation</w:t>
      </w:r>
    </w:p>
    <w:p w14:paraId="087F51C2" w14:textId="7069D674" w:rsidR="002436BD" w:rsidRDefault="002436BD" w:rsidP="005333AC">
      <w:pPr>
        <w:pStyle w:val="Heading"/>
        <w:keepNext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APRA </w:t>
      </w:r>
      <w:r w:rsidR="00347DCE">
        <w:rPr>
          <w:rFonts w:ascii="Times New Roman" w:hAnsi="Times New Roman"/>
          <w:b w:val="0"/>
          <w:sz w:val="24"/>
          <w:szCs w:val="24"/>
        </w:rPr>
        <w:t xml:space="preserve">has consulted extensively </w:t>
      </w:r>
      <w:r>
        <w:rPr>
          <w:rFonts w:ascii="Times New Roman" w:hAnsi="Times New Roman"/>
          <w:b w:val="0"/>
          <w:sz w:val="24"/>
          <w:szCs w:val="24"/>
        </w:rPr>
        <w:t xml:space="preserve">on its proposed </w:t>
      </w:r>
      <w:r w:rsidR="001F0095">
        <w:rPr>
          <w:rFonts w:ascii="Times New Roman" w:hAnsi="Times New Roman"/>
          <w:b w:val="0"/>
          <w:sz w:val="24"/>
          <w:szCs w:val="24"/>
        </w:rPr>
        <w:t>information security proposals</w:t>
      </w:r>
      <w:r w:rsidR="00347DCE">
        <w:rPr>
          <w:rFonts w:ascii="Times New Roman" w:hAnsi="Times New Roman"/>
          <w:b w:val="0"/>
          <w:sz w:val="24"/>
          <w:szCs w:val="24"/>
        </w:rPr>
        <w:t>.  APRA undertook</w:t>
      </w:r>
      <w:r w:rsidR="001F0095">
        <w:rPr>
          <w:rFonts w:ascii="Times New Roman" w:hAnsi="Times New Roman"/>
          <w:b w:val="0"/>
          <w:sz w:val="24"/>
          <w:szCs w:val="24"/>
        </w:rPr>
        <w:t xml:space="preserve"> a public consultation from March to May 2018, </w:t>
      </w:r>
      <w:r w:rsidR="00347DCE">
        <w:rPr>
          <w:rFonts w:ascii="Times New Roman" w:hAnsi="Times New Roman"/>
          <w:b w:val="0"/>
          <w:sz w:val="24"/>
          <w:szCs w:val="24"/>
        </w:rPr>
        <w:t xml:space="preserve"> met </w:t>
      </w:r>
      <w:r w:rsidR="001F0095">
        <w:rPr>
          <w:rFonts w:ascii="Times New Roman" w:hAnsi="Times New Roman"/>
          <w:b w:val="0"/>
          <w:sz w:val="24"/>
          <w:szCs w:val="24"/>
        </w:rPr>
        <w:t xml:space="preserve">with a number of interested parties and </w:t>
      </w:r>
      <w:r w:rsidR="00347DCE">
        <w:rPr>
          <w:rFonts w:ascii="Times New Roman" w:hAnsi="Times New Roman"/>
          <w:b w:val="0"/>
          <w:sz w:val="24"/>
          <w:szCs w:val="24"/>
        </w:rPr>
        <w:t xml:space="preserve">made </w:t>
      </w:r>
      <w:r w:rsidR="001F0095">
        <w:rPr>
          <w:rFonts w:ascii="Times New Roman" w:hAnsi="Times New Roman"/>
          <w:b w:val="0"/>
          <w:sz w:val="24"/>
          <w:szCs w:val="24"/>
        </w:rPr>
        <w:t>a number of presentations at industry forums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="001F0095">
        <w:rPr>
          <w:rFonts w:ascii="Times New Roman" w:hAnsi="Times New Roman"/>
          <w:b w:val="0"/>
          <w:sz w:val="24"/>
          <w:szCs w:val="24"/>
        </w:rPr>
        <w:t>A</w:t>
      </w:r>
      <w:r w:rsidR="00347DCE">
        <w:rPr>
          <w:rFonts w:ascii="Times New Roman" w:hAnsi="Times New Roman"/>
          <w:b w:val="0"/>
          <w:sz w:val="24"/>
          <w:szCs w:val="24"/>
        </w:rPr>
        <w:t>PRA received a</w:t>
      </w:r>
      <w:r w:rsidR="001F0095">
        <w:rPr>
          <w:rFonts w:ascii="Times New Roman" w:hAnsi="Times New Roman"/>
          <w:b w:val="0"/>
          <w:sz w:val="24"/>
          <w:szCs w:val="24"/>
        </w:rPr>
        <w:t xml:space="preserve"> total of 39 s</w:t>
      </w:r>
      <w:r>
        <w:rPr>
          <w:rFonts w:ascii="Times New Roman" w:hAnsi="Times New Roman"/>
          <w:b w:val="0"/>
          <w:sz w:val="24"/>
          <w:szCs w:val="24"/>
        </w:rPr>
        <w:t>ubmissions from</w:t>
      </w:r>
      <w:r w:rsidR="001F0095">
        <w:rPr>
          <w:rFonts w:ascii="Times New Roman" w:hAnsi="Times New Roman"/>
          <w:b w:val="0"/>
          <w:sz w:val="24"/>
          <w:szCs w:val="24"/>
        </w:rPr>
        <w:t xml:space="preserve"> APRA-regulated entities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1F0095">
        <w:rPr>
          <w:rFonts w:ascii="Times New Roman" w:hAnsi="Times New Roman"/>
          <w:b w:val="0"/>
          <w:sz w:val="24"/>
          <w:szCs w:val="24"/>
        </w:rPr>
        <w:t xml:space="preserve"> industry bodies </w:t>
      </w:r>
      <w:r w:rsidR="00236E34">
        <w:rPr>
          <w:rFonts w:ascii="Times New Roman" w:hAnsi="Times New Roman"/>
          <w:b w:val="0"/>
          <w:sz w:val="24"/>
          <w:szCs w:val="24"/>
        </w:rPr>
        <w:t xml:space="preserve">and also </w:t>
      </w:r>
      <w:r w:rsidR="001F0095">
        <w:rPr>
          <w:rFonts w:ascii="Times New Roman" w:hAnsi="Times New Roman"/>
          <w:b w:val="0"/>
          <w:sz w:val="24"/>
          <w:szCs w:val="24"/>
        </w:rPr>
        <w:t>a number of other interested parties.</w:t>
      </w:r>
    </w:p>
    <w:p w14:paraId="00609F31" w14:textId="203E339D" w:rsidR="00EE2F44" w:rsidRDefault="00EE2F44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key concerns raised in submissions focused on:</w:t>
      </w:r>
    </w:p>
    <w:p w14:paraId="2EDE9249" w14:textId="77777777" w:rsidR="00DC22A4" w:rsidRDefault="00145E6F" w:rsidP="00145E6F">
      <w:pPr>
        <w:pStyle w:val="Heading"/>
        <w:numPr>
          <w:ilvl w:val="0"/>
          <w:numId w:val="8"/>
        </w:numPr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nature and extent of the classification of information assets required under the standard</w:t>
      </w:r>
      <w:r w:rsidR="00DC22A4">
        <w:rPr>
          <w:rFonts w:ascii="Times New Roman" w:hAnsi="Times New Roman"/>
          <w:b w:val="0"/>
          <w:sz w:val="24"/>
          <w:szCs w:val="24"/>
        </w:rPr>
        <w:t>;</w:t>
      </w:r>
    </w:p>
    <w:p w14:paraId="0A6498D9" w14:textId="77777777" w:rsidR="00DC22A4" w:rsidRDefault="00DC22A4" w:rsidP="00145E6F">
      <w:pPr>
        <w:pStyle w:val="Heading"/>
        <w:numPr>
          <w:ilvl w:val="0"/>
          <w:numId w:val="8"/>
        </w:numPr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application of the standard to third-party arrangements and situations where a third-party service provider engages another provider to manage information assets of an APRA-regulated entity;</w:t>
      </w:r>
    </w:p>
    <w:p w14:paraId="05FDD8E4" w14:textId="77777777" w:rsidR="00DC22A4" w:rsidRDefault="00DC22A4" w:rsidP="00145E6F">
      <w:pPr>
        <w:pStyle w:val="Heading"/>
        <w:numPr>
          <w:ilvl w:val="0"/>
          <w:numId w:val="8"/>
        </w:numPr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notification requirements; and</w:t>
      </w:r>
    </w:p>
    <w:p w14:paraId="76832563" w14:textId="20B2C470" w:rsidR="00EE2F44" w:rsidRDefault="00DC22A4" w:rsidP="00145E6F">
      <w:pPr>
        <w:pStyle w:val="Heading"/>
        <w:numPr>
          <w:ilvl w:val="0"/>
          <w:numId w:val="8"/>
        </w:numPr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requests for transition, notably in relation to information assets managed by third parties.</w:t>
      </w:r>
    </w:p>
    <w:p w14:paraId="447C7920" w14:textId="77777777" w:rsidR="002436BD" w:rsidRDefault="00DF524E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bookmarkStart w:id="8" w:name="bkConsultation"/>
      <w:bookmarkStart w:id="9" w:name="bkRISNO"/>
      <w:bookmarkStart w:id="10" w:name="bkRIS"/>
      <w:bookmarkEnd w:id="8"/>
      <w:bookmarkEnd w:id="9"/>
      <w:r>
        <w:rPr>
          <w:rFonts w:ascii="Times New Roman" w:hAnsi="Times New Roman"/>
          <w:sz w:val="24"/>
          <w:szCs w:val="24"/>
        </w:rPr>
        <w:t>4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  <w:r w:rsidR="002436BD" w:rsidRPr="002C6D26">
        <w:rPr>
          <w:rFonts w:ascii="Times New Roman" w:hAnsi="Times New Roman"/>
          <w:sz w:val="24"/>
          <w:szCs w:val="24"/>
        </w:rPr>
        <w:tab/>
        <w:t>R</w:t>
      </w:r>
      <w:r w:rsidR="002436BD">
        <w:rPr>
          <w:rFonts w:ascii="Times New Roman" w:hAnsi="Times New Roman"/>
          <w:sz w:val="24"/>
          <w:szCs w:val="24"/>
        </w:rPr>
        <w:t xml:space="preserve">egulation </w:t>
      </w:r>
      <w:r w:rsidR="002436BD" w:rsidRPr="002C6D26">
        <w:rPr>
          <w:rFonts w:ascii="Times New Roman" w:hAnsi="Times New Roman"/>
          <w:sz w:val="24"/>
          <w:szCs w:val="24"/>
        </w:rPr>
        <w:t>I</w:t>
      </w:r>
      <w:r w:rsidR="002436BD">
        <w:rPr>
          <w:rFonts w:ascii="Times New Roman" w:hAnsi="Times New Roman"/>
          <w:sz w:val="24"/>
          <w:szCs w:val="24"/>
        </w:rPr>
        <w:t xml:space="preserve">mpact </w:t>
      </w:r>
      <w:r w:rsidR="002436BD" w:rsidRPr="002C6D26">
        <w:rPr>
          <w:rFonts w:ascii="Times New Roman" w:hAnsi="Times New Roman"/>
          <w:sz w:val="24"/>
          <w:szCs w:val="24"/>
        </w:rPr>
        <w:t>S</w:t>
      </w:r>
      <w:r w:rsidR="002436BD">
        <w:rPr>
          <w:rFonts w:ascii="Times New Roman" w:hAnsi="Times New Roman"/>
          <w:sz w:val="24"/>
          <w:szCs w:val="24"/>
        </w:rPr>
        <w:t>tatement</w:t>
      </w:r>
    </w:p>
    <w:p w14:paraId="763F9597" w14:textId="77777777" w:rsidR="002436BD" w:rsidRDefault="002436BD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</w:t>
      </w:r>
      <w:r w:rsidR="00B64B2E">
        <w:rPr>
          <w:rFonts w:ascii="Times New Roman" w:hAnsi="Times New Roman"/>
          <w:b w:val="0"/>
          <w:sz w:val="24"/>
          <w:szCs w:val="24"/>
        </w:rPr>
        <w:t>PRA prepared a</w:t>
      </w:r>
      <w:r>
        <w:rPr>
          <w:rFonts w:ascii="Times New Roman" w:hAnsi="Times New Roman"/>
          <w:b w:val="0"/>
          <w:sz w:val="24"/>
          <w:szCs w:val="24"/>
        </w:rPr>
        <w:t xml:space="preserve"> Regulation Impact S</w:t>
      </w:r>
      <w:r w:rsidRPr="002C6D26">
        <w:rPr>
          <w:rFonts w:ascii="Times New Roman" w:hAnsi="Times New Roman"/>
          <w:b w:val="0"/>
          <w:sz w:val="24"/>
          <w:szCs w:val="24"/>
        </w:rPr>
        <w:t>tatement</w:t>
      </w:r>
      <w:r w:rsidR="00A279AF">
        <w:rPr>
          <w:rFonts w:ascii="Times New Roman" w:hAnsi="Times New Roman"/>
          <w:b w:val="0"/>
          <w:sz w:val="24"/>
          <w:szCs w:val="24"/>
        </w:rPr>
        <w:t xml:space="preserve"> </w:t>
      </w:r>
      <w:r w:rsidR="0030506B">
        <w:rPr>
          <w:rFonts w:ascii="Times New Roman" w:hAnsi="Times New Roman"/>
          <w:b w:val="0"/>
          <w:sz w:val="24"/>
          <w:szCs w:val="24"/>
        </w:rPr>
        <w:t>which has been lodged as supporting material</w:t>
      </w:r>
      <w:r w:rsidR="00A279AF">
        <w:rPr>
          <w:rFonts w:ascii="Times New Roman" w:hAnsi="Times New Roman"/>
          <w:b w:val="0"/>
          <w:sz w:val="24"/>
          <w:szCs w:val="24"/>
        </w:rPr>
        <w:t>.</w:t>
      </w:r>
      <w:bookmarkEnd w:id="10"/>
    </w:p>
    <w:p w14:paraId="63CFBA9D" w14:textId="77777777" w:rsidR="002436BD" w:rsidRPr="00B3165F" w:rsidRDefault="00DF524E" w:rsidP="00DA30FB">
      <w:pPr>
        <w:pStyle w:val="Heading"/>
        <w:keepNext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36BD" w:rsidRPr="00B3165F">
        <w:rPr>
          <w:rFonts w:ascii="Times New Roman" w:hAnsi="Times New Roman"/>
          <w:sz w:val="24"/>
          <w:szCs w:val="24"/>
        </w:rPr>
        <w:t>.</w:t>
      </w:r>
      <w:r w:rsidR="002436BD" w:rsidRPr="00B3165F">
        <w:rPr>
          <w:rFonts w:ascii="Times New Roman" w:hAnsi="Times New Roman"/>
          <w:sz w:val="24"/>
          <w:szCs w:val="24"/>
        </w:rPr>
        <w:tab/>
        <w:t>Statement of compatibility prepared in accordance with Part 3 of the Human Rights (Parliamentary Scrutiny) Act 2011</w:t>
      </w:r>
    </w:p>
    <w:p w14:paraId="33371425" w14:textId="77777777" w:rsidR="002436BD" w:rsidRDefault="0030506B" w:rsidP="00DA30FB">
      <w:pPr>
        <w:pStyle w:val="Heading"/>
        <w:keepNext/>
        <w:spacing w:after="240"/>
        <w:rPr>
          <w:rFonts w:ascii="Times New Roman" w:hAnsi="Times New Roman"/>
          <w:b w:val="0"/>
          <w:sz w:val="24"/>
          <w:szCs w:val="24"/>
        </w:rPr>
      </w:pPr>
      <w:r w:rsidRPr="0030506B">
        <w:rPr>
          <w:rFonts w:ascii="Times New Roman" w:hAnsi="Times New Roman"/>
          <w:b w:val="0"/>
          <w:sz w:val="24"/>
          <w:szCs w:val="24"/>
        </w:rPr>
        <w:t xml:space="preserve">A Statement of compatibility prepared in accordance with Part 3 of the </w:t>
      </w:r>
      <w:r w:rsidRPr="0030506B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  <w:r w:rsidRPr="0030506B">
        <w:rPr>
          <w:rFonts w:ascii="Times New Roman" w:hAnsi="Times New Roman"/>
          <w:b w:val="0"/>
          <w:sz w:val="24"/>
          <w:szCs w:val="24"/>
        </w:rPr>
        <w:t xml:space="preserve"> is provided at Attachment A to this Explanatory Statement.</w:t>
      </w:r>
    </w:p>
    <w:p w14:paraId="4282C437" w14:textId="77777777" w:rsidR="0035786C" w:rsidRDefault="0035786C" w:rsidP="00DA30FB">
      <w:pPr>
        <w:keepNext/>
        <w:spacing w:after="240"/>
        <w:jc w:val="both"/>
        <w:sectPr w:rsidR="0035786C" w:rsidSect="003D5032">
          <w:footerReference w:type="default" r:id="rId14"/>
          <w:pgSz w:w="11906" w:h="16838" w:code="9"/>
          <w:pgMar w:top="1440" w:right="1800" w:bottom="1440" w:left="1800" w:header="709" w:footer="709" w:gutter="0"/>
          <w:cols w:space="708"/>
          <w:docGrid w:linePitch="360"/>
        </w:sectPr>
      </w:pPr>
    </w:p>
    <w:p w14:paraId="45EFB605" w14:textId="77777777" w:rsidR="0035786C" w:rsidRPr="00536EC9" w:rsidRDefault="0035786C" w:rsidP="0035786C">
      <w:pPr>
        <w:spacing w:after="360"/>
        <w:outlineLvl w:val="0"/>
        <w:rPr>
          <w:rFonts w:ascii="Times New Roman" w:hAnsi="Times New Roman"/>
          <w:sz w:val="24"/>
          <w:szCs w:val="24"/>
          <w:u w:val="single"/>
        </w:rPr>
      </w:pPr>
      <w:r w:rsidRPr="00536EC9">
        <w:rPr>
          <w:rFonts w:ascii="Times New Roman" w:hAnsi="Times New Roman"/>
          <w:sz w:val="24"/>
          <w:szCs w:val="24"/>
          <w:u w:val="single"/>
        </w:rPr>
        <w:lastRenderedPageBreak/>
        <w:t>ATTACHMENT A</w:t>
      </w:r>
    </w:p>
    <w:p w14:paraId="1826C718" w14:textId="77777777" w:rsidR="0035786C" w:rsidRPr="00536EC9" w:rsidRDefault="0035786C" w:rsidP="0035786C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Statement of Compatibility with Human Rights</w:t>
      </w:r>
    </w:p>
    <w:p w14:paraId="22B09F10" w14:textId="77777777" w:rsidR="0035786C" w:rsidRPr="00536EC9" w:rsidRDefault="0035786C" w:rsidP="0035786C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szCs w:val="22"/>
        </w:rPr>
        <w:t xml:space="preserve">Prepared in accordance with Part 3 of the </w:t>
      </w:r>
      <w:r w:rsidRPr="00536EC9">
        <w:rPr>
          <w:rFonts w:ascii="Times New Roman" w:hAnsi="Times New Roman"/>
          <w:i/>
          <w:iCs/>
          <w:szCs w:val="22"/>
        </w:rPr>
        <w:t>Human Rights (Parliamentary Scrutiny) Act 2011</w:t>
      </w:r>
    </w:p>
    <w:p w14:paraId="7785C196" w14:textId="067650ED" w:rsidR="0035786C" w:rsidRPr="0035786C" w:rsidRDefault="0035786C" w:rsidP="0035786C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b/>
          <w:bCs/>
          <w:szCs w:val="22"/>
        </w:rPr>
      </w:pPr>
      <w:r w:rsidRPr="0035786C">
        <w:rPr>
          <w:rFonts w:ascii="Times New Roman" w:hAnsi="Times New Roman"/>
          <w:b/>
          <w:bCs/>
          <w:szCs w:val="22"/>
        </w:rPr>
        <w:t>Banking, Insurance, Life Insurance, Health Insurance and Superannuation (prudential standard) determination No. 1 of 2018</w:t>
      </w:r>
    </w:p>
    <w:p w14:paraId="754A9BA6" w14:textId="3F4FC960" w:rsidR="0035786C" w:rsidRPr="00536EC9" w:rsidRDefault="0035786C" w:rsidP="0035786C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szCs w:val="22"/>
        </w:rPr>
        <w:t>The legislative instrument</w:t>
      </w:r>
      <w:r>
        <w:rPr>
          <w:rFonts w:ascii="Times New Roman" w:hAnsi="Times New Roman"/>
          <w:szCs w:val="22"/>
        </w:rPr>
        <w:t xml:space="preserve"> </w:t>
      </w:r>
      <w:r w:rsidR="004B737E">
        <w:rPr>
          <w:rFonts w:ascii="Times New Roman" w:hAnsi="Times New Roman"/>
          <w:szCs w:val="22"/>
        </w:rPr>
        <w:t>is</w:t>
      </w:r>
      <w:r w:rsidRPr="00536EC9">
        <w:rPr>
          <w:rFonts w:ascii="Times New Roman" w:hAnsi="Times New Roman"/>
          <w:szCs w:val="22"/>
        </w:rPr>
        <w:t xml:space="preserve"> compatible with the human rights and freedoms recognised or declared in the international instrument listed in section 3 of the </w:t>
      </w:r>
      <w:r w:rsidRPr="00536EC9">
        <w:rPr>
          <w:rFonts w:ascii="Times New Roman" w:hAnsi="Times New Roman"/>
          <w:i/>
          <w:iCs/>
          <w:szCs w:val="22"/>
        </w:rPr>
        <w:t>Human Rights (Parliamentary Scrutiny) Act 2011</w:t>
      </w:r>
      <w:r w:rsidRPr="00536EC9">
        <w:rPr>
          <w:rFonts w:ascii="Times New Roman" w:hAnsi="Times New Roman"/>
          <w:szCs w:val="22"/>
        </w:rPr>
        <w:t xml:space="preserve"> (HRPS Act).</w:t>
      </w:r>
    </w:p>
    <w:p w14:paraId="4A422504" w14:textId="72ED50C6" w:rsidR="0035786C" w:rsidRPr="00536EC9" w:rsidRDefault="0035786C" w:rsidP="0035786C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Overview of the Legislative Instrument</w:t>
      </w:r>
    </w:p>
    <w:p w14:paraId="6692F214" w14:textId="42F9762A" w:rsidR="0035786C" w:rsidRPr="00536EC9" w:rsidRDefault="0035786C" w:rsidP="0035786C">
      <w:pPr>
        <w:spacing w:after="240"/>
        <w:jc w:val="both"/>
        <w:rPr>
          <w:rFonts w:ascii="Times New Roman" w:hAnsi="Times New Roman"/>
          <w:szCs w:val="22"/>
        </w:rPr>
      </w:pPr>
      <w:r w:rsidRPr="00536EC9">
        <w:rPr>
          <w:rFonts w:ascii="Times New Roman" w:hAnsi="Times New Roman"/>
          <w:szCs w:val="22"/>
        </w:rPr>
        <w:t>The purpose of the instrument is to</w:t>
      </w:r>
      <w:r>
        <w:rPr>
          <w:rFonts w:ascii="Times New Roman" w:hAnsi="Times New Roman"/>
          <w:szCs w:val="22"/>
        </w:rPr>
        <w:t xml:space="preserve"> make a new </w:t>
      </w:r>
      <w:r>
        <w:rPr>
          <w:rFonts w:ascii="Times New Roman" w:hAnsi="Times New Roman"/>
          <w:i/>
          <w:szCs w:val="22"/>
        </w:rPr>
        <w:t>Prudential Standard CPS 234 Information Security</w:t>
      </w:r>
      <w:r>
        <w:rPr>
          <w:rFonts w:ascii="Times New Roman" w:hAnsi="Times New Roman"/>
          <w:szCs w:val="22"/>
        </w:rPr>
        <w:t xml:space="preserve"> (CPS 234)</w:t>
      </w:r>
      <w:r w:rsidRPr="00536EC9">
        <w:rPr>
          <w:rFonts w:ascii="Times New Roman" w:hAnsi="Times New Roman"/>
          <w:szCs w:val="22"/>
        </w:rPr>
        <w:t>.</w:t>
      </w:r>
    </w:p>
    <w:p w14:paraId="2E5DCB20" w14:textId="5788368F" w:rsidR="0035786C" w:rsidRDefault="0035786C" w:rsidP="0035786C">
      <w:pPr>
        <w:spacing w:after="2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CPS 234 sets out requirements for authorised deposit-taking institutions, general insurers, life insurance companies, private health insurers and registrable superannuation entities to adopt practices designed to promote resilience again</w:t>
      </w:r>
      <w:r w:rsidR="00236E34">
        <w:rPr>
          <w:rFonts w:ascii="Times New Roman" w:hAnsi="Times New Roman"/>
          <w:szCs w:val="22"/>
        </w:rPr>
        <w:t>st</w:t>
      </w:r>
      <w:r>
        <w:rPr>
          <w:rFonts w:ascii="Times New Roman" w:hAnsi="Times New Roman"/>
          <w:szCs w:val="22"/>
        </w:rPr>
        <w:t xml:space="preserve"> information security incidents by maintaining appropriate information security capabilit</w:t>
      </w:r>
      <w:r w:rsidR="00236E34">
        <w:rPr>
          <w:rFonts w:ascii="Times New Roman" w:hAnsi="Times New Roman"/>
          <w:szCs w:val="22"/>
        </w:rPr>
        <w:t>ies</w:t>
      </w:r>
      <w:r>
        <w:rPr>
          <w:rFonts w:ascii="Times New Roman" w:hAnsi="Times New Roman"/>
          <w:szCs w:val="22"/>
        </w:rPr>
        <w:t>.</w:t>
      </w:r>
      <w:r w:rsidR="00531BE8">
        <w:rPr>
          <w:rFonts w:ascii="Times New Roman" w:hAnsi="Times New Roman"/>
          <w:szCs w:val="22"/>
        </w:rPr>
        <w:t xml:space="preserve"> CPS 234 does</w:t>
      </w:r>
      <w:r w:rsidR="00C76B91">
        <w:rPr>
          <w:rFonts w:ascii="Times New Roman" w:hAnsi="Times New Roman"/>
          <w:szCs w:val="22"/>
        </w:rPr>
        <w:t xml:space="preserve"> not prescribe any measures relating specifically to the treatment of personal information.</w:t>
      </w:r>
    </w:p>
    <w:p w14:paraId="2610EE60" w14:textId="77777777" w:rsidR="0035786C" w:rsidRPr="00536EC9" w:rsidRDefault="0035786C" w:rsidP="0035786C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Human rights implications</w:t>
      </w:r>
    </w:p>
    <w:p w14:paraId="7295A8D2" w14:textId="77CABE56" w:rsidR="0035786C" w:rsidRPr="00536EC9" w:rsidRDefault="0035786C" w:rsidP="0035786C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</w:rPr>
      </w:pPr>
      <w:r w:rsidRPr="00536EC9">
        <w:rPr>
          <w:rFonts w:ascii="Times New Roman" w:hAnsi="Times New Roman"/>
          <w:szCs w:val="22"/>
        </w:rPr>
        <w:t xml:space="preserve">APRA has assessed the instrument and is of the view that </w:t>
      </w:r>
      <w:r>
        <w:rPr>
          <w:rFonts w:ascii="Times New Roman" w:hAnsi="Times New Roman"/>
          <w:szCs w:val="22"/>
        </w:rPr>
        <w:t xml:space="preserve">they it does </w:t>
      </w:r>
      <w:r w:rsidRPr="00536EC9">
        <w:rPr>
          <w:rFonts w:ascii="Times New Roman" w:hAnsi="Times New Roman"/>
          <w:szCs w:val="22"/>
        </w:rPr>
        <w:t>not engage any of the applicable rights or freedoms recognised or declared in the international instruments listed in section 3 of the HRPS Act. Accordingly, in APRA’s assessment, the instrument</w:t>
      </w:r>
      <w:r>
        <w:rPr>
          <w:rFonts w:ascii="Times New Roman" w:hAnsi="Times New Roman"/>
          <w:szCs w:val="22"/>
        </w:rPr>
        <w:t xml:space="preserve"> is</w:t>
      </w:r>
      <w:r w:rsidRPr="00536EC9">
        <w:rPr>
          <w:rFonts w:ascii="Times New Roman" w:hAnsi="Times New Roman"/>
          <w:szCs w:val="22"/>
        </w:rPr>
        <w:t xml:space="preserve"> compatible with human rights.</w:t>
      </w:r>
    </w:p>
    <w:p w14:paraId="727A7938" w14:textId="77777777" w:rsidR="0035786C" w:rsidRPr="00536EC9" w:rsidRDefault="0035786C" w:rsidP="0035786C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Conclusion</w:t>
      </w:r>
    </w:p>
    <w:p w14:paraId="630C93A0" w14:textId="73A612C4" w:rsidR="00B04B20" w:rsidRPr="00FA5345" w:rsidRDefault="0035786C" w:rsidP="0035786C">
      <w:pPr>
        <w:spacing w:after="240"/>
        <w:jc w:val="both"/>
      </w:pPr>
      <w:r w:rsidRPr="00536EC9">
        <w:rPr>
          <w:rFonts w:ascii="Times New Roman" w:hAnsi="Times New Roman"/>
          <w:szCs w:val="22"/>
        </w:rPr>
        <w:t>The instrument</w:t>
      </w:r>
      <w:r w:rsidR="00DA30FB">
        <w:rPr>
          <w:rFonts w:ascii="Times New Roman" w:hAnsi="Times New Roman"/>
          <w:szCs w:val="22"/>
        </w:rPr>
        <w:t xml:space="preserve"> is</w:t>
      </w:r>
      <w:r w:rsidRPr="00536EC9">
        <w:rPr>
          <w:rFonts w:ascii="Times New Roman" w:hAnsi="Times New Roman"/>
          <w:szCs w:val="22"/>
        </w:rPr>
        <w:t xml:space="preserve"> compatible with human rights as </w:t>
      </w:r>
      <w:r w:rsidR="00DA30FB">
        <w:rPr>
          <w:rFonts w:ascii="Times New Roman" w:hAnsi="Times New Roman"/>
          <w:szCs w:val="22"/>
        </w:rPr>
        <w:t xml:space="preserve">it </w:t>
      </w:r>
      <w:r>
        <w:rPr>
          <w:rFonts w:ascii="Times New Roman" w:hAnsi="Times New Roman"/>
          <w:szCs w:val="22"/>
        </w:rPr>
        <w:t>do</w:t>
      </w:r>
      <w:r w:rsidR="00DA30FB">
        <w:rPr>
          <w:rFonts w:ascii="Times New Roman" w:hAnsi="Times New Roman"/>
          <w:szCs w:val="22"/>
        </w:rPr>
        <w:t>es</w:t>
      </w:r>
      <w:r>
        <w:rPr>
          <w:rFonts w:ascii="Times New Roman" w:hAnsi="Times New Roman"/>
          <w:szCs w:val="22"/>
        </w:rPr>
        <w:t xml:space="preserve"> </w:t>
      </w:r>
      <w:r w:rsidRPr="00536EC9">
        <w:rPr>
          <w:rFonts w:ascii="Times New Roman" w:hAnsi="Times New Roman"/>
          <w:szCs w:val="22"/>
        </w:rPr>
        <w:t>not raise any human rights issues.</w:t>
      </w:r>
    </w:p>
    <w:sectPr w:rsidR="00B04B20" w:rsidRPr="00FA5345" w:rsidSect="003D5032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FA1C2" w14:textId="77777777" w:rsidR="00E02787" w:rsidRDefault="00E02787" w:rsidP="00D85E77">
      <w:r>
        <w:separator/>
      </w:r>
    </w:p>
  </w:endnote>
  <w:endnote w:type="continuationSeparator" w:id="0">
    <w:p w14:paraId="47448C35" w14:textId="77777777" w:rsidR="00E02787" w:rsidRDefault="00E02787" w:rsidP="00D85E77">
      <w:r>
        <w:continuationSeparator/>
      </w:r>
    </w:p>
  </w:endnote>
  <w:endnote w:type="continuationNotice" w:id="1">
    <w:p w14:paraId="0972D1FA" w14:textId="77777777" w:rsidR="00E02787" w:rsidRDefault="00E02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82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95C3545" w14:textId="77777777" w:rsidR="00E02787" w:rsidRPr="00D85E77" w:rsidRDefault="00E02787" w:rsidP="00D85E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85E77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D85E77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F70F9D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14:paraId="3174513B" w14:textId="77777777" w:rsidR="00E02787" w:rsidRDefault="00E02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E7C70" w14:textId="77777777" w:rsidR="00E02787" w:rsidRDefault="00E02787" w:rsidP="00D85E77">
      <w:r>
        <w:separator/>
      </w:r>
    </w:p>
  </w:footnote>
  <w:footnote w:type="continuationSeparator" w:id="0">
    <w:p w14:paraId="5B730784" w14:textId="77777777" w:rsidR="00E02787" w:rsidRDefault="00E02787" w:rsidP="00D85E77">
      <w:r>
        <w:continuationSeparator/>
      </w:r>
    </w:p>
  </w:footnote>
  <w:footnote w:type="continuationNotice" w:id="1">
    <w:p w14:paraId="4130705E" w14:textId="77777777" w:rsidR="00E02787" w:rsidRDefault="00E027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C49"/>
    <w:multiLevelType w:val="hybridMultilevel"/>
    <w:tmpl w:val="3722923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81249"/>
    <w:multiLevelType w:val="hybridMultilevel"/>
    <w:tmpl w:val="989038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D4086"/>
    <w:multiLevelType w:val="hybridMultilevel"/>
    <w:tmpl w:val="06E610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A3BF2"/>
    <w:multiLevelType w:val="hybridMultilevel"/>
    <w:tmpl w:val="DDEEA0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F640B"/>
    <w:multiLevelType w:val="hybridMultilevel"/>
    <w:tmpl w:val="9990CC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44575"/>
    <w:multiLevelType w:val="hybridMultilevel"/>
    <w:tmpl w:val="6A2200F8"/>
    <w:lvl w:ilvl="0" w:tplc="F1F253D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1A4B6E"/>
    <w:multiLevelType w:val="hybridMultilevel"/>
    <w:tmpl w:val="735E57B0"/>
    <w:lvl w:ilvl="0" w:tplc="D5363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A3D61"/>
    <w:multiLevelType w:val="hybridMultilevel"/>
    <w:tmpl w:val="F208E238"/>
    <w:lvl w:ilvl="0" w:tplc="8C88B6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0230C"/>
    <w:multiLevelType w:val="hybridMultilevel"/>
    <w:tmpl w:val="5B0EB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4"/>
    <w:rsid w:val="000401FC"/>
    <w:rsid w:val="000A5805"/>
    <w:rsid w:val="000B60B3"/>
    <w:rsid w:val="000E369C"/>
    <w:rsid w:val="000F4454"/>
    <w:rsid w:val="000F71B5"/>
    <w:rsid w:val="00145E6F"/>
    <w:rsid w:val="00157D65"/>
    <w:rsid w:val="00182FA1"/>
    <w:rsid w:val="001A380F"/>
    <w:rsid w:val="001F0095"/>
    <w:rsid w:val="00236E34"/>
    <w:rsid w:val="002436BD"/>
    <w:rsid w:val="00246723"/>
    <w:rsid w:val="002578FB"/>
    <w:rsid w:val="0027034D"/>
    <w:rsid w:val="00272B1D"/>
    <w:rsid w:val="002A73BD"/>
    <w:rsid w:val="002C3B76"/>
    <w:rsid w:val="0030506B"/>
    <w:rsid w:val="00310CF8"/>
    <w:rsid w:val="00347DCE"/>
    <w:rsid w:val="00354CB8"/>
    <w:rsid w:val="0035786C"/>
    <w:rsid w:val="003802D4"/>
    <w:rsid w:val="003866AD"/>
    <w:rsid w:val="003910A8"/>
    <w:rsid w:val="003A52A5"/>
    <w:rsid w:val="003D5032"/>
    <w:rsid w:val="0040175E"/>
    <w:rsid w:val="00411F71"/>
    <w:rsid w:val="00422164"/>
    <w:rsid w:val="00443A02"/>
    <w:rsid w:val="00444768"/>
    <w:rsid w:val="00446F71"/>
    <w:rsid w:val="00456247"/>
    <w:rsid w:val="00462568"/>
    <w:rsid w:val="004728EA"/>
    <w:rsid w:val="004819AE"/>
    <w:rsid w:val="004A7D48"/>
    <w:rsid w:val="004B737E"/>
    <w:rsid w:val="004C3D07"/>
    <w:rsid w:val="004C495F"/>
    <w:rsid w:val="004D4384"/>
    <w:rsid w:val="004E2008"/>
    <w:rsid w:val="00505AD3"/>
    <w:rsid w:val="0050756D"/>
    <w:rsid w:val="00531BE8"/>
    <w:rsid w:val="005333AC"/>
    <w:rsid w:val="00544AE4"/>
    <w:rsid w:val="0056141D"/>
    <w:rsid w:val="0057272D"/>
    <w:rsid w:val="00597462"/>
    <w:rsid w:val="005A77FF"/>
    <w:rsid w:val="005B0BAF"/>
    <w:rsid w:val="005D07D8"/>
    <w:rsid w:val="005E5910"/>
    <w:rsid w:val="00622480"/>
    <w:rsid w:val="00647D58"/>
    <w:rsid w:val="00657678"/>
    <w:rsid w:val="00682865"/>
    <w:rsid w:val="00684F73"/>
    <w:rsid w:val="0069678B"/>
    <w:rsid w:val="006A6D15"/>
    <w:rsid w:val="006B093F"/>
    <w:rsid w:val="006E270F"/>
    <w:rsid w:val="006E6658"/>
    <w:rsid w:val="007031F4"/>
    <w:rsid w:val="007049CF"/>
    <w:rsid w:val="00712E1A"/>
    <w:rsid w:val="007368AD"/>
    <w:rsid w:val="007428D4"/>
    <w:rsid w:val="00747AFF"/>
    <w:rsid w:val="00761B22"/>
    <w:rsid w:val="00785CDC"/>
    <w:rsid w:val="007C2298"/>
    <w:rsid w:val="007E472C"/>
    <w:rsid w:val="007E4B2A"/>
    <w:rsid w:val="007E523C"/>
    <w:rsid w:val="00803134"/>
    <w:rsid w:val="00813D44"/>
    <w:rsid w:val="008276FC"/>
    <w:rsid w:val="00830F66"/>
    <w:rsid w:val="00846BA6"/>
    <w:rsid w:val="008B54F8"/>
    <w:rsid w:val="008C4545"/>
    <w:rsid w:val="008C63CE"/>
    <w:rsid w:val="008F4214"/>
    <w:rsid w:val="009005D8"/>
    <w:rsid w:val="009017B4"/>
    <w:rsid w:val="00931179"/>
    <w:rsid w:val="00932EFA"/>
    <w:rsid w:val="009460E1"/>
    <w:rsid w:val="00967D16"/>
    <w:rsid w:val="009B2829"/>
    <w:rsid w:val="009C5368"/>
    <w:rsid w:val="009D3AAE"/>
    <w:rsid w:val="009F09C1"/>
    <w:rsid w:val="009F3B5A"/>
    <w:rsid w:val="00A061BE"/>
    <w:rsid w:val="00A279AF"/>
    <w:rsid w:val="00A4133B"/>
    <w:rsid w:val="00A517B9"/>
    <w:rsid w:val="00A63A2B"/>
    <w:rsid w:val="00AA1493"/>
    <w:rsid w:val="00AA3E4A"/>
    <w:rsid w:val="00AC2517"/>
    <w:rsid w:val="00AC7A56"/>
    <w:rsid w:val="00B04B20"/>
    <w:rsid w:val="00B1637D"/>
    <w:rsid w:val="00B62FE5"/>
    <w:rsid w:val="00B64B2E"/>
    <w:rsid w:val="00B7298B"/>
    <w:rsid w:val="00B85B6E"/>
    <w:rsid w:val="00BB1678"/>
    <w:rsid w:val="00BE36B6"/>
    <w:rsid w:val="00BF2953"/>
    <w:rsid w:val="00BF5298"/>
    <w:rsid w:val="00C302FA"/>
    <w:rsid w:val="00C76B91"/>
    <w:rsid w:val="00C80CEA"/>
    <w:rsid w:val="00C841F9"/>
    <w:rsid w:val="00C948AA"/>
    <w:rsid w:val="00CA6CB3"/>
    <w:rsid w:val="00CB384A"/>
    <w:rsid w:val="00CB65ED"/>
    <w:rsid w:val="00CB7808"/>
    <w:rsid w:val="00CC3797"/>
    <w:rsid w:val="00CC5473"/>
    <w:rsid w:val="00CD1947"/>
    <w:rsid w:val="00CE3EF2"/>
    <w:rsid w:val="00CF37DD"/>
    <w:rsid w:val="00CF7169"/>
    <w:rsid w:val="00D119F5"/>
    <w:rsid w:val="00D21D35"/>
    <w:rsid w:val="00D3484E"/>
    <w:rsid w:val="00D53B59"/>
    <w:rsid w:val="00D64906"/>
    <w:rsid w:val="00D83531"/>
    <w:rsid w:val="00D85E77"/>
    <w:rsid w:val="00D87E36"/>
    <w:rsid w:val="00D9737F"/>
    <w:rsid w:val="00DA30FB"/>
    <w:rsid w:val="00DC22A4"/>
    <w:rsid w:val="00DE316F"/>
    <w:rsid w:val="00DF524E"/>
    <w:rsid w:val="00E02787"/>
    <w:rsid w:val="00E15497"/>
    <w:rsid w:val="00E154A3"/>
    <w:rsid w:val="00E16789"/>
    <w:rsid w:val="00E201A8"/>
    <w:rsid w:val="00E275B9"/>
    <w:rsid w:val="00E52DFE"/>
    <w:rsid w:val="00E61B19"/>
    <w:rsid w:val="00E87D11"/>
    <w:rsid w:val="00E90C89"/>
    <w:rsid w:val="00E93C6C"/>
    <w:rsid w:val="00EC5653"/>
    <w:rsid w:val="00EE2F44"/>
    <w:rsid w:val="00F332CE"/>
    <w:rsid w:val="00F436BC"/>
    <w:rsid w:val="00F631FD"/>
    <w:rsid w:val="00F70F9D"/>
    <w:rsid w:val="00F7706D"/>
    <w:rsid w:val="00F807DA"/>
    <w:rsid w:val="00F86822"/>
    <w:rsid w:val="00F93214"/>
    <w:rsid w:val="00FA5345"/>
    <w:rsid w:val="00FA69B0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3F8A8A"/>
  <w15:docId w15:val="{A188F79D-C736-4016-9163-49AA9A8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BD"/>
    <w:rPr>
      <w:rFonts w:ascii="Trebuchet MS" w:eastAsia="Times New Roman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sz w:val="20"/>
    </w:rPr>
  </w:style>
  <w:style w:type="paragraph" w:customStyle="1" w:styleId="Heading">
    <w:name w:val="Heading"/>
    <w:basedOn w:val="Normal"/>
    <w:rsid w:val="002436BD"/>
    <w:pPr>
      <w:jc w:val="both"/>
    </w:pPr>
    <w:rPr>
      <w:b/>
      <w:sz w:val="26"/>
      <w:szCs w:val="22"/>
    </w:rPr>
  </w:style>
  <w:style w:type="character" w:styleId="Hyperlink">
    <w:name w:val="Hyperlink"/>
    <w:uiPriority w:val="99"/>
    <w:unhideWhenUsed/>
    <w:rsid w:val="0024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D"/>
    <w:pPr>
      <w:ind w:left="720"/>
    </w:pPr>
  </w:style>
  <w:style w:type="character" w:styleId="CommentReference">
    <w:name w:val="annotation reference"/>
    <w:uiPriority w:val="99"/>
    <w:semiHidden/>
    <w:unhideWhenUsed/>
    <w:rsid w:val="0024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BD"/>
    <w:rPr>
      <w:sz w:val="20"/>
    </w:rPr>
  </w:style>
  <w:style w:type="character" w:customStyle="1" w:styleId="CommentTextChar">
    <w:name w:val="Comment Text Char"/>
    <w:link w:val="CommentText"/>
    <w:uiPriority w:val="99"/>
    <w:rsid w:val="002436BD"/>
    <w:rPr>
      <w:rFonts w:ascii="Trebuchet MS" w:eastAsia="Times New Roman" w:hAnsi="Trebuchet M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B2E"/>
    <w:rPr>
      <w:rFonts w:ascii="Trebuchet MS" w:eastAsia="Times New Roman" w:hAnsi="Trebuchet MS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85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77"/>
    <w:rPr>
      <w:rFonts w:ascii="Trebuchet MS" w:eastAsia="Times New Roman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D85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77"/>
    <w:rPr>
      <w:rFonts w:ascii="Trebuchet MS" w:eastAsia="Times New Roman" w:hAnsi="Trebuchet MS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9A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9AE"/>
    <w:rPr>
      <w:rFonts w:ascii="Trebuchet MS" w:eastAsia="Times New Roman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481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au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apra.gov.au\national\Sydney\PAD\Public\Policy%20Development\Policy%20Templates\ES%20templates\Template%20-%20ES%20for%20new%20prudential%20standard%20(April%20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  <TermInfo xmlns="http://schemas.microsoft.com/office/infopath/2007/PartnerControls">
          <TermName xmlns="http://schemas.microsoft.com/office/infopath/2007/PartnerControls">Legal advice</TermName>
          <TermId xmlns="http://schemas.microsoft.com/office/infopath/2007/PartnerControls">47dcad67-54ec-4c15-a2f1-eec9cf2f5637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risk</TermName>
          <TermId xmlns="http://schemas.microsoft.com/office/infopath/2007/PartnerControls">03255527-9293-4a0c-a8c9-d51c48d27226</TermId>
        </TermInfo>
      </Terms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Explanatory statement; </APRAKeywords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2018-10-23T13:00:00+00:00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109</Value>
      <Value>693</Value>
      <Value>26</Value>
      <Value>24</Value>
      <Value>134</Value>
      <Value>93</Value>
      <Value>171</Value>
      <Value>234</Value>
      <Value>158</Value>
      <Value>83</Value>
      <Value>4</Value>
      <Value>2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Explanatory Statement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337d548e-be9a-4363-bbb3-ec2b7c3daa90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5JENXJJSCC7A-445999044-10681</_dlc_DocId>
    <_dlc_DocIdUrl xmlns="814d62cb-2db6-4c25-ab62-b9075facbc11">
      <Url>https://im/teams/LEGAL/_layouts/15/DocIdRedir.aspx?ID=5JENXJJSCC7A-445999044-10681</Url>
      <Description>5JENXJJSCC7A-445999044-10681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7" ma:contentTypeDescription="Create a new document." ma:contentTypeScope="" ma:versionID="d920dc3631c73b7a2cca0b5b02cf5de8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2E45-AC27-4C94-95AD-52B82F99D058}">
  <ds:schemaRefs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6CF25-204A-4E9C-A33A-8C41061C1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B666C-A23D-4571-AF4E-B2B823F51E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869ADA-DA68-4B83-B556-15233D6E3CD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F616B6E-8256-40A1-B21A-6EEED574C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7E49DD-9721-45CB-BD6D-79358F4D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ES for new prudential standard (April 2016).dotx</Template>
  <TotalTime>2</TotalTime>
  <Pages>4</Pages>
  <Words>1105</Words>
  <Characters>6745</Characters>
  <Application>Microsoft Office Word</Application>
  <DocSecurity>0</DocSecurity>
  <Lines>127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new prudential standard</vt:lpstr>
    </vt:vector>
  </TitlesOfParts>
  <Company>APRA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new prudential standard</dc:title>
  <dc:creator>Sullivan, David</dc:creator>
  <cp:keywords>[SEC=UNCLASSIFIED]</cp:keywords>
  <cp:lastModifiedBy>Chen, Alice</cp:lastModifiedBy>
  <cp:revision>2</cp:revision>
  <cp:lastPrinted>2012-11-13T01:53:00Z</cp:lastPrinted>
  <dcterms:created xsi:type="dcterms:W3CDTF">2018-12-05T04:04:00Z</dcterms:created>
  <dcterms:modified xsi:type="dcterms:W3CDTF">2018-12-05T04:04:00Z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932A4D8DEB30F49B5D888DC2081C7FEE0B1F315D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1446B5E771A042FE7EBE9039065E6F0A38134D8E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F5A18DAB8C524AA98B567E1C7690008C</vt:lpwstr>
  </property>
  <property fmtid="{D5CDD505-2E9C-101B-9397-08002B2CF9AE}" pid="16" name="PM_OriginationTimeStamp">
    <vt:lpwstr>2017-07-27T01:11:02Z</vt:lpwstr>
  </property>
  <property fmtid="{D5CDD505-2E9C-101B-9397-08002B2CF9AE}" pid="17" name="PM_Hash_Version">
    <vt:lpwstr>2016.1</vt:lpwstr>
  </property>
  <property fmtid="{D5CDD505-2E9C-101B-9397-08002B2CF9AE}" pid="18" name="PM_Hash_Salt_Prev">
    <vt:lpwstr>3680D3E932AE77F284832D3DE4C1CDCD</vt:lpwstr>
  </property>
  <property fmtid="{D5CDD505-2E9C-101B-9397-08002B2CF9AE}" pid="19" name="PM_Hash_Salt">
    <vt:lpwstr>3680D3E932AE77F284832D3DE4C1CDCD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0x0101008CA7A4F8331B45C7B0D3158B4994D0CA0200577EC0F5A1FBFC498F9A8436B963F8A6</vt:lpwstr>
  </property>
  <property fmtid="{D5CDD505-2E9C-101B-9397-08002B2CF9AE}" pid="22" name="APRAPeriod">
    <vt:lpwstr/>
  </property>
  <property fmtid="{D5CDD505-2E9C-101B-9397-08002B2CF9AE}" pid="23" name="APRACostCentre">
    <vt:lpwstr>158;#PAD300|98bbdbe4-d019-48eb-87c4-aa31a7f2f98f;#24;#Legal - ADI|652d8d2a-ab45-47b4-ac6e-fe6ac9299b39;#26;#Legal - Insurance: General|8229dc1a-d7f2-47b2-844a-b026fed0c13d;#83;#Legal - Insurance: Life|56f18b50-6605-4f3f-97e3-cad1cb5394e0;#93;#Legal - Insurance: Health|21611e62-d688-4f0d-8807-02701cc43699;#134;#Legal - Superannuation|cce3181d-fd23-4eee-94d3-c66abc2350cf;#4;#Legal - Resolution ＆ Corporate|696624b1-19f4-47b2-a07b-57868a922a96</vt:lpwstr>
  </property>
  <property fmtid="{D5CDD505-2E9C-101B-9397-08002B2CF9AE}" pid="24" name="APRAYear">
    <vt:lpwstr>171;#2018|337d548e-be9a-4363-bbb3-ec2b7c3daa90</vt:lpwstr>
  </property>
  <property fmtid="{D5CDD505-2E9C-101B-9397-08002B2CF9AE}" pid="25" name="APRAIndustry">
    <vt:lpwstr/>
  </property>
  <property fmtid="{D5CDD505-2E9C-101B-9397-08002B2CF9AE}" pid="26" name="APRAPRSG">
    <vt:lpwstr/>
  </property>
  <property fmtid="{D5CDD505-2E9C-101B-9397-08002B2CF9AE}" pid="27" name="_dlc_DocIdItemGuid">
    <vt:lpwstr>dd4f3184-8c75-4c1f-906f-db5914147045</vt:lpwstr>
  </property>
  <property fmtid="{D5CDD505-2E9C-101B-9397-08002B2CF9AE}" pid="28" name="IsLocked">
    <vt:lpwstr>Yes</vt:lpwstr>
  </property>
  <property fmtid="{D5CDD505-2E9C-101B-9397-08002B2CF9AE}" pid="29" name="IT system type">
    <vt:lpwstr/>
  </property>
  <property fmtid="{D5CDD505-2E9C-101B-9397-08002B2CF9AE}" pid="30" name="APRADocumentType">
    <vt:lpwstr>234;#Explanatory statement|b22f2e2f-3f73-411b-9a7c-34264d26fa25</vt:lpwstr>
  </property>
  <property fmtid="{D5CDD505-2E9C-101B-9397-08002B2CF9AE}" pid="31" name="APRAStatus">
    <vt:lpwstr>1;#Draft|0e1556d2-3fe8-443a-ada7-3620563b46b3</vt:lpwstr>
  </property>
  <property fmtid="{D5CDD505-2E9C-101B-9397-08002B2CF9AE}" pid="32" name="APRAActivity">
    <vt:lpwstr>109;#Statutory instrument|fe68928c-5a9c-4caf-bc8c-6c18cedcb17f;#2;#Legal advice|47dcad67-54ec-4c15-a2f1-eec9cf2f5637</vt:lpwstr>
  </property>
  <property fmtid="{D5CDD505-2E9C-101B-9397-08002B2CF9AE}" pid="33" name="APRAEntityAdviceSupport">
    <vt:lpwstr/>
  </property>
  <property fmtid="{D5CDD505-2E9C-101B-9397-08002B2CF9AE}" pid="34" name="APRALegislation">
    <vt:lpwstr/>
  </property>
  <property fmtid="{D5CDD505-2E9C-101B-9397-08002B2CF9AE}" pid="35" name="APRAExternalOrganisation">
    <vt:lpwstr/>
  </property>
  <property fmtid="{D5CDD505-2E9C-101B-9397-08002B2CF9AE}" pid="36" name="APRAIRTR">
    <vt:lpwstr/>
  </property>
  <property fmtid="{D5CDD505-2E9C-101B-9397-08002B2CF9AE}" pid="37" name="RecordPoint_WorkflowType">
    <vt:lpwstr>ActiveSubmitStub</vt:lpwstr>
  </property>
  <property fmtid="{D5CDD505-2E9C-101B-9397-08002B2CF9AE}" pid="38" name="RecordPoint_ActiveItemWebId">
    <vt:lpwstr>{75a71c27-8d66-4282-ae60-1bfc22a83be1}</vt:lpwstr>
  </property>
  <property fmtid="{D5CDD505-2E9C-101B-9397-08002B2CF9AE}" pid="39" name="RecordPoint_ActiveItemSiteId">
    <vt:lpwstr>{88691c01-5bbb-4215-adc0-66cb7065b0af}</vt:lpwstr>
  </property>
  <property fmtid="{D5CDD505-2E9C-101B-9397-08002B2CF9AE}" pid="40" name="RecordPoint_ActiveItemListId">
    <vt:lpwstr>{0e59e171-09d8-4401-800a-327154450cb3}</vt:lpwstr>
  </property>
  <property fmtid="{D5CDD505-2E9C-101B-9397-08002B2CF9AE}" pid="41" name="RecordPoint_ActiveItemUniqueId">
    <vt:lpwstr>{dd4f3184-8c75-4c1f-906f-db5914147045}</vt:lpwstr>
  </property>
  <property fmtid="{D5CDD505-2E9C-101B-9397-08002B2CF9AE}" pid="42" name="RecordPoint_RecordNumberSubmitted">
    <vt:lpwstr>R0000545451</vt:lpwstr>
  </property>
  <property fmtid="{D5CDD505-2E9C-101B-9397-08002B2CF9AE}" pid="43" name="RecordPoint_SubmissionDate">
    <vt:lpwstr/>
  </property>
  <property fmtid="{D5CDD505-2E9C-101B-9397-08002B2CF9AE}" pid="44" name="RecordPoint_ActiveItemMoved">
    <vt:lpwstr/>
  </property>
  <property fmtid="{D5CDD505-2E9C-101B-9397-08002B2CF9AE}" pid="45" name="RecordPoint_RecordFormat">
    <vt:lpwstr/>
  </property>
  <property fmtid="{D5CDD505-2E9C-101B-9397-08002B2CF9AE}" pid="46" name="APRACategory">
    <vt:lpwstr>693;#Operational risk|03255527-9293-4a0c-a8c9-d51c48d27226</vt:lpwstr>
  </property>
  <property fmtid="{D5CDD505-2E9C-101B-9397-08002B2CF9AE}" pid="47" name="RecordPoint_SubmissionCompleted">
    <vt:lpwstr>2018-12-05T15:39:41.6979911+11:00</vt:lpwstr>
  </property>
</Properties>
</file>