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27BB0" w14:textId="77777777" w:rsidR="00086CFC" w:rsidRPr="003177C2" w:rsidRDefault="00086CFC" w:rsidP="008254AF">
      <w:pPr>
        <w:ind w:right="91"/>
        <w:jc w:val="center"/>
        <w:rPr>
          <w:sz w:val="22"/>
          <w:szCs w:val="22"/>
        </w:rPr>
      </w:pPr>
      <w:bookmarkStart w:id="0" w:name="_GoBack"/>
      <w:bookmarkEnd w:id="0"/>
      <w:r w:rsidRPr="003177C2">
        <w:rPr>
          <w:b/>
          <w:sz w:val="22"/>
          <w:szCs w:val="22"/>
        </w:rPr>
        <w:t xml:space="preserve">EXPLANATORY </w:t>
      </w:r>
      <w:r w:rsidR="00C7272D" w:rsidRPr="003177C2">
        <w:rPr>
          <w:b/>
          <w:sz w:val="22"/>
          <w:szCs w:val="22"/>
        </w:rPr>
        <w:t>STATEMENT</w:t>
      </w:r>
    </w:p>
    <w:p w14:paraId="751FC302" w14:textId="77777777" w:rsidR="00086CFC" w:rsidRPr="003177C2" w:rsidRDefault="00086CFC" w:rsidP="008254AF">
      <w:pPr>
        <w:ind w:right="-2"/>
        <w:jc w:val="center"/>
        <w:rPr>
          <w:sz w:val="22"/>
          <w:szCs w:val="22"/>
          <w:u w:val="single"/>
        </w:rPr>
      </w:pPr>
    </w:p>
    <w:p w14:paraId="5E892D25" w14:textId="77777777" w:rsidR="00086CFC" w:rsidRPr="003177C2" w:rsidRDefault="004413D4" w:rsidP="00935460">
      <w:pPr>
        <w:jc w:val="center"/>
        <w:rPr>
          <w:sz w:val="22"/>
          <w:szCs w:val="22"/>
        </w:rPr>
      </w:pPr>
      <w:r w:rsidRPr="003177C2">
        <w:rPr>
          <w:sz w:val="22"/>
          <w:szCs w:val="22"/>
        </w:rPr>
        <w:t xml:space="preserve">Issued by the </w:t>
      </w:r>
      <w:r w:rsidR="00447C6D" w:rsidRPr="003177C2">
        <w:rPr>
          <w:sz w:val="22"/>
          <w:szCs w:val="22"/>
        </w:rPr>
        <w:t xml:space="preserve">authority of the </w:t>
      </w:r>
      <w:r w:rsidRPr="003177C2">
        <w:rPr>
          <w:sz w:val="22"/>
          <w:szCs w:val="22"/>
        </w:rPr>
        <w:t xml:space="preserve">Minister for </w:t>
      </w:r>
      <w:r w:rsidR="00FC11F8" w:rsidRPr="003177C2">
        <w:rPr>
          <w:sz w:val="22"/>
          <w:szCs w:val="22"/>
        </w:rPr>
        <w:t>Jobs and</w:t>
      </w:r>
      <w:r w:rsidR="00B83EC2" w:rsidRPr="003177C2">
        <w:rPr>
          <w:sz w:val="22"/>
          <w:szCs w:val="22"/>
        </w:rPr>
        <w:t xml:space="preserve"> Industrial Relations </w:t>
      </w:r>
    </w:p>
    <w:p w14:paraId="4F95C360" w14:textId="77777777" w:rsidR="004413D4" w:rsidRPr="003177C2" w:rsidRDefault="004413D4" w:rsidP="00935460">
      <w:pPr>
        <w:jc w:val="center"/>
        <w:rPr>
          <w:sz w:val="22"/>
          <w:szCs w:val="22"/>
        </w:rPr>
      </w:pPr>
    </w:p>
    <w:p w14:paraId="3F751909" w14:textId="77777777" w:rsidR="00086CFC" w:rsidRPr="003177C2" w:rsidRDefault="00086CFC" w:rsidP="00447C6D">
      <w:pPr>
        <w:tabs>
          <w:tab w:val="left" w:pos="993"/>
        </w:tabs>
        <w:spacing w:after="240"/>
        <w:ind w:right="91"/>
        <w:jc w:val="center"/>
        <w:rPr>
          <w:i/>
          <w:sz w:val="22"/>
          <w:szCs w:val="22"/>
        </w:rPr>
      </w:pPr>
      <w:r w:rsidRPr="003177C2">
        <w:rPr>
          <w:i/>
          <w:sz w:val="22"/>
          <w:szCs w:val="22"/>
        </w:rPr>
        <w:t>Work Health and Safety Act 2011</w:t>
      </w:r>
    </w:p>
    <w:p w14:paraId="0A4E3BF9" w14:textId="77777777" w:rsidR="00B95621" w:rsidRPr="003177C2" w:rsidRDefault="00B95621" w:rsidP="00447C6D">
      <w:pPr>
        <w:tabs>
          <w:tab w:val="left" w:pos="993"/>
        </w:tabs>
        <w:spacing w:after="240"/>
        <w:ind w:left="1440" w:right="91" w:hanging="1440"/>
        <w:jc w:val="center"/>
        <w:rPr>
          <w:b/>
          <w:i/>
          <w:sz w:val="22"/>
          <w:szCs w:val="22"/>
        </w:rPr>
      </w:pPr>
      <w:r w:rsidRPr="003177C2">
        <w:rPr>
          <w:b/>
          <w:i/>
          <w:sz w:val="22"/>
          <w:szCs w:val="22"/>
        </w:rPr>
        <w:t>Work Health and Safety Amendment (</w:t>
      </w:r>
      <w:r w:rsidR="009F5323" w:rsidRPr="003177C2">
        <w:rPr>
          <w:b/>
          <w:i/>
          <w:sz w:val="22"/>
          <w:szCs w:val="22"/>
        </w:rPr>
        <w:t>Labelling of Hazardous Chemicals</w:t>
      </w:r>
      <w:r w:rsidRPr="003177C2">
        <w:rPr>
          <w:b/>
          <w:i/>
          <w:sz w:val="22"/>
          <w:szCs w:val="22"/>
        </w:rPr>
        <w:t>) Regulation</w:t>
      </w:r>
      <w:r w:rsidR="009F5323" w:rsidRPr="003177C2">
        <w:rPr>
          <w:b/>
          <w:i/>
          <w:sz w:val="22"/>
          <w:szCs w:val="22"/>
        </w:rPr>
        <w:t>s</w:t>
      </w:r>
      <w:r w:rsidRPr="003177C2">
        <w:rPr>
          <w:b/>
          <w:i/>
          <w:sz w:val="22"/>
          <w:szCs w:val="22"/>
        </w:rPr>
        <w:t> 201</w:t>
      </w:r>
      <w:r w:rsidR="00137837" w:rsidRPr="003177C2">
        <w:rPr>
          <w:b/>
          <w:i/>
          <w:sz w:val="22"/>
          <w:szCs w:val="22"/>
        </w:rPr>
        <w:t>8</w:t>
      </w:r>
    </w:p>
    <w:p w14:paraId="765F80CB" w14:textId="77777777" w:rsidR="00086CFC" w:rsidRPr="003177C2" w:rsidRDefault="00086CFC" w:rsidP="00447C6D">
      <w:pPr>
        <w:rPr>
          <w:i/>
          <w:sz w:val="22"/>
          <w:szCs w:val="22"/>
        </w:rPr>
      </w:pPr>
      <w:r w:rsidRPr="003177C2">
        <w:rPr>
          <w:sz w:val="22"/>
          <w:szCs w:val="22"/>
        </w:rPr>
        <w:t xml:space="preserve">The </w:t>
      </w:r>
      <w:r w:rsidR="001A7033" w:rsidRPr="003177C2">
        <w:rPr>
          <w:i/>
          <w:sz w:val="22"/>
          <w:szCs w:val="22"/>
        </w:rPr>
        <w:t>Work Health and Safety Act </w:t>
      </w:r>
      <w:r w:rsidRPr="003177C2">
        <w:rPr>
          <w:i/>
          <w:sz w:val="22"/>
          <w:szCs w:val="22"/>
        </w:rPr>
        <w:t>2011</w:t>
      </w:r>
      <w:r w:rsidR="001A7033" w:rsidRPr="003177C2">
        <w:rPr>
          <w:sz w:val="22"/>
          <w:szCs w:val="22"/>
        </w:rPr>
        <w:t> </w:t>
      </w:r>
      <w:r w:rsidRPr="003177C2">
        <w:rPr>
          <w:sz w:val="22"/>
          <w:szCs w:val="22"/>
        </w:rPr>
        <w:t xml:space="preserve">(the Act) and accompanying </w:t>
      </w:r>
      <w:r w:rsidR="001A7033" w:rsidRPr="003177C2">
        <w:rPr>
          <w:i/>
          <w:sz w:val="22"/>
          <w:szCs w:val="22"/>
        </w:rPr>
        <w:t xml:space="preserve">Work Health and Safety Regulations </w:t>
      </w:r>
      <w:r w:rsidRPr="003177C2">
        <w:rPr>
          <w:i/>
          <w:sz w:val="22"/>
          <w:szCs w:val="22"/>
        </w:rPr>
        <w:t>2011</w:t>
      </w:r>
      <w:r w:rsidR="001A7033" w:rsidRPr="003177C2">
        <w:rPr>
          <w:i/>
          <w:sz w:val="22"/>
          <w:szCs w:val="22"/>
        </w:rPr>
        <w:t xml:space="preserve"> </w:t>
      </w:r>
      <w:r w:rsidRPr="003177C2">
        <w:rPr>
          <w:sz w:val="22"/>
          <w:szCs w:val="22"/>
        </w:rPr>
        <w:t xml:space="preserve">(the WHS Regulations) provide the primary work health and safety </w:t>
      </w:r>
      <w:r w:rsidR="006A1D00" w:rsidRPr="003177C2">
        <w:rPr>
          <w:sz w:val="22"/>
          <w:szCs w:val="22"/>
        </w:rPr>
        <w:t xml:space="preserve">(WHS) </w:t>
      </w:r>
      <w:r w:rsidRPr="003177C2">
        <w:rPr>
          <w:sz w:val="22"/>
          <w:szCs w:val="22"/>
        </w:rPr>
        <w:t xml:space="preserve">legislation for the Commonwealth jurisdiction. They are based on model </w:t>
      </w:r>
      <w:r w:rsidR="006A1D00" w:rsidRPr="003177C2">
        <w:rPr>
          <w:sz w:val="22"/>
          <w:szCs w:val="22"/>
        </w:rPr>
        <w:t xml:space="preserve">WHS </w:t>
      </w:r>
      <w:r w:rsidRPr="003177C2">
        <w:rPr>
          <w:sz w:val="22"/>
          <w:szCs w:val="22"/>
        </w:rPr>
        <w:t>laws developed by Safe Work Australia</w:t>
      </w:r>
      <w:r w:rsidR="0037208D" w:rsidRPr="003177C2">
        <w:rPr>
          <w:sz w:val="22"/>
          <w:szCs w:val="22"/>
        </w:rPr>
        <w:t xml:space="preserve"> (SWA)</w:t>
      </w:r>
      <w:r w:rsidRPr="003177C2">
        <w:rPr>
          <w:sz w:val="22"/>
          <w:szCs w:val="22"/>
        </w:rPr>
        <w:t xml:space="preserve"> under the </w:t>
      </w:r>
      <w:r w:rsidRPr="003177C2">
        <w:rPr>
          <w:i/>
          <w:sz w:val="22"/>
          <w:szCs w:val="22"/>
        </w:rPr>
        <w:t>Intergovernmental Agreement for Regulatory and Operational Reform in Occupational Health and Safety</w:t>
      </w:r>
      <w:r w:rsidR="00990933" w:rsidRPr="003177C2">
        <w:rPr>
          <w:sz w:val="22"/>
          <w:szCs w:val="22"/>
        </w:rPr>
        <w:t>.</w:t>
      </w:r>
    </w:p>
    <w:p w14:paraId="48DCD492" w14:textId="77777777" w:rsidR="00CF39FA" w:rsidRPr="003177C2" w:rsidRDefault="00CF39FA" w:rsidP="00447C6D">
      <w:pPr>
        <w:rPr>
          <w:sz w:val="22"/>
          <w:szCs w:val="22"/>
        </w:rPr>
      </w:pPr>
    </w:p>
    <w:p w14:paraId="5AD3C35F" w14:textId="77777777" w:rsidR="00C3217E" w:rsidRPr="003177C2" w:rsidRDefault="00086CFC" w:rsidP="00E21FEC">
      <w:pPr>
        <w:rPr>
          <w:sz w:val="22"/>
          <w:szCs w:val="22"/>
        </w:rPr>
      </w:pPr>
      <w:r w:rsidRPr="003177C2">
        <w:rPr>
          <w:sz w:val="22"/>
          <w:szCs w:val="22"/>
        </w:rPr>
        <w:t xml:space="preserve">Subsection 276(1) of the Act provides </w:t>
      </w:r>
      <w:r w:rsidR="00447C6D" w:rsidRPr="003177C2">
        <w:rPr>
          <w:sz w:val="22"/>
          <w:szCs w:val="22"/>
        </w:rPr>
        <w:t xml:space="preserve">that </w:t>
      </w:r>
      <w:r w:rsidRPr="003177C2">
        <w:rPr>
          <w:sz w:val="22"/>
          <w:szCs w:val="22"/>
        </w:rPr>
        <w:t>the Governor-General may make regulations in relation to any matter relating to work health and safety</w:t>
      </w:r>
      <w:r w:rsidR="00447C6D" w:rsidRPr="003177C2">
        <w:rPr>
          <w:sz w:val="22"/>
          <w:szCs w:val="22"/>
        </w:rPr>
        <w:t>;</w:t>
      </w:r>
      <w:r w:rsidRPr="003177C2">
        <w:rPr>
          <w:sz w:val="22"/>
          <w:szCs w:val="22"/>
        </w:rPr>
        <w:t xml:space="preserve"> and any matter or thing required or permitted by the Act to be prescribed or that is necessary or convenient to be prescribed to give effect to the Act.</w:t>
      </w:r>
      <w:r w:rsidR="00565E35" w:rsidRPr="003177C2">
        <w:rPr>
          <w:sz w:val="22"/>
          <w:szCs w:val="22"/>
        </w:rPr>
        <w:t xml:space="preserve"> </w:t>
      </w:r>
    </w:p>
    <w:p w14:paraId="08FB07A7" w14:textId="77777777" w:rsidR="00CF39FA" w:rsidRPr="003177C2" w:rsidRDefault="00CF39FA" w:rsidP="00447C6D">
      <w:pPr>
        <w:rPr>
          <w:sz w:val="22"/>
          <w:szCs w:val="22"/>
        </w:rPr>
      </w:pPr>
    </w:p>
    <w:p w14:paraId="216159FA" w14:textId="77777777" w:rsidR="00C90347" w:rsidRPr="003177C2" w:rsidRDefault="000B373D" w:rsidP="000B167E">
      <w:pPr>
        <w:spacing w:after="120"/>
        <w:rPr>
          <w:sz w:val="22"/>
          <w:szCs w:val="22"/>
        </w:rPr>
      </w:pPr>
      <w:r w:rsidRPr="003177C2">
        <w:rPr>
          <w:sz w:val="22"/>
          <w:szCs w:val="22"/>
        </w:rPr>
        <w:t xml:space="preserve">The purpose of the </w:t>
      </w:r>
      <w:r w:rsidRPr="003177C2">
        <w:rPr>
          <w:i/>
          <w:sz w:val="22"/>
          <w:szCs w:val="22"/>
        </w:rPr>
        <w:t xml:space="preserve">Work Health and Safety Amendment (Labelling of Hazardous Chemicals) Regulations 2018 </w:t>
      </w:r>
      <w:r w:rsidRPr="003177C2">
        <w:rPr>
          <w:sz w:val="22"/>
          <w:szCs w:val="22"/>
        </w:rPr>
        <w:t xml:space="preserve">(the Regulations) is to </w:t>
      </w:r>
      <w:r w:rsidR="00FD3F0B" w:rsidRPr="003177C2">
        <w:rPr>
          <w:sz w:val="22"/>
          <w:szCs w:val="22"/>
        </w:rPr>
        <w:t>give effect to SWA policy by</w:t>
      </w:r>
      <w:r w:rsidR="00C90347" w:rsidRPr="003177C2">
        <w:rPr>
          <w:sz w:val="22"/>
          <w:szCs w:val="22"/>
        </w:rPr>
        <w:t xml:space="preserve"> amending the </w:t>
      </w:r>
      <w:r w:rsidR="00EC25B5" w:rsidRPr="003177C2">
        <w:rPr>
          <w:sz w:val="22"/>
          <w:szCs w:val="22"/>
        </w:rPr>
        <w:t>WHS</w:t>
      </w:r>
      <w:r w:rsidR="0045442C">
        <w:rPr>
          <w:sz w:val="22"/>
          <w:szCs w:val="22"/>
        </w:rPr>
        <w:t> </w:t>
      </w:r>
      <w:r w:rsidR="00C90347" w:rsidRPr="003177C2">
        <w:rPr>
          <w:sz w:val="22"/>
          <w:szCs w:val="22"/>
        </w:rPr>
        <w:t>Regulations to</w:t>
      </w:r>
      <w:r w:rsidR="002A6075" w:rsidRPr="003177C2">
        <w:rPr>
          <w:sz w:val="22"/>
          <w:szCs w:val="22"/>
        </w:rPr>
        <w:t>:</w:t>
      </w:r>
    </w:p>
    <w:p w14:paraId="2EC58A29" w14:textId="77777777" w:rsidR="00757081" w:rsidRPr="003177C2" w:rsidRDefault="00BA680C" w:rsidP="00757081">
      <w:pPr>
        <w:pStyle w:val="ListParagraph"/>
        <w:numPr>
          <w:ilvl w:val="0"/>
          <w:numId w:val="40"/>
        </w:numPr>
        <w:rPr>
          <w:sz w:val="22"/>
          <w:szCs w:val="22"/>
        </w:rPr>
      </w:pPr>
      <w:r>
        <w:rPr>
          <w:sz w:val="22"/>
          <w:szCs w:val="22"/>
        </w:rPr>
        <w:t>provide for</w:t>
      </w:r>
      <w:r w:rsidR="00757081" w:rsidRPr="003177C2">
        <w:rPr>
          <w:sz w:val="22"/>
          <w:szCs w:val="22"/>
        </w:rPr>
        <w:t xml:space="preserve"> transitional arrangements for the </w:t>
      </w:r>
      <w:r w:rsidR="00262452" w:rsidRPr="003177C2">
        <w:rPr>
          <w:sz w:val="22"/>
          <w:szCs w:val="22"/>
        </w:rPr>
        <w:t>Globally Harmonised System of Classification and Labelling of Chemicals (</w:t>
      </w:r>
      <w:r w:rsidR="00757081" w:rsidRPr="003177C2">
        <w:rPr>
          <w:sz w:val="22"/>
          <w:szCs w:val="22"/>
        </w:rPr>
        <w:t>GHS</w:t>
      </w:r>
      <w:r w:rsidR="00262452" w:rsidRPr="003177C2">
        <w:rPr>
          <w:sz w:val="22"/>
          <w:szCs w:val="22"/>
        </w:rPr>
        <w:t>)</w:t>
      </w:r>
      <w:r w:rsidR="00757081" w:rsidRPr="003177C2">
        <w:rPr>
          <w:sz w:val="22"/>
          <w:szCs w:val="22"/>
        </w:rPr>
        <w:t xml:space="preserve"> (regs 341, 342);</w:t>
      </w:r>
    </w:p>
    <w:p w14:paraId="6B522587" w14:textId="77777777" w:rsidR="00757081" w:rsidRPr="003177C2" w:rsidRDefault="00757081" w:rsidP="00757081">
      <w:pPr>
        <w:pStyle w:val="ListParagraph"/>
        <w:numPr>
          <w:ilvl w:val="0"/>
          <w:numId w:val="40"/>
        </w:numPr>
        <w:rPr>
          <w:sz w:val="22"/>
          <w:szCs w:val="22"/>
        </w:rPr>
      </w:pPr>
      <w:r w:rsidRPr="003177C2">
        <w:rPr>
          <w:sz w:val="22"/>
          <w:szCs w:val="22"/>
        </w:rPr>
        <w:t>clarify that it is not necessary for hazardous chemical labels (GHS labels) to include duplicate label elements required by other labelling laws (reg 335);</w:t>
      </w:r>
    </w:p>
    <w:p w14:paraId="497695B1" w14:textId="77777777" w:rsidR="00757081" w:rsidRPr="003177C2" w:rsidRDefault="00757081" w:rsidP="00757081">
      <w:pPr>
        <w:pStyle w:val="ListParagraph"/>
        <w:numPr>
          <w:ilvl w:val="0"/>
          <w:numId w:val="40"/>
        </w:numPr>
        <w:rPr>
          <w:sz w:val="22"/>
          <w:szCs w:val="22"/>
        </w:rPr>
      </w:pPr>
      <w:r w:rsidRPr="003177C2">
        <w:rPr>
          <w:sz w:val="22"/>
          <w:szCs w:val="22"/>
        </w:rPr>
        <w:t>exempt certain veterinary chemicals from GHS labelling requirements—that are already subject to other labelling regimes and are adequately regulated (see reg 335); and</w:t>
      </w:r>
    </w:p>
    <w:p w14:paraId="655985A2" w14:textId="77777777" w:rsidR="00757081" w:rsidRPr="008B0826" w:rsidRDefault="00757081" w:rsidP="00757081">
      <w:pPr>
        <w:pStyle w:val="ListParagraph"/>
        <w:numPr>
          <w:ilvl w:val="0"/>
          <w:numId w:val="40"/>
        </w:numPr>
        <w:spacing w:after="120"/>
        <w:ind w:left="714" w:hanging="357"/>
        <w:contextualSpacing w:val="0"/>
        <w:rPr>
          <w:sz w:val="22"/>
          <w:szCs w:val="22"/>
        </w:rPr>
      </w:pPr>
      <w:r w:rsidRPr="003177C2">
        <w:rPr>
          <w:sz w:val="22"/>
          <w:szCs w:val="22"/>
        </w:rPr>
        <w:t>make several minor updates and corrections of a technical nature to align with the model WHS laws.</w:t>
      </w:r>
    </w:p>
    <w:p w14:paraId="36688BFE" w14:textId="77777777" w:rsidR="00BA680C" w:rsidRDefault="00BA680C" w:rsidP="0088632E">
      <w:pPr>
        <w:spacing w:after="120"/>
        <w:rPr>
          <w:sz w:val="22"/>
          <w:szCs w:val="22"/>
        </w:rPr>
      </w:pPr>
      <w:r>
        <w:rPr>
          <w:sz w:val="22"/>
          <w:szCs w:val="22"/>
        </w:rPr>
        <w:t>The first three measures sunset after five years, to allow for a review of the measures.</w:t>
      </w:r>
    </w:p>
    <w:p w14:paraId="63CF5794" w14:textId="77777777" w:rsidR="00262452" w:rsidRPr="006A4BD5" w:rsidRDefault="00262452" w:rsidP="0088632E">
      <w:pPr>
        <w:spacing w:after="120"/>
        <w:rPr>
          <w:sz w:val="22"/>
          <w:szCs w:val="22"/>
        </w:rPr>
      </w:pPr>
      <w:r w:rsidRPr="006A4BD5">
        <w:rPr>
          <w:sz w:val="22"/>
          <w:szCs w:val="22"/>
        </w:rPr>
        <w:t>The transitional arrangements for the implementation of the GHS are as follows:</w:t>
      </w:r>
    </w:p>
    <w:p w14:paraId="245FAD79" w14:textId="77777777" w:rsidR="00262452" w:rsidRPr="006A4BD5" w:rsidRDefault="00262452" w:rsidP="00262452">
      <w:pPr>
        <w:pStyle w:val="ListParagraph"/>
        <w:numPr>
          <w:ilvl w:val="0"/>
          <w:numId w:val="45"/>
        </w:numPr>
        <w:spacing w:after="120"/>
        <w:rPr>
          <w:sz w:val="22"/>
          <w:szCs w:val="22"/>
        </w:rPr>
      </w:pPr>
      <w:r w:rsidRPr="006A4BD5">
        <w:rPr>
          <w:sz w:val="22"/>
          <w:szCs w:val="22"/>
        </w:rPr>
        <w:t>1 January 2012 – 31 December 2016: the initial five-year transitional period for the introduction of the GHS;</w:t>
      </w:r>
    </w:p>
    <w:p w14:paraId="058EB33B" w14:textId="77777777" w:rsidR="00262452" w:rsidRPr="006A4BD5" w:rsidRDefault="00262452" w:rsidP="00262452">
      <w:pPr>
        <w:pStyle w:val="ListParagraph"/>
        <w:numPr>
          <w:ilvl w:val="0"/>
          <w:numId w:val="45"/>
        </w:numPr>
        <w:spacing w:after="120"/>
        <w:rPr>
          <w:sz w:val="22"/>
          <w:szCs w:val="22"/>
        </w:rPr>
      </w:pPr>
      <w:r w:rsidRPr="006A4BD5">
        <w:rPr>
          <w:sz w:val="22"/>
          <w:szCs w:val="22"/>
        </w:rPr>
        <w:t xml:space="preserve">1 January 2017 – 31 December 2018: yearly administrative exemptions implemented by the Commonwealth regulator (Comcare) to allow for the ongoing use of existing chemical stock already in the supply chain without the requirement to re-label, subject to certain conditions: see the </w:t>
      </w:r>
      <w:r w:rsidRPr="006A4BD5">
        <w:rPr>
          <w:i/>
          <w:sz w:val="22"/>
          <w:szCs w:val="22"/>
        </w:rPr>
        <w:t xml:space="preserve">Work Health and Safety (Labelling of Hazardous Chemicals) Exemption 2016 </w:t>
      </w:r>
      <w:r w:rsidRPr="006A4BD5">
        <w:rPr>
          <w:sz w:val="22"/>
          <w:szCs w:val="22"/>
        </w:rPr>
        <w:t>and the</w:t>
      </w:r>
      <w:r w:rsidRPr="006A4BD5">
        <w:rPr>
          <w:i/>
          <w:sz w:val="22"/>
          <w:szCs w:val="22"/>
        </w:rPr>
        <w:t xml:space="preserve"> Work Health and Safety (Labelling of Hazardous Chemicals) Exemption 2017</w:t>
      </w:r>
      <w:r w:rsidRPr="006A4BD5">
        <w:rPr>
          <w:sz w:val="22"/>
          <w:szCs w:val="22"/>
        </w:rPr>
        <w:t>; and</w:t>
      </w:r>
    </w:p>
    <w:p w14:paraId="4E7EA1B8" w14:textId="77777777" w:rsidR="00262452" w:rsidRPr="006A4BD5" w:rsidRDefault="00262452" w:rsidP="00262452">
      <w:pPr>
        <w:pStyle w:val="ListParagraph"/>
        <w:numPr>
          <w:ilvl w:val="0"/>
          <w:numId w:val="45"/>
        </w:numPr>
        <w:spacing w:after="120"/>
        <w:rPr>
          <w:sz w:val="22"/>
          <w:szCs w:val="22"/>
        </w:rPr>
      </w:pPr>
      <w:r w:rsidRPr="006A4BD5">
        <w:rPr>
          <w:sz w:val="22"/>
          <w:szCs w:val="22"/>
        </w:rPr>
        <w:t>1 January 2019 onwards: the Regulations implement transitional measures</w:t>
      </w:r>
      <w:r w:rsidR="00BA680C">
        <w:rPr>
          <w:sz w:val="22"/>
          <w:szCs w:val="22"/>
        </w:rPr>
        <w:t xml:space="preserve"> prospectively</w:t>
      </w:r>
      <w:r w:rsidRPr="006A4BD5">
        <w:rPr>
          <w:sz w:val="22"/>
          <w:szCs w:val="22"/>
        </w:rPr>
        <w:t>.</w:t>
      </w:r>
    </w:p>
    <w:p w14:paraId="6B0EEE07" w14:textId="77777777" w:rsidR="00262452" w:rsidRDefault="00262452" w:rsidP="006A4BD5">
      <w:pPr>
        <w:rPr>
          <w:sz w:val="22"/>
          <w:szCs w:val="22"/>
        </w:rPr>
      </w:pPr>
      <w:r w:rsidRPr="006A4BD5">
        <w:rPr>
          <w:sz w:val="22"/>
          <w:szCs w:val="22"/>
        </w:rPr>
        <w:t xml:space="preserve">Together with states and territories, the Commonwealth regulates the labelling of hazardous chemicals under its WHS laws. Most jurisdictions (other than Victoria and Western Australia) have generally adopted the policy and model wording developed by SWA. Victoria and Western Australia regulate hazardous chemicals under their own respective WHS laws. </w:t>
      </w:r>
    </w:p>
    <w:p w14:paraId="36CE68BF" w14:textId="77777777" w:rsidR="003177C2" w:rsidRPr="006A4BD5" w:rsidRDefault="003177C2" w:rsidP="006A4BD5">
      <w:pPr>
        <w:rPr>
          <w:sz w:val="22"/>
          <w:szCs w:val="22"/>
        </w:rPr>
      </w:pPr>
    </w:p>
    <w:p w14:paraId="279537F0" w14:textId="77777777" w:rsidR="00BD20A0" w:rsidRPr="00AE4F99" w:rsidRDefault="00262452" w:rsidP="00AE4F99">
      <w:pPr>
        <w:rPr>
          <w:sz w:val="22"/>
          <w:szCs w:val="22"/>
        </w:rPr>
      </w:pPr>
      <w:r w:rsidRPr="006A4BD5">
        <w:rPr>
          <w:sz w:val="22"/>
          <w:szCs w:val="22"/>
        </w:rPr>
        <w:t xml:space="preserve">The Regulations adopt SWA’s model wording with </w:t>
      </w:r>
      <w:r w:rsidR="00BA680C">
        <w:rPr>
          <w:sz w:val="22"/>
          <w:szCs w:val="22"/>
        </w:rPr>
        <w:t>the following</w:t>
      </w:r>
      <w:r w:rsidRPr="006A4BD5">
        <w:rPr>
          <w:sz w:val="22"/>
          <w:szCs w:val="22"/>
        </w:rPr>
        <w:t xml:space="preserve"> exception</w:t>
      </w:r>
      <w:r w:rsidR="00BA680C">
        <w:rPr>
          <w:sz w:val="22"/>
          <w:szCs w:val="22"/>
        </w:rPr>
        <w:t>s</w:t>
      </w:r>
      <w:r w:rsidRPr="006A4BD5">
        <w:rPr>
          <w:sz w:val="22"/>
          <w:szCs w:val="22"/>
        </w:rPr>
        <w:t>. The wording reflects both the model wording and a subsequent decision SWA made in late 2016. That decision allows jurisdictions that have adopted the model legislation to make further provision to avoid any unnecessary burden on suppliers and end users to re-label existing chemical stock manufactured or imported prior to 1 January 2017. It is designed to ensure a smooth transition to the new system.</w:t>
      </w:r>
      <w:r w:rsidR="00AE4F99">
        <w:rPr>
          <w:sz w:val="22"/>
          <w:szCs w:val="22"/>
        </w:rPr>
        <w:t xml:space="preserve"> </w:t>
      </w:r>
      <w:r w:rsidR="00BD20A0">
        <w:t>Th</w:t>
      </w:r>
      <w:r w:rsidR="00AE4F99">
        <w:t>is</w:t>
      </w:r>
      <w:r w:rsidR="00BD20A0">
        <w:t xml:space="preserve"> measure would also ‘sunset’ (or cease to have effect) after five years, to allow for review.</w:t>
      </w:r>
    </w:p>
    <w:p w14:paraId="228FAFC8" w14:textId="77777777" w:rsidR="00262452" w:rsidRDefault="00262452" w:rsidP="006A4BD5">
      <w:pPr>
        <w:rPr>
          <w:sz w:val="22"/>
          <w:szCs w:val="22"/>
        </w:rPr>
      </w:pPr>
      <w:r w:rsidRPr="006A4BD5">
        <w:rPr>
          <w:sz w:val="22"/>
          <w:szCs w:val="22"/>
        </w:rPr>
        <w:t xml:space="preserve">Subject to </w:t>
      </w:r>
      <w:r w:rsidR="003177C2">
        <w:rPr>
          <w:sz w:val="22"/>
          <w:szCs w:val="22"/>
        </w:rPr>
        <w:t>the</w:t>
      </w:r>
      <w:r w:rsidR="00BD20A0">
        <w:rPr>
          <w:sz w:val="22"/>
          <w:szCs w:val="22"/>
        </w:rPr>
        <w:t>se</w:t>
      </w:r>
      <w:r w:rsidR="003177C2">
        <w:rPr>
          <w:sz w:val="22"/>
          <w:szCs w:val="22"/>
        </w:rPr>
        <w:t xml:space="preserve"> </w:t>
      </w:r>
      <w:r w:rsidRPr="006A4BD5">
        <w:rPr>
          <w:sz w:val="22"/>
          <w:szCs w:val="22"/>
        </w:rPr>
        <w:t>change</w:t>
      </w:r>
      <w:r w:rsidR="00BD20A0">
        <w:rPr>
          <w:sz w:val="22"/>
          <w:szCs w:val="22"/>
        </w:rPr>
        <w:t>s</w:t>
      </w:r>
      <w:r w:rsidRPr="006A4BD5">
        <w:rPr>
          <w:sz w:val="22"/>
          <w:szCs w:val="22"/>
        </w:rPr>
        <w:t>, the Regulations generally extend the effect of the administrative exemptions that have been in place since the commencement of the new labelling requirements on 1</w:t>
      </w:r>
      <w:r w:rsidR="003177C2">
        <w:rPr>
          <w:sz w:val="22"/>
          <w:szCs w:val="22"/>
        </w:rPr>
        <w:t> </w:t>
      </w:r>
      <w:r w:rsidRPr="006A4BD5">
        <w:rPr>
          <w:sz w:val="22"/>
          <w:szCs w:val="22"/>
        </w:rPr>
        <w:t xml:space="preserve">January </w:t>
      </w:r>
      <w:r w:rsidRPr="006A4BD5">
        <w:rPr>
          <w:sz w:val="22"/>
          <w:szCs w:val="22"/>
        </w:rPr>
        <w:lastRenderedPageBreak/>
        <w:t xml:space="preserve">2017. This means they </w:t>
      </w:r>
      <w:r w:rsidR="004E239A" w:rsidRPr="006A4BD5">
        <w:rPr>
          <w:sz w:val="22"/>
          <w:szCs w:val="22"/>
        </w:rPr>
        <w:t>will</w:t>
      </w:r>
      <w:r w:rsidRPr="006A4BD5">
        <w:rPr>
          <w:sz w:val="22"/>
          <w:szCs w:val="22"/>
        </w:rPr>
        <w:t xml:space="preserve"> cover properly labelled old chemical stock that was supplied, manufactured or imported prior to 1 January 2017.</w:t>
      </w:r>
    </w:p>
    <w:p w14:paraId="7D574AF8" w14:textId="77777777" w:rsidR="003177C2" w:rsidRPr="006A4BD5" w:rsidRDefault="003177C2" w:rsidP="006A4BD5">
      <w:pPr>
        <w:rPr>
          <w:sz w:val="22"/>
          <w:szCs w:val="22"/>
        </w:rPr>
      </w:pPr>
    </w:p>
    <w:p w14:paraId="18E3F898" w14:textId="77777777" w:rsidR="007A7ADB" w:rsidRPr="003177C2" w:rsidRDefault="007A7ADB" w:rsidP="000B167E">
      <w:pPr>
        <w:rPr>
          <w:b/>
          <w:i/>
          <w:sz w:val="22"/>
          <w:szCs w:val="22"/>
        </w:rPr>
      </w:pPr>
      <w:r w:rsidRPr="003177C2">
        <w:rPr>
          <w:b/>
          <w:i/>
          <w:sz w:val="22"/>
          <w:szCs w:val="22"/>
        </w:rPr>
        <w:t>Consultation</w:t>
      </w:r>
    </w:p>
    <w:p w14:paraId="7CC4934A" w14:textId="77777777" w:rsidR="008D2B69" w:rsidRPr="006A4BD5" w:rsidRDefault="00B318F2" w:rsidP="006A4BD5">
      <w:pPr>
        <w:rPr>
          <w:sz w:val="22"/>
          <w:szCs w:val="22"/>
        </w:rPr>
      </w:pPr>
      <w:r>
        <w:rPr>
          <w:sz w:val="22"/>
          <w:szCs w:val="22"/>
        </w:rPr>
        <w:t xml:space="preserve">The Regulations follow </w:t>
      </w:r>
      <w:r w:rsidR="00E30E24">
        <w:rPr>
          <w:sz w:val="22"/>
          <w:szCs w:val="22"/>
        </w:rPr>
        <w:t>a</w:t>
      </w:r>
      <w:r w:rsidR="008D2B69" w:rsidRPr="006A4BD5">
        <w:rPr>
          <w:sz w:val="22"/>
          <w:szCs w:val="22"/>
        </w:rPr>
        <w:t>n extensive period of consultation with stakeholders by SWA</w:t>
      </w:r>
      <w:r>
        <w:rPr>
          <w:sz w:val="22"/>
          <w:szCs w:val="22"/>
        </w:rPr>
        <w:t xml:space="preserve"> </w:t>
      </w:r>
      <w:r w:rsidR="008D2B69" w:rsidRPr="006A4BD5">
        <w:rPr>
          <w:sz w:val="22"/>
          <w:szCs w:val="22"/>
        </w:rPr>
        <w:t>and the Commonwealth WHS Regulator, Comcare</w:t>
      </w:r>
      <w:r>
        <w:rPr>
          <w:sz w:val="22"/>
          <w:szCs w:val="22"/>
        </w:rPr>
        <w:t>, about</w:t>
      </w:r>
      <w:r w:rsidR="00E30E24">
        <w:rPr>
          <w:sz w:val="22"/>
          <w:szCs w:val="22"/>
        </w:rPr>
        <w:t xml:space="preserve"> the</w:t>
      </w:r>
      <w:r>
        <w:rPr>
          <w:sz w:val="22"/>
          <w:szCs w:val="22"/>
        </w:rPr>
        <w:t xml:space="preserve"> transitional arrangements</w:t>
      </w:r>
      <w:r w:rsidR="0002409F">
        <w:rPr>
          <w:sz w:val="22"/>
          <w:szCs w:val="22"/>
        </w:rPr>
        <w:t xml:space="preserve">. </w:t>
      </w:r>
      <w:r w:rsidR="008D2B69" w:rsidRPr="006A4BD5">
        <w:rPr>
          <w:sz w:val="22"/>
          <w:szCs w:val="22"/>
        </w:rPr>
        <w:t>Consultation covered a number of industry bodies for both veterinary medicines (Animal Medicines Australia) and agriculture (CropLife Australia), as well as the Australian Pesticides and Veterinary Medicines Authority (APVMA) and Comcare. There is broad industry and regulatory support for the transitional arrangements.</w:t>
      </w:r>
    </w:p>
    <w:p w14:paraId="1C53874E" w14:textId="77777777" w:rsidR="00757081" w:rsidRPr="003177C2" w:rsidRDefault="00757081" w:rsidP="00757081">
      <w:pPr>
        <w:rPr>
          <w:b/>
          <w:sz w:val="22"/>
          <w:szCs w:val="22"/>
        </w:rPr>
      </w:pPr>
    </w:p>
    <w:p w14:paraId="4B7A73E8" w14:textId="77777777" w:rsidR="007A7ADB" w:rsidRPr="003177C2" w:rsidRDefault="007A7ADB" w:rsidP="00757081">
      <w:pPr>
        <w:rPr>
          <w:b/>
          <w:i/>
          <w:sz w:val="22"/>
          <w:szCs w:val="22"/>
        </w:rPr>
      </w:pPr>
      <w:r w:rsidRPr="003177C2">
        <w:rPr>
          <w:b/>
          <w:i/>
          <w:sz w:val="22"/>
          <w:szCs w:val="22"/>
        </w:rPr>
        <w:t>No retrospective operation</w:t>
      </w:r>
    </w:p>
    <w:p w14:paraId="33BD6A71" w14:textId="77777777" w:rsidR="008D2B69" w:rsidRPr="006A4BD5" w:rsidRDefault="008D2B69" w:rsidP="006A4BD5">
      <w:pPr>
        <w:rPr>
          <w:sz w:val="22"/>
          <w:szCs w:val="22"/>
        </w:rPr>
      </w:pPr>
      <w:r w:rsidRPr="006A4BD5">
        <w:rPr>
          <w:sz w:val="22"/>
          <w:szCs w:val="22"/>
        </w:rPr>
        <w:t xml:space="preserve">The Australian Government Solicitor has certified the Regulations do not operate retrospectively and would not be affected by subsection 12(2) of the </w:t>
      </w:r>
      <w:r w:rsidRPr="006A4BD5">
        <w:rPr>
          <w:i/>
          <w:sz w:val="22"/>
          <w:szCs w:val="22"/>
        </w:rPr>
        <w:t>Legislation Act 2003</w:t>
      </w:r>
      <w:r w:rsidRPr="006A4BD5">
        <w:rPr>
          <w:sz w:val="22"/>
          <w:szCs w:val="22"/>
        </w:rPr>
        <w:t>. As discussed above, t</w:t>
      </w:r>
      <w:r w:rsidRPr="006A4BD5">
        <w:rPr>
          <w:rFonts w:eastAsia="Calibri"/>
          <w:sz w:val="22"/>
          <w:szCs w:val="22"/>
          <w:lang w:eastAsia="en-US"/>
        </w:rPr>
        <w:t>he Regulations will extend prospectively administrative exemptions that have been in place since the commencement of the new labelling requirements on 1 January 2017. However</w:t>
      </w:r>
      <w:r w:rsidR="00E46F3F" w:rsidRPr="006A4BD5">
        <w:rPr>
          <w:rFonts w:eastAsia="Calibri"/>
          <w:sz w:val="22"/>
          <w:szCs w:val="22"/>
          <w:lang w:eastAsia="en-US"/>
        </w:rPr>
        <w:t>,</w:t>
      </w:r>
      <w:r w:rsidRPr="006A4BD5">
        <w:rPr>
          <w:rFonts w:eastAsia="Calibri"/>
          <w:sz w:val="22"/>
          <w:szCs w:val="22"/>
          <w:lang w:eastAsia="en-US"/>
        </w:rPr>
        <w:t xml:space="preserve"> they will not affect any rights or liabilities of a person conducting a business or undertaking prior to their commencement. Their operation is entirely prospective. Moreover, the Regulations will benefit persons as they will not become subject to new labelling requirements for any (properly labelled) old chemical stock when the existing administrative exemption expires.</w:t>
      </w:r>
    </w:p>
    <w:p w14:paraId="04A93EC1" w14:textId="77777777" w:rsidR="00C02B36" w:rsidRPr="003177C2" w:rsidRDefault="00C02B36" w:rsidP="00A75E48">
      <w:pPr>
        <w:tabs>
          <w:tab w:val="right" w:pos="4536"/>
        </w:tabs>
        <w:ind w:left="5760" w:right="91" w:hanging="5760"/>
        <w:rPr>
          <w:sz w:val="22"/>
          <w:szCs w:val="22"/>
        </w:rPr>
      </w:pPr>
    </w:p>
    <w:p w14:paraId="6BD93373" w14:textId="77777777" w:rsidR="00432306" w:rsidRPr="003177C2" w:rsidRDefault="00432306" w:rsidP="006A4BD5">
      <w:pPr>
        <w:rPr>
          <w:b/>
          <w:i/>
          <w:sz w:val="22"/>
          <w:szCs w:val="22"/>
        </w:rPr>
      </w:pPr>
      <w:r w:rsidRPr="003177C2">
        <w:rPr>
          <w:b/>
          <w:i/>
          <w:sz w:val="22"/>
          <w:szCs w:val="22"/>
        </w:rPr>
        <w:t>R</w:t>
      </w:r>
      <w:r w:rsidR="006500CB" w:rsidRPr="003177C2">
        <w:rPr>
          <w:b/>
          <w:i/>
          <w:sz w:val="22"/>
          <w:szCs w:val="22"/>
        </w:rPr>
        <w:t xml:space="preserve">egulation </w:t>
      </w:r>
      <w:r w:rsidRPr="003177C2">
        <w:rPr>
          <w:b/>
          <w:i/>
          <w:sz w:val="22"/>
          <w:szCs w:val="22"/>
        </w:rPr>
        <w:t>I</w:t>
      </w:r>
      <w:r w:rsidR="006500CB" w:rsidRPr="003177C2">
        <w:rPr>
          <w:b/>
          <w:i/>
          <w:sz w:val="22"/>
          <w:szCs w:val="22"/>
        </w:rPr>
        <w:t xml:space="preserve">mpact </w:t>
      </w:r>
      <w:r w:rsidRPr="003177C2">
        <w:rPr>
          <w:b/>
          <w:i/>
          <w:sz w:val="22"/>
          <w:szCs w:val="22"/>
        </w:rPr>
        <w:t>S</w:t>
      </w:r>
      <w:r w:rsidR="006500CB" w:rsidRPr="003177C2">
        <w:rPr>
          <w:b/>
          <w:i/>
          <w:sz w:val="22"/>
          <w:szCs w:val="22"/>
        </w:rPr>
        <w:t>tatement</w:t>
      </w:r>
      <w:r w:rsidR="00E10D84" w:rsidRPr="003177C2">
        <w:rPr>
          <w:b/>
          <w:i/>
          <w:sz w:val="22"/>
          <w:szCs w:val="22"/>
        </w:rPr>
        <w:t xml:space="preserve"> and other matters</w:t>
      </w:r>
    </w:p>
    <w:p w14:paraId="0697AB9B" w14:textId="77777777" w:rsidR="00C9581B" w:rsidRDefault="008A19F8" w:rsidP="006A4BD5">
      <w:pPr>
        <w:rPr>
          <w:sz w:val="22"/>
          <w:szCs w:val="22"/>
        </w:rPr>
      </w:pPr>
      <w:r w:rsidRPr="00B318F2">
        <w:rPr>
          <w:sz w:val="22"/>
          <w:szCs w:val="22"/>
        </w:rPr>
        <w:t>The Office of Best Practice Regulation advised that a Regulation Impact Statement was not required (</w:t>
      </w:r>
      <w:r w:rsidR="00D50E1C" w:rsidRPr="007B7E9E">
        <w:rPr>
          <w:sz w:val="22"/>
          <w:szCs w:val="22"/>
        </w:rPr>
        <w:t>OBPR ID 21678</w:t>
      </w:r>
      <w:r w:rsidRPr="007B7E9E">
        <w:rPr>
          <w:sz w:val="22"/>
          <w:szCs w:val="22"/>
        </w:rPr>
        <w:t>)</w:t>
      </w:r>
      <w:r w:rsidR="00523318" w:rsidRPr="007B7E9E">
        <w:rPr>
          <w:sz w:val="22"/>
          <w:szCs w:val="22"/>
        </w:rPr>
        <w:t>.</w:t>
      </w:r>
    </w:p>
    <w:p w14:paraId="039F1149" w14:textId="77777777" w:rsidR="00AE6195" w:rsidRPr="00B318F2" w:rsidRDefault="00AE6195" w:rsidP="006A4BD5">
      <w:pPr>
        <w:rPr>
          <w:sz w:val="22"/>
          <w:szCs w:val="22"/>
        </w:rPr>
      </w:pPr>
    </w:p>
    <w:p w14:paraId="0866C4EF" w14:textId="77777777" w:rsidR="00F30F9E" w:rsidRPr="003177C2" w:rsidRDefault="00F30F9E" w:rsidP="00F30F9E">
      <w:pPr>
        <w:tabs>
          <w:tab w:val="right" w:pos="4536"/>
        </w:tabs>
        <w:ind w:left="5760" w:right="91" w:hanging="5760"/>
        <w:rPr>
          <w:sz w:val="22"/>
          <w:szCs w:val="22"/>
        </w:rPr>
      </w:pPr>
      <w:r w:rsidRPr="00B318F2">
        <w:rPr>
          <w:sz w:val="22"/>
          <w:szCs w:val="22"/>
        </w:rPr>
        <w:t xml:space="preserve">Details of the Regulations are provided at </w:t>
      </w:r>
      <w:r w:rsidRPr="00B318F2">
        <w:rPr>
          <w:sz w:val="22"/>
          <w:szCs w:val="22"/>
          <w:u w:val="single"/>
        </w:rPr>
        <w:t>Attachment A</w:t>
      </w:r>
      <w:r w:rsidRPr="003177C2">
        <w:rPr>
          <w:sz w:val="22"/>
          <w:szCs w:val="22"/>
        </w:rPr>
        <w:t>.</w:t>
      </w:r>
    </w:p>
    <w:p w14:paraId="699DCD21" w14:textId="77777777" w:rsidR="00F30F9E" w:rsidRPr="003177C2" w:rsidRDefault="00F30F9E" w:rsidP="00F30F9E">
      <w:pPr>
        <w:rPr>
          <w:sz w:val="22"/>
          <w:szCs w:val="22"/>
        </w:rPr>
      </w:pPr>
    </w:p>
    <w:p w14:paraId="65D34FB1" w14:textId="77777777" w:rsidR="00F30F9E" w:rsidRPr="008B0826" w:rsidRDefault="00F30F9E" w:rsidP="00F30F9E">
      <w:pPr>
        <w:rPr>
          <w:sz w:val="22"/>
          <w:szCs w:val="22"/>
        </w:rPr>
      </w:pPr>
      <w:r w:rsidRPr="007B7E9E">
        <w:rPr>
          <w:sz w:val="22"/>
          <w:szCs w:val="22"/>
        </w:rPr>
        <w:t>The Statement of Compatibility with Human Rights concludes that the Regulation</w:t>
      </w:r>
      <w:r w:rsidRPr="008B0826">
        <w:rPr>
          <w:sz w:val="22"/>
          <w:szCs w:val="22"/>
        </w:rPr>
        <w:t>s do not engage, and are therefore compatible with human rights (</w:t>
      </w:r>
      <w:r w:rsidRPr="008B0826">
        <w:rPr>
          <w:sz w:val="22"/>
          <w:szCs w:val="22"/>
          <w:u w:val="single"/>
        </w:rPr>
        <w:t>Attachment B</w:t>
      </w:r>
      <w:r w:rsidRPr="008B0826">
        <w:rPr>
          <w:sz w:val="22"/>
          <w:szCs w:val="22"/>
        </w:rPr>
        <w:t>).</w:t>
      </w:r>
    </w:p>
    <w:p w14:paraId="76A517EF" w14:textId="77777777" w:rsidR="00F30F9E" w:rsidRPr="003177C2" w:rsidRDefault="00F30F9E" w:rsidP="00447C6D">
      <w:pPr>
        <w:rPr>
          <w:sz w:val="22"/>
          <w:szCs w:val="22"/>
        </w:rPr>
      </w:pPr>
    </w:p>
    <w:p w14:paraId="36941579" w14:textId="77777777" w:rsidR="00F30F9E" w:rsidRPr="003177C2" w:rsidRDefault="00F30F9E" w:rsidP="00F30F9E">
      <w:pPr>
        <w:rPr>
          <w:sz w:val="22"/>
          <w:szCs w:val="22"/>
        </w:rPr>
      </w:pPr>
      <w:r w:rsidRPr="003177C2">
        <w:rPr>
          <w:sz w:val="22"/>
          <w:szCs w:val="22"/>
        </w:rPr>
        <w:t xml:space="preserve">The Act does not impose any conditions that need to be satisfied before the power to make the Regulations may be exercised. </w:t>
      </w:r>
    </w:p>
    <w:p w14:paraId="6A08A14A" w14:textId="77777777" w:rsidR="00F30F9E" w:rsidRPr="003177C2" w:rsidRDefault="00F30F9E" w:rsidP="00F30F9E">
      <w:pPr>
        <w:rPr>
          <w:sz w:val="22"/>
          <w:szCs w:val="22"/>
        </w:rPr>
      </w:pPr>
    </w:p>
    <w:p w14:paraId="68208805" w14:textId="77777777" w:rsidR="00F30F9E" w:rsidRPr="003177C2" w:rsidRDefault="00F30F9E" w:rsidP="00F30F9E">
      <w:pPr>
        <w:rPr>
          <w:sz w:val="22"/>
          <w:szCs w:val="22"/>
        </w:rPr>
      </w:pPr>
      <w:r w:rsidRPr="003177C2">
        <w:rPr>
          <w:sz w:val="22"/>
          <w:szCs w:val="22"/>
        </w:rPr>
        <w:t xml:space="preserve">The Regulations are a legislative instrument for the purposes of the </w:t>
      </w:r>
      <w:r w:rsidRPr="003177C2">
        <w:rPr>
          <w:i/>
          <w:sz w:val="22"/>
          <w:szCs w:val="22"/>
        </w:rPr>
        <w:t>Legislation Act 2003</w:t>
      </w:r>
      <w:r w:rsidRPr="003177C2">
        <w:rPr>
          <w:sz w:val="22"/>
          <w:szCs w:val="22"/>
        </w:rPr>
        <w:t>.</w:t>
      </w:r>
    </w:p>
    <w:p w14:paraId="430F167C" w14:textId="77777777" w:rsidR="00F30F9E" w:rsidRPr="003177C2" w:rsidRDefault="00F30F9E" w:rsidP="00F30F9E">
      <w:pPr>
        <w:rPr>
          <w:sz w:val="22"/>
          <w:szCs w:val="22"/>
        </w:rPr>
      </w:pPr>
    </w:p>
    <w:p w14:paraId="34DE77C0" w14:textId="77777777" w:rsidR="00F30F9E" w:rsidRPr="003177C2" w:rsidRDefault="00F30F9E" w:rsidP="00F30F9E">
      <w:pPr>
        <w:rPr>
          <w:sz w:val="22"/>
          <w:szCs w:val="22"/>
        </w:rPr>
      </w:pPr>
      <w:r w:rsidRPr="003177C2">
        <w:rPr>
          <w:sz w:val="22"/>
          <w:szCs w:val="22"/>
        </w:rPr>
        <w:t>The Regulations will commence on 1 January 2019</w:t>
      </w:r>
      <w:r w:rsidRPr="006A4BD5">
        <w:rPr>
          <w:sz w:val="22"/>
          <w:szCs w:val="22"/>
        </w:rPr>
        <w:t>.</w:t>
      </w:r>
    </w:p>
    <w:p w14:paraId="55A4DF62" w14:textId="77777777" w:rsidR="00F30F9E" w:rsidRPr="003177C2" w:rsidRDefault="00F30F9E" w:rsidP="00447C6D">
      <w:pPr>
        <w:rPr>
          <w:sz w:val="22"/>
          <w:szCs w:val="22"/>
        </w:rPr>
      </w:pPr>
    </w:p>
    <w:p w14:paraId="311A9C40" w14:textId="77777777" w:rsidR="00672247" w:rsidRPr="003177C2" w:rsidRDefault="00672247">
      <w:pPr>
        <w:rPr>
          <w:sz w:val="22"/>
          <w:szCs w:val="22"/>
          <w:u w:val="single"/>
        </w:rPr>
      </w:pPr>
      <w:r w:rsidRPr="003177C2">
        <w:rPr>
          <w:sz w:val="22"/>
          <w:szCs w:val="22"/>
          <w:u w:val="single"/>
        </w:rPr>
        <w:br w:type="page"/>
      </w:r>
    </w:p>
    <w:p w14:paraId="64E9216F" w14:textId="77777777" w:rsidR="00086CFC" w:rsidRPr="007B7E9E" w:rsidRDefault="00086CFC" w:rsidP="00086CFC">
      <w:pPr>
        <w:tabs>
          <w:tab w:val="right" w:pos="4536"/>
        </w:tabs>
        <w:ind w:left="5760" w:right="91" w:hanging="5760"/>
        <w:jc w:val="right"/>
        <w:rPr>
          <w:sz w:val="22"/>
          <w:szCs w:val="22"/>
          <w:u w:val="single"/>
        </w:rPr>
      </w:pPr>
      <w:r w:rsidRPr="007B7E9E">
        <w:rPr>
          <w:sz w:val="22"/>
          <w:szCs w:val="22"/>
          <w:u w:val="single"/>
        </w:rPr>
        <w:lastRenderedPageBreak/>
        <w:t>ATTACHMENT A</w:t>
      </w:r>
    </w:p>
    <w:p w14:paraId="5EB48586" w14:textId="77777777" w:rsidR="00086CFC" w:rsidRPr="008B0826" w:rsidRDefault="00086CFC" w:rsidP="00086CFC">
      <w:pPr>
        <w:pStyle w:val="OverviewNotesheading"/>
        <w:spacing w:after="0" w:line="240" w:lineRule="auto"/>
        <w:jc w:val="center"/>
        <w:rPr>
          <w:sz w:val="22"/>
          <w:szCs w:val="22"/>
        </w:rPr>
      </w:pPr>
    </w:p>
    <w:p w14:paraId="4E735C97" w14:textId="77777777" w:rsidR="00D43CC8" w:rsidRPr="003177C2" w:rsidRDefault="00086CFC" w:rsidP="00447C6D">
      <w:pPr>
        <w:keepNext/>
        <w:outlineLvl w:val="0"/>
        <w:rPr>
          <w:rFonts w:eastAsia="Calibri"/>
          <w:b/>
          <w:sz w:val="22"/>
          <w:szCs w:val="22"/>
          <w:lang w:eastAsia="en-US"/>
        </w:rPr>
      </w:pPr>
      <w:r w:rsidRPr="008B0826">
        <w:rPr>
          <w:rFonts w:eastAsia="Calibri"/>
          <w:b/>
          <w:sz w:val="22"/>
          <w:szCs w:val="22"/>
          <w:lang w:eastAsia="en-US"/>
        </w:rPr>
        <w:t>Details of the Work Health and Safety Amendment (</w:t>
      </w:r>
      <w:r w:rsidR="00826B0B" w:rsidRPr="008B0826">
        <w:rPr>
          <w:rFonts w:eastAsia="Calibri"/>
          <w:b/>
          <w:sz w:val="22"/>
          <w:szCs w:val="22"/>
          <w:lang w:eastAsia="en-US"/>
        </w:rPr>
        <w:t>Labelling of Hazardous Chemicals</w:t>
      </w:r>
      <w:r w:rsidRPr="008B0826">
        <w:rPr>
          <w:rFonts w:eastAsia="Calibri"/>
          <w:b/>
          <w:sz w:val="22"/>
          <w:szCs w:val="22"/>
          <w:lang w:eastAsia="en-US"/>
        </w:rPr>
        <w:t>) Regulation</w:t>
      </w:r>
      <w:r w:rsidR="00826B0B" w:rsidRPr="008B0826">
        <w:rPr>
          <w:rFonts w:eastAsia="Calibri"/>
          <w:b/>
          <w:sz w:val="22"/>
          <w:szCs w:val="22"/>
          <w:lang w:eastAsia="en-US"/>
        </w:rPr>
        <w:t>s</w:t>
      </w:r>
      <w:r w:rsidRPr="008B0826">
        <w:rPr>
          <w:rFonts w:eastAsia="Calibri"/>
          <w:b/>
          <w:sz w:val="22"/>
          <w:szCs w:val="22"/>
          <w:lang w:eastAsia="en-US"/>
        </w:rPr>
        <w:t xml:space="preserve"> 201</w:t>
      </w:r>
      <w:r w:rsidR="00826B0B" w:rsidRPr="003177C2">
        <w:rPr>
          <w:rFonts w:eastAsia="Calibri"/>
          <w:b/>
          <w:sz w:val="22"/>
          <w:szCs w:val="22"/>
          <w:lang w:eastAsia="en-US"/>
        </w:rPr>
        <w:t>8</w:t>
      </w:r>
    </w:p>
    <w:p w14:paraId="3AB3F0CF" w14:textId="77777777" w:rsidR="00086CFC" w:rsidRPr="003177C2" w:rsidRDefault="00086CFC" w:rsidP="00447C6D">
      <w:pPr>
        <w:keepNext/>
        <w:outlineLvl w:val="0"/>
        <w:rPr>
          <w:rFonts w:eastAsia="Calibri"/>
          <w:b/>
          <w:sz w:val="22"/>
          <w:szCs w:val="22"/>
          <w:lang w:eastAsia="en-US"/>
        </w:rPr>
      </w:pPr>
    </w:p>
    <w:p w14:paraId="242A1AE1" w14:textId="77777777" w:rsidR="00D43CC8" w:rsidRPr="003177C2" w:rsidRDefault="00086CFC" w:rsidP="00447C6D">
      <w:pPr>
        <w:keepNext/>
        <w:spacing w:after="120"/>
        <w:outlineLvl w:val="1"/>
        <w:rPr>
          <w:rFonts w:eastAsia="Calibri"/>
          <w:sz w:val="22"/>
          <w:szCs w:val="22"/>
          <w:u w:val="single"/>
          <w:lang w:eastAsia="en-US"/>
        </w:rPr>
      </w:pPr>
      <w:r w:rsidRPr="003177C2">
        <w:rPr>
          <w:rFonts w:eastAsia="Calibri"/>
          <w:sz w:val="22"/>
          <w:szCs w:val="22"/>
          <w:u w:val="single"/>
          <w:lang w:eastAsia="en-US"/>
        </w:rPr>
        <w:t>Section 1 – Name</w:t>
      </w:r>
    </w:p>
    <w:p w14:paraId="7E55EFDE" w14:textId="77777777" w:rsidR="00086CFC" w:rsidRPr="003177C2" w:rsidRDefault="00086CFC" w:rsidP="00447C6D">
      <w:pPr>
        <w:rPr>
          <w:rFonts w:eastAsia="Calibri"/>
          <w:sz w:val="22"/>
          <w:szCs w:val="22"/>
          <w:lang w:eastAsia="en-US"/>
        </w:rPr>
      </w:pPr>
      <w:r w:rsidRPr="003177C2">
        <w:rPr>
          <w:rFonts w:eastAsia="Calibri"/>
          <w:sz w:val="22"/>
          <w:szCs w:val="22"/>
          <w:lang w:eastAsia="en-US"/>
        </w:rPr>
        <w:t xml:space="preserve">This section sets out the name of the </w:t>
      </w:r>
      <w:r w:rsidR="00B74A9D" w:rsidRPr="003177C2">
        <w:rPr>
          <w:rFonts w:eastAsia="Calibri"/>
          <w:sz w:val="22"/>
          <w:szCs w:val="22"/>
          <w:lang w:eastAsia="en-US"/>
        </w:rPr>
        <w:t xml:space="preserve">instrument </w:t>
      </w:r>
      <w:r w:rsidRPr="003177C2">
        <w:rPr>
          <w:rFonts w:eastAsia="Calibri"/>
          <w:sz w:val="22"/>
          <w:szCs w:val="22"/>
          <w:lang w:eastAsia="en-US"/>
        </w:rPr>
        <w:t xml:space="preserve">as the </w:t>
      </w:r>
      <w:r w:rsidR="00B95621" w:rsidRPr="003177C2">
        <w:rPr>
          <w:rFonts w:eastAsia="Calibri"/>
          <w:i/>
          <w:sz w:val="22"/>
          <w:szCs w:val="22"/>
          <w:lang w:eastAsia="en-US"/>
        </w:rPr>
        <w:t>Work Health and Safety Amendment (</w:t>
      </w:r>
      <w:r w:rsidR="00826B0B" w:rsidRPr="003177C2">
        <w:rPr>
          <w:rFonts w:eastAsia="Calibri"/>
          <w:i/>
          <w:sz w:val="22"/>
          <w:szCs w:val="22"/>
          <w:lang w:eastAsia="en-US"/>
        </w:rPr>
        <w:t>Labelling of Hazardous Chemicals</w:t>
      </w:r>
      <w:r w:rsidR="00B95621" w:rsidRPr="003177C2">
        <w:rPr>
          <w:rFonts w:eastAsia="Calibri"/>
          <w:i/>
          <w:sz w:val="22"/>
          <w:szCs w:val="22"/>
          <w:lang w:eastAsia="en-US"/>
        </w:rPr>
        <w:t>) Regulation</w:t>
      </w:r>
      <w:r w:rsidR="00826B0B" w:rsidRPr="003177C2">
        <w:rPr>
          <w:rFonts w:eastAsia="Calibri"/>
          <w:i/>
          <w:sz w:val="22"/>
          <w:szCs w:val="22"/>
          <w:lang w:eastAsia="en-US"/>
        </w:rPr>
        <w:t>s</w:t>
      </w:r>
      <w:r w:rsidR="00B95621" w:rsidRPr="003177C2">
        <w:rPr>
          <w:rFonts w:eastAsia="Calibri"/>
          <w:i/>
          <w:sz w:val="22"/>
          <w:szCs w:val="22"/>
          <w:lang w:eastAsia="en-US"/>
        </w:rPr>
        <w:t xml:space="preserve"> 201</w:t>
      </w:r>
      <w:r w:rsidR="00826B0B" w:rsidRPr="003177C2">
        <w:rPr>
          <w:rFonts w:eastAsia="Calibri"/>
          <w:i/>
          <w:sz w:val="22"/>
          <w:szCs w:val="22"/>
          <w:lang w:eastAsia="en-US"/>
        </w:rPr>
        <w:t>8</w:t>
      </w:r>
      <w:r w:rsidR="00B95621" w:rsidRPr="003177C2">
        <w:rPr>
          <w:rFonts w:eastAsia="Calibri"/>
          <w:i/>
          <w:sz w:val="22"/>
          <w:szCs w:val="22"/>
          <w:lang w:eastAsia="en-US"/>
        </w:rPr>
        <w:t xml:space="preserve"> </w:t>
      </w:r>
      <w:r w:rsidRPr="003177C2">
        <w:rPr>
          <w:rFonts w:eastAsia="Calibri"/>
          <w:sz w:val="22"/>
          <w:szCs w:val="22"/>
          <w:lang w:eastAsia="en-US"/>
        </w:rPr>
        <w:t>(the Regulation</w:t>
      </w:r>
      <w:r w:rsidR="00826B0B" w:rsidRPr="003177C2">
        <w:rPr>
          <w:rFonts w:eastAsia="Calibri"/>
          <w:sz w:val="22"/>
          <w:szCs w:val="22"/>
          <w:lang w:eastAsia="en-US"/>
        </w:rPr>
        <w:t>s</w:t>
      </w:r>
      <w:r w:rsidRPr="003177C2">
        <w:rPr>
          <w:rFonts w:eastAsia="Calibri"/>
          <w:sz w:val="22"/>
          <w:szCs w:val="22"/>
          <w:lang w:eastAsia="en-US"/>
        </w:rPr>
        <w:t>).</w:t>
      </w:r>
    </w:p>
    <w:p w14:paraId="41E01873" w14:textId="77777777" w:rsidR="00D43CC8" w:rsidRPr="003177C2" w:rsidRDefault="00D43CC8" w:rsidP="00447C6D">
      <w:pPr>
        <w:rPr>
          <w:rFonts w:eastAsia="Calibri"/>
          <w:sz w:val="22"/>
          <w:szCs w:val="22"/>
          <w:lang w:eastAsia="en-US"/>
        </w:rPr>
      </w:pPr>
    </w:p>
    <w:p w14:paraId="4D16D6E8" w14:textId="77777777" w:rsidR="00086CFC" w:rsidRPr="003177C2" w:rsidRDefault="00086CFC" w:rsidP="00447C6D">
      <w:pPr>
        <w:keepNext/>
        <w:spacing w:after="120"/>
        <w:outlineLvl w:val="1"/>
        <w:rPr>
          <w:rFonts w:eastAsia="Calibri"/>
          <w:sz w:val="22"/>
          <w:szCs w:val="22"/>
          <w:u w:val="single"/>
          <w:lang w:eastAsia="en-US"/>
        </w:rPr>
      </w:pPr>
      <w:r w:rsidRPr="003177C2">
        <w:rPr>
          <w:rFonts w:eastAsia="Calibri"/>
          <w:sz w:val="22"/>
          <w:szCs w:val="22"/>
          <w:u w:val="single"/>
          <w:lang w:eastAsia="en-US"/>
        </w:rPr>
        <w:t>Section 2 – Commencement</w:t>
      </w:r>
    </w:p>
    <w:p w14:paraId="003F680A" w14:textId="77777777" w:rsidR="00086CFC" w:rsidRPr="003177C2" w:rsidRDefault="00086CFC" w:rsidP="00023F0B">
      <w:pPr>
        <w:rPr>
          <w:rFonts w:eastAsia="Calibri"/>
          <w:sz w:val="22"/>
          <w:szCs w:val="22"/>
          <w:lang w:eastAsia="en-US"/>
        </w:rPr>
      </w:pPr>
      <w:r w:rsidRPr="003177C2">
        <w:rPr>
          <w:rFonts w:eastAsia="Calibri"/>
          <w:sz w:val="22"/>
          <w:szCs w:val="22"/>
          <w:lang w:eastAsia="en-US"/>
        </w:rPr>
        <w:t xml:space="preserve">This section provides </w:t>
      </w:r>
      <w:r w:rsidR="00701229" w:rsidRPr="003177C2">
        <w:rPr>
          <w:rFonts w:eastAsia="Calibri"/>
          <w:sz w:val="22"/>
          <w:szCs w:val="22"/>
          <w:lang w:eastAsia="en-US"/>
        </w:rPr>
        <w:t xml:space="preserve">details about when </w:t>
      </w:r>
      <w:r w:rsidRPr="003177C2">
        <w:rPr>
          <w:rFonts w:eastAsia="Calibri"/>
          <w:sz w:val="22"/>
          <w:szCs w:val="22"/>
          <w:lang w:eastAsia="en-US"/>
        </w:rPr>
        <w:t>the</w:t>
      </w:r>
      <w:r w:rsidR="00111CCB" w:rsidRPr="003177C2">
        <w:rPr>
          <w:rFonts w:eastAsia="Calibri"/>
          <w:sz w:val="22"/>
          <w:szCs w:val="22"/>
          <w:lang w:eastAsia="en-US"/>
        </w:rPr>
        <w:t xml:space="preserve"> provisions of the</w:t>
      </w:r>
      <w:r w:rsidRPr="003177C2">
        <w:rPr>
          <w:rFonts w:eastAsia="Calibri"/>
          <w:sz w:val="22"/>
          <w:szCs w:val="22"/>
          <w:lang w:eastAsia="en-US"/>
        </w:rPr>
        <w:t xml:space="preserve"> Regulation</w:t>
      </w:r>
      <w:r w:rsidR="000C0C60" w:rsidRPr="003177C2">
        <w:rPr>
          <w:rFonts w:eastAsia="Calibri"/>
          <w:sz w:val="22"/>
          <w:szCs w:val="22"/>
          <w:lang w:eastAsia="en-US"/>
        </w:rPr>
        <w:t>s</w:t>
      </w:r>
      <w:r w:rsidRPr="003177C2">
        <w:rPr>
          <w:rFonts w:eastAsia="Calibri"/>
          <w:sz w:val="22"/>
          <w:szCs w:val="22"/>
          <w:lang w:eastAsia="en-US"/>
        </w:rPr>
        <w:t xml:space="preserve"> commence.</w:t>
      </w:r>
    </w:p>
    <w:p w14:paraId="1B86EE60" w14:textId="77777777" w:rsidR="00AA1CF5" w:rsidRPr="003177C2" w:rsidRDefault="00AA1CF5" w:rsidP="00023F0B">
      <w:pPr>
        <w:rPr>
          <w:rFonts w:eastAsia="Calibri"/>
          <w:sz w:val="22"/>
          <w:szCs w:val="22"/>
          <w:lang w:eastAsia="en-US"/>
        </w:rPr>
      </w:pPr>
    </w:p>
    <w:p w14:paraId="227388D5" w14:textId="77777777" w:rsidR="00086CFC" w:rsidRPr="003177C2" w:rsidRDefault="00086CFC" w:rsidP="00447C6D">
      <w:pPr>
        <w:keepNext/>
        <w:spacing w:after="120"/>
        <w:outlineLvl w:val="1"/>
        <w:rPr>
          <w:rFonts w:eastAsia="Calibri"/>
          <w:sz w:val="22"/>
          <w:szCs w:val="22"/>
          <w:u w:val="single"/>
          <w:lang w:eastAsia="en-US"/>
        </w:rPr>
      </w:pPr>
      <w:r w:rsidRPr="003177C2">
        <w:rPr>
          <w:rFonts w:eastAsia="Calibri"/>
          <w:sz w:val="22"/>
          <w:szCs w:val="22"/>
          <w:u w:val="single"/>
          <w:lang w:eastAsia="en-US"/>
        </w:rPr>
        <w:t>Section 3 – Authority</w:t>
      </w:r>
    </w:p>
    <w:p w14:paraId="45551ED5" w14:textId="77777777" w:rsidR="00086CFC" w:rsidRPr="003177C2" w:rsidRDefault="00086CFC" w:rsidP="00447C6D">
      <w:pPr>
        <w:rPr>
          <w:rFonts w:eastAsia="Calibri"/>
          <w:sz w:val="22"/>
          <w:szCs w:val="22"/>
          <w:lang w:eastAsia="en-US"/>
        </w:rPr>
      </w:pPr>
      <w:r w:rsidRPr="003177C2">
        <w:rPr>
          <w:rFonts w:eastAsia="Calibri"/>
          <w:sz w:val="22"/>
          <w:szCs w:val="22"/>
          <w:lang w:eastAsia="en-US"/>
        </w:rPr>
        <w:t>This section provides that the Regulation</w:t>
      </w:r>
      <w:r w:rsidR="000C0C60" w:rsidRPr="003177C2">
        <w:rPr>
          <w:rFonts w:eastAsia="Calibri"/>
          <w:sz w:val="22"/>
          <w:szCs w:val="22"/>
          <w:lang w:eastAsia="en-US"/>
        </w:rPr>
        <w:t>s</w:t>
      </w:r>
      <w:r w:rsidRPr="003177C2">
        <w:rPr>
          <w:rFonts w:eastAsia="Calibri"/>
          <w:sz w:val="22"/>
          <w:szCs w:val="22"/>
          <w:lang w:eastAsia="en-US"/>
        </w:rPr>
        <w:t xml:space="preserve"> </w:t>
      </w:r>
      <w:r w:rsidR="000C0C60" w:rsidRPr="003177C2">
        <w:rPr>
          <w:rFonts w:eastAsia="Calibri"/>
          <w:sz w:val="22"/>
          <w:szCs w:val="22"/>
          <w:lang w:eastAsia="en-US"/>
        </w:rPr>
        <w:t xml:space="preserve">are </w:t>
      </w:r>
      <w:r w:rsidRPr="003177C2">
        <w:rPr>
          <w:rFonts w:eastAsia="Calibri"/>
          <w:sz w:val="22"/>
          <w:szCs w:val="22"/>
          <w:lang w:eastAsia="en-US"/>
        </w:rPr>
        <w:t xml:space="preserve">made under the </w:t>
      </w:r>
      <w:r w:rsidRPr="003177C2">
        <w:rPr>
          <w:rFonts w:eastAsia="Calibri"/>
          <w:i/>
          <w:sz w:val="22"/>
          <w:szCs w:val="22"/>
          <w:lang w:eastAsia="en-US"/>
        </w:rPr>
        <w:t>Work Health and Safety Act</w:t>
      </w:r>
      <w:r w:rsidRPr="003177C2">
        <w:rPr>
          <w:rFonts w:eastAsia="Calibri"/>
          <w:sz w:val="22"/>
          <w:szCs w:val="22"/>
          <w:lang w:eastAsia="en-US"/>
        </w:rPr>
        <w:t xml:space="preserve"> </w:t>
      </w:r>
      <w:r w:rsidR="00984F84" w:rsidRPr="003177C2">
        <w:rPr>
          <w:rFonts w:eastAsia="Calibri"/>
          <w:i/>
          <w:sz w:val="22"/>
          <w:szCs w:val="22"/>
          <w:lang w:eastAsia="en-US"/>
        </w:rPr>
        <w:t xml:space="preserve">2011 </w:t>
      </w:r>
      <w:r w:rsidRPr="003177C2">
        <w:rPr>
          <w:rFonts w:eastAsia="Calibri"/>
          <w:sz w:val="22"/>
          <w:szCs w:val="22"/>
          <w:lang w:eastAsia="en-US"/>
        </w:rPr>
        <w:t>(</w:t>
      </w:r>
      <w:r w:rsidR="00D3204C" w:rsidRPr="003177C2">
        <w:rPr>
          <w:rFonts w:eastAsia="Calibri"/>
          <w:sz w:val="22"/>
          <w:szCs w:val="22"/>
          <w:lang w:eastAsia="en-US"/>
        </w:rPr>
        <w:t>the</w:t>
      </w:r>
      <w:r w:rsidRPr="003177C2">
        <w:rPr>
          <w:rFonts w:eastAsia="Calibri"/>
          <w:sz w:val="22"/>
          <w:szCs w:val="22"/>
          <w:lang w:eastAsia="en-US"/>
        </w:rPr>
        <w:t xml:space="preserve"> Act).</w:t>
      </w:r>
    </w:p>
    <w:p w14:paraId="6D8CA7D8" w14:textId="77777777" w:rsidR="00D43CC8" w:rsidRPr="003177C2" w:rsidRDefault="00D43CC8" w:rsidP="00447C6D">
      <w:pPr>
        <w:rPr>
          <w:rFonts w:eastAsia="Calibri"/>
          <w:sz w:val="22"/>
          <w:szCs w:val="22"/>
          <w:lang w:eastAsia="en-US"/>
        </w:rPr>
      </w:pPr>
    </w:p>
    <w:p w14:paraId="480FFAD6" w14:textId="77777777" w:rsidR="00086CFC" w:rsidRPr="003177C2" w:rsidRDefault="00086CFC" w:rsidP="00447C6D">
      <w:pPr>
        <w:keepNext/>
        <w:spacing w:after="120"/>
        <w:outlineLvl w:val="1"/>
        <w:rPr>
          <w:rFonts w:eastAsia="Calibri"/>
          <w:sz w:val="22"/>
          <w:szCs w:val="22"/>
          <w:u w:val="single"/>
          <w:lang w:eastAsia="en-US"/>
        </w:rPr>
      </w:pPr>
      <w:r w:rsidRPr="003177C2">
        <w:rPr>
          <w:rFonts w:eastAsia="Calibri"/>
          <w:sz w:val="22"/>
          <w:szCs w:val="22"/>
          <w:u w:val="single"/>
          <w:lang w:eastAsia="en-US"/>
        </w:rPr>
        <w:t>Section 4 – Schedules</w:t>
      </w:r>
    </w:p>
    <w:p w14:paraId="2816B6D7" w14:textId="77777777" w:rsidR="00D43CC8" w:rsidRPr="003177C2" w:rsidRDefault="00086CFC" w:rsidP="00D46A6C">
      <w:pPr>
        <w:keepNext/>
        <w:spacing w:after="240"/>
        <w:outlineLvl w:val="1"/>
        <w:rPr>
          <w:rFonts w:eastAsia="Calibri"/>
          <w:sz w:val="22"/>
          <w:szCs w:val="22"/>
          <w:lang w:eastAsia="en-US"/>
        </w:rPr>
      </w:pPr>
      <w:r w:rsidRPr="003177C2">
        <w:rPr>
          <w:rFonts w:eastAsia="Calibri"/>
          <w:sz w:val="22"/>
          <w:szCs w:val="22"/>
          <w:lang w:eastAsia="en-US"/>
        </w:rPr>
        <w:t>This section provide</w:t>
      </w:r>
      <w:r w:rsidR="00290C24" w:rsidRPr="003177C2">
        <w:rPr>
          <w:rFonts w:eastAsia="Calibri"/>
          <w:sz w:val="22"/>
          <w:szCs w:val="22"/>
          <w:lang w:eastAsia="en-US"/>
        </w:rPr>
        <w:t>s</w:t>
      </w:r>
      <w:r w:rsidRPr="003177C2">
        <w:rPr>
          <w:rFonts w:eastAsia="Calibri"/>
          <w:sz w:val="22"/>
          <w:szCs w:val="22"/>
          <w:lang w:eastAsia="en-US"/>
        </w:rPr>
        <w:t xml:space="preserve"> that each instrument that is specified in a Schedule is amended or repealed as set out in the applicable items in the Schedule concerned, and any other item in a Schedule to this instrument has effect according to its terms.</w:t>
      </w:r>
    </w:p>
    <w:p w14:paraId="0A711A72" w14:textId="77777777" w:rsidR="00086CFC" w:rsidRPr="003177C2" w:rsidRDefault="00086CFC" w:rsidP="00023F0B">
      <w:pPr>
        <w:keepNext/>
        <w:spacing w:after="120"/>
        <w:outlineLvl w:val="1"/>
        <w:rPr>
          <w:rFonts w:eastAsia="Calibri"/>
          <w:b/>
          <w:i/>
          <w:sz w:val="22"/>
          <w:szCs w:val="22"/>
          <w:u w:val="single"/>
          <w:lang w:eastAsia="en-US"/>
        </w:rPr>
      </w:pPr>
      <w:r w:rsidRPr="003177C2">
        <w:rPr>
          <w:rFonts w:eastAsia="Calibri"/>
          <w:b/>
          <w:i/>
          <w:sz w:val="22"/>
          <w:szCs w:val="22"/>
          <w:u w:val="single"/>
          <w:lang w:eastAsia="en-US"/>
        </w:rPr>
        <w:t>Schedule 1—Amendments</w:t>
      </w:r>
    </w:p>
    <w:p w14:paraId="30102DB4" w14:textId="77777777" w:rsidR="00086CFC" w:rsidRPr="003177C2" w:rsidRDefault="00086CFC" w:rsidP="00447C6D">
      <w:pPr>
        <w:spacing w:after="120"/>
        <w:rPr>
          <w:rFonts w:eastAsia="Calibri"/>
          <w:sz w:val="22"/>
          <w:szCs w:val="22"/>
          <w:u w:val="single"/>
          <w:lang w:eastAsia="en-US"/>
        </w:rPr>
      </w:pPr>
      <w:r w:rsidRPr="003177C2">
        <w:rPr>
          <w:rFonts w:eastAsia="Calibri"/>
          <w:sz w:val="22"/>
          <w:szCs w:val="22"/>
          <w:u w:val="single"/>
          <w:lang w:eastAsia="en-US"/>
        </w:rPr>
        <w:t xml:space="preserve">Item 1 – </w:t>
      </w:r>
      <w:r w:rsidR="00B95621" w:rsidRPr="003177C2">
        <w:rPr>
          <w:rFonts w:eastAsia="Calibri"/>
          <w:sz w:val="22"/>
          <w:szCs w:val="22"/>
          <w:u w:val="single"/>
          <w:lang w:eastAsia="en-US"/>
        </w:rPr>
        <w:t>Subregulation 5(1)</w:t>
      </w:r>
    </w:p>
    <w:p w14:paraId="77B62542" w14:textId="77777777" w:rsidR="00195B7D" w:rsidRPr="003177C2" w:rsidRDefault="00B95621" w:rsidP="00447C6D">
      <w:pPr>
        <w:rPr>
          <w:rFonts w:eastAsia="Calibri"/>
          <w:sz w:val="22"/>
          <w:szCs w:val="22"/>
          <w:lang w:eastAsia="en-US"/>
        </w:rPr>
      </w:pPr>
      <w:r w:rsidRPr="003177C2">
        <w:rPr>
          <w:rFonts w:eastAsia="Calibri"/>
          <w:sz w:val="22"/>
          <w:szCs w:val="22"/>
          <w:lang w:eastAsia="en-US"/>
        </w:rPr>
        <w:t>This item insert</w:t>
      </w:r>
      <w:r w:rsidR="00290C24" w:rsidRPr="003177C2">
        <w:rPr>
          <w:rFonts w:eastAsia="Calibri"/>
          <w:sz w:val="22"/>
          <w:szCs w:val="22"/>
          <w:lang w:eastAsia="en-US"/>
        </w:rPr>
        <w:t>s</w:t>
      </w:r>
      <w:r w:rsidRPr="003177C2">
        <w:rPr>
          <w:rFonts w:eastAsia="Calibri"/>
          <w:sz w:val="22"/>
          <w:szCs w:val="22"/>
          <w:lang w:eastAsia="en-US"/>
        </w:rPr>
        <w:t xml:space="preserve"> a definition of ‘Agvet Code’ into </w:t>
      </w:r>
      <w:r w:rsidR="00984F84" w:rsidRPr="003177C2">
        <w:rPr>
          <w:rFonts w:eastAsia="Calibri"/>
          <w:sz w:val="22"/>
          <w:szCs w:val="22"/>
          <w:lang w:eastAsia="en-US"/>
        </w:rPr>
        <w:t xml:space="preserve">the general definitions at </w:t>
      </w:r>
      <w:r w:rsidRPr="003177C2">
        <w:rPr>
          <w:rFonts w:eastAsia="Calibri"/>
          <w:sz w:val="22"/>
          <w:szCs w:val="22"/>
          <w:lang w:eastAsia="en-US"/>
        </w:rPr>
        <w:t xml:space="preserve">subregulation 5(1) of the </w:t>
      </w:r>
      <w:r w:rsidR="00195B7D" w:rsidRPr="003177C2">
        <w:rPr>
          <w:rFonts w:eastAsia="Calibri"/>
          <w:i/>
          <w:sz w:val="22"/>
          <w:szCs w:val="22"/>
          <w:lang w:eastAsia="en-US"/>
        </w:rPr>
        <w:t xml:space="preserve">Work Health and Safety Regulations 2011 </w:t>
      </w:r>
      <w:r w:rsidR="00195B7D" w:rsidRPr="003177C2">
        <w:rPr>
          <w:rFonts w:eastAsia="Calibri"/>
          <w:sz w:val="22"/>
          <w:szCs w:val="22"/>
          <w:lang w:eastAsia="en-US"/>
        </w:rPr>
        <w:t>(</w:t>
      </w:r>
      <w:r w:rsidRPr="003177C2">
        <w:rPr>
          <w:rFonts w:eastAsia="Calibri"/>
          <w:sz w:val="22"/>
          <w:szCs w:val="22"/>
          <w:lang w:eastAsia="en-US"/>
        </w:rPr>
        <w:t>WHS Regulations</w:t>
      </w:r>
      <w:r w:rsidR="00195B7D" w:rsidRPr="003177C2">
        <w:rPr>
          <w:rFonts w:eastAsia="Calibri"/>
          <w:sz w:val="22"/>
          <w:szCs w:val="22"/>
          <w:lang w:eastAsia="en-US"/>
        </w:rPr>
        <w:t>)</w:t>
      </w:r>
      <w:r w:rsidRPr="003177C2">
        <w:rPr>
          <w:rFonts w:eastAsia="Calibri"/>
          <w:sz w:val="22"/>
          <w:szCs w:val="22"/>
          <w:lang w:eastAsia="en-US"/>
        </w:rPr>
        <w:t>.</w:t>
      </w:r>
      <w:r w:rsidR="00195B7D" w:rsidRPr="003177C2">
        <w:rPr>
          <w:rFonts w:eastAsia="Calibri"/>
          <w:sz w:val="22"/>
          <w:szCs w:val="22"/>
          <w:lang w:eastAsia="en-US"/>
        </w:rPr>
        <w:t xml:space="preserve"> </w:t>
      </w:r>
      <w:r w:rsidRPr="003177C2">
        <w:rPr>
          <w:rFonts w:eastAsia="Calibri"/>
          <w:sz w:val="22"/>
          <w:szCs w:val="22"/>
          <w:lang w:eastAsia="en-US"/>
        </w:rPr>
        <w:t>This definition previously appeared in subregulation 328(7) of the WHS Regulations</w:t>
      </w:r>
      <w:r w:rsidR="00C64E33" w:rsidRPr="003177C2">
        <w:rPr>
          <w:rFonts w:eastAsia="Calibri"/>
          <w:sz w:val="22"/>
          <w:szCs w:val="22"/>
          <w:lang w:eastAsia="en-US"/>
        </w:rPr>
        <w:t xml:space="preserve">, </w:t>
      </w:r>
      <w:r w:rsidR="00195B7D" w:rsidRPr="003177C2">
        <w:rPr>
          <w:rFonts w:eastAsia="Calibri"/>
          <w:sz w:val="22"/>
          <w:szCs w:val="22"/>
          <w:lang w:eastAsia="en-US"/>
        </w:rPr>
        <w:t>but is</w:t>
      </w:r>
      <w:r w:rsidR="00C64E33" w:rsidRPr="003177C2">
        <w:rPr>
          <w:rFonts w:eastAsia="Calibri"/>
          <w:sz w:val="22"/>
          <w:szCs w:val="22"/>
          <w:lang w:eastAsia="en-US"/>
        </w:rPr>
        <w:t xml:space="preserve"> repealed by item 2</w:t>
      </w:r>
      <w:r w:rsidRPr="003177C2">
        <w:rPr>
          <w:rFonts w:eastAsia="Calibri"/>
          <w:sz w:val="22"/>
          <w:szCs w:val="22"/>
          <w:lang w:eastAsia="en-US"/>
        </w:rPr>
        <w:t xml:space="preserve">. </w:t>
      </w:r>
      <w:r w:rsidR="00E10D84" w:rsidRPr="003177C2">
        <w:rPr>
          <w:rFonts w:eastAsia="Calibri"/>
          <w:sz w:val="22"/>
          <w:szCs w:val="22"/>
          <w:lang w:eastAsia="en-US"/>
        </w:rPr>
        <w:t>This effectively moves the definition upfront into the general definitions section to aid clarity.</w:t>
      </w:r>
    </w:p>
    <w:p w14:paraId="21C05123" w14:textId="77777777" w:rsidR="00195B7D" w:rsidRPr="003177C2" w:rsidRDefault="00195B7D" w:rsidP="00447C6D">
      <w:pPr>
        <w:rPr>
          <w:rFonts w:eastAsia="Calibri"/>
          <w:sz w:val="22"/>
          <w:szCs w:val="22"/>
          <w:lang w:eastAsia="en-US"/>
        </w:rPr>
      </w:pPr>
    </w:p>
    <w:p w14:paraId="69F55E70" w14:textId="77777777" w:rsidR="00D43CC8" w:rsidRPr="003177C2" w:rsidRDefault="00DA11A0" w:rsidP="00447C6D">
      <w:pPr>
        <w:rPr>
          <w:rFonts w:eastAsia="Calibri"/>
          <w:sz w:val="22"/>
          <w:szCs w:val="22"/>
          <w:lang w:eastAsia="en-US"/>
        </w:rPr>
      </w:pPr>
      <w:r w:rsidRPr="003177C2">
        <w:rPr>
          <w:rFonts w:eastAsia="Calibri"/>
          <w:sz w:val="22"/>
          <w:szCs w:val="22"/>
          <w:lang w:eastAsia="en-US"/>
        </w:rPr>
        <w:t xml:space="preserve">For Part 7.1 of the WHS Regulations </w:t>
      </w:r>
      <w:r w:rsidR="00B95621" w:rsidRPr="003177C2">
        <w:rPr>
          <w:rFonts w:eastAsia="Calibri"/>
          <w:sz w:val="22"/>
          <w:szCs w:val="22"/>
          <w:lang w:eastAsia="en-US"/>
        </w:rPr>
        <w:t>the term ‘Agvet Code’</w:t>
      </w:r>
      <w:r w:rsidRPr="003177C2">
        <w:rPr>
          <w:rFonts w:eastAsia="Calibri"/>
          <w:sz w:val="22"/>
          <w:szCs w:val="22"/>
          <w:lang w:eastAsia="en-US"/>
        </w:rPr>
        <w:t xml:space="preserve"> is defined as </w:t>
      </w:r>
      <w:r w:rsidR="00B95621" w:rsidRPr="003177C2">
        <w:rPr>
          <w:rFonts w:eastAsia="Calibri"/>
          <w:sz w:val="22"/>
          <w:szCs w:val="22"/>
          <w:lang w:eastAsia="en-US"/>
        </w:rPr>
        <w:t xml:space="preserve">the Agricultural and Veterinary Chemicals Code set out in the Schedule to the </w:t>
      </w:r>
      <w:r w:rsidR="00B95621" w:rsidRPr="003177C2">
        <w:rPr>
          <w:rFonts w:eastAsia="Calibri"/>
          <w:i/>
          <w:sz w:val="22"/>
          <w:szCs w:val="22"/>
          <w:lang w:eastAsia="en-US"/>
        </w:rPr>
        <w:t>Agricultural and Veterinary Chemicals Code Act 1994</w:t>
      </w:r>
      <w:r w:rsidR="00E1427C" w:rsidRPr="003177C2">
        <w:rPr>
          <w:rFonts w:eastAsia="Calibri"/>
          <w:sz w:val="22"/>
          <w:szCs w:val="22"/>
          <w:lang w:eastAsia="en-US"/>
        </w:rPr>
        <w:t>.</w:t>
      </w:r>
    </w:p>
    <w:p w14:paraId="0534EDC5" w14:textId="77777777" w:rsidR="00DA11A0" w:rsidRPr="003177C2" w:rsidRDefault="00DA11A0" w:rsidP="00447C6D">
      <w:pPr>
        <w:rPr>
          <w:rFonts w:eastAsia="Calibri"/>
          <w:sz w:val="22"/>
          <w:szCs w:val="22"/>
          <w:lang w:eastAsia="en-US"/>
        </w:rPr>
      </w:pPr>
    </w:p>
    <w:p w14:paraId="5A925470" w14:textId="77777777" w:rsidR="00D43CC8" w:rsidRPr="003177C2" w:rsidRDefault="00DA11A0" w:rsidP="00CE602A">
      <w:pPr>
        <w:spacing w:after="240"/>
        <w:rPr>
          <w:rFonts w:eastAsia="Calibri"/>
          <w:sz w:val="22"/>
          <w:szCs w:val="22"/>
          <w:lang w:eastAsia="en-US"/>
        </w:rPr>
      </w:pPr>
      <w:r w:rsidRPr="003177C2">
        <w:rPr>
          <w:rFonts w:eastAsia="Calibri"/>
          <w:sz w:val="22"/>
          <w:szCs w:val="22"/>
          <w:lang w:eastAsia="en-US"/>
        </w:rPr>
        <w:t xml:space="preserve">Section 10 of the </w:t>
      </w:r>
      <w:r w:rsidRPr="003177C2">
        <w:rPr>
          <w:rFonts w:eastAsia="Calibri"/>
          <w:i/>
          <w:sz w:val="22"/>
          <w:szCs w:val="22"/>
          <w:lang w:eastAsia="en-US"/>
        </w:rPr>
        <w:t>Acts</w:t>
      </w:r>
      <w:r w:rsidRPr="003177C2">
        <w:rPr>
          <w:rFonts w:eastAsia="Calibri"/>
          <w:sz w:val="22"/>
          <w:szCs w:val="22"/>
          <w:lang w:eastAsia="en-US"/>
        </w:rPr>
        <w:t xml:space="preserve"> </w:t>
      </w:r>
      <w:r w:rsidRPr="003177C2">
        <w:rPr>
          <w:rFonts w:eastAsia="Calibri"/>
          <w:i/>
          <w:sz w:val="22"/>
          <w:szCs w:val="22"/>
          <w:lang w:eastAsia="en-US"/>
        </w:rPr>
        <w:t>Interpretation Act 1901</w:t>
      </w:r>
      <w:r w:rsidRPr="003177C2">
        <w:rPr>
          <w:rFonts w:eastAsia="Calibri"/>
          <w:sz w:val="22"/>
          <w:szCs w:val="22"/>
          <w:lang w:eastAsia="en-US"/>
        </w:rPr>
        <w:t xml:space="preserve"> (as applied by paragraph 13(1)(a) of the </w:t>
      </w:r>
      <w:r w:rsidRPr="003177C2">
        <w:rPr>
          <w:rFonts w:eastAsia="Calibri"/>
          <w:i/>
          <w:sz w:val="22"/>
          <w:szCs w:val="22"/>
          <w:lang w:eastAsia="en-US"/>
        </w:rPr>
        <w:t>Legislation Act 2003</w:t>
      </w:r>
      <w:r w:rsidRPr="003177C2">
        <w:rPr>
          <w:rFonts w:eastAsia="Calibri"/>
          <w:sz w:val="22"/>
          <w:szCs w:val="22"/>
          <w:lang w:eastAsia="en-US"/>
        </w:rPr>
        <w:t>) has the effect that references to Commonwealth disallowable legislative instruments can be taken to be references to versions of those instruments as in force from time to time. That is the intention here.</w:t>
      </w:r>
      <w:r w:rsidR="00DF68C2" w:rsidRPr="003177C2">
        <w:rPr>
          <w:rFonts w:eastAsia="Calibri"/>
          <w:sz w:val="22"/>
          <w:szCs w:val="22"/>
          <w:lang w:eastAsia="en-US"/>
        </w:rPr>
        <w:t xml:space="preserve"> The instrument is published on the </w:t>
      </w:r>
      <w:r w:rsidR="00DF68C2" w:rsidRPr="003177C2">
        <w:rPr>
          <w:sz w:val="22"/>
          <w:szCs w:val="22"/>
        </w:rPr>
        <w:t>Federal Register of Legislation</w:t>
      </w:r>
      <w:r w:rsidR="00DF68C2" w:rsidRPr="003177C2" w:rsidDel="00DA11A0">
        <w:rPr>
          <w:rFonts w:eastAsia="Calibri"/>
          <w:sz w:val="22"/>
          <w:szCs w:val="22"/>
          <w:lang w:eastAsia="en-US"/>
        </w:rPr>
        <w:t xml:space="preserve"> </w:t>
      </w:r>
      <w:r w:rsidR="00DF68C2" w:rsidRPr="003177C2">
        <w:rPr>
          <w:rFonts w:eastAsia="Calibri"/>
          <w:sz w:val="22"/>
          <w:szCs w:val="22"/>
          <w:lang w:eastAsia="en-US"/>
        </w:rPr>
        <w:t>and available free of charge.</w:t>
      </w:r>
    </w:p>
    <w:p w14:paraId="3ABE3D88" w14:textId="77777777" w:rsidR="00086CFC" w:rsidRPr="003177C2" w:rsidRDefault="00086CFC" w:rsidP="00447C6D">
      <w:pPr>
        <w:spacing w:after="120"/>
        <w:rPr>
          <w:rFonts w:eastAsia="Calibri"/>
          <w:sz w:val="22"/>
          <w:szCs w:val="22"/>
          <w:u w:val="single"/>
          <w:lang w:eastAsia="en-US"/>
        </w:rPr>
      </w:pPr>
      <w:r w:rsidRPr="003177C2">
        <w:rPr>
          <w:rFonts w:eastAsia="Calibri"/>
          <w:sz w:val="22"/>
          <w:szCs w:val="22"/>
          <w:u w:val="single"/>
          <w:lang w:eastAsia="en-US"/>
        </w:rPr>
        <w:t xml:space="preserve">Item 2 – </w:t>
      </w:r>
      <w:r w:rsidR="00B95621" w:rsidRPr="003177C2">
        <w:rPr>
          <w:rFonts w:eastAsia="Calibri"/>
          <w:sz w:val="22"/>
          <w:szCs w:val="22"/>
          <w:u w:val="single"/>
          <w:lang w:eastAsia="en-US"/>
        </w:rPr>
        <w:t>Subregulation 328(7)</w:t>
      </w:r>
    </w:p>
    <w:p w14:paraId="2F4B5303" w14:textId="77777777" w:rsidR="00B95621" w:rsidRPr="003177C2" w:rsidRDefault="00B95621" w:rsidP="00086CFC">
      <w:pPr>
        <w:spacing w:after="240"/>
        <w:rPr>
          <w:sz w:val="22"/>
          <w:szCs w:val="22"/>
        </w:rPr>
      </w:pPr>
      <w:r w:rsidRPr="003177C2">
        <w:rPr>
          <w:sz w:val="22"/>
          <w:szCs w:val="22"/>
        </w:rPr>
        <w:t xml:space="preserve">This </w:t>
      </w:r>
      <w:r w:rsidR="00906096" w:rsidRPr="003177C2">
        <w:rPr>
          <w:sz w:val="22"/>
          <w:szCs w:val="22"/>
        </w:rPr>
        <w:t xml:space="preserve">item </w:t>
      </w:r>
      <w:r w:rsidRPr="003177C2">
        <w:rPr>
          <w:sz w:val="22"/>
          <w:szCs w:val="22"/>
        </w:rPr>
        <w:t>omit</w:t>
      </w:r>
      <w:r w:rsidR="00290C24" w:rsidRPr="003177C2">
        <w:rPr>
          <w:sz w:val="22"/>
          <w:szCs w:val="22"/>
        </w:rPr>
        <w:t>s</w:t>
      </w:r>
      <w:r w:rsidRPr="003177C2">
        <w:rPr>
          <w:sz w:val="22"/>
          <w:szCs w:val="22"/>
        </w:rPr>
        <w:t xml:space="preserve"> existing subregulation 328(7)</w:t>
      </w:r>
      <w:r w:rsidR="00906096" w:rsidRPr="003177C2">
        <w:rPr>
          <w:sz w:val="22"/>
          <w:szCs w:val="22"/>
        </w:rPr>
        <w:t xml:space="preserve"> of the WHS Regulations,</w:t>
      </w:r>
      <w:r w:rsidRPr="003177C2">
        <w:rPr>
          <w:sz w:val="22"/>
          <w:szCs w:val="22"/>
        </w:rPr>
        <w:t xml:space="preserve"> </w:t>
      </w:r>
      <w:r w:rsidR="00F67817" w:rsidRPr="003177C2">
        <w:rPr>
          <w:sz w:val="22"/>
          <w:szCs w:val="22"/>
        </w:rPr>
        <w:t>as the</w:t>
      </w:r>
      <w:r w:rsidRPr="003177C2">
        <w:rPr>
          <w:sz w:val="22"/>
          <w:szCs w:val="22"/>
        </w:rPr>
        <w:t xml:space="preserve"> definition of ‘Agvet Code’</w:t>
      </w:r>
      <w:r w:rsidR="00F67817" w:rsidRPr="003177C2">
        <w:rPr>
          <w:sz w:val="22"/>
          <w:szCs w:val="22"/>
        </w:rPr>
        <w:t xml:space="preserve"> it contained has been moved:  see </w:t>
      </w:r>
      <w:r w:rsidR="00C64E33" w:rsidRPr="003177C2">
        <w:rPr>
          <w:sz w:val="22"/>
          <w:szCs w:val="22"/>
        </w:rPr>
        <w:t>item 1</w:t>
      </w:r>
      <w:r w:rsidR="00906096" w:rsidRPr="003177C2">
        <w:rPr>
          <w:sz w:val="22"/>
          <w:szCs w:val="22"/>
        </w:rPr>
        <w:t>.</w:t>
      </w:r>
    </w:p>
    <w:p w14:paraId="77BC744D" w14:textId="77777777" w:rsidR="00D95050" w:rsidRPr="003177C2" w:rsidRDefault="00D95050" w:rsidP="00447C6D">
      <w:pPr>
        <w:keepNext/>
        <w:spacing w:after="120"/>
        <w:rPr>
          <w:rFonts w:eastAsia="Calibri"/>
          <w:sz w:val="22"/>
          <w:szCs w:val="22"/>
          <w:u w:val="single"/>
          <w:lang w:eastAsia="en-US"/>
        </w:rPr>
      </w:pPr>
      <w:r w:rsidRPr="003177C2">
        <w:rPr>
          <w:rFonts w:eastAsia="Calibri"/>
          <w:sz w:val="22"/>
          <w:szCs w:val="22"/>
          <w:u w:val="single"/>
          <w:lang w:eastAsia="en-US"/>
        </w:rPr>
        <w:t xml:space="preserve">Item 3 – </w:t>
      </w:r>
      <w:r w:rsidR="00BD20A0">
        <w:rPr>
          <w:rFonts w:eastAsia="Calibri"/>
          <w:sz w:val="22"/>
          <w:szCs w:val="22"/>
          <w:u w:val="single"/>
          <w:lang w:eastAsia="en-US"/>
        </w:rPr>
        <w:t>After s</w:t>
      </w:r>
      <w:r w:rsidRPr="003177C2">
        <w:rPr>
          <w:rFonts w:eastAsia="Calibri"/>
          <w:sz w:val="22"/>
          <w:szCs w:val="22"/>
          <w:u w:val="single"/>
          <w:lang w:eastAsia="en-US"/>
        </w:rPr>
        <w:t>ubregulation 335(2)</w:t>
      </w:r>
    </w:p>
    <w:p w14:paraId="13C6A27D" w14:textId="77777777" w:rsidR="0000322F" w:rsidRPr="003177C2" w:rsidRDefault="0000322F" w:rsidP="00CE602A">
      <w:pPr>
        <w:spacing w:after="240"/>
        <w:rPr>
          <w:sz w:val="22"/>
          <w:szCs w:val="22"/>
        </w:rPr>
      </w:pPr>
      <w:r w:rsidRPr="003177C2">
        <w:rPr>
          <w:sz w:val="22"/>
          <w:szCs w:val="22"/>
        </w:rPr>
        <w:t xml:space="preserve">This item </w:t>
      </w:r>
      <w:r w:rsidR="00BD20A0">
        <w:rPr>
          <w:sz w:val="22"/>
          <w:szCs w:val="22"/>
        </w:rPr>
        <w:t>inserts new</w:t>
      </w:r>
      <w:r w:rsidRPr="003177C2">
        <w:rPr>
          <w:sz w:val="22"/>
          <w:szCs w:val="22"/>
        </w:rPr>
        <w:t xml:space="preserve"> subregulation 335(2</w:t>
      </w:r>
      <w:r w:rsidR="00BD20A0">
        <w:rPr>
          <w:sz w:val="22"/>
          <w:szCs w:val="22"/>
        </w:rPr>
        <w:t>A</w:t>
      </w:r>
      <w:r w:rsidRPr="003177C2">
        <w:rPr>
          <w:sz w:val="22"/>
          <w:szCs w:val="22"/>
        </w:rPr>
        <w:t xml:space="preserve">). </w:t>
      </w:r>
    </w:p>
    <w:p w14:paraId="46545A45" w14:textId="77777777" w:rsidR="0000322F" w:rsidRPr="003177C2" w:rsidRDefault="0000322F" w:rsidP="0000322F">
      <w:pPr>
        <w:rPr>
          <w:rFonts w:eastAsia="Calibri"/>
          <w:sz w:val="22"/>
          <w:szCs w:val="22"/>
          <w:lang w:eastAsia="en-US"/>
        </w:rPr>
      </w:pPr>
      <w:r w:rsidRPr="003177C2">
        <w:rPr>
          <w:rFonts w:eastAsia="Calibri"/>
          <w:sz w:val="22"/>
          <w:szCs w:val="22"/>
          <w:lang w:eastAsia="en-US"/>
        </w:rPr>
        <w:t>Subr</w:t>
      </w:r>
      <w:r w:rsidR="00202083" w:rsidRPr="003177C2">
        <w:rPr>
          <w:rFonts w:eastAsia="Calibri"/>
          <w:sz w:val="22"/>
          <w:szCs w:val="22"/>
          <w:lang w:eastAsia="en-US"/>
        </w:rPr>
        <w:t>egulation 335</w:t>
      </w:r>
      <w:r w:rsidRPr="003177C2">
        <w:rPr>
          <w:rFonts w:eastAsia="Calibri"/>
          <w:sz w:val="22"/>
          <w:szCs w:val="22"/>
          <w:lang w:eastAsia="en-US"/>
        </w:rPr>
        <w:t>(1)</w:t>
      </w:r>
      <w:r w:rsidR="00202083" w:rsidRPr="003177C2">
        <w:rPr>
          <w:rFonts w:eastAsia="Calibri"/>
          <w:sz w:val="22"/>
          <w:szCs w:val="22"/>
          <w:lang w:eastAsia="en-US"/>
        </w:rPr>
        <w:t xml:space="preserve"> requires the manufacturer or importer of a hazardous chemical to ensure that the hazardous chemical is correctly labelled as soon as practicable after manufacturing or importing the hazardous chemical. </w:t>
      </w:r>
      <w:r w:rsidRPr="003177C2">
        <w:rPr>
          <w:rFonts w:eastAsia="Calibri"/>
          <w:sz w:val="22"/>
          <w:szCs w:val="22"/>
          <w:lang w:eastAsia="en-US"/>
        </w:rPr>
        <w:t>New subregulation 335(2</w:t>
      </w:r>
      <w:r w:rsidR="00BD20A0">
        <w:rPr>
          <w:rFonts w:eastAsia="Calibri"/>
          <w:sz w:val="22"/>
          <w:szCs w:val="22"/>
          <w:lang w:eastAsia="en-US"/>
        </w:rPr>
        <w:t>A</w:t>
      </w:r>
      <w:r w:rsidRPr="003177C2">
        <w:rPr>
          <w:rFonts w:eastAsia="Calibri"/>
          <w:sz w:val="22"/>
          <w:szCs w:val="22"/>
          <w:lang w:eastAsia="en-US"/>
        </w:rPr>
        <w:t xml:space="preserve">) sets out </w:t>
      </w:r>
      <w:r w:rsidR="00BD20A0">
        <w:rPr>
          <w:rFonts w:eastAsia="Calibri"/>
          <w:sz w:val="22"/>
          <w:szCs w:val="22"/>
          <w:lang w:eastAsia="en-US"/>
        </w:rPr>
        <w:t>another</w:t>
      </w:r>
      <w:r w:rsidRPr="003177C2">
        <w:rPr>
          <w:rFonts w:eastAsia="Calibri"/>
          <w:sz w:val="22"/>
          <w:szCs w:val="22"/>
          <w:lang w:eastAsia="en-US"/>
        </w:rPr>
        <w:t xml:space="preserve"> way a hazardous chemical can be correctly labelled. </w:t>
      </w:r>
      <w:r w:rsidR="00BD20A0">
        <w:rPr>
          <w:rFonts w:eastAsia="Calibri"/>
          <w:sz w:val="22"/>
          <w:szCs w:val="22"/>
          <w:lang w:eastAsia="en-US"/>
        </w:rPr>
        <w:t>Under existing arrangements</w:t>
      </w:r>
      <w:r w:rsidRPr="003177C2">
        <w:rPr>
          <w:rFonts w:eastAsia="Calibri"/>
          <w:sz w:val="22"/>
          <w:szCs w:val="22"/>
          <w:lang w:eastAsia="en-US"/>
        </w:rPr>
        <w:t>, a hazardous chemical can be correctly labelled if the selection and use of label elements is in accordance with the GHS and it complies with Part 3 of Schedule 9.</w:t>
      </w:r>
    </w:p>
    <w:p w14:paraId="2D17E022" w14:textId="77777777" w:rsidR="0000322F" w:rsidRPr="003177C2" w:rsidRDefault="0000322F" w:rsidP="0000322F">
      <w:pPr>
        <w:rPr>
          <w:rFonts w:eastAsia="Calibri"/>
          <w:sz w:val="22"/>
          <w:szCs w:val="22"/>
          <w:lang w:eastAsia="en-US"/>
        </w:rPr>
      </w:pPr>
    </w:p>
    <w:p w14:paraId="07FE54BE" w14:textId="77777777" w:rsidR="0000322F" w:rsidRPr="003177C2" w:rsidRDefault="00BD20A0" w:rsidP="0000322F">
      <w:pPr>
        <w:rPr>
          <w:rFonts w:eastAsia="Calibri"/>
          <w:sz w:val="22"/>
          <w:szCs w:val="22"/>
          <w:lang w:eastAsia="en-US"/>
        </w:rPr>
      </w:pPr>
      <w:r>
        <w:rPr>
          <w:rFonts w:eastAsia="Calibri"/>
          <w:sz w:val="22"/>
          <w:szCs w:val="22"/>
          <w:lang w:eastAsia="en-US"/>
        </w:rPr>
        <w:t>Under new subregulation 335(2A)</w:t>
      </w:r>
      <w:r w:rsidR="0000322F" w:rsidRPr="003177C2">
        <w:rPr>
          <w:rFonts w:eastAsia="Calibri"/>
          <w:sz w:val="22"/>
          <w:szCs w:val="22"/>
          <w:lang w:eastAsia="en-US"/>
        </w:rPr>
        <w:t xml:space="preserve">, a hazardous </w:t>
      </w:r>
      <w:r w:rsidR="007975F9" w:rsidRPr="003177C2">
        <w:rPr>
          <w:rFonts w:eastAsia="Calibri"/>
          <w:sz w:val="22"/>
          <w:szCs w:val="22"/>
          <w:lang w:eastAsia="en-US"/>
        </w:rPr>
        <w:t>chemical</w:t>
      </w:r>
      <w:r w:rsidR="0000322F" w:rsidRPr="003177C2">
        <w:rPr>
          <w:rFonts w:eastAsia="Calibri"/>
          <w:sz w:val="22"/>
          <w:szCs w:val="22"/>
          <w:lang w:eastAsia="en-US"/>
        </w:rPr>
        <w:t xml:space="preserve"> is </w:t>
      </w:r>
      <w:r>
        <w:rPr>
          <w:rFonts w:eastAsia="Calibri"/>
          <w:sz w:val="22"/>
          <w:szCs w:val="22"/>
          <w:lang w:eastAsia="en-US"/>
        </w:rPr>
        <w:t xml:space="preserve">also </w:t>
      </w:r>
      <w:r w:rsidR="0000322F" w:rsidRPr="003177C2">
        <w:rPr>
          <w:rFonts w:eastAsia="Calibri"/>
          <w:sz w:val="22"/>
          <w:szCs w:val="22"/>
          <w:lang w:eastAsia="en-US"/>
        </w:rPr>
        <w:t>correctly labelled if the label includes content that complies with another labelling requirement imposed by the WHS Regulations or by another law of the Commonwealth, provided the content is the same, or substantially the same, as the content that is required by Part 3 of Schedule 9.</w:t>
      </w:r>
      <w:r w:rsidR="00DF68C2" w:rsidRPr="003177C2">
        <w:rPr>
          <w:rFonts w:eastAsia="Calibri"/>
          <w:sz w:val="22"/>
          <w:szCs w:val="22"/>
          <w:lang w:eastAsia="en-US"/>
        </w:rPr>
        <w:t xml:space="preserve"> </w:t>
      </w:r>
      <w:r w:rsidR="0000322F" w:rsidRPr="003177C2">
        <w:rPr>
          <w:rFonts w:eastAsia="Calibri"/>
          <w:sz w:val="22"/>
          <w:szCs w:val="22"/>
          <w:lang w:eastAsia="en-US"/>
        </w:rPr>
        <w:t>In cases where some, but not all, elements of a label are the same, or substantially the same, as the content required by Part 3 of Schedule 9, only those elements that are not already included on the label are required to be added.</w:t>
      </w:r>
    </w:p>
    <w:p w14:paraId="4305AF13" w14:textId="77777777" w:rsidR="0000322F" w:rsidRPr="003177C2" w:rsidRDefault="0000322F" w:rsidP="0000322F">
      <w:pPr>
        <w:rPr>
          <w:rFonts w:eastAsia="Calibri"/>
          <w:sz w:val="22"/>
          <w:szCs w:val="22"/>
          <w:lang w:eastAsia="en-US"/>
        </w:rPr>
      </w:pPr>
    </w:p>
    <w:p w14:paraId="4C1A52A1" w14:textId="77777777" w:rsidR="0000322F" w:rsidRDefault="0000322F" w:rsidP="0000322F">
      <w:pPr>
        <w:rPr>
          <w:rFonts w:eastAsia="Calibri"/>
          <w:sz w:val="22"/>
          <w:szCs w:val="22"/>
          <w:lang w:eastAsia="en-US"/>
        </w:rPr>
      </w:pPr>
      <w:r w:rsidRPr="003177C2">
        <w:rPr>
          <w:rFonts w:eastAsia="Calibri"/>
          <w:sz w:val="22"/>
          <w:szCs w:val="22"/>
          <w:lang w:eastAsia="en-US"/>
        </w:rPr>
        <w:t xml:space="preserve">It is intended that this provision not be construed in a technical manner. It recognises that there may be some minor differences in the kinds of information and manner in which that information is displayed in accordance with different laws. However, if the content requirements provided for under another law of the Commonwealth result in a hazardous chemical being labelled with information that is, overall, the same or substantially the same, as that required under Part 3 of Schedule 9, </w:t>
      </w:r>
      <w:r w:rsidR="00BD20A0">
        <w:rPr>
          <w:rFonts w:eastAsia="Calibri"/>
          <w:sz w:val="22"/>
          <w:szCs w:val="22"/>
          <w:lang w:eastAsia="en-US"/>
        </w:rPr>
        <w:t xml:space="preserve">the new </w:t>
      </w:r>
      <w:r w:rsidRPr="003177C2">
        <w:rPr>
          <w:rFonts w:eastAsia="Calibri"/>
          <w:sz w:val="22"/>
          <w:szCs w:val="22"/>
          <w:lang w:eastAsia="en-US"/>
        </w:rPr>
        <w:t>subregulation will be satisfied.</w:t>
      </w:r>
    </w:p>
    <w:p w14:paraId="28E0C574" w14:textId="77777777" w:rsidR="00700822" w:rsidRDefault="00700822" w:rsidP="0000322F">
      <w:pPr>
        <w:rPr>
          <w:rFonts w:eastAsia="Calibri"/>
          <w:sz w:val="22"/>
          <w:szCs w:val="22"/>
          <w:lang w:eastAsia="en-US"/>
        </w:rPr>
      </w:pPr>
    </w:p>
    <w:p w14:paraId="5203BA3F" w14:textId="77777777" w:rsidR="00700822" w:rsidRPr="00B72DC7" w:rsidRDefault="00700822" w:rsidP="00700822">
      <w:pPr>
        <w:rPr>
          <w:rFonts w:eastAsia="Calibri"/>
          <w:sz w:val="22"/>
          <w:szCs w:val="22"/>
          <w:lang w:eastAsia="en-US"/>
        </w:rPr>
      </w:pPr>
      <w:r w:rsidRPr="00B72DC7">
        <w:rPr>
          <w:rFonts w:eastAsia="Calibri"/>
          <w:sz w:val="22"/>
          <w:szCs w:val="22"/>
          <w:lang w:eastAsia="en-US"/>
        </w:rPr>
        <w:t xml:space="preserve">New subregulation 335(2B) ‘sunsets’ this new measure so it </w:t>
      </w:r>
      <w:r>
        <w:rPr>
          <w:rFonts w:eastAsia="Calibri"/>
          <w:sz w:val="22"/>
          <w:szCs w:val="22"/>
          <w:lang w:eastAsia="en-US"/>
        </w:rPr>
        <w:t>ceases to have</w:t>
      </w:r>
      <w:r w:rsidRPr="00B72DC7">
        <w:rPr>
          <w:rFonts w:eastAsia="Calibri"/>
          <w:sz w:val="22"/>
          <w:szCs w:val="22"/>
          <w:lang w:eastAsia="en-US"/>
        </w:rPr>
        <w:t xml:space="preserve"> effect after five years.</w:t>
      </w:r>
    </w:p>
    <w:p w14:paraId="740CEB2F" w14:textId="77777777" w:rsidR="00700822" w:rsidRPr="003177C2" w:rsidRDefault="00700822" w:rsidP="0000322F">
      <w:pPr>
        <w:rPr>
          <w:rFonts w:eastAsia="Calibri"/>
          <w:sz w:val="22"/>
          <w:szCs w:val="22"/>
          <w:lang w:eastAsia="en-US"/>
        </w:rPr>
      </w:pPr>
    </w:p>
    <w:p w14:paraId="2EA76449" w14:textId="77777777" w:rsidR="00D43CC8" w:rsidRPr="003177C2" w:rsidRDefault="00D43CC8" w:rsidP="00CE602A">
      <w:pPr>
        <w:rPr>
          <w:sz w:val="22"/>
          <w:szCs w:val="22"/>
        </w:rPr>
      </w:pPr>
    </w:p>
    <w:p w14:paraId="66BF01E2" w14:textId="77777777" w:rsidR="00086CFC" w:rsidRPr="003177C2" w:rsidRDefault="00086CFC" w:rsidP="00447C6D">
      <w:pPr>
        <w:keepNext/>
        <w:spacing w:after="120"/>
        <w:rPr>
          <w:rFonts w:eastAsia="Calibri"/>
          <w:sz w:val="22"/>
          <w:szCs w:val="22"/>
          <w:u w:val="single"/>
          <w:lang w:eastAsia="en-US"/>
        </w:rPr>
      </w:pPr>
      <w:r w:rsidRPr="003177C2">
        <w:rPr>
          <w:rFonts w:eastAsia="Calibri"/>
          <w:sz w:val="22"/>
          <w:szCs w:val="22"/>
          <w:u w:val="single"/>
          <w:lang w:eastAsia="en-US"/>
        </w:rPr>
        <w:t xml:space="preserve">Item </w:t>
      </w:r>
      <w:r w:rsidR="00D95050" w:rsidRPr="003177C2">
        <w:rPr>
          <w:rFonts w:eastAsia="Calibri"/>
          <w:sz w:val="22"/>
          <w:szCs w:val="22"/>
          <w:u w:val="single"/>
          <w:lang w:eastAsia="en-US"/>
        </w:rPr>
        <w:t>4</w:t>
      </w:r>
      <w:r w:rsidRPr="003177C2">
        <w:rPr>
          <w:rFonts w:eastAsia="Calibri"/>
          <w:sz w:val="22"/>
          <w:szCs w:val="22"/>
          <w:u w:val="single"/>
          <w:lang w:eastAsia="en-US"/>
        </w:rPr>
        <w:t xml:space="preserve"> – </w:t>
      </w:r>
      <w:r w:rsidR="00B95621" w:rsidRPr="003177C2">
        <w:rPr>
          <w:rFonts w:eastAsia="Calibri"/>
          <w:sz w:val="22"/>
          <w:szCs w:val="22"/>
          <w:u w:val="single"/>
          <w:lang w:eastAsia="en-US"/>
        </w:rPr>
        <w:t>Paragraph 335(3)(a)</w:t>
      </w:r>
    </w:p>
    <w:p w14:paraId="48B8323D" w14:textId="77777777" w:rsidR="00E551F3" w:rsidRPr="003177C2" w:rsidRDefault="00906096" w:rsidP="00447C6D">
      <w:pPr>
        <w:rPr>
          <w:sz w:val="22"/>
          <w:szCs w:val="22"/>
        </w:rPr>
      </w:pPr>
      <w:r w:rsidRPr="003177C2">
        <w:rPr>
          <w:sz w:val="22"/>
          <w:szCs w:val="22"/>
        </w:rPr>
        <w:t xml:space="preserve">This item amends paragraph 335(3)(a) by </w:t>
      </w:r>
      <w:r w:rsidR="00984F84" w:rsidRPr="003177C2">
        <w:rPr>
          <w:sz w:val="22"/>
          <w:szCs w:val="22"/>
        </w:rPr>
        <w:t>updating the reference to the</w:t>
      </w:r>
      <w:r w:rsidRPr="003177C2">
        <w:rPr>
          <w:sz w:val="22"/>
          <w:szCs w:val="22"/>
        </w:rPr>
        <w:t xml:space="preserve"> ‘</w:t>
      </w:r>
      <w:r w:rsidRPr="003177C2">
        <w:rPr>
          <w:i/>
          <w:sz w:val="22"/>
          <w:szCs w:val="22"/>
        </w:rPr>
        <w:t xml:space="preserve">Standard for the Uniform Scheduling of Medicines and Poisons </w:t>
      </w:r>
      <w:r w:rsidR="00582881" w:rsidRPr="003177C2">
        <w:rPr>
          <w:i/>
          <w:sz w:val="22"/>
          <w:szCs w:val="22"/>
        </w:rPr>
        <w:t>2011</w:t>
      </w:r>
      <w:r w:rsidRPr="003177C2">
        <w:rPr>
          <w:sz w:val="22"/>
          <w:szCs w:val="22"/>
        </w:rPr>
        <w:t xml:space="preserve"> published by the Commonwealth, as in force or remade from time to time’</w:t>
      </w:r>
      <w:r w:rsidR="00984F84" w:rsidRPr="003177C2">
        <w:rPr>
          <w:sz w:val="22"/>
          <w:szCs w:val="22"/>
        </w:rPr>
        <w:t xml:space="preserve">. It </w:t>
      </w:r>
      <w:r w:rsidR="00290C24" w:rsidRPr="003177C2">
        <w:rPr>
          <w:sz w:val="22"/>
          <w:szCs w:val="22"/>
        </w:rPr>
        <w:t>is</w:t>
      </w:r>
      <w:r w:rsidR="00984F84" w:rsidRPr="003177C2">
        <w:rPr>
          <w:sz w:val="22"/>
          <w:szCs w:val="22"/>
        </w:rPr>
        <w:t xml:space="preserve"> replaced with the new generic</w:t>
      </w:r>
      <w:r w:rsidRPr="003177C2">
        <w:rPr>
          <w:sz w:val="22"/>
          <w:szCs w:val="22"/>
        </w:rPr>
        <w:t xml:space="preserve"> term ‘Poisons Standard’</w:t>
      </w:r>
      <w:r w:rsidR="00984F84" w:rsidRPr="003177C2">
        <w:rPr>
          <w:sz w:val="22"/>
          <w:szCs w:val="22"/>
        </w:rPr>
        <w:t xml:space="preserve">, which </w:t>
      </w:r>
      <w:r w:rsidR="00290C24" w:rsidRPr="003177C2">
        <w:rPr>
          <w:sz w:val="22"/>
          <w:szCs w:val="22"/>
        </w:rPr>
        <w:t>is</w:t>
      </w:r>
      <w:r w:rsidRPr="003177C2">
        <w:rPr>
          <w:sz w:val="22"/>
          <w:szCs w:val="22"/>
        </w:rPr>
        <w:t xml:space="preserve"> defined in new subregulation 335(8)</w:t>
      </w:r>
      <w:r w:rsidR="00D46A6C" w:rsidRPr="003177C2">
        <w:rPr>
          <w:sz w:val="22"/>
          <w:szCs w:val="22"/>
        </w:rPr>
        <w:t xml:space="preserve"> (see item 5)</w:t>
      </w:r>
      <w:r w:rsidR="00984F84" w:rsidRPr="003177C2">
        <w:rPr>
          <w:sz w:val="22"/>
          <w:szCs w:val="22"/>
        </w:rPr>
        <w:t>.</w:t>
      </w:r>
    </w:p>
    <w:p w14:paraId="5D6C20A8" w14:textId="77777777" w:rsidR="00D43CC8" w:rsidRPr="003177C2" w:rsidRDefault="00D43CC8" w:rsidP="00447C6D">
      <w:pPr>
        <w:rPr>
          <w:sz w:val="22"/>
          <w:szCs w:val="22"/>
        </w:rPr>
      </w:pPr>
    </w:p>
    <w:p w14:paraId="182DA659" w14:textId="77777777" w:rsidR="00086CFC" w:rsidRPr="003177C2" w:rsidRDefault="00086CFC" w:rsidP="00447C6D">
      <w:pPr>
        <w:spacing w:after="120"/>
        <w:rPr>
          <w:rFonts w:eastAsia="Calibri"/>
          <w:sz w:val="22"/>
          <w:szCs w:val="22"/>
          <w:u w:val="single"/>
          <w:lang w:eastAsia="en-US"/>
        </w:rPr>
      </w:pPr>
      <w:r w:rsidRPr="003177C2">
        <w:rPr>
          <w:rFonts w:eastAsia="Calibri"/>
          <w:sz w:val="22"/>
          <w:szCs w:val="22"/>
          <w:u w:val="single"/>
          <w:lang w:eastAsia="en-US"/>
        </w:rPr>
        <w:t xml:space="preserve">Item </w:t>
      </w:r>
      <w:r w:rsidR="00847CAC" w:rsidRPr="003177C2">
        <w:rPr>
          <w:rFonts w:eastAsia="Calibri"/>
          <w:sz w:val="22"/>
          <w:szCs w:val="22"/>
          <w:u w:val="single"/>
          <w:lang w:eastAsia="en-US"/>
        </w:rPr>
        <w:t>5</w:t>
      </w:r>
      <w:r w:rsidRPr="003177C2">
        <w:rPr>
          <w:rFonts w:eastAsia="Calibri"/>
          <w:sz w:val="22"/>
          <w:szCs w:val="22"/>
          <w:u w:val="single"/>
          <w:lang w:eastAsia="en-US"/>
        </w:rPr>
        <w:t xml:space="preserve"> – </w:t>
      </w:r>
      <w:r w:rsidR="00B95621" w:rsidRPr="003177C2">
        <w:rPr>
          <w:rFonts w:eastAsia="Calibri"/>
          <w:sz w:val="22"/>
          <w:szCs w:val="22"/>
          <w:u w:val="single"/>
          <w:lang w:eastAsia="en-US"/>
        </w:rPr>
        <w:t>At the end of regulation 335</w:t>
      </w:r>
    </w:p>
    <w:p w14:paraId="2A536B97" w14:textId="77777777" w:rsidR="00906096" w:rsidRPr="003177C2" w:rsidRDefault="00313E3F" w:rsidP="008C4902">
      <w:pPr>
        <w:rPr>
          <w:rFonts w:eastAsia="Calibri"/>
          <w:sz w:val="22"/>
          <w:szCs w:val="22"/>
          <w:lang w:eastAsia="en-US"/>
        </w:rPr>
      </w:pPr>
      <w:r w:rsidRPr="003177C2">
        <w:rPr>
          <w:rFonts w:eastAsia="Calibri"/>
          <w:sz w:val="22"/>
          <w:szCs w:val="22"/>
          <w:lang w:eastAsia="en-US"/>
        </w:rPr>
        <w:t xml:space="preserve">This item </w:t>
      </w:r>
      <w:r w:rsidR="00AF43EC" w:rsidRPr="003177C2">
        <w:rPr>
          <w:sz w:val="22"/>
          <w:szCs w:val="22"/>
        </w:rPr>
        <w:t>exempts certain veterinary chemicals from the workplace labelling requirements</w:t>
      </w:r>
      <w:r w:rsidRPr="003177C2">
        <w:rPr>
          <w:rFonts w:eastAsia="Calibri"/>
          <w:sz w:val="22"/>
          <w:szCs w:val="22"/>
          <w:lang w:eastAsia="en-US"/>
        </w:rPr>
        <w:t xml:space="preserve"> </w:t>
      </w:r>
      <w:r w:rsidR="00AF43EC" w:rsidRPr="003177C2">
        <w:rPr>
          <w:rFonts w:eastAsia="Calibri"/>
          <w:sz w:val="22"/>
          <w:szCs w:val="22"/>
          <w:lang w:eastAsia="en-US"/>
        </w:rPr>
        <w:t xml:space="preserve">in </w:t>
      </w:r>
      <w:r w:rsidRPr="003177C2">
        <w:rPr>
          <w:rFonts w:eastAsia="Calibri"/>
          <w:sz w:val="22"/>
          <w:szCs w:val="22"/>
          <w:lang w:eastAsia="en-US"/>
        </w:rPr>
        <w:t xml:space="preserve">regulation 335. </w:t>
      </w:r>
      <w:r w:rsidR="00984F84" w:rsidRPr="003177C2">
        <w:rPr>
          <w:rFonts w:eastAsia="Calibri"/>
          <w:sz w:val="22"/>
          <w:szCs w:val="22"/>
          <w:lang w:eastAsia="en-US"/>
        </w:rPr>
        <w:t xml:space="preserve">New </w:t>
      </w:r>
      <w:r w:rsidR="00906096" w:rsidRPr="003177C2">
        <w:rPr>
          <w:rFonts w:eastAsia="Calibri"/>
          <w:sz w:val="22"/>
          <w:szCs w:val="22"/>
          <w:lang w:eastAsia="en-US"/>
        </w:rPr>
        <w:t xml:space="preserve">subregulation 335(7) </w:t>
      </w:r>
      <w:r w:rsidR="00984F84" w:rsidRPr="003177C2">
        <w:rPr>
          <w:rFonts w:eastAsia="Calibri"/>
          <w:sz w:val="22"/>
          <w:szCs w:val="22"/>
          <w:lang w:eastAsia="en-US"/>
        </w:rPr>
        <w:t>exempt</w:t>
      </w:r>
      <w:r w:rsidR="00290C24" w:rsidRPr="003177C2">
        <w:rPr>
          <w:rFonts w:eastAsia="Calibri"/>
          <w:sz w:val="22"/>
          <w:szCs w:val="22"/>
          <w:lang w:eastAsia="en-US"/>
        </w:rPr>
        <w:t>s</w:t>
      </w:r>
      <w:r w:rsidR="008C4902" w:rsidRPr="003177C2">
        <w:rPr>
          <w:rFonts w:eastAsia="Calibri"/>
          <w:sz w:val="22"/>
          <w:szCs w:val="22"/>
          <w:lang w:eastAsia="en-US"/>
        </w:rPr>
        <w:t xml:space="preserve"> </w:t>
      </w:r>
      <w:r w:rsidR="00906096" w:rsidRPr="003177C2">
        <w:rPr>
          <w:rFonts w:eastAsia="Calibri"/>
          <w:sz w:val="22"/>
          <w:szCs w:val="22"/>
          <w:lang w:eastAsia="en-US"/>
        </w:rPr>
        <w:t>a hazardous chemical that is a veterinary chemical product within the meaning of the Agvet Code</w:t>
      </w:r>
      <w:r w:rsidR="008C4902" w:rsidRPr="003177C2">
        <w:rPr>
          <w:rFonts w:eastAsia="Calibri"/>
          <w:sz w:val="22"/>
          <w:szCs w:val="22"/>
          <w:lang w:eastAsia="en-US"/>
        </w:rPr>
        <w:t xml:space="preserve"> that is listed in:</w:t>
      </w:r>
    </w:p>
    <w:p w14:paraId="5D534FBA" w14:textId="77777777" w:rsidR="00906096" w:rsidRPr="003177C2" w:rsidRDefault="00906096" w:rsidP="00906096">
      <w:pPr>
        <w:rPr>
          <w:rFonts w:eastAsia="Calibri"/>
          <w:sz w:val="22"/>
          <w:szCs w:val="22"/>
          <w:lang w:eastAsia="en-US"/>
        </w:rPr>
      </w:pPr>
    </w:p>
    <w:p w14:paraId="60268489" w14:textId="77777777" w:rsidR="00906096" w:rsidRPr="003177C2" w:rsidRDefault="00906096" w:rsidP="00447C6D">
      <w:pPr>
        <w:pStyle w:val="ListParagraph"/>
        <w:numPr>
          <w:ilvl w:val="0"/>
          <w:numId w:val="23"/>
        </w:numPr>
        <w:spacing w:after="120"/>
        <w:ind w:left="714" w:hanging="357"/>
        <w:contextualSpacing w:val="0"/>
        <w:rPr>
          <w:rFonts w:eastAsia="Calibri"/>
          <w:sz w:val="22"/>
          <w:szCs w:val="22"/>
          <w:lang w:eastAsia="en-US"/>
        </w:rPr>
      </w:pPr>
      <w:r w:rsidRPr="003177C2">
        <w:rPr>
          <w:rFonts w:eastAsia="Calibri"/>
          <w:sz w:val="22"/>
          <w:szCs w:val="22"/>
          <w:lang w:eastAsia="en-US"/>
        </w:rPr>
        <w:t xml:space="preserve">the Poisons Standard, Part 4, Schedule 4, if the chemical product is packaged and supplied in a form intended for direct administration to an animal for therapeutic purposes; </w:t>
      </w:r>
      <w:r w:rsidR="008C4902" w:rsidRPr="003177C2">
        <w:rPr>
          <w:rFonts w:eastAsia="Calibri"/>
          <w:sz w:val="22"/>
          <w:szCs w:val="22"/>
          <w:lang w:eastAsia="en-US"/>
        </w:rPr>
        <w:t>or</w:t>
      </w:r>
    </w:p>
    <w:p w14:paraId="40B7602C" w14:textId="77777777" w:rsidR="00906096" w:rsidRPr="003177C2" w:rsidRDefault="00906096" w:rsidP="00906096">
      <w:pPr>
        <w:pStyle w:val="ListParagraph"/>
        <w:numPr>
          <w:ilvl w:val="0"/>
          <w:numId w:val="23"/>
        </w:numPr>
        <w:rPr>
          <w:rFonts w:eastAsia="Calibri"/>
          <w:sz w:val="22"/>
          <w:szCs w:val="22"/>
          <w:lang w:eastAsia="en-US"/>
        </w:rPr>
      </w:pPr>
      <w:r w:rsidRPr="003177C2">
        <w:rPr>
          <w:rFonts w:eastAsia="Calibri"/>
          <w:sz w:val="22"/>
          <w:szCs w:val="22"/>
          <w:lang w:eastAsia="en-US"/>
        </w:rPr>
        <w:t xml:space="preserve">the Poisons Standard, Part 4, Schedule 8. </w:t>
      </w:r>
    </w:p>
    <w:p w14:paraId="55F1611C" w14:textId="77777777" w:rsidR="00906096" w:rsidRDefault="00906096" w:rsidP="00906096">
      <w:pPr>
        <w:rPr>
          <w:rFonts w:eastAsia="Calibri"/>
          <w:sz w:val="22"/>
          <w:szCs w:val="22"/>
          <w:lang w:eastAsia="en-US"/>
        </w:rPr>
      </w:pPr>
    </w:p>
    <w:p w14:paraId="282742F2" w14:textId="77777777" w:rsidR="00700822" w:rsidRDefault="00700822" w:rsidP="00906096">
      <w:pPr>
        <w:rPr>
          <w:rFonts w:eastAsia="Calibri"/>
          <w:sz w:val="22"/>
          <w:szCs w:val="22"/>
          <w:lang w:eastAsia="en-US"/>
        </w:rPr>
      </w:pPr>
      <w:r>
        <w:rPr>
          <w:rFonts w:eastAsia="Calibri"/>
          <w:sz w:val="22"/>
          <w:szCs w:val="22"/>
          <w:lang w:eastAsia="en-US"/>
        </w:rPr>
        <w:t>By new subregulation 335(8), this new measure ‘sunsets’ so it ceases to have effect after five years.</w:t>
      </w:r>
    </w:p>
    <w:p w14:paraId="053FF43E" w14:textId="77777777" w:rsidR="00700822" w:rsidRPr="003177C2" w:rsidRDefault="00700822" w:rsidP="00906096">
      <w:pPr>
        <w:rPr>
          <w:rFonts w:eastAsia="Calibri"/>
          <w:sz w:val="22"/>
          <w:szCs w:val="22"/>
          <w:lang w:eastAsia="en-US"/>
        </w:rPr>
      </w:pPr>
    </w:p>
    <w:p w14:paraId="01899617" w14:textId="77777777" w:rsidR="00FB6E54" w:rsidRPr="007B7E9E" w:rsidRDefault="00FB6E54" w:rsidP="006500CB">
      <w:pPr>
        <w:rPr>
          <w:rFonts w:eastAsia="Calibri"/>
          <w:sz w:val="22"/>
          <w:szCs w:val="22"/>
          <w:lang w:eastAsia="en-US"/>
        </w:rPr>
      </w:pPr>
      <w:r w:rsidRPr="003177C2">
        <w:rPr>
          <w:rFonts w:eastAsia="Calibri"/>
          <w:sz w:val="22"/>
          <w:szCs w:val="22"/>
          <w:lang w:eastAsia="en-US"/>
        </w:rPr>
        <w:t xml:space="preserve">This </w:t>
      </w:r>
      <w:r w:rsidR="008C1400" w:rsidRPr="003177C2">
        <w:rPr>
          <w:rFonts w:eastAsia="Calibri"/>
          <w:sz w:val="22"/>
          <w:szCs w:val="22"/>
          <w:lang w:eastAsia="en-US"/>
        </w:rPr>
        <w:t xml:space="preserve">item </w:t>
      </w:r>
      <w:r w:rsidRPr="003177C2">
        <w:rPr>
          <w:rFonts w:eastAsia="Calibri"/>
          <w:sz w:val="22"/>
          <w:szCs w:val="22"/>
          <w:lang w:eastAsia="en-US"/>
        </w:rPr>
        <w:t>also insert</w:t>
      </w:r>
      <w:r w:rsidR="00290C24" w:rsidRPr="003177C2">
        <w:rPr>
          <w:rFonts w:eastAsia="Calibri"/>
          <w:sz w:val="22"/>
          <w:szCs w:val="22"/>
          <w:lang w:eastAsia="en-US"/>
        </w:rPr>
        <w:t>s</w:t>
      </w:r>
      <w:r w:rsidRPr="003177C2">
        <w:rPr>
          <w:rFonts w:eastAsia="Calibri"/>
          <w:sz w:val="22"/>
          <w:szCs w:val="22"/>
          <w:lang w:eastAsia="en-US"/>
        </w:rPr>
        <w:t xml:space="preserve"> new subregulation 335(</w:t>
      </w:r>
      <w:r w:rsidR="00700822">
        <w:rPr>
          <w:rFonts w:eastAsia="Calibri"/>
          <w:sz w:val="22"/>
          <w:szCs w:val="22"/>
          <w:lang w:eastAsia="en-US"/>
        </w:rPr>
        <w:t>9</w:t>
      </w:r>
      <w:r w:rsidRPr="003177C2">
        <w:rPr>
          <w:rFonts w:eastAsia="Calibri"/>
          <w:sz w:val="22"/>
          <w:szCs w:val="22"/>
          <w:lang w:eastAsia="en-US"/>
        </w:rPr>
        <w:t>) to define ‘Poisons Standard’ for the purpose of regulation 335 to mean ‘</w:t>
      </w:r>
      <w:r w:rsidR="0022116C" w:rsidRPr="003177C2">
        <w:rPr>
          <w:rFonts w:eastAsia="Calibri"/>
          <w:i/>
          <w:sz w:val="22"/>
          <w:szCs w:val="22"/>
          <w:lang w:eastAsia="en-US"/>
        </w:rPr>
        <w:t xml:space="preserve">Poisons Standard June 2018 </w:t>
      </w:r>
      <w:r w:rsidR="00940AA3" w:rsidRPr="003177C2">
        <w:rPr>
          <w:rFonts w:eastAsia="Calibri"/>
          <w:sz w:val="22"/>
          <w:szCs w:val="22"/>
          <w:lang w:eastAsia="en-US"/>
        </w:rPr>
        <w:t>published</w:t>
      </w:r>
      <w:r w:rsidRPr="003177C2">
        <w:rPr>
          <w:rFonts w:eastAsia="Calibri"/>
          <w:sz w:val="22"/>
          <w:szCs w:val="22"/>
          <w:lang w:eastAsia="en-US"/>
        </w:rPr>
        <w:t xml:space="preserve"> by the Commonwealth, as </w:t>
      </w:r>
      <w:r w:rsidR="00C276B5" w:rsidRPr="003177C2">
        <w:rPr>
          <w:rFonts w:eastAsia="Calibri"/>
          <w:sz w:val="22"/>
          <w:szCs w:val="22"/>
          <w:lang w:eastAsia="en-US"/>
        </w:rPr>
        <w:t>in force</w:t>
      </w:r>
      <w:r w:rsidRPr="003177C2">
        <w:rPr>
          <w:rFonts w:eastAsia="Calibri"/>
          <w:sz w:val="22"/>
          <w:szCs w:val="22"/>
          <w:lang w:eastAsia="en-US"/>
        </w:rPr>
        <w:t xml:space="preserve"> or remade from time to time</w:t>
      </w:r>
      <w:r w:rsidR="00686291" w:rsidRPr="003177C2">
        <w:rPr>
          <w:rFonts w:eastAsia="Calibri"/>
          <w:sz w:val="22"/>
          <w:szCs w:val="22"/>
          <w:lang w:eastAsia="en-US"/>
        </w:rPr>
        <w:t>’ (</w:t>
      </w:r>
      <w:r w:rsidR="00582881" w:rsidRPr="00B318F2">
        <w:rPr>
          <w:rFonts w:eastAsia="Calibri"/>
          <w:sz w:val="22"/>
          <w:szCs w:val="22"/>
          <w:lang w:eastAsia="en-US"/>
        </w:rPr>
        <w:t>Poisons Standard)</w:t>
      </w:r>
      <w:r w:rsidRPr="007B7E9E">
        <w:rPr>
          <w:rFonts w:eastAsia="Calibri"/>
          <w:sz w:val="22"/>
          <w:szCs w:val="22"/>
          <w:lang w:eastAsia="en-US"/>
        </w:rPr>
        <w:t>.</w:t>
      </w:r>
    </w:p>
    <w:p w14:paraId="164FA03D" w14:textId="77777777" w:rsidR="00FB6E54" w:rsidRPr="008B0826" w:rsidRDefault="00FB6E54" w:rsidP="006500CB">
      <w:pPr>
        <w:rPr>
          <w:rFonts w:eastAsia="Calibri"/>
          <w:sz w:val="22"/>
          <w:szCs w:val="22"/>
          <w:lang w:eastAsia="en-US"/>
        </w:rPr>
      </w:pPr>
    </w:p>
    <w:p w14:paraId="07C2FA43" w14:textId="77777777" w:rsidR="009E6A86" w:rsidRPr="008B0826" w:rsidRDefault="009E6A86" w:rsidP="006500CB">
      <w:pPr>
        <w:rPr>
          <w:sz w:val="22"/>
          <w:szCs w:val="22"/>
        </w:rPr>
      </w:pPr>
      <w:r w:rsidRPr="008B0826" w:rsidDel="00D32AED">
        <w:rPr>
          <w:sz w:val="22"/>
          <w:szCs w:val="22"/>
        </w:rPr>
        <w:t>Paragraph 276(3)(d) of the Act provides the WHS Regulations may apply, adopt or incorporate any matter contained in any document formulated, used or published by a person or body whether with or without modification, as in force at a particular time or as in force or remade from time to time.</w:t>
      </w:r>
    </w:p>
    <w:p w14:paraId="5E07A0DC" w14:textId="77777777" w:rsidR="00D32AED" w:rsidRPr="003177C2" w:rsidRDefault="00D32AED" w:rsidP="006500CB">
      <w:pPr>
        <w:rPr>
          <w:rFonts w:eastAsia="Calibri"/>
          <w:sz w:val="22"/>
          <w:szCs w:val="22"/>
          <w:lang w:eastAsia="en-US"/>
        </w:rPr>
      </w:pPr>
    </w:p>
    <w:p w14:paraId="65B3092D" w14:textId="77777777" w:rsidR="00FB6E54" w:rsidRPr="003177C2" w:rsidRDefault="00FB6E54" w:rsidP="006500CB">
      <w:pPr>
        <w:rPr>
          <w:rFonts w:eastAsia="Calibri"/>
          <w:sz w:val="22"/>
          <w:szCs w:val="22"/>
          <w:lang w:eastAsia="en-US"/>
        </w:rPr>
      </w:pPr>
      <w:r w:rsidRPr="003177C2">
        <w:rPr>
          <w:rFonts w:eastAsia="Calibri"/>
          <w:sz w:val="22"/>
          <w:szCs w:val="22"/>
          <w:lang w:eastAsia="en-US"/>
        </w:rPr>
        <w:t>The Poisons Standard consists of decisions regarding the classification of medicines and poisons into Schedules, which are referred to under Commonwealth, state and territory legislation for regulatory purposes.  This enables restrictions to be placed on the supply of scheduled substances to the public, according to the degree of risk associated with them and the degree of control over their availability, in the interest of public health and safety.</w:t>
      </w:r>
    </w:p>
    <w:p w14:paraId="2073DF10" w14:textId="77777777" w:rsidR="00FB6E54" w:rsidRPr="003177C2" w:rsidRDefault="00FB6E54" w:rsidP="006500CB">
      <w:pPr>
        <w:rPr>
          <w:rFonts w:eastAsia="Calibri"/>
          <w:sz w:val="22"/>
          <w:szCs w:val="22"/>
          <w:lang w:eastAsia="en-US"/>
        </w:rPr>
      </w:pPr>
    </w:p>
    <w:p w14:paraId="184128E1" w14:textId="77777777" w:rsidR="00FB6E54" w:rsidRPr="003177C2" w:rsidRDefault="00A16148" w:rsidP="006500CB">
      <w:pPr>
        <w:rPr>
          <w:rFonts w:eastAsia="Calibri"/>
          <w:sz w:val="22"/>
          <w:szCs w:val="22"/>
          <w:lang w:eastAsia="en-US"/>
        </w:rPr>
      </w:pPr>
      <w:r w:rsidRPr="003177C2">
        <w:rPr>
          <w:rFonts w:eastAsia="Calibri"/>
          <w:sz w:val="22"/>
          <w:szCs w:val="22"/>
          <w:lang w:eastAsia="en-US"/>
        </w:rPr>
        <w:t>Here,</w:t>
      </w:r>
      <w:r w:rsidR="00FB6E54" w:rsidRPr="003177C2">
        <w:rPr>
          <w:rFonts w:eastAsia="Calibri"/>
          <w:sz w:val="22"/>
          <w:szCs w:val="22"/>
          <w:lang w:eastAsia="en-US"/>
        </w:rPr>
        <w:t xml:space="preserve"> the Poisons Standard </w:t>
      </w:r>
      <w:r w:rsidRPr="003177C2">
        <w:rPr>
          <w:rFonts w:eastAsia="Calibri"/>
          <w:sz w:val="22"/>
          <w:szCs w:val="22"/>
          <w:lang w:eastAsia="en-US"/>
        </w:rPr>
        <w:t>is referenced to easily</w:t>
      </w:r>
      <w:r w:rsidR="00FB6E54" w:rsidRPr="003177C2">
        <w:rPr>
          <w:rFonts w:eastAsia="Calibri"/>
          <w:sz w:val="22"/>
          <w:szCs w:val="22"/>
          <w:lang w:eastAsia="en-US"/>
        </w:rPr>
        <w:t xml:space="preserve"> identify appropriate lower-risk veterinary chemicals, for which additional workplace labelling requirements are not </w:t>
      </w:r>
      <w:r w:rsidR="003F7CD8" w:rsidRPr="003177C2">
        <w:rPr>
          <w:rFonts w:eastAsia="Calibri"/>
          <w:sz w:val="22"/>
          <w:szCs w:val="22"/>
          <w:lang w:eastAsia="en-US"/>
        </w:rPr>
        <w:t>required</w:t>
      </w:r>
      <w:r w:rsidR="00FB6E54" w:rsidRPr="003177C2">
        <w:rPr>
          <w:rFonts w:eastAsia="Calibri"/>
          <w:sz w:val="22"/>
          <w:szCs w:val="22"/>
          <w:lang w:eastAsia="en-US"/>
        </w:rPr>
        <w:t xml:space="preserve">. This provides a useful, shorthand way of identifying the relevant chemicals, without separately listing the </w:t>
      </w:r>
      <w:r w:rsidR="00B44656" w:rsidRPr="003177C2">
        <w:rPr>
          <w:rFonts w:eastAsia="Calibri"/>
          <w:sz w:val="22"/>
          <w:szCs w:val="22"/>
          <w:lang w:eastAsia="en-US"/>
        </w:rPr>
        <w:t xml:space="preserve">lengthy </w:t>
      </w:r>
      <w:r w:rsidR="00FB6E54" w:rsidRPr="003177C2">
        <w:rPr>
          <w:rFonts w:eastAsia="Calibri"/>
          <w:sz w:val="22"/>
          <w:szCs w:val="22"/>
          <w:lang w:eastAsia="en-US"/>
        </w:rPr>
        <w:t>Schedules (i.e. lists of chemicals) in the WHS</w:t>
      </w:r>
      <w:r w:rsidR="00B44656" w:rsidRPr="003177C2">
        <w:rPr>
          <w:rFonts w:eastAsia="Calibri"/>
          <w:sz w:val="22"/>
          <w:szCs w:val="22"/>
          <w:lang w:eastAsia="en-US"/>
        </w:rPr>
        <w:t> </w:t>
      </w:r>
      <w:r w:rsidR="00FB6E54" w:rsidRPr="003177C2">
        <w:rPr>
          <w:rFonts w:eastAsia="Calibri"/>
          <w:sz w:val="22"/>
          <w:szCs w:val="22"/>
          <w:lang w:eastAsia="en-US"/>
        </w:rPr>
        <w:t>Regulations.</w:t>
      </w:r>
    </w:p>
    <w:p w14:paraId="16C9FED5" w14:textId="77777777" w:rsidR="00FB6E54" w:rsidRPr="003177C2" w:rsidRDefault="00FB6E54" w:rsidP="006500CB">
      <w:pPr>
        <w:rPr>
          <w:rFonts w:eastAsia="Calibri"/>
          <w:sz w:val="22"/>
          <w:szCs w:val="22"/>
          <w:lang w:eastAsia="en-US"/>
        </w:rPr>
      </w:pPr>
    </w:p>
    <w:p w14:paraId="5E41E29B" w14:textId="77777777" w:rsidR="00FB6E54" w:rsidRPr="003177C2" w:rsidRDefault="00FB6E54" w:rsidP="006500CB">
      <w:pPr>
        <w:rPr>
          <w:rFonts w:eastAsia="Calibri"/>
          <w:sz w:val="22"/>
          <w:szCs w:val="22"/>
          <w:lang w:eastAsia="en-US"/>
        </w:rPr>
      </w:pPr>
      <w:r w:rsidRPr="003177C2">
        <w:rPr>
          <w:rFonts w:eastAsia="Calibri"/>
          <w:sz w:val="22"/>
          <w:szCs w:val="22"/>
          <w:lang w:eastAsia="en-US"/>
        </w:rPr>
        <w:t xml:space="preserve">Incorporating the Poisons Standard as </w:t>
      </w:r>
      <w:r w:rsidR="00C276B5" w:rsidRPr="003177C2">
        <w:rPr>
          <w:rFonts w:eastAsia="Calibri"/>
          <w:sz w:val="22"/>
          <w:szCs w:val="22"/>
          <w:lang w:eastAsia="en-US"/>
        </w:rPr>
        <w:t>in force</w:t>
      </w:r>
      <w:r w:rsidRPr="003177C2">
        <w:rPr>
          <w:rFonts w:eastAsia="Calibri"/>
          <w:sz w:val="22"/>
          <w:szCs w:val="22"/>
          <w:lang w:eastAsia="en-US"/>
        </w:rPr>
        <w:t xml:space="preserve"> or remade from time to time</w:t>
      </w:r>
      <w:r w:rsidR="0045442C">
        <w:rPr>
          <w:rFonts w:eastAsia="Calibri"/>
          <w:sz w:val="22"/>
          <w:szCs w:val="22"/>
          <w:lang w:eastAsia="en-US"/>
        </w:rPr>
        <w:t>,</w:t>
      </w:r>
      <w:r w:rsidRPr="003177C2">
        <w:rPr>
          <w:rFonts w:eastAsia="Calibri"/>
          <w:sz w:val="22"/>
          <w:szCs w:val="22"/>
          <w:lang w:eastAsia="en-US"/>
        </w:rPr>
        <w:t xml:space="preserve"> ensures that the laws reference the most up-to-date Schedules in the Poisons Standard.</w:t>
      </w:r>
      <w:r w:rsidR="00A23CC4" w:rsidRPr="003177C2">
        <w:rPr>
          <w:rFonts w:eastAsia="Calibri"/>
          <w:sz w:val="22"/>
          <w:szCs w:val="22"/>
          <w:lang w:eastAsia="en-US"/>
        </w:rPr>
        <w:t xml:space="preserve"> This is also the approach previously taken under subparagraph 335(3)(a), which is amended by the Regulation</w:t>
      </w:r>
      <w:r w:rsidR="00BD0730" w:rsidRPr="003177C2">
        <w:rPr>
          <w:rFonts w:eastAsia="Calibri"/>
          <w:sz w:val="22"/>
          <w:szCs w:val="22"/>
          <w:lang w:eastAsia="en-US"/>
        </w:rPr>
        <w:t>s</w:t>
      </w:r>
      <w:r w:rsidR="00C64E33" w:rsidRPr="003177C2">
        <w:rPr>
          <w:rFonts w:eastAsia="Calibri"/>
          <w:sz w:val="22"/>
          <w:szCs w:val="22"/>
          <w:lang w:eastAsia="en-US"/>
        </w:rPr>
        <w:t xml:space="preserve"> (see item 4)</w:t>
      </w:r>
      <w:r w:rsidR="00A23CC4" w:rsidRPr="003177C2">
        <w:rPr>
          <w:rFonts w:eastAsia="Calibri"/>
          <w:sz w:val="22"/>
          <w:szCs w:val="22"/>
          <w:lang w:eastAsia="en-US"/>
        </w:rPr>
        <w:t>.</w:t>
      </w:r>
    </w:p>
    <w:p w14:paraId="209F3B1D" w14:textId="77777777" w:rsidR="00FB6E54" w:rsidRPr="003177C2" w:rsidRDefault="00FB6E54" w:rsidP="006500CB">
      <w:pPr>
        <w:rPr>
          <w:rFonts w:eastAsia="Calibri"/>
          <w:sz w:val="22"/>
          <w:szCs w:val="22"/>
          <w:lang w:eastAsia="en-US"/>
        </w:rPr>
      </w:pPr>
    </w:p>
    <w:p w14:paraId="17AB831B" w14:textId="77777777" w:rsidR="008254AF" w:rsidRPr="003177C2" w:rsidRDefault="00B44656">
      <w:pPr>
        <w:rPr>
          <w:rFonts w:eastAsia="Calibri"/>
          <w:sz w:val="22"/>
          <w:szCs w:val="22"/>
          <w:lang w:eastAsia="en-US"/>
        </w:rPr>
      </w:pPr>
      <w:r w:rsidRPr="003177C2">
        <w:rPr>
          <w:rFonts w:eastAsia="Calibri"/>
          <w:sz w:val="22"/>
          <w:szCs w:val="22"/>
          <w:lang w:eastAsia="en-US"/>
        </w:rPr>
        <w:t xml:space="preserve">The Poisons Standard is available in electronic form, free of charge, on the Federal Register of Legislation website. </w:t>
      </w:r>
      <w:r w:rsidR="00FB6E54" w:rsidRPr="003177C2">
        <w:rPr>
          <w:rFonts w:eastAsia="Calibri"/>
          <w:sz w:val="22"/>
          <w:szCs w:val="22"/>
          <w:lang w:eastAsia="en-US"/>
        </w:rPr>
        <w:t xml:space="preserve">The Poisons Standard is made under the </w:t>
      </w:r>
      <w:r w:rsidR="00FB6E54" w:rsidRPr="003177C2">
        <w:rPr>
          <w:rFonts w:eastAsia="Calibri"/>
          <w:i/>
          <w:sz w:val="22"/>
          <w:szCs w:val="22"/>
          <w:lang w:eastAsia="en-US"/>
        </w:rPr>
        <w:t>Therapeutic Goods Act 1989</w:t>
      </w:r>
      <w:r w:rsidR="00FB6E54" w:rsidRPr="003177C2">
        <w:rPr>
          <w:rFonts w:eastAsia="Calibri"/>
          <w:sz w:val="22"/>
          <w:szCs w:val="22"/>
          <w:lang w:eastAsia="en-US"/>
        </w:rPr>
        <w:t xml:space="preserve">, and it is a </w:t>
      </w:r>
      <w:r w:rsidR="000A3D4F" w:rsidRPr="003177C2">
        <w:rPr>
          <w:rFonts w:eastAsia="Calibri"/>
          <w:sz w:val="22"/>
          <w:szCs w:val="22"/>
          <w:lang w:eastAsia="en-US"/>
        </w:rPr>
        <w:t>l</w:t>
      </w:r>
      <w:r w:rsidR="00FB6E54" w:rsidRPr="003177C2">
        <w:rPr>
          <w:rFonts w:eastAsia="Calibri"/>
          <w:sz w:val="22"/>
          <w:szCs w:val="22"/>
          <w:lang w:eastAsia="en-US"/>
        </w:rPr>
        <w:t xml:space="preserve">egislative </w:t>
      </w:r>
      <w:r w:rsidR="000A3D4F" w:rsidRPr="003177C2">
        <w:rPr>
          <w:rFonts w:eastAsia="Calibri"/>
          <w:sz w:val="22"/>
          <w:szCs w:val="22"/>
          <w:lang w:eastAsia="en-US"/>
        </w:rPr>
        <w:t>i</w:t>
      </w:r>
      <w:r w:rsidR="00FB6E54" w:rsidRPr="003177C2">
        <w:rPr>
          <w:rFonts w:eastAsia="Calibri"/>
          <w:sz w:val="22"/>
          <w:szCs w:val="22"/>
          <w:lang w:eastAsia="en-US"/>
        </w:rPr>
        <w:t xml:space="preserve">nstrument for the purposes of the </w:t>
      </w:r>
      <w:r w:rsidR="00BD0730" w:rsidRPr="003177C2">
        <w:rPr>
          <w:rFonts w:eastAsia="Calibri"/>
          <w:i/>
          <w:sz w:val="22"/>
          <w:szCs w:val="22"/>
          <w:lang w:eastAsia="en-US"/>
        </w:rPr>
        <w:t>Legislation Act</w:t>
      </w:r>
      <w:r w:rsidR="00FB6E54" w:rsidRPr="003177C2">
        <w:rPr>
          <w:rFonts w:eastAsia="Calibri"/>
          <w:i/>
          <w:sz w:val="22"/>
          <w:szCs w:val="22"/>
          <w:lang w:eastAsia="en-US"/>
        </w:rPr>
        <w:t xml:space="preserve"> 2003</w:t>
      </w:r>
      <w:r w:rsidR="00FB6E54" w:rsidRPr="003177C2">
        <w:rPr>
          <w:rFonts w:eastAsia="Calibri"/>
          <w:sz w:val="22"/>
          <w:szCs w:val="22"/>
          <w:lang w:eastAsia="en-US"/>
        </w:rPr>
        <w:t>.</w:t>
      </w:r>
    </w:p>
    <w:p w14:paraId="29D165CC" w14:textId="77777777" w:rsidR="00847CAC" w:rsidRPr="003177C2" w:rsidRDefault="00847CAC">
      <w:pPr>
        <w:rPr>
          <w:rFonts w:eastAsia="Calibri"/>
          <w:sz w:val="22"/>
          <w:szCs w:val="22"/>
          <w:lang w:eastAsia="en-US"/>
        </w:rPr>
      </w:pPr>
    </w:p>
    <w:p w14:paraId="613B056B" w14:textId="77777777" w:rsidR="00392ADD" w:rsidRPr="003177C2" w:rsidRDefault="00847CAC" w:rsidP="00542E2C">
      <w:pPr>
        <w:spacing w:after="120"/>
        <w:rPr>
          <w:rFonts w:eastAsia="Calibri"/>
          <w:sz w:val="22"/>
          <w:szCs w:val="22"/>
          <w:u w:val="single"/>
          <w:lang w:eastAsia="en-US"/>
        </w:rPr>
      </w:pPr>
      <w:r w:rsidRPr="003177C2">
        <w:rPr>
          <w:rFonts w:eastAsia="Calibri"/>
          <w:sz w:val="22"/>
          <w:szCs w:val="22"/>
          <w:u w:val="single"/>
          <w:lang w:eastAsia="en-US"/>
        </w:rPr>
        <w:t xml:space="preserve">Item 6 </w:t>
      </w:r>
      <w:r w:rsidR="008037FA" w:rsidRPr="003177C2">
        <w:rPr>
          <w:rFonts w:eastAsia="Calibri"/>
          <w:sz w:val="22"/>
          <w:szCs w:val="22"/>
          <w:u w:val="single"/>
          <w:lang w:eastAsia="en-US"/>
        </w:rPr>
        <w:t>-</w:t>
      </w:r>
      <w:r w:rsidRPr="003177C2">
        <w:rPr>
          <w:rFonts w:eastAsia="Calibri"/>
          <w:sz w:val="22"/>
          <w:szCs w:val="22"/>
          <w:u w:val="single"/>
          <w:lang w:eastAsia="en-US"/>
        </w:rPr>
        <w:t xml:space="preserve"> Regulation 341 </w:t>
      </w:r>
    </w:p>
    <w:p w14:paraId="304BD08F" w14:textId="77777777" w:rsidR="00B15A9F" w:rsidRPr="003177C2" w:rsidRDefault="00392ADD" w:rsidP="00542E2C">
      <w:pPr>
        <w:spacing w:after="120"/>
        <w:rPr>
          <w:rFonts w:eastAsia="Calibri"/>
          <w:sz w:val="22"/>
          <w:szCs w:val="22"/>
          <w:u w:val="single"/>
          <w:lang w:eastAsia="en-US"/>
        </w:rPr>
      </w:pPr>
      <w:r w:rsidRPr="003177C2">
        <w:rPr>
          <w:rFonts w:eastAsia="Calibri"/>
          <w:sz w:val="22"/>
          <w:szCs w:val="22"/>
          <w:u w:val="single"/>
          <w:lang w:eastAsia="en-US"/>
        </w:rPr>
        <w:t xml:space="preserve">Item 7 </w:t>
      </w:r>
      <w:r w:rsidR="008037FA" w:rsidRPr="003177C2">
        <w:rPr>
          <w:rFonts w:eastAsia="Calibri"/>
          <w:sz w:val="22"/>
          <w:szCs w:val="22"/>
          <w:u w:val="single"/>
          <w:lang w:eastAsia="en-US"/>
        </w:rPr>
        <w:t>-</w:t>
      </w:r>
      <w:r w:rsidRPr="003177C2">
        <w:rPr>
          <w:rFonts w:eastAsia="Calibri"/>
          <w:sz w:val="22"/>
          <w:szCs w:val="22"/>
          <w:u w:val="single"/>
          <w:lang w:eastAsia="en-US"/>
        </w:rPr>
        <w:t xml:space="preserve"> At the end of </w:t>
      </w:r>
      <w:r w:rsidR="00C36D1D">
        <w:rPr>
          <w:rFonts w:eastAsia="Calibri"/>
          <w:sz w:val="22"/>
          <w:szCs w:val="22"/>
          <w:u w:val="single"/>
          <w:lang w:eastAsia="en-US"/>
        </w:rPr>
        <w:t>r</w:t>
      </w:r>
      <w:r w:rsidR="00C36D1D" w:rsidRPr="003177C2">
        <w:rPr>
          <w:rFonts w:eastAsia="Calibri"/>
          <w:sz w:val="22"/>
          <w:szCs w:val="22"/>
          <w:u w:val="single"/>
          <w:lang w:eastAsia="en-US"/>
        </w:rPr>
        <w:t xml:space="preserve">egulation </w:t>
      </w:r>
      <w:r w:rsidRPr="003177C2">
        <w:rPr>
          <w:rFonts w:eastAsia="Calibri"/>
          <w:sz w:val="22"/>
          <w:szCs w:val="22"/>
          <w:u w:val="single"/>
          <w:lang w:eastAsia="en-US"/>
        </w:rPr>
        <w:t>341</w:t>
      </w:r>
    </w:p>
    <w:p w14:paraId="678CCCFF" w14:textId="77777777" w:rsidR="00940AA3" w:rsidRPr="003177C2" w:rsidRDefault="00C64E33">
      <w:pPr>
        <w:rPr>
          <w:rFonts w:eastAsia="Calibri"/>
          <w:sz w:val="22"/>
          <w:szCs w:val="22"/>
          <w:lang w:eastAsia="en-US"/>
        </w:rPr>
      </w:pPr>
      <w:r w:rsidRPr="003177C2">
        <w:rPr>
          <w:rFonts w:eastAsia="Calibri"/>
          <w:sz w:val="22"/>
          <w:szCs w:val="22"/>
          <w:lang w:eastAsia="en-US"/>
        </w:rPr>
        <w:t>R</w:t>
      </w:r>
      <w:r w:rsidR="00940AA3" w:rsidRPr="003177C2">
        <w:rPr>
          <w:rFonts w:eastAsia="Calibri"/>
          <w:sz w:val="22"/>
          <w:szCs w:val="22"/>
          <w:lang w:eastAsia="en-US"/>
        </w:rPr>
        <w:t>egulation 341 requires the</w:t>
      </w:r>
      <w:r w:rsidR="00D3204C" w:rsidRPr="003177C2">
        <w:rPr>
          <w:rFonts w:eastAsia="Calibri"/>
          <w:sz w:val="22"/>
          <w:szCs w:val="22"/>
          <w:lang w:eastAsia="en-US"/>
        </w:rPr>
        <w:t xml:space="preserve"> </w:t>
      </w:r>
      <w:r w:rsidR="00BD18CA" w:rsidRPr="003177C2">
        <w:rPr>
          <w:rFonts w:eastAsia="Calibri"/>
          <w:sz w:val="22"/>
          <w:szCs w:val="22"/>
          <w:lang w:eastAsia="en-US"/>
        </w:rPr>
        <w:t>PCBU</w:t>
      </w:r>
      <w:r w:rsidR="00940AA3" w:rsidRPr="003177C2">
        <w:rPr>
          <w:rFonts w:eastAsia="Calibri"/>
          <w:sz w:val="22"/>
          <w:szCs w:val="22"/>
          <w:lang w:eastAsia="en-US"/>
        </w:rPr>
        <w:t xml:space="preserve"> to ensure that a hazardous chemical used, stored or handled at the workplace is correctly labelled as required under regulation 335</w:t>
      </w:r>
      <w:r w:rsidR="00ED0490" w:rsidRPr="003177C2">
        <w:rPr>
          <w:rFonts w:eastAsia="Calibri"/>
          <w:sz w:val="22"/>
          <w:szCs w:val="22"/>
          <w:lang w:eastAsia="en-US"/>
        </w:rPr>
        <w:t xml:space="preserve"> (i.e. with a GHS label)</w:t>
      </w:r>
      <w:r w:rsidR="00940AA3" w:rsidRPr="003177C2">
        <w:rPr>
          <w:rFonts w:eastAsia="Calibri"/>
          <w:sz w:val="22"/>
          <w:szCs w:val="22"/>
          <w:lang w:eastAsia="en-US"/>
        </w:rPr>
        <w:t>.</w:t>
      </w:r>
    </w:p>
    <w:p w14:paraId="1FA144AE" w14:textId="77777777" w:rsidR="00940AA3" w:rsidRPr="003177C2" w:rsidRDefault="00940AA3">
      <w:pPr>
        <w:rPr>
          <w:rFonts w:eastAsia="Calibri"/>
          <w:sz w:val="22"/>
          <w:szCs w:val="22"/>
          <w:lang w:eastAsia="en-US"/>
        </w:rPr>
      </w:pPr>
    </w:p>
    <w:p w14:paraId="08D48C39" w14:textId="77777777" w:rsidR="00940AA3" w:rsidRPr="003177C2" w:rsidRDefault="00A45675" w:rsidP="00EB655D">
      <w:pPr>
        <w:spacing w:after="120"/>
        <w:rPr>
          <w:rFonts w:eastAsia="Calibri"/>
          <w:sz w:val="22"/>
          <w:szCs w:val="22"/>
          <w:lang w:eastAsia="en-US"/>
        </w:rPr>
      </w:pPr>
      <w:r w:rsidRPr="003177C2">
        <w:rPr>
          <w:rFonts w:eastAsia="Calibri"/>
          <w:sz w:val="22"/>
          <w:szCs w:val="22"/>
          <w:lang w:eastAsia="en-US"/>
        </w:rPr>
        <w:t>Th</w:t>
      </w:r>
      <w:r w:rsidR="00A809C4" w:rsidRPr="003177C2">
        <w:rPr>
          <w:rFonts w:eastAsia="Calibri"/>
          <w:sz w:val="22"/>
          <w:szCs w:val="22"/>
          <w:lang w:eastAsia="en-US"/>
        </w:rPr>
        <w:t>is</w:t>
      </w:r>
      <w:r w:rsidRPr="003177C2">
        <w:rPr>
          <w:rFonts w:eastAsia="Calibri"/>
          <w:sz w:val="22"/>
          <w:szCs w:val="22"/>
          <w:lang w:eastAsia="en-US"/>
        </w:rPr>
        <w:t xml:space="preserve"> item</w:t>
      </w:r>
      <w:r w:rsidR="00940AA3" w:rsidRPr="003177C2">
        <w:rPr>
          <w:rFonts w:eastAsia="Calibri"/>
          <w:sz w:val="22"/>
          <w:szCs w:val="22"/>
          <w:lang w:eastAsia="en-US"/>
        </w:rPr>
        <w:t xml:space="preserve"> insert</w:t>
      </w:r>
      <w:r w:rsidR="00A809C4" w:rsidRPr="003177C2">
        <w:rPr>
          <w:rFonts w:eastAsia="Calibri"/>
          <w:sz w:val="22"/>
          <w:szCs w:val="22"/>
          <w:lang w:eastAsia="en-US"/>
        </w:rPr>
        <w:t>s</w:t>
      </w:r>
      <w:r w:rsidR="00940AA3" w:rsidRPr="003177C2">
        <w:rPr>
          <w:rFonts w:eastAsia="Calibri"/>
          <w:sz w:val="22"/>
          <w:szCs w:val="22"/>
          <w:lang w:eastAsia="en-US"/>
        </w:rPr>
        <w:t xml:space="preserve"> </w:t>
      </w:r>
      <w:r w:rsidR="00D3204C" w:rsidRPr="003177C2">
        <w:rPr>
          <w:rFonts w:eastAsia="Calibri"/>
          <w:sz w:val="22"/>
          <w:szCs w:val="22"/>
          <w:lang w:eastAsia="en-US"/>
        </w:rPr>
        <w:t xml:space="preserve">new </w:t>
      </w:r>
      <w:r w:rsidR="00940AA3" w:rsidRPr="003177C2">
        <w:rPr>
          <w:rFonts w:eastAsia="Calibri"/>
          <w:sz w:val="22"/>
          <w:szCs w:val="22"/>
          <w:lang w:eastAsia="en-US"/>
        </w:rPr>
        <w:t>subregulation 341(2)</w:t>
      </w:r>
      <w:r w:rsidR="00A809C4" w:rsidRPr="003177C2">
        <w:rPr>
          <w:rFonts w:eastAsia="Calibri"/>
          <w:sz w:val="22"/>
          <w:szCs w:val="22"/>
          <w:lang w:eastAsia="en-US"/>
        </w:rPr>
        <w:t xml:space="preserve">. New subregulation 341(2) </w:t>
      </w:r>
      <w:r w:rsidR="00940AA3" w:rsidRPr="003177C2">
        <w:rPr>
          <w:rFonts w:eastAsia="Calibri"/>
          <w:sz w:val="22"/>
          <w:szCs w:val="22"/>
          <w:lang w:eastAsia="en-US"/>
        </w:rPr>
        <w:t>provides a</w:t>
      </w:r>
      <w:r w:rsidR="00F01292" w:rsidRPr="003177C2">
        <w:rPr>
          <w:rFonts w:eastAsia="Calibri"/>
          <w:sz w:val="22"/>
          <w:szCs w:val="22"/>
          <w:lang w:eastAsia="en-US"/>
        </w:rPr>
        <w:t>n ongoing exemption</w:t>
      </w:r>
      <w:r w:rsidR="00A809C4" w:rsidRPr="003177C2">
        <w:rPr>
          <w:rFonts w:eastAsia="Calibri"/>
          <w:sz w:val="22"/>
          <w:szCs w:val="22"/>
          <w:lang w:eastAsia="en-US"/>
        </w:rPr>
        <w:t xml:space="preserve"> in relation to</w:t>
      </w:r>
      <w:r w:rsidR="00940AA3" w:rsidRPr="003177C2">
        <w:rPr>
          <w:rFonts w:eastAsia="Calibri"/>
          <w:sz w:val="22"/>
          <w:szCs w:val="22"/>
          <w:lang w:eastAsia="en-US"/>
        </w:rPr>
        <w:t xml:space="preserve"> a hazardous chemical used, handled or stored at </w:t>
      </w:r>
      <w:r w:rsidR="00A809C4" w:rsidRPr="003177C2">
        <w:rPr>
          <w:rFonts w:eastAsia="Calibri"/>
          <w:sz w:val="22"/>
          <w:szCs w:val="22"/>
          <w:lang w:eastAsia="en-US"/>
        </w:rPr>
        <w:t>a</w:t>
      </w:r>
      <w:r w:rsidR="00940AA3" w:rsidRPr="003177C2">
        <w:rPr>
          <w:rFonts w:eastAsia="Calibri"/>
          <w:sz w:val="22"/>
          <w:szCs w:val="22"/>
          <w:lang w:eastAsia="en-US"/>
        </w:rPr>
        <w:t xml:space="preserve"> workplace </w:t>
      </w:r>
      <w:r w:rsidR="00A809C4" w:rsidRPr="003177C2">
        <w:rPr>
          <w:rFonts w:eastAsia="Calibri"/>
          <w:sz w:val="22"/>
          <w:szCs w:val="22"/>
          <w:lang w:eastAsia="en-US"/>
        </w:rPr>
        <w:t>that</w:t>
      </w:r>
      <w:r w:rsidR="00EB655D" w:rsidRPr="003177C2">
        <w:rPr>
          <w:rFonts w:eastAsia="Calibri"/>
          <w:sz w:val="22"/>
          <w:szCs w:val="22"/>
          <w:lang w:eastAsia="en-US"/>
        </w:rPr>
        <w:t xml:space="preserve"> was</w:t>
      </w:r>
      <w:r w:rsidR="00940AA3" w:rsidRPr="003177C2">
        <w:rPr>
          <w:rFonts w:eastAsia="Calibri"/>
          <w:sz w:val="22"/>
          <w:szCs w:val="22"/>
          <w:lang w:eastAsia="en-US"/>
        </w:rPr>
        <w:t>:</w:t>
      </w:r>
    </w:p>
    <w:p w14:paraId="5D142558" w14:textId="77777777" w:rsidR="00940AA3" w:rsidRPr="003177C2" w:rsidRDefault="00F01292" w:rsidP="00542E2C">
      <w:pPr>
        <w:pStyle w:val="ListParagraph"/>
        <w:numPr>
          <w:ilvl w:val="0"/>
          <w:numId w:val="35"/>
        </w:numPr>
        <w:spacing w:after="120"/>
        <w:ind w:left="714" w:hanging="357"/>
        <w:contextualSpacing w:val="0"/>
        <w:rPr>
          <w:rFonts w:eastAsia="Calibri"/>
          <w:sz w:val="22"/>
          <w:szCs w:val="22"/>
          <w:lang w:eastAsia="en-US"/>
        </w:rPr>
      </w:pPr>
      <w:r w:rsidRPr="003177C2">
        <w:rPr>
          <w:rFonts w:eastAsia="Calibri"/>
          <w:sz w:val="22"/>
          <w:szCs w:val="22"/>
          <w:lang w:eastAsia="en-US"/>
        </w:rPr>
        <w:t>manufactured or imported</w:t>
      </w:r>
      <w:r w:rsidR="00940AA3" w:rsidRPr="003177C2">
        <w:rPr>
          <w:rFonts w:eastAsia="Calibri"/>
          <w:sz w:val="22"/>
          <w:szCs w:val="22"/>
          <w:lang w:eastAsia="en-US"/>
        </w:rPr>
        <w:t xml:space="preserve"> before 1 January 2017; and </w:t>
      </w:r>
    </w:p>
    <w:p w14:paraId="68E99B79" w14:textId="77777777" w:rsidR="00135C52" w:rsidRPr="003177C2" w:rsidRDefault="00940AA3" w:rsidP="000B167E">
      <w:pPr>
        <w:pStyle w:val="ListParagraph"/>
        <w:numPr>
          <w:ilvl w:val="0"/>
          <w:numId w:val="35"/>
        </w:numPr>
        <w:spacing w:after="240"/>
        <w:ind w:left="714" w:hanging="357"/>
        <w:rPr>
          <w:rFonts w:eastAsia="Calibri"/>
          <w:sz w:val="22"/>
          <w:szCs w:val="22"/>
          <w:lang w:eastAsia="en-US"/>
        </w:rPr>
      </w:pPr>
      <w:r w:rsidRPr="003177C2">
        <w:rPr>
          <w:rFonts w:eastAsia="Calibri"/>
          <w:sz w:val="22"/>
          <w:szCs w:val="22"/>
          <w:lang w:eastAsia="en-US"/>
        </w:rPr>
        <w:t xml:space="preserve">at the time it was </w:t>
      </w:r>
      <w:r w:rsidR="00F01292" w:rsidRPr="003177C2">
        <w:rPr>
          <w:rFonts w:eastAsia="Calibri"/>
          <w:sz w:val="22"/>
          <w:szCs w:val="22"/>
          <w:lang w:eastAsia="en-US"/>
        </w:rPr>
        <w:t>manufactured or imported</w:t>
      </w:r>
      <w:r w:rsidR="00EB655D" w:rsidRPr="003177C2">
        <w:rPr>
          <w:rFonts w:eastAsia="Calibri"/>
          <w:sz w:val="22"/>
          <w:szCs w:val="22"/>
          <w:lang w:eastAsia="en-US"/>
        </w:rPr>
        <w:t>—</w:t>
      </w:r>
      <w:r w:rsidRPr="003177C2">
        <w:rPr>
          <w:rFonts w:eastAsia="Calibri"/>
          <w:sz w:val="22"/>
          <w:szCs w:val="22"/>
          <w:lang w:eastAsia="en-US"/>
        </w:rPr>
        <w:t xml:space="preserve">labelled in accordance with the </w:t>
      </w:r>
      <w:r w:rsidRPr="003177C2">
        <w:rPr>
          <w:rFonts w:eastAsia="Calibri"/>
          <w:i/>
          <w:sz w:val="22"/>
          <w:szCs w:val="22"/>
          <w:lang w:eastAsia="en-US"/>
        </w:rPr>
        <w:t>National Code of Practice for the Labelling of Workplace Substances [NOHSC: 2012 (1994)</w:t>
      </w:r>
      <w:r w:rsidR="00135C52" w:rsidRPr="003177C2">
        <w:rPr>
          <w:rFonts w:eastAsia="Calibri"/>
          <w:i/>
          <w:sz w:val="22"/>
          <w:szCs w:val="22"/>
          <w:lang w:eastAsia="en-US"/>
        </w:rPr>
        <w:t>]</w:t>
      </w:r>
      <w:r w:rsidR="00D3204C" w:rsidRPr="003177C2">
        <w:rPr>
          <w:rFonts w:eastAsia="Calibri"/>
          <w:sz w:val="22"/>
          <w:szCs w:val="22"/>
          <w:lang w:eastAsia="en-US"/>
        </w:rPr>
        <w:t xml:space="preserve"> (the </w:t>
      </w:r>
      <w:r w:rsidR="00B34F28">
        <w:rPr>
          <w:rFonts w:eastAsia="Calibri"/>
          <w:sz w:val="22"/>
          <w:szCs w:val="22"/>
          <w:lang w:eastAsia="en-US"/>
        </w:rPr>
        <w:t xml:space="preserve">National </w:t>
      </w:r>
      <w:r w:rsidR="00D3204C" w:rsidRPr="007B7E9E">
        <w:rPr>
          <w:rFonts w:eastAsia="Calibri"/>
          <w:sz w:val="22"/>
          <w:szCs w:val="22"/>
          <w:lang w:eastAsia="en-US"/>
        </w:rPr>
        <w:t>Code</w:t>
      </w:r>
      <w:r w:rsidR="00D3204C" w:rsidRPr="003177C2">
        <w:rPr>
          <w:rFonts w:eastAsia="Calibri"/>
          <w:sz w:val="22"/>
          <w:szCs w:val="22"/>
          <w:lang w:eastAsia="en-US"/>
        </w:rPr>
        <w:t>)</w:t>
      </w:r>
      <w:r w:rsidR="00135C52" w:rsidRPr="003177C2">
        <w:rPr>
          <w:rFonts w:eastAsia="Calibri"/>
          <w:sz w:val="22"/>
          <w:szCs w:val="22"/>
          <w:lang w:eastAsia="en-US"/>
        </w:rPr>
        <w:t xml:space="preserve"> as in force </w:t>
      </w:r>
      <w:r w:rsidR="00EB655D" w:rsidRPr="003177C2">
        <w:rPr>
          <w:rFonts w:eastAsia="Calibri"/>
          <w:sz w:val="22"/>
          <w:szCs w:val="22"/>
          <w:lang w:eastAsia="en-US"/>
        </w:rPr>
        <w:t xml:space="preserve">under an applicable law </w:t>
      </w:r>
      <w:r w:rsidR="00135C52" w:rsidRPr="003177C2">
        <w:rPr>
          <w:rFonts w:eastAsia="Calibri"/>
          <w:sz w:val="22"/>
          <w:szCs w:val="22"/>
          <w:lang w:eastAsia="en-US"/>
        </w:rPr>
        <w:t>at that time.</w:t>
      </w:r>
    </w:p>
    <w:p w14:paraId="64FE707C" w14:textId="77777777" w:rsidR="00A809C4" w:rsidRPr="008B0826" w:rsidRDefault="00A809C4" w:rsidP="000B167E">
      <w:pPr>
        <w:spacing w:after="120"/>
        <w:rPr>
          <w:rFonts w:eastAsia="Calibri"/>
          <w:sz w:val="22"/>
          <w:szCs w:val="22"/>
          <w:lang w:eastAsia="en-US"/>
        </w:rPr>
      </w:pPr>
      <w:r w:rsidRPr="007B7E9E">
        <w:rPr>
          <w:rFonts w:eastAsia="Calibri"/>
          <w:sz w:val="22"/>
          <w:szCs w:val="22"/>
          <w:lang w:eastAsia="en-US"/>
        </w:rPr>
        <w:t>The effect of this item is that there is no requirement for a PCBU to relabel a hazardous chemical that</w:t>
      </w:r>
      <w:r w:rsidR="00EB655D" w:rsidRPr="007B7E9E">
        <w:rPr>
          <w:rFonts w:eastAsia="Calibri"/>
          <w:sz w:val="22"/>
          <w:szCs w:val="22"/>
          <w:lang w:eastAsia="en-US"/>
        </w:rPr>
        <w:t xml:space="preserve"> meets these conditions.</w:t>
      </w:r>
      <w:r w:rsidR="00A16148" w:rsidRPr="008B0826">
        <w:rPr>
          <w:rFonts w:eastAsia="Calibri"/>
          <w:sz w:val="22"/>
          <w:szCs w:val="22"/>
          <w:lang w:eastAsia="en-US"/>
        </w:rPr>
        <w:t xml:space="preserve"> </w:t>
      </w:r>
      <w:r w:rsidR="008141D1" w:rsidRPr="008B0826">
        <w:rPr>
          <w:rFonts w:eastAsia="Calibri"/>
          <w:sz w:val="22"/>
          <w:szCs w:val="22"/>
          <w:lang w:eastAsia="en-US"/>
        </w:rPr>
        <w:t>S</w:t>
      </w:r>
      <w:r w:rsidR="00A16148" w:rsidRPr="008B0826">
        <w:rPr>
          <w:rFonts w:eastAsia="Calibri"/>
          <w:sz w:val="22"/>
          <w:szCs w:val="22"/>
          <w:lang w:eastAsia="en-US"/>
        </w:rPr>
        <w:t>ubregulation 342(2) makes it clear that the label (whether the original label or a copy) must stay affixed to the container, for as long as it contains the hazardous chemical (see Item 9 below).</w:t>
      </w:r>
    </w:p>
    <w:p w14:paraId="102E24BC" w14:textId="77777777" w:rsidR="00EB655D" w:rsidRDefault="00EB655D" w:rsidP="000B167E">
      <w:pPr>
        <w:spacing w:after="120"/>
        <w:rPr>
          <w:rFonts w:eastAsia="Calibri"/>
          <w:sz w:val="22"/>
          <w:szCs w:val="22"/>
          <w:lang w:eastAsia="en-US"/>
        </w:rPr>
      </w:pPr>
      <w:r w:rsidRPr="003177C2">
        <w:rPr>
          <w:rFonts w:eastAsia="Calibri"/>
          <w:sz w:val="22"/>
          <w:szCs w:val="22"/>
          <w:lang w:eastAsia="en-US"/>
        </w:rPr>
        <w:t>However, if the hazardous chemical is supplied by the PCBU to another workplace after 1 January 2017, new subregulation 341(2) does not apply and regulation 338 will apply to require the PCBU to correctly label the hazardous chemical in accordance with regulation 335. A legislative note following the provision makes this clear.</w:t>
      </w:r>
    </w:p>
    <w:p w14:paraId="5543F20C" w14:textId="77777777" w:rsidR="00700822" w:rsidRPr="003177C2" w:rsidRDefault="00700822" w:rsidP="000B167E">
      <w:pPr>
        <w:spacing w:after="120"/>
        <w:rPr>
          <w:rFonts w:eastAsia="Calibri"/>
          <w:sz w:val="22"/>
          <w:szCs w:val="22"/>
          <w:lang w:eastAsia="en-US"/>
        </w:rPr>
      </w:pPr>
      <w:r>
        <w:rPr>
          <w:rFonts w:eastAsia="Calibri"/>
          <w:sz w:val="22"/>
          <w:szCs w:val="22"/>
          <w:lang w:eastAsia="en-US"/>
        </w:rPr>
        <w:t>By new subregulation 341(3), th</w:t>
      </w:r>
      <w:r w:rsidR="00D7623F">
        <w:rPr>
          <w:rFonts w:eastAsia="Calibri"/>
          <w:sz w:val="22"/>
          <w:szCs w:val="22"/>
          <w:lang w:eastAsia="en-US"/>
        </w:rPr>
        <w:t>e</w:t>
      </w:r>
      <w:r>
        <w:rPr>
          <w:rFonts w:eastAsia="Calibri"/>
          <w:sz w:val="22"/>
          <w:szCs w:val="22"/>
          <w:lang w:eastAsia="en-US"/>
        </w:rPr>
        <w:t xml:space="preserve"> new </w:t>
      </w:r>
      <w:r w:rsidR="00D7623F">
        <w:rPr>
          <w:rFonts w:eastAsia="Calibri"/>
          <w:sz w:val="22"/>
          <w:szCs w:val="22"/>
          <w:lang w:eastAsia="en-US"/>
        </w:rPr>
        <w:t xml:space="preserve">transitional </w:t>
      </w:r>
      <w:r>
        <w:rPr>
          <w:rFonts w:eastAsia="Calibri"/>
          <w:sz w:val="22"/>
          <w:szCs w:val="22"/>
          <w:lang w:eastAsia="en-US"/>
        </w:rPr>
        <w:t>measure ‘sunsets’ so it ceases to have effect after five years.</w:t>
      </w:r>
    </w:p>
    <w:p w14:paraId="2AA9A794" w14:textId="77777777" w:rsidR="00131920" w:rsidRPr="003177C2" w:rsidRDefault="00131920" w:rsidP="00D3204C">
      <w:pPr>
        <w:rPr>
          <w:rFonts w:eastAsia="Calibri"/>
          <w:sz w:val="22"/>
          <w:szCs w:val="22"/>
          <w:highlight w:val="yellow"/>
          <w:lang w:eastAsia="en-US"/>
        </w:rPr>
      </w:pPr>
    </w:p>
    <w:p w14:paraId="498E9DD9" w14:textId="77777777" w:rsidR="00135C52" w:rsidRPr="003177C2" w:rsidRDefault="00A81366">
      <w:pPr>
        <w:spacing w:after="120"/>
        <w:rPr>
          <w:rFonts w:eastAsia="Calibri"/>
          <w:sz w:val="22"/>
          <w:szCs w:val="22"/>
          <w:u w:val="single"/>
          <w:lang w:eastAsia="en-US"/>
        </w:rPr>
      </w:pPr>
      <w:r w:rsidRPr="003177C2">
        <w:rPr>
          <w:rFonts w:eastAsia="Calibri"/>
          <w:sz w:val="22"/>
          <w:szCs w:val="22"/>
          <w:u w:val="single"/>
          <w:lang w:eastAsia="en-US"/>
        </w:rPr>
        <w:t xml:space="preserve">Item 8 </w:t>
      </w:r>
      <w:r w:rsidR="00135C52" w:rsidRPr="003177C2">
        <w:rPr>
          <w:rFonts w:eastAsia="Calibri"/>
          <w:sz w:val="22"/>
          <w:szCs w:val="22"/>
          <w:u w:val="single"/>
          <w:lang w:eastAsia="en-US"/>
        </w:rPr>
        <w:t>-</w:t>
      </w:r>
      <w:r w:rsidR="008037FA" w:rsidRPr="003177C2">
        <w:rPr>
          <w:rFonts w:eastAsia="Calibri"/>
          <w:sz w:val="22"/>
          <w:szCs w:val="22"/>
          <w:u w:val="single"/>
          <w:lang w:eastAsia="en-US"/>
        </w:rPr>
        <w:t xml:space="preserve"> After subregulation 342(1) </w:t>
      </w:r>
    </w:p>
    <w:p w14:paraId="7F4A79CD" w14:textId="77777777" w:rsidR="00E213EF" w:rsidRPr="003177C2" w:rsidRDefault="00E213EF" w:rsidP="000B167E">
      <w:pPr>
        <w:spacing w:after="120"/>
        <w:rPr>
          <w:rFonts w:eastAsia="Calibri"/>
          <w:sz w:val="22"/>
          <w:szCs w:val="22"/>
          <w:lang w:eastAsia="en-US"/>
        </w:rPr>
      </w:pPr>
      <w:r w:rsidRPr="003177C2">
        <w:rPr>
          <w:rFonts w:eastAsia="Calibri"/>
          <w:sz w:val="22"/>
          <w:szCs w:val="22"/>
          <w:lang w:eastAsia="en-US"/>
        </w:rPr>
        <w:t xml:space="preserve">This item inserts a new subregulation after subregulation 342(1). New subregulation 342(1A) </w:t>
      </w:r>
      <w:r w:rsidR="00A07D29" w:rsidRPr="003177C2">
        <w:rPr>
          <w:rFonts w:eastAsia="Calibri"/>
          <w:sz w:val="22"/>
          <w:szCs w:val="22"/>
          <w:lang w:eastAsia="en-US"/>
        </w:rPr>
        <w:t>provides an ongoing exemption in relation to a hazardous chemical</w:t>
      </w:r>
      <w:r w:rsidR="006F5E8D" w:rsidRPr="003177C2">
        <w:rPr>
          <w:rFonts w:eastAsia="Calibri"/>
          <w:sz w:val="22"/>
          <w:szCs w:val="22"/>
          <w:lang w:eastAsia="en-US"/>
        </w:rPr>
        <w:t xml:space="preserve"> at a workplace that</w:t>
      </w:r>
      <w:r w:rsidRPr="003177C2">
        <w:rPr>
          <w:rFonts w:eastAsia="Calibri"/>
          <w:sz w:val="22"/>
          <w:szCs w:val="22"/>
          <w:lang w:eastAsia="en-US"/>
        </w:rPr>
        <w:t>:</w:t>
      </w:r>
    </w:p>
    <w:p w14:paraId="672FA3DB" w14:textId="77777777" w:rsidR="00E213EF" w:rsidRPr="003177C2" w:rsidRDefault="00E213EF" w:rsidP="000B167E">
      <w:pPr>
        <w:pStyle w:val="ListParagraph"/>
        <w:numPr>
          <w:ilvl w:val="0"/>
          <w:numId w:val="35"/>
        </w:numPr>
        <w:spacing w:after="120"/>
        <w:ind w:left="714" w:hanging="357"/>
        <w:contextualSpacing w:val="0"/>
        <w:rPr>
          <w:rFonts w:eastAsia="Calibri"/>
          <w:sz w:val="22"/>
          <w:szCs w:val="22"/>
          <w:lang w:eastAsia="en-US"/>
        </w:rPr>
      </w:pPr>
      <w:r w:rsidRPr="003177C2">
        <w:rPr>
          <w:rFonts w:eastAsia="Calibri"/>
          <w:sz w:val="22"/>
          <w:szCs w:val="22"/>
          <w:lang w:eastAsia="en-US"/>
        </w:rPr>
        <w:t>was manufactured, or transferred or decanted from its original container at the workplace, before 1 January 2017, and</w:t>
      </w:r>
    </w:p>
    <w:p w14:paraId="29AE0876" w14:textId="77777777" w:rsidR="00E213EF" w:rsidRPr="008B0826" w:rsidRDefault="00E213EF" w:rsidP="000B167E">
      <w:pPr>
        <w:pStyle w:val="ListParagraph"/>
        <w:numPr>
          <w:ilvl w:val="0"/>
          <w:numId w:val="35"/>
        </w:numPr>
        <w:spacing w:after="120"/>
        <w:ind w:left="714" w:hanging="357"/>
        <w:contextualSpacing w:val="0"/>
        <w:rPr>
          <w:rFonts w:eastAsia="Calibri"/>
          <w:sz w:val="22"/>
          <w:szCs w:val="22"/>
          <w:lang w:eastAsia="en-US"/>
        </w:rPr>
      </w:pPr>
      <w:r w:rsidRPr="003177C2">
        <w:rPr>
          <w:rFonts w:eastAsia="Calibri"/>
          <w:sz w:val="22"/>
          <w:szCs w:val="22"/>
          <w:lang w:eastAsia="en-US"/>
        </w:rPr>
        <w:t xml:space="preserve">was, at the time it was manufactured, or transferred or decanted from its original container at the workplace, labelled in accordance with the </w:t>
      </w:r>
      <w:r w:rsidR="00B34F28">
        <w:rPr>
          <w:rFonts w:eastAsia="Calibri"/>
          <w:sz w:val="22"/>
          <w:szCs w:val="22"/>
          <w:lang w:eastAsia="en-US"/>
        </w:rPr>
        <w:t xml:space="preserve">National </w:t>
      </w:r>
      <w:r w:rsidR="00A07D29" w:rsidRPr="007B7E9E">
        <w:rPr>
          <w:rFonts w:eastAsia="Calibri"/>
          <w:sz w:val="22"/>
          <w:szCs w:val="22"/>
          <w:lang w:eastAsia="en-US"/>
        </w:rPr>
        <w:t>Code</w:t>
      </w:r>
      <w:r w:rsidRPr="007B7E9E">
        <w:rPr>
          <w:rFonts w:eastAsia="Calibri"/>
          <w:sz w:val="22"/>
          <w:szCs w:val="22"/>
          <w:lang w:eastAsia="en-US"/>
        </w:rPr>
        <w:t xml:space="preserve"> as in force </w:t>
      </w:r>
      <w:r w:rsidR="00A07D29" w:rsidRPr="008B0826">
        <w:rPr>
          <w:rFonts w:eastAsia="Calibri"/>
          <w:sz w:val="22"/>
          <w:szCs w:val="22"/>
          <w:lang w:eastAsia="en-US"/>
        </w:rPr>
        <w:t xml:space="preserve">under an applicable law </w:t>
      </w:r>
      <w:r w:rsidRPr="008B0826">
        <w:rPr>
          <w:rFonts w:eastAsia="Calibri"/>
          <w:sz w:val="22"/>
          <w:szCs w:val="22"/>
          <w:lang w:eastAsia="en-US"/>
        </w:rPr>
        <w:t>at that time.</w:t>
      </w:r>
    </w:p>
    <w:p w14:paraId="14877308" w14:textId="77777777" w:rsidR="006F5E8D" w:rsidRPr="003177C2" w:rsidRDefault="006F5E8D" w:rsidP="000B167E">
      <w:pPr>
        <w:spacing w:after="120"/>
        <w:rPr>
          <w:rFonts w:eastAsia="Calibri"/>
          <w:sz w:val="22"/>
          <w:szCs w:val="22"/>
          <w:lang w:eastAsia="en-US"/>
        </w:rPr>
      </w:pPr>
      <w:r w:rsidRPr="008B0826">
        <w:rPr>
          <w:rFonts w:eastAsia="Calibri"/>
          <w:sz w:val="22"/>
          <w:szCs w:val="22"/>
          <w:lang w:eastAsia="en-US"/>
        </w:rPr>
        <w:t>The effect of this item is that there is no requirement for a PCBU to relabel a hazardous chemical that meets these conditions.</w:t>
      </w:r>
      <w:r w:rsidR="00A16148" w:rsidRPr="008B0826">
        <w:rPr>
          <w:rFonts w:eastAsia="Calibri"/>
          <w:sz w:val="22"/>
          <w:szCs w:val="22"/>
          <w:lang w:eastAsia="en-US"/>
        </w:rPr>
        <w:t xml:space="preserve"> </w:t>
      </w:r>
      <w:r w:rsidR="008141D1" w:rsidRPr="00A3689A">
        <w:rPr>
          <w:rFonts w:eastAsia="Calibri"/>
          <w:sz w:val="22"/>
          <w:szCs w:val="22"/>
          <w:lang w:eastAsia="en-US"/>
        </w:rPr>
        <w:t>S</w:t>
      </w:r>
      <w:r w:rsidR="00A16148" w:rsidRPr="00A3689A">
        <w:rPr>
          <w:rFonts w:eastAsia="Calibri"/>
          <w:sz w:val="22"/>
          <w:szCs w:val="22"/>
          <w:lang w:eastAsia="en-US"/>
        </w:rPr>
        <w:t>ubregulation 342(2) makes it clear that the label must stay affixed to the con</w:t>
      </w:r>
      <w:r w:rsidR="00A16148" w:rsidRPr="003177C2">
        <w:rPr>
          <w:rFonts w:eastAsia="Calibri"/>
          <w:sz w:val="22"/>
          <w:szCs w:val="22"/>
          <w:lang w:eastAsia="en-US"/>
        </w:rPr>
        <w:t>tainer, for as long as it contains the hazardous chemical (see Item 9 below).</w:t>
      </w:r>
    </w:p>
    <w:p w14:paraId="2B54BD6B" w14:textId="77777777" w:rsidR="006F5E8D" w:rsidRPr="003177C2" w:rsidRDefault="006F5E8D" w:rsidP="006F5E8D">
      <w:pPr>
        <w:spacing w:after="120"/>
        <w:rPr>
          <w:rFonts w:eastAsia="Calibri"/>
          <w:sz w:val="22"/>
          <w:szCs w:val="22"/>
          <w:lang w:eastAsia="en-US"/>
        </w:rPr>
      </w:pPr>
      <w:r w:rsidRPr="003177C2">
        <w:rPr>
          <w:rFonts w:eastAsia="Calibri"/>
          <w:sz w:val="22"/>
          <w:szCs w:val="22"/>
          <w:lang w:eastAsia="en-US"/>
        </w:rPr>
        <w:t>However, if the hazardous chemical is subsequently supplied by the PCBU to another workplace after 1 January 2017, new subregulation 341(2) does not apply and regulation 338 will apply to require the PCBU to correctly label the hazardous chemical in accordance with regulation 335. A legislative note following the provision makes this clear.</w:t>
      </w:r>
    </w:p>
    <w:p w14:paraId="6CF37E98" w14:textId="77777777" w:rsidR="007975F9" w:rsidRDefault="006F5E8D" w:rsidP="006F5E8D">
      <w:pPr>
        <w:rPr>
          <w:rFonts w:eastAsia="Calibri"/>
          <w:sz w:val="22"/>
          <w:szCs w:val="22"/>
          <w:lang w:eastAsia="en-US"/>
        </w:rPr>
      </w:pPr>
      <w:r w:rsidRPr="003177C2">
        <w:rPr>
          <w:rFonts w:eastAsia="Calibri"/>
          <w:sz w:val="22"/>
          <w:szCs w:val="22"/>
          <w:lang w:eastAsia="en-US"/>
        </w:rPr>
        <w:lastRenderedPageBreak/>
        <w:t>Hazardous chemicals that do not meet</w:t>
      </w:r>
      <w:r w:rsidR="005874B6" w:rsidRPr="003177C2">
        <w:rPr>
          <w:rFonts w:eastAsia="Calibri"/>
          <w:sz w:val="22"/>
          <w:szCs w:val="22"/>
          <w:lang w:eastAsia="en-US"/>
        </w:rPr>
        <w:t xml:space="preserve"> </w:t>
      </w:r>
      <w:r w:rsidRPr="003177C2">
        <w:rPr>
          <w:rFonts w:eastAsia="Calibri"/>
          <w:sz w:val="22"/>
          <w:szCs w:val="22"/>
          <w:lang w:eastAsia="en-US"/>
        </w:rPr>
        <w:t>the exemption criteria must be correctly labelled—see regulation 335. Modified requirements for labelling transferred or decanted hazardous chemicals are included in item 6 of Schedule 9 to the WHS Regulations</w:t>
      </w:r>
      <w:r w:rsidR="00D20C6F" w:rsidRPr="003177C2">
        <w:rPr>
          <w:rFonts w:eastAsia="Calibri"/>
          <w:sz w:val="22"/>
          <w:szCs w:val="22"/>
          <w:lang w:eastAsia="en-US"/>
        </w:rPr>
        <w:t>.</w:t>
      </w:r>
    </w:p>
    <w:p w14:paraId="544C8D6C" w14:textId="77777777" w:rsidR="00700822" w:rsidRDefault="00700822" w:rsidP="006F5E8D">
      <w:pPr>
        <w:rPr>
          <w:rFonts w:eastAsia="Calibri"/>
          <w:sz w:val="22"/>
          <w:szCs w:val="22"/>
          <w:highlight w:val="yellow"/>
          <w:lang w:eastAsia="en-US"/>
        </w:rPr>
      </w:pPr>
    </w:p>
    <w:p w14:paraId="17DA39FC" w14:textId="77777777" w:rsidR="00700822" w:rsidRPr="003177C2" w:rsidRDefault="00700822" w:rsidP="00B72DC7">
      <w:pPr>
        <w:spacing w:after="120"/>
        <w:rPr>
          <w:rFonts w:eastAsia="Calibri"/>
          <w:sz w:val="22"/>
          <w:szCs w:val="22"/>
          <w:highlight w:val="yellow"/>
          <w:lang w:eastAsia="en-US"/>
        </w:rPr>
      </w:pPr>
      <w:r>
        <w:rPr>
          <w:rFonts w:eastAsia="Calibri"/>
          <w:sz w:val="22"/>
          <w:szCs w:val="22"/>
          <w:lang w:eastAsia="en-US"/>
        </w:rPr>
        <w:t xml:space="preserve">By new subregulation 342(1B), the new </w:t>
      </w:r>
      <w:r w:rsidR="00D7623F">
        <w:rPr>
          <w:rFonts w:eastAsia="Calibri"/>
          <w:sz w:val="22"/>
          <w:szCs w:val="22"/>
          <w:lang w:eastAsia="en-US"/>
        </w:rPr>
        <w:t xml:space="preserve">transitional </w:t>
      </w:r>
      <w:r>
        <w:rPr>
          <w:rFonts w:eastAsia="Calibri"/>
          <w:sz w:val="22"/>
          <w:szCs w:val="22"/>
          <w:lang w:eastAsia="en-US"/>
        </w:rPr>
        <w:t>measure ‘sunsets’ so it ceases to have effect after five years.</w:t>
      </w:r>
    </w:p>
    <w:p w14:paraId="29EF328B" w14:textId="77777777" w:rsidR="00431014" w:rsidRPr="003177C2" w:rsidRDefault="00431014" w:rsidP="00542E2C">
      <w:pPr>
        <w:rPr>
          <w:rFonts w:eastAsia="Calibri"/>
          <w:sz w:val="22"/>
          <w:szCs w:val="22"/>
          <w:highlight w:val="yellow"/>
          <w:lang w:eastAsia="en-US"/>
        </w:rPr>
      </w:pPr>
    </w:p>
    <w:p w14:paraId="5872C899" w14:textId="77777777" w:rsidR="006F135E" w:rsidRPr="003177C2" w:rsidRDefault="006F135E" w:rsidP="006F135E">
      <w:pPr>
        <w:spacing w:after="120"/>
        <w:rPr>
          <w:rFonts w:eastAsia="Calibri"/>
          <w:sz w:val="22"/>
          <w:szCs w:val="22"/>
          <w:u w:val="single"/>
          <w:lang w:eastAsia="en-US"/>
        </w:rPr>
      </w:pPr>
      <w:r w:rsidRPr="003177C2">
        <w:rPr>
          <w:rFonts w:eastAsia="Calibri"/>
          <w:sz w:val="22"/>
          <w:szCs w:val="22"/>
          <w:u w:val="single"/>
          <w:lang w:eastAsia="en-US"/>
        </w:rPr>
        <w:t xml:space="preserve">Item 9 – After subregulation 342(2) </w:t>
      </w:r>
    </w:p>
    <w:p w14:paraId="46868813" w14:textId="77777777" w:rsidR="00B219CE" w:rsidRPr="003177C2" w:rsidRDefault="00ED0490" w:rsidP="00447C6D">
      <w:pPr>
        <w:spacing w:after="120"/>
        <w:rPr>
          <w:rFonts w:eastAsia="Calibri"/>
          <w:sz w:val="22"/>
          <w:szCs w:val="22"/>
          <w:lang w:eastAsia="en-US"/>
        </w:rPr>
      </w:pPr>
      <w:r w:rsidRPr="003177C2">
        <w:rPr>
          <w:rFonts w:eastAsia="Calibri"/>
          <w:sz w:val="22"/>
          <w:szCs w:val="22"/>
          <w:lang w:eastAsia="en-US"/>
        </w:rPr>
        <w:t>S</w:t>
      </w:r>
      <w:r w:rsidR="002E076C" w:rsidRPr="003177C2">
        <w:rPr>
          <w:rFonts w:eastAsia="Calibri"/>
          <w:sz w:val="22"/>
          <w:szCs w:val="22"/>
          <w:lang w:eastAsia="en-US"/>
        </w:rPr>
        <w:t xml:space="preserve">ubregulation 342(2) </w:t>
      </w:r>
      <w:r w:rsidR="00424AD2" w:rsidRPr="003177C2">
        <w:rPr>
          <w:rFonts w:eastAsia="Calibri"/>
          <w:sz w:val="22"/>
          <w:szCs w:val="22"/>
          <w:lang w:eastAsia="en-US"/>
        </w:rPr>
        <w:t>requires</w:t>
      </w:r>
      <w:r w:rsidR="002E076C" w:rsidRPr="003177C2">
        <w:rPr>
          <w:rFonts w:eastAsia="Calibri"/>
          <w:sz w:val="22"/>
          <w:szCs w:val="22"/>
          <w:lang w:eastAsia="en-US"/>
        </w:rPr>
        <w:t xml:space="preserve"> PCBU</w:t>
      </w:r>
      <w:r w:rsidR="00424AD2" w:rsidRPr="003177C2">
        <w:rPr>
          <w:rFonts w:eastAsia="Calibri"/>
          <w:sz w:val="22"/>
          <w:szCs w:val="22"/>
          <w:lang w:eastAsia="en-US"/>
        </w:rPr>
        <w:t>s</w:t>
      </w:r>
      <w:r w:rsidR="002E076C" w:rsidRPr="003177C2">
        <w:rPr>
          <w:rFonts w:eastAsia="Calibri"/>
          <w:sz w:val="22"/>
          <w:szCs w:val="22"/>
          <w:lang w:eastAsia="en-US"/>
        </w:rPr>
        <w:t xml:space="preserve"> </w:t>
      </w:r>
      <w:r w:rsidR="00424AD2" w:rsidRPr="003177C2">
        <w:rPr>
          <w:rFonts w:eastAsia="Calibri"/>
          <w:sz w:val="22"/>
          <w:szCs w:val="22"/>
          <w:lang w:eastAsia="en-US"/>
        </w:rPr>
        <w:t>to</w:t>
      </w:r>
      <w:r w:rsidR="002E076C" w:rsidRPr="003177C2">
        <w:rPr>
          <w:rFonts w:eastAsia="Calibri"/>
          <w:sz w:val="22"/>
          <w:szCs w:val="22"/>
          <w:lang w:eastAsia="en-US"/>
        </w:rPr>
        <w:t xml:space="preserve"> ensure, so far as is reasonably practicable, that </w:t>
      </w:r>
      <w:r w:rsidR="00424AD2" w:rsidRPr="003177C2">
        <w:rPr>
          <w:rFonts w:eastAsia="Calibri"/>
          <w:sz w:val="22"/>
          <w:szCs w:val="22"/>
          <w:lang w:eastAsia="en-US"/>
        </w:rPr>
        <w:t>containers storing hazardous chemicals remain</w:t>
      </w:r>
      <w:r w:rsidR="002E076C" w:rsidRPr="003177C2">
        <w:rPr>
          <w:rFonts w:eastAsia="Calibri"/>
          <w:sz w:val="22"/>
          <w:szCs w:val="22"/>
          <w:lang w:eastAsia="en-US"/>
        </w:rPr>
        <w:t xml:space="preserve"> correctly labelled</w:t>
      </w:r>
      <w:r w:rsidR="00424AD2" w:rsidRPr="003177C2">
        <w:rPr>
          <w:rFonts w:eastAsia="Calibri"/>
          <w:sz w:val="22"/>
          <w:szCs w:val="22"/>
          <w:lang w:eastAsia="en-US"/>
        </w:rPr>
        <w:t>, for as long as</w:t>
      </w:r>
      <w:r w:rsidR="002E076C" w:rsidRPr="003177C2">
        <w:rPr>
          <w:rFonts w:eastAsia="Calibri"/>
          <w:sz w:val="22"/>
          <w:szCs w:val="22"/>
          <w:lang w:eastAsia="en-US"/>
        </w:rPr>
        <w:t xml:space="preserve"> the container contains the hazardous chemical</w:t>
      </w:r>
      <w:r w:rsidR="00424AD2" w:rsidRPr="003177C2">
        <w:rPr>
          <w:rFonts w:eastAsia="Calibri"/>
          <w:sz w:val="22"/>
          <w:szCs w:val="22"/>
          <w:lang w:eastAsia="en-US"/>
        </w:rPr>
        <w:t xml:space="preserve"> (see regulation 335)</w:t>
      </w:r>
      <w:r w:rsidR="002E076C" w:rsidRPr="003177C2">
        <w:rPr>
          <w:rFonts w:eastAsia="Calibri"/>
          <w:sz w:val="22"/>
          <w:szCs w:val="22"/>
          <w:lang w:eastAsia="en-US"/>
        </w:rPr>
        <w:t>.</w:t>
      </w:r>
    </w:p>
    <w:p w14:paraId="321F095C" w14:textId="77777777" w:rsidR="00ED0490" w:rsidRDefault="00ED0490" w:rsidP="006A4BD5">
      <w:pPr>
        <w:rPr>
          <w:rFonts w:eastAsia="Calibri"/>
          <w:sz w:val="22"/>
          <w:szCs w:val="22"/>
          <w:lang w:eastAsia="en-US"/>
        </w:rPr>
      </w:pPr>
      <w:r w:rsidRPr="003177C2">
        <w:rPr>
          <w:rFonts w:eastAsia="Calibri"/>
          <w:sz w:val="22"/>
          <w:szCs w:val="22"/>
          <w:lang w:eastAsia="en-US"/>
        </w:rPr>
        <w:t xml:space="preserve">This item amends the </w:t>
      </w:r>
      <w:r w:rsidR="00356F6D">
        <w:rPr>
          <w:rFonts w:eastAsia="Calibri"/>
          <w:sz w:val="22"/>
          <w:szCs w:val="22"/>
          <w:lang w:eastAsia="en-US"/>
        </w:rPr>
        <w:t xml:space="preserve">provision to add a new </w:t>
      </w:r>
      <w:r w:rsidRPr="003177C2">
        <w:rPr>
          <w:rFonts w:eastAsia="Calibri"/>
          <w:sz w:val="22"/>
          <w:szCs w:val="22"/>
          <w:lang w:eastAsia="en-US"/>
        </w:rPr>
        <w:t>subregulation</w:t>
      </w:r>
      <w:r w:rsidR="00356F6D">
        <w:rPr>
          <w:rFonts w:eastAsia="Calibri"/>
          <w:sz w:val="22"/>
          <w:szCs w:val="22"/>
          <w:lang w:eastAsia="en-US"/>
        </w:rPr>
        <w:t> 342(2A),</w:t>
      </w:r>
      <w:r w:rsidRPr="003177C2">
        <w:rPr>
          <w:rFonts w:eastAsia="Calibri"/>
          <w:sz w:val="22"/>
          <w:szCs w:val="22"/>
          <w:lang w:eastAsia="en-US"/>
        </w:rPr>
        <w:t xml:space="preserve"> so </w:t>
      </w:r>
      <w:r w:rsidR="00356F6D">
        <w:rPr>
          <w:rFonts w:eastAsia="Calibri"/>
          <w:sz w:val="22"/>
          <w:szCs w:val="22"/>
          <w:lang w:eastAsia="en-US"/>
        </w:rPr>
        <w:t>the provision</w:t>
      </w:r>
      <w:r w:rsidRPr="003177C2">
        <w:rPr>
          <w:rFonts w:eastAsia="Calibri"/>
          <w:sz w:val="22"/>
          <w:szCs w:val="22"/>
          <w:lang w:eastAsia="en-US"/>
        </w:rPr>
        <w:t xml:space="preserve"> also </w:t>
      </w:r>
      <w:r w:rsidR="00356F6D">
        <w:rPr>
          <w:rFonts w:eastAsia="Calibri"/>
          <w:sz w:val="22"/>
          <w:szCs w:val="22"/>
          <w:lang w:eastAsia="en-US"/>
        </w:rPr>
        <w:t>accommodates</w:t>
      </w:r>
      <w:r w:rsidRPr="003177C2">
        <w:rPr>
          <w:rFonts w:eastAsia="Calibri"/>
          <w:sz w:val="22"/>
          <w:szCs w:val="22"/>
          <w:lang w:eastAsia="en-US"/>
        </w:rPr>
        <w:t xml:space="preserve"> other labels (i.e. other than GHS labels) that </w:t>
      </w:r>
      <w:r w:rsidR="00356F6D">
        <w:rPr>
          <w:rFonts w:eastAsia="Calibri"/>
          <w:sz w:val="22"/>
          <w:szCs w:val="22"/>
          <w:lang w:eastAsia="en-US"/>
        </w:rPr>
        <w:t>are</w:t>
      </w:r>
      <w:r w:rsidRPr="003177C2">
        <w:rPr>
          <w:rFonts w:eastAsia="Calibri"/>
          <w:sz w:val="22"/>
          <w:szCs w:val="22"/>
          <w:lang w:eastAsia="en-US"/>
        </w:rPr>
        <w:t xml:space="preserve"> permitted under the </w:t>
      </w:r>
      <w:r w:rsidR="00356F6D">
        <w:rPr>
          <w:rFonts w:eastAsia="Calibri"/>
          <w:sz w:val="22"/>
          <w:szCs w:val="22"/>
          <w:lang w:eastAsia="en-US"/>
        </w:rPr>
        <w:t xml:space="preserve">new </w:t>
      </w:r>
      <w:r w:rsidRPr="003177C2">
        <w:rPr>
          <w:rFonts w:eastAsia="Calibri"/>
          <w:sz w:val="22"/>
          <w:szCs w:val="22"/>
          <w:lang w:eastAsia="en-US"/>
        </w:rPr>
        <w:t>transitional arrangements—see subregulations 341(2) and 342(1A).</w:t>
      </w:r>
    </w:p>
    <w:p w14:paraId="6BB6DAB2" w14:textId="77777777" w:rsidR="006357E6" w:rsidRPr="007B7E9E" w:rsidRDefault="006357E6" w:rsidP="006A4BD5">
      <w:pPr>
        <w:rPr>
          <w:rFonts w:eastAsia="Calibri"/>
          <w:sz w:val="22"/>
          <w:szCs w:val="22"/>
          <w:lang w:eastAsia="en-US"/>
        </w:rPr>
      </w:pPr>
    </w:p>
    <w:p w14:paraId="60F0DB6B" w14:textId="77777777" w:rsidR="00705BB5" w:rsidRPr="00A3689A" w:rsidRDefault="00ED0490" w:rsidP="00ED0490">
      <w:pPr>
        <w:spacing w:after="120"/>
        <w:rPr>
          <w:rFonts w:eastAsia="Calibri"/>
          <w:sz w:val="22"/>
          <w:szCs w:val="22"/>
          <w:lang w:eastAsia="en-US"/>
        </w:rPr>
      </w:pPr>
      <w:r w:rsidRPr="008B0826">
        <w:rPr>
          <w:rFonts w:eastAsia="Calibri"/>
          <w:sz w:val="22"/>
          <w:szCs w:val="22"/>
          <w:lang w:eastAsia="en-US"/>
        </w:rPr>
        <w:t xml:space="preserve">In effect, containers storing hazardous chemicals at workplaces </w:t>
      </w:r>
      <w:r w:rsidR="00705BB5" w:rsidRPr="008B0826">
        <w:rPr>
          <w:rFonts w:eastAsia="Calibri"/>
          <w:sz w:val="22"/>
          <w:szCs w:val="22"/>
          <w:lang w:eastAsia="en-US"/>
        </w:rPr>
        <w:t>must be (and continue to be)</w:t>
      </w:r>
      <w:r w:rsidRPr="008B0826">
        <w:rPr>
          <w:rFonts w:eastAsia="Calibri"/>
          <w:sz w:val="22"/>
          <w:szCs w:val="22"/>
          <w:lang w:eastAsia="en-US"/>
        </w:rPr>
        <w:t xml:space="preserve"> properly labelled</w:t>
      </w:r>
      <w:r w:rsidR="00705BB5" w:rsidRPr="008B0826">
        <w:rPr>
          <w:rFonts w:eastAsia="Calibri"/>
          <w:sz w:val="22"/>
          <w:szCs w:val="22"/>
          <w:lang w:eastAsia="en-US"/>
        </w:rPr>
        <w:t>, either</w:t>
      </w:r>
      <w:r w:rsidRPr="008B0826">
        <w:rPr>
          <w:rFonts w:eastAsia="Calibri"/>
          <w:sz w:val="22"/>
          <w:szCs w:val="22"/>
          <w:lang w:eastAsia="en-US"/>
        </w:rPr>
        <w:t xml:space="preserve"> with</w:t>
      </w:r>
      <w:r w:rsidR="00705BB5" w:rsidRPr="00A3689A">
        <w:rPr>
          <w:rFonts w:eastAsia="Calibri"/>
          <w:sz w:val="22"/>
          <w:szCs w:val="22"/>
          <w:lang w:eastAsia="en-US"/>
        </w:rPr>
        <w:t>:</w:t>
      </w:r>
    </w:p>
    <w:p w14:paraId="131E8259" w14:textId="77777777" w:rsidR="00705BB5" w:rsidRPr="007B7E9E" w:rsidRDefault="00ED0490" w:rsidP="000B167E">
      <w:pPr>
        <w:pStyle w:val="ListParagraph"/>
        <w:numPr>
          <w:ilvl w:val="0"/>
          <w:numId w:val="44"/>
        </w:numPr>
        <w:spacing w:after="120"/>
        <w:rPr>
          <w:rFonts w:eastAsia="Calibri"/>
          <w:sz w:val="22"/>
          <w:szCs w:val="22"/>
          <w:lang w:eastAsia="en-US"/>
        </w:rPr>
      </w:pPr>
      <w:r w:rsidRPr="003177C2">
        <w:rPr>
          <w:rFonts w:eastAsia="Calibri"/>
          <w:sz w:val="22"/>
          <w:szCs w:val="22"/>
          <w:lang w:eastAsia="en-US"/>
        </w:rPr>
        <w:t>a GHS label</w:t>
      </w:r>
      <w:r w:rsidR="00705BB5" w:rsidRPr="003177C2">
        <w:rPr>
          <w:rFonts w:eastAsia="Calibri"/>
          <w:sz w:val="22"/>
          <w:szCs w:val="22"/>
          <w:lang w:eastAsia="en-US"/>
        </w:rPr>
        <w:t xml:space="preserve"> (see reg</w:t>
      </w:r>
      <w:r w:rsidR="00A91C94">
        <w:rPr>
          <w:rFonts w:eastAsia="Calibri"/>
          <w:sz w:val="22"/>
          <w:szCs w:val="22"/>
          <w:lang w:eastAsia="en-US"/>
        </w:rPr>
        <w:t>ulation</w:t>
      </w:r>
      <w:r w:rsidR="00705BB5" w:rsidRPr="007B7E9E">
        <w:rPr>
          <w:rFonts w:eastAsia="Calibri"/>
          <w:sz w:val="22"/>
          <w:szCs w:val="22"/>
          <w:lang w:eastAsia="en-US"/>
        </w:rPr>
        <w:t> 335)</w:t>
      </w:r>
      <w:r w:rsidR="00A91C94">
        <w:rPr>
          <w:rFonts w:eastAsia="Calibri"/>
          <w:sz w:val="22"/>
          <w:szCs w:val="22"/>
          <w:lang w:eastAsia="en-US"/>
        </w:rPr>
        <w:t>;</w:t>
      </w:r>
      <w:r w:rsidRPr="007B7E9E">
        <w:rPr>
          <w:rFonts w:eastAsia="Calibri"/>
          <w:sz w:val="22"/>
          <w:szCs w:val="22"/>
          <w:lang w:eastAsia="en-US"/>
        </w:rPr>
        <w:t xml:space="preserve"> or</w:t>
      </w:r>
    </w:p>
    <w:p w14:paraId="147B4815" w14:textId="77777777" w:rsidR="00705BB5" w:rsidRPr="003177C2" w:rsidRDefault="00ED0490" w:rsidP="000B167E">
      <w:pPr>
        <w:pStyle w:val="ListParagraph"/>
        <w:numPr>
          <w:ilvl w:val="0"/>
          <w:numId w:val="44"/>
        </w:numPr>
        <w:spacing w:after="120"/>
        <w:rPr>
          <w:rFonts w:eastAsia="Calibri"/>
          <w:sz w:val="22"/>
          <w:szCs w:val="22"/>
          <w:lang w:eastAsia="en-US"/>
        </w:rPr>
      </w:pPr>
      <w:r w:rsidRPr="008B0826">
        <w:rPr>
          <w:rFonts w:eastAsia="Calibri"/>
          <w:sz w:val="22"/>
          <w:szCs w:val="22"/>
          <w:lang w:eastAsia="en-US"/>
        </w:rPr>
        <w:t>as mentioned under the new transitional arrangements,</w:t>
      </w:r>
    </w:p>
    <w:p w14:paraId="58890680" w14:textId="77777777" w:rsidR="00A91C94" w:rsidRDefault="00ED0490" w:rsidP="006A4BD5">
      <w:pPr>
        <w:rPr>
          <w:rFonts w:eastAsia="Calibri"/>
          <w:sz w:val="22"/>
          <w:szCs w:val="22"/>
          <w:lang w:eastAsia="en-US"/>
        </w:rPr>
      </w:pPr>
      <w:r w:rsidRPr="003177C2">
        <w:rPr>
          <w:rFonts w:eastAsia="Calibri"/>
          <w:sz w:val="22"/>
          <w:szCs w:val="22"/>
          <w:lang w:eastAsia="en-US"/>
        </w:rPr>
        <w:t xml:space="preserve">for as long as they contain those chemicals. </w:t>
      </w:r>
    </w:p>
    <w:p w14:paraId="1BCB312C" w14:textId="77777777" w:rsidR="006357E6" w:rsidRDefault="006357E6" w:rsidP="006A4BD5">
      <w:pPr>
        <w:rPr>
          <w:rFonts w:eastAsia="Calibri"/>
          <w:sz w:val="22"/>
          <w:szCs w:val="22"/>
          <w:lang w:eastAsia="en-US"/>
        </w:rPr>
      </w:pPr>
    </w:p>
    <w:p w14:paraId="5D2A2233" w14:textId="77777777" w:rsidR="00ED0490" w:rsidRDefault="00ED0490" w:rsidP="006A4BD5">
      <w:pPr>
        <w:rPr>
          <w:rFonts w:eastAsia="Calibri"/>
          <w:sz w:val="22"/>
          <w:szCs w:val="22"/>
          <w:lang w:eastAsia="en-US"/>
        </w:rPr>
      </w:pPr>
      <w:r w:rsidRPr="003177C2">
        <w:rPr>
          <w:rFonts w:eastAsia="Calibri"/>
          <w:sz w:val="22"/>
          <w:szCs w:val="22"/>
          <w:lang w:eastAsia="en-US"/>
        </w:rPr>
        <w:t xml:space="preserve">Under </w:t>
      </w:r>
      <w:r w:rsidR="008141D1" w:rsidRPr="003177C2">
        <w:rPr>
          <w:rFonts w:eastAsia="Calibri"/>
          <w:sz w:val="22"/>
          <w:szCs w:val="22"/>
          <w:lang w:eastAsia="en-US"/>
        </w:rPr>
        <w:t xml:space="preserve">the </w:t>
      </w:r>
      <w:r w:rsidRPr="00B318F2">
        <w:rPr>
          <w:rFonts w:eastAsia="Calibri"/>
          <w:sz w:val="22"/>
          <w:szCs w:val="22"/>
          <w:lang w:eastAsia="en-US"/>
        </w:rPr>
        <w:t xml:space="preserve">transitional </w:t>
      </w:r>
      <w:r w:rsidRPr="007B7E9E">
        <w:rPr>
          <w:rFonts w:eastAsia="Calibri"/>
          <w:sz w:val="22"/>
          <w:szCs w:val="22"/>
          <w:lang w:eastAsia="en-US"/>
        </w:rPr>
        <w:t>arrangements</w:t>
      </w:r>
      <w:r w:rsidR="00B64E21" w:rsidRPr="007B7E9E">
        <w:rPr>
          <w:rFonts w:eastAsia="Calibri"/>
          <w:sz w:val="22"/>
          <w:szCs w:val="22"/>
          <w:lang w:eastAsia="en-US"/>
        </w:rPr>
        <w:t>,</w:t>
      </w:r>
      <w:r w:rsidRPr="007B7E9E">
        <w:rPr>
          <w:rFonts w:eastAsia="Calibri"/>
          <w:sz w:val="22"/>
          <w:szCs w:val="22"/>
          <w:lang w:eastAsia="en-US"/>
        </w:rPr>
        <w:t xml:space="preserve"> this could be the original manufacturer’s/importer’s label or a copy—providing the label complies with the relevant content requirements under the </w:t>
      </w:r>
      <w:r w:rsidR="00B34F28">
        <w:rPr>
          <w:rFonts w:eastAsia="Calibri"/>
          <w:sz w:val="22"/>
          <w:szCs w:val="22"/>
          <w:lang w:eastAsia="en-US"/>
        </w:rPr>
        <w:t xml:space="preserve">National </w:t>
      </w:r>
      <w:r w:rsidRPr="007B7E9E">
        <w:rPr>
          <w:rFonts w:eastAsia="Calibri"/>
          <w:sz w:val="22"/>
          <w:szCs w:val="22"/>
          <w:lang w:eastAsia="en-US"/>
        </w:rPr>
        <w:t>Code.</w:t>
      </w:r>
    </w:p>
    <w:p w14:paraId="346EE7BA" w14:textId="77777777" w:rsidR="006357E6" w:rsidRPr="007B7E9E" w:rsidRDefault="006357E6" w:rsidP="006A4BD5">
      <w:pPr>
        <w:rPr>
          <w:rFonts w:eastAsia="Calibri"/>
          <w:sz w:val="22"/>
          <w:szCs w:val="22"/>
          <w:lang w:eastAsia="en-US"/>
        </w:rPr>
      </w:pPr>
    </w:p>
    <w:p w14:paraId="1DBCA550" w14:textId="77777777" w:rsidR="00ED0490" w:rsidRPr="003177C2" w:rsidRDefault="00ED0490" w:rsidP="006A4BD5">
      <w:pPr>
        <w:rPr>
          <w:rFonts w:eastAsia="Calibri"/>
          <w:sz w:val="22"/>
          <w:szCs w:val="22"/>
          <w:lang w:eastAsia="en-US"/>
        </w:rPr>
      </w:pPr>
      <w:r w:rsidRPr="008B0826">
        <w:rPr>
          <w:rFonts w:eastAsia="Calibri"/>
          <w:sz w:val="22"/>
          <w:szCs w:val="22"/>
          <w:lang w:eastAsia="en-US"/>
        </w:rPr>
        <w:t xml:space="preserve">Even if the transitional arrangements apply, end users </w:t>
      </w:r>
      <w:r w:rsidR="00B64E21" w:rsidRPr="008B0826">
        <w:rPr>
          <w:rFonts w:eastAsia="Calibri"/>
          <w:sz w:val="22"/>
          <w:szCs w:val="22"/>
          <w:lang w:eastAsia="en-US"/>
        </w:rPr>
        <w:t>may</w:t>
      </w:r>
      <w:r w:rsidRPr="008B0826">
        <w:rPr>
          <w:rFonts w:eastAsia="Calibri"/>
          <w:sz w:val="22"/>
          <w:szCs w:val="22"/>
          <w:lang w:eastAsia="en-US"/>
        </w:rPr>
        <w:t xml:space="preserve"> still opt to replace old, compliant labels with new GHS labels, as prescribed by the </w:t>
      </w:r>
      <w:r w:rsidR="008141D1" w:rsidRPr="008B0826">
        <w:rPr>
          <w:rFonts w:eastAsia="Calibri"/>
          <w:sz w:val="22"/>
          <w:szCs w:val="22"/>
          <w:lang w:eastAsia="en-US"/>
        </w:rPr>
        <w:t>WHS</w:t>
      </w:r>
      <w:r w:rsidRPr="003177C2">
        <w:rPr>
          <w:rFonts w:eastAsia="Calibri"/>
          <w:sz w:val="22"/>
          <w:szCs w:val="22"/>
          <w:lang w:eastAsia="en-US"/>
        </w:rPr>
        <w:t xml:space="preserve"> Regulations.</w:t>
      </w:r>
    </w:p>
    <w:p w14:paraId="691EA043" w14:textId="77777777" w:rsidR="005B7CA5" w:rsidRDefault="005B7CA5" w:rsidP="00447C6D">
      <w:pPr>
        <w:rPr>
          <w:sz w:val="22"/>
          <w:szCs w:val="22"/>
        </w:rPr>
      </w:pPr>
    </w:p>
    <w:p w14:paraId="56F71F01" w14:textId="77777777" w:rsidR="00D7623F" w:rsidRDefault="00D7623F" w:rsidP="00447C6D">
      <w:pPr>
        <w:rPr>
          <w:sz w:val="22"/>
          <w:szCs w:val="22"/>
        </w:rPr>
      </w:pPr>
      <w:r>
        <w:rPr>
          <w:sz w:val="22"/>
          <w:szCs w:val="22"/>
        </w:rPr>
        <w:t>By new subregulation 342(2B), the new transitional measure ‘sunsets’ so it ceases to have effect after five years.</w:t>
      </w:r>
    </w:p>
    <w:p w14:paraId="616D3C15" w14:textId="77777777" w:rsidR="00D7623F" w:rsidRPr="003177C2" w:rsidRDefault="00D7623F" w:rsidP="00447C6D">
      <w:pPr>
        <w:rPr>
          <w:sz w:val="22"/>
          <w:szCs w:val="22"/>
        </w:rPr>
      </w:pPr>
    </w:p>
    <w:p w14:paraId="36A6DFD9" w14:textId="77777777" w:rsidR="00D45743" w:rsidRPr="008B0826" w:rsidRDefault="00D45743" w:rsidP="00D45743">
      <w:pPr>
        <w:spacing w:after="120"/>
        <w:rPr>
          <w:sz w:val="22"/>
          <w:szCs w:val="22"/>
        </w:rPr>
      </w:pPr>
      <w:r w:rsidRPr="007B7E9E">
        <w:rPr>
          <w:i/>
          <w:sz w:val="22"/>
          <w:szCs w:val="22"/>
          <w:u w:val="single"/>
        </w:rPr>
        <w:t xml:space="preserve">Incorporation of Documents: Items 7 - 9 </w:t>
      </w:r>
    </w:p>
    <w:p w14:paraId="3AE66917" w14:textId="77777777" w:rsidR="00D45743" w:rsidRPr="003177C2" w:rsidRDefault="00D45743" w:rsidP="00D45743">
      <w:pPr>
        <w:rPr>
          <w:rStyle w:val="Hyperlink"/>
          <w:color w:val="auto"/>
          <w:sz w:val="22"/>
          <w:szCs w:val="22"/>
          <w:u w:val="none"/>
        </w:rPr>
      </w:pPr>
      <w:r w:rsidRPr="008B0826">
        <w:rPr>
          <w:sz w:val="22"/>
          <w:szCs w:val="22"/>
        </w:rPr>
        <w:t>Paragraph 276(3)(d) of the Act provides the WHS Regulations may</w:t>
      </w:r>
      <w:r w:rsidRPr="00A3689A">
        <w:rPr>
          <w:sz w:val="22"/>
          <w:szCs w:val="22"/>
        </w:rPr>
        <w:t xml:space="preserve"> apply, adopt or incorporate any matter contained in any document formulated, used or published by a person or body whether with or without modification, as in force at a particular time or as in force or remade from time to time.</w:t>
      </w:r>
      <w:r w:rsidRPr="003177C2">
        <w:rPr>
          <w:sz w:val="22"/>
          <w:szCs w:val="22"/>
        </w:rPr>
        <w:t xml:space="preserve"> </w:t>
      </w:r>
      <w:r w:rsidRPr="003177C2">
        <w:rPr>
          <w:rFonts w:eastAsia="Calibri"/>
          <w:sz w:val="22"/>
          <w:szCs w:val="22"/>
          <w:lang w:eastAsia="en-US"/>
        </w:rPr>
        <w:t>Items 7</w:t>
      </w:r>
      <w:r w:rsidR="002E32B4" w:rsidRPr="003177C2">
        <w:rPr>
          <w:rFonts w:eastAsia="Calibri"/>
          <w:sz w:val="22"/>
          <w:szCs w:val="22"/>
          <w:lang w:eastAsia="en-US"/>
        </w:rPr>
        <w:t xml:space="preserve"> – </w:t>
      </w:r>
      <w:r w:rsidRPr="003177C2">
        <w:rPr>
          <w:rFonts w:eastAsia="Calibri"/>
          <w:sz w:val="22"/>
          <w:szCs w:val="22"/>
          <w:lang w:eastAsia="en-US"/>
        </w:rPr>
        <w:t>9 of Schedule 1 to the Regulations incorporate the</w:t>
      </w:r>
      <w:r w:rsidR="00B34F28">
        <w:rPr>
          <w:rFonts w:eastAsia="Calibri"/>
          <w:sz w:val="22"/>
          <w:szCs w:val="22"/>
          <w:lang w:eastAsia="en-US"/>
        </w:rPr>
        <w:t xml:space="preserve"> National</w:t>
      </w:r>
      <w:r w:rsidRPr="007B7E9E">
        <w:rPr>
          <w:rFonts w:eastAsia="Calibri"/>
          <w:sz w:val="22"/>
          <w:szCs w:val="22"/>
          <w:lang w:eastAsia="en-US"/>
        </w:rPr>
        <w:t xml:space="preserve"> Code</w:t>
      </w:r>
      <w:r w:rsidRPr="007B7E9E">
        <w:rPr>
          <w:sz w:val="22"/>
          <w:szCs w:val="22"/>
        </w:rPr>
        <w:t xml:space="preserve">. The </w:t>
      </w:r>
      <w:r w:rsidR="00B34F28">
        <w:rPr>
          <w:sz w:val="22"/>
          <w:szCs w:val="22"/>
        </w:rPr>
        <w:t xml:space="preserve">National </w:t>
      </w:r>
      <w:r w:rsidRPr="007B7E9E">
        <w:rPr>
          <w:sz w:val="22"/>
          <w:szCs w:val="22"/>
        </w:rPr>
        <w:t>Code is incorporated at a particular time, as published, and may be accessed without any cost online</w:t>
      </w:r>
      <w:r w:rsidR="005B7CA5" w:rsidRPr="007B7E9E">
        <w:rPr>
          <w:sz w:val="22"/>
          <w:szCs w:val="22"/>
        </w:rPr>
        <w:t>, including</w:t>
      </w:r>
      <w:r w:rsidRPr="007B7E9E">
        <w:rPr>
          <w:sz w:val="22"/>
          <w:szCs w:val="22"/>
        </w:rPr>
        <w:t xml:space="preserve"> the SWA website: </w:t>
      </w:r>
      <w:hyperlink r:id="rId12" w:history="1">
        <w:r w:rsidRPr="003177C2">
          <w:rPr>
            <w:rStyle w:val="Hyperlink"/>
            <w:sz w:val="22"/>
            <w:szCs w:val="22"/>
          </w:rPr>
          <w:t>https://www.safeworkaustralia.gov.au/doc/national-code-practice-labelling-workplace-substances-nohsc-2012-1994</w:t>
        </w:r>
      </w:hyperlink>
      <w:r w:rsidRPr="003177C2">
        <w:rPr>
          <w:rStyle w:val="Hyperlink"/>
          <w:color w:val="auto"/>
          <w:sz w:val="22"/>
          <w:szCs w:val="22"/>
          <w:u w:val="none"/>
        </w:rPr>
        <w:t>.</w:t>
      </w:r>
    </w:p>
    <w:p w14:paraId="345A685B" w14:textId="77777777" w:rsidR="00B34457" w:rsidRPr="003177C2" w:rsidRDefault="00B34457" w:rsidP="00D45743">
      <w:pPr>
        <w:rPr>
          <w:rStyle w:val="Hyperlink"/>
          <w:color w:val="auto"/>
          <w:sz w:val="22"/>
          <w:szCs w:val="22"/>
          <w:u w:val="none"/>
        </w:rPr>
      </w:pPr>
    </w:p>
    <w:p w14:paraId="0B622C1A" w14:textId="77777777" w:rsidR="00B34457" w:rsidRPr="003177C2" w:rsidRDefault="00B34457" w:rsidP="006A4BD5">
      <w:pPr>
        <w:rPr>
          <w:rFonts w:eastAsia="Calibri"/>
          <w:sz w:val="22"/>
          <w:szCs w:val="22"/>
          <w:lang w:eastAsia="en-US"/>
        </w:rPr>
      </w:pPr>
      <w:r w:rsidRPr="007B7E9E">
        <w:rPr>
          <w:rFonts w:eastAsia="Calibri"/>
          <w:sz w:val="22"/>
          <w:szCs w:val="22"/>
          <w:lang w:eastAsia="en-US"/>
        </w:rPr>
        <w:t xml:space="preserve">This </w:t>
      </w:r>
      <w:r w:rsidR="00B34F28">
        <w:rPr>
          <w:rFonts w:eastAsia="Calibri"/>
          <w:sz w:val="22"/>
          <w:szCs w:val="22"/>
          <w:lang w:eastAsia="en-US"/>
        </w:rPr>
        <w:t>N</w:t>
      </w:r>
      <w:r w:rsidRPr="007B7E9E">
        <w:rPr>
          <w:rFonts w:eastAsia="Calibri"/>
          <w:sz w:val="22"/>
          <w:szCs w:val="22"/>
          <w:lang w:eastAsia="en-US"/>
        </w:rPr>
        <w:t xml:space="preserve">ational </w:t>
      </w:r>
      <w:r w:rsidR="00B34F28">
        <w:rPr>
          <w:rFonts w:eastAsia="Calibri"/>
          <w:sz w:val="22"/>
          <w:szCs w:val="22"/>
          <w:lang w:eastAsia="en-US"/>
        </w:rPr>
        <w:t>C</w:t>
      </w:r>
      <w:r w:rsidRPr="007B7E9E">
        <w:rPr>
          <w:rFonts w:eastAsia="Calibri"/>
          <w:sz w:val="22"/>
          <w:szCs w:val="22"/>
          <w:lang w:eastAsia="en-US"/>
        </w:rPr>
        <w:t xml:space="preserve">ode of practice </w:t>
      </w:r>
      <w:r w:rsidR="00416631" w:rsidRPr="007B7E9E">
        <w:rPr>
          <w:rFonts w:eastAsia="Calibri"/>
          <w:sz w:val="22"/>
          <w:szCs w:val="22"/>
          <w:lang w:eastAsia="en-US"/>
        </w:rPr>
        <w:t xml:space="preserve">was previously used by manufacturers and importers to </w:t>
      </w:r>
      <w:r w:rsidRPr="008B0826">
        <w:rPr>
          <w:rFonts w:eastAsia="Calibri"/>
          <w:sz w:val="22"/>
          <w:szCs w:val="22"/>
          <w:lang w:eastAsia="en-US"/>
        </w:rPr>
        <w:t>label</w:t>
      </w:r>
      <w:r w:rsidR="00416631" w:rsidRPr="008B0826">
        <w:rPr>
          <w:rFonts w:eastAsia="Calibri"/>
          <w:sz w:val="22"/>
          <w:szCs w:val="22"/>
          <w:lang w:eastAsia="en-US"/>
        </w:rPr>
        <w:t xml:space="preserve"> </w:t>
      </w:r>
      <w:r w:rsidRPr="008B0826">
        <w:rPr>
          <w:rFonts w:eastAsia="Calibri"/>
          <w:sz w:val="22"/>
          <w:szCs w:val="22"/>
          <w:lang w:eastAsia="en-US"/>
        </w:rPr>
        <w:t>hazardous substances</w:t>
      </w:r>
      <w:r w:rsidR="00ED0490" w:rsidRPr="008B0826">
        <w:rPr>
          <w:rFonts w:eastAsia="Calibri"/>
          <w:sz w:val="22"/>
          <w:szCs w:val="22"/>
          <w:lang w:eastAsia="en-US"/>
        </w:rPr>
        <w:t xml:space="preserve"> under WHS laws</w:t>
      </w:r>
      <w:r w:rsidR="00416631" w:rsidRPr="00A3689A">
        <w:rPr>
          <w:rFonts w:eastAsia="Calibri"/>
          <w:sz w:val="22"/>
          <w:szCs w:val="22"/>
          <w:lang w:eastAsia="en-US"/>
        </w:rPr>
        <w:t>, up to the commencement of new GHS labelling requirements. The</w:t>
      </w:r>
      <w:r w:rsidR="00B34F28">
        <w:rPr>
          <w:rFonts w:eastAsia="Calibri"/>
          <w:sz w:val="22"/>
          <w:szCs w:val="22"/>
          <w:lang w:eastAsia="en-US"/>
        </w:rPr>
        <w:t xml:space="preserve"> National</w:t>
      </w:r>
      <w:r w:rsidR="00416631" w:rsidRPr="007B7E9E">
        <w:rPr>
          <w:rFonts w:eastAsia="Calibri"/>
          <w:sz w:val="22"/>
          <w:szCs w:val="22"/>
          <w:lang w:eastAsia="en-US"/>
        </w:rPr>
        <w:t xml:space="preserve"> Code is only referred to here in the context of transitional arrangements; it no longer has </w:t>
      </w:r>
      <w:r w:rsidR="00ED0490" w:rsidRPr="008B0826">
        <w:rPr>
          <w:rFonts w:eastAsia="Calibri"/>
          <w:sz w:val="22"/>
          <w:szCs w:val="22"/>
          <w:lang w:eastAsia="en-US"/>
        </w:rPr>
        <w:t xml:space="preserve">ongoing </w:t>
      </w:r>
      <w:r w:rsidR="00416631" w:rsidRPr="008B0826">
        <w:rPr>
          <w:rFonts w:eastAsia="Calibri"/>
          <w:sz w:val="22"/>
          <w:szCs w:val="22"/>
          <w:lang w:eastAsia="en-US"/>
        </w:rPr>
        <w:t>effect</w:t>
      </w:r>
      <w:r w:rsidR="00B64E21" w:rsidRPr="008B0826">
        <w:rPr>
          <w:rFonts w:eastAsia="Calibri"/>
          <w:sz w:val="22"/>
          <w:szCs w:val="22"/>
          <w:lang w:eastAsia="en-US"/>
        </w:rPr>
        <w:t>. That is because, under the WHS Regulations,</w:t>
      </w:r>
      <w:r w:rsidR="00416631" w:rsidRPr="008B0826">
        <w:rPr>
          <w:rFonts w:eastAsia="Calibri"/>
          <w:sz w:val="22"/>
          <w:szCs w:val="22"/>
          <w:lang w:eastAsia="en-US"/>
        </w:rPr>
        <w:t xml:space="preserve"> manufacturers and import</w:t>
      </w:r>
      <w:r w:rsidR="00ED0490" w:rsidRPr="008B0826">
        <w:rPr>
          <w:rFonts w:eastAsia="Calibri"/>
          <w:sz w:val="22"/>
          <w:szCs w:val="22"/>
          <w:lang w:eastAsia="en-US"/>
        </w:rPr>
        <w:t>er</w:t>
      </w:r>
      <w:r w:rsidR="00416631" w:rsidRPr="00A3689A">
        <w:rPr>
          <w:rFonts w:eastAsia="Calibri"/>
          <w:sz w:val="22"/>
          <w:szCs w:val="22"/>
          <w:lang w:eastAsia="en-US"/>
        </w:rPr>
        <w:t xml:space="preserve">s have been required to use the GHS to label </w:t>
      </w:r>
      <w:r w:rsidR="00ED0490" w:rsidRPr="003177C2">
        <w:rPr>
          <w:rFonts w:eastAsia="Calibri"/>
          <w:sz w:val="22"/>
          <w:szCs w:val="22"/>
          <w:lang w:eastAsia="en-US"/>
        </w:rPr>
        <w:t xml:space="preserve">hazardous chemicals </w:t>
      </w:r>
      <w:r w:rsidR="00416631" w:rsidRPr="003177C2">
        <w:rPr>
          <w:rFonts w:eastAsia="Calibri"/>
          <w:sz w:val="22"/>
          <w:szCs w:val="22"/>
          <w:lang w:eastAsia="en-US"/>
        </w:rPr>
        <w:t>manufactured or imported on or after 1</w:t>
      </w:r>
      <w:r w:rsidR="0045442C">
        <w:rPr>
          <w:rFonts w:eastAsia="Calibri"/>
          <w:sz w:val="22"/>
          <w:szCs w:val="22"/>
          <w:lang w:eastAsia="en-US"/>
        </w:rPr>
        <w:t> </w:t>
      </w:r>
      <w:r w:rsidR="00416631" w:rsidRPr="003177C2">
        <w:rPr>
          <w:rFonts w:eastAsia="Calibri"/>
          <w:sz w:val="22"/>
          <w:szCs w:val="22"/>
          <w:lang w:eastAsia="en-US"/>
        </w:rPr>
        <w:t>January</w:t>
      </w:r>
      <w:r w:rsidR="0045442C">
        <w:rPr>
          <w:rFonts w:eastAsia="Calibri"/>
          <w:sz w:val="22"/>
          <w:szCs w:val="22"/>
          <w:lang w:eastAsia="en-US"/>
        </w:rPr>
        <w:t> </w:t>
      </w:r>
      <w:r w:rsidR="00416631" w:rsidRPr="003177C2">
        <w:rPr>
          <w:rFonts w:eastAsia="Calibri"/>
          <w:sz w:val="22"/>
          <w:szCs w:val="22"/>
          <w:lang w:eastAsia="en-US"/>
        </w:rPr>
        <w:t>2017.</w:t>
      </w:r>
      <w:r w:rsidR="00ED0490" w:rsidRPr="003177C2">
        <w:rPr>
          <w:rFonts w:eastAsia="Calibri"/>
          <w:sz w:val="22"/>
          <w:szCs w:val="22"/>
          <w:lang w:eastAsia="en-US"/>
        </w:rPr>
        <w:t xml:space="preserve"> See above for more details.</w:t>
      </w:r>
    </w:p>
    <w:p w14:paraId="50428808" w14:textId="77777777" w:rsidR="00D45743" w:rsidRPr="003177C2" w:rsidRDefault="00D45743" w:rsidP="00447C6D">
      <w:pPr>
        <w:rPr>
          <w:sz w:val="22"/>
          <w:szCs w:val="22"/>
        </w:rPr>
      </w:pPr>
    </w:p>
    <w:p w14:paraId="236989A7" w14:textId="77777777" w:rsidR="00F96CAC" w:rsidRPr="003177C2" w:rsidRDefault="00F96CAC" w:rsidP="00FA4CF4">
      <w:pPr>
        <w:rPr>
          <w:rFonts w:eastAsia="Calibri"/>
          <w:sz w:val="22"/>
          <w:szCs w:val="22"/>
          <w:lang w:eastAsia="en-US"/>
        </w:rPr>
      </w:pPr>
      <w:r w:rsidRPr="003177C2">
        <w:rPr>
          <w:rFonts w:eastAsia="Calibri"/>
          <w:sz w:val="22"/>
          <w:szCs w:val="22"/>
          <w:u w:val="single"/>
          <w:lang w:eastAsia="en-US"/>
        </w:rPr>
        <w:t xml:space="preserve">Item </w:t>
      </w:r>
      <w:r w:rsidR="000A3D4F" w:rsidRPr="003177C2">
        <w:rPr>
          <w:rFonts w:eastAsia="Calibri"/>
          <w:sz w:val="22"/>
          <w:szCs w:val="22"/>
          <w:u w:val="single"/>
          <w:lang w:eastAsia="en-US"/>
        </w:rPr>
        <w:t>10</w:t>
      </w:r>
      <w:r w:rsidRPr="003177C2">
        <w:rPr>
          <w:rFonts w:eastAsia="Calibri"/>
          <w:sz w:val="22"/>
          <w:szCs w:val="22"/>
          <w:u w:val="single"/>
          <w:lang w:eastAsia="en-US"/>
        </w:rPr>
        <w:t xml:space="preserve"> </w:t>
      </w:r>
      <w:r w:rsidR="000A3D4F" w:rsidRPr="003177C2">
        <w:rPr>
          <w:rFonts w:eastAsia="Calibri"/>
          <w:sz w:val="22"/>
          <w:szCs w:val="22"/>
          <w:u w:val="single"/>
          <w:lang w:eastAsia="en-US"/>
        </w:rPr>
        <w:t xml:space="preserve">- </w:t>
      </w:r>
      <w:r w:rsidRPr="003177C2">
        <w:rPr>
          <w:rFonts w:eastAsia="Calibri"/>
          <w:sz w:val="22"/>
          <w:szCs w:val="22"/>
          <w:u w:val="single"/>
          <w:lang w:eastAsia="en-US"/>
        </w:rPr>
        <w:t>Schedule 6 (table 6.2, cell at item 1, column headed “Ingredient classification”)</w:t>
      </w:r>
    </w:p>
    <w:p w14:paraId="22D290FB" w14:textId="77777777" w:rsidR="00354EFF" w:rsidRPr="003177C2" w:rsidRDefault="00354EFF" w:rsidP="00497003">
      <w:pPr>
        <w:spacing w:after="120"/>
        <w:rPr>
          <w:rFonts w:eastAsia="Calibri"/>
          <w:sz w:val="22"/>
          <w:szCs w:val="22"/>
          <w:u w:val="single"/>
          <w:lang w:eastAsia="en-US"/>
        </w:rPr>
      </w:pPr>
      <w:r w:rsidRPr="003177C2">
        <w:rPr>
          <w:rFonts w:eastAsia="Calibri"/>
          <w:sz w:val="22"/>
          <w:szCs w:val="22"/>
          <w:u w:val="single"/>
          <w:lang w:eastAsia="en-US"/>
        </w:rPr>
        <w:t>Item 1</w:t>
      </w:r>
      <w:r w:rsidR="000A3D4F" w:rsidRPr="003177C2">
        <w:rPr>
          <w:rFonts w:eastAsia="Calibri"/>
          <w:sz w:val="22"/>
          <w:szCs w:val="22"/>
          <w:u w:val="single"/>
          <w:lang w:eastAsia="en-US"/>
        </w:rPr>
        <w:t>1 -</w:t>
      </w:r>
      <w:r w:rsidRPr="003177C2">
        <w:rPr>
          <w:rFonts w:eastAsia="Calibri"/>
          <w:sz w:val="22"/>
          <w:szCs w:val="22"/>
          <w:u w:val="single"/>
          <w:lang w:eastAsia="en-US"/>
        </w:rPr>
        <w:t xml:space="preserve"> Schedule 6 (table 6.2, cell at item 2, column headed “Ingredient classification”)</w:t>
      </w:r>
    </w:p>
    <w:p w14:paraId="0310A156" w14:textId="77777777" w:rsidR="009B692A" w:rsidRPr="003177C2" w:rsidRDefault="0006036D" w:rsidP="009B692A">
      <w:pPr>
        <w:rPr>
          <w:sz w:val="22"/>
          <w:szCs w:val="22"/>
        </w:rPr>
      </w:pPr>
      <w:r w:rsidRPr="003177C2">
        <w:rPr>
          <w:rFonts w:eastAsia="Calibri"/>
          <w:sz w:val="22"/>
          <w:szCs w:val="22"/>
          <w:lang w:eastAsia="en-US"/>
        </w:rPr>
        <w:t>These items amend table 6.2 of Schedule 6</w:t>
      </w:r>
      <w:r w:rsidR="002E32B4" w:rsidRPr="003177C2">
        <w:rPr>
          <w:rFonts w:eastAsia="Calibri"/>
          <w:sz w:val="22"/>
          <w:szCs w:val="22"/>
          <w:lang w:eastAsia="en-US"/>
        </w:rPr>
        <w:t xml:space="preserve"> to make</w:t>
      </w:r>
      <w:r w:rsidR="009B692A" w:rsidRPr="003177C2">
        <w:rPr>
          <w:sz w:val="22"/>
          <w:szCs w:val="22"/>
        </w:rPr>
        <w:t xml:space="preserve"> </w:t>
      </w:r>
      <w:r w:rsidR="00D3204C" w:rsidRPr="003177C2">
        <w:rPr>
          <w:sz w:val="22"/>
          <w:szCs w:val="22"/>
        </w:rPr>
        <w:t>corrections</w:t>
      </w:r>
      <w:r w:rsidR="009B692A" w:rsidRPr="003177C2">
        <w:rPr>
          <w:sz w:val="22"/>
          <w:szCs w:val="22"/>
        </w:rPr>
        <w:t xml:space="preserve"> are of a minor and technical nature and align the WHS Regulations with the model laws.</w:t>
      </w:r>
    </w:p>
    <w:p w14:paraId="300A23E7" w14:textId="77777777" w:rsidR="009B692A" w:rsidRPr="003177C2" w:rsidRDefault="009B692A" w:rsidP="00FA4CF4">
      <w:pPr>
        <w:rPr>
          <w:rFonts w:eastAsia="Calibri"/>
          <w:sz w:val="22"/>
          <w:szCs w:val="22"/>
          <w:lang w:eastAsia="en-US"/>
        </w:rPr>
      </w:pPr>
    </w:p>
    <w:p w14:paraId="70A6875E" w14:textId="77777777" w:rsidR="00011D4A" w:rsidRPr="003177C2" w:rsidRDefault="00011D4A">
      <w:pPr>
        <w:rPr>
          <w:rFonts w:eastAsia="Calibri"/>
          <w:sz w:val="22"/>
          <w:szCs w:val="22"/>
          <w:lang w:eastAsia="en-US"/>
        </w:rPr>
        <w:sectPr w:rsidR="00011D4A" w:rsidRPr="003177C2" w:rsidSect="00C92D0F">
          <w:headerReference w:type="default" r:id="rId13"/>
          <w:footerReference w:type="default" r:id="rId14"/>
          <w:footerReference w:type="first" r:id="rId15"/>
          <w:pgSz w:w="11906" w:h="16838" w:code="9"/>
          <w:pgMar w:top="1440" w:right="1440" w:bottom="1440" w:left="1440" w:header="567" w:footer="567" w:gutter="0"/>
          <w:pgNumType w:start="1"/>
          <w:cols w:space="708"/>
          <w:titlePg/>
          <w:docGrid w:linePitch="360"/>
        </w:sectPr>
      </w:pPr>
    </w:p>
    <w:p w14:paraId="3FA42087" w14:textId="77777777" w:rsidR="005F3963" w:rsidRPr="003177C2" w:rsidRDefault="005F3963" w:rsidP="005F3963">
      <w:pPr>
        <w:jc w:val="right"/>
        <w:rPr>
          <w:sz w:val="22"/>
          <w:szCs w:val="22"/>
          <w:u w:val="single"/>
        </w:rPr>
      </w:pPr>
      <w:r w:rsidRPr="003177C2">
        <w:rPr>
          <w:sz w:val="22"/>
          <w:szCs w:val="22"/>
          <w:u w:val="single"/>
        </w:rPr>
        <w:t>ATTACHMENT B</w:t>
      </w:r>
    </w:p>
    <w:p w14:paraId="1680ACCB" w14:textId="77777777" w:rsidR="005F3963" w:rsidRPr="003177C2" w:rsidRDefault="005F3963" w:rsidP="005F3963">
      <w:pPr>
        <w:rPr>
          <w:sz w:val="22"/>
          <w:szCs w:val="22"/>
        </w:rPr>
      </w:pPr>
    </w:p>
    <w:p w14:paraId="6171A1BD" w14:textId="77777777" w:rsidR="005F3963" w:rsidRPr="003177C2" w:rsidRDefault="005F3963" w:rsidP="005F3963">
      <w:pPr>
        <w:autoSpaceDE w:val="0"/>
        <w:autoSpaceDN w:val="0"/>
        <w:adjustRightInd w:val="0"/>
        <w:jc w:val="center"/>
        <w:rPr>
          <w:color w:val="000000"/>
          <w:sz w:val="22"/>
          <w:szCs w:val="22"/>
        </w:rPr>
      </w:pPr>
      <w:r w:rsidRPr="003177C2">
        <w:rPr>
          <w:b/>
          <w:bCs/>
          <w:color w:val="000000"/>
          <w:sz w:val="22"/>
          <w:szCs w:val="22"/>
        </w:rPr>
        <w:t>Statement of Compatibility with Human Rights</w:t>
      </w:r>
    </w:p>
    <w:p w14:paraId="5F56C020" w14:textId="77777777" w:rsidR="005F3963" w:rsidRPr="003177C2" w:rsidRDefault="005F3963" w:rsidP="005F3963">
      <w:pPr>
        <w:autoSpaceDE w:val="0"/>
        <w:autoSpaceDN w:val="0"/>
        <w:adjustRightInd w:val="0"/>
        <w:rPr>
          <w:i/>
          <w:iCs/>
          <w:color w:val="000000"/>
          <w:sz w:val="22"/>
          <w:szCs w:val="22"/>
        </w:rPr>
      </w:pPr>
    </w:p>
    <w:p w14:paraId="1E157E1E" w14:textId="77777777" w:rsidR="005F3963" w:rsidRPr="003177C2" w:rsidRDefault="005F3963" w:rsidP="005F3963">
      <w:pPr>
        <w:autoSpaceDE w:val="0"/>
        <w:autoSpaceDN w:val="0"/>
        <w:adjustRightInd w:val="0"/>
        <w:rPr>
          <w:color w:val="000000"/>
          <w:sz w:val="22"/>
          <w:szCs w:val="22"/>
        </w:rPr>
      </w:pPr>
      <w:r w:rsidRPr="003177C2">
        <w:rPr>
          <w:i/>
          <w:iCs/>
          <w:color w:val="000000"/>
          <w:sz w:val="22"/>
          <w:szCs w:val="22"/>
        </w:rPr>
        <w:t xml:space="preserve">Prepared in accordance with Part 3 of the Human Rights (Parliamentary Scrutiny) Act 2011 </w:t>
      </w:r>
    </w:p>
    <w:p w14:paraId="39940D5B" w14:textId="77777777" w:rsidR="005F3963" w:rsidRPr="003177C2" w:rsidRDefault="005F3963" w:rsidP="005F3963">
      <w:pPr>
        <w:autoSpaceDE w:val="0"/>
        <w:autoSpaceDN w:val="0"/>
        <w:adjustRightInd w:val="0"/>
        <w:rPr>
          <w:b/>
          <w:bCs/>
          <w:color w:val="000000"/>
          <w:sz w:val="22"/>
          <w:szCs w:val="22"/>
        </w:rPr>
      </w:pPr>
    </w:p>
    <w:p w14:paraId="7FD12855" w14:textId="77777777" w:rsidR="005F3963" w:rsidRPr="003177C2" w:rsidRDefault="005F3963" w:rsidP="005F3963">
      <w:pPr>
        <w:autoSpaceDE w:val="0"/>
        <w:autoSpaceDN w:val="0"/>
        <w:adjustRightInd w:val="0"/>
        <w:jc w:val="center"/>
        <w:rPr>
          <w:b/>
          <w:bCs/>
          <w:color w:val="000000"/>
          <w:sz w:val="22"/>
          <w:szCs w:val="22"/>
        </w:rPr>
      </w:pPr>
      <w:r w:rsidRPr="003177C2">
        <w:rPr>
          <w:b/>
          <w:sz w:val="22"/>
          <w:szCs w:val="22"/>
        </w:rPr>
        <w:t>Work Health and Safety Amendment (</w:t>
      </w:r>
      <w:r w:rsidR="009A3833" w:rsidRPr="003177C2">
        <w:rPr>
          <w:b/>
          <w:sz w:val="22"/>
          <w:szCs w:val="22"/>
        </w:rPr>
        <w:t>Labelling of Hazardous Chemicals</w:t>
      </w:r>
      <w:r w:rsidRPr="003177C2">
        <w:rPr>
          <w:b/>
          <w:sz w:val="22"/>
          <w:szCs w:val="22"/>
        </w:rPr>
        <w:t>) Regulation</w:t>
      </w:r>
      <w:r w:rsidR="009A3833" w:rsidRPr="003177C2">
        <w:rPr>
          <w:b/>
          <w:sz w:val="22"/>
          <w:szCs w:val="22"/>
        </w:rPr>
        <w:t>s</w:t>
      </w:r>
      <w:r w:rsidRPr="003177C2">
        <w:rPr>
          <w:b/>
          <w:sz w:val="22"/>
          <w:szCs w:val="22"/>
        </w:rPr>
        <w:t> 201</w:t>
      </w:r>
      <w:r w:rsidR="009A3833" w:rsidRPr="003177C2">
        <w:rPr>
          <w:b/>
          <w:sz w:val="22"/>
          <w:szCs w:val="22"/>
        </w:rPr>
        <w:t>8</w:t>
      </w:r>
    </w:p>
    <w:p w14:paraId="160541A3" w14:textId="77777777" w:rsidR="005F3963" w:rsidRPr="003177C2" w:rsidRDefault="005F3963" w:rsidP="005F3963">
      <w:pPr>
        <w:autoSpaceDE w:val="0"/>
        <w:autoSpaceDN w:val="0"/>
        <w:adjustRightInd w:val="0"/>
        <w:rPr>
          <w:b/>
          <w:bCs/>
          <w:color w:val="000000"/>
          <w:sz w:val="22"/>
          <w:szCs w:val="22"/>
        </w:rPr>
      </w:pPr>
    </w:p>
    <w:p w14:paraId="62B3CE53" w14:textId="77777777" w:rsidR="005F3963" w:rsidRPr="003177C2" w:rsidRDefault="005F3963" w:rsidP="005F3963">
      <w:pPr>
        <w:autoSpaceDE w:val="0"/>
        <w:autoSpaceDN w:val="0"/>
        <w:adjustRightInd w:val="0"/>
        <w:rPr>
          <w:color w:val="000000"/>
          <w:sz w:val="22"/>
          <w:szCs w:val="22"/>
        </w:rPr>
      </w:pPr>
      <w:r w:rsidRPr="003177C2">
        <w:rPr>
          <w:color w:val="000000"/>
          <w:sz w:val="22"/>
          <w:szCs w:val="22"/>
        </w:rPr>
        <w:t xml:space="preserve">This Disallowable Legislative Instrument is compatible with the human rights and freedoms recognised or declared in the international instruments listed in section 3 of the </w:t>
      </w:r>
      <w:r w:rsidRPr="003177C2">
        <w:rPr>
          <w:i/>
          <w:iCs/>
          <w:color w:val="000000"/>
          <w:sz w:val="22"/>
          <w:szCs w:val="22"/>
        </w:rPr>
        <w:t>Human Rights (Parliamentary Scrutiny) Act 2011</w:t>
      </w:r>
      <w:r w:rsidRPr="003177C2">
        <w:rPr>
          <w:color w:val="000000"/>
          <w:sz w:val="22"/>
          <w:szCs w:val="22"/>
        </w:rPr>
        <w:t xml:space="preserve">. </w:t>
      </w:r>
    </w:p>
    <w:p w14:paraId="26FF2444" w14:textId="77777777" w:rsidR="005F3963" w:rsidRPr="007B7E9E" w:rsidRDefault="005F3963" w:rsidP="005F3963">
      <w:pPr>
        <w:autoSpaceDE w:val="0"/>
        <w:autoSpaceDN w:val="0"/>
        <w:adjustRightInd w:val="0"/>
        <w:rPr>
          <w:color w:val="000000"/>
          <w:sz w:val="22"/>
          <w:szCs w:val="22"/>
        </w:rPr>
      </w:pPr>
    </w:p>
    <w:p w14:paraId="251EFD93" w14:textId="77777777" w:rsidR="009A3833" w:rsidRPr="008B0826" w:rsidRDefault="005F3963" w:rsidP="00542E2C">
      <w:pPr>
        <w:autoSpaceDE w:val="0"/>
        <w:autoSpaceDN w:val="0"/>
        <w:adjustRightInd w:val="0"/>
        <w:spacing w:after="120"/>
        <w:rPr>
          <w:color w:val="000000"/>
          <w:sz w:val="22"/>
          <w:szCs w:val="22"/>
        </w:rPr>
      </w:pPr>
      <w:r w:rsidRPr="008B0826">
        <w:rPr>
          <w:b/>
          <w:bCs/>
          <w:color w:val="000000"/>
          <w:sz w:val="22"/>
          <w:szCs w:val="22"/>
        </w:rPr>
        <w:t xml:space="preserve">Overview of the Disallowable Legislative Instrument </w:t>
      </w:r>
    </w:p>
    <w:p w14:paraId="30F2C513" w14:textId="77777777" w:rsidR="008D2B69" w:rsidRPr="003177C2" w:rsidRDefault="008D2B69" w:rsidP="008D2B69">
      <w:pPr>
        <w:rPr>
          <w:i/>
          <w:sz w:val="22"/>
          <w:szCs w:val="22"/>
        </w:rPr>
      </w:pPr>
      <w:r w:rsidRPr="008B0826">
        <w:rPr>
          <w:sz w:val="22"/>
          <w:szCs w:val="22"/>
        </w:rPr>
        <w:t xml:space="preserve">The </w:t>
      </w:r>
      <w:r w:rsidRPr="008B0826">
        <w:rPr>
          <w:i/>
          <w:sz w:val="22"/>
          <w:szCs w:val="22"/>
        </w:rPr>
        <w:t>Work Health and Safety Act </w:t>
      </w:r>
      <w:r w:rsidRPr="00A3689A">
        <w:rPr>
          <w:i/>
          <w:sz w:val="22"/>
          <w:szCs w:val="22"/>
        </w:rPr>
        <w:t>2011</w:t>
      </w:r>
      <w:r w:rsidRPr="000019DC">
        <w:rPr>
          <w:sz w:val="22"/>
          <w:szCs w:val="22"/>
        </w:rPr>
        <w:t xml:space="preserve"> (the Act) and accompanying </w:t>
      </w:r>
      <w:r w:rsidRPr="000019DC">
        <w:rPr>
          <w:i/>
          <w:sz w:val="22"/>
          <w:szCs w:val="22"/>
        </w:rPr>
        <w:t xml:space="preserve">Work Health and Safety Regulations 2011 </w:t>
      </w:r>
      <w:r w:rsidRPr="000019DC">
        <w:rPr>
          <w:sz w:val="22"/>
          <w:szCs w:val="22"/>
        </w:rPr>
        <w:t xml:space="preserve">(the WHS Regulations) provide the primary work health and safety (WHS) </w:t>
      </w:r>
      <w:r w:rsidRPr="003177C2">
        <w:rPr>
          <w:sz w:val="22"/>
          <w:szCs w:val="22"/>
        </w:rPr>
        <w:t xml:space="preserve">legislation for the Commonwealth jurisdiction. They are based on model WHS laws developed by Safe Work Australia (SWA) under the </w:t>
      </w:r>
      <w:r w:rsidRPr="003177C2">
        <w:rPr>
          <w:i/>
          <w:sz w:val="22"/>
          <w:szCs w:val="22"/>
        </w:rPr>
        <w:t>Intergovernmental Agreement for Regulatory and Operational Reform in Occupational Health and Safety</w:t>
      </w:r>
      <w:r w:rsidRPr="003177C2">
        <w:rPr>
          <w:sz w:val="22"/>
          <w:szCs w:val="22"/>
        </w:rPr>
        <w:t>.</w:t>
      </w:r>
    </w:p>
    <w:p w14:paraId="6C7F271E" w14:textId="77777777" w:rsidR="008D2B69" w:rsidRPr="003177C2" w:rsidRDefault="008D2B69" w:rsidP="008D2B69">
      <w:pPr>
        <w:rPr>
          <w:sz w:val="22"/>
          <w:szCs w:val="22"/>
        </w:rPr>
      </w:pPr>
    </w:p>
    <w:p w14:paraId="650C9319" w14:textId="77777777" w:rsidR="008D2B69" w:rsidRPr="003177C2" w:rsidRDefault="008D2B69" w:rsidP="008D2B69">
      <w:pPr>
        <w:rPr>
          <w:sz w:val="22"/>
          <w:szCs w:val="22"/>
        </w:rPr>
      </w:pPr>
      <w:r w:rsidRPr="003177C2">
        <w:rPr>
          <w:sz w:val="22"/>
          <w:szCs w:val="22"/>
        </w:rPr>
        <w:t xml:space="preserve">Subsection 276(1) of the Act provides that the Governor-General may make regulations in relation to any matter relating to work health and safety; and any matter or thing required or permitted by the Act to be prescribed or that is necessary or convenient to be prescribed to give effect to the Act. </w:t>
      </w:r>
    </w:p>
    <w:p w14:paraId="2E7400D2" w14:textId="77777777" w:rsidR="008D2B69" w:rsidRPr="003177C2" w:rsidRDefault="008D2B69" w:rsidP="008D2B69">
      <w:pPr>
        <w:rPr>
          <w:sz w:val="22"/>
          <w:szCs w:val="22"/>
        </w:rPr>
      </w:pPr>
    </w:p>
    <w:p w14:paraId="335050DB" w14:textId="77777777" w:rsidR="008D2B69" w:rsidRPr="000019DC" w:rsidRDefault="008D2B69" w:rsidP="008D2B69">
      <w:pPr>
        <w:spacing w:after="120"/>
        <w:rPr>
          <w:sz w:val="22"/>
          <w:szCs w:val="22"/>
        </w:rPr>
      </w:pPr>
      <w:r w:rsidRPr="003177C2">
        <w:rPr>
          <w:sz w:val="22"/>
          <w:szCs w:val="22"/>
        </w:rPr>
        <w:t xml:space="preserve">The purpose of the </w:t>
      </w:r>
      <w:r w:rsidRPr="003177C2">
        <w:rPr>
          <w:i/>
          <w:sz w:val="22"/>
          <w:szCs w:val="22"/>
        </w:rPr>
        <w:t xml:space="preserve">Work Health and Safety Amendment (Labelling of Hazardous Chemicals) Regulations 2018 </w:t>
      </w:r>
      <w:r w:rsidRPr="003177C2">
        <w:rPr>
          <w:sz w:val="22"/>
          <w:szCs w:val="22"/>
        </w:rPr>
        <w:t>(th</w:t>
      </w:r>
      <w:r w:rsidR="000019DC">
        <w:rPr>
          <w:sz w:val="22"/>
          <w:szCs w:val="22"/>
        </w:rPr>
        <w:t>is Instrument)</w:t>
      </w:r>
      <w:r w:rsidRPr="000019DC">
        <w:rPr>
          <w:sz w:val="22"/>
          <w:szCs w:val="22"/>
        </w:rPr>
        <w:t>) is to give effect to SWA policy by amending the WHS Regulations to:</w:t>
      </w:r>
    </w:p>
    <w:p w14:paraId="2B3AAFDC" w14:textId="77777777" w:rsidR="008D2B69" w:rsidRPr="003177C2" w:rsidRDefault="00356F6D" w:rsidP="008D2B69">
      <w:pPr>
        <w:pStyle w:val="ListParagraph"/>
        <w:numPr>
          <w:ilvl w:val="0"/>
          <w:numId w:val="40"/>
        </w:numPr>
        <w:rPr>
          <w:sz w:val="22"/>
          <w:szCs w:val="22"/>
        </w:rPr>
      </w:pPr>
      <w:r>
        <w:rPr>
          <w:sz w:val="22"/>
          <w:szCs w:val="22"/>
        </w:rPr>
        <w:t>provide</w:t>
      </w:r>
      <w:r w:rsidR="008D2B69" w:rsidRPr="003177C2">
        <w:rPr>
          <w:sz w:val="22"/>
          <w:szCs w:val="22"/>
        </w:rPr>
        <w:t xml:space="preserve"> transitional arrangements for the Globally Harmonised System of Classification and Labelling of Chemicals (GHS) (regs 341, 342);</w:t>
      </w:r>
    </w:p>
    <w:p w14:paraId="05795DA6" w14:textId="77777777" w:rsidR="008D2B69" w:rsidRPr="003177C2" w:rsidRDefault="008D2B69" w:rsidP="008D2B69">
      <w:pPr>
        <w:pStyle w:val="ListParagraph"/>
        <w:numPr>
          <w:ilvl w:val="0"/>
          <w:numId w:val="40"/>
        </w:numPr>
        <w:rPr>
          <w:sz w:val="22"/>
          <w:szCs w:val="22"/>
        </w:rPr>
      </w:pPr>
      <w:r w:rsidRPr="003177C2">
        <w:rPr>
          <w:sz w:val="22"/>
          <w:szCs w:val="22"/>
        </w:rPr>
        <w:t>clarify that it is not necessary for hazardous chemical labels (GHS labels) to include duplicate label elements required by other labelling laws (reg 335);</w:t>
      </w:r>
    </w:p>
    <w:p w14:paraId="1C0A4ACD" w14:textId="77777777" w:rsidR="008D2B69" w:rsidRPr="003177C2" w:rsidRDefault="008D2B69" w:rsidP="008D2B69">
      <w:pPr>
        <w:pStyle w:val="ListParagraph"/>
        <w:numPr>
          <w:ilvl w:val="0"/>
          <w:numId w:val="40"/>
        </w:numPr>
        <w:rPr>
          <w:sz w:val="22"/>
          <w:szCs w:val="22"/>
        </w:rPr>
      </w:pPr>
      <w:r w:rsidRPr="003177C2">
        <w:rPr>
          <w:sz w:val="22"/>
          <w:szCs w:val="22"/>
        </w:rPr>
        <w:t>exempt certain veterinary chemicals from GHS labelling requirements—that are already subject to other labelling regimes and are adequately regulated (see reg 335); and</w:t>
      </w:r>
    </w:p>
    <w:p w14:paraId="51E4555E" w14:textId="77777777" w:rsidR="008D2B69" w:rsidRPr="003177C2" w:rsidRDefault="008D2B69" w:rsidP="008D2B69">
      <w:pPr>
        <w:pStyle w:val="ListParagraph"/>
        <w:numPr>
          <w:ilvl w:val="0"/>
          <w:numId w:val="40"/>
        </w:numPr>
        <w:spacing w:after="120"/>
        <w:ind w:left="714" w:hanging="357"/>
        <w:contextualSpacing w:val="0"/>
        <w:rPr>
          <w:sz w:val="22"/>
          <w:szCs w:val="22"/>
        </w:rPr>
      </w:pPr>
      <w:r w:rsidRPr="003177C2">
        <w:rPr>
          <w:sz w:val="22"/>
          <w:szCs w:val="22"/>
        </w:rPr>
        <w:t>make several minor updates and corrections of a technical nature to align with the model WHS laws.</w:t>
      </w:r>
    </w:p>
    <w:p w14:paraId="3FABC825" w14:textId="77777777" w:rsidR="00356F6D" w:rsidRDefault="00356F6D" w:rsidP="008D2B69">
      <w:pPr>
        <w:spacing w:after="120"/>
        <w:rPr>
          <w:sz w:val="22"/>
          <w:szCs w:val="22"/>
        </w:rPr>
      </w:pPr>
      <w:r>
        <w:rPr>
          <w:sz w:val="22"/>
          <w:szCs w:val="22"/>
        </w:rPr>
        <w:t>The first three measures will sunset or cease to have effect after five years, to allow for a review.</w:t>
      </w:r>
    </w:p>
    <w:p w14:paraId="3C2A1AD8" w14:textId="77777777" w:rsidR="008D2B69" w:rsidRPr="006A4BD5" w:rsidRDefault="008D2B69" w:rsidP="008D2B69">
      <w:pPr>
        <w:spacing w:after="120"/>
        <w:rPr>
          <w:sz w:val="22"/>
          <w:szCs w:val="22"/>
        </w:rPr>
      </w:pPr>
      <w:r w:rsidRPr="006A4BD5">
        <w:rPr>
          <w:sz w:val="22"/>
          <w:szCs w:val="22"/>
        </w:rPr>
        <w:t>The transitional arrangements for the implementation of the GHS are as follows:</w:t>
      </w:r>
    </w:p>
    <w:p w14:paraId="36549D6C" w14:textId="77777777" w:rsidR="008D2B69" w:rsidRPr="006A4BD5" w:rsidRDefault="008D2B69" w:rsidP="008D2B69">
      <w:pPr>
        <w:pStyle w:val="ListParagraph"/>
        <w:numPr>
          <w:ilvl w:val="0"/>
          <w:numId w:val="45"/>
        </w:numPr>
        <w:spacing w:after="120"/>
        <w:rPr>
          <w:sz w:val="22"/>
          <w:szCs w:val="22"/>
        </w:rPr>
      </w:pPr>
      <w:r w:rsidRPr="006A4BD5">
        <w:rPr>
          <w:sz w:val="22"/>
          <w:szCs w:val="22"/>
        </w:rPr>
        <w:t>1 January 2012 – 31 December 2016: the initial five-year transitional period for the introduction of the GHS;</w:t>
      </w:r>
    </w:p>
    <w:p w14:paraId="6728009D" w14:textId="77777777" w:rsidR="008D2B69" w:rsidRPr="006A4BD5" w:rsidRDefault="008D2B69" w:rsidP="008D2B69">
      <w:pPr>
        <w:pStyle w:val="ListParagraph"/>
        <w:numPr>
          <w:ilvl w:val="0"/>
          <w:numId w:val="45"/>
        </w:numPr>
        <w:spacing w:after="120"/>
        <w:rPr>
          <w:sz w:val="22"/>
          <w:szCs w:val="22"/>
        </w:rPr>
      </w:pPr>
      <w:r w:rsidRPr="006A4BD5">
        <w:rPr>
          <w:sz w:val="22"/>
          <w:szCs w:val="22"/>
        </w:rPr>
        <w:t xml:space="preserve">1 January 2017 – 31 December 2018: yearly administrative exemptions implemented by the Commonwealth regulator (Comcare) to allow for the ongoing use of existing chemical stock already in the supply chain without the requirement to re-label, subject to certain conditions: see the </w:t>
      </w:r>
      <w:r w:rsidRPr="006A4BD5">
        <w:rPr>
          <w:i/>
          <w:sz w:val="22"/>
          <w:szCs w:val="22"/>
        </w:rPr>
        <w:t xml:space="preserve">Work Health and Safety (Labelling of Hazardous Chemicals) Exemption 2016 </w:t>
      </w:r>
      <w:r w:rsidRPr="006A4BD5">
        <w:rPr>
          <w:sz w:val="22"/>
          <w:szCs w:val="22"/>
        </w:rPr>
        <w:t>and the</w:t>
      </w:r>
      <w:r w:rsidRPr="006A4BD5">
        <w:rPr>
          <w:i/>
          <w:sz w:val="22"/>
          <w:szCs w:val="22"/>
        </w:rPr>
        <w:t xml:space="preserve"> Work Health and Safety (Labelling of Hazardous Chemicals) Exemption 2017</w:t>
      </w:r>
      <w:r w:rsidRPr="006A4BD5">
        <w:rPr>
          <w:sz w:val="22"/>
          <w:szCs w:val="22"/>
        </w:rPr>
        <w:t>; and</w:t>
      </w:r>
    </w:p>
    <w:p w14:paraId="04AC72B6" w14:textId="77777777" w:rsidR="008D2B69" w:rsidRDefault="008D2B69" w:rsidP="006A4BD5">
      <w:pPr>
        <w:pStyle w:val="ListParagraph"/>
        <w:numPr>
          <w:ilvl w:val="0"/>
          <w:numId w:val="45"/>
        </w:numPr>
        <w:ind w:left="714" w:hanging="357"/>
        <w:rPr>
          <w:sz w:val="22"/>
          <w:szCs w:val="22"/>
        </w:rPr>
      </w:pPr>
      <w:r w:rsidRPr="006A4BD5">
        <w:rPr>
          <w:sz w:val="22"/>
          <w:szCs w:val="22"/>
        </w:rPr>
        <w:t>1 January 2019 onwards: th</w:t>
      </w:r>
      <w:r w:rsidR="000019DC">
        <w:rPr>
          <w:sz w:val="22"/>
          <w:szCs w:val="22"/>
        </w:rPr>
        <w:t>is</w:t>
      </w:r>
      <w:r w:rsidRPr="006A4BD5">
        <w:rPr>
          <w:sz w:val="22"/>
          <w:szCs w:val="22"/>
        </w:rPr>
        <w:t xml:space="preserve"> </w:t>
      </w:r>
      <w:r w:rsidR="000019DC">
        <w:rPr>
          <w:sz w:val="22"/>
          <w:szCs w:val="22"/>
        </w:rPr>
        <w:t>Instrument</w:t>
      </w:r>
      <w:r w:rsidR="000019DC" w:rsidRPr="006A4BD5">
        <w:rPr>
          <w:sz w:val="22"/>
          <w:szCs w:val="22"/>
        </w:rPr>
        <w:t xml:space="preserve"> </w:t>
      </w:r>
      <w:r w:rsidRPr="006A4BD5">
        <w:rPr>
          <w:sz w:val="22"/>
          <w:szCs w:val="22"/>
        </w:rPr>
        <w:t>implement</w:t>
      </w:r>
      <w:r w:rsidR="000019DC">
        <w:rPr>
          <w:sz w:val="22"/>
          <w:szCs w:val="22"/>
        </w:rPr>
        <w:t>s</w:t>
      </w:r>
      <w:r w:rsidRPr="006A4BD5">
        <w:rPr>
          <w:sz w:val="22"/>
          <w:szCs w:val="22"/>
        </w:rPr>
        <w:t xml:space="preserve"> transitional measures</w:t>
      </w:r>
      <w:r w:rsidR="00356F6D">
        <w:rPr>
          <w:sz w:val="22"/>
          <w:szCs w:val="22"/>
        </w:rPr>
        <w:t xml:space="preserve"> prospectively</w:t>
      </w:r>
      <w:r w:rsidRPr="006A4BD5">
        <w:rPr>
          <w:sz w:val="22"/>
          <w:szCs w:val="22"/>
        </w:rPr>
        <w:t>.</w:t>
      </w:r>
    </w:p>
    <w:p w14:paraId="66B96444" w14:textId="77777777" w:rsidR="006357E6" w:rsidRPr="006A4BD5" w:rsidRDefault="006357E6" w:rsidP="006A4BD5">
      <w:pPr>
        <w:pStyle w:val="ListParagraph"/>
        <w:ind w:left="714"/>
        <w:rPr>
          <w:sz w:val="22"/>
          <w:szCs w:val="22"/>
        </w:rPr>
      </w:pPr>
    </w:p>
    <w:p w14:paraId="71486EB9" w14:textId="77777777" w:rsidR="008D2B69" w:rsidRDefault="008D2B69" w:rsidP="006A4BD5">
      <w:pPr>
        <w:rPr>
          <w:sz w:val="22"/>
          <w:szCs w:val="22"/>
        </w:rPr>
      </w:pPr>
      <w:r w:rsidRPr="006A4BD5">
        <w:rPr>
          <w:sz w:val="22"/>
          <w:szCs w:val="22"/>
        </w:rPr>
        <w:t xml:space="preserve">Together with states and territories, the Commonwealth regulates the labelling of hazardous chemicals under its WHS laws. Most jurisdictions (other than Victoria and Western Australia) have generally adopted the policy and model wording developed by SWA. Victoria and Western Australia regulate hazardous chemicals under their own respective WHS laws. </w:t>
      </w:r>
    </w:p>
    <w:p w14:paraId="02CCB03D" w14:textId="77777777" w:rsidR="006357E6" w:rsidRPr="006A4BD5" w:rsidRDefault="006357E6" w:rsidP="006A4BD5">
      <w:pPr>
        <w:rPr>
          <w:sz w:val="22"/>
          <w:szCs w:val="22"/>
        </w:rPr>
      </w:pPr>
    </w:p>
    <w:p w14:paraId="0191BF8C" w14:textId="77777777" w:rsidR="008D2B69" w:rsidRPr="006A4BD5" w:rsidRDefault="008D2B69" w:rsidP="006A4BD5">
      <w:pPr>
        <w:rPr>
          <w:sz w:val="22"/>
          <w:szCs w:val="22"/>
        </w:rPr>
      </w:pPr>
      <w:r w:rsidRPr="006A4BD5">
        <w:rPr>
          <w:sz w:val="22"/>
          <w:szCs w:val="22"/>
        </w:rPr>
        <w:t>Th</w:t>
      </w:r>
      <w:r w:rsidR="008141D1" w:rsidRPr="006A4BD5">
        <w:rPr>
          <w:sz w:val="22"/>
          <w:szCs w:val="22"/>
        </w:rPr>
        <w:t>is Instrument</w:t>
      </w:r>
      <w:r w:rsidRPr="006A4BD5">
        <w:rPr>
          <w:sz w:val="22"/>
          <w:szCs w:val="22"/>
        </w:rPr>
        <w:t xml:space="preserve"> adopt</w:t>
      </w:r>
      <w:r w:rsidR="008141D1" w:rsidRPr="006A4BD5">
        <w:rPr>
          <w:sz w:val="22"/>
          <w:szCs w:val="22"/>
        </w:rPr>
        <w:t>s</w:t>
      </w:r>
      <w:r w:rsidRPr="006A4BD5">
        <w:rPr>
          <w:sz w:val="22"/>
          <w:szCs w:val="22"/>
        </w:rPr>
        <w:t xml:space="preserve"> SWA’s model wording with </w:t>
      </w:r>
      <w:r w:rsidR="00356F6D">
        <w:rPr>
          <w:sz w:val="22"/>
          <w:szCs w:val="22"/>
        </w:rPr>
        <w:t>the following</w:t>
      </w:r>
      <w:r w:rsidRPr="006A4BD5">
        <w:rPr>
          <w:sz w:val="22"/>
          <w:szCs w:val="22"/>
        </w:rPr>
        <w:t xml:space="preserve"> exception</w:t>
      </w:r>
      <w:r w:rsidR="00356F6D">
        <w:rPr>
          <w:sz w:val="22"/>
          <w:szCs w:val="22"/>
        </w:rPr>
        <w:t>s</w:t>
      </w:r>
      <w:r w:rsidRPr="006A4BD5">
        <w:rPr>
          <w:sz w:val="22"/>
          <w:szCs w:val="22"/>
        </w:rPr>
        <w:t>. The wording reflects both the model wording and a subsequent decision SWA made in late 2016. That decision allows jurisdictions that have adopted the model legislation to make further provision to avoid any unnecessary burden on suppliers and end users to re-label existing chemical stock manufactured or imported prior to 1 January 2017. It is designed to ensure a smooth transition to the new system.</w:t>
      </w:r>
      <w:r w:rsidR="00356F6D">
        <w:rPr>
          <w:sz w:val="22"/>
          <w:szCs w:val="22"/>
        </w:rPr>
        <w:t xml:space="preserve"> The Instrument also makes provision for sunsetting after five years, to allow for a review.</w:t>
      </w:r>
    </w:p>
    <w:p w14:paraId="4F6E17DB" w14:textId="77777777" w:rsidR="004E3B1E" w:rsidRPr="003177C2" w:rsidRDefault="004E3B1E" w:rsidP="006A4BD5">
      <w:pPr>
        <w:autoSpaceDE w:val="0"/>
        <w:autoSpaceDN w:val="0"/>
        <w:adjustRightInd w:val="0"/>
        <w:rPr>
          <w:b/>
          <w:bCs/>
          <w:color w:val="000000"/>
          <w:sz w:val="22"/>
          <w:szCs w:val="22"/>
        </w:rPr>
      </w:pPr>
    </w:p>
    <w:p w14:paraId="4D960DA9" w14:textId="77777777" w:rsidR="00880C91" w:rsidRPr="003177C2" w:rsidRDefault="00880C91" w:rsidP="00447C6D">
      <w:pPr>
        <w:autoSpaceDE w:val="0"/>
        <w:autoSpaceDN w:val="0"/>
        <w:adjustRightInd w:val="0"/>
        <w:spacing w:after="120"/>
        <w:rPr>
          <w:color w:val="000000"/>
          <w:sz w:val="22"/>
          <w:szCs w:val="22"/>
        </w:rPr>
      </w:pPr>
      <w:r w:rsidRPr="003177C2">
        <w:rPr>
          <w:b/>
          <w:bCs/>
          <w:color w:val="000000"/>
          <w:sz w:val="22"/>
          <w:szCs w:val="22"/>
        </w:rPr>
        <w:t xml:space="preserve">Human rights implications </w:t>
      </w:r>
    </w:p>
    <w:p w14:paraId="1096E2B7" w14:textId="77777777" w:rsidR="00654932" w:rsidRPr="008B0826" w:rsidRDefault="00654932" w:rsidP="00654932">
      <w:pPr>
        <w:rPr>
          <w:sz w:val="22"/>
          <w:szCs w:val="22"/>
        </w:rPr>
      </w:pPr>
      <w:r w:rsidRPr="007B7E9E">
        <w:rPr>
          <w:sz w:val="22"/>
          <w:szCs w:val="22"/>
        </w:rPr>
        <w:t xml:space="preserve">The right to just and favourable conditions of work in article 7 of </w:t>
      </w:r>
      <w:r w:rsidRPr="007B7E9E">
        <w:rPr>
          <w:i/>
          <w:sz w:val="22"/>
          <w:szCs w:val="22"/>
        </w:rPr>
        <w:t>International Covenant on Economic, Social and Cultural Rights</w:t>
      </w:r>
      <w:r w:rsidRPr="008B0826">
        <w:rPr>
          <w:sz w:val="22"/>
          <w:szCs w:val="22"/>
        </w:rPr>
        <w:t xml:space="preserve"> (ICESCR) encompasses a number of elements, including safe and healthy working conditions.</w:t>
      </w:r>
    </w:p>
    <w:p w14:paraId="0784438D" w14:textId="77777777" w:rsidR="00654932" w:rsidRPr="008B0826" w:rsidRDefault="00654932" w:rsidP="00654932">
      <w:pPr>
        <w:rPr>
          <w:sz w:val="22"/>
          <w:szCs w:val="22"/>
        </w:rPr>
      </w:pPr>
    </w:p>
    <w:p w14:paraId="78202D1E" w14:textId="77777777" w:rsidR="00654932" w:rsidRPr="003177C2" w:rsidRDefault="008141D1" w:rsidP="00654932">
      <w:pPr>
        <w:rPr>
          <w:sz w:val="22"/>
          <w:szCs w:val="22"/>
        </w:rPr>
      </w:pPr>
      <w:r w:rsidRPr="000019DC">
        <w:rPr>
          <w:sz w:val="22"/>
          <w:szCs w:val="22"/>
        </w:rPr>
        <w:t>This Instrument</w:t>
      </w:r>
      <w:r w:rsidR="00654932" w:rsidRPr="000019DC">
        <w:rPr>
          <w:sz w:val="22"/>
          <w:szCs w:val="22"/>
        </w:rPr>
        <w:t xml:space="preserve"> support</w:t>
      </w:r>
      <w:r w:rsidRPr="000019DC">
        <w:rPr>
          <w:sz w:val="22"/>
          <w:szCs w:val="22"/>
        </w:rPr>
        <w:t>s</w:t>
      </w:r>
      <w:r w:rsidR="00654932" w:rsidRPr="003177C2">
        <w:rPr>
          <w:sz w:val="22"/>
          <w:szCs w:val="22"/>
        </w:rPr>
        <w:t xml:space="preserve"> implementation of the GHS, which promotes </w:t>
      </w:r>
      <w:r w:rsidR="00095084" w:rsidRPr="003177C2">
        <w:rPr>
          <w:sz w:val="22"/>
          <w:szCs w:val="22"/>
        </w:rPr>
        <w:t xml:space="preserve">safe and healthy workplaces via </w:t>
      </w:r>
      <w:r w:rsidR="00654932" w:rsidRPr="003177C2">
        <w:rPr>
          <w:sz w:val="22"/>
          <w:szCs w:val="22"/>
        </w:rPr>
        <w:t>the provision of information about hazardous chemicals to workers and others at workplaces. Th</w:t>
      </w:r>
      <w:r w:rsidRPr="003177C2">
        <w:rPr>
          <w:sz w:val="22"/>
          <w:szCs w:val="22"/>
        </w:rPr>
        <w:t>is Instrument</w:t>
      </w:r>
      <w:r w:rsidR="00654932" w:rsidRPr="003177C2">
        <w:rPr>
          <w:sz w:val="22"/>
          <w:szCs w:val="22"/>
        </w:rPr>
        <w:t xml:space="preserve"> do</w:t>
      </w:r>
      <w:r w:rsidRPr="003177C2">
        <w:rPr>
          <w:sz w:val="22"/>
          <w:szCs w:val="22"/>
        </w:rPr>
        <w:t>es</w:t>
      </w:r>
      <w:r w:rsidR="00654932" w:rsidRPr="003177C2">
        <w:rPr>
          <w:sz w:val="22"/>
          <w:szCs w:val="22"/>
        </w:rPr>
        <w:t xml:space="preserve"> not</w:t>
      </w:r>
      <w:r w:rsidRPr="003177C2">
        <w:rPr>
          <w:sz w:val="22"/>
          <w:szCs w:val="22"/>
        </w:rPr>
        <w:t>,</w:t>
      </w:r>
      <w:r w:rsidR="00654932" w:rsidRPr="003177C2">
        <w:rPr>
          <w:sz w:val="22"/>
          <w:szCs w:val="22"/>
        </w:rPr>
        <w:t xml:space="preserve"> however</w:t>
      </w:r>
      <w:r w:rsidRPr="003177C2">
        <w:rPr>
          <w:sz w:val="22"/>
          <w:szCs w:val="22"/>
        </w:rPr>
        <w:t>,</w:t>
      </w:r>
      <w:r w:rsidR="00654932" w:rsidRPr="003177C2">
        <w:rPr>
          <w:sz w:val="22"/>
          <w:szCs w:val="22"/>
        </w:rPr>
        <w:t xml:space="preserve"> deal with substantive safety issues in </w:t>
      </w:r>
      <w:r w:rsidRPr="003177C2">
        <w:rPr>
          <w:sz w:val="22"/>
          <w:szCs w:val="22"/>
        </w:rPr>
        <w:t>its</w:t>
      </w:r>
      <w:r w:rsidR="00654932" w:rsidRPr="003177C2">
        <w:rPr>
          <w:sz w:val="22"/>
          <w:szCs w:val="22"/>
        </w:rPr>
        <w:t xml:space="preserve"> own right</w:t>
      </w:r>
      <w:r w:rsidRPr="003177C2">
        <w:rPr>
          <w:sz w:val="22"/>
          <w:szCs w:val="22"/>
        </w:rPr>
        <w:t>. Instead, it</w:t>
      </w:r>
      <w:r w:rsidR="00654932" w:rsidRPr="003177C2">
        <w:rPr>
          <w:sz w:val="22"/>
          <w:szCs w:val="22"/>
        </w:rPr>
        <w:t xml:space="preserve"> deal</w:t>
      </w:r>
      <w:r w:rsidRPr="003177C2">
        <w:rPr>
          <w:sz w:val="22"/>
          <w:szCs w:val="22"/>
        </w:rPr>
        <w:t>s</w:t>
      </w:r>
      <w:r w:rsidR="00654932" w:rsidRPr="003177C2">
        <w:rPr>
          <w:sz w:val="22"/>
          <w:szCs w:val="22"/>
        </w:rPr>
        <w:t xml:space="preserve"> with a range of transitional, consequential and minor technical issues. In general</w:t>
      </w:r>
      <w:r w:rsidR="00D20C6F" w:rsidRPr="003177C2">
        <w:rPr>
          <w:sz w:val="22"/>
          <w:szCs w:val="22"/>
        </w:rPr>
        <w:t>,</w:t>
      </w:r>
      <w:r w:rsidR="00654932" w:rsidRPr="003177C2">
        <w:rPr>
          <w:sz w:val="22"/>
          <w:szCs w:val="22"/>
        </w:rPr>
        <w:t xml:space="preserve"> th</w:t>
      </w:r>
      <w:r w:rsidRPr="003177C2">
        <w:rPr>
          <w:sz w:val="22"/>
          <w:szCs w:val="22"/>
        </w:rPr>
        <w:t>is Instrument</w:t>
      </w:r>
      <w:r w:rsidR="00654932" w:rsidRPr="003177C2">
        <w:rPr>
          <w:sz w:val="22"/>
          <w:szCs w:val="22"/>
        </w:rPr>
        <w:t xml:space="preserve"> put</w:t>
      </w:r>
      <w:r w:rsidRPr="003177C2">
        <w:rPr>
          <w:sz w:val="22"/>
          <w:szCs w:val="22"/>
        </w:rPr>
        <w:t>s</w:t>
      </w:r>
      <w:r w:rsidR="00654932" w:rsidRPr="003177C2">
        <w:rPr>
          <w:sz w:val="22"/>
          <w:szCs w:val="22"/>
        </w:rPr>
        <w:t xml:space="preserve"> into place transitional arrangements to accommodate the introduction of the GHS</w:t>
      </w:r>
      <w:r w:rsidR="00D7623F">
        <w:rPr>
          <w:sz w:val="22"/>
          <w:szCs w:val="22"/>
        </w:rPr>
        <w:t>;</w:t>
      </w:r>
      <w:r w:rsidR="00654932" w:rsidRPr="003177C2">
        <w:rPr>
          <w:sz w:val="22"/>
          <w:szCs w:val="22"/>
        </w:rPr>
        <w:t xml:space="preserve"> make</w:t>
      </w:r>
      <w:r w:rsidR="00356F6D">
        <w:rPr>
          <w:sz w:val="22"/>
          <w:szCs w:val="22"/>
        </w:rPr>
        <w:t>s</w:t>
      </w:r>
      <w:r w:rsidR="00654932" w:rsidRPr="003177C2">
        <w:rPr>
          <w:sz w:val="22"/>
          <w:szCs w:val="22"/>
        </w:rPr>
        <w:t xml:space="preserve"> some adjustments where the GHS requirements overlap with more specific labelling requirements elsewhere</w:t>
      </w:r>
      <w:r w:rsidR="00D7623F">
        <w:rPr>
          <w:sz w:val="22"/>
          <w:szCs w:val="22"/>
        </w:rPr>
        <w:t>;</w:t>
      </w:r>
      <w:r w:rsidR="00654932" w:rsidRPr="003177C2">
        <w:rPr>
          <w:sz w:val="22"/>
          <w:szCs w:val="22"/>
        </w:rPr>
        <w:t xml:space="preserve"> and make</w:t>
      </w:r>
      <w:r w:rsidR="00356F6D">
        <w:rPr>
          <w:sz w:val="22"/>
          <w:szCs w:val="22"/>
        </w:rPr>
        <w:t>s</w:t>
      </w:r>
      <w:r w:rsidR="00654932" w:rsidRPr="003177C2">
        <w:rPr>
          <w:sz w:val="22"/>
          <w:szCs w:val="22"/>
        </w:rPr>
        <w:t xml:space="preserve"> some minor corrections of a technical nature. Details of the substantive amendments are provided below.</w:t>
      </w:r>
    </w:p>
    <w:p w14:paraId="056FE13F" w14:textId="77777777" w:rsidR="00095084" w:rsidRPr="003177C2" w:rsidRDefault="00095084" w:rsidP="005E0D6C">
      <w:pPr>
        <w:rPr>
          <w:sz w:val="22"/>
          <w:szCs w:val="22"/>
        </w:rPr>
      </w:pPr>
    </w:p>
    <w:p w14:paraId="3020DF6A" w14:textId="77777777" w:rsidR="00654932" w:rsidRPr="003177C2" w:rsidRDefault="00654932" w:rsidP="005E0D6C">
      <w:pPr>
        <w:rPr>
          <w:sz w:val="22"/>
          <w:szCs w:val="22"/>
        </w:rPr>
      </w:pPr>
      <w:r w:rsidRPr="003177C2">
        <w:rPr>
          <w:sz w:val="22"/>
          <w:szCs w:val="22"/>
        </w:rPr>
        <w:t>On th</w:t>
      </w:r>
      <w:r w:rsidR="007975F9" w:rsidRPr="003177C2">
        <w:rPr>
          <w:sz w:val="22"/>
          <w:szCs w:val="22"/>
        </w:rPr>
        <w:t>is</w:t>
      </w:r>
      <w:r w:rsidRPr="003177C2">
        <w:rPr>
          <w:sz w:val="22"/>
          <w:szCs w:val="22"/>
        </w:rPr>
        <w:t xml:space="preserve"> basis</w:t>
      </w:r>
      <w:r w:rsidR="007975F9" w:rsidRPr="003177C2">
        <w:rPr>
          <w:sz w:val="22"/>
          <w:szCs w:val="22"/>
        </w:rPr>
        <w:t>,</w:t>
      </w:r>
      <w:r w:rsidRPr="003177C2">
        <w:rPr>
          <w:sz w:val="22"/>
          <w:szCs w:val="22"/>
        </w:rPr>
        <w:t xml:space="preserve"> th</w:t>
      </w:r>
      <w:r w:rsidR="008141D1" w:rsidRPr="003177C2">
        <w:rPr>
          <w:sz w:val="22"/>
          <w:szCs w:val="22"/>
        </w:rPr>
        <w:t>is Instrument</w:t>
      </w:r>
      <w:r w:rsidRPr="003177C2">
        <w:rPr>
          <w:sz w:val="22"/>
          <w:szCs w:val="22"/>
        </w:rPr>
        <w:t xml:space="preserve"> do</w:t>
      </w:r>
      <w:r w:rsidR="008141D1" w:rsidRPr="003177C2">
        <w:rPr>
          <w:sz w:val="22"/>
          <w:szCs w:val="22"/>
        </w:rPr>
        <w:t>es</w:t>
      </w:r>
      <w:r w:rsidRPr="003177C2">
        <w:rPr>
          <w:sz w:val="22"/>
          <w:szCs w:val="22"/>
        </w:rPr>
        <w:t xml:space="preserve"> not engage any of the human rights and freedoms noted above.</w:t>
      </w:r>
    </w:p>
    <w:p w14:paraId="7827C1D1" w14:textId="77777777" w:rsidR="00095084" w:rsidRPr="003177C2" w:rsidRDefault="00095084" w:rsidP="006A4BD5">
      <w:pPr>
        <w:rPr>
          <w:i/>
          <w:sz w:val="22"/>
          <w:szCs w:val="22"/>
          <w:u w:val="single"/>
        </w:rPr>
      </w:pPr>
    </w:p>
    <w:p w14:paraId="284366BD" w14:textId="77777777" w:rsidR="00CC29FC" w:rsidRPr="007B7E9E" w:rsidRDefault="0048074C" w:rsidP="00447C6D">
      <w:pPr>
        <w:spacing w:after="120"/>
        <w:rPr>
          <w:sz w:val="22"/>
          <w:szCs w:val="22"/>
        </w:rPr>
      </w:pPr>
      <w:r w:rsidRPr="007B7E9E">
        <w:rPr>
          <w:i/>
          <w:sz w:val="22"/>
          <w:szCs w:val="22"/>
          <w:u w:val="single"/>
        </w:rPr>
        <w:t>Transitional arrangements for the GHS</w:t>
      </w:r>
    </w:p>
    <w:p w14:paraId="3CC92538" w14:textId="77777777" w:rsidR="008E1AAB" w:rsidRPr="003177C2" w:rsidRDefault="0048074C" w:rsidP="00AE32C1">
      <w:pPr>
        <w:rPr>
          <w:sz w:val="22"/>
          <w:szCs w:val="22"/>
        </w:rPr>
      </w:pPr>
      <w:r w:rsidRPr="008B0826">
        <w:rPr>
          <w:sz w:val="22"/>
          <w:szCs w:val="22"/>
        </w:rPr>
        <w:t>The GHS is an interna</w:t>
      </w:r>
      <w:r w:rsidR="00D20C6F" w:rsidRPr="008B0826">
        <w:rPr>
          <w:sz w:val="22"/>
          <w:szCs w:val="22"/>
        </w:rPr>
        <w:t>tionally</w:t>
      </w:r>
      <w:r w:rsidRPr="008B0826">
        <w:rPr>
          <w:sz w:val="22"/>
          <w:szCs w:val="22"/>
        </w:rPr>
        <w:t xml:space="preserve"> agreed system for classifying and labelling hazardous chemicals, that superseded the Australian system, referred to as </w:t>
      </w:r>
      <w:r w:rsidR="008E1AAB" w:rsidRPr="008B0826">
        <w:rPr>
          <w:sz w:val="22"/>
          <w:szCs w:val="22"/>
        </w:rPr>
        <w:t>NOHSC labelling. All hazardous chemical products manufactured or imported from 1 January 2017 must be labelled in accordance with GHS re</w:t>
      </w:r>
      <w:r w:rsidR="008E1AAB" w:rsidRPr="000019DC">
        <w:rPr>
          <w:sz w:val="22"/>
          <w:szCs w:val="22"/>
        </w:rPr>
        <w:t>quirements before being supplied into the supply chain</w:t>
      </w:r>
      <w:r w:rsidR="002E6FD6" w:rsidRPr="000019DC">
        <w:rPr>
          <w:sz w:val="22"/>
          <w:szCs w:val="22"/>
        </w:rPr>
        <w:t xml:space="preserve"> (i.e. with GHS labels)</w:t>
      </w:r>
      <w:r w:rsidR="008E1AAB" w:rsidRPr="000019DC">
        <w:rPr>
          <w:sz w:val="22"/>
          <w:szCs w:val="22"/>
        </w:rPr>
        <w:t>.</w:t>
      </w:r>
    </w:p>
    <w:p w14:paraId="0BA5B6E7" w14:textId="77777777" w:rsidR="008E1AAB" w:rsidRPr="003177C2" w:rsidRDefault="008E1AAB" w:rsidP="00AE32C1">
      <w:pPr>
        <w:rPr>
          <w:sz w:val="22"/>
          <w:szCs w:val="22"/>
        </w:rPr>
      </w:pPr>
    </w:p>
    <w:p w14:paraId="6F66826C" w14:textId="77777777" w:rsidR="001423E0" w:rsidRPr="003177C2" w:rsidRDefault="002E6FD6" w:rsidP="00AE32C1">
      <w:pPr>
        <w:rPr>
          <w:sz w:val="22"/>
          <w:szCs w:val="22"/>
        </w:rPr>
      </w:pPr>
      <w:r w:rsidRPr="003177C2">
        <w:rPr>
          <w:sz w:val="22"/>
          <w:szCs w:val="22"/>
        </w:rPr>
        <w:t xml:space="preserve">Under the auspices of Safe Work Australia (SWA), it has been agreed at the national level </w:t>
      </w:r>
      <w:r w:rsidR="008E1AAB" w:rsidRPr="003177C2">
        <w:rPr>
          <w:sz w:val="22"/>
          <w:szCs w:val="22"/>
        </w:rPr>
        <w:t>that products already in the supply chain</w:t>
      </w:r>
      <w:r w:rsidRPr="003177C2">
        <w:rPr>
          <w:sz w:val="22"/>
          <w:szCs w:val="22"/>
        </w:rPr>
        <w:t>,</w:t>
      </w:r>
      <w:r w:rsidR="008E1AAB" w:rsidRPr="003177C2">
        <w:rPr>
          <w:sz w:val="22"/>
          <w:szCs w:val="22"/>
        </w:rPr>
        <w:t xml:space="preserve"> </w:t>
      </w:r>
      <w:r w:rsidR="00E04298" w:rsidRPr="003177C2">
        <w:rPr>
          <w:sz w:val="22"/>
          <w:szCs w:val="22"/>
        </w:rPr>
        <w:t xml:space="preserve">that were </w:t>
      </w:r>
      <w:r w:rsidR="008E1AAB" w:rsidRPr="003177C2">
        <w:rPr>
          <w:sz w:val="22"/>
          <w:szCs w:val="22"/>
        </w:rPr>
        <w:t xml:space="preserve">correctly labelled under the </w:t>
      </w:r>
      <w:r w:rsidR="001A0509" w:rsidRPr="003177C2">
        <w:rPr>
          <w:sz w:val="22"/>
          <w:szCs w:val="22"/>
        </w:rPr>
        <w:t xml:space="preserve">superseded </w:t>
      </w:r>
      <w:r w:rsidR="008E1AAB" w:rsidRPr="003177C2">
        <w:rPr>
          <w:sz w:val="22"/>
          <w:szCs w:val="22"/>
        </w:rPr>
        <w:t>NOHSC labelling regime</w:t>
      </w:r>
      <w:r w:rsidR="00E04298" w:rsidRPr="003177C2">
        <w:rPr>
          <w:sz w:val="22"/>
          <w:szCs w:val="22"/>
        </w:rPr>
        <w:t>,</w:t>
      </w:r>
      <w:r w:rsidR="008E1AAB" w:rsidRPr="003177C2">
        <w:rPr>
          <w:sz w:val="22"/>
          <w:szCs w:val="22"/>
        </w:rPr>
        <w:t xml:space="preserve"> will not need to be relabe</w:t>
      </w:r>
      <w:r w:rsidR="00E04298" w:rsidRPr="003177C2">
        <w:rPr>
          <w:sz w:val="22"/>
          <w:szCs w:val="22"/>
        </w:rPr>
        <w:t>l</w:t>
      </w:r>
      <w:r w:rsidR="008E1AAB" w:rsidRPr="003177C2">
        <w:rPr>
          <w:sz w:val="22"/>
          <w:szCs w:val="22"/>
        </w:rPr>
        <w:t xml:space="preserve">led. </w:t>
      </w:r>
      <w:r w:rsidR="005D312F" w:rsidRPr="003177C2">
        <w:rPr>
          <w:sz w:val="22"/>
          <w:szCs w:val="22"/>
        </w:rPr>
        <w:t>Accordingly, under th</w:t>
      </w:r>
      <w:r w:rsidR="00956FD2">
        <w:rPr>
          <w:sz w:val="22"/>
          <w:szCs w:val="22"/>
        </w:rPr>
        <w:t>is</w:t>
      </w:r>
      <w:r w:rsidR="005D312F" w:rsidRPr="003177C2">
        <w:rPr>
          <w:sz w:val="22"/>
          <w:szCs w:val="22"/>
        </w:rPr>
        <w:t xml:space="preserve"> </w:t>
      </w:r>
      <w:r w:rsidR="00956FD2">
        <w:rPr>
          <w:sz w:val="22"/>
          <w:szCs w:val="22"/>
        </w:rPr>
        <w:t>Instrument</w:t>
      </w:r>
      <w:r w:rsidR="005D312F" w:rsidRPr="003177C2">
        <w:rPr>
          <w:sz w:val="22"/>
          <w:szCs w:val="22"/>
        </w:rPr>
        <w:t>,</w:t>
      </w:r>
      <w:r w:rsidR="008E1AAB" w:rsidRPr="003177C2">
        <w:rPr>
          <w:sz w:val="22"/>
          <w:szCs w:val="22"/>
        </w:rPr>
        <w:t xml:space="preserve"> products with old NOHSC labels already in the supply chain and in workplaces </w:t>
      </w:r>
      <w:r w:rsidRPr="003177C2">
        <w:rPr>
          <w:sz w:val="22"/>
          <w:szCs w:val="22"/>
        </w:rPr>
        <w:t>may</w:t>
      </w:r>
      <w:r w:rsidR="008E1AAB" w:rsidRPr="003177C2">
        <w:rPr>
          <w:sz w:val="22"/>
          <w:szCs w:val="22"/>
        </w:rPr>
        <w:t xml:space="preserve"> continue to be used, </w:t>
      </w:r>
      <w:r w:rsidR="001423E0" w:rsidRPr="003177C2">
        <w:rPr>
          <w:sz w:val="22"/>
          <w:szCs w:val="22"/>
        </w:rPr>
        <w:t>handled and stored until spent</w:t>
      </w:r>
      <w:r w:rsidR="00E04298" w:rsidRPr="003177C2">
        <w:rPr>
          <w:sz w:val="22"/>
          <w:szCs w:val="22"/>
        </w:rPr>
        <w:t xml:space="preserve"> or disposed of</w:t>
      </w:r>
      <w:r w:rsidRPr="003177C2">
        <w:rPr>
          <w:sz w:val="22"/>
          <w:szCs w:val="22"/>
        </w:rPr>
        <w:t xml:space="preserve"> (i.e. without being re-labelled)</w:t>
      </w:r>
      <w:r w:rsidR="001423E0" w:rsidRPr="003177C2">
        <w:rPr>
          <w:sz w:val="22"/>
          <w:szCs w:val="22"/>
        </w:rPr>
        <w:t xml:space="preserve">. </w:t>
      </w:r>
      <w:r w:rsidR="00E04298" w:rsidRPr="003177C2">
        <w:rPr>
          <w:sz w:val="22"/>
          <w:szCs w:val="22"/>
        </w:rPr>
        <w:t xml:space="preserve">This arrangement allows for products with old </w:t>
      </w:r>
      <w:r w:rsidR="001423E0" w:rsidRPr="003177C2">
        <w:rPr>
          <w:sz w:val="22"/>
          <w:szCs w:val="22"/>
        </w:rPr>
        <w:t xml:space="preserve">NOHSC labels </w:t>
      </w:r>
      <w:r w:rsidR="00E04298" w:rsidRPr="003177C2">
        <w:rPr>
          <w:sz w:val="22"/>
          <w:szCs w:val="22"/>
        </w:rPr>
        <w:t>to be</w:t>
      </w:r>
      <w:r w:rsidR="001423E0" w:rsidRPr="003177C2">
        <w:rPr>
          <w:sz w:val="22"/>
          <w:szCs w:val="22"/>
        </w:rPr>
        <w:t xml:space="preserve"> </w:t>
      </w:r>
      <w:r w:rsidR="00E04298" w:rsidRPr="003177C2">
        <w:rPr>
          <w:sz w:val="22"/>
          <w:szCs w:val="22"/>
        </w:rPr>
        <w:t xml:space="preserve">sensibly </w:t>
      </w:r>
      <w:r w:rsidRPr="003177C2">
        <w:rPr>
          <w:sz w:val="22"/>
          <w:szCs w:val="22"/>
        </w:rPr>
        <w:t xml:space="preserve">and gradually </w:t>
      </w:r>
      <w:r w:rsidR="001423E0" w:rsidRPr="003177C2">
        <w:rPr>
          <w:sz w:val="22"/>
          <w:szCs w:val="22"/>
        </w:rPr>
        <w:t>phased out of the supply chain and workplaces.</w:t>
      </w:r>
    </w:p>
    <w:p w14:paraId="4AA66684" w14:textId="77777777" w:rsidR="001423E0" w:rsidRPr="003177C2" w:rsidRDefault="001423E0" w:rsidP="00AE32C1">
      <w:pPr>
        <w:rPr>
          <w:sz w:val="22"/>
          <w:szCs w:val="22"/>
        </w:rPr>
      </w:pPr>
    </w:p>
    <w:p w14:paraId="6CB7A467" w14:textId="77777777" w:rsidR="008E1AAB" w:rsidRPr="003177C2" w:rsidRDefault="008E1AAB" w:rsidP="00AE32C1">
      <w:pPr>
        <w:rPr>
          <w:sz w:val="22"/>
          <w:szCs w:val="22"/>
        </w:rPr>
      </w:pPr>
      <w:r w:rsidRPr="003177C2">
        <w:rPr>
          <w:sz w:val="22"/>
          <w:szCs w:val="22"/>
        </w:rPr>
        <w:t xml:space="preserve">NOHSC labels </w:t>
      </w:r>
      <w:r w:rsidR="001423E0" w:rsidRPr="003177C2">
        <w:rPr>
          <w:sz w:val="22"/>
          <w:szCs w:val="22"/>
        </w:rPr>
        <w:t xml:space="preserve">are considered to provide a safe and acceptable alternative to GHS labels for the transitional period. Workers and others at workplaces will </w:t>
      </w:r>
      <w:r w:rsidR="001A0509" w:rsidRPr="003177C2">
        <w:rPr>
          <w:sz w:val="22"/>
          <w:szCs w:val="22"/>
        </w:rPr>
        <w:t xml:space="preserve">continue to </w:t>
      </w:r>
      <w:r w:rsidR="001423E0" w:rsidRPr="003177C2">
        <w:rPr>
          <w:sz w:val="22"/>
          <w:szCs w:val="22"/>
        </w:rPr>
        <w:t xml:space="preserve">have access </w:t>
      </w:r>
      <w:r w:rsidR="00FD1E99" w:rsidRPr="003177C2">
        <w:rPr>
          <w:sz w:val="22"/>
          <w:szCs w:val="22"/>
        </w:rPr>
        <w:t xml:space="preserve">to </w:t>
      </w:r>
      <w:r w:rsidR="001423E0" w:rsidRPr="003177C2">
        <w:rPr>
          <w:sz w:val="22"/>
          <w:szCs w:val="22"/>
        </w:rPr>
        <w:t>accurate and comprehensive information about hazardous chemical</w:t>
      </w:r>
      <w:r w:rsidR="002E6FD6" w:rsidRPr="003177C2">
        <w:rPr>
          <w:sz w:val="22"/>
          <w:szCs w:val="22"/>
        </w:rPr>
        <w:t>s</w:t>
      </w:r>
      <w:r w:rsidR="001423E0" w:rsidRPr="003177C2">
        <w:rPr>
          <w:sz w:val="22"/>
          <w:szCs w:val="22"/>
        </w:rPr>
        <w:t>. Accordingly, the transitional arrangement</w:t>
      </w:r>
      <w:r w:rsidR="002E6FD6" w:rsidRPr="003177C2">
        <w:rPr>
          <w:sz w:val="22"/>
          <w:szCs w:val="22"/>
        </w:rPr>
        <w:t>s</w:t>
      </w:r>
      <w:r w:rsidR="001423E0" w:rsidRPr="003177C2">
        <w:rPr>
          <w:sz w:val="22"/>
          <w:szCs w:val="22"/>
        </w:rPr>
        <w:t xml:space="preserve"> will allow for a safe and appropriate transition to the GHS labelling regime, without a</w:t>
      </w:r>
      <w:r w:rsidR="002E6FD6" w:rsidRPr="003177C2">
        <w:rPr>
          <w:sz w:val="22"/>
          <w:szCs w:val="22"/>
        </w:rPr>
        <w:t>ny</w:t>
      </w:r>
      <w:r w:rsidR="001423E0" w:rsidRPr="003177C2">
        <w:rPr>
          <w:sz w:val="22"/>
          <w:szCs w:val="22"/>
        </w:rPr>
        <w:t xml:space="preserve"> diminution </w:t>
      </w:r>
      <w:r w:rsidR="002E6FD6" w:rsidRPr="003177C2">
        <w:rPr>
          <w:sz w:val="22"/>
          <w:szCs w:val="22"/>
        </w:rPr>
        <w:t>of</w:t>
      </w:r>
      <w:r w:rsidR="001423E0" w:rsidRPr="003177C2">
        <w:rPr>
          <w:sz w:val="22"/>
          <w:szCs w:val="22"/>
        </w:rPr>
        <w:t xml:space="preserve"> existing safety standards.</w:t>
      </w:r>
    </w:p>
    <w:p w14:paraId="5C2AE413" w14:textId="77777777" w:rsidR="00CC29FC" w:rsidRPr="003177C2" w:rsidRDefault="00CC29FC" w:rsidP="00880C91">
      <w:pPr>
        <w:autoSpaceDE w:val="0"/>
        <w:autoSpaceDN w:val="0"/>
        <w:adjustRightInd w:val="0"/>
        <w:rPr>
          <w:rFonts w:eastAsiaTheme="minorHAnsi"/>
          <w:color w:val="000000"/>
          <w:sz w:val="22"/>
          <w:szCs w:val="22"/>
          <w:lang w:eastAsia="en-US"/>
        </w:rPr>
      </w:pPr>
    </w:p>
    <w:p w14:paraId="747C9307" w14:textId="77777777" w:rsidR="00802054" w:rsidRPr="003177C2" w:rsidRDefault="00802054" w:rsidP="00447C6D">
      <w:pPr>
        <w:keepNext/>
        <w:spacing w:after="120"/>
        <w:rPr>
          <w:i/>
          <w:sz w:val="22"/>
          <w:szCs w:val="22"/>
          <w:u w:val="single"/>
        </w:rPr>
      </w:pPr>
      <w:r w:rsidRPr="003177C2">
        <w:rPr>
          <w:i/>
          <w:sz w:val="22"/>
          <w:szCs w:val="22"/>
          <w:u w:val="single"/>
        </w:rPr>
        <w:t xml:space="preserve">Agricultural </w:t>
      </w:r>
      <w:r w:rsidR="005E31F7" w:rsidRPr="003177C2">
        <w:rPr>
          <w:i/>
          <w:sz w:val="22"/>
          <w:szCs w:val="22"/>
          <w:u w:val="single"/>
        </w:rPr>
        <w:t>and</w:t>
      </w:r>
      <w:r w:rsidRPr="003177C2">
        <w:rPr>
          <w:i/>
          <w:sz w:val="22"/>
          <w:szCs w:val="22"/>
          <w:u w:val="single"/>
        </w:rPr>
        <w:t xml:space="preserve"> veterinary chemicals:  labelling requirements</w:t>
      </w:r>
    </w:p>
    <w:p w14:paraId="6A21637C" w14:textId="77777777" w:rsidR="001A0509" w:rsidRPr="003177C2" w:rsidRDefault="001A0509" w:rsidP="000B167E">
      <w:pPr>
        <w:spacing w:after="120"/>
        <w:rPr>
          <w:sz w:val="22"/>
          <w:szCs w:val="22"/>
        </w:rPr>
      </w:pPr>
      <w:r w:rsidRPr="003177C2">
        <w:rPr>
          <w:sz w:val="22"/>
          <w:szCs w:val="22"/>
        </w:rPr>
        <w:t xml:space="preserve">In Australia the GHS overlaps with several other more specialised labelling regimes, including the labelling regime for agricultural </w:t>
      </w:r>
      <w:r w:rsidR="00654932" w:rsidRPr="003177C2">
        <w:rPr>
          <w:sz w:val="22"/>
          <w:szCs w:val="22"/>
        </w:rPr>
        <w:t xml:space="preserve">and veterinary </w:t>
      </w:r>
      <w:r w:rsidR="00D2508D" w:rsidRPr="003177C2">
        <w:rPr>
          <w:sz w:val="22"/>
          <w:szCs w:val="22"/>
        </w:rPr>
        <w:t>chemicals (AgVet chemicals). At a national level, it has been agreed that GHS labelling requirements will not apply to prescribed veterinary chemicals</w:t>
      </w:r>
      <w:r w:rsidR="004677BA" w:rsidRPr="003177C2">
        <w:rPr>
          <w:sz w:val="22"/>
          <w:szCs w:val="22"/>
        </w:rPr>
        <w:t xml:space="preserve"> classified under the Poisons Standard June 2018 (Poisons Standard). That is</w:t>
      </w:r>
      <w:r w:rsidR="00D2508D" w:rsidRPr="003177C2">
        <w:rPr>
          <w:sz w:val="22"/>
          <w:szCs w:val="22"/>
        </w:rPr>
        <w:t>:</w:t>
      </w:r>
    </w:p>
    <w:p w14:paraId="1DF27446" w14:textId="77777777" w:rsidR="008265B8" w:rsidRPr="003177C2" w:rsidRDefault="008265B8" w:rsidP="00447C6D">
      <w:pPr>
        <w:numPr>
          <w:ilvl w:val="0"/>
          <w:numId w:val="27"/>
        </w:numPr>
        <w:spacing w:after="120"/>
        <w:ind w:left="714" w:hanging="357"/>
        <w:rPr>
          <w:sz w:val="22"/>
          <w:szCs w:val="22"/>
        </w:rPr>
      </w:pPr>
      <w:r w:rsidRPr="003177C2">
        <w:rPr>
          <w:sz w:val="22"/>
          <w:szCs w:val="22"/>
        </w:rPr>
        <w:t xml:space="preserve">‘Schedule 8’ veterinary chemicals—because they are </w:t>
      </w:r>
      <w:r w:rsidR="004677BA" w:rsidRPr="003177C2">
        <w:rPr>
          <w:sz w:val="22"/>
          <w:szCs w:val="22"/>
        </w:rPr>
        <w:t xml:space="preserve">restricted and </w:t>
      </w:r>
      <w:r w:rsidRPr="003177C2">
        <w:rPr>
          <w:sz w:val="22"/>
          <w:szCs w:val="22"/>
        </w:rPr>
        <w:t>analogous to the exempted therapeutic goods for humans as they are handled in small quantities by specially trained workers;</w:t>
      </w:r>
      <w:r w:rsidR="004677BA" w:rsidRPr="003177C2">
        <w:rPr>
          <w:sz w:val="22"/>
          <w:szCs w:val="22"/>
        </w:rPr>
        <w:t xml:space="preserve"> and</w:t>
      </w:r>
    </w:p>
    <w:p w14:paraId="79636E4E" w14:textId="77777777" w:rsidR="008265B8" w:rsidRPr="003177C2" w:rsidRDefault="008265B8" w:rsidP="008265B8">
      <w:pPr>
        <w:numPr>
          <w:ilvl w:val="0"/>
          <w:numId w:val="27"/>
        </w:numPr>
        <w:spacing w:after="240"/>
        <w:rPr>
          <w:sz w:val="22"/>
          <w:szCs w:val="22"/>
        </w:rPr>
      </w:pPr>
      <w:r w:rsidRPr="003177C2">
        <w:rPr>
          <w:sz w:val="22"/>
          <w:szCs w:val="22"/>
        </w:rPr>
        <w:t>‘Schedule 4’ veterinary chemicals</w:t>
      </w:r>
      <w:r w:rsidR="004677BA" w:rsidRPr="003177C2">
        <w:rPr>
          <w:sz w:val="22"/>
          <w:szCs w:val="22"/>
        </w:rPr>
        <w:t>—because they are packaged to</w:t>
      </w:r>
      <w:r w:rsidRPr="003177C2">
        <w:rPr>
          <w:sz w:val="22"/>
          <w:szCs w:val="22"/>
        </w:rPr>
        <w:t xml:space="preserve"> be directly administered to animals</w:t>
      </w:r>
      <w:r w:rsidR="004677BA" w:rsidRPr="003177C2">
        <w:rPr>
          <w:sz w:val="22"/>
          <w:szCs w:val="22"/>
        </w:rPr>
        <w:t>, and</w:t>
      </w:r>
      <w:r w:rsidR="00FD1E99" w:rsidRPr="003177C2">
        <w:rPr>
          <w:sz w:val="22"/>
          <w:szCs w:val="22"/>
        </w:rPr>
        <w:t xml:space="preserve"> are</w:t>
      </w:r>
      <w:r w:rsidRPr="003177C2">
        <w:rPr>
          <w:sz w:val="22"/>
          <w:szCs w:val="22"/>
        </w:rPr>
        <w:t xml:space="preserve"> analogous to the exempted therapeutic goods for humans </w:t>
      </w:r>
      <w:r w:rsidR="00AE32C1" w:rsidRPr="003177C2">
        <w:rPr>
          <w:sz w:val="22"/>
          <w:szCs w:val="22"/>
        </w:rPr>
        <w:t xml:space="preserve">insofar </w:t>
      </w:r>
      <w:r w:rsidRPr="003177C2">
        <w:rPr>
          <w:sz w:val="22"/>
          <w:szCs w:val="22"/>
        </w:rPr>
        <w:t>as the</w:t>
      </w:r>
      <w:r w:rsidR="004677BA" w:rsidRPr="003177C2">
        <w:rPr>
          <w:sz w:val="22"/>
          <w:szCs w:val="22"/>
        </w:rPr>
        <w:t xml:space="preserve">y </w:t>
      </w:r>
      <w:r w:rsidR="00AE32C1" w:rsidRPr="003177C2">
        <w:rPr>
          <w:sz w:val="22"/>
          <w:szCs w:val="22"/>
        </w:rPr>
        <w:t xml:space="preserve">are </w:t>
      </w:r>
      <w:r w:rsidR="004677BA" w:rsidRPr="003177C2">
        <w:rPr>
          <w:sz w:val="22"/>
          <w:szCs w:val="22"/>
        </w:rPr>
        <w:t>like</w:t>
      </w:r>
      <w:r w:rsidRPr="003177C2">
        <w:rPr>
          <w:sz w:val="22"/>
          <w:szCs w:val="22"/>
        </w:rPr>
        <w:t xml:space="preserve"> prescription medicines usually administered by trained workers.</w:t>
      </w:r>
    </w:p>
    <w:p w14:paraId="768B8E1C" w14:textId="77777777" w:rsidR="00654932" w:rsidRPr="003177C2" w:rsidRDefault="00654932" w:rsidP="00447C6D">
      <w:pPr>
        <w:rPr>
          <w:sz w:val="22"/>
          <w:szCs w:val="22"/>
        </w:rPr>
      </w:pPr>
      <w:r w:rsidRPr="003177C2">
        <w:rPr>
          <w:sz w:val="22"/>
          <w:szCs w:val="22"/>
        </w:rPr>
        <w:t>Th</w:t>
      </w:r>
      <w:r w:rsidR="00956FD2">
        <w:rPr>
          <w:sz w:val="22"/>
          <w:szCs w:val="22"/>
        </w:rPr>
        <w:t>is</w:t>
      </w:r>
      <w:r w:rsidRPr="003177C2">
        <w:rPr>
          <w:sz w:val="22"/>
          <w:szCs w:val="22"/>
        </w:rPr>
        <w:t xml:space="preserve"> </w:t>
      </w:r>
      <w:r w:rsidR="00956FD2">
        <w:rPr>
          <w:sz w:val="22"/>
          <w:szCs w:val="22"/>
        </w:rPr>
        <w:t>Instrument</w:t>
      </w:r>
      <w:r w:rsidR="00956FD2" w:rsidRPr="003177C2">
        <w:rPr>
          <w:sz w:val="22"/>
          <w:szCs w:val="22"/>
        </w:rPr>
        <w:t xml:space="preserve"> </w:t>
      </w:r>
      <w:r w:rsidR="002E6FD6" w:rsidRPr="003177C2">
        <w:rPr>
          <w:sz w:val="22"/>
          <w:szCs w:val="22"/>
        </w:rPr>
        <w:t>adopt</w:t>
      </w:r>
      <w:r w:rsidR="00956FD2">
        <w:rPr>
          <w:sz w:val="22"/>
          <w:szCs w:val="22"/>
        </w:rPr>
        <w:t>s</w:t>
      </w:r>
      <w:r w:rsidR="002E6FD6" w:rsidRPr="003177C2">
        <w:rPr>
          <w:sz w:val="22"/>
          <w:szCs w:val="22"/>
        </w:rPr>
        <w:t xml:space="preserve"> this policy.</w:t>
      </w:r>
    </w:p>
    <w:p w14:paraId="62D7B80A" w14:textId="77777777" w:rsidR="00654932" w:rsidRPr="003177C2" w:rsidRDefault="00654932" w:rsidP="00447C6D">
      <w:pPr>
        <w:rPr>
          <w:sz w:val="22"/>
          <w:szCs w:val="22"/>
        </w:rPr>
      </w:pPr>
    </w:p>
    <w:p w14:paraId="08BC38D2" w14:textId="77777777" w:rsidR="003F7CD8" w:rsidRPr="003177C2" w:rsidRDefault="00B95AE9" w:rsidP="00447C6D">
      <w:pPr>
        <w:rPr>
          <w:sz w:val="22"/>
          <w:szCs w:val="22"/>
        </w:rPr>
      </w:pPr>
      <w:r w:rsidRPr="003177C2">
        <w:rPr>
          <w:sz w:val="22"/>
          <w:szCs w:val="22"/>
        </w:rPr>
        <w:t>These products are already adequately labelled under the AgVet labelling regime</w:t>
      </w:r>
      <w:r w:rsidR="00AE32C1" w:rsidRPr="003177C2">
        <w:rPr>
          <w:sz w:val="22"/>
          <w:szCs w:val="22"/>
        </w:rPr>
        <w:t>,</w:t>
      </w:r>
      <w:r w:rsidRPr="003177C2">
        <w:rPr>
          <w:sz w:val="22"/>
          <w:szCs w:val="22"/>
        </w:rPr>
        <w:t xml:space="preserve"> </w:t>
      </w:r>
      <w:r w:rsidR="00C821D1" w:rsidRPr="003177C2">
        <w:rPr>
          <w:sz w:val="22"/>
          <w:szCs w:val="22"/>
        </w:rPr>
        <w:t xml:space="preserve">which is </w:t>
      </w:r>
      <w:r w:rsidR="004677BA" w:rsidRPr="003177C2">
        <w:rPr>
          <w:sz w:val="22"/>
          <w:szCs w:val="22"/>
        </w:rPr>
        <w:t>administered by the Australian Pesticides and Veterinary Medicines Authority (APVMA). The APVMA subjects AgVet chemicals to rigorous hazard identification, risk assessment and risk mitigation analysis prior to their registration.</w:t>
      </w:r>
      <w:r w:rsidRPr="003177C2">
        <w:rPr>
          <w:sz w:val="22"/>
          <w:szCs w:val="22"/>
        </w:rPr>
        <w:t xml:space="preserve"> </w:t>
      </w:r>
      <w:r w:rsidR="003F7CD8" w:rsidRPr="003177C2">
        <w:rPr>
          <w:sz w:val="22"/>
          <w:szCs w:val="22"/>
        </w:rPr>
        <w:t>The GHS does not require additional labelling for chemicals in these circumstances.</w:t>
      </w:r>
    </w:p>
    <w:p w14:paraId="37DC73F5" w14:textId="77777777" w:rsidR="00F12F09" w:rsidRPr="003177C2" w:rsidRDefault="00F12F09" w:rsidP="00447C6D">
      <w:pPr>
        <w:rPr>
          <w:sz w:val="22"/>
          <w:szCs w:val="22"/>
        </w:rPr>
      </w:pPr>
    </w:p>
    <w:p w14:paraId="1F59432A" w14:textId="77777777" w:rsidR="008265B8" w:rsidRPr="003177C2" w:rsidRDefault="008265B8" w:rsidP="00447C6D">
      <w:pPr>
        <w:rPr>
          <w:sz w:val="22"/>
          <w:szCs w:val="22"/>
        </w:rPr>
      </w:pPr>
      <w:r w:rsidRPr="003177C2">
        <w:rPr>
          <w:sz w:val="22"/>
          <w:szCs w:val="22"/>
        </w:rPr>
        <w:t xml:space="preserve">GHS information for these products </w:t>
      </w:r>
      <w:r w:rsidR="003F7CD8" w:rsidRPr="003177C2">
        <w:rPr>
          <w:sz w:val="22"/>
          <w:szCs w:val="22"/>
        </w:rPr>
        <w:t xml:space="preserve">will </w:t>
      </w:r>
      <w:r w:rsidR="00B95AE9" w:rsidRPr="003177C2">
        <w:rPr>
          <w:sz w:val="22"/>
          <w:szCs w:val="22"/>
        </w:rPr>
        <w:t xml:space="preserve">also </w:t>
      </w:r>
      <w:r w:rsidR="000A3FEF" w:rsidRPr="003177C2">
        <w:rPr>
          <w:sz w:val="22"/>
          <w:szCs w:val="22"/>
        </w:rPr>
        <w:t>be available</w:t>
      </w:r>
      <w:r w:rsidRPr="003177C2">
        <w:rPr>
          <w:sz w:val="22"/>
          <w:szCs w:val="22"/>
        </w:rPr>
        <w:t xml:space="preserve"> in a complete and useful format in each product’s safety data sheet:  see the WHS Regulations, regulations 330, 339.</w:t>
      </w:r>
    </w:p>
    <w:p w14:paraId="3E726ED6" w14:textId="77777777" w:rsidR="00F12F09" w:rsidRPr="003177C2" w:rsidRDefault="00F12F09" w:rsidP="00447C6D">
      <w:pPr>
        <w:rPr>
          <w:sz w:val="22"/>
          <w:szCs w:val="22"/>
        </w:rPr>
      </w:pPr>
    </w:p>
    <w:p w14:paraId="4712D3A5" w14:textId="77777777" w:rsidR="00880C91" w:rsidRPr="003177C2" w:rsidRDefault="003F7CD8" w:rsidP="00447C6D">
      <w:pPr>
        <w:rPr>
          <w:sz w:val="22"/>
          <w:szCs w:val="22"/>
        </w:rPr>
      </w:pPr>
      <w:r w:rsidRPr="003177C2">
        <w:rPr>
          <w:sz w:val="22"/>
          <w:szCs w:val="22"/>
        </w:rPr>
        <w:t>This means the information available to</w:t>
      </w:r>
      <w:r w:rsidR="00880C91" w:rsidRPr="003177C2">
        <w:rPr>
          <w:sz w:val="22"/>
          <w:szCs w:val="22"/>
        </w:rPr>
        <w:t xml:space="preserve"> workers who handle the</w:t>
      </w:r>
      <w:r w:rsidR="00B95AE9" w:rsidRPr="003177C2">
        <w:rPr>
          <w:sz w:val="22"/>
          <w:szCs w:val="22"/>
        </w:rPr>
        <w:t>se</w:t>
      </w:r>
      <w:r w:rsidR="00880C91" w:rsidRPr="003177C2">
        <w:rPr>
          <w:sz w:val="22"/>
          <w:szCs w:val="22"/>
        </w:rPr>
        <w:t xml:space="preserve"> chemicals</w:t>
      </w:r>
      <w:r w:rsidRPr="003177C2">
        <w:rPr>
          <w:sz w:val="22"/>
          <w:szCs w:val="22"/>
        </w:rPr>
        <w:t xml:space="preserve"> will not change, except additional GHS information will be available in the </w:t>
      </w:r>
      <w:r w:rsidR="008254AF" w:rsidRPr="003177C2">
        <w:rPr>
          <w:sz w:val="22"/>
          <w:szCs w:val="22"/>
        </w:rPr>
        <w:t>safety data sheet</w:t>
      </w:r>
      <w:r w:rsidRPr="003177C2">
        <w:rPr>
          <w:sz w:val="22"/>
          <w:szCs w:val="22"/>
        </w:rPr>
        <w:t xml:space="preserve"> format </w:t>
      </w:r>
      <w:r w:rsidR="00EA7C0C" w:rsidRPr="003177C2">
        <w:rPr>
          <w:sz w:val="22"/>
          <w:szCs w:val="22"/>
        </w:rPr>
        <w:t xml:space="preserve">for new stock entering the supply chain. </w:t>
      </w:r>
      <w:r w:rsidR="00880C91" w:rsidRPr="003177C2">
        <w:rPr>
          <w:sz w:val="22"/>
          <w:szCs w:val="22"/>
        </w:rPr>
        <w:t xml:space="preserve">APVMA labelling requirements will remain in place and appropriate chemical label safety standards will </w:t>
      </w:r>
      <w:r w:rsidRPr="003177C2">
        <w:rPr>
          <w:sz w:val="22"/>
          <w:szCs w:val="22"/>
        </w:rPr>
        <w:t xml:space="preserve">continue to </w:t>
      </w:r>
      <w:r w:rsidR="00880C91" w:rsidRPr="003177C2">
        <w:rPr>
          <w:sz w:val="22"/>
          <w:szCs w:val="22"/>
        </w:rPr>
        <w:t>apply.</w:t>
      </w:r>
    </w:p>
    <w:p w14:paraId="384E3ADB" w14:textId="77777777" w:rsidR="0008014D" w:rsidRPr="003177C2" w:rsidRDefault="0008014D" w:rsidP="00537FC1">
      <w:pPr>
        <w:rPr>
          <w:sz w:val="22"/>
          <w:szCs w:val="22"/>
        </w:rPr>
      </w:pPr>
    </w:p>
    <w:p w14:paraId="2C34BC33" w14:textId="77777777" w:rsidR="00AE32C1" w:rsidRPr="003177C2" w:rsidRDefault="00AE32C1" w:rsidP="00AE32C1">
      <w:pPr>
        <w:keepNext/>
        <w:spacing w:after="120"/>
        <w:rPr>
          <w:i/>
          <w:sz w:val="22"/>
          <w:szCs w:val="22"/>
          <w:u w:val="single"/>
        </w:rPr>
      </w:pPr>
      <w:r w:rsidRPr="003177C2">
        <w:rPr>
          <w:i/>
          <w:sz w:val="22"/>
          <w:szCs w:val="22"/>
          <w:u w:val="single"/>
        </w:rPr>
        <w:t>Other Commonwealth labelling requirements</w:t>
      </w:r>
    </w:p>
    <w:p w14:paraId="7E24C5CB" w14:textId="77777777" w:rsidR="001B6FCD" w:rsidRPr="003177C2" w:rsidRDefault="001B6FCD" w:rsidP="001B6FCD">
      <w:pPr>
        <w:rPr>
          <w:rFonts w:eastAsia="Calibri"/>
          <w:sz w:val="22"/>
          <w:szCs w:val="22"/>
          <w:lang w:eastAsia="en-US"/>
        </w:rPr>
      </w:pPr>
      <w:r w:rsidRPr="003177C2">
        <w:rPr>
          <w:sz w:val="22"/>
          <w:szCs w:val="22"/>
        </w:rPr>
        <w:t xml:space="preserve">The WHS Regulations require </w:t>
      </w:r>
      <w:r w:rsidRPr="003177C2">
        <w:rPr>
          <w:rFonts w:eastAsia="Calibri"/>
          <w:sz w:val="22"/>
          <w:szCs w:val="22"/>
          <w:lang w:eastAsia="en-US"/>
        </w:rPr>
        <w:t xml:space="preserve">manufacturers or importers </w:t>
      </w:r>
      <w:r w:rsidR="00FD1E99" w:rsidRPr="003177C2">
        <w:rPr>
          <w:rFonts w:eastAsia="Calibri"/>
          <w:sz w:val="22"/>
          <w:szCs w:val="22"/>
          <w:lang w:eastAsia="en-US"/>
        </w:rPr>
        <w:t xml:space="preserve">of </w:t>
      </w:r>
      <w:r w:rsidRPr="003177C2">
        <w:rPr>
          <w:rFonts w:eastAsia="Calibri"/>
          <w:sz w:val="22"/>
          <w:szCs w:val="22"/>
          <w:lang w:eastAsia="en-US"/>
        </w:rPr>
        <w:t xml:space="preserve">hazardous chemicals to ensure they are correctly labelled as soon as practicable after being manufactured or imported. Hazardous chemicals are correctly labelled if labelled with a GHS label </w:t>
      </w:r>
      <w:r w:rsidR="002E6FD6" w:rsidRPr="003177C2">
        <w:rPr>
          <w:rFonts w:eastAsia="Calibri"/>
          <w:sz w:val="22"/>
          <w:szCs w:val="22"/>
          <w:lang w:eastAsia="en-US"/>
        </w:rPr>
        <w:t>(</w:t>
      </w:r>
      <w:r w:rsidRPr="003177C2">
        <w:rPr>
          <w:rFonts w:eastAsia="Calibri"/>
          <w:sz w:val="22"/>
          <w:szCs w:val="22"/>
          <w:lang w:eastAsia="en-US"/>
        </w:rPr>
        <w:t>as described above</w:t>
      </w:r>
      <w:r w:rsidR="002E6FD6" w:rsidRPr="003177C2">
        <w:rPr>
          <w:rFonts w:eastAsia="Calibri"/>
          <w:sz w:val="22"/>
          <w:szCs w:val="22"/>
          <w:lang w:eastAsia="en-US"/>
        </w:rPr>
        <w:t>)</w:t>
      </w:r>
      <w:r w:rsidRPr="003177C2">
        <w:rPr>
          <w:rFonts w:eastAsia="Calibri"/>
          <w:sz w:val="22"/>
          <w:szCs w:val="22"/>
          <w:lang w:eastAsia="en-US"/>
        </w:rPr>
        <w:t xml:space="preserve">, </w:t>
      </w:r>
      <w:r w:rsidR="002E6FD6" w:rsidRPr="003177C2">
        <w:rPr>
          <w:rFonts w:eastAsia="Calibri"/>
          <w:sz w:val="22"/>
          <w:szCs w:val="22"/>
          <w:lang w:eastAsia="en-US"/>
        </w:rPr>
        <w:t>subject to</w:t>
      </w:r>
      <w:r w:rsidRPr="003177C2">
        <w:rPr>
          <w:rFonts w:eastAsia="Calibri"/>
          <w:sz w:val="22"/>
          <w:szCs w:val="22"/>
          <w:lang w:eastAsia="en-US"/>
        </w:rPr>
        <w:t xml:space="preserve"> transitional arrangements.</w:t>
      </w:r>
    </w:p>
    <w:p w14:paraId="63C4F1B5" w14:textId="77777777" w:rsidR="001B6FCD" w:rsidRPr="003177C2" w:rsidRDefault="001B6FCD" w:rsidP="001B6FCD">
      <w:pPr>
        <w:rPr>
          <w:rFonts w:eastAsia="Calibri"/>
          <w:sz w:val="22"/>
          <w:szCs w:val="22"/>
          <w:lang w:eastAsia="en-US"/>
        </w:rPr>
      </w:pPr>
    </w:p>
    <w:p w14:paraId="15799B6D" w14:textId="77777777" w:rsidR="00FB2379" w:rsidRPr="003177C2" w:rsidRDefault="00506B0E" w:rsidP="00FB2379">
      <w:pPr>
        <w:rPr>
          <w:rFonts w:eastAsia="Calibri"/>
          <w:sz w:val="22"/>
          <w:szCs w:val="22"/>
          <w:lang w:eastAsia="en-US"/>
        </w:rPr>
      </w:pPr>
      <w:r>
        <w:rPr>
          <w:rFonts w:eastAsia="Calibri"/>
          <w:sz w:val="22"/>
          <w:szCs w:val="22"/>
          <w:lang w:eastAsia="en-US"/>
        </w:rPr>
        <w:t>There are a</w:t>
      </w:r>
      <w:r w:rsidR="00FB2379" w:rsidRPr="007B7E9E">
        <w:rPr>
          <w:rFonts w:eastAsia="Calibri"/>
          <w:sz w:val="22"/>
          <w:szCs w:val="22"/>
          <w:lang w:eastAsia="en-US"/>
        </w:rPr>
        <w:t xml:space="preserve">dditional measures </w:t>
      </w:r>
      <w:r w:rsidR="00FB2379" w:rsidRPr="003177C2">
        <w:rPr>
          <w:rFonts w:eastAsia="Calibri"/>
          <w:sz w:val="22"/>
          <w:szCs w:val="22"/>
          <w:lang w:eastAsia="en-US"/>
        </w:rPr>
        <w:t xml:space="preserve">to deal with the situation where two or more Commonwealth labelling regimes may apply in relation to a single product. The intention is to aid clarity and simplicity, by making it clear that there is no need to repeat </w:t>
      </w:r>
      <w:r w:rsidR="001B6FCD" w:rsidRPr="003177C2">
        <w:rPr>
          <w:rFonts w:eastAsia="Calibri"/>
          <w:sz w:val="22"/>
          <w:szCs w:val="22"/>
          <w:lang w:eastAsia="en-US"/>
        </w:rPr>
        <w:t xml:space="preserve">content </w:t>
      </w:r>
      <w:r w:rsidR="00FB2379" w:rsidRPr="003177C2">
        <w:rPr>
          <w:rFonts w:eastAsia="Calibri"/>
          <w:sz w:val="22"/>
          <w:szCs w:val="22"/>
          <w:lang w:eastAsia="en-US"/>
        </w:rPr>
        <w:t xml:space="preserve">on a label that </w:t>
      </w:r>
      <w:r w:rsidR="001B6FCD" w:rsidRPr="003177C2">
        <w:rPr>
          <w:rFonts w:eastAsia="Calibri"/>
          <w:sz w:val="22"/>
          <w:szCs w:val="22"/>
          <w:lang w:eastAsia="en-US"/>
        </w:rPr>
        <w:t xml:space="preserve">is the same, or substantially the same, as </w:t>
      </w:r>
      <w:r w:rsidR="00FB2379" w:rsidRPr="003177C2">
        <w:rPr>
          <w:rFonts w:eastAsia="Calibri"/>
          <w:sz w:val="22"/>
          <w:szCs w:val="22"/>
          <w:lang w:eastAsia="en-US"/>
        </w:rPr>
        <w:t>what is already required under another relevant law. However</w:t>
      </w:r>
      <w:r w:rsidR="0045442C">
        <w:rPr>
          <w:rFonts w:eastAsia="Calibri"/>
          <w:sz w:val="22"/>
          <w:szCs w:val="22"/>
          <w:lang w:eastAsia="en-US"/>
        </w:rPr>
        <w:t>,</w:t>
      </w:r>
      <w:r w:rsidR="00FB2379" w:rsidRPr="003177C2">
        <w:rPr>
          <w:rFonts w:eastAsia="Calibri"/>
          <w:sz w:val="22"/>
          <w:szCs w:val="22"/>
          <w:lang w:eastAsia="en-US"/>
        </w:rPr>
        <w:t xml:space="preserve"> if the GHS (as applied by the WHS Regulations) requires something more, or something different, then that additional content must be added to the label (i.e. to comply with the GHS requirements).</w:t>
      </w:r>
    </w:p>
    <w:p w14:paraId="754C62EF" w14:textId="77777777" w:rsidR="001B6FCD" w:rsidRPr="003177C2" w:rsidRDefault="001B6FCD" w:rsidP="001B6FCD">
      <w:pPr>
        <w:rPr>
          <w:rFonts w:eastAsia="Calibri"/>
          <w:sz w:val="22"/>
          <w:szCs w:val="22"/>
          <w:lang w:eastAsia="en-US"/>
        </w:rPr>
      </w:pPr>
    </w:p>
    <w:p w14:paraId="0E7C6FD3" w14:textId="77777777" w:rsidR="001B6FCD" w:rsidRPr="003177C2" w:rsidRDefault="00D20C6F" w:rsidP="001B6FCD">
      <w:pPr>
        <w:rPr>
          <w:rFonts w:eastAsia="Calibri"/>
          <w:sz w:val="22"/>
          <w:szCs w:val="22"/>
          <w:lang w:eastAsia="en-US"/>
        </w:rPr>
      </w:pPr>
      <w:r w:rsidRPr="003177C2">
        <w:rPr>
          <w:rFonts w:eastAsia="Calibri"/>
          <w:sz w:val="22"/>
          <w:szCs w:val="22"/>
          <w:lang w:eastAsia="en-US"/>
        </w:rPr>
        <w:t>Th</w:t>
      </w:r>
      <w:r w:rsidR="005E576C" w:rsidRPr="003177C2">
        <w:rPr>
          <w:rFonts w:eastAsia="Calibri"/>
          <w:sz w:val="22"/>
          <w:szCs w:val="22"/>
          <w:lang w:eastAsia="en-US"/>
        </w:rPr>
        <w:t>is policy</w:t>
      </w:r>
      <w:r w:rsidR="00994462" w:rsidRPr="003177C2">
        <w:rPr>
          <w:rFonts w:eastAsia="Calibri"/>
          <w:sz w:val="22"/>
          <w:szCs w:val="22"/>
          <w:lang w:eastAsia="en-US"/>
        </w:rPr>
        <w:t xml:space="preserve"> </w:t>
      </w:r>
      <w:r w:rsidRPr="003177C2">
        <w:rPr>
          <w:rFonts w:eastAsia="Calibri"/>
          <w:sz w:val="22"/>
          <w:szCs w:val="22"/>
          <w:lang w:eastAsia="en-US"/>
        </w:rPr>
        <w:t>recognise</w:t>
      </w:r>
      <w:r w:rsidR="005E576C" w:rsidRPr="003177C2">
        <w:rPr>
          <w:rFonts w:eastAsia="Calibri"/>
          <w:sz w:val="22"/>
          <w:szCs w:val="22"/>
          <w:lang w:eastAsia="en-US"/>
        </w:rPr>
        <w:t>s</w:t>
      </w:r>
      <w:r w:rsidR="00994462" w:rsidRPr="003177C2">
        <w:rPr>
          <w:rFonts w:eastAsia="Calibri"/>
          <w:sz w:val="22"/>
          <w:szCs w:val="22"/>
          <w:lang w:eastAsia="en-US"/>
        </w:rPr>
        <w:t xml:space="preserve"> </w:t>
      </w:r>
      <w:r w:rsidR="005E576C" w:rsidRPr="003177C2">
        <w:rPr>
          <w:rFonts w:eastAsia="Calibri"/>
          <w:sz w:val="22"/>
          <w:szCs w:val="22"/>
          <w:lang w:eastAsia="en-US"/>
        </w:rPr>
        <w:t xml:space="preserve">that </w:t>
      </w:r>
      <w:r w:rsidR="00CF77D3" w:rsidRPr="003177C2">
        <w:rPr>
          <w:rFonts w:eastAsia="Calibri"/>
          <w:sz w:val="22"/>
          <w:szCs w:val="22"/>
          <w:lang w:eastAsia="en-US"/>
        </w:rPr>
        <w:t xml:space="preserve">there is no utility in having </w:t>
      </w:r>
      <w:r w:rsidR="005E0D6C" w:rsidRPr="003177C2">
        <w:rPr>
          <w:rFonts w:eastAsia="Calibri"/>
          <w:sz w:val="22"/>
          <w:szCs w:val="22"/>
          <w:lang w:eastAsia="en-US"/>
        </w:rPr>
        <w:t xml:space="preserve">the same, or substantially the same, </w:t>
      </w:r>
      <w:r w:rsidR="00CF77D3" w:rsidRPr="003177C2">
        <w:rPr>
          <w:rFonts w:eastAsia="Calibri"/>
          <w:sz w:val="22"/>
          <w:szCs w:val="22"/>
          <w:lang w:eastAsia="en-US"/>
        </w:rPr>
        <w:t>information repeated on a single label</w:t>
      </w:r>
      <w:r w:rsidR="005E0D6C" w:rsidRPr="003177C2">
        <w:rPr>
          <w:rFonts w:eastAsia="Calibri"/>
          <w:sz w:val="22"/>
          <w:szCs w:val="22"/>
          <w:lang w:eastAsia="en-US"/>
        </w:rPr>
        <w:t>—just</w:t>
      </w:r>
      <w:r w:rsidR="00CF77D3" w:rsidRPr="003177C2">
        <w:rPr>
          <w:rFonts w:eastAsia="Calibri"/>
          <w:sz w:val="22"/>
          <w:szCs w:val="22"/>
          <w:lang w:eastAsia="en-US"/>
        </w:rPr>
        <w:t xml:space="preserve"> because the product is covered by two or more labelling regimes. </w:t>
      </w:r>
      <w:r w:rsidR="001B6FCD" w:rsidRPr="003177C2">
        <w:rPr>
          <w:rFonts w:eastAsia="Calibri"/>
          <w:sz w:val="22"/>
          <w:szCs w:val="22"/>
          <w:lang w:eastAsia="en-US"/>
        </w:rPr>
        <w:t xml:space="preserve">It recognises that there may be some minor differences in the kinds of information and manner in which that information is displayed in accordance with different laws. </w:t>
      </w:r>
      <w:r w:rsidR="005E576C" w:rsidRPr="003177C2">
        <w:rPr>
          <w:rFonts w:eastAsia="Calibri"/>
          <w:sz w:val="22"/>
          <w:szCs w:val="22"/>
          <w:lang w:eastAsia="en-US"/>
        </w:rPr>
        <w:t>I</w:t>
      </w:r>
      <w:r w:rsidR="001B6FCD" w:rsidRPr="003177C2">
        <w:rPr>
          <w:rFonts w:eastAsia="Calibri"/>
          <w:sz w:val="22"/>
          <w:szCs w:val="22"/>
          <w:lang w:eastAsia="en-US"/>
        </w:rPr>
        <w:t xml:space="preserve">f the content requirements provided for under another law of the Commonwealth result in a hazardous chemical being labelled with information that is, overall, the same or substantially the same, as </w:t>
      </w:r>
      <w:r w:rsidR="00CF77D3" w:rsidRPr="003177C2">
        <w:rPr>
          <w:rFonts w:eastAsia="Calibri"/>
          <w:sz w:val="22"/>
          <w:szCs w:val="22"/>
          <w:lang w:eastAsia="en-US"/>
        </w:rPr>
        <w:t>the required GHS content</w:t>
      </w:r>
      <w:r w:rsidR="001B6FCD" w:rsidRPr="003177C2">
        <w:rPr>
          <w:rFonts w:eastAsia="Calibri"/>
          <w:sz w:val="22"/>
          <w:szCs w:val="22"/>
          <w:lang w:eastAsia="en-US"/>
        </w:rPr>
        <w:t>, subregulation 335(1) will be satisfied.</w:t>
      </w:r>
    </w:p>
    <w:p w14:paraId="56DAB503" w14:textId="77777777" w:rsidR="00AE32C1" w:rsidRPr="003177C2" w:rsidRDefault="00AE32C1" w:rsidP="00537FC1">
      <w:pPr>
        <w:rPr>
          <w:sz w:val="22"/>
          <w:szCs w:val="22"/>
        </w:rPr>
      </w:pPr>
    </w:p>
    <w:p w14:paraId="1F5F193F" w14:textId="77777777" w:rsidR="00CF77D3" w:rsidRPr="003177C2" w:rsidRDefault="002954FC" w:rsidP="00537FC1">
      <w:pPr>
        <w:rPr>
          <w:sz w:val="22"/>
          <w:szCs w:val="22"/>
        </w:rPr>
      </w:pPr>
      <w:r w:rsidRPr="003177C2">
        <w:rPr>
          <w:sz w:val="22"/>
          <w:szCs w:val="22"/>
        </w:rPr>
        <w:t>Th</w:t>
      </w:r>
      <w:r w:rsidR="008141D1" w:rsidRPr="003177C2">
        <w:rPr>
          <w:sz w:val="22"/>
          <w:szCs w:val="22"/>
        </w:rPr>
        <w:t>is Instrument</w:t>
      </w:r>
      <w:r w:rsidR="00994462" w:rsidRPr="003177C2">
        <w:rPr>
          <w:sz w:val="22"/>
          <w:szCs w:val="22"/>
        </w:rPr>
        <w:t xml:space="preserve"> </w:t>
      </w:r>
      <w:r w:rsidRPr="003177C2">
        <w:rPr>
          <w:sz w:val="22"/>
          <w:szCs w:val="22"/>
        </w:rPr>
        <w:t>involve</w:t>
      </w:r>
      <w:r w:rsidR="008141D1" w:rsidRPr="003177C2">
        <w:rPr>
          <w:sz w:val="22"/>
          <w:szCs w:val="22"/>
        </w:rPr>
        <w:t>s</w:t>
      </w:r>
      <w:r w:rsidRPr="003177C2">
        <w:rPr>
          <w:sz w:val="22"/>
          <w:szCs w:val="22"/>
        </w:rPr>
        <w:t xml:space="preserve"> no diminution in safety standards, </w:t>
      </w:r>
      <w:r w:rsidR="008141D1" w:rsidRPr="003177C2">
        <w:rPr>
          <w:sz w:val="22"/>
          <w:szCs w:val="22"/>
        </w:rPr>
        <w:t>n</w:t>
      </w:r>
      <w:r w:rsidRPr="003177C2">
        <w:rPr>
          <w:sz w:val="22"/>
          <w:szCs w:val="22"/>
        </w:rPr>
        <w:t xml:space="preserve">or </w:t>
      </w:r>
      <w:r w:rsidR="005E576C" w:rsidRPr="003177C2">
        <w:rPr>
          <w:sz w:val="22"/>
          <w:szCs w:val="22"/>
        </w:rPr>
        <w:t xml:space="preserve">quality of </w:t>
      </w:r>
      <w:r w:rsidRPr="003177C2">
        <w:rPr>
          <w:sz w:val="22"/>
          <w:szCs w:val="22"/>
        </w:rPr>
        <w:t>information available about hazardous chemicals to people in workplaces. Th</w:t>
      </w:r>
      <w:r w:rsidR="008141D1" w:rsidRPr="003177C2">
        <w:rPr>
          <w:sz w:val="22"/>
          <w:szCs w:val="22"/>
        </w:rPr>
        <w:t>is Instrument</w:t>
      </w:r>
      <w:r w:rsidR="00994462" w:rsidRPr="003177C2">
        <w:rPr>
          <w:sz w:val="22"/>
          <w:szCs w:val="22"/>
        </w:rPr>
        <w:t xml:space="preserve"> </w:t>
      </w:r>
      <w:r w:rsidR="008141D1" w:rsidRPr="003177C2">
        <w:rPr>
          <w:sz w:val="22"/>
          <w:szCs w:val="22"/>
        </w:rPr>
        <w:t>sets out a</w:t>
      </w:r>
      <w:r w:rsidR="000B167E" w:rsidRPr="003177C2">
        <w:rPr>
          <w:sz w:val="22"/>
          <w:szCs w:val="22"/>
        </w:rPr>
        <w:t xml:space="preserve"> practical way </w:t>
      </w:r>
      <w:r w:rsidR="008141D1" w:rsidRPr="003177C2">
        <w:rPr>
          <w:sz w:val="22"/>
          <w:szCs w:val="22"/>
        </w:rPr>
        <w:t xml:space="preserve">of dealing </w:t>
      </w:r>
      <w:r w:rsidRPr="003177C2">
        <w:rPr>
          <w:sz w:val="22"/>
          <w:szCs w:val="22"/>
        </w:rPr>
        <w:t xml:space="preserve">with the </w:t>
      </w:r>
      <w:r w:rsidR="000B167E" w:rsidRPr="003177C2">
        <w:rPr>
          <w:sz w:val="22"/>
          <w:szCs w:val="22"/>
        </w:rPr>
        <w:t>possibility of having</w:t>
      </w:r>
      <w:r w:rsidRPr="003177C2">
        <w:rPr>
          <w:sz w:val="22"/>
          <w:szCs w:val="22"/>
        </w:rPr>
        <w:t xml:space="preserve"> duplicat</w:t>
      </w:r>
      <w:r w:rsidR="000B167E" w:rsidRPr="003177C2">
        <w:rPr>
          <w:sz w:val="22"/>
          <w:szCs w:val="22"/>
        </w:rPr>
        <w:t>e</w:t>
      </w:r>
      <w:r w:rsidRPr="003177C2">
        <w:rPr>
          <w:sz w:val="22"/>
          <w:szCs w:val="22"/>
        </w:rPr>
        <w:t xml:space="preserve"> information on labels, where two or more labelling regimes apply in relation to a single product.</w:t>
      </w:r>
    </w:p>
    <w:p w14:paraId="1E58419B" w14:textId="77777777" w:rsidR="00AE32C1" w:rsidRPr="003177C2" w:rsidRDefault="00AE32C1" w:rsidP="00537FC1">
      <w:pPr>
        <w:rPr>
          <w:sz w:val="22"/>
          <w:szCs w:val="22"/>
        </w:rPr>
      </w:pPr>
    </w:p>
    <w:p w14:paraId="3AD9A83B" w14:textId="77777777" w:rsidR="00F12F09" w:rsidRPr="003177C2" w:rsidRDefault="00880C91" w:rsidP="00447C6D">
      <w:pPr>
        <w:spacing w:after="120"/>
        <w:rPr>
          <w:rFonts w:eastAsia="Calibri"/>
          <w:b/>
          <w:sz w:val="22"/>
          <w:szCs w:val="22"/>
        </w:rPr>
      </w:pPr>
      <w:r w:rsidRPr="003177C2">
        <w:rPr>
          <w:rFonts w:eastAsia="Calibri"/>
          <w:b/>
          <w:sz w:val="22"/>
          <w:szCs w:val="22"/>
        </w:rPr>
        <w:t>Conclusion</w:t>
      </w:r>
    </w:p>
    <w:p w14:paraId="4B17BFDE" w14:textId="77777777" w:rsidR="00F12F09" w:rsidRPr="003177C2" w:rsidRDefault="00880C91" w:rsidP="00447C6D">
      <w:pPr>
        <w:spacing w:after="120"/>
        <w:rPr>
          <w:rFonts w:eastAsia="Calibri"/>
          <w:sz w:val="22"/>
          <w:szCs w:val="22"/>
        </w:rPr>
      </w:pPr>
      <w:r w:rsidRPr="003177C2">
        <w:rPr>
          <w:rFonts w:eastAsia="Calibri"/>
          <w:sz w:val="22"/>
          <w:szCs w:val="22"/>
        </w:rPr>
        <w:t>Th</w:t>
      </w:r>
      <w:r w:rsidR="00956FD2">
        <w:rPr>
          <w:rFonts w:eastAsia="Calibri"/>
          <w:sz w:val="22"/>
          <w:szCs w:val="22"/>
        </w:rPr>
        <w:t>is</w:t>
      </w:r>
      <w:r w:rsidR="00CA1D34" w:rsidRPr="003177C2">
        <w:rPr>
          <w:rFonts w:eastAsia="Calibri"/>
          <w:sz w:val="22"/>
          <w:szCs w:val="22"/>
        </w:rPr>
        <w:t xml:space="preserve"> </w:t>
      </w:r>
      <w:r w:rsidR="00956FD2">
        <w:rPr>
          <w:rFonts w:eastAsia="Calibri"/>
          <w:sz w:val="22"/>
          <w:szCs w:val="22"/>
        </w:rPr>
        <w:t>Instrument is</w:t>
      </w:r>
      <w:r w:rsidR="00CA1D34" w:rsidRPr="003177C2">
        <w:rPr>
          <w:rFonts w:eastAsia="Calibri"/>
          <w:sz w:val="22"/>
          <w:szCs w:val="22"/>
        </w:rPr>
        <w:t xml:space="preserve"> </w:t>
      </w:r>
      <w:r w:rsidRPr="003177C2">
        <w:rPr>
          <w:rFonts w:eastAsia="Calibri"/>
          <w:sz w:val="22"/>
          <w:szCs w:val="22"/>
        </w:rPr>
        <w:t xml:space="preserve">compatible with human rights because </w:t>
      </w:r>
      <w:r w:rsidR="00956FD2">
        <w:rPr>
          <w:rFonts w:eastAsia="Calibri"/>
          <w:sz w:val="22"/>
          <w:szCs w:val="22"/>
        </w:rPr>
        <w:t xml:space="preserve">it does </w:t>
      </w:r>
      <w:r w:rsidRPr="003177C2">
        <w:rPr>
          <w:rFonts w:eastAsia="Calibri"/>
          <w:sz w:val="22"/>
          <w:szCs w:val="22"/>
        </w:rPr>
        <w:t xml:space="preserve">not raise any human rights issues. </w:t>
      </w:r>
    </w:p>
    <w:p w14:paraId="692878B8" w14:textId="77777777" w:rsidR="00CE4CB7" w:rsidRPr="003177C2" w:rsidRDefault="00226108">
      <w:pPr>
        <w:jc w:val="center"/>
        <w:rPr>
          <w:b/>
          <w:sz w:val="22"/>
          <w:szCs w:val="22"/>
        </w:rPr>
      </w:pPr>
      <w:r w:rsidRPr="003177C2">
        <w:rPr>
          <w:b/>
          <w:sz w:val="22"/>
          <w:szCs w:val="22"/>
        </w:rPr>
        <w:t xml:space="preserve">Minister for </w:t>
      </w:r>
      <w:r w:rsidR="00FC11F8" w:rsidRPr="003177C2">
        <w:rPr>
          <w:b/>
          <w:sz w:val="22"/>
          <w:szCs w:val="22"/>
        </w:rPr>
        <w:t>Jobs and</w:t>
      </w:r>
      <w:r w:rsidR="00B3699D" w:rsidRPr="003177C2">
        <w:rPr>
          <w:b/>
          <w:sz w:val="22"/>
          <w:szCs w:val="22"/>
        </w:rPr>
        <w:t xml:space="preserve"> Industrial Relations </w:t>
      </w:r>
    </w:p>
    <w:p w14:paraId="50AC1936" w14:textId="77777777" w:rsidR="00226108" w:rsidRPr="003177C2" w:rsidRDefault="00226108">
      <w:pPr>
        <w:jc w:val="center"/>
        <w:rPr>
          <w:b/>
          <w:sz w:val="22"/>
          <w:szCs w:val="22"/>
        </w:rPr>
      </w:pPr>
      <w:r w:rsidRPr="003177C2">
        <w:rPr>
          <w:b/>
          <w:sz w:val="22"/>
          <w:szCs w:val="22"/>
        </w:rPr>
        <w:t xml:space="preserve">the Hon </w:t>
      </w:r>
      <w:r w:rsidR="00B3699D" w:rsidRPr="003177C2">
        <w:rPr>
          <w:b/>
          <w:sz w:val="22"/>
          <w:szCs w:val="22"/>
        </w:rPr>
        <w:t>Kelly O’Dwyer MP</w:t>
      </w:r>
    </w:p>
    <w:p w14:paraId="75501BCF" w14:textId="77777777" w:rsidR="00246338" w:rsidRPr="003177C2" w:rsidRDefault="00246338" w:rsidP="00654932">
      <w:pPr>
        <w:rPr>
          <w:rFonts w:eastAsia="Calibri"/>
          <w:sz w:val="22"/>
          <w:szCs w:val="22"/>
        </w:rPr>
      </w:pPr>
    </w:p>
    <w:sectPr w:rsidR="00246338" w:rsidRPr="003177C2" w:rsidSect="00C92D0F">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FED8C" w14:textId="77777777" w:rsidR="000F542A" w:rsidRDefault="000F542A">
      <w:r>
        <w:separator/>
      </w:r>
    </w:p>
  </w:endnote>
  <w:endnote w:type="continuationSeparator" w:id="0">
    <w:p w14:paraId="69B8D545" w14:textId="77777777" w:rsidR="000F542A" w:rsidRDefault="000F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82382"/>
      <w:docPartObj>
        <w:docPartGallery w:val="Page Numbers (Bottom of Page)"/>
        <w:docPartUnique/>
      </w:docPartObj>
    </w:sdtPr>
    <w:sdtEndPr>
      <w:rPr>
        <w:noProof/>
      </w:rPr>
    </w:sdtEndPr>
    <w:sdtContent>
      <w:p w14:paraId="6707F863" w14:textId="1F192495" w:rsidR="00977C1F" w:rsidRDefault="00977C1F">
        <w:pPr>
          <w:pStyle w:val="Footer"/>
          <w:jc w:val="center"/>
        </w:pPr>
        <w:r>
          <w:fldChar w:fldCharType="begin"/>
        </w:r>
        <w:r>
          <w:instrText xml:space="preserve"> PAGE   \* MERGEFORMAT </w:instrText>
        </w:r>
        <w:r>
          <w:fldChar w:fldCharType="separate"/>
        </w:r>
        <w:r w:rsidR="00A719EA">
          <w:rPr>
            <w:noProof/>
          </w:rPr>
          <w:t>2</w:t>
        </w:r>
        <w:r>
          <w:rPr>
            <w:noProof/>
          </w:rPr>
          <w:fldChar w:fldCharType="end"/>
        </w:r>
      </w:p>
    </w:sdtContent>
  </w:sdt>
  <w:p w14:paraId="37D0DCDC" w14:textId="77777777" w:rsidR="00052A5E" w:rsidRDefault="00052A5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26225"/>
      <w:docPartObj>
        <w:docPartGallery w:val="Page Numbers (Bottom of Page)"/>
        <w:docPartUnique/>
      </w:docPartObj>
    </w:sdtPr>
    <w:sdtEndPr>
      <w:rPr>
        <w:noProof/>
      </w:rPr>
    </w:sdtEndPr>
    <w:sdtContent>
      <w:p w14:paraId="7040BEE4" w14:textId="358C24DB" w:rsidR="004C0F9A" w:rsidRDefault="004C0F9A">
        <w:pPr>
          <w:pStyle w:val="Footer"/>
          <w:jc w:val="center"/>
        </w:pPr>
        <w:r>
          <w:fldChar w:fldCharType="begin"/>
        </w:r>
        <w:r>
          <w:instrText xml:space="preserve"> PAGE   \* MERGEFORMAT </w:instrText>
        </w:r>
        <w:r>
          <w:fldChar w:fldCharType="separate"/>
        </w:r>
        <w:r w:rsidR="00A719EA">
          <w:rPr>
            <w:noProof/>
          </w:rPr>
          <w:t>1</w:t>
        </w:r>
        <w:r>
          <w:rPr>
            <w:noProof/>
          </w:rPr>
          <w:fldChar w:fldCharType="end"/>
        </w:r>
      </w:p>
    </w:sdtContent>
  </w:sdt>
  <w:p w14:paraId="7EE81B99" w14:textId="77777777" w:rsidR="004C0F9A" w:rsidRDefault="004C0F9A">
    <w:pPr>
      <w:pStyle w:val="Footer"/>
    </w:pPr>
  </w:p>
  <w:p w14:paraId="2977B6A4" w14:textId="77777777" w:rsidR="00052A5E" w:rsidRDefault="00052A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7C352" w14:textId="77777777" w:rsidR="000F542A" w:rsidRDefault="000F542A">
      <w:r>
        <w:separator/>
      </w:r>
    </w:p>
  </w:footnote>
  <w:footnote w:type="continuationSeparator" w:id="0">
    <w:p w14:paraId="651CE2A6" w14:textId="77777777" w:rsidR="000F542A" w:rsidRDefault="000F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4FBA" w14:textId="77777777" w:rsidR="004C0F9A" w:rsidRDefault="004C0F9A" w:rsidP="009870F6">
    <w:pPr>
      <w:pStyle w:val="Header"/>
      <w:jc w:val="center"/>
    </w:pPr>
  </w:p>
  <w:p w14:paraId="5245824A" w14:textId="77777777" w:rsidR="00052A5E" w:rsidRDefault="00052A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17B"/>
    <w:multiLevelType w:val="hybridMultilevel"/>
    <w:tmpl w:val="0F2C6A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70F23"/>
    <w:multiLevelType w:val="hybridMultilevel"/>
    <w:tmpl w:val="C366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74095"/>
    <w:multiLevelType w:val="hybridMultilevel"/>
    <w:tmpl w:val="9A6A4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D1D89"/>
    <w:multiLevelType w:val="hybridMultilevel"/>
    <w:tmpl w:val="8DDA6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450BA"/>
    <w:multiLevelType w:val="hybridMultilevel"/>
    <w:tmpl w:val="735C0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71556"/>
    <w:multiLevelType w:val="multilevel"/>
    <w:tmpl w:val="6B1E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C31B8"/>
    <w:multiLevelType w:val="hybridMultilevel"/>
    <w:tmpl w:val="2736D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C5053"/>
    <w:multiLevelType w:val="multilevel"/>
    <w:tmpl w:val="7280248E"/>
    <w:lvl w:ilvl="0">
      <w:start w:val="1"/>
      <w:numFmt w:val="bullet"/>
      <w:lvlText w:val=""/>
      <w:lvlJc w:val="left"/>
      <w:pPr>
        <w:tabs>
          <w:tab w:val="num" w:pos="-2040"/>
        </w:tabs>
        <w:ind w:left="-204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600"/>
        </w:tabs>
        <w:ind w:left="-600" w:hanging="360"/>
      </w:pPr>
      <w:rPr>
        <w:rFonts w:ascii="Wingdings" w:hAnsi="Wingdings" w:hint="default"/>
        <w:sz w:val="20"/>
      </w:rPr>
    </w:lvl>
    <w:lvl w:ilvl="3" w:tentative="1">
      <w:start w:val="1"/>
      <w:numFmt w:val="bullet"/>
      <w:lvlText w:val=""/>
      <w:lvlJc w:val="left"/>
      <w:pPr>
        <w:tabs>
          <w:tab w:val="num" w:pos="120"/>
        </w:tabs>
        <w:ind w:left="120" w:hanging="360"/>
      </w:pPr>
      <w:rPr>
        <w:rFonts w:ascii="Wingdings" w:hAnsi="Wingdings" w:hint="default"/>
        <w:sz w:val="20"/>
      </w:rPr>
    </w:lvl>
    <w:lvl w:ilvl="4" w:tentative="1">
      <w:start w:val="1"/>
      <w:numFmt w:val="bullet"/>
      <w:lvlText w:val=""/>
      <w:lvlJc w:val="left"/>
      <w:pPr>
        <w:tabs>
          <w:tab w:val="num" w:pos="840"/>
        </w:tabs>
        <w:ind w:left="840" w:hanging="360"/>
      </w:pPr>
      <w:rPr>
        <w:rFonts w:ascii="Wingdings" w:hAnsi="Wingdings" w:hint="default"/>
        <w:sz w:val="20"/>
      </w:rPr>
    </w:lvl>
    <w:lvl w:ilvl="5" w:tentative="1">
      <w:start w:val="1"/>
      <w:numFmt w:val="bullet"/>
      <w:lvlText w:val=""/>
      <w:lvlJc w:val="left"/>
      <w:pPr>
        <w:tabs>
          <w:tab w:val="num" w:pos="1560"/>
        </w:tabs>
        <w:ind w:left="1560" w:hanging="360"/>
      </w:pPr>
      <w:rPr>
        <w:rFonts w:ascii="Wingdings" w:hAnsi="Wingdings" w:hint="default"/>
        <w:sz w:val="20"/>
      </w:rPr>
    </w:lvl>
    <w:lvl w:ilvl="6" w:tentative="1">
      <w:start w:val="1"/>
      <w:numFmt w:val="bullet"/>
      <w:lvlText w:val=""/>
      <w:lvlJc w:val="left"/>
      <w:pPr>
        <w:tabs>
          <w:tab w:val="num" w:pos="2280"/>
        </w:tabs>
        <w:ind w:left="2280" w:hanging="360"/>
      </w:pPr>
      <w:rPr>
        <w:rFonts w:ascii="Wingdings" w:hAnsi="Wingdings" w:hint="default"/>
        <w:sz w:val="20"/>
      </w:rPr>
    </w:lvl>
    <w:lvl w:ilvl="7" w:tentative="1">
      <w:start w:val="1"/>
      <w:numFmt w:val="bullet"/>
      <w:lvlText w:val=""/>
      <w:lvlJc w:val="left"/>
      <w:pPr>
        <w:tabs>
          <w:tab w:val="num" w:pos="3000"/>
        </w:tabs>
        <w:ind w:left="3000" w:hanging="360"/>
      </w:pPr>
      <w:rPr>
        <w:rFonts w:ascii="Wingdings" w:hAnsi="Wingdings" w:hint="default"/>
        <w:sz w:val="20"/>
      </w:rPr>
    </w:lvl>
    <w:lvl w:ilvl="8" w:tentative="1">
      <w:start w:val="1"/>
      <w:numFmt w:val="bullet"/>
      <w:lvlText w:val=""/>
      <w:lvlJc w:val="left"/>
      <w:pPr>
        <w:tabs>
          <w:tab w:val="num" w:pos="3720"/>
        </w:tabs>
        <w:ind w:left="3720" w:hanging="360"/>
      </w:pPr>
      <w:rPr>
        <w:rFonts w:ascii="Wingdings" w:hAnsi="Wingdings" w:hint="default"/>
        <w:sz w:val="20"/>
      </w:rPr>
    </w:lvl>
  </w:abstractNum>
  <w:abstractNum w:abstractNumId="8" w15:restartNumberingAfterBreak="0">
    <w:nsid w:val="14A81D6B"/>
    <w:multiLevelType w:val="hybridMultilevel"/>
    <w:tmpl w:val="8EA49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2C7BF0"/>
    <w:multiLevelType w:val="hybridMultilevel"/>
    <w:tmpl w:val="1472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27664"/>
    <w:multiLevelType w:val="multilevel"/>
    <w:tmpl w:val="7A7A0DF4"/>
    <w:lvl w:ilvl="0">
      <w:start w:val="1"/>
      <w:numFmt w:val="decimal"/>
      <w:pStyle w:val="NumberLevel1"/>
      <w:lvlText w:val="%1."/>
      <w:lvlJc w:val="left"/>
      <w:pPr>
        <w:tabs>
          <w:tab w:val="num" w:pos="709"/>
        </w:tabs>
        <w:ind w:left="0" w:hanging="709"/>
      </w:pPr>
      <w:rPr>
        <w:b w:val="0"/>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2379A1"/>
    <w:multiLevelType w:val="hybridMultilevel"/>
    <w:tmpl w:val="B6C2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F03C0C"/>
    <w:multiLevelType w:val="hybridMultilevel"/>
    <w:tmpl w:val="7B3652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17CF9"/>
    <w:multiLevelType w:val="hybridMultilevel"/>
    <w:tmpl w:val="554CC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660C9"/>
    <w:multiLevelType w:val="hybridMultilevel"/>
    <w:tmpl w:val="A07C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AD07FA"/>
    <w:multiLevelType w:val="hybridMultilevel"/>
    <w:tmpl w:val="5694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956D6B"/>
    <w:multiLevelType w:val="hybridMultilevel"/>
    <w:tmpl w:val="08108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E20FC5"/>
    <w:multiLevelType w:val="hybridMultilevel"/>
    <w:tmpl w:val="6AD8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5D4659"/>
    <w:multiLevelType w:val="hybridMultilevel"/>
    <w:tmpl w:val="03289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4B1513"/>
    <w:multiLevelType w:val="hybridMultilevel"/>
    <w:tmpl w:val="18D88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C10009"/>
    <w:multiLevelType w:val="hybridMultilevel"/>
    <w:tmpl w:val="30CC4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4F1817"/>
    <w:multiLevelType w:val="hybridMultilevel"/>
    <w:tmpl w:val="39FC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E55D77"/>
    <w:multiLevelType w:val="hybridMultilevel"/>
    <w:tmpl w:val="5CF69CC8"/>
    <w:lvl w:ilvl="0" w:tplc="34E6C390">
      <w:start w:val="1"/>
      <w:numFmt w:val="decimal"/>
      <w:lvlText w:val="%1."/>
      <w:lvlJc w:val="left"/>
      <w:pPr>
        <w:ind w:left="502" w:hanging="360"/>
      </w:pPr>
      <w:rPr>
        <w:rFonts w:ascii="Times New Roman" w:hAnsi="Times New Roman" w:cs="Times New Roman" w:hint="default"/>
        <w:b w:val="0"/>
        <w:i w: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2973C3"/>
    <w:multiLevelType w:val="hybridMultilevel"/>
    <w:tmpl w:val="C29A0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27C6077"/>
    <w:multiLevelType w:val="hybridMultilevel"/>
    <w:tmpl w:val="F4E0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B71C90"/>
    <w:multiLevelType w:val="hybridMultilevel"/>
    <w:tmpl w:val="0088D1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5CC6A9C"/>
    <w:multiLevelType w:val="hybridMultilevel"/>
    <w:tmpl w:val="5672A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C8675C"/>
    <w:multiLevelType w:val="hybridMultilevel"/>
    <w:tmpl w:val="A19E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0E4CA4"/>
    <w:multiLevelType w:val="hybridMultilevel"/>
    <w:tmpl w:val="DA1E6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BE248C"/>
    <w:multiLevelType w:val="hybridMultilevel"/>
    <w:tmpl w:val="8C9CA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C82465"/>
    <w:multiLevelType w:val="hybridMultilevel"/>
    <w:tmpl w:val="66A06C84"/>
    <w:lvl w:ilvl="0" w:tplc="87101A68">
      <w:start w:val="1"/>
      <w:numFmt w:val="bullet"/>
      <w:pStyle w:val="Dotpointparagraph"/>
      <w:lvlText w:val=""/>
      <w:lvlJc w:val="left"/>
      <w:pPr>
        <w:ind w:left="720" w:hanging="360"/>
      </w:pPr>
      <w:rPr>
        <w:rFonts w:ascii="Symbol" w:hAnsi="Symbol" w:hint="default"/>
      </w:rPr>
    </w:lvl>
    <w:lvl w:ilvl="1" w:tplc="8A36AC1E">
      <w:start w:val="1"/>
      <w:numFmt w:val="bullet"/>
      <w:pStyle w:val="Squarepointparagraph"/>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4F3097"/>
    <w:multiLevelType w:val="hybridMultilevel"/>
    <w:tmpl w:val="82C67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5F5265"/>
    <w:multiLevelType w:val="hybridMultilevel"/>
    <w:tmpl w:val="3C7C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DD7FDE"/>
    <w:multiLevelType w:val="hybridMultilevel"/>
    <w:tmpl w:val="91E0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B73C01"/>
    <w:multiLevelType w:val="hybridMultilevel"/>
    <w:tmpl w:val="4DB47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BD2F43"/>
    <w:multiLevelType w:val="hybridMultilevel"/>
    <w:tmpl w:val="09E0312A"/>
    <w:lvl w:ilvl="0" w:tplc="05B41E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755A6E"/>
    <w:multiLevelType w:val="multilevel"/>
    <w:tmpl w:val="CF8C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A17568"/>
    <w:multiLevelType w:val="hybridMultilevel"/>
    <w:tmpl w:val="BF6C0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502FA5"/>
    <w:multiLevelType w:val="hybridMultilevel"/>
    <w:tmpl w:val="27F8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5F53A9"/>
    <w:multiLevelType w:val="hybridMultilevel"/>
    <w:tmpl w:val="9F72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AA7E86"/>
    <w:multiLevelType w:val="multilevel"/>
    <w:tmpl w:val="D1BCC71C"/>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2" w15:restartNumberingAfterBreak="0">
    <w:nsid w:val="786348CF"/>
    <w:multiLevelType w:val="hybridMultilevel"/>
    <w:tmpl w:val="D10A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9C01F70"/>
    <w:multiLevelType w:val="hybridMultilevel"/>
    <w:tmpl w:val="9444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2129D9"/>
    <w:multiLevelType w:val="hybridMultilevel"/>
    <w:tmpl w:val="3DEE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2"/>
  </w:num>
  <w:num w:numId="4">
    <w:abstractNumId w:val="39"/>
  </w:num>
  <w:num w:numId="5">
    <w:abstractNumId w:val="23"/>
  </w:num>
  <w:num w:numId="6">
    <w:abstractNumId w:val="35"/>
  </w:num>
  <w:num w:numId="7">
    <w:abstractNumId w:val="16"/>
  </w:num>
  <w:num w:numId="8">
    <w:abstractNumId w:val="31"/>
  </w:num>
  <w:num w:numId="9">
    <w:abstractNumId w:val="31"/>
  </w:num>
  <w:num w:numId="10">
    <w:abstractNumId w:val="42"/>
  </w:num>
  <w:num w:numId="11">
    <w:abstractNumId w:val="28"/>
  </w:num>
  <w:num w:numId="12">
    <w:abstractNumId w:val="17"/>
  </w:num>
  <w:num w:numId="13">
    <w:abstractNumId w:val="15"/>
  </w:num>
  <w:num w:numId="14">
    <w:abstractNumId w:val="18"/>
  </w:num>
  <w:num w:numId="15">
    <w:abstractNumId w:val="5"/>
  </w:num>
  <w:num w:numId="16">
    <w:abstractNumId w:val="7"/>
  </w:num>
  <w:num w:numId="17">
    <w:abstractNumId w:val="14"/>
  </w:num>
  <w:num w:numId="18">
    <w:abstractNumId w:val="3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41"/>
  </w:num>
  <w:num w:numId="21">
    <w:abstractNumId w:val="44"/>
  </w:num>
  <w:num w:numId="22">
    <w:abstractNumId w:val="27"/>
  </w:num>
  <w:num w:numId="23">
    <w:abstractNumId w:val="9"/>
  </w:num>
  <w:num w:numId="24">
    <w:abstractNumId w:val="8"/>
  </w:num>
  <w:num w:numId="25">
    <w:abstractNumId w:val="29"/>
  </w:num>
  <w:num w:numId="26">
    <w:abstractNumId w:val="26"/>
  </w:num>
  <w:num w:numId="27">
    <w:abstractNumId w:val="25"/>
  </w:num>
  <w:num w:numId="28">
    <w:abstractNumId w:val="4"/>
  </w:num>
  <w:num w:numId="29">
    <w:abstractNumId w:val="1"/>
  </w:num>
  <w:num w:numId="30">
    <w:abstractNumId w:val="38"/>
  </w:num>
  <w:num w:numId="31">
    <w:abstractNumId w:val="3"/>
  </w:num>
  <w:num w:numId="32">
    <w:abstractNumId w:val="2"/>
  </w:num>
  <w:num w:numId="33">
    <w:abstractNumId w:val="21"/>
  </w:num>
  <w:num w:numId="34">
    <w:abstractNumId w:val="33"/>
  </w:num>
  <w:num w:numId="35">
    <w:abstractNumId w:val="12"/>
  </w:num>
  <w:num w:numId="36">
    <w:abstractNumId w:val="34"/>
  </w:num>
  <w:num w:numId="37">
    <w:abstractNumId w:val="30"/>
  </w:num>
  <w:num w:numId="38">
    <w:abstractNumId w:val="20"/>
  </w:num>
  <w:num w:numId="39">
    <w:abstractNumId w:val="19"/>
  </w:num>
  <w:num w:numId="40">
    <w:abstractNumId w:val="43"/>
  </w:num>
  <w:num w:numId="41">
    <w:abstractNumId w:val="24"/>
  </w:num>
  <w:num w:numId="42">
    <w:abstractNumId w:val="37"/>
  </w:num>
  <w:num w:numId="43">
    <w:abstractNumId w:val="36"/>
  </w:num>
  <w:num w:numId="44">
    <w:abstractNumId w:val="40"/>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f7d8c94-4d16-452f-b87c-62e0484a173a"/>
  </w:docVars>
  <w:rsids>
    <w:rsidRoot w:val="003021F7"/>
    <w:rsid w:val="00001308"/>
    <w:rsid w:val="000019DC"/>
    <w:rsid w:val="00002FC9"/>
    <w:rsid w:val="0000322F"/>
    <w:rsid w:val="000047B6"/>
    <w:rsid w:val="00006275"/>
    <w:rsid w:val="00010CA7"/>
    <w:rsid w:val="00011BFA"/>
    <w:rsid w:val="00011D4A"/>
    <w:rsid w:val="000141F1"/>
    <w:rsid w:val="00020B49"/>
    <w:rsid w:val="0002164E"/>
    <w:rsid w:val="00022628"/>
    <w:rsid w:val="00023F0B"/>
    <w:rsid w:val="0002409F"/>
    <w:rsid w:val="00030044"/>
    <w:rsid w:val="0003085A"/>
    <w:rsid w:val="0003334B"/>
    <w:rsid w:val="00034601"/>
    <w:rsid w:val="000354EA"/>
    <w:rsid w:val="0003609D"/>
    <w:rsid w:val="00036FAA"/>
    <w:rsid w:val="000423B8"/>
    <w:rsid w:val="00042D8E"/>
    <w:rsid w:val="0004376B"/>
    <w:rsid w:val="00047BD0"/>
    <w:rsid w:val="000520E9"/>
    <w:rsid w:val="00052A5E"/>
    <w:rsid w:val="00053573"/>
    <w:rsid w:val="00053614"/>
    <w:rsid w:val="0005449F"/>
    <w:rsid w:val="0005525B"/>
    <w:rsid w:val="000552BF"/>
    <w:rsid w:val="0006036D"/>
    <w:rsid w:val="00064F3E"/>
    <w:rsid w:val="000670FE"/>
    <w:rsid w:val="00067F89"/>
    <w:rsid w:val="00073870"/>
    <w:rsid w:val="00074839"/>
    <w:rsid w:val="00077979"/>
    <w:rsid w:val="00077993"/>
    <w:rsid w:val="00077E43"/>
    <w:rsid w:val="0008014D"/>
    <w:rsid w:val="00082803"/>
    <w:rsid w:val="00083B5B"/>
    <w:rsid w:val="00086CFC"/>
    <w:rsid w:val="000905C1"/>
    <w:rsid w:val="00091333"/>
    <w:rsid w:val="00091F90"/>
    <w:rsid w:val="00092132"/>
    <w:rsid w:val="000933CA"/>
    <w:rsid w:val="0009412B"/>
    <w:rsid w:val="00095084"/>
    <w:rsid w:val="00095187"/>
    <w:rsid w:val="00095923"/>
    <w:rsid w:val="000A270D"/>
    <w:rsid w:val="000A2B4A"/>
    <w:rsid w:val="000A3D4F"/>
    <w:rsid w:val="000A3FEF"/>
    <w:rsid w:val="000A4B9B"/>
    <w:rsid w:val="000A720A"/>
    <w:rsid w:val="000A78E3"/>
    <w:rsid w:val="000B167E"/>
    <w:rsid w:val="000B373D"/>
    <w:rsid w:val="000B6BD3"/>
    <w:rsid w:val="000C0C60"/>
    <w:rsid w:val="000C218B"/>
    <w:rsid w:val="000C58FB"/>
    <w:rsid w:val="000C7652"/>
    <w:rsid w:val="000D1061"/>
    <w:rsid w:val="000D26E9"/>
    <w:rsid w:val="000D283F"/>
    <w:rsid w:val="000D44F7"/>
    <w:rsid w:val="000D5DFC"/>
    <w:rsid w:val="000E0CD0"/>
    <w:rsid w:val="000E5E3B"/>
    <w:rsid w:val="000F0060"/>
    <w:rsid w:val="000F02E3"/>
    <w:rsid w:val="000F1BB1"/>
    <w:rsid w:val="000F2066"/>
    <w:rsid w:val="000F2A63"/>
    <w:rsid w:val="000F3D00"/>
    <w:rsid w:val="000F542A"/>
    <w:rsid w:val="000F6091"/>
    <w:rsid w:val="000F7AE0"/>
    <w:rsid w:val="00104522"/>
    <w:rsid w:val="001046EA"/>
    <w:rsid w:val="00107B37"/>
    <w:rsid w:val="001108D3"/>
    <w:rsid w:val="00110EFD"/>
    <w:rsid w:val="00111CCB"/>
    <w:rsid w:val="0011502F"/>
    <w:rsid w:val="00117F12"/>
    <w:rsid w:val="00120251"/>
    <w:rsid w:val="001205AE"/>
    <w:rsid w:val="00120BD5"/>
    <w:rsid w:val="0012181C"/>
    <w:rsid w:val="001229E3"/>
    <w:rsid w:val="00125A64"/>
    <w:rsid w:val="0012742E"/>
    <w:rsid w:val="00130780"/>
    <w:rsid w:val="00131498"/>
    <w:rsid w:val="00131832"/>
    <w:rsid w:val="00131920"/>
    <w:rsid w:val="001337CE"/>
    <w:rsid w:val="00134A4E"/>
    <w:rsid w:val="001350DC"/>
    <w:rsid w:val="00135C52"/>
    <w:rsid w:val="00136B7C"/>
    <w:rsid w:val="00137248"/>
    <w:rsid w:val="00137837"/>
    <w:rsid w:val="00140968"/>
    <w:rsid w:val="00141B76"/>
    <w:rsid w:val="001423E0"/>
    <w:rsid w:val="00147D69"/>
    <w:rsid w:val="001538A7"/>
    <w:rsid w:val="00154F83"/>
    <w:rsid w:val="0015652D"/>
    <w:rsid w:val="00157377"/>
    <w:rsid w:val="00160588"/>
    <w:rsid w:val="001609A0"/>
    <w:rsid w:val="00161092"/>
    <w:rsid w:val="0016146E"/>
    <w:rsid w:val="001623C9"/>
    <w:rsid w:val="001638EC"/>
    <w:rsid w:val="00164282"/>
    <w:rsid w:val="00166DF2"/>
    <w:rsid w:val="00171304"/>
    <w:rsid w:val="00171D70"/>
    <w:rsid w:val="0017330E"/>
    <w:rsid w:val="00173D89"/>
    <w:rsid w:val="00175638"/>
    <w:rsid w:val="0018135A"/>
    <w:rsid w:val="001821CA"/>
    <w:rsid w:val="00185988"/>
    <w:rsid w:val="00186280"/>
    <w:rsid w:val="0018785C"/>
    <w:rsid w:val="00192B29"/>
    <w:rsid w:val="00195B7D"/>
    <w:rsid w:val="001964D0"/>
    <w:rsid w:val="00197FCB"/>
    <w:rsid w:val="001A0509"/>
    <w:rsid w:val="001A0F79"/>
    <w:rsid w:val="001A2BE2"/>
    <w:rsid w:val="001A3160"/>
    <w:rsid w:val="001A568E"/>
    <w:rsid w:val="001A7033"/>
    <w:rsid w:val="001B2EC7"/>
    <w:rsid w:val="001B318F"/>
    <w:rsid w:val="001B39C4"/>
    <w:rsid w:val="001B5225"/>
    <w:rsid w:val="001B6FCD"/>
    <w:rsid w:val="001C4165"/>
    <w:rsid w:val="001C57F2"/>
    <w:rsid w:val="001C69E7"/>
    <w:rsid w:val="001C7D2F"/>
    <w:rsid w:val="001D0742"/>
    <w:rsid w:val="001D3DDD"/>
    <w:rsid w:val="001D511B"/>
    <w:rsid w:val="001D52DC"/>
    <w:rsid w:val="001D556C"/>
    <w:rsid w:val="001D5D39"/>
    <w:rsid w:val="001E1C0A"/>
    <w:rsid w:val="001E1E3C"/>
    <w:rsid w:val="001E4C79"/>
    <w:rsid w:val="001E5EF3"/>
    <w:rsid w:val="001F0AB3"/>
    <w:rsid w:val="001F32AC"/>
    <w:rsid w:val="001F4E48"/>
    <w:rsid w:val="001F7178"/>
    <w:rsid w:val="00202083"/>
    <w:rsid w:val="002022AA"/>
    <w:rsid w:val="00203A48"/>
    <w:rsid w:val="00205B18"/>
    <w:rsid w:val="002115CC"/>
    <w:rsid w:val="00211FCF"/>
    <w:rsid w:val="00212072"/>
    <w:rsid w:val="00213802"/>
    <w:rsid w:val="00214570"/>
    <w:rsid w:val="00214690"/>
    <w:rsid w:val="00214796"/>
    <w:rsid w:val="00215BDA"/>
    <w:rsid w:val="00216C44"/>
    <w:rsid w:val="002203CD"/>
    <w:rsid w:val="0022089F"/>
    <w:rsid w:val="0022116C"/>
    <w:rsid w:val="00221719"/>
    <w:rsid w:val="00222496"/>
    <w:rsid w:val="00222FD9"/>
    <w:rsid w:val="0022427D"/>
    <w:rsid w:val="00224678"/>
    <w:rsid w:val="00224B35"/>
    <w:rsid w:val="00224CAD"/>
    <w:rsid w:val="00225292"/>
    <w:rsid w:val="00225601"/>
    <w:rsid w:val="00226034"/>
    <w:rsid w:val="00226108"/>
    <w:rsid w:val="00227314"/>
    <w:rsid w:val="002339F9"/>
    <w:rsid w:val="00234889"/>
    <w:rsid w:val="002353DF"/>
    <w:rsid w:val="00235FEC"/>
    <w:rsid w:val="00236426"/>
    <w:rsid w:val="002375A4"/>
    <w:rsid w:val="0023766D"/>
    <w:rsid w:val="002410DF"/>
    <w:rsid w:val="00245791"/>
    <w:rsid w:val="0024607A"/>
    <w:rsid w:val="00246338"/>
    <w:rsid w:val="00246B7E"/>
    <w:rsid w:val="00247D74"/>
    <w:rsid w:val="0025121F"/>
    <w:rsid w:val="00253150"/>
    <w:rsid w:val="00255A99"/>
    <w:rsid w:val="002560FF"/>
    <w:rsid w:val="00256F82"/>
    <w:rsid w:val="0025774D"/>
    <w:rsid w:val="00257D08"/>
    <w:rsid w:val="0026018D"/>
    <w:rsid w:val="00262436"/>
    <w:rsid w:val="00262452"/>
    <w:rsid w:val="0026285F"/>
    <w:rsid w:val="0026518D"/>
    <w:rsid w:val="0026564B"/>
    <w:rsid w:val="002667FC"/>
    <w:rsid w:val="00266C94"/>
    <w:rsid w:val="0027007C"/>
    <w:rsid w:val="00272DFA"/>
    <w:rsid w:val="00274187"/>
    <w:rsid w:val="00275E04"/>
    <w:rsid w:val="00276DB0"/>
    <w:rsid w:val="0027748C"/>
    <w:rsid w:val="002801E7"/>
    <w:rsid w:val="00280BBA"/>
    <w:rsid w:val="00283144"/>
    <w:rsid w:val="00286BD2"/>
    <w:rsid w:val="00290C24"/>
    <w:rsid w:val="00290E8A"/>
    <w:rsid w:val="002910D4"/>
    <w:rsid w:val="00291CB6"/>
    <w:rsid w:val="00292EB8"/>
    <w:rsid w:val="002943D0"/>
    <w:rsid w:val="00294EE0"/>
    <w:rsid w:val="002954FC"/>
    <w:rsid w:val="00296442"/>
    <w:rsid w:val="0029766D"/>
    <w:rsid w:val="002A0045"/>
    <w:rsid w:val="002A0069"/>
    <w:rsid w:val="002A1854"/>
    <w:rsid w:val="002A1FE5"/>
    <w:rsid w:val="002A2FD6"/>
    <w:rsid w:val="002A51AB"/>
    <w:rsid w:val="002A6075"/>
    <w:rsid w:val="002A67C4"/>
    <w:rsid w:val="002A7429"/>
    <w:rsid w:val="002B0656"/>
    <w:rsid w:val="002B10AF"/>
    <w:rsid w:val="002B1E70"/>
    <w:rsid w:val="002B1F3B"/>
    <w:rsid w:val="002B2784"/>
    <w:rsid w:val="002B3CB9"/>
    <w:rsid w:val="002C6918"/>
    <w:rsid w:val="002C7273"/>
    <w:rsid w:val="002D06C7"/>
    <w:rsid w:val="002D0CBF"/>
    <w:rsid w:val="002D6621"/>
    <w:rsid w:val="002E076C"/>
    <w:rsid w:val="002E12A4"/>
    <w:rsid w:val="002E32B4"/>
    <w:rsid w:val="002E57E4"/>
    <w:rsid w:val="002E6FD6"/>
    <w:rsid w:val="002F43F0"/>
    <w:rsid w:val="002F4411"/>
    <w:rsid w:val="002F47CC"/>
    <w:rsid w:val="002F7EBC"/>
    <w:rsid w:val="003021F7"/>
    <w:rsid w:val="00302960"/>
    <w:rsid w:val="0031396E"/>
    <w:rsid w:val="00313E3F"/>
    <w:rsid w:val="003145D7"/>
    <w:rsid w:val="0031718E"/>
    <w:rsid w:val="003177C2"/>
    <w:rsid w:val="00322FA8"/>
    <w:rsid w:val="00323159"/>
    <w:rsid w:val="00326313"/>
    <w:rsid w:val="003322BE"/>
    <w:rsid w:val="00332488"/>
    <w:rsid w:val="00347A94"/>
    <w:rsid w:val="00352A16"/>
    <w:rsid w:val="00354553"/>
    <w:rsid w:val="00354D8E"/>
    <w:rsid w:val="00354EFF"/>
    <w:rsid w:val="00356F6D"/>
    <w:rsid w:val="00362742"/>
    <w:rsid w:val="00367535"/>
    <w:rsid w:val="0037208D"/>
    <w:rsid w:val="00372A03"/>
    <w:rsid w:val="00372A9D"/>
    <w:rsid w:val="0037307A"/>
    <w:rsid w:val="0037507B"/>
    <w:rsid w:val="00376785"/>
    <w:rsid w:val="00376869"/>
    <w:rsid w:val="00377447"/>
    <w:rsid w:val="0038441A"/>
    <w:rsid w:val="00387BCC"/>
    <w:rsid w:val="003904C5"/>
    <w:rsid w:val="00391762"/>
    <w:rsid w:val="00391B31"/>
    <w:rsid w:val="00392ADD"/>
    <w:rsid w:val="00393972"/>
    <w:rsid w:val="00394B64"/>
    <w:rsid w:val="00395CC3"/>
    <w:rsid w:val="003A0956"/>
    <w:rsid w:val="003A1B79"/>
    <w:rsid w:val="003A3314"/>
    <w:rsid w:val="003A48B9"/>
    <w:rsid w:val="003A4B16"/>
    <w:rsid w:val="003A7DDA"/>
    <w:rsid w:val="003B22D2"/>
    <w:rsid w:val="003B2D72"/>
    <w:rsid w:val="003B33E6"/>
    <w:rsid w:val="003B7C11"/>
    <w:rsid w:val="003C0040"/>
    <w:rsid w:val="003C09A4"/>
    <w:rsid w:val="003C2071"/>
    <w:rsid w:val="003C2975"/>
    <w:rsid w:val="003C3A6A"/>
    <w:rsid w:val="003C561A"/>
    <w:rsid w:val="003C59F7"/>
    <w:rsid w:val="003C71AA"/>
    <w:rsid w:val="003D119B"/>
    <w:rsid w:val="003D232E"/>
    <w:rsid w:val="003D2B9D"/>
    <w:rsid w:val="003D2E93"/>
    <w:rsid w:val="003D6407"/>
    <w:rsid w:val="003D6A40"/>
    <w:rsid w:val="003D761B"/>
    <w:rsid w:val="003D7784"/>
    <w:rsid w:val="003E260D"/>
    <w:rsid w:val="003E6421"/>
    <w:rsid w:val="003F007C"/>
    <w:rsid w:val="003F044F"/>
    <w:rsid w:val="003F1C60"/>
    <w:rsid w:val="003F3788"/>
    <w:rsid w:val="003F38F1"/>
    <w:rsid w:val="003F4298"/>
    <w:rsid w:val="003F4CD7"/>
    <w:rsid w:val="003F798D"/>
    <w:rsid w:val="003F7B8E"/>
    <w:rsid w:val="003F7CD8"/>
    <w:rsid w:val="0040258B"/>
    <w:rsid w:val="00406346"/>
    <w:rsid w:val="00406A6C"/>
    <w:rsid w:val="00407554"/>
    <w:rsid w:val="004145C4"/>
    <w:rsid w:val="00416035"/>
    <w:rsid w:val="00416631"/>
    <w:rsid w:val="00420CE8"/>
    <w:rsid w:val="00422570"/>
    <w:rsid w:val="00422BEB"/>
    <w:rsid w:val="00423AAE"/>
    <w:rsid w:val="004244B7"/>
    <w:rsid w:val="00424AD2"/>
    <w:rsid w:val="00426D4E"/>
    <w:rsid w:val="00427177"/>
    <w:rsid w:val="00427761"/>
    <w:rsid w:val="00430AB9"/>
    <w:rsid w:val="00431014"/>
    <w:rsid w:val="00432306"/>
    <w:rsid w:val="004350E9"/>
    <w:rsid w:val="0043533A"/>
    <w:rsid w:val="004363C7"/>
    <w:rsid w:val="00437E99"/>
    <w:rsid w:val="004413D4"/>
    <w:rsid w:val="00441C7E"/>
    <w:rsid w:val="0044203F"/>
    <w:rsid w:val="004420C5"/>
    <w:rsid w:val="00447C6D"/>
    <w:rsid w:val="00447D52"/>
    <w:rsid w:val="0045442C"/>
    <w:rsid w:val="00455E0D"/>
    <w:rsid w:val="00456347"/>
    <w:rsid w:val="004569DD"/>
    <w:rsid w:val="00457C75"/>
    <w:rsid w:val="004608EB"/>
    <w:rsid w:val="00462825"/>
    <w:rsid w:val="004659BC"/>
    <w:rsid w:val="004677BA"/>
    <w:rsid w:val="00471B6F"/>
    <w:rsid w:val="00471DC5"/>
    <w:rsid w:val="00471EF0"/>
    <w:rsid w:val="00472B09"/>
    <w:rsid w:val="00472B4D"/>
    <w:rsid w:val="004742FA"/>
    <w:rsid w:val="00475377"/>
    <w:rsid w:val="004762F2"/>
    <w:rsid w:val="0048074C"/>
    <w:rsid w:val="004852FD"/>
    <w:rsid w:val="0048571C"/>
    <w:rsid w:val="004878E3"/>
    <w:rsid w:val="00487A34"/>
    <w:rsid w:val="00487A4D"/>
    <w:rsid w:val="0049201F"/>
    <w:rsid w:val="00492BE3"/>
    <w:rsid w:val="00497003"/>
    <w:rsid w:val="004A0841"/>
    <w:rsid w:val="004A17B0"/>
    <w:rsid w:val="004A45D3"/>
    <w:rsid w:val="004A5B88"/>
    <w:rsid w:val="004A60BC"/>
    <w:rsid w:val="004A6F27"/>
    <w:rsid w:val="004A7FAC"/>
    <w:rsid w:val="004B2E19"/>
    <w:rsid w:val="004B49E6"/>
    <w:rsid w:val="004C0D1F"/>
    <w:rsid w:val="004C0F9A"/>
    <w:rsid w:val="004C4559"/>
    <w:rsid w:val="004C6883"/>
    <w:rsid w:val="004D26AE"/>
    <w:rsid w:val="004D3471"/>
    <w:rsid w:val="004D3A87"/>
    <w:rsid w:val="004D59CF"/>
    <w:rsid w:val="004D6A48"/>
    <w:rsid w:val="004D7F6E"/>
    <w:rsid w:val="004E239A"/>
    <w:rsid w:val="004E2D3F"/>
    <w:rsid w:val="004E3B1E"/>
    <w:rsid w:val="004E5E22"/>
    <w:rsid w:val="004E79C9"/>
    <w:rsid w:val="004E79DE"/>
    <w:rsid w:val="004F2074"/>
    <w:rsid w:val="004F390C"/>
    <w:rsid w:val="004F46DA"/>
    <w:rsid w:val="004F63DD"/>
    <w:rsid w:val="004F6A97"/>
    <w:rsid w:val="00501626"/>
    <w:rsid w:val="00501A22"/>
    <w:rsid w:val="0050314C"/>
    <w:rsid w:val="00505592"/>
    <w:rsid w:val="00506B0E"/>
    <w:rsid w:val="00513877"/>
    <w:rsid w:val="0051392F"/>
    <w:rsid w:val="00515084"/>
    <w:rsid w:val="00522B8B"/>
    <w:rsid w:val="00523318"/>
    <w:rsid w:val="00524934"/>
    <w:rsid w:val="00524A45"/>
    <w:rsid w:val="00525B5C"/>
    <w:rsid w:val="0052602F"/>
    <w:rsid w:val="00526A0F"/>
    <w:rsid w:val="005301E9"/>
    <w:rsid w:val="0053072F"/>
    <w:rsid w:val="00533028"/>
    <w:rsid w:val="005356C4"/>
    <w:rsid w:val="00537296"/>
    <w:rsid w:val="00537FC1"/>
    <w:rsid w:val="00541718"/>
    <w:rsid w:val="005419DC"/>
    <w:rsid w:val="00542E2C"/>
    <w:rsid w:val="0054474B"/>
    <w:rsid w:val="0054550D"/>
    <w:rsid w:val="005457F0"/>
    <w:rsid w:val="005471A4"/>
    <w:rsid w:val="00551059"/>
    <w:rsid w:val="00553573"/>
    <w:rsid w:val="0055430A"/>
    <w:rsid w:val="00554954"/>
    <w:rsid w:val="00562D0D"/>
    <w:rsid w:val="00563D8F"/>
    <w:rsid w:val="005656B9"/>
    <w:rsid w:val="00565E35"/>
    <w:rsid w:val="00567D30"/>
    <w:rsid w:val="0057165D"/>
    <w:rsid w:val="00573D91"/>
    <w:rsid w:val="00574475"/>
    <w:rsid w:val="005751ED"/>
    <w:rsid w:val="00581248"/>
    <w:rsid w:val="00582881"/>
    <w:rsid w:val="00582BDF"/>
    <w:rsid w:val="00582D6C"/>
    <w:rsid w:val="0058512B"/>
    <w:rsid w:val="00585197"/>
    <w:rsid w:val="00585614"/>
    <w:rsid w:val="00586755"/>
    <w:rsid w:val="00586F5F"/>
    <w:rsid w:val="005874B6"/>
    <w:rsid w:val="00590836"/>
    <w:rsid w:val="00591A4A"/>
    <w:rsid w:val="005923E4"/>
    <w:rsid w:val="00595CE0"/>
    <w:rsid w:val="00596AD0"/>
    <w:rsid w:val="00597B5B"/>
    <w:rsid w:val="005A145C"/>
    <w:rsid w:val="005A1BD8"/>
    <w:rsid w:val="005B0956"/>
    <w:rsid w:val="005B0BAC"/>
    <w:rsid w:val="005B18D6"/>
    <w:rsid w:val="005B2B2D"/>
    <w:rsid w:val="005B3060"/>
    <w:rsid w:val="005B369C"/>
    <w:rsid w:val="005B5A94"/>
    <w:rsid w:val="005B5F19"/>
    <w:rsid w:val="005B7CA5"/>
    <w:rsid w:val="005C0D6D"/>
    <w:rsid w:val="005C26D6"/>
    <w:rsid w:val="005C33AD"/>
    <w:rsid w:val="005C380B"/>
    <w:rsid w:val="005C419B"/>
    <w:rsid w:val="005C5E30"/>
    <w:rsid w:val="005C781F"/>
    <w:rsid w:val="005D0769"/>
    <w:rsid w:val="005D18EB"/>
    <w:rsid w:val="005D2992"/>
    <w:rsid w:val="005D312F"/>
    <w:rsid w:val="005D79F0"/>
    <w:rsid w:val="005E0D6C"/>
    <w:rsid w:val="005E1F56"/>
    <w:rsid w:val="005E31F7"/>
    <w:rsid w:val="005E50F9"/>
    <w:rsid w:val="005E5717"/>
    <w:rsid w:val="005E576C"/>
    <w:rsid w:val="005E5A33"/>
    <w:rsid w:val="005F11BB"/>
    <w:rsid w:val="005F3963"/>
    <w:rsid w:val="005F3987"/>
    <w:rsid w:val="005F3E07"/>
    <w:rsid w:val="005F4CD7"/>
    <w:rsid w:val="005F57C4"/>
    <w:rsid w:val="005F594C"/>
    <w:rsid w:val="005F6C03"/>
    <w:rsid w:val="005F702E"/>
    <w:rsid w:val="00601F54"/>
    <w:rsid w:val="00606FFC"/>
    <w:rsid w:val="00612977"/>
    <w:rsid w:val="006136DA"/>
    <w:rsid w:val="006137B9"/>
    <w:rsid w:val="00617C42"/>
    <w:rsid w:val="006203F1"/>
    <w:rsid w:val="00620597"/>
    <w:rsid w:val="00622F82"/>
    <w:rsid w:val="00623627"/>
    <w:rsid w:val="00623AC6"/>
    <w:rsid w:val="0062514B"/>
    <w:rsid w:val="006253DD"/>
    <w:rsid w:val="0062616A"/>
    <w:rsid w:val="00626D2A"/>
    <w:rsid w:val="00630C9D"/>
    <w:rsid w:val="00630F13"/>
    <w:rsid w:val="00633665"/>
    <w:rsid w:val="006355DD"/>
    <w:rsid w:val="006357E6"/>
    <w:rsid w:val="00635EFA"/>
    <w:rsid w:val="006374DE"/>
    <w:rsid w:val="0064120A"/>
    <w:rsid w:val="00641E27"/>
    <w:rsid w:val="00642212"/>
    <w:rsid w:val="0064710A"/>
    <w:rsid w:val="006500CB"/>
    <w:rsid w:val="00650594"/>
    <w:rsid w:val="00654932"/>
    <w:rsid w:val="00654CF6"/>
    <w:rsid w:val="00654F33"/>
    <w:rsid w:val="006607C4"/>
    <w:rsid w:val="00660BC3"/>
    <w:rsid w:val="006633B8"/>
    <w:rsid w:val="00664F00"/>
    <w:rsid w:val="0066697E"/>
    <w:rsid w:val="0066782E"/>
    <w:rsid w:val="00670ACA"/>
    <w:rsid w:val="0067189B"/>
    <w:rsid w:val="00672247"/>
    <w:rsid w:val="00673906"/>
    <w:rsid w:val="00674C35"/>
    <w:rsid w:val="00680C31"/>
    <w:rsid w:val="006831FD"/>
    <w:rsid w:val="006836ED"/>
    <w:rsid w:val="00685F5C"/>
    <w:rsid w:val="00686291"/>
    <w:rsid w:val="00687B4B"/>
    <w:rsid w:val="00691C4C"/>
    <w:rsid w:val="00694C45"/>
    <w:rsid w:val="00696B09"/>
    <w:rsid w:val="006A1174"/>
    <w:rsid w:val="006A1D00"/>
    <w:rsid w:val="006A4110"/>
    <w:rsid w:val="006A4BD5"/>
    <w:rsid w:val="006A6730"/>
    <w:rsid w:val="006B2F5F"/>
    <w:rsid w:val="006B535B"/>
    <w:rsid w:val="006B5BC7"/>
    <w:rsid w:val="006B6141"/>
    <w:rsid w:val="006B642A"/>
    <w:rsid w:val="006B692D"/>
    <w:rsid w:val="006C025C"/>
    <w:rsid w:val="006C0601"/>
    <w:rsid w:val="006C163C"/>
    <w:rsid w:val="006C27C4"/>
    <w:rsid w:val="006C2EA3"/>
    <w:rsid w:val="006C5B13"/>
    <w:rsid w:val="006C71CF"/>
    <w:rsid w:val="006C748D"/>
    <w:rsid w:val="006E20C1"/>
    <w:rsid w:val="006E2C3A"/>
    <w:rsid w:val="006E5468"/>
    <w:rsid w:val="006E5536"/>
    <w:rsid w:val="006E5B1D"/>
    <w:rsid w:val="006F135E"/>
    <w:rsid w:val="006F3251"/>
    <w:rsid w:val="006F5E8D"/>
    <w:rsid w:val="006F6204"/>
    <w:rsid w:val="00700435"/>
    <w:rsid w:val="00700822"/>
    <w:rsid w:val="00701066"/>
    <w:rsid w:val="00701229"/>
    <w:rsid w:val="007017BA"/>
    <w:rsid w:val="007046FE"/>
    <w:rsid w:val="00705BB5"/>
    <w:rsid w:val="00705BDA"/>
    <w:rsid w:val="0070638E"/>
    <w:rsid w:val="00706911"/>
    <w:rsid w:val="00710A88"/>
    <w:rsid w:val="00711516"/>
    <w:rsid w:val="007122DF"/>
    <w:rsid w:val="007129F5"/>
    <w:rsid w:val="00712D14"/>
    <w:rsid w:val="00721D06"/>
    <w:rsid w:val="007225B6"/>
    <w:rsid w:val="007230AE"/>
    <w:rsid w:val="007252BA"/>
    <w:rsid w:val="00725D0E"/>
    <w:rsid w:val="00725E36"/>
    <w:rsid w:val="00726BD0"/>
    <w:rsid w:val="007323C1"/>
    <w:rsid w:val="00734916"/>
    <w:rsid w:val="007371F7"/>
    <w:rsid w:val="0074061C"/>
    <w:rsid w:val="0074173B"/>
    <w:rsid w:val="00741A7F"/>
    <w:rsid w:val="007445E5"/>
    <w:rsid w:val="00744F26"/>
    <w:rsid w:val="007457E9"/>
    <w:rsid w:val="007459EF"/>
    <w:rsid w:val="0075115A"/>
    <w:rsid w:val="007531D8"/>
    <w:rsid w:val="00756C85"/>
    <w:rsid w:val="00757081"/>
    <w:rsid w:val="00757A7C"/>
    <w:rsid w:val="00757A7E"/>
    <w:rsid w:val="007620A8"/>
    <w:rsid w:val="0076321C"/>
    <w:rsid w:val="0076665C"/>
    <w:rsid w:val="00767420"/>
    <w:rsid w:val="00770DB9"/>
    <w:rsid w:val="0077186E"/>
    <w:rsid w:val="007813FF"/>
    <w:rsid w:val="00782DE4"/>
    <w:rsid w:val="00783282"/>
    <w:rsid w:val="00784FBE"/>
    <w:rsid w:val="007913A0"/>
    <w:rsid w:val="007934CF"/>
    <w:rsid w:val="00796704"/>
    <w:rsid w:val="007975F9"/>
    <w:rsid w:val="007A5A13"/>
    <w:rsid w:val="007A5BF7"/>
    <w:rsid w:val="007A6B4B"/>
    <w:rsid w:val="007A7ADB"/>
    <w:rsid w:val="007A7CB9"/>
    <w:rsid w:val="007B038A"/>
    <w:rsid w:val="007B13E8"/>
    <w:rsid w:val="007B44C1"/>
    <w:rsid w:val="007B60E1"/>
    <w:rsid w:val="007B6753"/>
    <w:rsid w:val="007B7E9E"/>
    <w:rsid w:val="007C3E1B"/>
    <w:rsid w:val="007C40DB"/>
    <w:rsid w:val="007C58A8"/>
    <w:rsid w:val="007C5DF9"/>
    <w:rsid w:val="007C65F6"/>
    <w:rsid w:val="007D051E"/>
    <w:rsid w:val="007D1C83"/>
    <w:rsid w:val="007D31C5"/>
    <w:rsid w:val="007D396C"/>
    <w:rsid w:val="007D41C4"/>
    <w:rsid w:val="007D476E"/>
    <w:rsid w:val="007D4927"/>
    <w:rsid w:val="007D6859"/>
    <w:rsid w:val="007E2995"/>
    <w:rsid w:val="007E3A0D"/>
    <w:rsid w:val="007E6411"/>
    <w:rsid w:val="007F1F37"/>
    <w:rsid w:val="007F2AB8"/>
    <w:rsid w:val="007F2C5D"/>
    <w:rsid w:val="007F348F"/>
    <w:rsid w:val="007F39F4"/>
    <w:rsid w:val="007F5F09"/>
    <w:rsid w:val="0080163F"/>
    <w:rsid w:val="00802054"/>
    <w:rsid w:val="008021B0"/>
    <w:rsid w:val="0080305A"/>
    <w:rsid w:val="008037FA"/>
    <w:rsid w:val="00804A47"/>
    <w:rsid w:val="0080653F"/>
    <w:rsid w:val="00806726"/>
    <w:rsid w:val="00810644"/>
    <w:rsid w:val="00811021"/>
    <w:rsid w:val="00812519"/>
    <w:rsid w:val="008141D1"/>
    <w:rsid w:val="00815485"/>
    <w:rsid w:val="00816602"/>
    <w:rsid w:val="00817507"/>
    <w:rsid w:val="00817520"/>
    <w:rsid w:val="008252EB"/>
    <w:rsid w:val="008254AF"/>
    <w:rsid w:val="008265B8"/>
    <w:rsid w:val="00826B0B"/>
    <w:rsid w:val="00834C7D"/>
    <w:rsid w:val="008433E6"/>
    <w:rsid w:val="00843D3B"/>
    <w:rsid w:val="008441F7"/>
    <w:rsid w:val="008442FA"/>
    <w:rsid w:val="00844476"/>
    <w:rsid w:val="0084482D"/>
    <w:rsid w:val="008456CC"/>
    <w:rsid w:val="0084623B"/>
    <w:rsid w:val="008473BC"/>
    <w:rsid w:val="008474BA"/>
    <w:rsid w:val="00847CAC"/>
    <w:rsid w:val="008504AB"/>
    <w:rsid w:val="00850E43"/>
    <w:rsid w:val="008510A7"/>
    <w:rsid w:val="008518A6"/>
    <w:rsid w:val="00852227"/>
    <w:rsid w:val="00853CF1"/>
    <w:rsid w:val="00854F5F"/>
    <w:rsid w:val="0085513F"/>
    <w:rsid w:val="008552FD"/>
    <w:rsid w:val="00855AEA"/>
    <w:rsid w:val="00856EC7"/>
    <w:rsid w:val="008603C6"/>
    <w:rsid w:val="00860727"/>
    <w:rsid w:val="0086090C"/>
    <w:rsid w:val="00862EC3"/>
    <w:rsid w:val="00866E12"/>
    <w:rsid w:val="00867D6A"/>
    <w:rsid w:val="0087090D"/>
    <w:rsid w:val="00872E33"/>
    <w:rsid w:val="00880BBF"/>
    <w:rsid w:val="00880C91"/>
    <w:rsid w:val="008824C2"/>
    <w:rsid w:val="0088632E"/>
    <w:rsid w:val="00890BE5"/>
    <w:rsid w:val="00890D26"/>
    <w:rsid w:val="00890D61"/>
    <w:rsid w:val="00893D48"/>
    <w:rsid w:val="00894442"/>
    <w:rsid w:val="0089486D"/>
    <w:rsid w:val="00894A92"/>
    <w:rsid w:val="00897E5A"/>
    <w:rsid w:val="008A19F8"/>
    <w:rsid w:val="008A548F"/>
    <w:rsid w:val="008A555A"/>
    <w:rsid w:val="008A7C5B"/>
    <w:rsid w:val="008A7FC0"/>
    <w:rsid w:val="008B0826"/>
    <w:rsid w:val="008B09F0"/>
    <w:rsid w:val="008B2AA3"/>
    <w:rsid w:val="008B3059"/>
    <w:rsid w:val="008B3C2F"/>
    <w:rsid w:val="008B433B"/>
    <w:rsid w:val="008B43A9"/>
    <w:rsid w:val="008B51EC"/>
    <w:rsid w:val="008B57CC"/>
    <w:rsid w:val="008C1400"/>
    <w:rsid w:val="008C1D2F"/>
    <w:rsid w:val="008C415E"/>
    <w:rsid w:val="008C4601"/>
    <w:rsid w:val="008C4902"/>
    <w:rsid w:val="008C6AE7"/>
    <w:rsid w:val="008D1A56"/>
    <w:rsid w:val="008D243D"/>
    <w:rsid w:val="008D2B69"/>
    <w:rsid w:val="008D6E59"/>
    <w:rsid w:val="008E0D2F"/>
    <w:rsid w:val="008E1AAB"/>
    <w:rsid w:val="008E1CB3"/>
    <w:rsid w:val="008E1DE4"/>
    <w:rsid w:val="008E2372"/>
    <w:rsid w:val="008E31AF"/>
    <w:rsid w:val="008E3298"/>
    <w:rsid w:val="008E7C1F"/>
    <w:rsid w:val="008F186E"/>
    <w:rsid w:val="008F4639"/>
    <w:rsid w:val="008F5655"/>
    <w:rsid w:val="008F77D5"/>
    <w:rsid w:val="00901F43"/>
    <w:rsid w:val="0090432C"/>
    <w:rsid w:val="009051DA"/>
    <w:rsid w:val="00906096"/>
    <w:rsid w:val="009067BD"/>
    <w:rsid w:val="00910675"/>
    <w:rsid w:val="009108B3"/>
    <w:rsid w:val="00910F71"/>
    <w:rsid w:val="00911DF4"/>
    <w:rsid w:val="00916BEC"/>
    <w:rsid w:val="00917042"/>
    <w:rsid w:val="00917AD8"/>
    <w:rsid w:val="00926D50"/>
    <w:rsid w:val="009270C0"/>
    <w:rsid w:val="00931A9C"/>
    <w:rsid w:val="00931DEE"/>
    <w:rsid w:val="00932EEB"/>
    <w:rsid w:val="00935460"/>
    <w:rsid w:val="00937C92"/>
    <w:rsid w:val="009402CB"/>
    <w:rsid w:val="0094051B"/>
    <w:rsid w:val="00940AA3"/>
    <w:rsid w:val="00944C29"/>
    <w:rsid w:val="00944C9E"/>
    <w:rsid w:val="009459BB"/>
    <w:rsid w:val="009467F7"/>
    <w:rsid w:val="009522FA"/>
    <w:rsid w:val="0095230F"/>
    <w:rsid w:val="00953A22"/>
    <w:rsid w:val="0095456C"/>
    <w:rsid w:val="00955AF0"/>
    <w:rsid w:val="00955EE3"/>
    <w:rsid w:val="00956FD2"/>
    <w:rsid w:val="00960304"/>
    <w:rsid w:val="009623C3"/>
    <w:rsid w:val="009643CB"/>
    <w:rsid w:val="0096752D"/>
    <w:rsid w:val="00970644"/>
    <w:rsid w:val="00973DF3"/>
    <w:rsid w:val="00973E53"/>
    <w:rsid w:val="00974BA1"/>
    <w:rsid w:val="00975C6D"/>
    <w:rsid w:val="00977C1F"/>
    <w:rsid w:val="0098179A"/>
    <w:rsid w:val="00983873"/>
    <w:rsid w:val="00984CD1"/>
    <w:rsid w:val="00984F84"/>
    <w:rsid w:val="009851E1"/>
    <w:rsid w:val="009855C2"/>
    <w:rsid w:val="00985F9A"/>
    <w:rsid w:val="009870F6"/>
    <w:rsid w:val="00990933"/>
    <w:rsid w:val="00991EE8"/>
    <w:rsid w:val="00991FE7"/>
    <w:rsid w:val="00993F79"/>
    <w:rsid w:val="00994384"/>
    <w:rsid w:val="00994462"/>
    <w:rsid w:val="00995496"/>
    <w:rsid w:val="00995E2A"/>
    <w:rsid w:val="0099604B"/>
    <w:rsid w:val="009973BE"/>
    <w:rsid w:val="009A1973"/>
    <w:rsid w:val="009A23AF"/>
    <w:rsid w:val="009A3833"/>
    <w:rsid w:val="009B0A42"/>
    <w:rsid w:val="009B288A"/>
    <w:rsid w:val="009B5863"/>
    <w:rsid w:val="009B692A"/>
    <w:rsid w:val="009B6C4D"/>
    <w:rsid w:val="009B7D25"/>
    <w:rsid w:val="009C0C5A"/>
    <w:rsid w:val="009C1055"/>
    <w:rsid w:val="009C1B48"/>
    <w:rsid w:val="009C370F"/>
    <w:rsid w:val="009C5FD0"/>
    <w:rsid w:val="009C6D06"/>
    <w:rsid w:val="009D1CE6"/>
    <w:rsid w:val="009D5B73"/>
    <w:rsid w:val="009E0A38"/>
    <w:rsid w:val="009E0EDC"/>
    <w:rsid w:val="009E1098"/>
    <w:rsid w:val="009E17ED"/>
    <w:rsid w:val="009E4DC0"/>
    <w:rsid w:val="009E594A"/>
    <w:rsid w:val="009E6A86"/>
    <w:rsid w:val="009E6C13"/>
    <w:rsid w:val="009F0027"/>
    <w:rsid w:val="009F2A0B"/>
    <w:rsid w:val="009F4DA8"/>
    <w:rsid w:val="009F5323"/>
    <w:rsid w:val="009F77EC"/>
    <w:rsid w:val="00A06C02"/>
    <w:rsid w:val="00A07D29"/>
    <w:rsid w:val="00A11969"/>
    <w:rsid w:val="00A13B45"/>
    <w:rsid w:val="00A1521D"/>
    <w:rsid w:val="00A15FBD"/>
    <w:rsid w:val="00A16148"/>
    <w:rsid w:val="00A17567"/>
    <w:rsid w:val="00A178AF"/>
    <w:rsid w:val="00A22AE1"/>
    <w:rsid w:val="00A23CC4"/>
    <w:rsid w:val="00A25593"/>
    <w:rsid w:val="00A34F8E"/>
    <w:rsid w:val="00A3583E"/>
    <w:rsid w:val="00A3689A"/>
    <w:rsid w:val="00A408E2"/>
    <w:rsid w:val="00A45675"/>
    <w:rsid w:val="00A45AF8"/>
    <w:rsid w:val="00A543FA"/>
    <w:rsid w:val="00A54714"/>
    <w:rsid w:val="00A55F79"/>
    <w:rsid w:val="00A571E4"/>
    <w:rsid w:val="00A6001B"/>
    <w:rsid w:val="00A61B2B"/>
    <w:rsid w:val="00A635A4"/>
    <w:rsid w:val="00A63EE8"/>
    <w:rsid w:val="00A66A11"/>
    <w:rsid w:val="00A706AF"/>
    <w:rsid w:val="00A719EA"/>
    <w:rsid w:val="00A7235F"/>
    <w:rsid w:val="00A7285F"/>
    <w:rsid w:val="00A72AB7"/>
    <w:rsid w:val="00A75E48"/>
    <w:rsid w:val="00A7695A"/>
    <w:rsid w:val="00A77CC2"/>
    <w:rsid w:val="00A809C4"/>
    <w:rsid w:val="00A81366"/>
    <w:rsid w:val="00A82ABD"/>
    <w:rsid w:val="00A8308A"/>
    <w:rsid w:val="00A8627D"/>
    <w:rsid w:val="00A91581"/>
    <w:rsid w:val="00A91C94"/>
    <w:rsid w:val="00A9486F"/>
    <w:rsid w:val="00A9511E"/>
    <w:rsid w:val="00A95EF2"/>
    <w:rsid w:val="00A967B3"/>
    <w:rsid w:val="00AA1CF5"/>
    <w:rsid w:val="00AA3116"/>
    <w:rsid w:val="00AA4F45"/>
    <w:rsid w:val="00AA7F0E"/>
    <w:rsid w:val="00AB2079"/>
    <w:rsid w:val="00AB21A3"/>
    <w:rsid w:val="00AB2BAE"/>
    <w:rsid w:val="00AB49AC"/>
    <w:rsid w:val="00AC0642"/>
    <w:rsid w:val="00AC1214"/>
    <w:rsid w:val="00AC176A"/>
    <w:rsid w:val="00AC7A62"/>
    <w:rsid w:val="00AD09B3"/>
    <w:rsid w:val="00AD0AC0"/>
    <w:rsid w:val="00AD4583"/>
    <w:rsid w:val="00AD5501"/>
    <w:rsid w:val="00AD62C6"/>
    <w:rsid w:val="00AE01F1"/>
    <w:rsid w:val="00AE0B48"/>
    <w:rsid w:val="00AE2D32"/>
    <w:rsid w:val="00AE30AB"/>
    <w:rsid w:val="00AE32C1"/>
    <w:rsid w:val="00AE423B"/>
    <w:rsid w:val="00AE4F99"/>
    <w:rsid w:val="00AE6195"/>
    <w:rsid w:val="00AF1BA9"/>
    <w:rsid w:val="00AF2662"/>
    <w:rsid w:val="00AF2858"/>
    <w:rsid w:val="00AF409D"/>
    <w:rsid w:val="00AF43EC"/>
    <w:rsid w:val="00AF4A8F"/>
    <w:rsid w:val="00AF4AE8"/>
    <w:rsid w:val="00AF4C26"/>
    <w:rsid w:val="00AF5DA6"/>
    <w:rsid w:val="00B037C0"/>
    <w:rsid w:val="00B04805"/>
    <w:rsid w:val="00B048D7"/>
    <w:rsid w:val="00B0512E"/>
    <w:rsid w:val="00B072C1"/>
    <w:rsid w:val="00B079D2"/>
    <w:rsid w:val="00B11C26"/>
    <w:rsid w:val="00B124EB"/>
    <w:rsid w:val="00B12A22"/>
    <w:rsid w:val="00B140D6"/>
    <w:rsid w:val="00B149EB"/>
    <w:rsid w:val="00B1596C"/>
    <w:rsid w:val="00B15A9F"/>
    <w:rsid w:val="00B219CE"/>
    <w:rsid w:val="00B22F5D"/>
    <w:rsid w:val="00B25C14"/>
    <w:rsid w:val="00B26CE2"/>
    <w:rsid w:val="00B27052"/>
    <w:rsid w:val="00B27D71"/>
    <w:rsid w:val="00B303DB"/>
    <w:rsid w:val="00B3159C"/>
    <w:rsid w:val="00B318F2"/>
    <w:rsid w:val="00B31979"/>
    <w:rsid w:val="00B32F1C"/>
    <w:rsid w:val="00B34457"/>
    <w:rsid w:val="00B34F28"/>
    <w:rsid w:val="00B3699D"/>
    <w:rsid w:val="00B40F59"/>
    <w:rsid w:val="00B40F8C"/>
    <w:rsid w:val="00B41974"/>
    <w:rsid w:val="00B44656"/>
    <w:rsid w:val="00B45068"/>
    <w:rsid w:val="00B45601"/>
    <w:rsid w:val="00B45905"/>
    <w:rsid w:val="00B45983"/>
    <w:rsid w:val="00B45B7B"/>
    <w:rsid w:val="00B45BA2"/>
    <w:rsid w:val="00B45BC6"/>
    <w:rsid w:val="00B4680B"/>
    <w:rsid w:val="00B504EF"/>
    <w:rsid w:val="00B53BE8"/>
    <w:rsid w:val="00B53F0E"/>
    <w:rsid w:val="00B542DF"/>
    <w:rsid w:val="00B543F9"/>
    <w:rsid w:val="00B547A6"/>
    <w:rsid w:val="00B55886"/>
    <w:rsid w:val="00B55B0F"/>
    <w:rsid w:val="00B60468"/>
    <w:rsid w:val="00B64E21"/>
    <w:rsid w:val="00B66563"/>
    <w:rsid w:val="00B66CC5"/>
    <w:rsid w:val="00B678F5"/>
    <w:rsid w:val="00B67A69"/>
    <w:rsid w:val="00B70AD7"/>
    <w:rsid w:val="00B716D7"/>
    <w:rsid w:val="00B72DC7"/>
    <w:rsid w:val="00B74A9D"/>
    <w:rsid w:val="00B74AB0"/>
    <w:rsid w:val="00B74E8E"/>
    <w:rsid w:val="00B7576C"/>
    <w:rsid w:val="00B76A98"/>
    <w:rsid w:val="00B77AE7"/>
    <w:rsid w:val="00B83EC2"/>
    <w:rsid w:val="00B841C7"/>
    <w:rsid w:val="00B86A8F"/>
    <w:rsid w:val="00B9056D"/>
    <w:rsid w:val="00B90928"/>
    <w:rsid w:val="00B912EA"/>
    <w:rsid w:val="00B919A3"/>
    <w:rsid w:val="00B92A56"/>
    <w:rsid w:val="00B93424"/>
    <w:rsid w:val="00B94E9F"/>
    <w:rsid w:val="00B9535F"/>
    <w:rsid w:val="00B95621"/>
    <w:rsid w:val="00B95AE9"/>
    <w:rsid w:val="00B95C9D"/>
    <w:rsid w:val="00B968D0"/>
    <w:rsid w:val="00BA0304"/>
    <w:rsid w:val="00BA0C60"/>
    <w:rsid w:val="00BA14C8"/>
    <w:rsid w:val="00BA680C"/>
    <w:rsid w:val="00BA7D0C"/>
    <w:rsid w:val="00BB3DD1"/>
    <w:rsid w:val="00BB43C4"/>
    <w:rsid w:val="00BB6EAB"/>
    <w:rsid w:val="00BB7169"/>
    <w:rsid w:val="00BC09CC"/>
    <w:rsid w:val="00BC21DD"/>
    <w:rsid w:val="00BD0730"/>
    <w:rsid w:val="00BD18CA"/>
    <w:rsid w:val="00BD1C6C"/>
    <w:rsid w:val="00BD1D15"/>
    <w:rsid w:val="00BD20A0"/>
    <w:rsid w:val="00BE2F1A"/>
    <w:rsid w:val="00BE34EB"/>
    <w:rsid w:val="00BE351F"/>
    <w:rsid w:val="00BF0514"/>
    <w:rsid w:val="00BF0EA3"/>
    <w:rsid w:val="00BF1534"/>
    <w:rsid w:val="00BF1FB4"/>
    <w:rsid w:val="00BF4374"/>
    <w:rsid w:val="00C027AD"/>
    <w:rsid w:val="00C02B36"/>
    <w:rsid w:val="00C1356D"/>
    <w:rsid w:val="00C14511"/>
    <w:rsid w:val="00C15129"/>
    <w:rsid w:val="00C1635B"/>
    <w:rsid w:val="00C16E6B"/>
    <w:rsid w:val="00C17430"/>
    <w:rsid w:val="00C22714"/>
    <w:rsid w:val="00C22F7E"/>
    <w:rsid w:val="00C23074"/>
    <w:rsid w:val="00C232CE"/>
    <w:rsid w:val="00C26109"/>
    <w:rsid w:val="00C26EBD"/>
    <w:rsid w:val="00C276B5"/>
    <w:rsid w:val="00C3217E"/>
    <w:rsid w:val="00C3395D"/>
    <w:rsid w:val="00C35028"/>
    <w:rsid w:val="00C3677C"/>
    <w:rsid w:val="00C36D1D"/>
    <w:rsid w:val="00C4131E"/>
    <w:rsid w:val="00C4329F"/>
    <w:rsid w:val="00C4493F"/>
    <w:rsid w:val="00C46BA3"/>
    <w:rsid w:val="00C46D9B"/>
    <w:rsid w:val="00C47954"/>
    <w:rsid w:val="00C502CB"/>
    <w:rsid w:val="00C51622"/>
    <w:rsid w:val="00C55AFA"/>
    <w:rsid w:val="00C62AFE"/>
    <w:rsid w:val="00C64056"/>
    <w:rsid w:val="00C64251"/>
    <w:rsid w:val="00C64E33"/>
    <w:rsid w:val="00C65412"/>
    <w:rsid w:val="00C657EC"/>
    <w:rsid w:val="00C70E90"/>
    <w:rsid w:val="00C71ECA"/>
    <w:rsid w:val="00C7272D"/>
    <w:rsid w:val="00C72E74"/>
    <w:rsid w:val="00C76732"/>
    <w:rsid w:val="00C821D1"/>
    <w:rsid w:val="00C82972"/>
    <w:rsid w:val="00C82DB1"/>
    <w:rsid w:val="00C831FC"/>
    <w:rsid w:val="00C847FB"/>
    <w:rsid w:val="00C8686E"/>
    <w:rsid w:val="00C86F8C"/>
    <w:rsid w:val="00C90347"/>
    <w:rsid w:val="00C91EE5"/>
    <w:rsid w:val="00C92D0F"/>
    <w:rsid w:val="00C9581B"/>
    <w:rsid w:val="00C95F6B"/>
    <w:rsid w:val="00CA0598"/>
    <w:rsid w:val="00CA0BA6"/>
    <w:rsid w:val="00CA1D34"/>
    <w:rsid w:val="00CA1D52"/>
    <w:rsid w:val="00CA4AF8"/>
    <w:rsid w:val="00CA582A"/>
    <w:rsid w:val="00CA61C6"/>
    <w:rsid w:val="00CB165A"/>
    <w:rsid w:val="00CB1FE7"/>
    <w:rsid w:val="00CB3784"/>
    <w:rsid w:val="00CB4FCE"/>
    <w:rsid w:val="00CB54DE"/>
    <w:rsid w:val="00CB63D7"/>
    <w:rsid w:val="00CB65E1"/>
    <w:rsid w:val="00CB6B61"/>
    <w:rsid w:val="00CC29FC"/>
    <w:rsid w:val="00CC4756"/>
    <w:rsid w:val="00CC7590"/>
    <w:rsid w:val="00CD0220"/>
    <w:rsid w:val="00CD46C6"/>
    <w:rsid w:val="00CD4E51"/>
    <w:rsid w:val="00CD60B4"/>
    <w:rsid w:val="00CD60C2"/>
    <w:rsid w:val="00CD66DA"/>
    <w:rsid w:val="00CE4CB7"/>
    <w:rsid w:val="00CE602A"/>
    <w:rsid w:val="00CE78A9"/>
    <w:rsid w:val="00CF2937"/>
    <w:rsid w:val="00CF3105"/>
    <w:rsid w:val="00CF3675"/>
    <w:rsid w:val="00CF39FA"/>
    <w:rsid w:val="00CF6F4E"/>
    <w:rsid w:val="00CF77D3"/>
    <w:rsid w:val="00D012C7"/>
    <w:rsid w:val="00D04D3E"/>
    <w:rsid w:val="00D06FFD"/>
    <w:rsid w:val="00D10CC6"/>
    <w:rsid w:val="00D116CC"/>
    <w:rsid w:val="00D12311"/>
    <w:rsid w:val="00D12EB4"/>
    <w:rsid w:val="00D15F75"/>
    <w:rsid w:val="00D16FCF"/>
    <w:rsid w:val="00D1730B"/>
    <w:rsid w:val="00D20C6F"/>
    <w:rsid w:val="00D21DB2"/>
    <w:rsid w:val="00D24B05"/>
    <w:rsid w:val="00D2508D"/>
    <w:rsid w:val="00D26894"/>
    <w:rsid w:val="00D3204C"/>
    <w:rsid w:val="00D32AED"/>
    <w:rsid w:val="00D343ED"/>
    <w:rsid w:val="00D41E82"/>
    <w:rsid w:val="00D42C3D"/>
    <w:rsid w:val="00D43C40"/>
    <w:rsid w:val="00D43CC8"/>
    <w:rsid w:val="00D45743"/>
    <w:rsid w:val="00D46A6C"/>
    <w:rsid w:val="00D470B0"/>
    <w:rsid w:val="00D50789"/>
    <w:rsid w:val="00D50E1C"/>
    <w:rsid w:val="00D53129"/>
    <w:rsid w:val="00D53CC7"/>
    <w:rsid w:val="00D5495E"/>
    <w:rsid w:val="00D55EA8"/>
    <w:rsid w:val="00D62948"/>
    <w:rsid w:val="00D62DD6"/>
    <w:rsid w:val="00D63FF1"/>
    <w:rsid w:val="00D668B8"/>
    <w:rsid w:val="00D716AE"/>
    <w:rsid w:val="00D73C0F"/>
    <w:rsid w:val="00D7573F"/>
    <w:rsid w:val="00D7623F"/>
    <w:rsid w:val="00D77266"/>
    <w:rsid w:val="00D80104"/>
    <w:rsid w:val="00D8165D"/>
    <w:rsid w:val="00D85A2A"/>
    <w:rsid w:val="00D87BEB"/>
    <w:rsid w:val="00D91EF1"/>
    <w:rsid w:val="00D92636"/>
    <w:rsid w:val="00D92B44"/>
    <w:rsid w:val="00D94965"/>
    <w:rsid w:val="00D94AB6"/>
    <w:rsid w:val="00D95050"/>
    <w:rsid w:val="00D96C54"/>
    <w:rsid w:val="00D9727B"/>
    <w:rsid w:val="00DA11A0"/>
    <w:rsid w:val="00DA1328"/>
    <w:rsid w:val="00DA1624"/>
    <w:rsid w:val="00DA1909"/>
    <w:rsid w:val="00DA1F7F"/>
    <w:rsid w:val="00DA41AC"/>
    <w:rsid w:val="00DA578E"/>
    <w:rsid w:val="00DA6F2A"/>
    <w:rsid w:val="00DA73A8"/>
    <w:rsid w:val="00DA7EC5"/>
    <w:rsid w:val="00DB3CB8"/>
    <w:rsid w:val="00DB4CF7"/>
    <w:rsid w:val="00DC628F"/>
    <w:rsid w:val="00DC6586"/>
    <w:rsid w:val="00DC6BEC"/>
    <w:rsid w:val="00DC6FCF"/>
    <w:rsid w:val="00DC7058"/>
    <w:rsid w:val="00DC721B"/>
    <w:rsid w:val="00DD070A"/>
    <w:rsid w:val="00DD40A3"/>
    <w:rsid w:val="00DD500E"/>
    <w:rsid w:val="00DE05DB"/>
    <w:rsid w:val="00DE0AF6"/>
    <w:rsid w:val="00DE1915"/>
    <w:rsid w:val="00DE2945"/>
    <w:rsid w:val="00DE364F"/>
    <w:rsid w:val="00DE40DE"/>
    <w:rsid w:val="00DE4930"/>
    <w:rsid w:val="00DE60B0"/>
    <w:rsid w:val="00DE62CE"/>
    <w:rsid w:val="00DE6597"/>
    <w:rsid w:val="00DE7274"/>
    <w:rsid w:val="00DF139A"/>
    <w:rsid w:val="00DF27DD"/>
    <w:rsid w:val="00DF3211"/>
    <w:rsid w:val="00DF3A16"/>
    <w:rsid w:val="00DF47BC"/>
    <w:rsid w:val="00DF5E7F"/>
    <w:rsid w:val="00DF68C2"/>
    <w:rsid w:val="00DF6F83"/>
    <w:rsid w:val="00DF6FC1"/>
    <w:rsid w:val="00E0016E"/>
    <w:rsid w:val="00E00BDE"/>
    <w:rsid w:val="00E02F71"/>
    <w:rsid w:val="00E034F3"/>
    <w:rsid w:val="00E04298"/>
    <w:rsid w:val="00E04981"/>
    <w:rsid w:val="00E06764"/>
    <w:rsid w:val="00E07DF3"/>
    <w:rsid w:val="00E10D84"/>
    <w:rsid w:val="00E12557"/>
    <w:rsid w:val="00E1427C"/>
    <w:rsid w:val="00E1466F"/>
    <w:rsid w:val="00E1739A"/>
    <w:rsid w:val="00E213EF"/>
    <w:rsid w:val="00E21FEC"/>
    <w:rsid w:val="00E224C2"/>
    <w:rsid w:val="00E2265A"/>
    <w:rsid w:val="00E2491A"/>
    <w:rsid w:val="00E25493"/>
    <w:rsid w:val="00E255F9"/>
    <w:rsid w:val="00E27EEB"/>
    <w:rsid w:val="00E30D94"/>
    <w:rsid w:val="00E30E24"/>
    <w:rsid w:val="00E3165D"/>
    <w:rsid w:val="00E341EF"/>
    <w:rsid w:val="00E354FE"/>
    <w:rsid w:val="00E3606B"/>
    <w:rsid w:val="00E36B1A"/>
    <w:rsid w:val="00E36CFA"/>
    <w:rsid w:val="00E37E96"/>
    <w:rsid w:val="00E423CE"/>
    <w:rsid w:val="00E44162"/>
    <w:rsid w:val="00E442F1"/>
    <w:rsid w:val="00E463EE"/>
    <w:rsid w:val="00E46F3F"/>
    <w:rsid w:val="00E475E4"/>
    <w:rsid w:val="00E5134C"/>
    <w:rsid w:val="00E52775"/>
    <w:rsid w:val="00E527C7"/>
    <w:rsid w:val="00E551F3"/>
    <w:rsid w:val="00E5688F"/>
    <w:rsid w:val="00E57FD9"/>
    <w:rsid w:val="00E6078F"/>
    <w:rsid w:val="00E60A84"/>
    <w:rsid w:val="00E60AD8"/>
    <w:rsid w:val="00E60FB6"/>
    <w:rsid w:val="00E61B67"/>
    <w:rsid w:val="00E643FB"/>
    <w:rsid w:val="00E65B2D"/>
    <w:rsid w:val="00E65F9D"/>
    <w:rsid w:val="00E664F4"/>
    <w:rsid w:val="00E668DA"/>
    <w:rsid w:val="00E67992"/>
    <w:rsid w:val="00E729A8"/>
    <w:rsid w:val="00E73008"/>
    <w:rsid w:val="00E73EB5"/>
    <w:rsid w:val="00E7406A"/>
    <w:rsid w:val="00E7407D"/>
    <w:rsid w:val="00E74ACC"/>
    <w:rsid w:val="00E7546A"/>
    <w:rsid w:val="00E7637D"/>
    <w:rsid w:val="00E77208"/>
    <w:rsid w:val="00E774E8"/>
    <w:rsid w:val="00E82524"/>
    <w:rsid w:val="00E8545B"/>
    <w:rsid w:val="00E86C55"/>
    <w:rsid w:val="00E86E78"/>
    <w:rsid w:val="00E929A8"/>
    <w:rsid w:val="00E92E4A"/>
    <w:rsid w:val="00E9490A"/>
    <w:rsid w:val="00E96203"/>
    <w:rsid w:val="00E96BE2"/>
    <w:rsid w:val="00EA0A45"/>
    <w:rsid w:val="00EA15BA"/>
    <w:rsid w:val="00EA186E"/>
    <w:rsid w:val="00EA1E38"/>
    <w:rsid w:val="00EA2703"/>
    <w:rsid w:val="00EA5DA4"/>
    <w:rsid w:val="00EA6A7B"/>
    <w:rsid w:val="00EA7C0C"/>
    <w:rsid w:val="00EB12BC"/>
    <w:rsid w:val="00EB2BCE"/>
    <w:rsid w:val="00EB3261"/>
    <w:rsid w:val="00EB3964"/>
    <w:rsid w:val="00EB4633"/>
    <w:rsid w:val="00EB5E2A"/>
    <w:rsid w:val="00EB60C4"/>
    <w:rsid w:val="00EB655D"/>
    <w:rsid w:val="00EC25B5"/>
    <w:rsid w:val="00EC43CC"/>
    <w:rsid w:val="00EC4A7E"/>
    <w:rsid w:val="00EC6AB7"/>
    <w:rsid w:val="00ED0490"/>
    <w:rsid w:val="00ED66A3"/>
    <w:rsid w:val="00EE23A2"/>
    <w:rsid w:val="00EF0BCA"/>
    <w:rsid w:val="00EF2177"/>
    <w:rsid w:val="00EF2377"/>
    <w:rsid w:val="00EF2AE3"/>
    <w:rsid w:val="00EF44EA"/>
    <w:rsid w:val="00EF51E3"/>
    <w:rsid w:val="00F00594"/>
    <w:rsid w:val="00F00C35"/>
    <w:rsid w:val="00F01292"/>
    <w:rsid w:val="00F054DF"/>
    <w:rsid w:val="00F05AC6"/>
    <w:rsid w:val="00F0701E"/>
    <w:rsid w:val="00F07E0E"/>
    <w:rsid w:val="00F10453"/>
    <w:rsid w:val="00F11749"/>
    <w:rsid w:val="00F1208D"/>
    <w:rsid w:val="00F12F09"/>
    <w:rsid w:val="00F13CF7"/>
    <w:rsid w:val="00F141ED"/>
    <w:rsid w:val="00F1598F"/>
    <w:rsid w:val="00F17303"/>
    <w:rsid w:val="00F22E47"/>
    <w:rsid w:val="00F25E5D"/>
    <w:rsid w:val="00F30B61"/>
    <w:rsid w:val="00F30C73"/>
    <w:rsid w:val="00F30E64"/>
    <w:rsid w:val="00F30F9E"/>
    <w:rsid w:val="00F317A8"/>
    <w:rsid w:val="00F32A13"/>
    <w:rsid w:val="00F33244"/>
    <w:rsid w:val="00F3682D"/>
    <w:rsid w:val="00F37241"/>
    <w:rsid w:val="00F37AFC"/>
    <w:rsid w:val="00F40B18"/>
    <w:rsid w:val="00F410AE"/>
    <w:rsid w:val="00F41239"/>
    <w:rsid w:val="00F422A2"/>
    <w:rsid w:val="00F42462"/>
    <w:rsid w:val="00F424EC"/>
    <w:rsid w:val="00F433AD"/>
    <w:rsid w:val="00F4492E"/>
    <w:rsid w:val="00F44995"/>
    <w:rsid w:val="00F44D3B"/>
    <w:rsid w:val="00F468FD"/>
    <w:rsid w:val="00F479C9"/>
    <w:rsid w:val="00F50070"/>
    <w:rsid w:val="00F514AF"/>
    <w:rsid w:val="00F51FE9"/>
    <w:rsid w:val="00F5320C"/>
    <w:rsid w:val="00F53298"/>
    <w:rsid w:val="00F55D3D"/>
    <w:rsid w:val="00F62689"/>
    <w:rsid w:val="00F67817"/>
    <w:rsid w:val="00F6784F"/>
    <w:rsid w:val="00F72A05"/>
    <w:rsid w:val="00F74196"/>
    <w:rsid w:val="00F768C9"/>
    <w:rsid w:val="00F847EA"/>
    <w:rsid w:val="00F912B0"/>
    <w:rsid w:val="00F91BFC"/>
    <w:rsid w:val="00F93A6E"/>
    <w:rsid w:val="00F94F1A"/>
    <w:rsid w:val="00F96CAC"/>
    <w:rsid w:val="00FA06AA"/>
    <w:rsid w:val="00FA21C2"/>
    <w:rsid w:val="00FA276F"/>
    <w:rsid w:val="00FA4CF4"/>
    <w:rsid w:val="00FA4E65"/>
    <w:rsid w:val="00FA4F1E"/>
    <w:rsid w:val="00FB0880"/>
    <w:rsid w:val="00FB0A5A"/>
    <w:rsid w:val="00FB2379"/>
    <w:rsid w:val="00FB2FEF"/>
    <w:rsid w:val="00FB4B9E"/>
    <w:rsid w:val="00FB6E54"/>
    <w:rsid w:val="00FC11F8"/>
    <w:rsid w:val="00FC12BD"/>
    <w:rsid w:val="00FC12CB"/>
    <w:rsid w:val="00FC1548"/>
    <w:rsid w:val="00FC1AAA"/>
    <w:rsid w:val="00FC2513"/>
    <w:rsid w:val="00FC4093"/>
    <w:rsid w:val="00FC4632"/>
    <w:rsid w:val="00FC48BB"/>
    <w:rsid w:val="00FC4B6F"/>
    <w:rsid w:val="00FC57FA"/>
    <w:rsid w:val="00FC6A9B"/>
    <w:rsid w:val="00FC6E3D"/>
    <w:rsid w:val="00FC7EE8"/>
    <w:rsid w:val="00FD00D1"/>
    <w:rsid w:val="00FD1E99"/>
    <w:rsid w:val="00FD3F0B"/>
    <w:rsid w:val="00FD7EB2"/>
    <w:rsid w:val="00FE1AB5"/>
    <w:rsid w:val="00FE7E6B"/>
    <w:rsid w:val="00FF0657"/>
    <w:rsid w:val="00FF0B84"/>
    <w:rsid w:val="00FF1824"/>
    <w:rsid w:val="00FF1930"/>
    <w:rsid w:val="00FF1B6D"/>
    <w:rsid w:val="00FF4666"/>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5BBDE9"/>
  <w15:docId w15:val="{5AB7B0C9-C9A0-4F71-A15F-0EE3B338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CF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A45D3"/>
    <w:pPr>
      <w:spacing w:before="120" w:after="120"/>
      <w:jc w:val="both"/>
      <w:outlineLvl w:val="2"/>
    </w:pPr>
    <w:rPr>
      <w:rFonts w:eastAsiaTheme="minorHAnsi" w:cstheme="minorBidi"/>
      <w:b/>
      <w:lang w:eastAsia="en-US"/>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uiPriority w:val="34"/>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 w:type="character" w:styleId="Strong">
    <w:name w:val="Strong"/>
    <w:basedOn w:val="DefaultParagraphFont"/>
    <w:uiPriority w:val="22"/>
    <w:qFormat/>
    <w:rsid w:val="008B3059"/>
    <w:rPr>
      <w:b/>
      <w:bCs/>
    </w:rPr>
  </w:style>
  <w:style w:type="paragraph" w:styleId="NormalWeb">
    <w:name w:val="Normal (Web)"/>
    <w:basedOn w:val="Normal"/>
    <w:uiPriority w:val="99"/>
    <w:unhideWhenUsed/>
    <w:rsid w:val="003E6421"/>
    <w:pPr>
      <w:spacing w:before="180" w:after="100" w:afterAutospacing="1"/>
    </w:pPr>
    <w:rPr>
      <w:rFonts w:eastAsiaTheme="minorHAnsi"/>
    </w:rPr>
  </w:style>
  <w:style w:type="character" w:customStyle="1" w:styleId="charsectno">
    <w:name w:val="charsectno"/>
    <w:basedOn w:val="DefaultParagraphFont"/>
    <w:rsid w:val="00DE62CE"/>
  </w:style>
  <w:style w:type="paragraph" w:customStyle="1" w:styleId="dot1">
    <w:name w:val="dot1"/>
    <w:basedOn w:val="Normal"/>
    <w:rsid w:val="00FE7E6B"/>
    <w:pPr>
      <w:spacing w:before="100" w:beforeAutospacing="1" w:after="100" w:afterAutospacing="1"/>
    </w:pPr>
  </w:style>
  <w:style w:type="character" w:customStyle="1" w:styleId="bold">
    <w:name w:val="bold"/>
    <w:basedOn w:val="DefaultParagraphFont"/>
    <w:rsid w:val="00D77266"/>
  </w:style>
  <w:style w:type="character" w:styleId="Hyperlink">
    <w:name w:val="Hyperlink"/>
    <w:basedOn w:val="DefaultParagraphFont"/>
    <w:uiPriority w:val="99"/>
    <w:rsid w:val="004A45D3"/>
    <w:rPr>
      <w:color w:val="0000FF" w:themeColor="hyperlink"/>
      <w:u w:val="single"/>
    </w:rPr>
  </w:style>
  <w:style w:type="character" w:customStyle="1" w:styleId="Heading3Char">
    <w:name w:val="Heading 3 Char"/>
    <w:basedOn w:val="DefaultParagraphFont"/>
    <w:link w:val="Heading3"/>
    <w:uiPriority w:val="9"/>
    <w:rsid w:val="004A45D3"/>
    <w:rPr>
      <w:rFonts w:eastAsiaTheme="minorHAnsi" w:cstheme="minorBidi"/>
      <w:b/>
      <w:sz w:val="24"/>
      <w:szCs w:val="24"/>
      <w:lang w:eastAsia="en-US"/>
    </w:rPr>
  </w:style>
  <w:style w:type="paragraph" w:customStyle="1" w:styleId="NumberLevel1">
    <w:name w:val="Number Level 1"/>
    <w:aliases w:val="N1"/>
    <w:basedOn w:val="Normal"/>
    <w:uiPriority w:val="1"/>
    <w:qFormat/>
    <w:rsid w:val="00E7406A"/>
    <w:pPr>
      <w:numPr>
        <w:numId w:val="19"/>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E7406A"/>
    <w:pPr>
      <w:numPr>
        <w:ilvl w:val="1"/>
        <w:numId w:val="19"/>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E7406A"/>
    <w:pPr>
      <w:numPr>
        <w:ilvl w:val="2"/>
        <w:numId w:val="19"/>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E7406A"/>
    <w:pPr>
      <w:numPr>
        <w:ilvl w:val="3"/>
        <w:numId w:val="19"/>
      </w:numPr>
      <w:spacing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E7406A"/>
    <w:pPr>
      <w:numPr>
        <w:ilvl w:val="4"/>
        <w:numId w:val="19"/>
      </w:numPr>
      <w:spacing w:after="140" w:line="280" w:lineRule="atLeast"/>
    </w:pPr>
    <w:rPr>
      <w:rFonts w:ascii="Arial" w:hAnsi="Arial" w:cs="Arial"/>
      <w:sz w:val="22"/>
      <w:szCs w:val="22"/>
    </w:rPr>
  </w:style>
  <w:style w:type="paragraph" w:customStyle="1" w:styleId="NumberLevel6">
    <w:name w:val="Number Level 6"/>
    <w:basedOn w:val="NumberLevel5"/>
    <w:uiPriority w:val="1"/>
    <w:semiHidden/>
    <w:rsid w:val="00E7406A"/>
    <w:pPr>
      <w:numPr>
        <w:ilvl w:val="5"/>
      </w:numPr>
    </w:pPr>
  </w:style>
  <w:style w:type="paragraph" w:customStyle="1" w:styleId="NumberLevel7">
    <w:name w:val="Number Level 7"/>
    <w:basedOn w:val="NumberLevel6"/>
    <w:uiPriority w:val="1"/>
    <w:semiHidden/>
    <w:rsid w:val="00E7406A"/>
    <w:pPr>
      <w:numPr>
        <w:ilvl w:val="6"/>
      </w:numPr>
    </w:pPr>
  </w:style>
  <w:style w:type="paragraph" w:customStyle="1" w:styleId="NumberLevel8">
    <w:name w:val="Number Level 8"/>
    <w:basedOn w:val="NumberLevel7"/>
    <w:uiPriority w:val="1"/>
    <w:semiHidden/>
    <w:rsid w:val="00E7406A"/>
    <w:pPr>
      <w:numPr>
        <w:ilvl w:val="7"/>
      </w:numPr>
    </w:pPr>
  </w:style>
  <w:style w:type="paragraph" w:customStyle="1" w:styleId="NumberLevel9">
    <w:name w:val="Number Level 9"/>
    <w:basedOn w:val="NumberLevel8"/>
    <w:uiPriority w:val="1"/>
    <w:semiHidden/>
    <w:rsid w:val="00E7406A"/>
    <w:pPr>
      <w:numPr>
        <w:ilvl w:val="8"/>
      </w:numPr>
    </w:pPr>
  </w:style>
  <w:style w:type="paragraph" w:customStyle="1" w:styleId="DashEm">
    <w:name w:val="Dash: Em"/>
    <w:basedOn w:val="Normal"/>
    <w:uiPriority w:val="3"/>
    <w:semiHidden/>
    <w:rsid w:val="00E7406A"/>
    <w:pPr>
      <w:numPr>
        <w:ilvl w:val="1"/>
        <w:numId w:val="20"/>
      </w:numPr>
      <w:spacing w:after="140" w:line="280" w:lineRule="atLeast"/>
    </w:pPr>
    <w:rPr>
      <w:rFonts w:ascii="Arial" w:hAnsi="Arial" w:cs="Arial"/>
      <w:sz w:val="22"/>
      <w:szCs w:val="22"/>
    </w:rPr>
  </w:style>
  <w:style w:type="paragraph" w:customStyle="1" w:styleId="DashEm1">
    <w:name w:val="Dash: Em 1"/>
    <w:aliases w:val="-EM"/>
    <w:basedOn w:val="Normal"/>
    <w:uiPriority w:val="3"/>
    <w:semiHidden/>
    <w:rsid w:val="00E7406A"/>
    <w:pPr>
      <w:numPr>
        <w:numId w:val="20"/>
      </w:numPr>
      <w:spacing w:after="140" w:line="280" w:lineRule="atLeast"/>
    </w:pPr>
    <w:rPr>
      <w:rFonts w:ascii="Arial" w:hAnsi="Arial" w:cs="Arial"/>
      <w:sz w:val="22"/>
      <w:szCs w:val="22"/>
    </w:rPr>
  </w:style>
  <w:style w:type="character" w:customStyle="1" w:styleId="DashEn1Char">
    <w:name w:val="Dash: En 1 Char"/>
    <w:aliases w:val="-EN Char"/>
    <w:basedOn w:val="DefaultParagraphFont"/>
    <w:link w:val="DashEn1"/>
    <w:uiPriority w:val="3"/>
    <w:locked/>
    <w:rsid w:val="00E7406A"/>
    <w:rPr>
      <w:rFonts w:ascii="Arial" w:hAnsi="Arial" w:cs="Arial"/>
    </w:rPr>
  </w:style>
  <w:style w:type="paragraph" w:customStyle="1" w:styleId="DashEn1">
    <w:name w:val="Dash: En 1"/>
    <w:aliases w:val="-EN"/>
    <w:basedOn w:val="DashEm"/>
    <w:link w:val="DashEn1Char"/>
    <w:uiPriority w:val="3"/>
    <w:qFormat/>
    <w:rsid w:val="00E7406A"/>
    <w:pPr>
      <w:numPr>
        <w:ilvl w:val="2"/>
      </w:numPr>
    </w:pPr>
    <w:rPr>
      <w:sz w:val="20"/>
      <w:szCs w:val="20"/>
    </w:rPr>
  </w:style>
  <w:style w:type="paragraph" w:customStyle="1" w:styleId="DashEn2">
    <w:name w:val="Dash: En 2"/>
    <w:basedOn w:val="DashEn1"/>
    <w:uiPriority w:val="3"/>
    <w:semiHidden/>
    <w:rsid w:val="00E7406A"/>
    <w:pPr>
      <w:numPr>
        <w:ilvl w:val="3"/>
      </w:numPr>
      <w:tabs>
        <w:tab w:val="clear" w:pos="1276"/>
        <w:tab w:val="num" w:pos="360"/>
        <w:tab w:val="num" w:pos="2880"/>
      </w:tabs>
      <w:ind w:left="2880" w:hanging="360"/>
    </w:pPr>
  </w:style>
  <w:style w:type="paragraph" w:customStyle="1" w:styleId="DashEn3">
    <w:name w:val="Dash: En 3"/>
    <w:basedOn w:val="DashEn2"/>
    <w:uiPriority w:val="3"/>
    <w:semiHidden/>
    <w:rsid w:val="00E7406A"/>
    <w:pPr>
      <w:numPr>
        <w:ilvl w:val="4"/>
      </w:numPr>
      <w:tabs>
        <w:tab w:val="clear" w:pos="1701"/>
        <w:tab w:val="num" w:pos="360"/>
        <w:tab w:val="num" w:pos="3600"/>
      </w:tabs>
      <w:ind w:left="3600" w:hanging="360"/>
    </w:pPr>
  </w:style>
  <w:style w:type="paragraph" w:customStyle="1" w:styleId="DashEn4">
    <w:name w:val="Dash: En 4"/>
    <w:basedOn w:val="DashEn3"/>
    <w:uiPriority w:val="3"/>
    <w:semiHidden/>
    <w:rsid w:val="00E7406A"/>
    <w:pPr>
      <w:numPr>
        <w:ilvl w:val="5"/>
      </w:numPr>
      <w:tabs>
        <w:tab w:val="clear" w:pos="2126"/>
        <w:tab w:val="num" w:pos="360"/>
        <w:tab w:val="num" w:pos="4320"/>
      </w:tabs>
      <w:ind w:left="4320" w:hanging="360"/>
    </w:pPr>
  </w:style>
  <w:style w:type="paragraph" w:customStyle="1" w:styleId="DashEn5">
    <w:name w:val="Dash: En 5"/>
    <w:basedOn w:val="DashEn4"/>
    <w:uiPriority w:val="3"/>
    <w:semiHidden/>
    <w:rsid w:val="00E7406A"/>
    <w:pPr>
      <w:numPr>
        <w:ilvl w:val="6"/>
      </w:numPr>
      <w:tabs>
        <w:tab w:val="clear" w:pos="2551"/>
        <w:tab w:val="num" w:pos="360"/>
        <w:tab w:val="num" w:pos="5040"/>
      </w:tabs>
      <w:ind w:left="5040" w:hanging="360"/>
    </w:pPr>
  </w:style>
  <w:style w:type="paragraph" w:customStyle="1" w:styleId="DashEn6">
    <w:name w:val="Dash: En 6"/>
    <w:basedOn w:val="DashEn5"/>
    <w:uiPriority w:val="3"/>
    <w:semiHidden/>
    <w:rsid w:val="00E7406A"/>
    <w:pPr>
      <w:numPr>
        <w:ilvl w:val="7"/>
      </w:numPr>
      <w:tabs>
        <w:tab w:val="clear" w:pos="2976"/>
        <w:tab w:val="num" w:pos="360"/>
        <w:tab w:val="num" w:pos="2880"/>
        <w:tab w:val="num" w:pos="5760"/>
      </w:tabs>
      <w:ind w:left="5760" w:hanging="360"/>
    </w:pPr>
  </w:style>
  <w:style w:type="paragraph" w:customStyle="1" w:styleId="DashEn7">
    <w:name w:val="Dash: En 7"/>
    <w:basedOn w:val="DashEn6"/>
    <w:uiPriority w:val="3"/>
    <w:semiHidden/>
    <w:rsid w:val="00E7406A"/>
    <w:pPr>
      <w:numPr>
        <w:ilvl w:val="8"/>
      </w:numPr>
      <w:tabs>
        <w:tab w:val="clear" w:pos="3402"/>
        <w:tab w:val="num" w:pos="360"/>
        <w:tab w:val="num" w:pos="2880"/>
        <w:tab w:val="num" w:pos="6480"/>
      </w:tabs>
      <w:ind w:left="6480" w:hanging="360"/>
    </w:pPr>
  </w:style>
  <w:style w:type="paragraph" w:styleId="Revision">
    <w:name w:val="Revision"/>
    <w:hidden/>
    <w:uiPriority w:val="99"/>
    <w:semiHidden/>
    <w:rsid w:val="0026285F"/>
    <w:rPr>
      <w:sz w:val="24"/>
      <w:szCs w:val="24"/>
    </w:rPr>
  </w:style>
  <w:style w:type="paragraph" w:styleId="NoSpacing">
    <w:name w:val="No Spacing"/>
    <w:uiPriority w:val="1"/>
    <w:qFormat/>
    <w:rsid w:val="00DA1624"/>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501626"/>
    <w:rPr>
      <w:color w:val="800080" w:themeColor="followedHyperlink"/>
      <w:u w:val="single"/>
    </w:rPr>
  </w:style>
  <w:style w:type="paragraph" w:customStyle="1" w:styleId="BodyNum">
    <w:name w:val="BodyNum"/>
    <w:aliases w:val="b1"/>
    <w:basedOn w:val="Normal"/>
    <w:rsid w:val="008141D1"/>
    <w:pPr>
      <w:numPr>
        <w:numId w:val="46"/>
      </w:numPr>
      <w:spacing w:before="240"/>
    </w:pPr>
    <w:rPr>
      <w:szCs w:val="20"/>
    </w:rPr>
  </w:style>
  <w:style w:type="paragraph" w:customStyle="1" w:styleId="BodyPara">
    <w:name w:val="BodyPara"/>
    <w:aliases w:val="ba"/>
    <w:basedOn w:val="Normal"/>
    <w:rsid w:val="008141D1"/>
    <w:pPr>
      <w:numPr>
        <w:ilvl w:val="1"/>
        <w:numId w:val="46"/>
      </w:numPr>
      <w:spacing w:before="240"/>
    </w:pPr>
    <w:rPr>
      <w:szCs w:val="20"/>
    </w:rPr>
  </w:style>
  <w:style w:type="paragraph" w:customStyle="1" w:styleId="BodyParaBullet">
    <w:name w:val="BodyParaBullet"/>
    <w:aliases w:val="bpb"/>
    <w:basedOn w:val="Normal"/>
    <w:rsid w:val="008141D1"/>
    <w:pPr>
      <w:numPr>
        <w:ilvl w:val="2"/>
        <w:numId w:val="46"/>
      </w:numPr>
      <w:tabs>
        <w:tab w:val="left" w:pos="2160"/>
      </w:tabs>
      <w:spacing w:before="240"/>
    </w:pPr>
    <w:rPr>
      <w:szCs w:val="20"/>
    </w:rPr>
  </w:style>
  <w:style w:type="paragraph" w:customStyle="1" w:styleId="BodySubPara">
    <w:name w:val="BodySubPara"/>
    <w:aliases w:val="bi"/>
    <w:basedOn w:val="Normal"/>
    <w:rsid w:val="008141D1"/>
    <w:pPr>
      <w:numPr>
        <w:ilvl w:val="3"/>
        <w:numId w:val="46"/>
      </w:numPr>
      <w:spacing w:before="240"/>
    </w:pPr>
    <w:rPr>
      <w:szCs w:val="20"/>
    </w:rPr>
  </w:style>
  <w:style w:type="numbering" w:customStyle="1" w:styleId="OPCBodyList">
    <w:name w:val="OPCBodyList"/>
    <w:rsid w:val="008141D1"/>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4591">
      <w:bodyDiv w:val="1"/>
      <w:marLeft w:val="0"/>
      <w:marRight w:val="0"/>
      <w:marTop w:val="0"/>
      <w:marBottom w:val="0"/>
      <w:divBdr>
        <w:top w:val="none" w:sz="0" w:space="0" w:color="auto"/>
        <w:left w:val="none" w:sz="0" w:space="0" w:color="auto"/>
        <w:bottom w:val="none" w:sz="0" w:space="0" w:color="auto"/>
        <w:right w:val="none" w:sz="0" w:space="0" w:color="auto"/>
      </w:divBdr>
    </w:div>
    <w:div w:id="27798176">
      <w:bodyDiv w:val="1"/>
      <w:marLeft w:val="0"/>
      <w:marRight w:val="0"/>
      <w:marTop w:val="0"/>
      <w:marBottom w:val="0"/>
      <w:divBdr>
        <w:top w:val="none" w:sz="0" w:space="0" w:color="auto"/>
        <w:left w:val="none" w:sz="0" w:space="0" w:color="auto"/>
        <w:bottom w:val="none" w:sz="0" w:space="0" w:color="auto"/>
        <w:right w:val="none" w:sz="0" w:space="0" w:color="auto"/>
      </w:divBdr>
      <w:divsChild>
        <w:div w:id="1896428748">
          <w:marLeft w:val="0"/>
          <w:marRight w:val="0"/>
          <w:marTop w:val="0"/>
          <w:marBottom w:val="0"/>
          <w:divBdr>
            <w:top w:val="none" w:sz="0" w:space="0" w:color="auto"/>
            <w:left w:val="none" w:sz="0" w:space="0" w:color="auto"/>
            <w:bottom w:val="none" w:sz="0" w:space="0" w:color="auto"/>
            <w:right w:val="none" w:sz="0" w:space="0" w:color="auto"/>
          </w:divBdr>
          <w:divsChild>
            <w:div w:id="1532718007">
              <w:marLeft w:val="0"/>
              <w:marRight w:val="0"/>
              <w:marTop w:val="0"/>
              <w:marBottom w:val="0"/>
              <w:divBdr>
                <w:top w:val="none" w:sz="0" w:space="0" w:color="auto"/>
                <w:left w:val="none" w:sz="0" w:space="0" w:color="auto"/>
                <w:bottom w:val="none" w:sz="0" w:space="0" w:color="auto"/>
                <w:right w:val="none" w:sz="0" w:space="0" w:color="auto"/>
              </w:divBdr>
              <w:divsChild>
                <w:div w:id="1729835217">
                  <w:marLeft w:val="0"/>
                  <w:marRight w:val="0"/>
                  <w:marTop w:val="100"/>
                  <w:marBottom w:val="100"/>
                  <w:divBdr>
                    <w:top w:val="none" w:sz="0" w:space="0" w:color="auto"/>
                    <w:left w:val="none" w:sz="0" w:space="0" w:color="auto"/>
                    <w:bottom w:val="none" w:sz="0" w:space="0" w:color="auto"/>
                    <w:right w:val="none" w:sz="0" w:space="0" w:color="auto"/>
                  </w:divBdr>
                  <w:divsChild>
                    <w:div w:id="978145835">
                      <w:marLeft w:val="0"/>
                      <w:marRight w:val="0"/>
                      <w:marTop w:val="0"/>
                      <w:marBottom w:val="0"/>
                      <w:divBdr>
                        <w:top w:val="none" w:sz="0" w:space="0" w:color="auto"/>
                        <w:left w:val="none" w:sz="0" w:space="0" w:color="auto"/>
                        <w:bottom w:val="none" w:sz="0" w:space="0" w:color="auto"/>
                        <w:right w:val="none" w:sz="0" w:space="0" w:color="auto"/>
                      </w:divBdr>
                      <w:divsChild>
                        <w:div w:id="2000965616">
                          <w:marLeft w:val="0"/>
                          <w:marRight w:val="0"/>
                          <w:marTop w:val="0"/>
                          <w:marBottom w:val="0"/>
                          <w:divBdr>
                            <w:top w:val="none" w:sz="0" w:space="0" w:color="auto"/>
                            <w:left w:val="none" w:sz="0" w:space="0" w:color="auto"/>
                            <w:bottom w:val="none" w:sz="0" w:space="0" w:color="auto"/>
                            <w:right w:val="none" w:sz="0" w:space="0" w:color="auto"/>
                          </w:divBdr>
                          <w:divsChild>
                            <w:div w:id="1522278836">
                              <w:marLeft w:val="0"/>
                              <w:marRight w:val="0"/>
                              <w:marTop w:val="0"/>
                              <w:marBottom w:val="0"/>
                              <w:divBdr>
                                <w:top w:val="none" w:sz="0" w:space="0" w:color="auto"/>
                                <w:left w:val="none" w:sz="0" w:space="0" w:color="auto"/>
                                <w:bottom w:val="none" w:sz="0" w:space="0" w:color="auto"/>
                                <w:right w:val="none" w:sz="0" w:space="0" w:color="auto"/>
                              </w:divBdr>
                              <w:divsChild>
                                <w:div w:id="181671890">
                                  <w:marLeft w:val="0"/>
                                  <w:marRight w:val="0"/>
                                  <w:marTop w:val="0"/>
                                  <w:marBottom w:val="0"/>
                                  <w:divBdr>
                                    <w:top w:val="none" w:sz="0" w:space="0" w:color="auto"/>
                                    <w:left w:val="none" w:sz="0" w:space="0" w:color="auto"/>
                                    <w:bottom w:val="none" w:sz="0" w:space="0" w:color="auto"/>
                                    <w:right w:val="none" w:sz="0" w:space="0" w:color="auto"/>
                                  </w:divBdr>
                                  <w:divsChild>
                                    <w:div w:id="1512522900">
                                      <w:marLeft w:val="0"/>
                                      <w:marRight w:val="0"/>
                                      <w:marTop w:val="0"/>
                                      <w:marBottom w:val="0"/>
                                      <w:divBdr>
                                        <w:top w:val="none" w:sz="0" w:space="0" w:color="auto"/>
                                        <w:left w:val="none" w:sz="0" w:space="0" w:color="auto"/>
                                        <w:bottom w:val="none" w:sz="0" w:space="0" w:color="auto"/>
                                        <w:right w:val="none" w:sz="0" w:space="0" w:color="auto"/>
                                      </w:divBdr>
                                      <w:divsChild>
                                        <w:div w:id="501699445">
                                          <w:marLeft w:val="0"/>
                                          <w:marRight w:val="0"/>
                                          <w:marTop w:val="0"/>
                                          <w:marBottom w:val="360"/>
                                          <w:divBdr>
                                            <w:top w:val="none" w:sz="0" w:space="0" w:color="auto"/>
                                            <w:left w:val="none" w:sz="0" w:space="0" w:color="auto"/>
                                            <w:bottom w:val="none" w:sz="0" w:space="0" w:color="auto"/>
                                            <w:right w:val="none" w:sz="0" w:space="0" w:color="auto"/>
                                          </w:divBdr>
                                          <w:divsChild>
                                            <w:div w:id="10225578">
                                              <w:marLeft w:val="0"/>
                                              <w:marRight w:val="0"/>
                                              <w:marTop w:val="0"/>
                                              <w:marBottom w:val="0"/>
                                              <w:divBdr>
                                                <w:top w:val="none" w:sz="0" w:space="0" w:color="auto"/>
                                                <w:left w:val="none" w:sz="0" w:space="0" w:color="auto"/>
                                                <w:bottom w:val="none" w:sz="0" w:space="0" w:color="auto"/>
                                                <w:right w:val="none" w:sz="0" w:space="0" w:color="auto"/>
                                              </w:divBdr>
                                              <w:divsChild>
                                                <w:div w:id="1732077021">
                                                  <w:marLeft w:val="0"/>
                                                  <w:marRight w:val="0"/>
                                                  <w:marTop w:val="0"/>
                                                  <w:marBottom w:val="0"/>
                                                  <w:divBdr>
                                                    <w:top w:val="none" w:sz="0" w:space="0" w:color="auto"/>
                                                    <w:left w:val="none" w:sz="0" w:space="0" w:color="auto"/>
                                                    <w:bottom w:val="none" w:sz="0" w:space="0" w:color="auto"/>
                                                    <w:right w:val="none" w:sz="0" w:space="0" w:color="auto"/>
                                                  </w:divBdr>
                                                  <w:divsChild>
                                                    <w:div w:id="2123910839">
                                                      <w:marLeft w:val="5370"/>
                                                      <w:marRight w:val="0"/>
                                                      <w:marTop w:val="120"/>
                                                      <w:marBottom w:val="0"/>
                                                      <w:divBdr>
                                                        <w:top w:val="none" w:sz="0" w:space="0" w:color="auto"/>
                                                        <w:left w:val="none" w:sz="0" w:space="0" w:color="auto"/>
                                                        <w:bottom w:val="none" w:sz="0" w:space="0" w:color="auto"/>
                                                        <w:right w:val="none" w:sz="0" w:space="0" w:color="auto"/>
                                                      </w:divBdr>
                                                      <w:divsChild>
                                                        <w:div w:id="18323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06719">
      <w:bodyDiv w:val="1"/>
      <w:marLeft w:val="0"/>
      <w:marRight w:val="0"/>
      <w:marTop w:val="0"/>
      <w:marBottom w:val="0"/>
      <w:divBdr>
        <w:top w:val="none" w:sz="0" w:space="0" w:color="auto"/>
        <w:left w:val="none" w:sz="0" w:space="0" w:color="auto"/>
        <w:bottom w:val="none" w:sz="0" w:space="0" w:color="auto"/>
        <w:right w:val="none" w:sz="0" w:space="0" w:color="auto"/>
      </w:divBdr>
    </w:div>
    <w:div w:id="80220036">
      <w:bodyDiv w:val="1"/>
      <w:marLeft w:val="0"/>
      <w:marRight w:val="0"/>
      <w:marTop w:val="0"/>
      <w:marBottom w:val="0"/>
      <w:divBdr>
        <w:top w:val="none" w:sz="0" w:space="0" w:color="auto"/>
        <w:left w:val="none" w:sz="0" w:space="0" w:color="auto"/>
        <w:bottom w:val="none" w:sz="0" w:space="0" w:color="auto"/>
        <w:right w:val="none" w:sz="0" w:space="0" w:color="auto"/>
      </w:divBdr>
    </w:div>
    <w:div w:id="205798097">
      <w:bodyDiv w:val="1"/>
      <w:marLeft w:val="0"/>
      <w:marRight w:val="0"/>
      <w:marTop w:val="0"/>
      <w:marBottom w:val="0"/>
      <w:divBdr>
        <w:top w:val="none" w:sz="0" w:space="0" w:color="auto"/>
        <w:left w:val="none" w:sz="0" w:space="0" w:color="auto"/>
        <w:bottom w:val="none" w:sz="0" w:space="0" w:color="auto"/>
        <w:right w:val="none" w:sz="0" w:space="0" w:color="auto"/>
      </w:divBdr>
    </w:div>
    <w:div w:id="273095908">
      <w:bodyDiv w:val="1"/>
      <w:marLeft w:val="0"/>
      <w:marRight w:val="0"/>
      <w:marTop w:val="0"/>
      <w:marBottom w:val="0"/>
      <w:divBdr>
        <w:top w:val="none" w:sz="0" w:space="0" w:color="auto"/>
        <w:left w:val="none" w:sz="0" w:space="0" w:color="auto"/>
        <w:bottom w:val="none" w:sz="0" w:space="0" w:color="auto"/>
        <w:right w:val="none" w:sz="0" w:space="0" w:color="auto"/>
      </w:divBdr>
      <w:divsChild>
        <w:div w:id="466239913">
          <w:marLeft w:val="0"/>
          <w:marRight w:val="0"/>
          <w:marTop w:val="0"/>
          <w:marBottom w:val="0"/>
          <w:divBdr>
            <w:top w:val="none" w:sz="0" w:space="0" w:color="auto"/>
            <w:left w:val="none" w:sz="0" w:space="0" w:color="auto"/>
            <w:bottom w:val="none" w:sz="0" w:space="0" w:color="auto"/>
            <w:right w:val="none" w:sz="0" w:space="0" w:color="auto"/>
          </w:divBdr>
          <w:divsChild>
            <w:div w:id="1414398413">
              <w:marLeft w:val="0"/>
              <w:marRight w:val="0"/>
              <w:marTop w:val="0"/>
              <w:marBottom w:val="0"/>
              <w:divBdr>
                <w:top w:val="none" w:sz="0" w:space="0" w:color="auto"/>
                <w:left w:val="none" w:sz="0" w:space="0" w:color="auto"/>
                <w:bottom w:val="none" w:sz="0" w:space="0" w:color="auto"/>
                <w:right w:val="none" w:sz="0" w:space="0" w:color="auto"/>
              </w:divBdr>
              <w:divsChild>
                <w:div w:id="2105219449">
                  <w:marLeft w:val="0"/>
                  <w:marRight w:val="0"/>
                  <w:marTop w:val="0"/>
                  <w:marBottom w:val="0"/>
                  <w:divBdr>
                    <w:top w:val="none" w:sz="0" w:space="0" w:color="auto"/>
                    <w:left w:val="none" w:sz="0" w:space="0" w:color="auto"/>
                    <w:bottom w:val="none" w:sz="0" w:space="0" w:color="auto"/>
                    <w:right w:val="none" w:sz="0" w:space="0" w:color="auto"/>
                  </w:divBdr>
                  <w:divsChild>
                    <w:div w:id="618684236">
                      <w:marLeft w:val="0"/>
                      <w:marRight w:val="0"/>
                      <w:marTop w:val="0"/>
                      <w:marBottom w:val="0"/>
                      <w:divBdr>
                        <w:top w:val="none" w:sz="0" w:space="0" w:color="auto"/>
                        <w:left w:val="none" w:sz="0" w:space="0" w:color="auto"/>
                        <w:bottom w:val="none" w:sz="0" w:space="0" w:color="auto"/>
                        <w:right w:val="none" w:sz="0" w:space="0" w:color="auto"/>
                      </w:divBdr>
                      <w:divsChild>
                        <w:div w:id="1365670581">
                          <w:marLeft w:val="0"/>
                          <w:marRight w:val="0"/>
                          <w:marTop w:val="0"/>
                          <w:marBottom w:val="0"/>
                          <w:divBdr>
                            <w:top w:val="single" w:sz="6" w:space="0" w:color="828282"/>
                            <w:left w:val="single" w:sz="6" w:space="0" w:color="828282"/>
                            <w:bottom w:val="single" w:sz="6" w:space="0" w:color="828282"/>
                            <w:right w:val="single" w:sz="6" w:space="0" w:color="828282"/>
                          </w:divBdr>
                          <w:divsChild>
                            <w:div w:id="1892691456">
                              <w:marLeft w:val="0"/>
                              <w:marRight w:val="0"/>
                              <w:marTop w:val="0"/>
                              <w:marBottom w:val="0"/>
                              <w:divBdr>
                                <w:top w:val="none" w:sz="0" w:space="0" w:color="auto"/>
                                <w:left w:val="none" w:sz="0" w:space="0" w:color="auto"/>
                                <w:bottom w:val="none" w:sz="0" w:space="0" w:color="auto"/>
                                <w:right w:val="none" w:sz="0" w:space="0" w:color="auto"/>
                              </w:divBdr>
                              <w:divsChild>
                                <w:div w:id="1974091763">
                                  <w:marLeft w:val="0"/>
                                  <w:marRight w:val="0"/>
                                  <w:marTop w:val="0"/>
                                  <w:marBottom w:val="0"/>
                                  <w:divBdr>
                                    <w:top w:val="none" w:sz="0" w:space="0" w:color="auto"/>
                                    <w:left w:val="none" w:sz="0" w:space="0" w:color="auto"/>
                                    <w:bottom w:val="none" w:sz="0" w:space="0" w:color="auto"/>
                                    <w:right w:val="none" w:sz="0" w:space="0" w:color="auto"/>
                                  </w:divBdr>
                                  <w:divsChild>
                                    <w:div w:id="2049640791">
                                      <w:marLeft w:val="0"/>
                                      <w:marRight w:val="0"/>
                                      <w:marTop w:val="0"/>
                                      <w:marBottom w:val="0"/>
                                      <w:divBdr>
                                        <w:top w:val="none" w:sz="0" w:space="0" w:color="auto"/>
                                        <w:left w:val="none" w:sz="0" w:space="0" w:color="auto"/>
                                        <w:bottom w:val="none" w:sz="0" w:space="0" w:color="auto"/>
                                        <w:right w:val="none" w:sz="0" w:space="0" w:color="auto"/>
                                      </w:divBdr>
                                      <w:divsChild>
                                        <w:div w:id="2082017131">
                                          <w:marLeft w:val="0"/>
                                          <w:marRight w:val="0"/>
                                          <w:marTop w:val="0"/>
                                          <w:marBottom w:val="0"/>
                                          <w:divBdr>
                                            <w:top w:val="none" w:sz="0" w:space="0" w:color="auto"/>
                                            <w:left w:val="none" w:sz="0" w:space="0" w:color="auto"/>
                                            <w:bottom w:val="none" w:sz="0" w:space="0" w:color="auto"/>
                                            <w:right w:val="none" w:sz="0" w:space="0" w:color="auto"/>
                                          </w:divBdr>
                                          <w:divsChild>
                                            <w:div w:id="703100319">
                                              <w:marLeft w:val="0"/>
                                              <w:marRight w:val="0"/>
                                              <w:marTop w:val="0"/>
                                              <w:marBottom w:val="0"/>
                                              <w:divBdr>
                                                <w:top w:val="none" w:sz="0" w:space="0" w:color="auto"/>
                                                <w:left w:val="none" w:sz="0" w:space="0" w:color="auto"/>
                                                <w:bottom w:val="none" w:sz="0" w:space="0" w:color="auto"/>
                                                <w:right w:val="none" w:sz="0" w:space="0" w:color="auto"/>
                                              </w:divBdr>
                                              <w:divsChild>
                                                <w:div w:id="1312952709">
                                                  <w:marLeft w:val="0"/>
                                                  <w:marRight w:val="0"/>
                                                  <w:marTop w:val="0"/>
                                                  <w:marBottom w:val="0"/>
                                                  <w:divBdr>
                                                    <w:top w:val="none" w:sz="0" w:space="0" w:color="auto"/>
                                                    <w:left w:val="none" w:sz="0" w:space="0" w:color="auto"/>
                                                    <w:bottom w:val="none" w:sz="0" w:space="0" w:color="auto"/>
                                                    <w:right w:val="none" w:sz="0" w:space="0" w:color="auto"/>
                                                  </w:divBdr>
                                                  <w:divsChild>
                                                    <w:div w:id="13817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8389516">
      <w:bodyDiv w:val="1"/>
      <w:marLeft w:val="0"/>
      <w:marRight w:val="0"/>
      <w:marTop w:val="0"/>
      <w:marBottom w:val="0"/>
      <w:divBdr>
        <w:top w:val="none" w:sz="0" w:space="0" w:color="auto"/>
        <w:left w:val="none" w:sz="0" w:space="0" w:color="auto"/>
        <w:bottom w:val="none" w:sz="0" w:space="0" w:color="auto"/>
        <w:right w:val="none" w:sz="0" w:space="0" w:color="auto"/>
      </w:divBdr>
      <w:divsChild>
        <w:div w:id="1312514362">
          <w:marLeft w:val="0"/>
          <w:marRight w:val="0"/>
          <w:marTop w:val="0"/>
          <w:marBottom w:val="0"/>
          <w:divBdr>
            <w:top w:val="none" w:sz="0" w:space="0" w:color="auto"/>
            <w:left w:val="none" w:sz="0" w:space="0" w:color="auto"/>
            <w:bottom w:val="none" w:sz="0" w:space="0" w:color="auto"/>
            <w:right w:val="none" w:sz="0" w:space="0" w:color="auto"/>
          </w:divBdr>
          <w:divsChild>
            <w:div w:id="1604651144">
              <w:marLeft w:val="0"/>
              <w:marRight w:val="0"/>
              <w:marTop w:val="0"/>
              <w:marBottom w:val="0"/>
              <w:divBdr>
                <w:top w:val="none" w:sz="0" w:space="0" w:color="auto"/>
                <w:left w:val="none" w:sz="0" w:space="0" w:color="auto"/>
                <w:bottom w:val="none" w:sz="0" w:space="0" w:color="auto"/>
                <w:right w:val="none" w:sz="0" w:space="0" w:color="auto"/>
              </w:divBdr>
              <w:divsChild>
                <w:div w:id="1388143031">
                  <w:marLeft w:val="0"/>
                  <w:marRight w:val="0"/>
                  <w:marTop w:val="100"/>
                  <w:marBottom w:val="100"/>
                  <w:divBdr>
                    <w:top w:val="none" w:sz="0" w:space="0" w:color="auto"/>
                    <w:left w:val="none" w:sz="0" w:space="0" w:color="auto"/>
                    <w:bottom w:val="none" w:sz="0" w:space="0" w:color="auto"/>
                    <w:right w:val="none" w:sz="0" w:space="0" w:color="auto"/>
                  </w:divBdr>
                  <w:divsChild>
                    <w:div w:id="975254270">
                      <w:marLeft w:val="0"/>
                      <w:marRight w:val="0"/>
                      <w:marTop w:val="0"/>
                      <w:marBottom w:val="0"/>
                      <w:divBdr>
                        <w:top w:val="none" w:sz="0" w:space="0" w:color="auto"/>
                        <w:left w:val="none" w:sz="0" w:space="0" w:color="auto"/>
                        <w:bottom w:val="none" w:sz="0" w:space="0" w:color="auto"/>
                        <w:right w:val="none" w:sz="0" w:space="0" w:color="auto"/>
                      </w:divBdr>
                      <w:divsChild>
                        <w:div w:id="1354726043">
                          <w:marLeft w:val="0"/>
                          <w:marRight w:val="0"/>
                          <w:marTop w:val="0"/>
                          <w:marBottom w:val="0"/>
                          <w:divBdr>
                            <w:top w:val="none" w:sz="0" w:space="0" w:color="auto"/>
                            <w:left w:val="none" w:sz="0" w:space="0" w:color="auto"/>
                            <w:bottom w:val="none" w:sz="0" w:space="0" w:color="auto"/>
                            <w:right w:val="none" w:sz="0" w:space="0" w:color="auto"/>
                          </w:divBdr>
                          <w:divsChild>
                            <w:div w:id="553594">
                              <w:marLeft w:val="0"/>
                              <w:marRight w:val="0"/>
                              <w:marTop w:val="0"/>
                              <w:marBottom w:val="0"/>
                              <w:divBdr>
                                <w:top w:val="none" w:sz="0" w:space="0" w:color="auto"/>
                                <w:left w:val="none" w:sz="0" w:space="0" w:color="auto"/>
                                <w:bottom w:val="none" w:sz="0" w:space="0" w:color="auto"/>
                                <w:right w:val="none" w:sz="0" w:space="0" w:color="auto"/>
                              </w:divBdr>
                              <w:divsChild>
                                <w:div w:id="1965385642">
                                  <w:marLeft w:val="0"/>
                                  <w:marRight w:val="0"/>
                                  <w:marTop w:val="0"/>
                                  <w:marBottom w:val="0"/>
                                  <w:divBdr>
                                    <w:top w:val="none" w:sz="0" w:space="0" w:color="auto"/>
                                    <w:left w:val="none" w:sz="0" w:space="0" w:color="auto"/>
                                    <w:bottom w:val="none" w:sz="0" w:space="0" w:color="auto"/>
                                    <w:right w:val="none" w:sz="0" w:space="0" w:color="auto"/>
                                  </w:divBdr>
                                  <w:divsChild>
                                    <w:div w:id="270670953">
                                      <w:marLeft w:val="0"/>
                                      <w:marRight w:val="0"/>
                                      <w:marTop w:val="0"/>
                                      <w:marBottom w:val="0"/>
                                      <w:divBdr>
                                        <w:top w:val="none" w:sz="0" w:space="0" w:color="auto"/>
                                        <w:left w:val="none" w:sz="0" w:space="0" w:color="auto"/>
                                        <w:bottom w:val="none" w:sz="0" w:space="0" w:color="auto"/>
                                        <w:right w:val="none" w:sz="0" w:space="0" w:color="auto"/>
                                      </w:divBdr>
                                      <w:divsChild>
                                        <w:div w:id="1344893056">
                                          <w:marLeft w:val="0"/>
                                          <w:marRight w:val="0"/>
                                          <w:marTop w:val="0"/>
                                          <w:marBottom w:val="360"/>
                                          <w:divBdr>
                                            <w:top w:val="none" w:sz="0" w:space="0" w:color="auto"/>
                                            <w:left w:val="none" w:sz="0" w:space="0" w:color="auto"/>
                                            <w:bottom w:val="none" w:sz="0" w:space="0" w:color="auto"/>
                                            <w:right w:val="none" w:sz="0" w:space="0" w:color="auto"/>
                                          </w:divBdr>
                                          <w:divsChild>
                                            <w:div w:id="489564332">
                                              <w:marLeft w:val="0"/>
                                              <w:marRight w:val="0"/>
                                              <w:marTop w:val="0"/>
                                              <w:marBottom w:val="0"/>
                                              <w:divBdr>
                                                <w:top w:val="none" w:sz="0" w:space="0" w:color="auto"/>
                                                <w:left w:val="none" w:sz="0" w:space="0" w:color="auto"/>
                                                <w:bottom w:val="none" w:sz="0" w:space="0" w:color="auto"/>
                                                <w:right w:val="none" w:sz="0" w:space="0" w:color="auto"/>
                                              </w:divBdr>
                                              <w:divsChild>
                                                <w:div w:id="1515917030">
                                                  <w:marLeft w:val="0"/>
                                                  <w:marRight w:val="0"/>
                                                  <w:marTop w:val="0"/>
                                                  <w:marBottom w:val="0"/>
                                                  <w:divBdr>
                                                    <w:top w:val="none" w:sz="0" w:space="0" w:color="auto"/>
                                                    <w:left w:val="none" w:sz="0" w:space="0" w:color="auto"/>
                                                    <w:bottom w:val="none" w:sz="0" w:space="0" w:color="auto"/>
                                                    <w:right w:val="none" w:sz="0" w:space="0" w:color="auto"/>
                                                  </w:divBdr>
                                                  <w:divsChild>
                                                    <w:div w:id="747309336">
                                                      <w:marLeft w:val="5370"/>
                                                      <w:marRight w:val="0"/>
                                                      <w:marTop w:val="120"/>
                                                      <w:marBottom w:val="0"/>
                                                      <w:divBdr>
                                                        <w:top w:val="none" w:sz="0" w:space="0" w:color="auto"/>
                                                        <w:left w:val="none" w:sz="0" w:space="0" w:color="auto"/>
                                                        <w:bottom w:val="none" w:sz="0" w:space="0" w:color="auto"/>
                                                        <w:right w:val="none" w:sz="0" w:space="0" w:color="auto"/>
                                                      </w:divBdr>
                                                      <w:divsChild>
                                                        <w:div w:id="14870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349249">
      <w:bodyDiv w:val="1"/>
      <w:marLeft w:val="0"/>
      <w:marRight w:val="0"/>
      <w:marTop w:val="0"/>
      <w:marBottom w:val="0"/>
      <w:divBdr>
        <w:top w:val="none" w:sz="0" w:space="0" w:color="auto"/>
        <w:left w:val="none" w:sz="0" w:space="0" w:color="auto"/>
        <w:bottom w:val="none" w:sz="0" w:space="0" w:color="auto"/>
        <w:right w:val="none" w:sz="0" w:space="0" w:color="auto"/>
      </w:divBdr>
    </w:div>
    <w:div w:id="611787483">
      <w:bodyDiv w:val="1"/>
      <w:marLeft w:val="0"/>
      <w:marRight w:val="0"/>
      <w:marTop w:val="0"/>
      <w:marBottom w:val="0"/>
      <w:divBdr>
        <w:top w:val="none" w:sz="0" w:space="0" w:color="auto"/>
        <w:left w:val="none" w:sz="0" w:space="0" w:color="auto"/>
        <w:bottom w:val="none" w:sz="0" w:space="0" w:color="auto"/>
        <w:right w:val="none" w:sz="0" w:space="0" w:color="auto"/>
      </w:divBdr>
      <w:divsChild>
        <w:div w:id="1554923729">
          <w:marLeft w:val="0"/>
          <w:marRight w:val="0"/>
          <w:marTop w:val="0"/>
          <w:marBottom w:val="0"/>
          <w:divBdr>
            <w:top w:val="none" w:sz="0" w:space="0" w:color="auto"/>
            <w:left w:val="none" w:sz="0" w:space="0" w:color="auto"/>
            <w:bottom w:val="none" w:sz="0" w:space="0" w:color="auto"/>
            <w:right w:val="none" w:sz="0" w:space="0" w:color="auto"/>
          </w:divBdr>
          <w:divsChild>
            <w:div w:id="2020158232">
              <w:marLeft w:val="0"/>
              <w:marRight w:val="0"/>
              <w:marTop w:val="0"/>
              <w:marBottom w:val="0"/>
              <w:divBdr>
                <w:top w:val="none" w:sz="0" w:space="0" w:color="auto"/>
                <w:left w:val="none" w:sz="0" w:space="0" w:color="auto"/>
                <w:bottom w:val="none" w:sz="0" w:space="0" w:color="auto"/>
                <w:right w:val="none" w:sz="0" w:space="0" w:color="auto"/>
              </w:divBdr>
              <w:divsChild>
                <w:div w:id="277178562">
                  <w:marLeft w:val="0"/>
                  <w:marRight w:val="0"/>
                  <w:marTop w:val="0"/>
                  <w:marBottom w:val="0"/>
                  <w:divBdr>
                    <w:top w:val="none" w:sz="0" w:space="0" w:color="auto"/>
                    <w:left w:val="none" w:sz="0" w:space="0" w:color="auto"/>
                    <w:bottom w:val="none" w:sz="0" w:space="0" w:color="auto"/>
                    <w:right w:val="none" w:sz="0" w:space="0" w:color="auto"/>
                  </w:divBdr>
                  <w:divsChild>
                    <w:div w:id="435760515">
                      <w:marLeft w:val="0"/>
                      <w:marRight w:val="0"/>
                      <w:marTop w:val="0"/>
                      <w:marBottom w:val="0"/>
                      <w:divBdr>
                        <w:top w:val="none" w:sz="0" w:space="0" w:color="auto"/>
                        <w:left w:val="none" w:sz="0" w:space="0" w:color="auto"/>
                        <w:bottom w:val="none" w:sz="0" w:space="0" w:color="auto"/>
                        <w:right w:val="none" w:sz="0" w:space="0" w:color="auto"/>
                      </w:divBdr>
                      <w:divsChild>
                        <w:div w:id="1395660659">
                          <w:marLeft w:val="0"/>
                          <w:marRight w:val="0"/>
                          <w:marTop w:val="0"/>
                          <w:marBottom w:val="0"/>
                          <w:divBdr>
                            <w:top w:val="single" w:sz="6" w:space="0" w:color="828282"/>
                            <w:left w:val="single" w:sz="6" w:space="0" w:color="828282"/>
                            <w:bottom w:val="single" w:sz="6" w:space="0" w:color="828282"/>
                            <w:right w:val="single" w:sz="6" w:space="0" w:color="828282"/>
                          </w:divBdr>
                          <w:divsChild>
                            <w:div w:id="1138493005">
                              <w:marLeft w:val="0"/>
                              <w:marRight w:val="0"/>
                              <w:marTop w:val="0"/>
                              <w:marBottom w:val="0"/>
                              <w:divBdr>
                                <w:top w:val="none" w:sz="0" w:space="0" w:color="auto"/>
                                <w:left w:val="none" w:sz="0" w:space="0" w:color="auto"/>
                                <w:bottom w:val="none" w:sz="0" w:space="0" w:color="auto"/>
                                <w:right w:val="none" w:sz="0" w:space="0" w:color="auto"/>
                              </w:divBdr>
                              <w:divsChild>
                                <w:div w:id="929316563">
                                  <w:marLeft w:val="0"/>
                                  <w:marRight w:val="0"/>
                                  <w:marTop w:val="0"/>
                                  <w:marBottom w:val="0"/>
                                  <w:divBdr>
                                    <w:top w:val="none" w:sz="0" w:space="0" w:color="auto"/>
                                    <w:left w:val="none" w:sz="0" w:space="0" w:color="auto"/>
                                    <w:bottom w:val="none" w:sz="0" w:space="0" w:color="auto"/>
                                    <w:right w:val="none" w:sz="0" w:space="0" w:color="auto"/>
                                  </w:divBdr>
                                  <w:divsChild>
                                    <w:div w:id="1202979110">
                                      <w:marLeft w:val="0"/>
                                      <w:marRight w:val="0"/>
                                      <w:marTop w:val="0"/>
                                      <w:marBottom w:val="0"/>
                                      <w:divBdr>
                                        <w:top w:val="none" w:sz="0" w:space="0" w:color="auto"/>
                                        <w:left w:val="none" w:sz="0" w:space="0" w:color="auto"/>
                                        <w:bottom w:val="none" w:sz="0" w:space="0" w:color="auto"/>
                                        <w:right w:val="none" w:sz="0" w:space="0" w:color="auto"/>
                                      </w:divBdr>
                                      <w:divsChild>
                                        <w:div w:id="972902544">
                                          <w:marLeft w:val="0"/>
                                          <w:marRight w:val="0"/>
                                          <w:marTop w:val="0"/>
                                          <w:marBottom w:val="0"/>
                                          <w:divBdr>
                                            <w:top w:val="none" w:sz="0" w:space="0" w:color="auto"/>
                                            <w:left w:val="none" w:sz="0" w:space="0" w:color="auto"/>
                                            <w:bottom w:val="none" w:sz="0" w:space="0" w:color="auto"/>
                                            <w:right w:val="none" w:sz="0" w:space="0" w:color="auto"/>
                                          </w:divBdr>
                                          <w:divsChild>
                                            <w:div w:id="987248235">
                                              <w:marLeft w:val="0"/>
                                              <w:marRight w:val="0"/>
                                              <w:marTop w:val="0"/>
                                              <w:marBottom w:val="0"/>
                                              <w:divBdr>
                                                <w:top w:val="none" w:sz="0" w:space="0" w:color="auto"/>
                                                <w:left w:val="none" w:sz="0" w:space="0" w:color="auto"/>
                                                <w:bottom w:val="none" w:sz="0" w:space="0" w:color="auto"/>
                                                <w:right w:val="none" w:sz="0" w:space="0" w:color="auto"/>
                                              </w:divBdr>
                                              <w:divsChild>
                                                <w:div w:id="388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039355">
      <w:bodyDiv w:val="1"/>
      <w:marLeft w:val="0"/>
      <w:marRight w:val="0"/>
      <w:marTop w:val="0"/>
      <w:marBottom w:val="0"/>
      <w:divBdr>
        <w:top w:val="none" w:sz="0" w:space="0" w:color="auto"/>
        <w:left w:val="none" w:sz="0" w:space="0" w:color="auto"/>
        <w:bottom w:val="none" w:sz="0" w:space="0" w:color="auto"/>
        <w:right w:val="none" w:sz="0" w:space="0" w:color="auto"/>
      </w:divBdr>
    </w:div>
    <w:div w:id="809135106">
      <w:bodyDiv w:val="1"/>
      <w:marLeft w:val="0"/>
      <w:marRight w:val="0"/>
      <w:marTop w:val="0"/>
      <w:marBottom w:val="0"/>
      <w:divBdr>
        <w:top w:val="none" w:sz="0" w:space="0" w:color="auto"/>
        <w:left w:val="none" w:sz="0" w:space="0" w:color="auto"/>
        <w:bottom w:val="none" w:sz="0" w:space="0" w:color="auto"/>
        <w:right w:val="none" w:sz="0" w:space="0" w:color="auto"/>
      </w:divBdr>
    </w:div>
    <w:div w:id="811213656">
      <w:bodyDiv w:val="1"/>
      <w:marLeft w:val="0"/>
      <w:marRight w:val="0"/>
      <w:marTop w:val="0"/>
      <w:marBottom w:val="0"/>
      <w:divBdr>
        <w:top w:val="none" w:sz="0" w:space="0" w:color="auto"/>
        <w:left w:val="none" w:sz="0" w:space="0" w:color="auto"/>
        <w:bottom w:val="none" w:sz="0" w:space="0" w:color="auto"/>
        <w:right w:val="none" w:sz="0" w:space="0" w:color="auto"/>
      </w:divBdr>
    </w:div>
    <w:div w:id="1023289558">
      <w:bodyDiv w:val="1"/>
      <w:marLeft w:val="0"/>
      <w:marRight w:val="0"/>
      <w:marTop w:val="0"/>
      <w:marBottom w:val="0"/>
      <w:divBdr>
        <w:top w:val="none" w:sz="0" w:space="0" w:color="auto"/>
        <w:left w:val="none" w:sz="0" w:space="0" w:color="auto"/>
        <w:bottom w:val="none" w:sz="0" w:space="0" w:color="auto"/>
        <w:right w:val="none" w:sz="0" w:space="0" w:color="auto"/>
      </w:divBdr>
    </w:div>
    <w:div w:id="1071200233">
      <w:bodyDiv w:val="1"/>
      <w:marLeft w:val="0"/>
      <w:marRight w:val="0"/>
      <w:marTop w:val="0"/>
      <w:marBottom w:val="0"/>
      <w:divBdr>
        <w:top w:val="none" w:sz="0" w:space="0" w:color="auto"/>
        <w:left w:val="none" w:sz="0" w:space="0" w:color="auto"/>
        <w:bottom w:val="none" w:sz="0" w:space="0" w:color="auto"/>
        <w:right w:val="none" w:sz="0" w:space="0" w:color="auto"/>
      </w:divBdr>
    </w:div>
    <w:div w:id="1100029549">
      <w:bodyDiv w:val="1"/>
      <w:marLeft w:val="0"/>
      <w:marRight w:val="0"/>
      <w:marTop w:val="0"/>
      <w:marBottom w:val="0"/>
      <w:divBdr>
        <w:top w:val="none" w:sz="0" w:space="0" w:color="auto"/>
        <w:left w:val="none" w:sz="0" w:space="0" w:color="auto"/>
        <w:bottom w:val="none" w:sz="0" w:space="0" w:color="auto"/>
        <w:right w:val="none" w:sz="0" w:space="0" w:color="auto"/>
      </w:divBdr>
    </w:div>
    <w:div w:id="1122192646">
      <w:bodyDiv w:val="1"/>
      <w:marLeft w:val="0"/>
      <w:marRight w:val="0"/>
      <w:marTop w:val="0"/>
      <w:marBottom w:val="0"/>
      <w:divBdr>
        <w:top w:val="none" w:sz="0" w:space="0" w:color="auto"/>
        <w:left w:val="none" w:sz="0" w:space="0" w:color="auto"/>
        <w:bottom w:val="none" w:sz="0" w:space="0" w:color="auto"/>
        <w:right w:val="none" w:sz="0" w:space="0" w:color="auto"/>
      </w:divBdr>
    </w:div>
    <w:div w:id="1130248385">
      <w:bodyDiv w:val="1"/>
      <w:marLeft w:val="0"/>
      <w:marRight w:val="0"/>
      <w:marTop w:val="0"/>
      <w:marBottom w:val="0"/>
      <w:divBdr>
        <w:top w:val="none" w:sz="0" w:space="0" w:color="auto"/>
        <w:left w:val="none" w:sz="0" w:space="0" w:color="auto"/>
        <w:bottom w:val="none" w:sz="0" w:space="0" w:color="auto"/>
        <w:right w:val="none" w:sz="0" w:space="0" w:color="auto"/>
      </w:divBdr>
    </w:div>
    <w:div w:id="1230076575">
      <w:bodyDiv w:val="1"/>
      <w:marLeft w:val="0"/>
      <w:marRight w:val="0"/>
      <w:marTop w:val="0"/>
      <w:marBottom w:val="0"/>
      <w:divBdr>
        <w:top w:val="none" w:sz="0" w:space="0" w:color="auto"/>
        <w:left w:val="none" w:sz="0" w:space="0" w:color="auto"/>
        <w:bottom w:val="none" w:sz="0" w:space="0" w:color="auto"/>
        <w:right w:val="none" w:sz="0" w:space="0" w:color="auto"/>
      </w:divBdr>
    </w:div>
    <w:div w:id="1285771054">
      <w:bodyDiv w:val="1"/>
      <w:marLeft w:val="0"/>
      <w:marRight w:val="0"/>
      <w:marTop w:val="0"/>
      <w:marBottom w:val="0"/>
      <w:divBdr>
        <w:top w:val="none" w:sz="0" w:space="0" w:color="auto"/>
        <w:left w:val="none" w:sz="0" w:space="0" w:color="auto"/>
        <w:bottom w:val="none" w:sz="0" w:space="0" w:color="auto"/>
        <w:right w:val="none" w:sz="0" w:space="0" w:color="auto"/>
      </w:divBdr>
    </w:div>
    <w:div w:id="1318458640">
      <w:bodyDiv w:val="1"/>
      <w:marLeft w:val="0"/>
      <w:marRight w:val="0"/>
      <w:marTop w:val="0"/>
      <w:marBottom w:val="0"/>
      <w:divBdr>
        <w:top w:val="none" w:sz="0" w:space="0" w:color="auto"/>
        <w:left w:val="none" w:sz="0" w:space="0" w:color="auto"/>
        <w:bottom w:val="none" w:sz="0" w:space="0" w:color="auto"/>
        <w:right w:val="none" w:sz="0" w:space="0" w:color="auto"/>
      </w:divBdr>
      <w:divsChild>
        <w:div w:id="1561165705">
          <w:marLeft w:val="0"/>
          <w:marRight w:val="0"/>
          <w:marTop w:val="0"/>
          <w:marBottom w:val="0"/>
          <w:divBdr>
            <w:top w:val="none" w:sz="0" w:space="0" w:color="auto"/>
            <w:left w:val="none" w:sz="0" w:space="0" w:color="auto"/>
            <w:bottom w:val="none" w:sz="0" w:space="0" w:color="auto"/>
            <w:right w:val="none" w:sz="0" w:space="0" w:color="auto"/>
          </w:divBdr>
          <w:divsChild>
            <w:div w:id="1535267371">
              <w:marLeft w:val="0"/>
              <w:marRight w:val="0"/>
              <w:marTop w:val="0"/>
              <w:marBottom w:val="0"/>
              <w:divBdr>
                <w:top w:val="none" w:sz="0" w:space="0" w:color="auto"/>
                <w:left w:val="none" w:sz="0" w:space="0" w:color="auto"/>
                <w:bottom w:val="none" w:sz="0" w:space="0" w:color="auto"/>
                <w:right w:val="none" w:sz="0" w:space="0" w:color="auto"/>
              </w:divBdr>
              <w:divsChild>
                <w:div w:id="1288509601">
                  <w:marLeft w:val="0"/>
                  <w:marRight w:val="0"/>
                  <w:marTop w:val="0"/>
                  <w:marBottom w:val="0"/>
                  <w:divBdr>
                    <w:top w:val="none" w:sz="0" w:space="0" w:color="auto"/>
                    <w:left w:val="none" w:sz="0" w:space="0" w:color="auto"/>
                    <w:bottom w:val="none" w:sz="0" w:space="0" w:color="auto"/>
                    <w:right w:val="none" w:sz="0" w:space="0" w:color="auto"/>
                  </w:divBdr>
                  <w:divsChild>
                    <w:div w:id="1919628400">
                      <w:marLeft w:val="0"/>
                      <w:marRight w:val="0"/>
                      <w:marTop w:val="0"/>
                      <w:marBottom w:val="0"/>
                      <w:divBdr>
                        <w:top w:val="none" w:sz="0" w:space="0" w:color="auto"/>
                        <w:left w:val="none" w:sz="0" w:space="0" w:color="auto"/>
                        <w:bottom w:val="none" w:sz="0" w:space="0" w:color="auto"/>
                        <w:right w:val="none" w:sz="0" w:space="0" w:color="auto"/>
                      </w:divBdr>
                      <w:divsChild>
                        <w:div w:id="619146551">
                          <w:marLeft w:val="0"/>
                          <w:marRight w:val="0"/>
                          <w:marTop w:val="0"/>
                          <w:marBottom w:val="0"/>
                          <w:divBdr>
                            <w:top w:val="none" w:sz="0" w:space="0" w:color="auto"/>
                            <w:left w:val="none" w:sz="0" w:space="0" w:color="auto"/>
                            <w:bottom w:val="none" w:sz="0" w:space="0" w:color="auto"/>
                            <w:right w:val="none" w:sz="0" w:space="0" w:color="auto"/>
                          </w:divBdr>
                          <w:divsChild>
                            <w:div w:id="931624249">
                              <w:marLeft w:val="0"/>
                              <w:marRight w:val="0"/>
                              <w:marTop w:val="0"/>
                              <w:marBottom w:val="0"/>
                              <w:divBdr>
                                <w:top w:val="none" w:sz="0" w:space="0" w:color="auto"/>
                                <w:left w:val="none" w:sz="0" w:space="0" w:color="auto"/>
                                <w:bottom w:val="none" w:sz="0" w:space="0" w:color="auto"/>
                                <w:right w:val="none" w:sz="0" w:space="0" w:color="auto"/>
                              </w:divBdr>
                              <w:divsChild>
                                <w:div w:id="1649355216">
                                  <w:marLeft w:val="0"/>
                                  <w:marRight w:val="0"/>
                                  <w:marTop w:val="0"/>
                                  <w:marBottom w:val="0"/>
                                  <w:divBdr>
                                    <w:top w:val="none" w:sz="0" w:space="0" w:color="auto"/>
                                    <w:left w:val="none" w:sz="0" w:space="0" w:color="auto"/>
                                    <w:bottom w:val="none" w:sz="0" w:space="0" w:color="auto"/>
                                    <w:right w:val="none" w:sz="0" w:space="0" w:color="auto"/>
                                  </w:divBdr>
                                  <w:divsChild>
                                    <w:div w:id="411044240">
                                      <w:marLeft w:val="0"/>
                                      <w:marRight w:val="0"/>
                                      <w:marTop w:val="0"/>
                                      <w:marBottom w:val="0"/>
                                      <w:divBdr>
                                        <w:top w:val="none" w:sz="0" w:space="0" w:color="auto"/>
                                        <w:left w:val="none" w:sz="0" w:space="0" w:color="auto"/>
                                        <w:bottom w:val="none" w:sz="0" w:space="0" w:color="auto"/>
                                        <w:right w:val="none" w:sz="0" w:space="0" w:color="auto"/>
                                      </w:divBdr>
                                      <w:divsChild>
                                        <w:div w:id="548300911">
                                          <w:marLeft w:val="0"/>
                                          <w:marRight w:val="0"/>
                                          <w:marTop w:val="0"/>
                                          <w:marBottom w:val="0"/>
                                          <w:divBdr>
                                            <w:top w:val="none" w:sz="0" w:space="0" w:color="auto"/>
                                            <w:left w:val="none" w:sz="0" w:space="0" w:color="auto"/>
                                            <w:bottom w:val="none" w:sz="0" w:space="0" w:color="auto"/>
                                            <w:right w:val="none" w:sz="0" w:space="0" w:color="auto"/>
                                          </w:divBdr>
                                          <w:divsChild>
                                            <w:div w:id="89277215">
                                              <w:marLeft w:val="0"/>
                                              <w:marRight w:val="0"/>
                                              <w:marTop w:val="0"/>
                                              <w:marBottom w:val="0"/>
                                              <w:divBdr>
                                                <w:top w:val="none" w:sz="0" w:space="0" w:color="auto"/>
                                                <w:left w:val="none" w:sz="0" w:space="0" w:color="auto"/>
                                                <w:bottom w:val="none" w:sz="0" w:space="0" w:color="auto"/>
                                                <w:right w:val="none" w:sz="0" w:space="0" w:color="auto"/>
                                              </w:divBdr>
                                              <w:divsChild>
                                                <w:div w:id="1252543226">
                                                  <w:marLeft w:val="0"/>
                                                  <w:marRight w:val="0"/>
                                                  <w:marTop w:val="0"/>
                                                  <w:marBottom w:val="0"/>
                                                  <w:divBdr>
                                                    <w:top w:val="none" w:sz="0" w:space="0" w:color="auto"/>
                                                    <w:left w:val="none" w:sz="0" w:space="0" w:color="auto"/>
                                                    <w:bottom w:val="none" w:sz="0" w:space="0" w:color="auto"/>
                                                    <w:right w:val="none" w:sz="0" w:space="0" w:color="auto"/>
                                                  </w:divBdr>
                                                  <w:divsChild>
                                                    <w:div w:id="1855606681">
                                                      <w:marLeft w:val="0"/>
                                                      <w:marRight w:val="0"/>
                                                      <w:marTop w:val="0"/>
                                                      <w:marBottom w:val="0"/>
                                                      <w:divBdr>
                                                        <w:top w:val="none" w:sz="0" w:space="0" w:color="auto"/>
                                                        <w:left w:val="none" w:sz="0" w:space="0" w:color="auto"/>
                                                        <w:bottom w:val="none" w:sz="0" w:space="0" w:color="auto"/>
                                                        <w:right w:val="none" w:sz="0" w:space="0" w:color="auto"/>
                                                      </w:divBdr>
                                                      <w:divsChild>
                                                        <w:div w:id="20212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767225">
      <w:bodyDiv w:val="1"/>
      <w:marLeft w:val="0"/>
      <w:marRight w:val="0"/>
      <w:marTop w:val="0"/>
      <w:marBottom w:val="0"/>
      <w:divBdr>
        <w:top w:val="none" w:sz="0" w:space="0" w:color="auto"/>
        <w:left w:val="none" w:sz="0" w:space="0" w:color="auto"/>
        <w:bottom w:val="none" w:sz="0" w:space="0" w:color="auto"/>
        <w:right w:val="none" w:sz="0" w:space="0" w:color="auto"/>
      </w:divBdr>
      <w:divsChild>
        <w:div w:id="1770855651">
          <w:marLeft w:val="0"/>
          <w:marRight w:val="0"/>
          <w:marTop w:val="0"/>
          <w:marBottom w:val="0"/>
          <w:divBdr>
            <w:top w:val="none" w:sz="0" w:space="0" w:color="auto"/>
            <w:left w:val="none" w:sz="0" w:space="0" w:color="auto"/>
            <w:bottom w:val="none" w:sz="0" w:space="0" w:color="auto"/>
            <w:right w:val="none" w:sz="0" w:space="0" w:color="auto"/>
          </w:divBdr>
          <w:divsChild>
            <w:div w:id="986863281">
              <w:marLeft w:val="0"/>
              <w:marRight w:val="0"/>
              <w:marTop w:val="0"/>
              <w:marBottom w:val="0"/>
              <w:divBdr>
                <w:top w:val="none" w:sz="0" w:space="0" w:color="auto"/>
                <w:left w:val="none" w:sz="0" w:space="0" w:color="auto"/>
                <w:bottom w:val="none" w:sz="0" w:space="0" w:color="auto"/>
                <w:right w:val="none" w:sz="0" w:space="0" w:color="auto"/>
              </w:divBdr>
              <w:divsChild>
                <w:div w:id="1189417233">
                  <w:marLeft w:val="0"/>
                  <w:marRight w:val="0"/>
                  <w:marTop w:val="0"/>
                  <w:marBottom w:val="0"/>
                  <w:divBdr>
                    <w:top w:val="none" w:sz="0" w:space="0" w:color="auto"/>
                    <w:left w:val="none" w:sz="0" w:space="0" w:color="auto"/>
                    <w:bottom w:val="none" w:sz="0" w:space="0" w:color="auto"/>
                    <w:right w:val="none" w:sz="0" w:space="0" w:color="auto"/>
                  </w:divBdr>
                  <w:divsChild>
                    <w:div w:id="753863479">
                      <w:marLeft w:val="0"/>
                      <w:marRight w:val="0"/>
                      <w:marTop w:val="0"/>
                      <w:marBottom w:val="0"/>
                      <w:divBdr>
                        <w:top w:val="none" w:sz="0" w:space="0" w:color="auto"/>
                        <w:left w:val="none" w:sz="0" w:space="0" w:color="auto"/>
                        <w:bottom w:val="none" w:sz="0" w:space="0" w:color="auto"/>
                        <w:right w:val="none" w:sz="0" w:space="0" w:color="auto"/>
                      </w:divBdr>
                      <w:divsChild>
                        <w:div w:id="1583371214">
                          <w:marLeft w:val="0"/>
                          <w:marRight w:val="0"/>
                          <w:marTop w:val="0"/>
                          <w:marBottom w:val="0"/>
                          <w:divBdr>
                            <w:top w:val="single" w:sz="6" w:space="0" w:color="828282"/>
                            <w:left w:val="single" w:sz="6" w:space="0" w:color="828282"/>
                            <w:bottom w:val="single" w:sz="6" w:space="0" w:color="828282"/>
                            <w:right w:val="single" w:sz="6" w:space="0" w:color="828282"/>
                          </w:divBdr>
                          <w:divsChild>
                            <w:div w:id="206189807">
                              <w:marLeft w:val="0"/>
                              <w:marRight w:val="0"/>
                              <w:marTop w:val="0"/>
                              <w:marBottom w:val="0"/>
                              <w:divBdr>
                                <w:top w:val="none" w:sz="0" w:space="0" w:color="auto"/>
                                <w:left w:val="none" w:sz="0" w:space="0" w:color="auto"/>
                                <w:bottom w:val="none" w:sz="0" w:space="0" w:color="auto"/>
                                <w:right w:val="none" w:sz="0" w:space="0" w:color="auto"/>
                              </w:divBdr>
                              <w:divsChild>
                                <w:div w:id="1109007549">
                                  <w:marLeft w:val="0"/>
                                  <w:marRight w:val="0"/>
                                  <w:marTop w:val="0"/>
                                  <w:marBottom w:val="0"/>
                                  <w:divBdr>
                                    <w:top w:val="none" w:sz="0" w:space="0" w:color="auto"/>
                                    <w:left w:val="none" w:sz="0" w:space="0" w:color="auto"/>
                                    <w:bottom w:val="none" w:sz="0" w:space="0" w:color="auto"/>
                                    <w:right w:val="none" w:sz="0" w:space="0" w:color="auto"/>
                                  </w:divBdr>
                                  <w:divsChild>
                                    <w:div w:id="531918281">
                                      <w:marLeft w:val="0"/>
                                      <w:marRight w:val="0"/>
                                      <w:marTop w:val="0"/>
                                      <w:marBottom w:val="0"/>
                                      <w:divBdr>
                                        <w:top w:val="none" w:sz="0" w:space="0" w:color="auto"/>
                                        <w:left w:val="none" w:sz="0" w:space="0" w:color="auto"/>
                                        <w:bottom w:val="none" w:sz="0" w:space="0" w:color="auto"/>
                                        <w:right w:val="none" w:sz="0" w:space="0" w:color="auto"/>
                                      </w:divBdr>
                                      <w:divsChild>
                                        <w:div w:id="1851328723">
                                          <w:marLeft w:val="0"/>
                                          <w:marRight w:val="0"/>
                                          <w:marTop w:val="0"/>
                                          <w:marBottom w:val="0"/>
                                          <w:divBdr>
                                            <w:top w:val="none" w:sz="0" w:space="0" w:color="auto"/>
                                            <w:left w:val="none" w:sz="0" w:space="0" w:color="auto"/>
                                            <w:bottom w:val="none" w:sz="0" w:space="0" w:color="auto"/>
                                            <w:right w:val="none" w:sz="0" w:space="0" w:color="auto"/>
                                          </w:divBdr>
                                          <w:divsChild>
                                            <w:div w:id="929388109">
                                              <w:marLeft w:val="0"/>
                                              <w:marRight w:val="0"/>
                                              <w:marTop w:val="0"/>
                                              <w:marBottom w:val="0"/>
                                              <w:divBdr>
                                                <w:top w:val="none" w:sz="0" w:space="0" w:color="auto"/>
                                                <w:left w:val="none" w:sz="0" w:space="0" w:color="auto"/>
                                                <w:bottom w:val="none" w:sz="0" w:space="0" w:color="auto"/>
                                                <w:right w:val="none" w:sz="0" w:space="0" w:color="auto"/>
                                              </w:divBdr>
                                              <w:divsChild>
                                                <w:div w:id="18447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17768">
      <w:bodyDiv w:val="1"/>
      <w:marLeft w:val="0"/>
      <w:marRight w:val="0"/>
      <w:marTop w:val="0"/>
      <w:marBottom w:val="0"/>
      <w:divBdr>
        <w:top w:val="none" w:sz="0" w:space="0" w:color="auto"/>
        <w:left w:val="none" w:sz="0" w:space="0" w:color="auto"/>
        <w:bottom w:val="none" w:sz="0" w:space="0" w:color="auto"/>
        <w:right w:val="none" w:sz="0" w:space="0" w:color="auto"/>
      </w:divBdr>
      <w:divsChild>
        <w:div w:id="1697267054">
          <w:marLeft w:val="0"/>
          <w:marRight w:val="0"/>
          <w:marTop w:val="0"/>
          <w:marBottom w:val="0"/>
          <w:divBdr>
            <w:top w:val="none" w:sz="0" w:space="0" w:color="auto"/>
            <w:left w:val="none" w:sz="0" w:space="0" w:color="auto"/>
            <w:bottom w:val="none" w:sz="0" w:space="0" w:color="auto"/>
            <w:right w:val="none" w:sz="0" w:space="0" w:color="auto"/>
          </w:divBdr>
        </w:div>
      </w:divsChild>
    </w:div>
    <w:div w:id="1586692923">
      <w:bodyDiv w:val="1"/>
      <w:marLeft w:val="0"/>
      <w:marRight w:val="0"/>
      <w:marTop w:val="0"/>
      <w:marBottom w:val="0"/>
      <w:divBdr>
        <w:top w:val="none" w:sz="0" w:space="0" w:color="auto"/>
        <w:left w:val="none" w:sz="0" w:space="0" w:color="auto"/>
        <w:bottom w:val="none" w:sz="0" w:space="0" w:color="auto"/>
        <w:right w:val="none" w:sz="0" w:space="0" w:color="auto"/>
      </w:divBdr>
    </w:div>
    <w:div w:id="1677339902">
      <w:bodyDiv w:val="1"/>
      <w:marLeft w:val="0"/>
      <w:marRight w:val="0"/>
      <w:marTop w:val="0"/>
      <w:marBottom w:val="0"/>
      <w:divBdr>
        <w:top w:val="none" w:sz="0" w:space="0" w:color="auto"/>
        <w:left w:val="none" w:sz="0" w:space="0" w:color="auto"/>
        <w:bottom w:val="none" w:sz="0" w:space="0" w:color="auto"/>
        <w:right w:val="none" w:sz="0" w:space="0" w:color="auto"/>
      </w:divBdr>
    </w:div>
    <w:div w:id="1729307269">
      <w:bodyDiv w:val="1"/>
      <w:marLeft w:val="0"/>
      <w:marRight w:val="0"/>
      <w:marTop w:val="0"/>
      <w:marBottom w:val="0"/>
      <w:divBdr>
        <w:top w:val="none" w:sz="0" w:space="0" w:color="auto"/>
        <w:left w:val="none" w:sz="0" w:space="0" w:color="auto"/>
        <w:bottom w:val="none" w:sz="0" w:space="0" w:color="auto"/>
        <w:right w:val="none" w:sz="0" w:space="0" w:color="auto"/>
      </w:divBdr>
    </w:div>
    <w:div w:id="1818185191">
      <w:bodyDiv w:val="1"/>
      <w:marLeft w:val="0"/>
      <w:marRight w:val="0"/>
      <w:marTop w:val="0"/>
      <w:marBottom w:val="0"/>
      <w:divBdr>
        <w:top w:val="none" w:sz="0" w:space="0" w:color="auto"/>
        <w:left w:val="none" w:sz="0" w:space="0" w:color="auto"/>
        <w:bottom w:val="none" w:sz="0" w:space="0" w:color="auto"/>
        <w:right w:val="none" w:sz="0" w:space="0" w:color="auto"/>
      </w:divBdr>
      <w:divsChild>
        <w:div w:id="1818495913">
          <w:marLeft w:val="0"/>
          <w:marRight w:val="0"/>
          <w:marTop w:val="0"/>
          <w:marBottom w:val="0"/>
          <w:divBdr>
            <w:top w:val="none" w:sz="0" w:space="0" w:color="auto"/>
            <w:left w:val="none" w:sz="0" w:space="0" w:color="auto"/>
            <w:bottom w:val="none" w:sz="0" w:space="0" w:color="auto"/>
            <w:right w:val="none" w:sz="0" w:space="0" w:color="auto"/>
          </w:divBdr>
          <w:divsChild>
            <w:div w:id="1918857363">
              <w:marLeft w:val="0"/>
              <w:marRight w:val="0"/>
              <w:marTop w:val="0"/>
              <w:marBottom w:val="0"/>
              <w:divBdr>
                <w:top w:val="none" w:sz="0" w:space="0" w:color="auto"/>
                <w:left w:val="none" w:sz="0" w:space="0" w:color="auto"/>
                <w:bottom w:val="none" w:sz="0" w:space="0" w:color="auto"/>
                <w:right w:val="none" w:sz="0" w:space="0" w:color="auto"/>
              </w:divBdr>
              <w:divsChild>
                <w:div w:id="1195728145">
                  <w:marLeft w:val="0"/>
                  <w:marRight w:val="0"/>
                  <w:marTop w:val="0"/>
                  <w:marBottom w:val="0"/>
                  <w:divBdr>
                    <w:top w:val="none" w:sz="0" w:space="0" w:color="auto"/>
                    <w:left w:val="none" w:sz="0" w:space="0" w:color="auto"/>
                    <w:bottom w:val="none" w:sz="0" w:space="0" w:color="auto"/>
                    <w:right w:val="none" w:sz="0" w:space="0" w:color="auto"/>
                  </w:divBdr>
                  <w:divsChild>
                    <w:div w:id="1790860279">
                      <w:marLeft w:val="-300"/>
                      <w:marRight w:val="0"/>
                      <w:marTop w:val="0"/>
                      <w:marBottom w:val="0"/>
                      <w:divBdr>
                        <w:top w:val="none" w:sz="0" w:space="0" w:color="auto"/>
                        <w:left w:val="none" w:sz="0" w:space="0" w:color="auto"/>
                        <w:bottom w:val="none" w:sz="0" w:space="0" w:color="auto"/>
                        <w:right w:val="none" w:sz="0" w:space="0" w:color="auto"/>
                      </w:divBdr>
                      <w:divsChild>
                        <w:div w:id="2008632128">
                          <w:marLeft w:val="0"/>
                          <w:marRight w:val="0"/>
                          <w:marTop w:val="0"/>
                          <w:marBottom w:val="0"/>
                          <w:divBdr>
                            <w:top w:val="none" w:sz="0" w:space="0" w:color="auto"/>
                            <w:left w:val="none" w:sz="0" w:space="0" w:color="auto"/>
                            <w:bottom w:val="none" w:sz="0" w:space="0" w:color="auto"/>
                            <w:right w:val="none" w:sz="0" w:space="0" w:color="auto"/>
                          </w:divBdr>
                          <w:divsChild>
                            <w:div w:id="19938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94970">
      <w:bodyDiv w:val="1"/>
      <w:marLeft w:val="0"/>
      <w:marRight w:val="0"/>
      <w:marTop w:val="0"/>
      <w:marBottom w:val="0"/>
      <w:divBdr>
        <w:top w:val="none" w:sz="0" w:space="0" w:color="auto"/>
        <w:left w:val="none" w:sz="0" w:space="0" w:color="auto"/>
        <w:bottom w:val="none" w:sz="0" w:space="0" w:color="auto"/>
        <w:right w:val="none" w:sz="0" w:space="0" w:color="auto"/>
      </w:divBdr>
    </w:div>
    <w:div w:id="21077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afeworkaustralia.gov.au/doc/national-code-practice-labelling-workplace-substances-nohsc-2012-199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871BA85A6C8E4181DE7AF25361B48D" ma:contentTypeVersion="" ma:contentTypeDescription="PDMS Document Site Content Type" ma:contentTypeScope="" ma:versionID="34d00284a9f30f76bab6d9f017f95fa6">
  <xsd:schema xmlns:xsd="http://www.w3.org/2001/XMLSchema" xmlns:xs="http://www.w3.org/2001/XMLSchema" xmlns:p="http://schemas.microsoft.com/office/2006/metadata/properties" xmlns:ns2="57B06EBC-E449-4063-9A8B-A829799BE7C9" targetNamespace="http://schemas.microsoft.com/office/2006/metadata/properties" ma:root="true" ma:fieldsID="a156f9a06254d361588079638fdc8744" ns2:_="">
    <xsd:import namespace="57B06EBC-E449-4063-9A8B-A829799BE7C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06EBC-E449-4063-9A8B-A829799BE7C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SecurityClassification xmlns="57B06EBC-E449-4063-9A8B-A829799BE7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ED76-5768-4677-B827-9C2A2DF67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06EBC-E449-4063-9A8B-A829799BE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BCBB9-4956-4AAE-8402-6FB98ADCF43B}">
  <ds:schemaRefs>
    <ds:schemaRef ds:uri="http://schemas.microsoft.com/office/2006/metadata/longProperties"/>
  </ds:schemaRefs>
</ds:datastoreItem>
</file>

<file path=customXml/itemProps3.xml><?xml version="1.0" encoding="utf-8"?>
<ds:datastoreItem xmlns:ds="http://schemas.openxmlformats.org/officeDocument/2006/customXml" ds:itemID="{24781200-F322-49AA-A245-27114FB46BB6}">
  <ds:schemaRefs>
    <ds:schemaRef ds:uri="57B06EBC-E449-4063-9A8B-A829799BE7C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18ADF02-4520-4E91-B956-EA8F86EC5400}">
  <ds:schemaRefs>
    <ds:schemaRef ds:uri="http://schemas.microsoft.com/sharepoint/v3/contenttype/forms"/>
  </ds:schemaRefs>
</ds:datastoreItem>
</file>

<file path=customXml/itemProps5.xml><?xml version="1.0" encoding="utf-8"?>
<ds:datastoreItem xmlns:ds="http://schemas.openxmlformats.org/officeDocument/2006/customXml" ds:itemID="{0759CF3D-094B-4969-B157-3C325574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DE5017A8.dotm</Template>
  <TotalTime>1</TotalTime>
  <Pages>5</Pages>
  <Words>4244</Words>
  <Characters>24192</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David McLaren</dc:creator>
  <cp:lastModifiedBy>LITTLE,Mitchell</cp:lastModifiedBy>
  <cp:revision>2</cp:revision>
  <cp:lastPrinted>2018-10-26T02:39:00Z</cp:lastPrinted>
  <dcterms:created xsi:type="dcterms:W3CDTF">2018-12-11T05:43:00Z</dcterms:created>
  <dcterms:modified xsi:type="dcterms:W3CDTF">2018-12-11T05:43:00Z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2016-06-14T10:49:14Z</vt:lpwstr>
  </property>
  <property fmtid="{D5CDD505-2E9C-101B-9397-08002B2CF9AE}" pid="3" name="ContentType">
    <vt:lpwstr>Ddocs Word Document</vt:lpwstr>
  </property>
  <property fmtid="{D5CDD505-2E9C-101B-9397-08002B2CF9AE}" pid="4" name="DNetUniqueId">
    <vt:lpwstr>D08-9029381</vt:lpwstr>
  </property>
  <property fmtid="{D5CDD505-2E9C-101B-9397-08002B2CF9AE}" pid="5" name="ContentTypeId">
    <vt:lpwstr>0x010100266966F133664895A6EE3632470D45F50002871BA85A6C8E4181DE7AF25361B48D</vt:lpwstr>
  </property>
  <property fmtid="{D5CDD505-2E9C-101B-9397-08002B2CF9AE}" pid="6" name="_dlc_policyId">
    <vt:lpwstr/>
  </property>
  <property fmtid="{D5CDD505-2E9C-101B-9397-08002B2CF9AE}" pid="7" name="ItemRetentionFormula">
    <vt:lpwstr/>
  </property>
</Properties>
</file>