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4F70B" w14:textId="77777777" w:rsidR="005E317F" w:rsidRDefault="005E317F" w:rsidP="005E317F">
      <w:pPr>
        <w:rPr>
          <w:sz w:val="28"/>
        </w:rPr>
      </w:pPr>
      <w:r>
        <w:rPr>
          <w:noProof/>
          <w:lang w:eastAsia="en-AU" w:bidi="bn-IN"/>
        </w:rPr>
        <w:drawing>
          <wp:inline distT="0" distB="0" distL="0" distR="0" wp14:anchorId="71CB9F6F" wp14:editId="2BB066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F61899" w14:textId="77777777" w:rsidR="005E317F" w:rsidRDefault="005E317F" w:rsidP="005E317F">
      <w:pPr>
        <w:rPr>
          <w:sz w:val="19"/>
        </w:rPr>
      </w:pPr>
    </w:p>
    <w:p w14:paraId="411A5084" w14:textId="77777777" w:rsidR="005E317F" w:rsidRPr="00E500D4" w:rsidRDefault="00B3368A" w:rsidP="005E317F">
      <w:pPr>
        <w:pStyle w:val="ShortT"/>
      </w:pPr>
      <w:r>
        <w:t>Indigenous Student Assistance Grants Amendment Guidelines</w:t>
      </w:r>
      <w:r w:rsidR="005E317F" w:rsidRPr="00B973E5">
        <w:t xml:space="preserve"> </w:t>
      </w:r>
      <w:r>
        <w:t>2018</w:t>
      </w:r>
    </w:p>
    <w:p w14:paraId="298FB4DE" w14:textId="77777777" w:rsidR="005E317F" w:rsidRPr="00DA182D" w:rsidRDefault="005E317F" w:rsidP="005E317F">
      <w:pPr>
        <w:pStyle w:val="SignCoverPageStart"/>
        <w:spacing w:before="240"/>
        <w:ind w:right="91"/>
        <w:rPr>
          <w:szCs w:val="22"/>
        </w:rPr>
      </w:pPr>
      <w:r w:rsidRPr="00DA182D">
        <w:rPr>
          <w:szCs w:val="22"/>
        </w:rPr>
        <w:t xml:space="preserve">I, </w:t>
      </w:r>
      <w:r w:rsidR="00B3368A">
        <w:rPr>
          <w:szCs w:val="22"/>
        </w:rPr>
        <w:t>Nigel Scullion</w:t>
      </w:r>
      <w:r w:rsidRPr="00DA182D">
        <w:rPr>
          <w:szCs w:val="22"/>
        </w:rPr>
        <w:t xml:space="preserve">, </w:t>
      </w:r>
      <w:r w:rsidR="00B3368A">
        <w:rPr>
          <w:szCs w:val="22"/>
        </w:rPr>
        <w:t>Minister for Indigenous Affairs</w:t>
      </w:r>
      <w:r w:rsidRPr="00DA182D">
        <w:rPr>
          <w:szCs w:val="22"/>
        </w:rPr>
        <w:t xml:space="preserve">, </w:t>
      </w:r>
      <w:r>
        <w:rPr>
          <w:szCs w:val="22"/>
        </w:rPr>
        <w:t xml:space="preserve">make the following </w:t>
      </w:r>
      <w:r w:rsidR="00B3368A">
        <w:rPr>
          <w:szCs w:val="22"/>
        </w:rPr>
        <w:t>instrument</w:t>
      </w:r>
      <w:r w:rsidRPr="00DA182D">
        <w:rPr>
          <w:szCs w:val="22"/>
        </w:rPr>
        <w:t>.</w:t>
      </w:r>
    </w:p>
    <w:p w14:paraId="091A651F" w14:textId="0EDA5D75"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A3288F">
        <w:rPr>
          <w:szCs w:val="22"/>
        </w:rPr>
        <w:t>4</w:t>
      </w:r>
      <w:r w:rsidR="00A3288F" w:rsidRPr="00FB6E4A">
        <w:rPr>
          <w:szCs w:val="22"/>
          <w:vertAlign w:val="superscript"/>
        </w:rPr>
        <w:t>th</w:t>
      </w:r>
      <w:r w:rsidR="00A3288F">
        <w:rPr>
          <w:szCs w:val="22"/>
        </w:rPr>
        <w:t xml:space="preserve"> December</w:t>
      </w:r>
      <w:r w:rsidRPr="00001A63">
        <w:rPr>
          <w:szCs w:val="22"/>
        </w:rPr>
        <w:tab/>
      </w:r>
      <w:r>
        <w:rPr>
          <w:szCs w:val="22"/>
        </w:rPr>
        <w:tab/>
      </w:r>
      <w:r w:rsidRPr="00001A63">
        <w:rPr>
          <w:szCs w:val="22"/>
        </w:rPr>
        <w:tab/>
      </w:r>
    </w:p>
    <w:p w14:paraId="54A5F9C7" w14:textId="4F91FBC7" w:rsidR="005E317F" w:rsidRDefault="00B3368A" w:rsidP="005E317F">
      <w:pPr>
        <w:keepNext/>
        <w:tabs>
          <w:tab w:val="left" w:pos="3402"/>
        </w:tabs>
        <w:spacing w:before="1440" w:line="300" w:lineRule="atLeast"/>
        <w:ind w:right="397"/>
        <w:rPr>
          <w:b/>
          <w:szCs w:val="22"/>
        </w:rPr>
      </w:pPr>
      <w:r>
        <w:rPr>
          <w:szCs w:val="22"/>
        </w:rPr>
        <w:t>Nigel Scullion</w:t>
      </w:r>
      <w:r w:rsidR="005E317F" w:rsidRPr="00A75FE9">
        <w:rPr>
          <w:szCs w:val="22"/>
        </w:rPr>
        <w:t xml:space="preserve"> </w:t>
      </w:r>
      <w:bookmarkStart w:id="0" w:name="_GoBack"/>
      <w:bookmarkEnd w:id="0"/>
    </w:p>
    <w:p w14:paraId="7E6C24E0" w14:textId="77777777" w:rsidR="005E317F" w:rsidRPr="000D3FB9" w:rsidRDefault="00B3368A" w:rsidP="005E317F">
      <w:pPr>
        <w:pStyle w:val="SignCoverPageEnd"/>
        <w:ind w:right="91"/>
        <w:rPr>
          <w:sz w:val="22"/>
        </w:rPr>
      </w:pPr>
      <w:r>
        <w:rPr>
          <w:sz w:val="22"/>
        </w:rPr>
        <w:t>Minister for Indigenous Affairs</w:t>
      </w:r>
    </w:p>
    <w:p w14:paraId="15CFA08F" w14:textId="77777777" w:rsidR="00B20990" w:rsidRDefault="00B20990" w:rsidP="00B20990"/>
    <w:p w14:paraId="25B58EA9" w14:textId="77777777" w:rsidR="00B20990" w:rsidRDefault="00B20990" w:rsidP="00B20990">
      <w:pPr>
        <w:sectPr w:rsidR="00B20990" w:rsidSect="00B20990">
          <w:headerReference w:type="even" r:id="rId11"/>
          <w:headerReference w:type="default" r:id="rId12"/>
          <w:footerReference w:type="even" r:id="rId13"/>
          <w:footerReference w:type="default" r:id="rId14"/>
          <w:headerReference w:type="first" r:id="rId15"/>
          <w:footerReference w:type="first" r:id="rId16"/>
          <w:type w:val="continuous"/>
          <w:pgSz w:w="11907" w:h="16839"/>
          <w:pgMar w:top="1440" w:right="1797" w:bottom="1440" w:left="1797" w:header="720" w:footer="709" w:gutter="0"/>
          <w:cols w:space="708"/>
          <w:titlePg/>
          <w:docGrid w:linePitch="360"/>
        </w:sectPr>
      </w:pPr>
    </w:p>
    <w:p w14:paraId="412EAB42" w14:textId="77777777" w:rsidR="00B20990" w:rsidRDefault="00B20990" w:rsidP="00B20990">
      <w:pPr>
        <w:outlineLvl w:val="0"/>
        <w:rPr>
          <w:sz w:val="36"/>
        </w:rPr>
      </w:pPr>
      <w:r w:rsidRPr="007A1328">
        <w:rPr>
          <w:sz w:val="36"/>
        </w:rPr>
        <w:lastRenderedPageBreak/>
        <w:t>Contents</w:t>
      </w:r>
    </w:p>
    <w:bookmarkStart w:id="1" w:name="BKCheck15B_2"/>
    <w:bookmarkEnd w:id="1"/>
    <w:p w14:paraId="366CCFDB" w14:textId="77777777" w:rsidR="00736A8B"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736A8B">
        <w:rPr>
          <w:noProof/>
        </w:rPr>
        <w:t>1  Name</w:t>
      </w:r>
      <w:r w:rsidR="00736A8B">
        <w:rPr>
          <w:noProof/>
        </w:rPr>
        <w:tab/>
      </w:r>
      <w:r w:rsidR="00736A8B">
        <w:rPr>
          <w:noProof/>
        </w:rPr>
        <w:fldChar w:fldCharType="begin"/>
      </w:r>
      <w:r w:rsidR="00736A8B">
        <w:rPr>
          <w:noProof/>
        </w:rPr>
        <w:instrText xml:space="preserve"> PAGEREF _Toc530250211 \h </w:instrText>
      </w:r>
      <w:r w:rsidR="00736A8B">
        <w:rPr>
          <w:noProof/>
        </w:rPr>
      </w:r>
      <w:r w:rsidR="00736A8B">
        <w:rPr>
          <w:noProof/>
        </w:rPr>
        <w:fldChar w:fldCharType="separate"/>
      </w:r>
      <w:r w:rsidR="00736A8B">
        <w:rPr>
          <w:noProof/>
        </w:rPr>
        <w:t>1</w:t>
      </w:r>
      <w:r w:rsidR="00736A8B">
        <w:rPr>
          <w:noProof/>
        </w:rPr>
        <w:fldChar w:fldCharType="end"/>
      </w:r>
    </w:p>
    <w:p w14:paraId="076EC5FA" w14:textId="77777777" w:rsidR="00736A8B" w:rsidRDefault="00736A8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_Toc530250212 \h </w:instrText>
      </w:r>
      <w:r>
        <w:rPr>
          <w:noProof/>
        </w:rPr>
      </w:r>
      <w:r>
        <w:rPr>
          <w:noProof/>
        </w:rPr>
        <w:fldChar w:fldCharType="separate"/>
      </w:r>
      <w:r>
        <w:rPr>
          <w:noProof/>
        </w:rPr>
        <w:t>1</w:t>
      </w:r>
      <w:r>
        <w:rPr>
          <w:noProof/>
        </w:rPr>
        <w:fldChar w:fldCharType="end"/>
      </w:r>
    </w:p>
    <w:p w14:paraId="3FADAAE3" w14:textId="77777777" w:rsidR="00736A8B" w:rsidRDefault="00736A8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_Toc530250213 \h </w:instrText>
      </w:r>
      <w:r>
        <w:rPr>
          <w:noProof/>
        </w:rPr>
      </w:r>
      <w:r>
        <w:rPr>
          <w:noProof/>
        </w:rPr>
        <w:fldChar w:fldCharType="separate"/>
      </w:r>
      <w:r>
        <w:rPr>
          <w:noProof/>
        </w:rPr>
        <w:t>1</w:t>
      </w:r>
      <w:r>
        <w:rPr>
          <w:noProof/>
        </w:rPr>
        <w:fldChar w:fldCharType="end"/>
      </w:r>
    </w:p>
    <w:p w14:paraId="0481A09C" w14:textId="77777777" w:rsidR="00736A8B" w:rsidRDefault="00736A8B">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_Toc530250214 \h </w:instrText>
      </w:r>
      <w:r>
        <w:rPr>
          <w:noProof/>
        </w:rPr>
      </w:r>
      <w:r>
        <w:rPr>
          <w:noProof/>
        </w:rPr>
        <w:fldChar w:fldCharType="separate"/>
      </w:r>
      <w:r>
        <w:rPr>
          <w:noProof/>
        </w:rPr>
        <w:t>1</w:t>
      </w:r>
      <w:r>
        <w:rPr>
          <w:noProof/>
        </w:rPr>
        <w:fldChar w:fldCharType="end"/>
      </w:r>
    </w:p>
    <w:p w14:paraId="7BFB217D" w14:textId="77777777" w:rsidR="00736A8B" w:rsidRDefault="00736A8B">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_Toc530250215 \h </w:instrText>
      </w:r>
      <w:r>
        <w:rPr>
          <w:noProof/>
        </w:rPr>
      </w:r>
      <w:r>
        <w:rPr>
          <w:noProof/>
        </w:rPr>
        <w:fldChar w:fldCharType="separate"/>
      </w:r>
      <w:r>
        <w:rPr>
          <w:noProof/>
        </w:rPr>
        <w:t>2</w:t>
      </w:r>
      <w:r>
        <w:rPr>
          <w:noProof/>
        </w:rPr>
        <w:fldChar w:fldCharType="end"/>
      </w:r>
    </w:p>
    <w:p w14:paraId="6C40A7AD" w14:textId="0381332A" w:rsidR="00736A8B" w:rsidRDefault="00736A8B">
      <w:pPr>
        <w:pStyle w:val="TOC9"/>
        <w:rPr>
          <w:rFonts w:asciiTheme="minorHAnsi" w:eastAsiaTheme="minorEastAsia" w:hAnsiTheme="minorHAnsi" w:cstheme="minorBidi"/>
          <w:i w:val="0"/>
          <w:noProof/>
          <w:kern w:val="0"/>
          <w:sz w:val="22"/>
          <w:szCs w:val="22"/>
        </w:rPr>
      </w:pPr>
      <w:r>
        <w:rPr>
          <w:noProof/>
        </w:rPr>
        <w:t>Indigenous Student Assistance Grants Guidelines 201</w:t>
      </w:r>
      <w:r w:rsidR="00DE5C6F">
        <w:rPr>
          <w:noProof/>
        </w:rPr>
        <w:t>7</w:t>
      </w:r>
      <w:r>
        <w:rPr>
          <w:noProof/>
        </w:rPr>
        <w:tab/>
      </w:r>
      <w:r>
        <w:rPr>
          <w:noProof/>
        </w:rPr>
        <w:fldChar w:fldCharType="begin"/>
      </w:r>
      <w:r>
        <w:rPr>
          <w:noProof/>
        </w:rPr>
        <w:instrText xml:space="preserve"> PAGEREF _Toc530250216 \h </w:instrText>
      </w:r>
      <w:r>
        <w:rPr>
          <w:noProof/>
        </w:rPr>
      </w:r>
      <w:r>
        <w:rPr>
          <w:noProof/>
        </w:rPr>
        <w:fldChar w:fldCharType="separate"/>
      </w:r>
      <w:r>
        <w:rPr>
          <w:noProof/>
        </w:rPr>
        <w:t>2</w:t>
      </w:r>
      <w:r>
        <w:rPr>
          <w:noProof/>
        </w:rPr>
        <w:fldChar w:fldCharType="end"/>
      </w:r>
    </w:p>
    <w:p w14:paraId="703F785A" w14:textId="77777777" w:rsidR="00B20990" w:rsidRDefault="00B20990" w:rsidP="005E317F">
      <w:r w:rsidRPr="005E317F">
        <w:rPr>
          <w:rFonts w:cs="Times New Roman"/>
          <w:sz w:val="20"/>
        </w:rPr>
        <w:fldChar w:fldCharType="end"/>
      </w:r>
    </w:p>
    <w:p w14:paraId="4DF8F953" w14:textId="77777777" w:rsidR="00B20990" w:rsidRDefault="00B20990" w:rsidP="00B20990"/>
    <w:p w14:paraId="00E9A8AD" w14:textId="77777777" w:rsidR="00B20990" w:rsidRDefault="00B20990" w:rsidP="00B20990">
      <w:pPr>
        <w:sectPr w:rsidR="00B20990" w:rsidSect="001D3AC7">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1EF8A195" w14:textId="77777777" w:rsidR="005E317F" w:rsidRPr="009C2562" w:rsidRDefault="005E317F" w:rsidP="005E317F">
      <w:pPr>
        <w:pStyle w:val="ActHead5"/>
      </w:pPr>
      <w:bookmarkStart w:id="2" w:name="_Toc530250211"/>
      <w:r w:rsidRPr="009C2562">
        <w:rPr>
          <w:rStyle w:val="CharSectno"/>
        </w:rPr>
        <w:lastRenderedPageBreak/>
        <w:t>1</w:t>
      </w:r>
      <w:r w:rsidRPr="009C2562">
        <w:t xml:space="preserve">  Name</w:t>
      </w:r>
      <w:bookmarkEnd w:id="2"/>
    </w:p>
    <w:p w14:paraId="435B9577" w14:textId="77777777" w:rsidR="005E317F" w:rsidRPr="00B3368A"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B3368A">
        <w:rPr>
          <w:i/>
        </w:rPr>
        <w:t>Indigenous Student Assistance Grants Amendment Guidelines 2018</w:t>
      </w:r>
      <w:r w:rsidR="00B3368A">
        <w:t>.</w:t>
      </w:r>
    </w:p>
    <w:p w14:paraId="2B81CE63" w14:textId="77777777" w:rsidR="005E317F" w:rsidRDefault="005E317F" w:rsidP="005E317F">
      <w:pPr>
        <w:pStyle w:val="ActHead5"/>
      </w:pPr>
      <w:bookmarkStart w:id="4" w:name="_Toc530250212"/>
      <w:r w:rsidRPr="009C2562">
        <w:rPr>
          <w:rStyle w:val="CharSectno"/>
        </w:rPr>
        <w:t>2</w:t>
      </w:r>
      <w:r w:rsidRPr="009C2562">
        <w:t xml:space="preserve">  Commencement</w:t>
      </w:r>
      <w:bookmarkEnd w:id="4"/>
    </w:p>
    <w:p w14:paraId="2DD76729" w14:textId="77777777" w:rsidR="00B74EDC" w:rsidRPr="00E74967" w:rsidRDefault="00B74EDC" w:rsidP="00B74EDC">
      <w:pPr>
        <w:pStyle w:val="subsection"/>
      </w:pPr>
      <w:r w:rsidRPr="00E74967">
        <w:tab/>
        <w:t>(1)</w:t>
      </w:r>
      <w:r w:rsidRPr="00E74967">
        <w:tab/>
        <w:t xml:space="preserve">Each provision of </w:t>
      </w:r>
      <w:r>
        <w:t>this instrument</w:t>
      </w:r>
      <w:r w:rsidRPr="00E74967">
        <w:t xml:space="preserve"> specified in column 1 of the table commences, or is taken to have commenced, in accordance with column 2 of the table. Any other statement in column 2 has effect according to its terms.</w:t>
      </w:r>
    </w:p>
    <w:p w14:paraId="3B9D5667" w14:textId="77777777" w:rsidR="00B74EDC" w:rsidRDefault="00B74EDC" w:rsidP="00B74EDC">
      <w:pPr>
        <w:pStyle w:val="subsection"/>
        <w:ind w:left="1515" w:firstLine="0"/>
      </w:pPr>
    </w:p>
    <w:tbl>
      <w:tblPr>
        <w:tblW w:w="0" w:type="auto"/>
        <w:tblInd w:w="107" w:type="dxa"/>
        <w:tblCellMar>
          <w:left w:w="0" w:type="dxa"/>
          <w:right w:w="0" w:type="dxa"/>
        </w:tblCellMar>
        <w:tblLook w:val="04A0" w:firstRow="1" w:lastRow="0" w:firstColumn="1" w:lastColumn="0" w:noHBand="0" w:noVBand="1"/>
      </w:tblPr>
      <w:tblGrid>
        <w:gridCol w:w="2227"/>
        <w:gridCol w:w="3337"/>
        <w:gridCol w:w="2642"/>
      </w:tblGrid>
      <w:tr w:rsidR="00B74EDC" w:rsidRPr="004111FE" w14:paraId="47C9A5B1" w14:textId="77777777" w:rsidTr="00766D2B">
        <w:trPr>
          <w:tblHeader/>
        </w:trPr>
        <w:tc>
          <w:tcPr>
            <w:tcW w:w="8364"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1E088456"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b/>
                <w:bCs/>
                <w:sz w:val="20"/>
                <w:lang w:eastAsia="en-AU"/>
              </w:rPr>
            </w:pPr>
            <w:r w:rsidRPr="004111FE">
              <w:rPr>
                <w:rFonts w:ascii="Helvetica Neue" w:eastAsia="Times New Roman" w:hAnsi="Helvetica Neue" w:cs="Times New Roman"/>
                <w:b/>
                <w:bCs/>
                <w:sz w:val="20"/>
                <w:lang w:eastAsia="en-AU"/>
              </w:rPr>
              <w:t>Commencement information</w:t>
            </w:r>
          </w:p>
        </w:tc>
      </w:tr>
      <w:tr w:rsidR="00B74EDC" w:rsidRPr="004111FE" w14:paraId="17DD73C2" w14:textId="77777777" w:rsidTr="00766D2B">
        <w:trPr>
          <w:tblHeader/>
        </w:trPr>
        <w:tc>
          <w:tcPr>
            <w:tcW w:w="2268" w:type="dxa"/>
            <w:tcBorders>
              <w:top w:val="nil"/>
              <w:left w:val="nil"/>
              <w:bottom w:val="single" w:sz="8" w:space="0" w:color="auto"/>
              <w:right w:val="nil"/>
            </w:tcBorders>
            <w:tcMar>
              <w:top w:w="0" w:type="dxa"/>
              <w:left w:w="107" w:type="dxa"/>
              <w:bottom w:w="0" w:type="dxa"/>
              <w:right w:w="107" w:type="dxa"/>
            </w:tcMar>
            <w:hideMark/>
          </w:tcPr>
          <w:p w14:paraId="1DE657F6"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1</w:t>
            </w:r>
          </w:p>
        </w:tc>
        <w:tc>
          <w:tcPr>
            <w:tcW w:w="3402" w:type="dxa"/>
            <w:tcBorders>
              <w:top w:val="nil"/>
              <w:left w:val="nil"/>
              <w:bottom w:val="single" w:sz="8" w:space="0" w:color="auto"/>
              <w:right w:val="nil"/>
            </w:tcBorders>
            <w:tcMar>
              <w:top w:w="0" w:type="dxa"/>
              <w:left w:w="107" w:type="dxa"/>
              <w:bottom w:w="0" w:type="dxa"/>
              <w:right w:w="107" w:type="dxa"/>
            </w:tcMar>
            <w:hideMark/>
          </w:tcPr>
          <w:p w14:paraId="28C937FC"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2</w:t>
            </w:r>
          </w:p>
        </w:tc>
        <w:tc>
          <w:tcPr>
            <w:tcW w:w="2694" w:type="dxa"/>
            <w:tcBorders>
              <w:top w:val="nil"/>
              <w:left w:val="nil"/>
              <w:bottom w:val="single" w:sz="8" w:space="0" w:color="auto"/>
              <w:right w:val="nil"/>
            </w:tcBorders>
            <w:tcMar>
              <w:top w:w="0" w:type="dxa"/>
              <w:left w:w="107" w:type="dxa"/>
              <w:bottom w:w="0" w:type="dxa"/>
              <w:right w:w="107" w:type="dxa"/>
            </w:tcMar>
            <w:hideMark/>
          </w:tcPr>
          <w:p w14:paraId="4A757A31"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Column 3</w:t>
            </w:r>
          </w:p>
        </w:tc>
      </w:tr>
      <w:tr w:rsidR="00B74EDC" w:rsidRPr="004111FE" w14:paraId="6571695C" w14:textId="77777777" w:rsidTr="00766D2B">
        <w:trPr>
          <w:tblHeader/>
        </w:trPr>
        <w:tc>
          <w:tcPr>
            <w:tcW w:w="2268" w:type="dxa"/>
            <w:tcBorders>
              <w:top w:val="nil"/>
              <w:left w:val="nil"/>
              <w:bottom w:val="single" w:sz="12" w:space="0" w:color="auto"/>
              <w:right w:val="nil"/>
            </w:tcBorders>
            <w:tcMar>
              <w:top w:w="0" w:type="dxa"/>
              <w:left w:w="107" w:type="dxa"/>
              <w:bottom w:w="0" w:type="dxa"/>
              <w:right w:w="107" w:type="dxa"/>
            </w:tcMar>
            <w:hideMark/>
          </w:tcPr>
          <w:p w14:paraId="25AE97AB"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Provisions</w:t>
            </w:r>
          </w:p>
        </w:tc>
        <w:tc>
          <w:tcPr>
            <w:tcW w:w="3402" w:type="dxa"/>
            <w:tcBorders>
              <w:top w:val="nil"/>
              <w:left w:val="nil"/>
              <w:bottom w:val="single" w:sz="12" w:space="0" w:color="auto"/>
              <w:right w:val="nil"/>
            </w:tcBorders>
            <w:tcMar>
              <w:top w:w="0" w:type="dxa"/>
              <w:left w:w="107" w:type="dxa"/>
              <w:bottom w:w="0" w:type="dxa"/>
              <w:right w:w="107" w:type="dxa"/>
            </w:tcMar>
            <w:hideMark/>
          </w:tcPr>
          <w:p w14:paraId="35FD4BD2"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Commencement</w:t>
            </w:r>
          </w:p>
        </w:tc>
        <w:tc>
          <w:tcPr>
            <w:tcW w:w="2694" w:type="dxa"/>
            <w:tcBorders>
              <w:top w:val="nil"/>
              <w:left w:val="nil"/>
              <w:bottom w:val="single" w:sz="12" w:space="0" w:color="auto"/>
              <w:right w:val="nil"/>
            </w:tcBorders>
            <w:tcMar>
              <w:top w:w="0" w:type="dxa"/>
              <w:left w:w="107" w:type="dxa"/>
              <w:bottom w:w="0" w:type="dxa"/>
              <w:right w:w="107" w:type="dxa"/>
            </w:tcMar>
            <w:hideMark/>
          </w:tcPr>
          <w:p w14:paraId="515282D1" w14:textId="77777777" w:rsidR="00B74EDC" w:rsidRPr="004111FE" w:rsidRDefault="00B74EDC" w:rsidP="00766D2B">
            <w:pPr>
              <w:spacing w:before="100" w:beforeAutospacing="1" w:after="100" w:afterAutospacing="1" w:line="240" w:lineRule="auto"/>
              <w:rPr>
                <w:rFonts w:ascii="Helvetica Neue" w:eastAsia="Times New Roman" w:hAnsi="Helvetica Neue" w:cs="Times New Roman"/>
                <w:sz w:val="19"/>
                <w:szCs w:val="19"/>
                <w:lang w:eastAsia="en-AU"/>
              </w:rPr>
            </w:pPr>
            <w:r w:rsidRPr="004111FE">
              <w:rPr>
                <w:rFonts w:ascii="Helvetica Neue" w:eastAsia="Times New Roman" w:hAnsi="Helvetica Neue" w:cs="Times New Roman"/>
                <w:b/>
                <w:bCs/>
                <w:sz w:val="20"/>
                <w:lang w:eastAsia="en-AU"/>
              </w:rPr>
              <w:t>Date/Details</w:t>
            </w:r>
          </w:p>
        </w:tc>
      </w:tr>
      <w:tr w:rsidR="00B74EDC" w:rsidRPr="004111FE" w14:paraId="4A82A16D" w14:textId="77777777" w:rsidTr="00766D2B">
        <w:tc>
          <w:tcPr>
            <w:tcW w:w="2268" w:type="dxa"/>
            <w:tcBorders>
              <w:top w:val="nil"/>
              <w:left w:val="nil"/>
              <w:bottom w:val="single" w:sz="12" w:space="0" w:color="auto"/>
              <w:right w:val="nil"/>
            </w:tcBorders>
            <w:tcMar>
              <w:top w:w="0" w:type="dxa"/>
              <w:left w:w="107" w:type="dxa"/>
              <w:bottom w:w="0" w:type="dxa"/>
              <w:right w:w="107" w:type="dxa"/>
            </w:tcMar>
            <w:hideMark/>
          </w:tcPr>
          <w:p w14:paraId="4AE3DBAB" w14:textId="77777777" w:rsidR="00B74EDC" w:rsidRPr="004111FE" w:rsidRDefault="00B74EDC" w:rsidP="00B74EDC">
            <w:pPr>
              <w:spacing w:before="100" w:beforeAutospacing="1" w:after="100" w:afterAutospacing="1" w:line="240" w:lineRule="auto"/>
              <w:ind w:left="35" w:hanging="35"/>
              <w:rPr>
                <w:rFonts w:ascii="Helvetica Neue" w:eastAsia="Times New Roman" w:hAnsi="Helvetica Neue" w:cs="Times New Roman"/>
                <w:sz w:val="19"/>
                <w:szCs w:val="19"/>
                <w:lang w:eastAsia="en-AU"/>
              </w:rPr>
            </w:pPr>
            <w:r w:rsidRPr="004111FE">
              <w:rPr>
                <w:rFonts w:ascii="Helvetica Neue" w:eastAsia="Times New Roman" w:hAnsi="Helvetica Neue" w:cs="Times New Roman"/>
                <w:sz w:val="20"/>
                <w:lang w:eastAsia="en-AU"/>
              </w:rPr>
              <w:t xml:space="preserve">1.  The whole of </w:t>
            </w:r>
            <w:r>
              <w:rPr>
                <w:rFonts w:ascii="Helvetica Neue" w:eastAsia="Times New Roman" w:hAnsi="Helvetica Neue" w:cs="Times New Roman"/>
                <w:sz w:val="20"/>
                <w:lang w:eastAsia="en-AU"/>
              </w:rPr>
              <w:t>this instrument</w:t>
            </w:r>
          </w:p>
        </w:tc>
        <w:tc>
          <w:tcPr>
            <w:tcW w:w="3402" w:type="dxa"/>
            <w:tcBorders>
              <w:top w:val="nil"/>
              <w:left w:val="nil"/>
              <w:bottom w:val="single" w:sz="12" w:space="0" w:color="auto"/>
              <w:right w:val="nil"/>
            </w:tcBorders>
            <w:tcMar>
              <w:top w:w="0" w:type="dxa"/>
              <w:left w:w="107" w:type="dxa"/>
              <w:bottom w:w="0" w:type="dxa"/>
              <w:right w:w="107" w:type="dxa"/>
            </w:tcMar>
            <w:hideMark/>
          </w:tcPr>
          <w:p w14:paraId="226F0285" w14:textId="77777777" w:rsidR="00B74EDC" w:rsidRPr="004111FE" w:rsidRDefault="00B74EDC" w:rsidP="00766D2B">
            <w:pPr>
              <w:spacing w:before="100" w:beforeAutospacing="1" w:after="100" w:afterAutospacing="1" w:line="240" w:lineRule="auto"/>
              <w:ind w:left="35" w:hanging="35"/>
              <w:rPr>
                <w:rFonts w:ascii="Helvetica Neue" w:eastAsia="Times New Roman" w:hAnsi="Helvetica Neue" w:cs="Times New Roman"/>
                <w:sz w:val="19"/>
                <w:szCs w:val="19"/>
                <w:lang w:eastAsia="en-AU"/>
              </w:rPr>
            </w:pPr>
            <w:r>
              <w:rPr>
                <w:rFonts w:ascii="Helvetica Neue" w:eastAsia="Times New Roman" w:hAnsi="Helvetica Neue" w:cs="Times New Roman"/>
                <w:sz w:val="20"/>
                <w:lang w:eastAsia="en-AU"/>
              </w:rPr>
              <w:t>The day after this instrument is registered.</w:t>
            </w:r>
            <w:r w:rsidRPr="004111FE">
              <w:rPr>
                <w:rFonts w:ascii="Helvetica Neue" w:eastAsia="Times New Roman" w:hAnsi="Helvetica Neue" w:cs="Times New Roman"/>
                <w:sz w:val="20"/>
                <w:lang w:eastAsia="en-AU"/>
              </w:rPr>
              <w:t xml:space="preserve"> </w:t>
            </w:r>
          </w:p>
        </w:tc>
        <w:tc>
          <w:tcPr>
            <w:tcW w:w="2694" w:type="dxa"/>
            <w:tcBorders>
              <w:top w:val="nil"/>
              <w:left w:val="nil"/>
              <w:bottom w:val="single" w:sz="12" w:space="0" w:color="auto"/>
              <w:right w:val="nil"/>
            </w:tcBorders>
            <w:tcMar>
              <w:top w:w="0" w:type="dxa"/>
              <w:left w:w="107" w:type="dxa"/>
              <w:bottom w:w="0" w:type="dxa"/>
              <w:right w:w="107" w:type="dxa"/>
            </w:tcMar>
            <w:hideMark/>
          </w:tcPr>
          <w:p w14:paraId="17C0622A" w14:textId="77777777" w:rsidR="00B74EDC" w:rsidRPr="004111FE" w:rsidRDefault="00B74EDC" w:rsidP="00766D2B">
            <w:pPr>
              <w:spacing w:line="240" w:lineRule="auto"/>
              <w:rPr>
                <w:rFonts w:ascii="Helvetica Neue" w:eastAsia="Times New Roman" w:hAnsi="Helvetica Neue" w:cs="Times New Roman"/>
                <w:sz w:val="19"/>
                <w:szCs w:val="19"/>
                <w:lang w:eastAsia="en-AU"/>
              </w:rPr>
            </w:pPr>
          </w:p>
        </w:tc>
      </w:tr>
    </w:tbl>
    <w:p w14:paraId="1077A6F8" w14:textId="77777777" w:rsidR="00B74EDC" w:rsidRPr="00234629" w:rsidRDefault="00B74EDC" w:rsidP="00B74EDC">
      <w:pPr>
        <w:pStyle w:val="notetext"/>
      </w:pPr>
      <w:r w:rsidRPr="009C2562">
        <w:t>Note:</w:t>
      </w:r>
      <w:r w:rsidRPr="009C2562">
        <w:tab/>
      </w:r>
      <w:r w:rsidRPr="004111FE">
        <w:rPr>
          <w:rFonts w:ascii="Helvetica Neue" w:hAnsi="Helvetica Neue"/>
          <w:szCs w:val="18"/>
        </w:rPr>
        <w:t xml:space="preserve">This table relates only to the provisions of </w:t>
      </w:r>
      <w:r>
        <w:rPr>
          <w:rFonts w:ascii="Helvetica Neue" w:hAnsi="Helvetica Neue"/>
          <w:szCs w:val="18"/>
        </w:rPr>
        <w:t>this instrument</w:t>
      </w:r>
      <w:r w:rsidRPr="004111FE">
        <w:rPr>
          <w:rFonts w:ascii="Helvetica Neue" w:hAnsi="Helvetica Neue"/>
          <w:szCs w:val="18"/>
        </w:rPr>
        <w:t xml:space="preserve"> as originally made. It will not be amended to deal with any later amendments of </w:t>
      </w:r>
      <w:r>
        <w:rPr>
          <w:rFonts w:ascii="Helvetica Neue" w:hAnsi="Helvetica Neue"/>
          <w:szCs w:val="18"/>
        </w:rPr>
        <w:t>this instrument</w:t>
      </w:r>
      <w:r w:rsidRPr="004111FE">
        <w:rPr>
          <w:rFonts w:ascii="Helvetica Neue" w:hAnsi="Helvetica Neue"/>
          <w:szCs w:val="18"/>
        </w:rPr>
        <w:t>.</w:t>
      </w:r>
    </w:p>
    <w:p w14:paraId="594D3FCD" w14:textId="77777777" w:rsidR="005E317F" w:rsidRPr="00232984" w:rsidRDefault="00B74EDC" w:rsidP="00B74EDC">
      <w:pPr>
        <w:pStyle w:val="subsection"/>
        <w:jc w:val="both"/>
      </w:pPr>
      <w:r w:rsidRPr="00E74967">
        <w:tab/>
        <w:t>(2)</w:t>
      </w:r>
      <w:r w:rsidRPr="00E74967">
        <w:tab/>
        <w:t xml:space="preserve">Any information in column 3 of the table is not part of this </w:t>
      </w:r>
      <w:r>
        <w:t>this instrument</w:t>
      </w:r>
      <w:r w:rsidRPr="00E74967">
        <w:t xml:space="preserve">. Information may be inserted in this column, or information in it may be edited, in any published version of </w:t>
      </w:r>
      <w:r>
        <w:t>this instrument</w:t>
      </w:r>
      <w:r w:rsidRPr="00E74967">
        <w:t>.</w:t>
      </w:r>
    </w:p>
    <w:p w14:paraId="03956ECC" w14:textId="77777777" w:rsidR="005E317F" w:rsidRPr="009C2562" w:rsidRDefault="005E317F" w:rsidP="005E317F">
      <w:pPr>
        <w:pStyle w:val="ActHead5"/>
      </w:pPr>
      <w:bookmarkStart w:id="5" w:name="_Toc530250213"/>
      <w:r w:rsidRPr="009C2562">
        <w:rPr>
          <w:rStyle w:val="CharSectno"/>
        </w:rPr>
        <w:t>3</w:t>
      </w:r>
      <w:r w:rsidRPr="009C2562">
        <w:t xml:space="preserve">  Authority</w:t>
      </w:r>
      <w:bookmarkEnd w:id="5"/>
    </w:p>
    <w:p w14:paraId="16C83AFD" w14:textId="77777777" w:rsidR="005E317F" w:rsidRDefault="005E317F" w:rsidP="005E317F">
      <w:pPr>
        <w:pStyle w:val="subsection"/>
      </w:pPr>
      <w:r w:rsidRPr="009C2562">
        <w:tab/>
      </w:r>
      <w:r w:rsidRPr="009C2562">
        <w:tab/>
        <w:t xml:space="preserve">This instrument is made under </w:t>
      </w:r>
      <w:r w:rsidR="00853E69">
        <w:t>sub</w:t>
      </w:r>
      <w:r w:rsidR="00B3368A">
        <w:t>section 238-10</w:t>
      </w:r>
      <w:r w:rsidR="00853E69">
        <w:t>(1)</w:t>
      </w:r>
      <w:r w:rsidR="00B3368A">
        <w:t xml:space="preserve"> of the Act</w:t>
      </w:r>
      <w:r w:rsidRPr="009C2562">
        <w:t>.</w:t>
      </w:r>
    </w:p>
    <w:p w14:paraId="1A8BBC34" w14:textId="1EA45C81" w:rsidR="00B3368A" w:rsidRDefault="00B3368A" w:rsidP="00853E69">
      <w:pPr>
        <w:pStyle w:val="notetext"/>
      </w:pPr>
      <w:r w:rsidRPr="009C2562">
        <w:t>Note:</w:t>
      </w:r>
      <w:r w:rsidRPr="009C2562">
        <w:tab/>
      </w:r>
      <w:r w:rsidR="00853E69">
        <w:t xml:space="preserve">Subsection 33(3) of the </w:t>
      </w:r>
      <w:r w:rsidR="00853E69">
        <w:rPr>
          <w:i/>
        </w:rPr>
        <w:t>Acts Interpretation Act 1901</w:t>
      </w:r>
      <w:r w:rsidR="00853E69">
        <w:t xml:space="preserve"> has the effect that Guidelines made under subsection 238</w:t>
      </w:r>
      <w:r w:rsidR="00617F71">
        <w:t>-10</w:t>
      </w:r>
      <w:r w:rsidR="00853E69">
        <w:t xml:space="preserve">(1) may be </w:t>
      </w:r>
      <w:r w:rsidR="003A192E">
        <w:t>amended</w:t>
      </w:r>
      <w:r w:rsidR="00853E69">
        <w:t>.</w:t>
      </w:r>
    </w:p>
    <w:p w14:paraId="7DBFC485" w14:textId="77777777" w:rsidR="005E317F" w:rsidRPr="006065DA" w:rsidRDefault="005E317F" w:rsidP="005E317F">
      <w:pPr>
        <w:pStyle w:val="ActHead5"/>
      </w:pPr>
      <w:bookmarkStart w:id="6" w:name="_Toc530250214"/>
      <w:r w:rsidRPr="006065DA">
        <w:t>4  Schedules</w:t>
      </w:r>
      <w:bookmarkEnd w:id="6"/>
    </w:p>
    <w:p w14:paraId="40E313E8"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27F9334" w14:textId="77777777" w:rsidR="005E317F" w:rsidRDefault="005E317F" w:rsidP="005E317F">
      <w:pPr>
        <w:pStyle w:val="ActHead6"/>
        <w:pageBreakBefore/>
      </w:pPr>
      <w:bookmarkStart w:id="7" w:name="_Toc530250215"/>
      <w:r w:rsidRPr="00DB64FC">
        <w:rPr>
          <w:rStyle w:val="CharAmSchNo"/>
        </w:rPr>
        <w:lastRenderedPageBreak/>
        <w:t>Schedule 1</w:t>
      </w:r>
      <w:r>
        <w:t>—</w:t>
      </w:r>
      <w:r w:rsidRPr="00DB64FC">
        <w:rPr>
          <w:rStyle w:val="CharAmSchText"/>
        </w:rPr>
        <w:t>Amendments</w:t>
      </w:r>
      <w:bookmarkEnd w:id="7"/>
    </w:p>
    <w:p w14:paraId="533F2F9F" w14:textId="632101DF" w:rsidR="005E317F" w:rsidRDefault="00B3368A" w:rsidP="005E317F">
      <w:pPr>
        <w:pStyle w:val="ActHead9"/>
      </w:pPr>
      <w:bookmarkStart w:id="8" w:name="_Toc530250216"/>
      <w:r>
        <w:t xml:space="preserve">Indigenous Student Assistance Grants Guidelines </w:t>
      </w:r>
      <w:bookmarkEnd w:id="8"/>
      <w:r w:rsidR="00617F71">
        <w:t>2017</w:t>
      </w:r>
    </w:p>
    <w:p w14:paraId="3A12B8A9" w14:textId="77777777" w:rsidR="007148F8" w:rsidRDefault="007148F8" w:rsidP="007148F8">
      <w:pPr>
        <w:pStyle w:val="ItemHead"/>
      </w:pPr>
      <w:r>
        <w:t>1  Subsection 7(2) (item 1, column 3 of the table)</w:t>
      </w:r>
    </w:p>
    <w:p w14:paraId="7B42F353" w14:textId="77777777" w:rsidR="007148F8" w:rsidRDefault="007148F8" w:rsidP="007148F8">
      <w:pPr>
        <w:pStyle w:val="Item"/>
      </w:pPr>
      <w:r>
        <w:t>Omit “previous”, substitute “year before the”.</w:t>
      </w:r>
    </w:p>
    <w:p w14:paraId="527D9F60" w14:textId="77777777" w:rsidR="00C61F0E" w:rsidRDefault="007148F8" w:rsidP="00C61F0E">
      <w:pPr>
        <w:pStyle w:val="ItemHead"/>
      </w:pPr>
      <w:r>
        <w:t>2</w:t>
      </w:r>
      <w:r w:rsidR="00C61F0E">
        <w:t xml:space="preserve">  Subsection 7(3)</w:t>
      </w:r>
    </w:p>
    <w:p w14:paraId="5762B3BE" w14:textId="77777777" w:rsidR="00F6443C" w:rsidRDefault="00C61F0E" w:rsidP="00F6443C">
      <w:pPr>
        <w:pStyle w:val="Item"/>
      </w:pPr>
      <w:r>
        <w:t>Repeal the subsection.</w:t>
      </w:r>
    </w:p>
    <w:p w14:paraId="68DBB71D" w14:textId="5660B73E" w:rsidR="001E5B4C" w:rsidRDefault="006E1062" w:rsidP="001E5B4C">
      <w:pPr>
        <w:pStyle w:val="ItemHead"/>
      </w:pPr>
      <w:r>
        <w:t>3</w:t>
      </w:r>
      <w:r w:rsidR="001E5B4C">
        <w:t xml:space="preserve">  Paragraph 10(1)(b)</w:t>
      </w:r>
    </w:p>
    <w:p w14:paraId="500CBD8F" w14:textId="77777777" w:rsidR="001E5B4C" w:rsidRPr="001E5B4C" w:rsidRDefault="001E5B4C" w:rsidP="005F695D">
      <w:pPr>
        <w:pStyle w:val="Item"/>
      </w:pPr>
      <w:r>
        <w:t>Omit “can demonstrate it”.</w:t>
      </w:r>
    </w:p>
    <w:p w14:paraId="7C634A45" w14:textId="4BA88C70" w:rsidR="00C61F0E" w:rsidRDefault="003346D6" w:rsidP="00C61F0E">
      <w:pPr>
        <w:pStyle w:val="ItemHead"/>
      </w:pPr>
      <w:r>
        <w:t>4</w:t>
      </w:r>
      <w:r w:rsidR="00C61F0E">
        <w:t xml:space="preserve">  </w:t>
      </w:r>
      <w:r w:rsidR="0078329D">
        <w:t>Subp</w:t>
      </w:r>
      <w:r w:rsidR="008F1F2F">
        <w:t>aragraph 11(a)</w:t>
      </w:r>
      <w:r w:rsidR="0078329D">
        <w:t>(i)</w:t>
      </w:r>
    </w:p>
    <w:p w14:paraId="082531C8" w14:textId="77777777" w:rsidR="00C61F0E" w:rsidRDefault="00C61F0E" w:rsidP="00C61F0E">
      <w:pPr>
        <w:pStyle w:val="Item"/>
      </w:pPr>
      <w:r>
        <w:t xml:space="preserve">Repeal the </w:t>
      </w:r>
      <w:r w:rsidR="0078329D">
        <w:t>sub</w:t>
      </w:r>
      <w:r w:rsidR="008F1F2F">
        <w:t>paragraph</w:t>
      </w:r>
      <w:r>
        <w:t>, substitute:</w:t>
      </w:r>
    </w:p>
    <w:p w14:paraId="15F36AC0" w14:textId="77777777" w:rsidR="000375BC" w:rsidRDefault="000375BC" w:rsidP="000375BC">
      <w:pPr>
        <w:pStyle w:val="paragraphsub"/>
      </w:pPr>
      <w:r>
        <w:tab/>
        <w:t>(i</w:t>
      </w:r>
      <w:r w:rsidRPr="00AA76A0">
        <w:t>)</w:t>
      </w:r>
      <w:r w:rsidRPr="00AA76A0">
        <w:tab/>
      </w:r>
      <w:r>
        <w:t>at least 2 Indigenous persons, at least one of whom is an appropriately qualified senior academic employee, or appropriately qualified senior executive employee, of the provider; or</w:t>
      </w:r>
    </w:p>
    <w:p w14:paraId="3652F7DB" w14:textId="5E80B138" w:rsidR="0078329D" w:rsidRDefault="003346D6" w:rsidP="0078329D">
      <w:pPr>
        <w:pStyle w:val="ItemHead"/>
      </w:pPr>
      <w:r>
        <w:t>5</w:t>
      </w:r>
      <w:r w:rsidR="0078329D">
        <w:t xml:space="preserve">  Subparagraph 11(a)(ii)</w:t>
      </w:r>
    </w:p>
    <w:p w14:paraId="27FB5790" w14:textId="77777777" w:rsidR="000375BC" w:rsidRPr="00AA76A0" w:rsidRDefault="0078329D" w:rsidP="005F695D">
      <w:pPr>
        <w:pStyle w:val="Item"/>
      </w:pPr>
      <w:r>
        <w:t>Repeal the subparagraph</w:t>
      </w:r>
    </w:p>
    <w:p w14:paraId="705B0255" w14:textId="7D971C3A" w:rsidR="005E317F" w:rsidRDefault="003346D6" w:rsidP="005E317F">
      <w:pPr>
        <w:pStyle w:val="ItemHead"/>
      </w:pPr>
      <w:r>
        <w:t>6</w:t>
      </w:r>
      <w:r w:rsidR="005E317F">
        <w:t xml:space="preserve">  </w:t>
      </w:r>
      <w:r w:rsidR="008F1F2F">
        <w:t>Paragraph 12(a)</w:t>
      </w:r>
    </w:p>
    <w:p w14:paraId="6E755A9B" w14:textId="77777777" w:rsidR="005E317F" w:rsidRDefault="008F1F2F" w:rsidP="005E317F">
      <w:pPr>
        <w:pStyle w:val="Item"/>
      </w:pPr>
      <w:r>
        <w:t>Repeal the paragraph, substitute:</w:t>
      </w:r>
    </w:p>
    <w:p w14:paraId="2721E385" w14:textId="77777777" w:rsidR="008F1F2F" w:rsidRDefault="008F1F2F" w:rsidP="008F1F2F">
      <w:pPr>
        <w:pStyle w:val="paragraph"/>
      </w:pPr>
      <w:r w:rsidRPr="00BE3917">
        <w:tab/>
        <w:t>(a)</w:t>
      </w:r>
      <w:r w:rsidRPr="00BE3917">
        <w:tab/>
      </w:r>
      <w:r>
        <w:t>include the following key performance indicators:</w:t>
      </w:r>
    </w:p>
    <w:p w14:paraId="5A223EDB" w14:textId="534BE6B0" w:rsidR="008F1F2F" w:rsidRPr="00AA76A0" w:rsidRDefault="008F1F2F" w:rsidP="008F1F2F">
      <w:pPr>
        <w:pStyle w:val="paragraphsub"/>
      </w:pPr>
      <w:r w:rsidRPr="00AA76A0">
        <w:tab/>
        <w:t>(i)</w:t>
      </w:r>
      <w:r w:rsidRPr="00AA76A0">
        <w:tab/>
      </w:r>
      <w:r>
        <w:t xml:space="preserve">a key performance indicator that the number of employees engaged by the provider who are Indigenous persons is at least 3 per cent, or other </w:t>
      </w:r>
      <w:r w:rsidR="00BE1093">
        <w:t xml:space="preserve">higher </w:t>
      </w:r>
      <w:r>
        <w:t xml:space="preserve">percentage </w:t>
      </w:r>
      <w:r w:rsidR="007028D0">
        <w:t>agreed</w:t>
      </w:r>
      <w:r w:rsidR="00BE1093">
        <w:t xml:space="preserve"> </w:t>
      </w:r>
      <w:r>
        <w:t>by the Minister</w:t>
      </w:r>
      <w:r w:rsidR="007028D0">
        <w:t xml:space="preserve"> and the provider</w:t>
      </w:r>
      <w:r w:rsidR="00201CF7">
        <w:t xml:space="preserve"> </w:t>
      </w:r>
      <w:r w:rsidR="00292FBA">
        <w:t xml:space="preserve">before </w:t>
      </w:r>
      <w:r w:rsidR="001B5DE1">
        <w:br/>
      </w:r>
      <w:r w:rsidR="00344E5A">
        <w:t>24 November</w:t>
      </w:r>
      <w:r w:rsidR="00805E4D">
        <w:t xml:space="preserve"> </w:t>
      </w:r>
      <w:r w:rsidR="00292FBA">
        <w:t>of the year before the grant year</w:t>
      </w:r>
      <w:r>
        <w:t>, of all employees of the provider; and</w:t>
      </w:r>
    </w:p>
    <w:p w14:paraId="6ED233B8" w14:textId="77777777" w:rsidR="008F1F2F" w:rsidRDefault="008F1F2F" w:rsidP="008F1F2F">
      <w:pPr>
        <w:pStyle w:val="paragraphsub"/>
      </w:pPr>
      <w:r>
        <w:tab/>
        <w:t>(ii</w:t>
      </w:r>
      <w:r w:rsidRPr="00AA76A0">
        <w:t>)</w:t>
      </w:r>
      <w:r w:rsidRPr="00AA76A0">
        <w:tab/>
      </w:r>
      <w:r>
        <w:t xml:space="preserve">one or more additional key performance indicators relating to the employment of Indigenous persons by the provider; and </w:t>
      </w:r>
    </w:p>
    <w:p w14:paraId="111703B8" w14:textId="2D7E37D5" w:rsidR="00A926BD" w:rsidRDefault="003346D6" w:rsidP="00A926BD">
      <w:pPr>
        <w:pStyle w:val="ItemHead"/>
      </w:pPr>
      <w:r>
        <w:t>7</w:t>
      </w:r>
      <w:r w:rsidR="00A926BD">
        <w:t xml:space="preserve">  After subparagraph 12(b)(ii)</w:t>
      </w:r>
    </w:p>
    <w:p w14:paraId="3AF676A5" w14:textId="77777777" w:rsidR="00A926BD" w:rsidRDefault="00A926BD" w:rsidP="00A926BD">
      <w:pPr>
        <w:pStyle w:val="Item"/>
      </w:pPr>
      <w:r>
        <w:t>Insert:</w:t>
      </w:r>
    </w:p>
    <w:p w14:paraId="1C3278C0" w14:textId="12586D3B" w:rsidR="00A926BD" w:rsidRDefault="00A926BD" w:rsidP="00A926BD">
      <w:pPr>
        <w:pStyle w:val="paragraphsub"/>
      </w:pPr>
      <w:r>
        <w:tab/>
        <w:t>(iii</w:t>
      </w:r>
      <w:r w:rsidRPr="00AA76A0">
        <w:t>)</w:t>
      </w:r>
      <w:r w:rsidRPr="00AA76A0">
        <w:tab/>
      </w:r>
      <w:r>
        <w:t xml:space="preserve">employment of at least one Indigenous person as a senior executive employee at the level of Pro Vice-Chancellor, Deputy </w:t>
      </w:r>
      <w:r w:rsidR="001B5DE1">
        <w:br/>
      </w:r>
      <w:r>
        <w:t>Vice</w:t>
      </w:r>
      <w:r w:rsidR="005E0580">
        <w:t>-</w:t>
      </w:r>
      <w:r>
        <w:t>Chancellor or Vice</w:t>
      </w:r>
      <w:r w:rsidR="005E0580">
        <w:t>-</w:t>
      </w:r>
      <w:r>
        <w:t xml:space="preserve">Chancellor, or equivalent level. </w:t>
      </w:r>
    </w:p>
    <w:p w14:paraId="574F2B4D" w14:textId="46D4DCF8" w:rsidR="00A926BD" w:rsidRDefault="003346D6" w:rsidP="00A926BD">
      <w:pPr>
        <w:pStyle w:val="ItemHead"/>
      </w:pPr>
      <w:r>
        <w:t>8</w:t>
      </w:r>
      <w:r w:rsidR="00A926BD">
        <w:t xml:space="preserve">  Paragraph 12(c)</w:t>
      </w:r>
    </w:p>
    <w:p w14:paraId="133D02BD" w14:textId="77777777" w:rsidR="00A926BD" w:rsidRPr="006065DA" w:rsidRDefault="00A926BD" w:rsidP="00A926BD">
      <w:pPr>
        <w:pStyle w:val="Item"/>
      </w:pPr>
      <w:r>
        <w:t>Repeal the paragraph.</w:t>
      </w:r>
    </w:p>
    <w:p w14:paraId="269ED75E" w14:textId="5E84A570" w:rsidR="00083895" w:rsidRDefault="003346D6" w:rsidP="00083895">
      <w:pPr>
        <w:pStyle w:val="ItemHead"/>
      </w:pPr>
      <w:r>
        <w:t>9</w:t>
      </w:r>
      <w:r w:rsidR="0046127D">
        <w:t xml:space="preserve">  Part 4</w:t>
      </w:r>
      <w:r w:rsidR="00083895">
        <w:t xml:space="preserve"> (heading)</w:t>
      </w:r>
    </w:p>
    <w:p w14:paraId="36B8E84C" w14:textId="77777777" w:rsidR="00083895" w:rsidRDefault="00083895" w:rsidP="00083895">
      <w:pPr>
        <w:pStyle w:val="Item"/>
      </w:pPr>
      <w:r>
        <w:t>Omit “use and reporting”, substitute “use, reporting and continuing eligibility”.</w:t>
      </w:r>
    </w:p>
    <w:p w14:paraId="6EB47975" w14:textId="3240534E" w:rsidR="00816674" w:rsidRDefault="005F695D" w:rsidP="00816674">
      <w:pPr>
        <w:pStyle w:val="ItemHead"/>
      </w:pPr>
      <w:r>
        <w:t>1</w:t>
      </w:r>
      <w:r w:rsidR="003346D6">
        <w:t>0</w:t>
      </w:r>
      <w:r w:rsidR="00816674">
        <w:t xml:space="preserve">  Paragraph 15(a)</w:t>
      </w:r>
    </w:p>
    <w:p w14:paraId="1CA47325" w14:textId="77777777" w:rsidR="008F15A5" w:rsidRDefault="008F15A5" w:rsidP="008F15A5">
      <w:pPr>
        <w:pStyle w:val="Item"/>
      </w:pPr>
      <w:r>
        <w:t>Repeal the paragraph, substitute:</w:t>
      </w:r>
    </w:p>
    <w:p w14:paraId="6BE20CCF" w14:textId="77777777" w:rsidR="008F15A5" w:rsidRDefault="008F15A5" w:rsidP="008F15A5">
      <w:pPr>
        <w:pStyle w:val="paragraph"/>
      </w:pPr>
      <w:r>
        <w:tab/>
        <w:t>(a)</w:t>
      </w:r>
      <w:r>
        <w:tab/>
        <w:t>administering any aspect of the provider’s business other than delivery of activities specified in these Guidelines;</w:t>
      </w:r>
    </w:p>
    <w:p w14:paraId="5A124E25" w14:textId="59917003" w:rsidR="00CB3E3C" w:rsidRDefault="005F695D" w:rsidP="00CB3E3C">
      <w:pPr>
        <w:pStyle w:val="ItemHead"/>
      </w:pPr>
      <w:r>
        <w:lastRenderedPageBreak/>
        <w:t>1</w:t>
      </w:r>
      <w:r w:rsidR="003346D6">
        <w:t>1</w:t>
      </w:r>
      <w:r w:rsidR="00CB3E3C">
        <w:t xml:space="preserve">  After section 18</w:t>
      </w:r>
    </w:p>
    <w:p w14:paraId="0B4CBF7B" w14:textId="77777777" w:rsidR="00CB3E3C" w:rsidRDefault="00CB3E3C" w:rsidP="00CB3E3C">
      <w:pPr>
        <w:pStyle w:val="Item"/>
      </w:pPr>
      <w:r>
        <w:t>Insert:</w:t>
      </w:r>
    </w:p>
    <w:p w14:paraId="1A5A8397" w14:textId="77777777" w:rsidR="00CB3E3C" w:rsidRDefault="00CB3E3C" w:rsidP="00CB3E3C">
      <w:pPr>
        <w:pStyle w:val="ActHead5"/>
      </w:pPr>
      <w:bookmarkStart w:id="9" w:name="_Toc530250217"/>
      <w:r>
        <w:t xml:space="preserve">18A  </w:t>
      </w:r>
      <w:r w:rsidR="00710D49">
        <w:t>Continuing</w:t>
      </w:r>
      <w:r>
        <w:t xml:space="preserve"> eligibility</w:t>
      </w:r>
      <w:bookmarkEnd w:id="9"/>
    </w:p>
    <w:p w14:paraId="1D76EA49" w14:textId="77777777" w:rsidR="00CB3E3C" w:rsidRDefault="00CB3E3C" w:rsidP="00CB3E3C">
      <w:pPr>
        <w:pStyle w:val="subsection"/>
      </w:pPr>
      <w:r>
        <w:tab/>
      </w:r>
      <w:r w:rsidR="00C94B0B">
        <w:t>(1)</w:t>
      </w:r>
      <w:r>
        <w:tab/>
        <w:t xml:space="preserve">A </w:t>
      </w:r>
      <w:r>
        <w:rPr>
          <w:i/>
        </w:rPr>
        <w:t xml:space="preserve">higher education provider </w:t>
      </w:r>
      <w:r>
        <w:t>that receives an ISSP grant must continue, in a grant year, to satisfy the eligibility requirements of section 38-10 of the Act</w:t>
      </w:r>
      <w:r w:rsidR="00C94B0B">
        <w:t xml:space="preserve"> and</w:t>
      </w:r>
      <w:r>
        <w:t xml:space="preserve"> the additional </w:t>
      </w:r>
      <w:r w:rsidR="001419E6">
        <w:t xml:space="preserve">eligibility </w:t>
      </w:r>
      <w:r>
        <w:t>requirements specified in section 10</w:t>
      </w:r>
      <w:r w:rsidR="00C94B0B">
        <w:t xml:space="preserve"> </w:t>
      </w:r>
      <w:r w:rsidR="00C94B0B" w:rsidRPr="00401D83">
        <w:t>of these Guidelines</w:t>
      </w:r>
      <w:r>
        <w:t>.</w:t>
      </w:r>
    </w:p>
    <w:p w14:paraId="7606AF5C" w14:textId="77777777" w:rsidR="00C94B0B" w:rsidRDefault="00C94B0B" w:rsidP="00710D49">
      <w:pPr>
        <w:pStyle w:val="subsection"/>
      </w:pPr>
      <w:r>
        <w:tab/>
        <w:t>(2)</w:t>
      </w:r>
      <w:r>
        <w:tab/>
        <w:t xml:space="preserve">A </w:t>
      </w:r>
      <w:r>
        <w:rPr>
          <w:i/>
        </w:rPr>
        <w:t xml:space="preserve">higher education provider </w:t>
      </w:r>
      <w:r>
        <w:t>that receives an ISSP grant must provide evidence that it complies with subsection (1) within 10 business days of a request by an administering officer.</w:t>
      </w:r>
    </w:p>
    <w:p w14:paraId="79824924" w14:textId="7BB0235A" w:rsidR="008F15A5" w:rsidRDefault="005F695D" w:rsidP="008F15A5">
      <w:pPr>
        <w:pStyle w:val="ItemHead"/>
      </w:pPr>
      <w:r>
        <w:t>1</w:t>
      </w:r>
      <w:r w:rsidR="003346D6">
        <w:t>2</w:t>
      </w:r>
      <w:r w:rsidR="008F15A5">
        <w:t xml:space="preserve">  Subsection 21(3)</w:t>
      </w:r>
    </w:p>
    <w:p w14:paraId="163CD980" w14:textId="77777777" w:rsidR="008F15A5" w:rsidRPr="006065DA" w:rsidRDefault="008F15A5" w:rsidP="008F15A5">
      <w:pPr>
        <w:pStyle w:val="Item"/>
      </w:pPr>
      <w:r>
        <w:t>Repeal the subsection, substitute:</w:t>
      </w:r>
    </w:p>
    <w:p w14:paraId="3770BADF" w14:textId="77777777" w:rsidR="00342092" w:rsidRDefault="00342092" w:rsidP="00342092">
      <w:pPr>
        <w:pStyle w:val="subsection"/>
      </w:pPr>
      <w:r>
        <w:tab/>
        <w:t>(3)</w:t>
      </w:r>
      <w:r>
        <w:tab/>
        <w:t xml:space="preserve">The amount of an ISSP grant a </w:t>
      </w:r>
      <w:r>
        <w:rPr>
          <w:i/>
        </w:rPr>
        <w:t xml:space="preserve">higher education provider </w:t>
      </w:r>
      <w:r>
        <w:t>must use to:</w:t>
      </w:r>
    </w:p>
    <w:p w14:paraId="7ABDDFC4" w14:textId="77777777" w:rsidR="00342092" w:rsidRDefault="00342092" w:rsidP="00342092">
      <w:pPr>
        <w:pStyle w:val="paragraph"/>
      </w:pPr>
      <w:r>
        <w:tab/>
        <w:t>(a)</w:t>
      </w:r>
      <w:r>
        <w:tab/>
        <w:t>offer Indigenous Commonwealth Scholarships to Indigenous students from remote areas and regional areas for the grant year; and</w:t>
      </w:r>
    </w:p>
    <w:p w14:paraId="613E4B7A" w14:textId="40258179" w:rsidR="00342092" w:rsidRDefault="00342092" w:rsidP="00342092">
      <w:pPr>
        <w:pStyle w:val="paragraph"/>
      </w:pPr>
      <w:r>
        <w:tab/>
        <w:t>(b)</w:t>
      </w:r>
      <w:r>
        <w:tab/>
        <w:t>meet payment obligations of the provider for the grant year, if any, in respect of Indigenous Commonwealth Scholarships that the provider awarded to Indigenous students from remote areas and regional areas in a previous grant year</w:t>
      </w:r>
      <w:r w:rsidR="00BE7563">
        <w:t>,</w:t>
      </w:r>
      <w:r>
        <w:t xml:space="preserve"> </w:t>
      </w:r>
    </w:p>
    <w:p w14:paraId="2DE2691A" w14:textId="77777777" w:rsidR="007B419C" w:rsidRDefault="00342092" w:rsidP="0046127D">
      <w:pPr>
        <w:pStyle w:val="subsection2"/>
      </w:pPr>
      <w:r>
        <w:t xml:space="preserve">must be at least 95 per cent of the total value of Indigenous Commonwealth Scholarship payments that the provider made to Indigenous students from remote areas and regional areas for the previous grant year, unless otherwise agreed by the Minister in writing. </w:t>
      </w:r>
    </w:p>
    <w:p w14:paraId="61E6E5DB" w14:textId="02ACEF90" w:rsidR="00B9334F" w:rsidRDefault="005F695D" w:rsidP="00B9334F">
      <w:pPr>
        <w:pStyle w:val="ItemHead"/>
      </w:pPr>
      <w:r>
        <w:t>1</w:t>
      </w:r>
      <w:r w:rsidR="003346D6">
        <w:t>3</w:t>
      </w:r>
      <w:r w:rsidR="00B9334F">
        <w:t xml:space="preserve">  Paragraph 27(1)(b)</w:t>
      </w:r>
    </w:p>
    <w:p w14:paraId="720CF379" w14:textId="77777777" w:rsidR="00B9334F" w:rsidRDefault="0046127D" w:rsidP="00B9334F">
      <w:pPr>
        <w:pStyle w:val="Item"/>
      </w:pPr>
      <w:r>
        <w:t>Omit “if”.</w:t>
      </w:r>
      <w:r w:rsidR="0027075E">
        <w:t xml:space="preserve"> </w:t>
      </w:r>
    </w:p>
    <w:p w14:paraId="75E55EE4" w14:textId="0CA6C6E7" w:rsidR="0046127D" w:rsidRDefault="0046127D" w:rsidP="0046127D">
      <w:pPr>
        <w:pStyle w:val="ItemHead"/>
      </w:pPr>
      <w:r>
        <w:t>1</w:t>
      </w:r>
      <w:r w:rsidR="003346D6">
        <w:t>4</w:t>
      </w:r>
      <w:r>
        <w:t xml:space="preserve">  Paragraph 27(1)(b)</w:t>
      </w:r>
    </w:p>
    <w:p w14:paraId="7B764D6E" w14:textId="77777777" w:rsidR="0046127D" w:rsidRDefault="0046127D" w:rsidP="0046127D">
      <w:pPr>
        <w:pStyle w:val="Item"/>
      </w:pPr>
      <w:r>
        <w:t>Omit “course of study”, substitute “</w:t>
      </w:r>
      <w:r>
        <w:rPr>
          <w:i/>
        </w:rPr>
        <w:t>course of study</w:t>
      </w:r>
      <w:r>
        <w:t xml:space="preserve">”. </w:t>
      </w:r>
    </w:p>
    <w:p w14:paraId="048577DD" w14:textId="3F58B715" w:rsidR="0046127D" w:rsidRDefault="0046127D" w:rsidP="0046127D">
      <w:pPr>
        <w:pStyle w:val="ItemHead"/>
      </w:pPr>
      <w:r>
        <w:t>1</w:t>
      </w:r>
      <w:r w:rsidR="003346D6">
        <w:t>5</w:t>
      </w:r>
      <w:r>
        <w:t xml:space="preserve">  Paragraph 27(1)(b)</w:t>
      </w:r>
    </w:p>
    <w:p w14:paraId="0F54195A" w14:textId="77777777" w:rsidR="0046127D" w:rsidRDefault="0046127D" w:rsidP="0046127D">
      <w:pPr>
        <w:pStyle w:val="Item"/>
      </w:pPr>
      <w:r>
        <w:t>Omit “</w:t>
      </w:r>
      <w:r>
        <w:rPr>
          <w:i/>
        </w:rPr>
        <w:t>higher education provider.</w:t>
      </w:r>
      <w:r>
        <w:t>”, substitute “</w:t>
      </w:r>
      <w:r>
        <w:rPr>
          <w:i/>
        </w:rPr>
        <w:t>higher education provider</w:t>
      </w:r>
      <w:r>
        <w:t xml:space="preserve">; or”. </w:t>
      </w:r>
    </w:p>
    <w:p w14:paraId="285D50C9" w14:textId="3D60011D" w:rsidR="0027075E" w:rsidRDefault="005F695D" w:rsidP="0027075E">
      <w:pPr>
        <w:pStyle w:val="ItemHead"/>
      </w:pPr>
      <w:r>
        <w:t>1</w:t>
      </w:r>
      <w:r w:rsidR="003346D6">
        <w:t>6</w:t>
      </w:r>
      <w:r w:rsidR="0027075E">
        <w:t xml:space="preserve">  After paragraph 27(1)(b)</w:t>
      </w:r>
    </w:p>
    <w:p w14:paraId="1EF1069D" w14:textId="77777777" w:rsidR="0027075E" w:rsidRDefault="0027075E" w:rsidP="0027075E">
      <w:pPr>
        <w:pStyle w:val="Item"/>
      </w:pPr>
      <w:r>
        <w:t>Insert:</w:t>
      </w:r>
    </w:p>
    <w:p w14:paraId="1F97757A" w14:textId="4352946A" w:rsidR="0027075E" w:rsidRPr="0027075E" w:rsidRDefault="0027075E" w:rsidP="0027075E">
      <w:pPr>
        <w:pStyle w:val="paragraph"/>
      </w:pPr>
      <w:r>
        <w:tab/>
        <w:t>(c)</w:t>
      </w:r>
      <w:r>
        <w:tab/>
        <w:t>the scholarship is a</w:t>
      </w:r>
      <w:r w:rsidR="00002FFA">
        <w:t>n</w:t>
      </w:r>
      <w:r>
        <w:t xml:space="preserve"> </w:t>
      </w:r>
      <w:r w:rsidR="00002FFA">
        <w:t xml:space="preserve">Indigenous </w:t>
      </w:r>
      <w:r>
        <w:t xml:space="preserve">Commonwealth Accommodation Scholarship and the scholarship recipient has deferred his or her </w:t>
      </w:r>
      <w:r w:rsidRPr="0027075E">
        <w:rPr>
          <w:i/>
        </w:rPr>
        <w:t>course of study</w:t>
      </w:r>
      <w:r>
        <w:t>.</w:t>
      </w:r>
    </w:p>
    <w:p w14:paraId="108284E4" w14:textId="23801361" w:rsidR="00A06822" w:rsidRDefault="00C732D4" w:rsidP="00A06822">
      <w:pPr>
        <w:pStyle w:val="ItemHead"/>
      </w:pPr>
      <w:r>
        <w:t>1</w:t>
      </w:r>
      <w:r w:rsidR="003346D6">
        <w:t>7</w:t>
      </w:r>
      <w:r w:rsidR="00A06822">
        <w:t xml:space="preserve">  Subsection 28(6) (item 1, column 3 of the table)</w:t>
      </w:r>
    </w:p>
    <w:p w14:paraId="7A30E1D0" w14:textId="77777777" w:rsidR="00A06822" w:rsidRDefault="00A06822" w:rsidP="00A06822">
      <w:pPr>
        <w:pStyle w:val="Item"/>
      </w:pPr>
      <w:r>
        <w:t>Omit “preceding”, substitute “year before the”</w:t>
      </w:r>
    </w:p>
    <w:p w14:paraId="4053D13D" w14:textId="45419A79" w:rsidR="006A3EFB" w:rsidRDefault="0046127D" w:rsidP="006A3EFB">
      <w:pPr>
        <w:pStyle w:val="ItemHead"/>
      </w:pPr>
      <w:r>
        <w:t>1</w:t>
      </w:r>
      <w:r w:rsidR="003346D6">
        <w:t>8</w:t>
      </w:r>
      <w:r w:rsidR="006A3EFB">
        <w:t xml:space="preserve">  </w:t>
      </w:r>
      <w:r w:rsidR="00BF74CB">
        <w:t>Paragraph 30(c)</w:t>
      </w:r>
    </w:p>
    <w:p w14:paraId="6A8EE18E" w14:textId="77777777" w:rsidR="006A3EFB" w:rsidRDefault="00A06822" w:rsidP="006A3EFB">
      <w:pPr>
        <w:pStyle w:val="Item"/>
      </w:pPr>
      <w:r>
        <w:t>Omit “</w:t>
      </w:r>
      <w:r w:rsidR="006A3EFB">
        <w:rPr>
          <w:i/>
        </w:rPr>
        <w:t>students</w:t>
      </w:r>
      <w:r w:rsidR="006A3EFB">
        <w:t>.”, substitute “</w:t>
      </w:r>
      <w:r>
        <w:rPr>
          <w:i/>
        </w:rPr>
        <w:t>s</w:t>
      </w:r>
      <w:r w:rsidR="006A3EFB" w:rsidRPr="00BF74CB">
        <w:rPr>
          <w:i/>
        </w:rPr>
        <w:t>tudents</w:t>
      </w:r>
      <w:r w:rsidR="006A3EFB">
        <w:t>;”</w:t>
      </w:r>
    </w:p>
    <w:p w14:paraId="067000F9" w14:textId="72020617" w:rsidR="006A3EFB" w:rsidRDefault="003346D6" w:rsidP="006A3EFB">
      <w:pPr>
        <w:pStyle w:val="ItemHead"/>
      </w:pPr>
      <w:r>
        <w:t>19</w:t>
      </w:r>
      <w:r w:rsidR="006A3EFB">
        <w:t xml:space="preserve">  After paragraph 30(</w:t>
      </w:r>
      <w:r w:rsidR="00002FFA">
        <w:t>c</w:t>
      </w:r>
      <w:r w:rsidR="006A3EFB">
        <w:t>)</w:t>
      </w:r>
    </w:p>
    <w:p w14:paraId="11E1F1A7" w14:textId="77777777" w:rsidR="006A3EFB" w:rsidRDefault="006A3EFB" w:rsidP="006A3EFB">
      <w:pPr>
        <w:pStyle w:val="Item"/>
      </w:pPr>
      <w:r>
        <w:t>Insert:</w:t>
      </w:r>
    </w:p>
    <w:p w14:paraId="2400590E" w14:textId="77777777" w:rsidR="006A3EFB" w:rsidRPr="0027075E" w:rsidRDefault="006A3EFB" w:rsidP="006A3EFB">
      <w:pPr>
        <w:pStyle w:val="paragraph"/>
      </w:pPr>
      <w:r>
        <w:tab/>
        <w:t>(d)</w:t>
      </w:r>
      <w:r>
        <w:tab/>
        <w:t xml:space="preserve">providing guidance to Indigenous students about career options following completion of a </w:t>
      </w:r>
      <w:r w:rsidRPr="006A3EFB">
        <w:rPr>
          <w:i/>
        </w:rPr>
        <w:t>course of study</w:t>
      </w:r>
      <w:r>
        <w:t>.</w:t>
      </w:r>
    </w:p>
    <w:p w14:paraId="3C652934" w14:textId="416BB96A" w:rsidR="00BF74CB" w:rsidRDefault="00A06822" w:rsidP="00BF74CB">
      <w:pPr>
        <w:pStyle w:val="ItemHead"/>
      </w:pPr>
      <w:r>
        <w:lastRenderedPageBreak/>
        <w:t>2</w:t>
      </w:r>
      <w:r w:rsidR="003346D6">
        <w:t>0</w:t>
      </w:r>
      <w:r w:rsidR="00BF74CB">
        <w:t xml:space="preserve">  After paragraph 32(a)</w:t>
      </w:r>
    </w:p>
    <w:p w14:paraId="0FEA95CC" w14:textId="77777777" w:rsidR="00BF74CB" w:rsidRDefault="00BF74CB" w:rsidP="00BF74CB">
      <w:pPr>
        <w:pStyle w:val="Item"/>
      </w:pPr>
      <w:r>
        <w:t>Insert:</w:t>
      </w:r>
    </w:p>
    <w:p w14:paraId="358167C9" w14:textId="77777777" w:rsidR="00BF74CB" w:rsidRPr="00BF74CB" w:rsidRDefault="00BF74CB" w:rsidP="00BF74CB">
      <w:pPr>
        <w:pStyle w:val="paragraph"/>
      </w:pPr>
      <w:r>
        <w:tab/>
        <w:t>(aa)</w:t>
      </w:r>
      <w:r>
        <w:tab/>
        <w:t xml:space="preserve">activities to maintain the engagement of Indigenous students undertaking a </w:t>
      </w:r>
      <w:r w:rsidRPr="00BF74CB">
        <w:rPr>
          <w:i/>
        </w:rPr>
        <w:t>course of study</w:t>
      </w:r>
      <w:r>
        <w:t xml:space="preserve">; </w:t>
      </w:r>
    </w:p>
    <w:p w14:paraId="40775818" w14:textId="514FD0C1" w:rsidR="00BF74CB" w:rsidRDefault="005F695D" w:rsidP="00BF74CB">
      <w:pPr>
        <w:pStyle w:val="ItemHead"/>
      </w:pPr>
      <w:r>
        <w:t>2</w:t>
      </w:r>
      <w:r w:rsidR="003346D6">
        <w:t>1</w:t>
      </w:r>
      <w:r w:rsidR="00BF74CB">
        <w:t xml:space="preserve">  Paragraph 32(b)</w:t>
      </w:r>
    </w:p>
    <w:p w14:paraId="3D7B74E6" w14:textId="7ADE9CFF" w:rsidR="00BF74CB" w:rsidRDefault="00BF74CB" w:rsidP="00BF74CB">
      <w:pPr>
        <w:pStyle w:val="Item"/>
      </w:pPr>
      <w:r>
        <w:t xml:space="preserve">After “who has”, insert “deferred undertaking his or her </w:t>
      </w:r>
      <w:r>
        <w:rPr>
          <w:i/>
        </w:rPr>
        <w:t>course of study</w:t>
      </w:r>
      <w:r>
        <w:t xml:space="preserve"> o</w:t>
      </w:r>
      <w:r w:rsidR="00B162C3">
        <w:t>r</w:t>
      </w:r>
      <w:r>
        <w:t>”</w:t>
      </w:r>
    </w:p>
    <w:p w14:paraId="44406FC6" w14:textId="199E456E" w:rsidR="00B162C3" w:rsidRDefault="00A06822" w:rsidP="00B162C3">
      <w:pPr>
        <w:pStyle w:val="ItemHead"/>
      </w:pPr>
      <w:r>
        <w:t>2</w:t>
      </w:r>
      <w:r w:rsidR="003346D6">
        <w:t>2</w:t>
      </w:r>
      <w:r w:rsidR="00B162C3">
        <w:t xml:space="preserve">  </w:t>
      </w:r>
      <w:r>
        <w:t>After s</w:t>
      </w:r>
      <w:r w:rsidR="005758ED">
        <w:t>ection 35</w:t>
      </w:r>
    </w:p>
    <w:p w14:paraId="770CDF0F" w14:textId="77777777" w:rsidR="00B162C3" w:rsidRDefault="00B162C3" w:rsidP="00B162C3">
      <w:pPr>
        <w:pStyle w:val="Item"/>
      </w:pPr>
      <w:r>
        <w:t>Insert:</w:t>
      </w:r>
    </w:p>
    <w:p w14:paraId="43D64460" w14:textId="77777777" w:rsidR="00B162C3" w:rsidRDefault="005758ED" w:rsidP="00B162C3">
      <w:pPr>
        <w:pStyle w:val="ActHead5"/>
      </w:pPr>
      <w:bookmarkStart w:id="10" w:name="_Toc530250218"/>
      <w:r>
        <w:t>35</w:t>
      </w:r>
      <w:r w:rsidR="00B162C3">
        <w:t>A  Working with vulnerable persons</w:t>
      </w:r>
      <w:bookmarkEnd w:id="10"/>
    </w:p>
    <w:p w14:paraId="0E09EF85" w14:textId="77777777" w:rsidR="00E85725" w:rsidRDefault="00DC3374" w:rsidP="00DC3374">
      <w:pPr>
        <w:pStyle w:val="subsection"/>
      </w:pPr>
      <w:r>
        <w:tab/>
        <w:t>(1)</w:t>
      </w:r>
      <w:r>
        <w:tab/>
        <w:t xml:space="preserve">Before engaging a person in relation to </w:t>
      </w:r>
      <w:r w:rsidR="00E85725">
        <w:t>any part of</w:t>
      </w:r>
      <w:r>
        <w:t xml:space="preserve"> administ</w:t>
      </w:r>
      <w:r w:rsidR="00E85725">
        <w:t>ering or using</w:t>
      </w:r>
      <w:r>
        <w:t xml:space="preserve"> an ISSP grant</w:t>
      </w:r>
      <w:r w:rsidR="00E85725">
        <w:t xml:space="preserve"> that may involve contact with a vulnerable person, a </w:t>
      </w:r>
      <w:r w:rsidR="00E85725">
        <w:rPr>
          <w:i/>
        </w:rPr>
        <w:t xml:space="preserve">higher education provider </w:t>
      </w:r>
      <w:r w:rsidR="00E85725">
        <w:t xml:space="preserve">must confirm that no Commonwealth, State or Territory law prohibits the person from being engaged in a capacity where the person </w:t>
      </w:r>
      <w:r w:rsidR="00BE1318">
        <w:t xml:space="preserve">has, or </w:t>
      </w:r>
      <w:r w:rsidR="00E85725">
        <w:t>may have</w:t>
      </w:r>
      <w:r w:rsidR="00BE1318">
        <w:t>,</w:t>
      </w:r>
      <w:r w:rsidR="00E85725">
        <w:t xml:space="preserve"> contact with a vulnerable person. </w:t>
      </w:r>
    </w:p>
    <w:p w14:paraId="2E367039" w14:textId="77777777" w:rsidR="00360A89" w:rsidRDefault="00360A89" w:rsidP="00360A89">
      <w:pPr>
        <w:pStyle w:val="subsection"/>
      </w:pPr>
      <w:r>
        <w:tab/>
        <w:t>(2)</w:t>
      </w:r>
      <w:r>
        <w:tab/>
        <w:t xml:space="preserve">If: </w:t>
      </w:r>
    </w:p>
    <w:p w14:paraId="797C094E" w14:textId="77777777" w:rsidR="00360A89" w:rsidRDefault="00360A89" w:rsidP="00360A89">
      <w:pPr>
        <w:pStyle w:val="paragraph"/>
      </w:pPr>
      <w:r>
        <w:tab/>
        <w:t>(a)</w:t>
      </w:r>
      <w:r>
        <w:tab/>
        <w:t xml:space="preserve">a </w:t>
      </w:r>
      <w:r>
        <w:rPr>
          <w:i/>
        </w:rPr>
        <w:t xml:space="preserve">higher education provider </w:t>
      </w:r>
      <w:r>
        <w:t>has engaged a person in relation to the administration or use of an ISSP grant; and</w:t>
      </w:r>
    </w:p>
    <w:p w14:paraId="267DE3EF" w14:textId="77777777" w:rsidR="00360A89" w:rsidRDefault="00360A89" w:rsidP="00360A89">
      <w:pPr>
        <w:pStyle w:val="paragraph"/>
      </w:pPr>
      <w:r>
        <w:tab/>
        <w:t>(b)</w:t>
      </w:r>
      <w:r>
        <w:tab/>
        <w:t>the person has, or may have, contact with a vulnerable person</w:t>
      </w:r>
      <w:r w:rsidR="00BE1318">
        <w:t xml:space="preserve"> in administering or using the ISSP grant</w:t>
      </w:r>
      <w:r>
        <w:t>; and</w:t>
      </w:r>
    </w:p>
    <w:p w14:paraId="469DFF32" w14:textId="77777777" w:rsidR="00360A89" w:rsidRDefault="00360A89" w:rsidP="00360A89">
      <w:pPr>
        <w:pStyle w:val="paragraph"/>
      </w:pPr>
      <w:r>
        <w:tab/>
        <w:t>(c)</w:t>
      </w:r>
      <w:r>
        <w:tab/>
        <w:t>the person is prohibited under a Commonwealth, State or Territory law from having contact with a vulnerable person</w:t>
      </w:r>
    </w:p>
    <w:p w14:paraId="365403EC" w14:textId="77777777" w:rsidR="00360A89" w:rsidRPr="00AF2207" w:rsidRDefault="00360A89" w:rsidP="00360A89">
      <w:pPr>
        <w:pStyle w:val="subsection2"/>
      </w:pPr>
      <w:r>
        <w:t>the</w:t>
      </w:r>
      <w:r w:rsidRPr="00AF2207">
        <w:t xml:space="preserve"> </w:t>
      </w:r>
      <w:r>
        <w:t xml:space="preserve">provider must: </w:t>
      </w:r>
    </w:p>
    <w:p w14:paraId="502737A5" w14:textId="77777777" w:rsidR="00E85725" w:rsidRDefault="00E85725" w:rsidP="00E85725">
      <w:pPr>
        <w:pStyle w:val="paragraph"/>
      </w:pPr>
      <w:r>
        <w:tab/>
        <w:t>(d)</w:t>
      </w:r>
      <w:r>
        <w:tab/>
        <w:t>notify an administering officer immediately; and</w:t>
      </w:r>
    </w:p>
    <w:p w14:paraId="0B8E96A7" w14:textId="77777777" w:rsidR="00E85725" w:rsidRDefault="00E85725" w:rsidP="00E85725">
      <w:pPr>
        <w:pStyle w:val="paragraph"/>
      </w:pPr>
      <w:r>
        <w:tab/>
        <w:t>(e)</w:t>
      </w:r>
      <w:r>
        <w:tab/>
        <w:t xml:space="preserve">take all reasonable steps to ensure the person is no longer engaged by the provider </w:t>
      </w:r>
      <w:r w:rsidR="00BE1318">
        <w:t xml:space="preserve">in a capacity where the person has, </w:t>
      </w:r>
      <w:r w:rsidR="00142261">
        <w:t xml:space="preserve">or </w:t>
      </w:r>
      <w:r w:rsidR="00BE1318">
        <w:t xml:space="preserve">may have, contact with a vulnerable person in </w:t>
      </w:r>
      <w:r>
        <w:t>administ</w:t>
      </w:r>
      <w:r w:rsidR="00BE1318">
        <w:t>ering or using</w:t>
      </w:r>
      <w:r>
        <w:t xml:space="preserve"> the ISSP grant</w:t>
      </w:r>
      <w:r w:rsidR="00BE1318">
        <w:t>.</w:t>
      </w:r>
    </w:p>
    <w:p w14:paraId="47CBBC50" w14:textId="5DEFBBF2" w:rsidR="003A192E" w:rsidRDefault="003A192E" w:rsidP="003A192E">
      <w:pPr>
        <w:pStyle w:val="subsection"/>
      </w:pPr>
      <w:r>
        <w:tab/>
        <w:t>(3)</w:t>
      </w:r>
      <w:r>
        <w:tab/>
        <w:t xml:space="preserve">If: </w:t>
      </w:r>
    </w:p>
    <w:p w14:paraId="6E041171" w14:textId="00F743D5" w:rsidR="003A192E" w:rsidRDefault="003A192E" w:rsidP="003A192E">
      <w:pPr>
        <w:pStyle w:val="paragraph"/>
      </w:pPr>
      <w:r>
        <w:tab/>
        <w:t>(a)</w:t>
      </w:r>
      <w:r>
        <w:tab/>
        <w:t xml:space="preserve">a </w:t>
      </w:r>
      <w:r>
        <w:rPr>
          <w:i/>
        </w:rPr>
        <w:t xml:space="preserve">higher education provider </w:t>
      </w:r>
      <w:r>
        <w:t>and an administering officer agree that the provider must undertake additional requirements</w:t>
      </w:r>
      <w:r>
        <w:rPr>
          <w:i/>
        </w:rPr>
        <w:t xml:space="preserve"> </w:t>
      </w:r>
      <w:r>
        <w:t>relating to contact with vulnerable persons, police checks and criminal history checks; and</w:t>
      </w:r>
    </w:p>
    <w:p w14:paraId="741B1ECB" w14:textId="38BD4E8D" w:rsidR="003A192E" w:rsidRDefault="003A192E" w:rsidP="003A192E">
      <w:pPr>
        <w:pStyle w:val="paragraph"/>
      </w:pPr>
      <w:r>
        <w:tab/>
        <w:t>(b)</w:t>
      </w:r>
      <w:r>
        <w:tab/>
        <w:t xml:space="preserve">the </w:t>
      </w:r>
      <w:r w:rsidRPr="003A192E">
        <w:t>provider</w:t>
      </w:r>
      <w:r>
        <w:rPr>
          <w:i/>
        </w:rPr>
        <w:t xml:space="preserve"> </w:t>
      </w:r>
      <w:r>
        <w:t xml:space="preserve">and the administering officer agree the additional requirements </w:t>
      </w:r>
    </w:p>
    <w:p w14:paraId="3F0D53DD" w14:textId="15AD1CA7" w:rsidR="003A192E" w:rsidRDefault="003A192E" w:rsidP="003A192E">
      <w:pPr>
        <w:pStyle w:val="subsection2"/>
      </w:pPr>
      <w:r>
        <w:t>the</w:t>
      </w:r>
      <w:r w:rsidRPr="00AF2207">
        <w:t xml:space="preserve"> </w:t>
      </w:r>
      <w:r>
        <w:t xml:space="preserve">provider must comply with these requirements. </w:t>
      </w:r>
    </w:p>
    <w:p w14:paraId="58A72AF2" w14:textId="3A857CC0" w:rsidR="00142261" w:rsidRPr="00BE1318" w:rsidRDefault="00142261" w:rsidP="00142261">
      <w:pPr>
        <w:pStyle w:val="subsection"/>
      </w:pPr>
      <w:r>
        <w:tab/>
        <w:t>(</w:t>
      </w:r>
      <w:r w:rsidR="006F2073">
        <w:t>4</w:t>
      </w:r>
      <w:r>
        <w:t>)</w:t>
      </w:r>
      <w:r>
        <w:tab/>
        <w:t xml:space="preserve">A </w:t>
      </w:r>
      <w:r>
        <w:rPr>
          <w:i/>
        </w:rPr>
        <w:t xml:space="preserve">higher education provider </w:t>
      </w:r>
      <w:r>
        <w:t xml:space="preserve">must include in its performance report under section 17 of these Guidelines a statement regarding the provider’s compliance with subsections (1), (2) and </w:t>
      </w:r>
      <w:r w:rsidR="00761018" w:rsidRPr="006F2073">
        <w:t>(3</w:t>
      </w:r>
      <w:r w:rsidR="006F2073" w:rsidRPr="006F2073">
        <w:t>)</w:t>
      </w:r>
      <w:r w:rsidR="006F2073">
        <w:t xml:space="preserve"> </w:t>
      </w:r>
      <w:r>
        <w:t xml:space="preserve">for the grant year.  </w:t>
      </w:r>
    </w:p>
    <w:p w14:paraId="20276D78" w14:textId="1DA5B419" w:rsidR="00142261" w:rsidRPr="00BE1318" w:rsidRDefault="00142261" w:rsidP="00142261">
      <w:pPr>
        <w:pStyle w:val="subsection"/>
      </w:pPr>
      <w:r>
        <w:tab/>
        <w:t>(</w:t>
      </w:r>
      <w:r w:rsidR="006F2073">
        <w:t>5</w:t>
      </w:r>
      <w:r>
        <w:t>)</w:t>
      </w:r>
      <w:r>
        <w:tab/>
        <w:t xml:space="preserve">In this section, </w:t>
      </w:r>
      <w:r>
        <w:rPr>
          <w:b/>
          <w:i/>
        </w:rPr>
        <w:t>vulnerable person</w:t>
      </w:r>
      <w:r>
        <w:t xml:space="preserve"> means:   </w:t>
      </w:r>
    </w:p>
    <w:p w14:paraId="239F491F" w14:textId="77777777" w:rsidR="00142261" w:rsidRDefault="00142261" w:rsidP="00142261">
      <w:pPr>
        <w:pStyle w:val="paragraph"/>
      </w:pPr>
      <w:r>
        <w:tab/>
        <w:t>(a)</w:t>
      </w:r>
      <w:r>
        <w:tab/>
        <w:t>a child, being an individual under the age of 18; or</w:t>
      </w:r>
    </w:p>
    <w:p w14:paraId="30C4EA67" w14:textId="1F94D7DE" w:rsidR="0027075E" w:rsidRDefault="00142261" w:rsidP="007B419C">
      <w:pPr>
        <w:pStyle w:val="paragraph"/>
      </w:pPr>
      <w:r>
        <w:tab/>
        <w:t>(b)</w:t>
      </w:r>
      <w:r>
        <w:tab/>
        <w:t>an individual aged 18 years and above who is, or may be, unable to take care of him</w:t>
      </w:r>
      <w:r w:rsidR="009C6114">
        <w:t>self</w:t>
      </w:r>
      <w:r>
        <w:t xml:space="preserve"> or herself against harm or exploitation by reason of age, illness, trauma or disability, or any other reason. </w:t>
      </w:r>
    </w:p>
    <w:p w14:paraId="00DD70AB" w14:textId="1ECC8244" w:rsidR="00BE0791" w:rsidRPr="009C6114" w:rsidRDefault="00BE0791" w:rsidP="00BE0791">
      <w:pPr>
        <w:pStyle w:val="ItemHead"/>
      </w:pPr>
      <w:r w:rsidRPr="009C6114">
        <w:lastRenderedPageBreak/>
        <w:t>2</w:t>
      </w:r>
      <w:r w:rsidR="003346D6">
        <w:t>3</w:t>
      </w:r>
      <w:r w:rsidRPr="009C6114">
        <w:t xml:space="preserve">  Item </w:t>
      </w:r>
      <w:r>
        <w:t>1</w:t>
      </w:r>
      <w:r w:rsidRPr="009C6114">
        <w:t xml:space="preserve"> of Schedule 1 (</w:t>
      </w:r>
      <w:r>
        <w:t xml:space="preserve">definition of </w:t>
      </w:r>
      <w:r w:rsidR="00D74612" w:rsidRPr="003346D6">
        <w:rPr>
          <w:i/>
        </w:rPr>
        <w:t>normal previous year allocation</w:t>
      </w:r>
      <w:r w:rsidRPr="009C6114">
        <w:t>)</w:t>
      </w:r>
    </w:p>
    <w:p w14:paraId="4A37EE51" w14:textId="3A184DA6" w:rsidR="00BE0791" w:rsidRDefault="00D74612" w:rsidP="00BE0791">
      <w:pPr>
        <w:pStyle w:val="Item"/>
      </w:pPr>
      <w:r>
        <w:t xml:space="preserve">Omit all the words </w:t>
      </w:r>
      <w:r w:rsidR="004B1B95">
        <w:t>after “provider”,</w:t>
      </w:r>
      <w:r>
        <w:t xml:space="preserve"> substitute “</w:t>
      </w:r>
      <w:r w:rsidR="004B1B95">
        <w:t xml:space="preserve">calculated under the fourth step under </w:t>
      </w:r>
      <w:r>
        <w:t xml:space="preserve">subitem 5(1) (where an eligible higher education provider received an ISSP grant in a previous grant year) or subitem 5(4) (where an eligible higher education provider did not receive an ISSP grant </w:t>
      </w:r>
      <w:r w:rsidR="00740958">
        <w:t xml:space="preserve">in a year before a grant year and </w:t>
      </w:r>
      <w:r>
        <w:t>received a grant approved under section 38-20 of the Act to use for activities specified in these Guidelines) of this Schedule.”</w:t>
      </w:r>
    </w:p>
    <w:p w14:paraId="0D61377B" w14:textId="10A867D0" w:rsidR="00EA52B0" w:rsidRPr="009C6114" w:rsidRDefault="00BE0791" w:rsidP="00EA52B0">
      <w:pPr>
        <w:pStyle w:val="ItemHead"/>
      </w:pPr>
      <w:r w:rsidRPr="009C6114">
        <w:t>2</w:t>
      </w:r>
      <w:r w:rsidR="003346D6">
        <w:t>4</w:t>
      </w:r>
      <w:r w:rsidRPr="009C6114">
        <w:t xml:space="preserve">  </w:t>
      </w:r>
      <w:r w:rsidR="00EA52B0" w:rsidRPr="009C6114">
        <w:t>Item 2 of Schedule 1 (item 1</w:t>
      </w:r>
      <w:r w:rsidR="005F695D" w:rsidRPr="009C6114">
        <w:t>, column 3, paragraph a</w:t>
      </w:r>
      <w:r w:rsidR="00EA52B0" w:rsidRPr="009C6114">
        <w:t xml:space="preserve"> of the table)</w:t>
      </w:r>
    </w:p>
    <w:p w14:paraId="659A16CA" w14:textId="77777777" w:rsidR="00EA52B0" w:rsidRDefault="00EA52B0" w:rsidP="00EA52B0">
      <w:pPr>
        <w:pStyle w:val="Item"/>
      </w:pPr>
      <w:r w:rsidRPr="009C6114">
        <w:t>Renumber as paragraph (a).</w:t>
      </w:r>
    </w:p>
    <w:p w14:paraId="63692A8F" w14:textId="1A6DE6F6" w:rsidR="007B419C" w:rsidRDefault="00BE0791" w:rsidP="007B419C">
      <w:pPr>
        <w:pStyle w:val="ItemHead"/>
      </w:pPr>
      <w:r>
        <w:t>2</w:t>
      </w:r>
      <w:r w:rsidR="003346D6">
        <w:t>5</w:t>
      </w:r>
      <w:r>
        <w:t xml:space="preserve">  </w:t>
      </w:r>
      <w:r w:rsidR="007B419C">
        <w:t>Item 2 of Schedule 1</w:t>
      </w:r>
      <w:r w:rsidR="001D3AC7">
        <w:t xml:space="preserve"> (item 1</w:t>
      </w:r>
      <w:r w:rsidR="005F695D">
        <w:t>, column 3, paragraph a</w:t>
      </w:r>
      <w:r w:rsidR="00EA52B0">
        <w:t xml:space="preserve"> of the table</w:t>
      </w:r>
      <w:r w:rsidR="001D3AC7">
        <w:t>)</w:t>
      </w:r>
    </w:p>
    <w:p w14:paraId="54928E5C" w14:textId="77777777" w:rsidR="007B419C" w:rsidRDefault="001D3AC7" w:rsidP="007B419C">
      <w:pPr>
        <w:pStyle w:val="Item"/>
      </w:pPr>
      <w:r>
        <w:t>Omit “paragraph 28(5)(a)”, substitute “item 1 of the table in subsection 28(6)”</w:t>
      </w:r>
      <w:r w:rsidR="007B419C">
        <w:t xml:space="preserve">. </w:t>
      </w:r>
    </w:p>
    <w:p w14:paraId="156C342B" w14:textId="0C01F2D6" w:rsidR="00EA52B0" w:rsidRDefault="00BE0791" w:rsidP="00EA52B0">
      <w:pPr>
        <w:pStyle w:val="ItemHead"/>
      </w:pPr>
      <w:r>
        <w:t>2</w:t>
      </w:r>
      <w:r w:rsidR="003346D6">
        <w:t>6</w:t>
      </w:r>
      <w:r>
        <w:t xml:space="preserve">  </w:t>
      </w:r>
      <w:r w:rsidR="00EA52B0">
        <w:t>Item 2 of Schedule 1 (item 1</w:t>
      </w:r>
      <w:r w:rsidR="005F695D">
        <w:t>, column 3, paragraph b</w:t>
      </w:r>
      <w:r w:rsidR="00EA52B0">
        <w:t xml:space="preserve"> of the table)</w:t>
      </w:r>
    </w:p>
    <w:p w14:paraId="731A19CE" w14:textId="77777777" w:rsidR="00EA52B0" w:rsidRDefault="00EA52B0" w:rsidP="00EA52B0">
      <w:pPr>
        <w:pStyle w:val="Item"/>
      </w:pPr>
      <w:r>
        <w:t>Renumber as paragraph (b).</w:t>
      </w:r>
    </w:p>
    <w:p w14:paraId="4B5CD8EA" w14:textId="7219B15B" w:rsidR="001D3AC7" w:rsidRDefault="00BE0791" w:rsidP="001D3AC7">
      <w:pPr>
        <w:pStyle w:val="ItemHead"/>
      </w:pPr>
      <w:r>
        <w:t>2</w:t>
      </w:r>
      <w:r w:rsidR="003346D6">
        <w:t>7</w:t>
      </w:r>
      <w:r>
        <w:t xml:space="preserve">  </w:t>
      </w:r>
      <w:r w:rsidR="005F695D">
        <w:t>Item 2 of Schedule 1 (</w:t>
      </w:r>
      <w:r w:rsidR="001D3AC7">
        <w:t>item 1</w:t>
      </w:r>
      <w:r w:rsidR="005F695D">
        <w:t>, column 3, paragraph b</w:t>
      </w:r>
      <w:r w:rsidR="00EA52B0">
        <w:t xml:space="preserve"> of the table</w:t>
      </w:r>
      <w:r w:rsidR="001D3AC7">
        <w:t>)</w:t>
      </w:r>
    </w:p>
    <w:p w14:paraId="43FA6432" w14:textId="77777777" w:rsidR="001D3AC7" w:rsidRDefault="001D3AC7" w:rsidP="001D3AC7">
      <w:pPr>
        <w:pStyle w:val="Item"/>
      </w:pPr>
      <w:r>
        <w:t xml:space="preserve">Omit “paragraph 28(5)(b)”, substitute “item 2 of the table in subsection 28(6)”. </w:t>
      </w:r>
    </w:p>
    <w:p w14:paraId="77E2AE2C" w14:textId="2FC793EE" w:rsidR="001D3AC7" w:rsidRDefault="00BE0791" w:rsidP="001D3AC7">
      <w:pPr>
        <w:pStyle w:val="ItemHead"/>
      </w:pPr>
      <w:r>
        <w:t>2</w:t>
      </w:r>
      <w:r w:rsidR="003346D6">
        <w:t>8</w:t>
      </w:r>
      <w:r>
        <w:t xml:space="preserve">  </w:t>
      </w:r>
      <w:r w:rsidR="001D3AC7">
        <w:t>Item 2 of Schedule 1 (item 1</w:t>
      </w:r>
      <w:r w:rsidR="005F695D">
        <w:t>, column 3, paragraph c</w:t>
      </w:r>
      <w:r w:rsidR="00EA52B0">
        <w:t xml:space="preserve"> of the table</w:t>
      </w:r>
      <w:r w:rsidR="001D3AC7">
        <w:t>)</w:t>
      </w:r>
    </w:p>
    <w:p w14:paraId="4E40D049" w14:textId="77777777" w:rsidR="001D3AC7" w:rsidRDefault="001D3AC7" w:rsidP="001D3AC7">
      <w:pPr>
        <w:pStyle w:val="Item"/>
      </w:pPr>
      <w:r>
        <w:t xml:space="preserve">Repeal the paragraph. </w:t>
      </w:r>
    </w:p>
    <w:p w14:paraId="27835591" w14:textId="4D75836F" w:rsidR="00EA52B0" w:rsidRDefault="003346D6" w:rsidP="00EA52B0">
      <w:pPr>
        <w:pStyle w:val="ItemHead"/>
      </w:pPr>
      <w:r>
        <w:t>29</w:t>
      </w:r>
      <w:r w:rsidR="00BE0791">
        <w:t xml:space="preserve">  </w:t>
      </w:r>
      <w:r w:rsidR="00EA52B0">
        <w:t>Item 3 of Schedule 1 (item 1</w:t>
      </w:r>
      <w:r w:rsidR="005F695D">
        <w:t>, column 3, paragraph a</w:t>
      </w:r>
      <w:r w:rsidR="00EA52B0">
        <w:t xml:space="preserve"> of the table)</w:t>
      </w:r>
    </w:p>
    <w:p w14:paraId="7476555E" w14:textId="77777777" w:rsidR="00EA52B0" w:rsidRDefault="00EA52B0" w:rsidP="00EA52B0">
      <w:pPr>
        <w:pStyle w:val="Item"/>
      </w:pPr>
      <w:r>
        <w:t>Renumber as paragraph (a).</w:t>
      </w:r>
    </w:p>
    <w:p w14:paraId="7AB5F21A" w14:textId="1BB91C4C" w:rsidR="00EA52B0" w:rsidRDefault="00BE0791" w:rsidP="00EA52B0">
      <w:pPr>
        <w:pStyle w:val="ItemHead"/>
      </w:pPr>
      <w:r>
        <w:t>3</w:t>
      </w:r>
      <w:r w:rsidR="003346D6">
        <w:t>0</w:t>
      </w:r>
      <w:r>
        <w:t xml:space="preserve">  </w:t>
      </w:r>
      <w:r w:rsidR="00EA52B0">
        <w:t>Item 3 of Schedule 1 (item 1</w:t>
      </w:r>
      <w:r w:rsidR="005F695D">
        <w:t>, column 3, paragraph a</w:t>
      </w:r>
      <w:r w:rsidR="00EA52B0">
        <w:t xml:space="preserve"> of the table)</w:t>
      </w:r>
    </w:p>
    <w:p w14:paraId="3115D27F" w14:textId="77777777" w:rsidR="00EA52B0" w:rsidRDefault="00EA52B0" w:rsidP="00EA52B0">
      <w:pPr>
        <w:pStyle w:val="Item"/>
      </w:pPr>
      <w:r>
        <w:t xml:space="preserve">Omit “paragraph 28(5)(a)”, substitute “item 1 of the table in subsection 28(6)”. </w:t>
      </w:r>
    </w:p>
    <w:p w14:paraId="2D392023" w14:textId="2C39C7D9" w:rsidR="00EA52B0" w:rsidRDefault="00A06822" w:rsidP="00EA52B0">
      <w:pPr>
        <w:pStyle w:val="ItemHead"/>
      </w:pPr>
      <w:r>
        <w:t>3</w:t>
      </w:r>
      <w:r w:rsidR="003346D6">
        <w:t>1</w:t>
      </w:r>
      <w:r w:rsidR="00EA52B0">
        <w:t xml:space="preserve">  Item 3 of Schedule 1 (item 1</w:t>
      </w:r>
      <w:r w:rsidR="005F695D">
        <w:t>, column 3, paragraph b</w:t>
      </w:r>
      <w:r w:rsidR="00EA52B0">
        <w:t xml:space="preserve"> of the table)</w:t>
      </w:r>
    </w:p>
    <w:p w14:paraId="0392BBEE" w14:textId="77777777" w:rsidR="00EA52B0" w:rsidRDefault="00EA52B0" w:rsidP="00EA52B0">
      <w:pPr>
        <w:pStyle w:val="Item"/>
      </w:pPr>
      <w:r>
        <w:t>Renumber as paragraph (b).</w:t>
      </w:r>
    </w:p>
    <w:p w14:paraId="2F404B71" w14:textId="2B9C77E6" w:rsidR="00EA52B0" w:rsidRDefault="00BE0791" w:rsidP="00EA52B0">
      <w:pPr>
        <w:pStyle w:val="ItemHead"/>
      </w:pPr>
      <w:r>
        <w:t>3</w:t>
      </w:r>
      <w:r w:rsidR="003346D6">
        <w:t>2</w:t>
      </w:r>
      <w:r>
        <w:t xml:space="preserve">  </w:t>
      </w:r>
      <w:r w:rsidR="00EA52B0">
        <w:t>Item 3 of Schedule 1 (</w:t>
      </w:r>
      <w:r w:rsidR="005F695D">
        <w:t>item 1, column 3, paragraph b</w:t>
      </w:r>
      <w:r w:rsidR="00EA52B0">
        <w:t xml:space="preserve"> of the table)</w:t>
      </w:r>
    </w:p>
    <w:p w14:paraId="509AE772" w14:textId="25E9AA58" w:rsidR="00EA52B0" w:rsidRDefault="00EA52B0" w:rsidP="00EA52B0">
      <w:pPr>
        <w:pStyle w:val="Item"/>
      </w:pPr>
      <w:r>
        <w:t>Omit “paragraph 28(5)(b)</w:t>
      </w:r>
      <w:r w:rsidR="00A97699">
        <w:t xml:space="preserve"> </w:t>
      </w:r>
      <w:r w:rsidR="002D2A80" w:rsidRPr="002D2A80">
        <w:t>of these Guidelines;</w:t>
      </w:r>
      <w:r>
        <w:t>”, substitute “item 2 of the table in subsection 28(6)</w:t>
      </w:r>
      <w:r w:rsidR="002D2A80">
        <w:t xml:space="preserve"> </w:t>
      </w:r>
      <w:r w:rsidR="002D2A80" w:rsidRPr="002D2A80">
        <w:t>of these Guidelines</w:t>
      </w:r>
      <w:r>
        <w:t xml:space="preserve">”. </w:t>
      </w:r>
    </w:p>
    <w:p w14:paraId="61ADDF7F" w14:textId="2029D4D7" w:rsidR="00EA52B0" w:rsidRDefault="00BE0791" w:rsidP="00EA52B0">
      <w:pPr>
        <w:pStyle w:val="ItemHead"/>
      </w:pPr>
      <w:r>
        <w:t>3</w:t>
      </w:r>
      <w:r w:rsidR="003346D6">
        <w:t>3</w:t>
      </w:r>
      <w:r>
        <w:t xml:space="preserve">  </w:t>
      </w:r>
      <w:r w:rsidR="00EA52B0">
        <w:t>Item 3 of Schedule 1 (</w:t>
      </w:r>
      <w:r w:rsidR="005F695D">
        <w:t>item 1, column 3, paragraph c</w:t>
      </w:r>
      <w:r w:rsidR="00EA52B0">
        <w:t xml:space="preserve"> of the table)</w:t>
      </w:r>
    </w:p>
    <w:p w14:paraId="6663F83B" w14:textId="77777777" w:rsidR="00EA52B0" w:rsidRDefault="00EA52B0" w:rsidP="00EA52B0">
      <w:pPr>
        <w:pStyle w:val="Item"/>
      </w:pPr>
      <w:r>
        <w:t xml:space="preserve">Repeal the paragraph. </w:t>
      </w:r>
    </w:p>
    <w:p w14:paraId="2436DB42" w14:textId="7CFB579A" w:rsidR="00023B24" w:rsidRDefault="00BE0791" w:rsidP="00023B24">
      <w:pPr>
        <w:pStyle w:val="ItemHead"/>
      </w:pPr>
      <w:r>
        <w:t>3</w:t>
      </w:r>
      <w:r w:rsidR="003346D6">
        <w:t>4</w:t>
      </w:r>
      <w:r>
        <w:t xml:space="preserve">  </w:t>
      </w:r>
      <w:r w:rsidR="00071006">
        <w:t>S</w:t>
      </w:r>
      <w:r w:rsidR="00595755">
        <w:t>ubitem 5(4</w:t>
      </w:r>
      <w:r w:rsidR="00023B24">
        <w:t>) of Schedule 1</w:t>
      </w:r>
    </w:p>
    <w:p w14:paraId="67863510" w14:textId="2548FEAE" w:rsidR="001D3AC7" w:rsidRPr="001D3AC7" w:rsidRDefault="00595755" w:rsidP="00023B24">
      <w:pPr>
        <w:pStyle w:val="Item"/>
      </w:pPr>
      <w:r>
        <w:t>Repeal the subitem, substitute</w:t>
      </w:r>
      <w:r w:rsidR="00023B24">
        <w:t xml:space="preserve">: </w:t>
      </w:r>
    </w:p>
    <w:p w14:paraId="22AE8899" w14:textId="77777777" w:rsidR="00023B24" w:rsidRDefault="00023B24" w:rsidP="00023B24">
      <w:pPr>
        <w:pStyle w:val="subsection"/>
      </w:pPr>
      <w:r>
        <w:tab/>
      </w:r>
      <w:r w:rsidR="00595755">
        <w:t>(4</w:t>
      </w:r>
      <w:r>
        <w:t>)</w:t>
      </w:r>
      <w:r>
        <w:tab/>
        <w:t>If</w:t>
      </w:r>
      <w:r w:rsidR="00595755">
        <w:t xml:space="preserve">, in the </w:t>
      </w:r>
      <w:r w:rsidR="00401D83">
        <w:t>year before the</w:t>
      </w:r>
      <w:r w:rsidR="00595755">
        <w:t xml:space="preserve"> grant year, an eligible higher education provider</w:t>
      </w:r>
      <w:r>
        <w:t>:</w:t>
      </w:r>
    </w:p>
    <w:p w14:paraId="1CBB0AA2" w14:textId="77777777" w:rsidR="00595755" w:rsidRDefault="00595755" w:rsidP="00595755">
      <w:pPr>
        <w:pStyle w:val="paragraph"/>
      </w:pPr>
      <w:r>
        <w:tab/>
        <w:t>(a</w:t>
      </w:r>
      <w:r w:rsidRPr="00885210">
        <w:t>)</w:t>
      </w:r>
      <w:r w:rsidRPr="00885210">
        <w:tab/>
      </w:r>
      <w:r>
        <w:t>did not receive an ISSP grant; and</w:t>
      </w:r>
    </w:p>
    <w:p w14:paraId="4E93B368" w14:textId="4FA6AF91" w:rsidR="00023B24" w:rsidRDefault="00595755" w:rsidP="00023B24">
      <w:pPr>
        <w:pStyle w:val="paragraph"/>
      </w:pPr>
      <w:r>
        <w:tab/>
        <w:t>(b</w:t>
      </w:r>
      <w:r w:rsidR="00023B24" w:rsidRPr="00885210">
        <w:t>)</w:t>
      </w:r>
      <w:r w:rsidR="00023B24" w:rsidRPr="00885210">
        <w:tab/>
      </w:r>
      <w:r w:rsidR="00023B24">
        <w:t xml:space="preserve">received a grant </w:t>
      </w:r>
      <w:r>
        <w:t xml:space="preserve">approved </w:t>
      </w:r>
      <w:r w:rsidR="00023B24">
        <w:t xml:space="preserve">under section 38-20 of the Act </w:t>
      </w:r>
      <w:r>
        <w:t>to use for activities specified in these Guidelines</w:t>
      </w:r>
      <w:r w:rsidR="00071006">
        <w:t>,</w:t>
      </w:r>
      <w:r w:rsidR="00023B24">
        <w:t xml:space="preserve"> </w:t>
      </w:r>
    </w:p>
    <w:p w14:paraId="13566C5C" w14:textId="56F48F94" w:rsidR="00023B24" w:rsidRDefault="00595755" w:rsidP="00023B24">
      <w:pPr>
        <w:pStyle w:val="subsection"/>
      </w:pPr>
      <w:r>
        <w:tab/>
      </w:r>
      <w:r>
        <w:tab/>
        <w:t xml:space="preserve">the </w:t>
      </w:r>
      <w:r w:rsidRPr="0049763B">
        <w:t>normal previous year allocation</w:t>
      </w:r>
      <w:r>
        <w:t xml:space="preserve"> for the provider is the amount </w:t>
      </w:r>
      <w:r w:rsidR="00BE0791">
        <w:t>calculated</w:t>
      </w:r>
      <w:r w:rsidR="008E5049">
        <w:t xml:space="preserve"> in accordance with sub</w:t>
      </w:r>
      <w:r w:rsidR="009A6652">
        <w:t>item</w:t>
      </w:r>
      <w:r w:rsidR="008E5049">
        <w:t xml:space="preserve"> (5)</w:t>
      </w:r>
      <w:r>
        <w:t xml:space="preserve">. </w:t>
      </w:r>
    </w:p>
    <w:p w14:paraId="2FB5E4BE" w14:textId="4E61EF49" w:rsidR="009A6652" w:rsidRDefault="009A6652" w:rsidP="009A6652">
      <w:pPr>
        <w:pStyle w:val="ItemHead"/>
      </w:pPr>
      <w:r>
        <w:t>3</w:t>
      </w:r>
      <w:r w:rsidR="003346D6">
        <w:t>5</w:t>
      </w:r>
      <w:r>
        <w:t xml:space="preserve">  After subitem 5(4) of Schedule 1</w:t>
      </w:r>
    </w:p>
    <w:p w14:paraId="70150CB6" w14:textId="1610CB31" w:rsidR="009A6652" w:rsidRPr="001D3AC7" w:rsidRDefault="009A6652" w:rsidP="009A6652">
      <w:pPr>
        <w:pStyle w:val="Item"/>
      </w:pPr>
      <w:r>
        <w:t xml:space="preserve">Insert: </w:t>
      </w:r>
    </w:p>
    <w:p w14:paraId="27D3AC22" w14:textId="3D258D57" w:rsidR="008E5049" w:rsidRDefault="008E5049" w:rsidP="003346D6">
      <w:pPr>
        <w:pStyle w:val="subsection"/>
      </w:pPr>
      <w:r>
        <w:lastRenderedPageBreak/>
        <w:tab/>
        <w:t>(5)</w:t>
      </w:r>
      <w:r>
        <w:tab/>
      </w:r>
      <w:r w:rsidR="009A6652">
        <w:t>For the purposes of subitem (4), t</w:t>
      </w:r>
      <w:r w:rsidR="005F133B">
        <w:t>he amount of the normal previous year allocation is:</w:t>
      </w:r>
    </w:p>
    <w:p w14:paraId="0A61B23D" w14:textId="730D9FF3" w:rsidR="005F133B" w:rsidRDefault="005F133B" w:rsidP="005F133B">
      <w:pPr>
        <w:pStyle w:val="paragraph"/>
      </w:pPr>
      <w:r>
        <w:tab/>
        <w:t>(a</w:t>
      </w:r>
      <w:r w:rsidRPr="00885210">
        <w:t>)</w:t>
      </w:r>
      <w:r w:rsidRPr="00885210">
        <w:tab/>
      </w:r>
      <w:r w:rsidR="009D40EC">
        <w:t xml:space="preserve">where </w:t>
      </w:r>
      <w:r>
        <w:t xml:space="preserve">the grant approved under section 38-20 in respect of the </w:t>
      </w:r>
      <w:r w:rsidR="003E2677">
        <w:t xml:space="preserve">eligible </w:t>
      </w:r>
      <w:r>
        <w:t>higher education provider</w:t>
      </w:r>
      <w:r w:rsidR="009D40EC">
        <w:t xml:space="preserve"> </w:t>
      </w:r>
      <w:r w:rsidR="00E21739">
        <w:t xml:space="preserve">was to </w:t>
      </w:r>
      <w:r w:rsidR="003542EB">
        <w:t>be used for</w:t>
      </w:r>
      <w:r w:rsidR="00F255B4">
        <w:t xml:space="preserve"> </w:t>
      </w:r>
      <w:r w:rsidR="009D40EC">
        <w:t>an entire grant year – the amount of the grant approved under section 38-20 in respect of the provider</w:t>
      </w:r>
      <w:r>
        <w:t>; or</w:t>
      </w:r>
    </w:p>
    <w:p w14:paraId="170DAFEF" w14:textId="7EFE235B" w:rsidR="008E5049" w:rsidRDefault="005F133B" w:rsidP="003346D6">
      <w:pPr>
        <w:pStyle w:val="paragraph"/>
        <w:tabs>
          <w:tab w:val="clear" w:pos="1531"/>
          <w:tab w:val="right" w:pos="1134"/>
        </w:tabs>
        <w:ind w:left="1276" w:hanging="709"/>
      </w:pPr>
      <w:r>
        <w:tab/>
      </w:r>
      <w:r>
        <w:tab/>
        <w:t xml:space="preserve">(b) </w:t>
      </w:r>
      <w:r w:rsidR="009D40EC">
        <w:t xml:space="preserve">in any other case - </w:t>
      </w:r>
      <w:r w:rsidR="000C4E21">
        <w:t>the</w:t>
      </w:r>
      <w:r>
        <w:t xml:space="preserve"> amount agreed between an administering officer and </w:t>
      </w:r>
      <w:r w:rsidR="00F255B4">
        <w:tab/>
        <w:t xml:space="preserve">   </w:t>
      </w:r>
      <w:r>
        <w:t xml:space="preserve">the provider. </w:t>
      </w:r>
    </w:p>
    <w:p w14:paraId="7587B526" w14:textId="690EA0FD" w:rsidR="003F5C97" w:rsidRDefault="00A06822" w:rsidP="003F5C97">
      <w:pPr>
        <w:pStyle w:val="ItemHead"/>
      </w:pPr>
      <w:r>
        <w:t>3</w:t>
      </w:r>
      <w:r w:rsidR="003346D6">
        <w:t>6</w:t>
      </w:r>
      <w:r w:rsidR="003F5C97">
        <w:t xml:space="preserve">  Application provision for eligibility</w:t>
      </w:r>
    </w:p>
    <w:p w14:paraId="723D67B1" w14:textId="596FCD4A" w:rsidR="003F5C97" w:rsidRPr="003F5C97" w:rsidRDefault="003F5C97" w:rsidP="003F5C97">
      <w:pPr>
        <w:pStyle w:val="Item"/>
      </w:pPr>
      <w:r>
        <w:t xml:space="preserve">The amendments made by this Schedule of the following provisions of the </w:t>
      </w:r>
      <w:r>
        <w:rPr>
          <w:i/>
        </w:rPr>
        <w:t>Indigenous Student Assistance Grants Guidelines 2017</w:t>
      </w:r>
      <w:r w:rsidR="00E429EB">
        <w:t xml:space="preserve"> </w:t>
      </w:r>
      <w:r w:rsidR="00C41173">
        <w:t xml:space="preserve">do not </w:t>
      </w:r>
      <w:r w:rsidR="00E429EB">
        <w:t>apply to ISSP grants that are payable in respect</w:t>
      </w:r>
      <w:r w:rsidR="00C41173">
        <w:t xml:space="preserve"> of the year 2019</w:t>
      </w:r>
      <w:r w:rsidR="00C84313">
        <w:t>:</w:t>
      </w:r>
      <w:r w:rsidR="00E429EB">
        <w:t xml:space="preserve"> </w:t>
      </w:r>
    </w:p>
    <w:p w14:paraId="38BFD8ED" w14:textId="77777777" w:rsidR="003F5C97" w:rsidRDefault="003F5C97" w:rsidP="003F5C97">
      <w:pPr>
        <w:pStyle w:val="paragraph"/>
      </w:pPr>
      <w:r>
        <w:tab/>
        <w:t>(a</w:t>
      </w:r>
      <w:r w:rsidRPr="00885210">
        <w:t>)</w:t>
      </w:r>
      <w:r w:rsidRPr="00885210">
        <w:tab/>
      </w:r>
      <w:r w:rsidR="00E429EB">
        <w:t xml:space="preserve">paragraph 10(1)(b); </w:t>
      </w:r>
    </w:p>
    <w:p w14:paraId="03DF9BE5" w14:textId="16F3AA55" w:rsidR="007B419C" w:rsidRDefault="00E429EB" w:rsidP="00E429EB">
      <w:pPr>
        <w:pStyle w:val="paragraph"/>
      </w:pPr>
      <w:r>
        <w:tab/>
        <w:t>(</w:t>
      </w:r>
      <w:r w:rsidR="001C30DE">
        <w:t>b</w:t>
      </w:r>
      <w:r w:rsidRPr="00885210">
        <w:t>)</w:t>
      </w:r>
      <w:r w:rsidRPr="00885210">
        <w:tab/>
      </w:r>
      <w:r>
        <w:t xml:space="preserve">subparagraphs 11(a)(i) and (ii); </w:t>
      </w:r>
    </w:p>
    <w:p w14:paraId="346C6281" w14:textId="5E16E329" w:rsidR="00E429EB" w:rsidRDefault="00E429EB" w:rsidP="00E429EB">
      <w:pPr>
        <w:pStyle w:val="paragraph"/>
      </w:pPr>
      <w:r>
        <w:tab/>
        <w:t>(</w:t>
      </w:r>
      <w:r w:rsidR="001C30DE">
        <w:t>c</w:t>
      </w:r>
      <w:r w:rsidRPr="00885210">
        <w:t>)</w:t>
      </w:r>
      <w:r w:rsidRPr="00885210">
        <w:tab/>
      </w:r>
      <w:r>
        <w:t xml:space="preserve">paragraphs 12(a) and (c); </w:t>
      </w:r>
    </w:p>
    <w:p w14:paraId="3D0BBF30" w14:textId="11F16F40" w:rsidR="00023B24" w:rsidRDefault="00E429EB" w:rsidP="00E429EB">
      <w:pPr>
        <w:pStyle w:val="paragraph"/>
      </w:pPr>
      <w:r>
        <w:tab/>
        <w:t>(</w:t>
      </w:r>
      <w:r w:rsidR="001C30DE">
        <w:t>d</w:t>
      </w:r>
      <w:r w:rsidRPr="00885210">
        <w:t>)</w:t>
      </w:r>
      <w:r w:rsidRPr="00885210">
        <w:tab/>
      </w:r>
      <w:r>
        <w:t xml:space="preserve">subparagraph 12(b)(ii).  </w:t>
      </w:r>
    </w:p>
    <w:p w14:paraId="06B2637E" w14:textId="77777777" w:rsidR="00023B24" w:rsidRPr="00023B24" w:rsidRDefault="00023B24" w:rsidP="00023B24">
      <w:pPr>
        <w:pStyle w:val="ItemHead"/>
      </w:pPr>
    </w:p>
    <w:p w14:paraId="494A71B6" w14:textId="31521FF2" w:rsidR="003F6F52" w:rsidRPr="00DA182D" w:rsidRDefault="003F6F52" w:rsidP="003346D6">
      <w:pPr>
        <w:pStyle w:val="BodyPara"/>
        <w:numPr>
          <w:ilvl w:val="0"/>
          <w:numId w:val="0"/>
        </w:numPr>
        <w:ind w:left="1440"/>
      </w:pPr>
      <w:bookmarkStart w:id="11" w:name="_Toc478567696"/>
      <w:bookmarkStart w:id="12" w:name="_Toc530250222"/>
      <w:bookmarkEnd w:id="11"/>
      <w:bookmarkEnd w:id="12"/>
    </w:p>
    <w:sectPr w:rsidR="003F6F52" w:rsidRPr="00DA182D" w:rsidSect="00B20990">
      <w:headerReference w:type="even" r:id="rId22"/>
      <w:headerReference w:type="default" r:id="rId23"/>
      <w:footerReference w:type="even" r:id="rId24"/>
      <w:footerReference w:type="default" r:id="rId25"/>
      <w:footerReference w:type="first" r:id="rId26"/>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C2C03" w14:textId="77777777" w:rsidR="00F73C95" w:rsidRDefault="00F73C95" w:rsidP="0048364F">
      <w:pPr>
        <w:spacing w:line="240" w:lineRule="auto"/>
      </w:pPr>
      <w:r>
        <w:separator/>
      </w:r>
    </w:p>
  </w:endnote>
  <w:endnote w:type="continuationSeparator" w:id="0">
    <w:p w14:paraId="50B15D75" w14:textId="77777777" w:rsidR="00F73C95" w:rsidRDefault="00F73C9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pitch w:val="variable"/>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73C95" w14:paraId="10F72CB4" w14:textId="77777777" w:rsidTr="001D3AC7">
      <w:tc>
        <w:tcPr>
          <w:tcW w:w="5000" w:type="pct"/>
        </w:tcPr>
        <w:p w14:paraId="4318295A" w14:textId="77777777" w:rsidR="00F73C95" w:rsidRDefault="00F73C95" w:rsidP="001D3AC7">
          <w:pPr>
            <w:rPr>
              <w:sz w:val="18"/>
            </w:rPr>
          </w:pPr>
        </w:p>
      </w:tc>
    </w:tr>
  </w:tbl>
  <w:p w14:paraId="757AA20C" w14:textId="77777777" w:rsidR="00F73C95" w:rsidRPr="005F1388" w:rsidRDefault="00F73C95"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F73C95" w14:paraId="605C556E" w14:textId="77777777" w:rsidTr="001D3AC7">
      <w:tc>
        <w:tcPr>
          <w:tcW w:w="5000" w:type="pct"/>
        </w:tcPr>
        <w:p w14:paraId="42696534" w14:textId="77777777" w:rsidR="00F73C95" w:rsidRDefault="00F73C95" w:rsidP="001D3AC7">
          <w:pPr>
            <w:rPr>
              <w:sz w:val="18"/>
            </w:rPr>
          </w:pPr>
        </w:p>
      </w:tc>
    </w:tr>
  </w:tbl>
  <w:p w14:paraId="5146391F" w14:textId="77777777" w:rsidR="00F73C95" w:rsidRPr="006D3667" w:rsidRDefault="00F73C95" w:rsidP="001D3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9B81" w14:textId="77777777" w:rsidR="00F73C95" w:rsidRDefault="00F73C95" w:rsidP="001D3AC7">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F73C95" w14:paraId="643EF6CB" w14:textId="77777777" w:rsidTr="001D3AC7">
      <w:tc>
        <w:tcPr>
          <w:tcW w:w="5000" w:type="pct"/>
        </w:tcPr>
        <w:p w14:paraId="3C53570A" w14:textId="77777777" w:rsidR="00F73C95" w:rsidRDefault="00F73C95" w:rsidP="001D3AC7">
          <w:pPr>
            <w:rPr>
              <w:sz w:val="18"/>
            </w:rPr>
          </w:pPr>
        </w:p>
      </w:tc>
    </w:tr>
  </w:tbl>
  <w:p w14:paraId="5E8EC201" w14:textId="77777777" w:rsidR="00F73C95" w:rsidRPr="00486382" w:rsidRDefault="00F73C95"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7512" w14:textId="77777777" w:rsidR="00F73C95" w:rsidRPr="00E33C1C" w:rsidRDefault="00F73C95" w:rsidP="001D3AC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F73C95" w14:paraId="35E145D1" w14:textId="77777777" w:rsidTr="001D3AC7">
      <w:tc>
        <w:tcPr>
          <w:tcW w:w="365" w:type="pct"/>
          <w:tcBorders>
            <w:top w:val="nil"/>
            <w:left w:val="nil"/>
            <w:bottom w:val="nil"/>
            <w:right w:val="nil"/>
          </w:tcBorders>
        </w:tcPr>
        <w:p w14:paraId="38CF0729" w14:textId="77777777" w:rsidR="00F73C95" w:rsidRDefault="00F73C95" w:rsidP="001D3AC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9527EA4" w14:textId="77777777" w:rsidR="00F73C95" w:rsidRDefault="00F73C95" w:rsidP="001D3AC7">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Indigenous Student Assistance Grants Amendment Guidelines 2018</w:t>
          </w:r>
          <w:r w:rsidRPr="00B20990">
            <w:rPr>
              <w:i/>
              <w:sz w:val="18"/>
            </w:rPr>
            <w:fldChar w:fldCharType="end"/>
          </w:r>
        </w:p>
      </w:tc>
      <w:tc>
        <w:tcPr>
          <w:tcW w:w="947" w:type="pct"/>
          <w:tcBorders>
            <w:top w:val="nil"/>
            <w:left w:val="nil"/>
            <w:bottom w:val="nil"/>
            <w:right w:val="nil"/>
          </w:tcBorders>
        </w:tcPr>
        <w:p w14:paraId="6CD1561B" w14:textId="77777777" w:rsidR="00F73C95" w:rsidRDefault="00F73C95" w:rsidP="001D3AC7">
          <w:pPr>
            <w:spacing w:line="0" w:lineRule="atLeast"/>
            <w:jc w:val="right"/>
            <w:rPr>
              <w:sz w:val="18"/>
            </w:rPr>
          </w:pPr>
        </w:p>
      </w:tc>
    </w:tr>
    <w:tr w:rsidR="00F73C95" w14:paraId="1F34963A" w14:textId="77777777" w:rsidTr="001D3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E402E15" w14:textId="77777777" w:rsidR="00F73C95" w:rsidRDefault="00F73C95" w:rsidP="001D3AC7">
          <w:pPr>
            <w:jc w:val="right"/>
            <w:rPr>
              <w:sz w:val="18"/>
            </w:rPr>
          </w:pPr>
        </w:p>
      </w:tc>
    </w:tr>
  </w:tbl>
  <w:p w14:paraId="3F73E432" w14:textId="77777777" w:rsidR="00F73C95" w:rsidRPr="00ED79B6" w:rsidRDefault="00F73C95" w:rsidP="001D3AC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E263" w14:textId="77777777" w:rsidR="00F73C95" w:rsidRPr="00E33C1C" w:rsidRDefault="00F73C95" w:rsidP="001D3AC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F73C95" w14:paraId="39473F19" w14:textId="77777777" w:rsidTr="001D3AC7">
      <w:tc>
        <w:tcPr>
          <w:tcW w:w="947" w:type="pct"/>
          <w:tcBorders>
            <w:top w:val="nil"/>
            <w:left w:val="nil"/>
            <w:bottom w:val="nil"/>
            <w:right w:val="nil"/>
          </w:tcBorders>
        </w:tcPr>
        <w:p w14:paraId="2E60ECCC" w14:textId="77777777" w:rsidR="00F73C95" w:rsidRDefault="00F73C95" w:rsidP="001D3AC7">
          <w:pPr>
            <w:spacing w:line="0" w:lineRule="atLeast"/>
            <w:rPr>
              <w:sz w:val="18"/>
            </w:rPr>
          </w:pPr>
        </w:p>
      </w:tc>
      <w:tc>
        <w:tcPr>
          <w:tcW w:w="3688" w:type="pct"/>
          <w:tcBorders>
            <w:top w:val="nil"/>
            <w:left w:val="nil"/>
            <w:bottom w:val="nil"/>
            <w:right w:val="nil"/>
          </w:tcBorders>
        </w:tcPr>
        <w:p w14:paraId="57691943" w14:textId="64E11B53" w:rsidR="00F73C95" w:rsidRPr="00B20990" w:rsidRDefault="00F73C95" w:rsidP="001D3AC7">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C4ED7">
            <w:rPr>
              <w:i/>
              <w:noProof/>
              <w:sz w:val="18"/>
            </w:rPr>
            <w:t>Indigenous Student Assistance Grants Amendment Guidelines 2018</w:t>
          </w:r>
          <w:r w:rsidRPr="00B20990">
            <w:rPr>
              <w:i/>
              <w:sz w:val="18"/>
            </w:rPr>
            <w:fldChar w:fldCharType="end"/>
          </w:r>
        </w:p>
      </w:tc>
      <w:tc>
        <w:tcPr>
          <w:tcW w:w="365" w:type="pct"/>
          <w:tcBorders>
            <w:top w:val="nil"/>
            <w:left w:val="nil"/>
            <w:bottom w:val="nil"/>
            <w:right w:val="nil"/>
          </w:tcBorders>
        </w:tcPr>
        <w:p w14:paraId="75FB004B" w14:textId="418BFB6D" w:rsidR="00F73C95" w:rsidRDefault="00F73C95" w:rsidP="001D3AC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4ED7">
            <w:rPr>
              <w:i/>
              <w:noProof/>
              <w:sz w:val="18"/>
            </w:rPr>
            <w:t>i</w:t>
          </w:r>
          <w:r w:rsidRPr="00ED79B6">
            <w:rPr>
              <w:i/>
              <w:sz w:val="18"/>
            </w:rPr>
            <w:fldChar w:fldCharType="end"/>
          </w:r>
        </w:p>
      </w:tc>
    </w:tr>
    <w:tr w:rsidR="00F73C95" w14:paraId="78FEACA1" w14:textId="77777777" w:rsidTr="001D3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D4C73AD" w14:textId="77777777" w:rsidR="00F73C95" w:rsidRDefault="00F73C95" w:rsidP="001D3AC7">
          <w:pPr>
            <w:rPr>
              <w:sz w:val="18"/>
            </w:rPr>
          </w:pPr>
        </w:p>
      </w:tc>
    </w:tr>
  </w:tbl>
  <w:p w14:paraId="5D319532" w14:textId="77777777" w:rsidR="00F73C95" w:rsidRPr="00ED79B6" w:rsidRDefault="00F73C95" w:rsidP="001D3AC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ED7D" w14:textId="77777777" w:rsidR="00F73C95" w:rsidRPr="00E33C1C" w:rsidRDefault="00F73C9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73C95" w14:paraId="2610BA51" w14:textId="77777777" w:rsidTr="007A6863">
      <w:tc>
        <w:tcPr>
          <w:tcW w:w="709" w:type="dxa"/>
          <w:tcBorders>
            <w:top w:val="nil"/>
            <w:left w:val="nil"/>
            <w:bottom w:val="nil"/>
            <w:right w:val="nil"/>
          </w:tcBorders>
        </w:tcPr>
        <w:p w14:paraId="24D0A52F" w14:textId="69046883" w:rsidR="00F73C95" w:rsidRDefault="00F73C95"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4ED7">
            <w:rPr>
              <w:i/>
              <w:noProof/>
              <w:sz w:val="18"/>
            </w:rPr>
            <w:t>6</w:t>
          </w:r>
          <w:r w:rsidRPr="00ED79B6">
            <w:rPr>
              <w:i/>
              <w:sz w:val="18"/>
            </w:rPr>
            <w:fldChar w:fldCharType="end"/>
          </w:r>
        </w:p>
      </w:tc>
      <w:tc>
        <w:tcPr>
          <w:tcW w:w="6379" w:type="dxa"/>
          <w:tcBorders>
            <w:top w:val="nil"/>
            <w:left w:val="nil"/>
            <w:bottom w:val="nil"/>
            <w:right w:val="nil"/>
          </w:tcBorders>
        </w:tcPr>
        <w:p w14:paraId="735DCE91" w14:textId="17AE4A83" w:rsidR="00F73C95" w:rsidRDefault="00F73C9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C4ED7">
            <w:rPr>
              <w:i/>
              <w:noProof/>
              <w:sz w:val="18"/>
            </w:rPr>
            <w:t>Indigenous Student Assistance Grants Amendment Guidelines 2018</w:t>
          </w:r>
          <w:r w:rsidRPr="00B20990">
            <w:rPr>
              <w:i/>
              <w:sz w:val="18"/>
            </w:rPr>
            <w:fldChar w:fldCharType="end"/>
          </w:r>
        </w:p>
      </w:tc>
      <w:tc>
        <w:tcPr>
          <w:tcW w:w="1383" w:type="dxa"/>
          <w:tcBorders>
            <w:top w:val="nil"/>
            <w:left w:val="nil"/>
            <w:bottom w:val="nil"/>
            <w:right w:val="nil"/>
          </w:tcBorders>
        </w:tcPr>
        <w:p w14:paraId="70CA905A" w14:textId="77777777" w:rsidR="00F73C95" w:rsidRDefault="00F73C95" w:rsidP="00EE57E8">
          <w:pPr>
            <w:spacing w:line="0" w:lineRule="atLeast"/>
            <w:jc w:val="right"/>
            <w:rPr>
              <w:sz w:val="18"/>
            </w:rPr>
          </w:pPr>
        </w:p>
      </w:tc>
    </w:tr>
    <w:tr w:rsidR="00F73C95" w14:paraId="29B1867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C8855F" w14:textId="77777777" w:rsidR="00F73C95" w:rsidRDefault="00F73C95" w:rsidP="00EE57E8">
          <w:pPr>
            <w:jc w:val="right"/>
            <w:rPr>
              <w:sz w:val="18"/>
            </w:rPr>
          </w:pPr>
        </w:p>
      </w:tc>
    </w:tr>
  </w:tbl>
  <w:p w14:paraId="1A7FA3D9" w14:textId="77777777" w:rsidR="00F73C95" w:rsidRPr="00ED79B6" w:rsidRDefault="00F73C95"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6849" w14:textId="77777777" w:rsidR="00F73C95" w:rsidRPr="00E33C1C" w:rsidRDefault="00F73C9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73C95" w14:paraId="3FF54130" w14:textId="77777777" w:rsidTr="00EE57E8">
      <w:tc>
        <w:tcPr>
          <w:tcW w:w="1384" w:type="dxa"/>
          <w:tcBorders>
            <w:top w:val="nil"/>
            <w:left w:val="nil"/>
            <w:bottom w:val="nil"/>
            <w:right w:val="nil"/>
          </w:tcBorders>
        </w:tcPr>
        <w:p w14:paraId="5854A7B6" w14:textId="77777777" w:rsidR="00F73C95" w:rsidRDefault="00F73C95" w:rsidP="00EE57E8">
          <w:pPr>
            <w:spacing w:line="0" w:lineRule="atLeast"/>
            <w:rPr>
              <w:sz w:val="18"/>
            </w:rPr>
          </w:pPr>
        </w:p>
      </w:tc>
      <w:tc>
        <w:tcPr>
          <w:tcW w:w="6379" w:type="dxa"/>
          <w:tcBorders>
            <w:top w:val="nil"/>
            <w:left w:val="nil"/>
            <w:bottom w:val="nil"/>
            <w:right w:val="nil"/>
          </w:tcBorders>
        </w:tcPr>
        <w:p w14:paraId="42B2E03C" w14:textId="1E2BE320" w:rsidR="00F73C95" w:rsidRDefault="00F73C95"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C4ED7">
            <w:rPr>
              <w:i/>
              <w:noProof/>
              <w:sz w:val="18"/>
            </w:rPr>
            <w:t>Indigenous Student Assistance Grants Amendment Guidelines 2018</w:t>
          </w:r>
          <w:r w:rsidRPr="00B20990">
            <w:rPr>
              <w:i/>
              <w:sz w:val="18"/>
            </w:rPr>
            <w:fldChar w:fldCharType="end"/>
          </w:r>
        </w:p>
      </w:tc>
      <w:tc>
        <w:tcPr>
          <w:tcW w:w="709" w:type="dxa"/>
          <w:tcBorders>
            <w:top w:val="nil"/>
            <w:left w:val="nil"/>
            <w:bottom w:val="nil"/>
            <w:right w:val="nil"/>
          </w:tcBorders>
        </w:tcPr>
        <w:p w14:paraId="635145F2" w14:textId="0074110A" w:rsidR="00F73C95" w:rsidRDefault="00F73C9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4ED7">
            <w:rPr>
              <w:i/>
              <w:noProof/>
              <w:sz w:val="18"/>
            </w:rPr>
            <w:t>5</w:t>
          </w:r>
          <w:r w:rsidRPr="00ED79B6">
            <w:rPr>
              <w:i/>
              <w:sz w:val="18"/>
            </w:rPr>
            <w:fldChar w:fldCharType="end"/>
          </w:r>
        </w:p>
      </w:tc>
    </w:tr>
    <w:tr w:rsidR="00F73C95" w14:paraId="2F838083"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D293F9" w14:textId="77777777" w:rsidR="00F73C95" w:rsidRDefault="00F73C95" w:rsidP="00EE57E8">
          <w:pPr>
            <w:rPr>
              <w:sz w:val="18"/>
            </w:rPr>
          </w:pPr>
        </w:p>
      </w:tc>
    </w:tr>
  </w:tbl>
  <w:p w14:paraId="62E5FF40" w14:textId="77777777" w:rsidR="00F73C95" w:rsidRPr="00ED79B6" w:rsidRDefault="00F73C95"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044A9" w14:textId="77777777" w:rsidR="00F73C95" w:rsidRPr="00E33C1C" w:rsidRDefault="00F73C9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73C95" w14:paraId="6C2387A0" w14:textId="77777777" w:rsidTr="007A6863">
      <w:tc>
        <w:tcPr>
          <w:tcW w:w="1384" w:type="dxa"/>
          <w:tcBorders>
            <w:top w:val="nil"/>
            <w:left w:val="nil"/>
            <w:bottom w:val="nil"/>
            <w:right w:val="nil"/>
          </w:tcBorders>
        </w:tcPr>
        <w:p w14:paraId="7CF70F16" w14:textId="77777777" w:rsidR="00F73C95" w:rsidRDefault="00F73C95" w:rsidP="00EE57E8">
          <w:pPr>
            <w:spacing w:line="0" w:lineRule="atLeast"/>
            <w:rPr>
              <w:sz w:val="18"/>
            </w:rPr>
          </w:pPr>
        </w:p>
      </w:tc>
      <w:tc>
        <w:tcPr>
          <w:tcW w:w="6379" w:type="dxa"/>
          <w:tcBorders>
            <w:top w:val="nil"/>
            <w:left w:val="nil"/>
            <w:bottom w:val="nil"/>
            <w:right w:val="nil"/>
          </w:tcBorders>
        </w:tcPr>
        <w:p w14:paraId="2D0ABD66" w14:textId="77777777" w:rsidR="00F73C95" w:rsidRDefault="00F73C95"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010B605" w14:textId="77777777" w:rsidR="00F73C95" w:rsidRDefault="00F73C95"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F73C95" w14:paraId="4C7FA3F1"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A16EC9A" w14:textId="159A48A6" w:rsidR="00F73C95" w:rsidRDefault="00F73C95"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C:\Users\pmc7380\Desktop\Indigenous Student Assistance Grants Amendment Guidelines 2018.docx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452933">
            <w:rPr>
              <w:i/>
              <w:noProof/>
              <w:sz w:val="18"/>
            </w:rPr>
            <w:t>7/12/2018 7:45 AM</w:t>
          </w:r>
          <w:r w:rsidRPr="00ED79B6">
            <w:rPr>
              <w:i/>
              <w:sz w:val="18"/>
            </w:rPr>
            <w:fldChar w:fldCharType="end"/>
          </w:r>
        </w:p>
      </w:tc>
    </w:tr>
  </w:tbl>
  <w:p w14:paraId="57C11FC7" w14:textId="77777777" w:rsidR="00F73C95" w:rsidRPr="00ED79B6" w:rsidRDefault="00F73C95"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FD38" w14:textId="77777777" w:rsidR="00F73C95" w:rsidRDefault="00F73C95" w:rsidP="0048364F">
      <w:pPr>
        <w:spacing w:line="240" w:lineRule="auto"/>
      </w:pPr>
      <w:r>
        <w:separator/>
      </w:r>
    </w:p>
  </w:footnote>
  <w:footnote w:type="continuationSeparator" w:id="0">
    <w:p w14:paraId="6CBB24B5" w14:textId="77777777" w:rsidR="00F73C95" w:rsidRDefault="00F73C9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1B67" w14:textId="77777777" w:rsidR="00F73C95" w:rsidRPr="005F1388" w:rsidRDefault="00F73C9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AACE" w14:textId="77777777" w:rsidR="00F73C95" w:rsidRPr="005F1388" w:rsidRDefault="00F73C9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BF71" w14:textId="77777777" w:rsidR="00F73C95" w:rsidRPr="005F1388" w:rsidRDefault="00F73C9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86B92" w14:textId="77777777" w:rsidR="00F73C95" w:rsidRPr="00ED79B6" w:rsidRDefault="00F73C95" w:rsidP="001D3AC7">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A0E3" w14:textId="77777777" w:rsidR="00F73C95" w:rsidRPr="00ED79B6" w:rsidRDefault="00F73C95" w:rsidP="001D3AC7">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C3A6" w14:textId="77777777" w:rsidR="00F73C95" w:rsidRPr="00ED79B6" w:rsidRDefault="00F73C9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2238" w14:textId="77777777" w:rsidR="00F73C95" w:rsidRPr="00A961C4" w:rsidRDefault="00F73C95" w:rsidP="0048364F">
    <w:pPr>
      <w:rPr>
        <w:b/>
        <w:sz w:val="20"/>
      </w:rPr>
    </w:pPr>
  </w:p>
  <w:p w14:paraId="51AE9629" w14:textId="77777777" w:rsidR="00F73C95" w:rsidRPr="00A961C4" w:rsidRDefault="00F73C95" w:rsidP="0048364F">
    <w:pPr>
      <w:rPr>
        <w:b/>
        <w:sz w:val="20"/>
      </w:rPr>
    </w:pPr>
  </w:p>
  <w:p w14:paraId="31C3783D" w14:textId="77777777" w:rsidR="00F73C95" w:rsidRPr="00A961C4" w:rsidRDefault="00F73C9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770C" w14:textId="77777777" w:rsidR="00F73C95" w:rsidRPr="00A961C4" w:rsidRDefault="00F73C95" w:rsidP="0048364F">
    <w:pPr>
      <w:jc w:val="right"/>
      <w:rPr>
        <w:sz w:val="20"/>
      </w:rPr>
    </w:pPr>
  </w:p>
  <w:p w14:paraId="6182BF1B" w14:textId="77777777" w:rsidR="00F73C95" w:rsidRPr="00A961C4" w:rsidRDefault="00F73C95" w:rsidP="0048364F">
    <w:pPr>
      <w:jc w:val="right"/>
      <w:rPr>
        <w:b/>
        <w:sz w:val="20"/>
      </w:rPr>
    </w:pPr>
  </w:p>
  <w:p w14:paraId="6FEA4E0A" w14:textId="77777777" w:rsidR="00F73C95" w:rsidRPr="00A961C4" w:rsidRDefault="00F73C95"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8A"/>
    <w:rsid w:val="00000263"/>
    <w:rsid w:val="00002FFA"/>
    <w:rsid w:val="000036FA"/>
    <w:rsid w:val="000113BC"/>
    <w:rsid w:val="000136AF"/>
    <w:rsid w:val="00023B24"/>
    <w:rsid w:val="0003325A"/>
    <w:rsid w:val="000375BC"/>
    <w:rsid w:val="0004044E"/>
    <w:rsid w:val="0005120E"/>
    <w:rsid w:val="00054577"/>
    <w:rsid w:val="000614BF"/>
    <w:rsid w:val="00071006"/>
    <w:rsid w:val="0007169C"/>
    <w:rsid w:val="00077593"/>
    <w:rsid w:val="00083895"/>
    <w:rsid w:val="00083F48"/>
    <w:rsid w:val="00086457"/>
    <w:rsid w:val="000A479A"/>
    <w:rsid w:val="000A7DF9"/>
    <w:rsid w:val="000C4E21"/>
    <w:rsid w:val="000D05E2"/>
    <w:rsid w:val="000D05EF"/>
    <w:rsid w:val="000D3FB9"/>
    <w:rsid w:val="000D5485"/>
    <w:rsid w:val="000E0215"/>
    <w:rsid w:val="000E598E"/>
    <w:rsid w:val="000E5A3D"/>
    <w:rsid w:val="000F0ADA"/>
    <w:rsid w:val="000F21C1"/>
    <w:rsid w:val="000F49C3"/>
    <w:rsid w:val="0010556F"/>
    <w:rsid w:val="0010745C"/>
    <w:rsid w:val="001122FF"/>
    <w:rsid w:val="00120C0F"/>
    <w:rsid w:val="001419E6"/>
    <w:rsid w:val="00142261"/>
    <w:rsid w:val="00160BD7"/>
    <w:rsid w:val="001643C9"/>
    <w:rsid w:val="00165568"/>
    <w:rsid w:val="00166082"/>
    <w:rsid w:val="00166C2F"/>
    <w:rsid w:val="00170D97"/>
    <w:rsid w:val="001716C9"/>
    <w:rsid w:val="0017208D"/>
    <w:rsid w:val="00184261"/>
    <w:rsid w:val="00193461"/>
    <w:rsid w:val="001939E1"/>
    <w:rsid w:val="0019452E"/>
    <w:rsid w:val="00195382"/>
    <w:rsid w:val="001A07A5"/>
    <w:rsid w:val="001A3B9F"/>
    <w:rsid w:val="001A5520"/>
    <w:rsid w:val="001A65C0"/>
    <w:rsid w:val="001B5DE1"/>
    <w:rsid w:val="001B7A5D"/>
    <w:rsid w:val="001C30DE"/>
    <w:rsid w:val="001C6715"/>
    <w:rsid w:val="001C69C4"/>
    <w:rsid w:val="001D3AC7"/>
    <w:rsid w:val="001D6795"/>
    <w:rsid w:val="001E0A8D"/>
    <w:rsid w:val="001E3590"/>
    <w:rsid w:val="001E5B4C"/>
    <w:rsid w:val="001E7407"/>
    <w:rsid w:val="001F1A46"/>
    <w:rsid w:val="00201CC3"/>
    <w:rsid w:val="00201CF7"/>
    <w:rsid w:val="00201D27"/>
    <w:rsid w:val="0021153A"/>
    <w:rsid w:val="002245A6"/>
    <w:rsid w:val="002302EA"/>
    <w:rsid w:val="00237614"/>
    <w:rsid w:val="00237A5C"/>
    <w:rsid w:val="00240749"/>
    <w:rsid w:val="00245ED0"/>
    <w:rsid w:val="002468D7"/>
    <w:rsid w:val="00247E97"/>
    <w:rsid w:val="00256C81"/>
    <w:rsid w:val="00267D35"/>
    <w:rsid w:val="0027075E"/>
    <w:rsid w:val="00285CDD"/>
    <w:rsid w:val="00291167"/>
    <w:rsid w:val="00292FBA"/>
    <w:rsid w:val="0029489E"/>
    <w:rsid w:val="00297ECB"/>
    <w:rsid w:val="002A4DC8"/>
    <w:rsid w:val="002B6476"/>
    <w:rsid w:val="002C152A"/>
    <w:rsid w:val="002D043A"/>
    <w:rsid w:val="002D2A80"/>
    <w:rsid w:val="0031713F"/>
    <w:rsid w:val="003222D1"/>
    <w:rsid w:val="0032750F"/>
    <w:rsid w:val="003346D6"/>
    <w:rsid w:val="003415D3"/>
    <w:rsid w:val="00342092"/>
    <w:rsid w:val="003442F6"/>
    <w:rsid w:val="00344E5A"/>
    <w:rsid w:val="00346335"/>
    <w:rsid w:val="00352B0F"/>
    <w:rsid w:val="003542EB"/>
    <w:rsid w:val="003561B0"/>
    <w:rsid w:val="00360A89"/>
    <w:rsid w:val="00362F35"/>
    <w:rsid w:val="00397893"/>
    <w:rsid w:val="003A15AC"/>
    <w:rsid w:val="003A16FE"/>
    <w:rsid w:val="003A192E"/>
    <w:rsid w:val="003B0627"/>
    <w:rsid w:val="003C5F2B"/>
    <w:rsid w:val="003C7D35"/>
    <w:rsid w:val="003D0BFE"/>
    <w:rsid w:val="003D5700"/>
    <w:rsid w:val="003E2677"/>
    <w:rsid w:val="003F5C97"/>
    <w:rsid w:val="003F6F52"/>
    <w:rsid w:val="00401D83"/>
    <w:rsid w:val="004022CA"/>
    <w:rsid w:val="004116CD"/>
    <w:rsid w:val="00414ADE"/>
    <w:rsid w:val="00415275"/>
    <w:rsid w:val="00420689"/>
    <w:rsid w:val="00424CA9"/>
    <w:rsid w:val="004257BB"/>
    <w:rsid w:val="0043412C"/>
    <w:rsid w:val="0044291A"/>
    <w:rsid w:val="00452933"/>
    <w:rsid w:val="004579EF"/>
    <w:rsid w:val="004600B0"/>
    <w:rsid w:val="00460499"/>
    <w:rsid w:val="00460FBA"/>
    <w:rsid w:val="0046127D"/>
    <w:rsid w:val="00474835"/>
    <w:rsid w:val="00476A68"/>
    <w:rsid w:val="004819C7"/>
    <w:rsid w:val="0048364F"/>
    <w:rsid w:val="004877FC"/>
    <w:rsid w:val="00490F2E"/>
    <w:rsid w:val="00496F97"/>
    <w:rsid w:val="0049763B"/>
    <w:rsid w:val="004A53EA"/>
    <w:rsid w:val="004A6995"/>
    <w:rsid w:val="004B1B95"/>
    <w:rsid w:val="004B35E7"/>
    <w:rsid w:val="004E24C8"/>
    <w:rsid w:val="004F1FAC"/>
    <w:rsid w:val="004F1FB5"/>
    <w:rsid w:val="004F676E"/>
    <w:rsid w:val="004F71C0"/>
    <w:rsid w:val="00516B8D"/>
    <w:rsid w:val="00524EE2"/>
    <w:rsid w:val="0052756C"/>
    <w:rsid w:val="00530230"/>
    <w:rsid w:val="00530CC9"/>
    <w:rsid w:val="00531B46"/>
    <w:rsid w:val="00534A4E"/>
    <w:rsid w:val="00537FBC"/>
    <w:rsid w:val="00541D73"/>
    <w:rsid w:val="00543469"/>
    <w:rsid w:val="00546FA3"/>
    <w:rsid w:val="00557C7A"/>
    <w:rsid w:val="00562A58"/>
    <w:rsid w:val="0056541A"/>
    <w:rsid w:val="00570574"/>
    <w:rsid w:val="005758ED"/>
    <w:rsid w:val="00581211"/>
    <w:rsid w:val="00584811"/>
    <w:rsid w:val="00593AA6"/>
    <w:rsid w:val="00594161"/>
    <w:rsid w:val="00594749"/>
    <w:rsid w:val="00594956"/>
    <w:rsid w:val="00595755"/>
    <w:rsid w:val="005A2ACD"/>
    <w:rsid w:val="005B1555"/>
    <w:rsid w:val="005B4067"/>
    <w:rsid w:val="005C3F41"/>
    <w:rsid w:val="005C4EF0"/>
    <w:rsid w:val="005C6961"/>
    <w:rsid w:val="005D5EA1"/>
    <w:rsid w:val="005D6366"/>
    <w:rsid w:val="005E0580"/>
    <w:rsid w:val="005E098C"/>
    <w:rsid w:val="005E1F8D"/>
    <w:rsid w:val="005E317F"/>
    <w:rsid w:val="005E61D3"/>
    <w:rsid w:val="005F133B"/>
    <w:rsid w:val="005F695D"/>
    <w:rsid w:val="00600219"/>
    <w:rsid w:val="006065DA"/>
    <w:rsid w:val="00606AA4"/>
    <w:rsid w:val="00617F71"/>
    <w:rsid w:val="0063676C"/>
    <w:rsid w:val="00640402"/>
    <w:rsid w:val="00640961"/>
    <w:rsid w:val="00640F78"/>
    <w:rsid w:val="00655D6A"/>
    <w:rsid w:val="00656DE9"/>
    <w:rsid w:val="006602D3"/>
    <w:rsid w:val="00667200"/>
    <w:rsid w:val="00672876"/>
    <w:rsid w:val="00674AF1"/>
    <w:rsid w:val="00677CC2"/>
    <w:rsid w:val="00685F42"/>
    <w:rsid w:val="0069207B"/>
    <w:rsid w:val="006A304E"/>
    <w:rsid w:val="006A3EFB"/>
    <w:rsid w:val="006A787B"/>
    <w:rsid w:val="006B7006"/>
    <w:rsid w:val="006C7F8C"/>
    <w:rsid w:val="006D7AB9"/>
    <w:rsid w:val="006E1062"/>
    <w:rsid w:val="006F2073"/>
    <w:rsid w:val="00700B2C"/>
    <w:rsid w:val="007028D0"/>
    <w:rsid w:val="00710D49"/>
    <w:rsid w:val="00713084"/>
    <w:rsid w:val="007148F8"/>
    <w:rsid w:val="00717463"/>
    <w:rsid w:val="00720FC2"/>
    <w:rsid w:val="00722E89"/>
    <w:rsid w:val="00731E00"/>
    <w:rsid w:val="007339C7"/>
    <w:rsid w:val="00736A8B"/>
    <w:rsid w:val="00740958"/>
    <w:rsid w:val="0074230E"/>
    <w:rsid w:val="007440B7"/>
    <w:rsid w:val="00747993"/>
    <w:rsid w:val="007503BE"/>
    <w:rsid w:val="00761018"/>
    <w:rsid w:val="007634AD"/>
    <w:rsid w:val="00763A68"/>
    <w:rsid w:val="00766D2B"/>
    <w:rsid w:val="007715C9"/>
    <w:rsid w:val="00774EDD"/>
    <w:rsid w:val="007757EC"/>
    <w:rsid w:val="00777800"/>
    <w:rsid w:val="0078329D"/>
    <w:rsid w:val="007A6863"/>
    <w:rsid w:val="007B419C"/>
    <w:rsid w:val="007C78B4"/>
    <w:rsid w:val="007E32B6"/>
    <w:rsid w:val="007E486B"/>
    <w:rsid w:val="007E7D4A"/>
    <w:rsid w:val="007F48ED"/>
    <w:rsid w:val="007F5E3F"/>
    <w:rsid w:val="00805E4D"/>
    <w:rsid w:val="00812F45"/>
    <w:rsid w:val="00816674"/>
    <w:rsid w:val="00836FE9"/>
    <w:rsid w:val="0084172C"/>
    <w:rsid w:val="008515E1"/>
    <w:rsid w:val="0085175E"/>
    <w:rsid w:val="00853E69"/>
    <w:rsid w:val="00856A31"/>
    <w:rsid w:val="008623A0"/>
    <w:rsid w:val="00867F17"/>
    <w:rsid w:val="008754D0"/>
    <w:rsid w:val="00877C69"/>
    <w:rsid w:val="00877D48"/>
    <w:rsid w:val="00880D67"/>
    <w:rsid w:val="0088345B"/>
    <w:rsid w:val="008A16A5"/>
    <w:rsid w:val="008A5C57"/>
    <w:rsid w:val="008C0629"/>
    <w:rsid w:val="008D0EE0"/>
    <w:rsid w:val="008D7A27"/>
    <w:rsid w:val="008E4702"/>
    <w:rsid w:val="008E5049"/>
    <w:rsid w:val="008E5E36"/>
    <w:rsid w:val="008E69AA"/>
    <w:rsid w:val="008E7222"/>
    <w:rsid w:val="008F15A5"/>
    <w:rsid w:val="008F1F2F"/>
    <w:rsid w:val="008F4F1C"/>
    <w:rsid w:val="009069AD"/>
    <w:rsid w:val="00910E64"/>
    <w:rsid w:val="00911690"/>
    <w:rsid w:val="00922764"/>
    <w:rsid w:val="0092649D"/>
    <w:rsid w:val="009278C1"/>
    <w:rsid w:val="00932377"/>
    <w:rsid w:val="009346E3"/>
    <w:rsid w:val="009437E0"/>
    <w:rsid w:val="0094523D"/>
    <w:rsid w:val="0095166D"/>
    <w:rsid w:val="00953B68"/>
    <w:rsid w:val="00972990"/>
    <w:rsid w:val="00976A63"/>
    <w:rsid w:val="0098651B"/>
    <w:rsid w:val="009A0862"/>
    <w:rsid w:val="009A6652"/>
    <w:rsid w:val="009B2490"/>
    <w:rsid w:val="009B50E5"/>
    <w:rsid w:val="009C3431"/>
    <w:rsid w:val="009C5989"/>
    <w:rsid w:val="009C6114"/>
    <w:rsid w:val="009C6A32"/>
    <w:rsid w:val="009D08DA"/>
    <w:rsid w:val="009D40EC"/>
    <w:rsid w:val="00A03543"/>
    <w:rsid w:val="00A06822"/>
    <w:rsid w:val="00A06860"/>
    <w:rsid w:val="00A11508"/>
    <w:rsid w:val="00A136F5"/>
    <w:rsid w:val="00A2095A"/>
    <w:rsid w:val="00A231E2"/>
    <w:rsid w:val="00A2550D"/>
    <w:rsid w:val="00A3288F"/>
    <w:rsid w:val="00A33A74"/>
    <w:rsid w:val="00A379BB"/>
    <w:rsid w:val="00A4169B"/>
    <w:rsid w:val="00A50D55"/>
    <w:rsid w:val="00A52FDA"/>
    <w:rsid w:val="00A64912"/>
    <w:rsid w:val="00A70A74"/>
    <w:rsid w:val="00A9231A"/>
    <w:rsid w:val="00A926BD"/>
    <w:rsid w:val="00A95BC7"/>
    <w:rsid w:val="00A972C8"/>
    <w:rsid w:val="00A97699"/>
    <w:rsid w:val="00AA0343"/>
    <w:rsid w:val="00AA78CE"/>
    <w:rsid w:val="00AA7B26"/>
    <w:rsid w:val="00AC767C"/>
    <w:rsid w:val="00AD3467"/>
    <w:rsid w:val="00AD5641"/>
    <w:rsid w:val="00AF33DB"/>
    <w:rsid w:val="00B032D8"/>
    <w:rsid w:val="00B05D72"/>
    <w:rsid w:val="00B162C3"/>
    <w:rsid w:val="00B20990"/>
    <w:rsid w:val="00B21F42"/>
    <w:rsid w:val="00B23FAF"/>
    <w:rsid w:val="00B3368A"/>
    <w:rsid w:val="00B33B3C"/>
    <w:rsid w:val="00B40D74"/>
    <w:rsid w:val="00B421AC"/>
    <w:rsid w:val="00B42649"/>
    <w:rsid w:val="00B46467"/>
    <w:rsid w:val="00B52663"/>
    <w:rsid w:val="00B53BF3"/>
    <w:rsid w:val="00B56DCB"/>
    <w:rsid w:val="00B61728"/>
    <w:rsid w:val="00B74EDC"/>
    <w:rsid w:val="00B770D2"/>
    <w:rsid w:val="00B9334F"/>
    <w:rsid w:val="00B93516"/>
    <w:rsid w:val="00B96776"/>
    <w:rsid w:val="00B973E5"/>
    <w:rsid w:val="00BA47A3"/>
    <w:rsid w:val="00BA5026"/>
    <w:rsid w:val="00BA7B5B"/>
    <w:rsid w:val="00BB6E79"/>
    <w:rsid w:val="00BC1EBC"/>
    <w:rsid w:val="00BE0791"/>
    <w:rsid w:val="00BE1093"/>
    <w:rsid w:val="00BE1318"/>
    <w:rsid w:val="00BE42C5"/>
    <w:rsid w:val="00BE719A"/>
    <w:rsid w:val="00BE720A"/>
    <w:rsid w:val="00BE7563"/>
    <w:rsid w:val="00BF0723"/>
    <w:rsid w:val="00BF6650"/>
    <w:rsid w:val="00BF74CB"/>
    <w:rsid w:val="00C067E5"/>
    <w:rsid w:val="00C1264B"/>
    <w:rsid w:val="00C164CA"/>
    <w:rsid w:val="00C26051"/>
    <w:rsid w:val="00C41173"/>
    <w:rsid w:val="00C42BF8"/>
    <w:rsid w:val="00C45FAD"/>
    <w:rsid w:val="00C460AE"/>
    <w:rsid w:val="00C50043"/>
    <w:rsid w:val="00C5015F"/>
    <w:rsid w:val="00C50A0F"/>
    <w:rsid w:val="00C50F4A"/>
    <w:rsid w:val="00C61F0E"/>
    <w:rsid w:val="00C72D10"/>
    <w:rsid w:val="00C732D4"/>
    <w:rsid w:val="00C7573B"/>
    <w:rsid w:val="00C76CF3"/>
    <w:rsid w:val="00C84313"/>
    <w:rsid w:val="00C93205"/>
    <w:rsid w:val="00C945DC"/>
    <w:rsid w:val="00C94B0B"/>
    <w:rsid w:val="00CA7844"/>
    <w:rsid w:val="00CB3E3C"/>
    <w:rsid w:val="00CB58EF"/>
    <w:rsid w:val="00CE0A93"/>
    <w:rsid w:val="00CE513C"/>
    <w:rsid w:val="00CF0BB2"/>
    <w:rsid w:val="00D12B0D"/>
    <w:rsid w:val="00D13441"/>
    <w:rsid w:val="00D243A3"/>
    <w:rsid w:val="00D33440"/>
    <w:rsid w:val="00D52EFE"/>
    <w:rsid w:val="00D56A0D"/>
    <w:rsid w:val="00D63EF6"/>
    <w:rsid w:val="00D66518"/>
    <w:rsid w:val="00D70DFB"/>
    <w:rsid w:val="00D71EEA"/>
    <w:rsid w:val="00D735CD"/>
    <w:rsid w:val="00D74612"/>
    <w:rsid w:val="00D766DF"/>
    <w:rsid w:val="00D90841"/>
    <w:rsid w:val="00DA2439"/>
    <w:rsid w:val="00DA6F05"/>
    <w:rsid w:val="00DB64FC"/>
    <w:rsid w:val="00DC3374"/>
    <w:rsid w:val="00DE149E"/>
    <w:rsid w:val="00DE5C6F"/>
    <w:rsid w:val="00DF6B6C"/>
    <w:rsid w:val="00E034DB"/>
    <w:rsid w:val="00E05704"/>
    <w:rsid w:val="00E12F1A"/>
    <w:rsid w:val="00E21739"/>
    <w:rsid w:val="00E22935"/>
    <w:rsid w:val="00E429EB"/>
    <w:rsid w:val="00E54292"/>
    <w:rsid w:val="00E60191"/>
    <w:rsid w:val="00E74DC7"/>
    <w:rsid w:val="00E85725"/>
    <w:rsid w:val="00E87699"/>
    <w:rsid w:val="00E92E27"/>
    <w:rsid w:val="00E93A38"/>
    <w:rsid w:val="00E9586B"/>
    <w:rsid w:val="00E97334"/>
    <w:rsid w:val="00EA52B0"/>
    <w:rsid w:val="00EB3A99"/>
    <w:rsid w:val="00EB65F8"/>
    <w:rsid w:val="00ED18FB"/>
    <w:rsid w:val="00ED4928"/>
    <w:rsid w:val="00ED5EA2"/>
    <w:rsid w:val="00EE3FFE"/>
    <w:rsid w:val="00EE57E8"/>
    <w:rsid w:val="00EE6190"/>
    <w:rsid w:val="00EE7F04"/>
    <w:rsid w:val="00EF2E3A"/>
    <w:rsid w:val="00EF6402"/>
    <w:rsid w:val="00F047E2"/>
    <w:rsid w:val="00F04D57"/>
    <w:rsid w:val="00F0726E"/>
    <w:rsid w:val="00F078DC"/>
    <w:rsid w:val="00F13E86"/>
    <w:rsid w:val="00F20B52"/>
    <w:rsid w:val="00F251A8"/>
    <w:rsid w:val="00F255B4"/>
    <w:rsid w:val="00F32FCB"/>
    <w:rsid w:val="00F33523"/>
    <w:rsid w:val="00F44CBC"/>
    <w:rsid w:val="00F6443C"/>
    <w:rsid w:val="00F677A9"/>
    <w:rsid w:val="00F73C95"/>
    <w:rsid w:val="00F8121C"/>
    <w:rsid w:val="00F84CF5"/>
    <w:rsid w:val="00F8612E"/>
    <w:rsid w:val="00F86AA4"/>
    <w:rsid w:val="00F94583"/>
    <w:rsid w:val="00F96CD2"/>
    <w:rsid w:val="00FA420B"/>
    <w:rsid w:val="00FB6AEE"/>
    <w:rsid w:val="00FB6E4A"/>
    <w:rsid w:val="00FC3EAC"/>
    <w:rsid w:val="00FC4893"/>
    <w:rsid w:val="00FC4ED7"/>
    <w:rsid w:val="00FF39DE"/>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DB63C2"/>
  <w15:docId w15:val="{9650DB1C-8AC5-4B09-B385-6B71B93B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B3368A"/>
    <w:rPr>
      <w:rFonts w:eastAsia="Times New Roman" w:cs="Times New Roman"/>
      <w:sz w:val="18"/>
      <w:lang w:eastAsia="en-AU"/>
    </w:rPr>
  </w:style>
  <w:style w:type="character" w:customStyle="1" w:styleId="paragraphChar">
    <w:name w:val="paragraph Char"/>
    <w:aliases w:val="a Char"/>
    <w:link w:val="paragraph"/>
    <w:locked/>
    <w:rsid w:val="004A6995"/>
    <w:rPr>
      <w:rFonts w:eastAsia="Times New Roman" w:cs="Times New Roman"/>
      <w:sz w:val="22"/>
      <w:lang w:eastAsia="en-AU"/>
    </w:rPr>
  </w:style>
  <w:style w:type="paragraph" w:customStyle="1" w:styleId="Default">
    <w:name w:val="Default"/>
    <w:rsid w:val="003F5C97"/>
    <w:pPr>
      <w:autoSpaceDE w:val="0"/>
      <w:autoSpaceDN w:val="0"/>
      <w:adjustRightInd w:val="0"/>
    </w:pPr>
    <w:rPr>
      <w:rFonts w:cs="Times New Roman"/>
      <w:color w:val="000000"/>
      <w:sz w:val="24"/>
      <w:szCs w:val="24"/>
    </w:rPr>
  </w:style>
  <w:style w:type="character" w:styleId="CommentReference">
    <w:name w:val="annotation reference"/>
    <w:basedOn w:val="DefaultParagraphFont"/>
    <w:uiPriority w:val="99"/>
    <w:semiHidden/>
    <w:unhideWhenUsed/>
    <w:rsid w:val="00524EE2"/>
    <w:rPr>
      <w:sz w:val="16"/>
      <w:szCs w:val="16"/>
    </w:rPr>
  </w:style>
  <w:style w:type="paragraph" w:styleId="CommentText">
    <w:name w:val="annotation text"/>
    <w:basedOn w:val="Normal"/>
    <w:link w:val="CommentTextChar"/>
    <w:uiPriority w:val="99"/>
    <w:semiHidden/>
    <w:unhideWhenUsed/>
    <w:rsid w:val="00524EE2"/>
    <w:pPr>
      <w:spacing w:line="240" w:lineRule="auto"/>
    </w:pPr>
    <w:rPr>
      <w:sz w:val="20"/>
    </w:rPr>
  </w:style>
  <w:style w:type="character" w:customStyle="1" w:styleId="CommentTextChar">
    <w:name w:val="Comment Text Char"/>
    <w:basedOn w:val="DefaultParagraphFont"/>
    <w:link w:val="CommentText"/>
    <w:uiPriority w:val="99"/>
    <w:semiHidden/>
    <w:rsid w:val="00524EE2"/>
  </w:style>
  <w:style w:type="paragraph" w:styleId="CommentSubject">
    <w:name w:val="annotation subject"/>
    <w:basedOn w:val="CommentText"/>
    <w:next w:val="CommentText"/>
    <w:link w:val="CommentSubjectChar"/>
    <w:uiPriority w:val="99"/>
    <w:semiHidden/>
    <w:unhideWhenUsed/>
    <w:rsid w:val="00524EE2"/>
    <w:rPr>
      <w:b/>
      <w:bCs/>
    </w:rPr>
  </w:style>
  <w:style w:type="character" w:customStyle="1" w:styleId="CommentSubjectChar">
    <w:name w:val="Comment Subject Char"/>
    <w:basedOn w:val="CommentTextChar"/>
    <w:link w:val="CommentSubject"/>
    <w:uiPriority w:val="99"/>
    <w:semiHidden/>
    <w:rsid w:val="00524EE2"/>
    <w:rPr>
      <w:b/>
      <w:bCs/>
    </w:rPr>
  </w:style>
  <w:style w:type="paragraph" w:styleId="Revision">
    <w:name w:val="Revision"/>
    <w:hidden/>
    <w:uiPriority w:val="99"/>
    <w:semiHidden/>
    <w:rsid w:val="00617F7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7380\AppData\Local\Microsoft\Windows\INetCache\IE\U3K3JTMG\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5cb917f-4135-4f26-866f-3bac1ed7ab3e">DOC18-417230</ShareHubID>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1</Value>
    </TaxCatchAll>
    <NonRecordJustification xmlns="685f9fda-bd71-4433-b331-92feb9553089">None</NonRecordJustification>
    <ffe37d11f77144aa8109b2494d6cf1a5 xmlns="e5cb917f-4135-4f26-866f-3bac1ed7ab3e">
      <Terms xmlns="http://schemas.microsoft.com/office/infopath/2007/PartnerControls"/>
    </ffe37d11f77144aa8109b2494d6cf1a5>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32B84A6872528F41B613D99B516BEDB0" ma:contentTypeVersion="26" ma:contentTypeDescription="PMC Document" ma:contentTypeScope="" ma:versionID="ccf6501e3a993aeaf606df4f295cefc2">
  <xsd:schema xmlns:xsd="http://www.w3.org/2001/XMLSchema" xmlns:xs="http://www.w3.org/2001/XMLSchema" xmlns:p="http://schemas.microsoft.com/office/2006/metadata/properties" xmlns:ns1="e5cb917f-4135-4f26-866f-3bac1ed7ab3e" xmlns:ns3="27bba60b-8344-4f77-bb4d-4abea71fd4ad" xmlns:ns4="685f9fda-bd71-4433-b331-92feb9553089" targetNamespace="http://schemas.microsoft.com/office/2006/metadata/properties" ma:root="true" ma:fieldsID="8b54a21aaf94c2e3738d636a6a758462" ns1:_="" ns3:_="" ns4:_="">
    <xsd:import namespace="e5cb917f-4135-4f26-866f-3bac1ed7ab3e"/>
    <xsd:import namespace="27bba60b-8344-4f77-bb4d-4abea71fd4ad"/>
    <xsd:import namespace="685f9fda-bd71-4433-b331-92feb9553089"/>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element ref="ns1:SharedWithUsers" minOccurs="0"/>
                <xsd:element ref="ns1:ffe37d11f77144aa8109b2494d6cf1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e37d11f77144aa8109b2494d6cf1a5" ma:index="18" nillable="true" ma:taxonomy="true" ma:internalName="ffe37d11f77144aa8109b2494d6cf1a5" ma:taxonomyFieldName="ESearchTags" ma:displayName="Tags" ma:fieldId="{ffe37d11-f771-44aa-8109-b2494d6cf1a5}"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4786F-C5DB-49C7-B4FB-FB0AA2CAA16A}">
  <ds:schemaRefs>
    <ds:schemaRef ds:uri="http://schemas.microsoft.com/sharepoint/v3/contenttype/forms"/>
  </ds:schemaRefs>
</ds:datastoreItem>
</file>

<file path=customXml/itemProps2.xml><?xml version="1.0" encoding="utf-8"?>
<ds:datastoreItem xmlns:ds="http://schemas.openxmlformats.org/officeDocument/2006/customXml" ds:itemID="{A6B696B7-35BE-4601-A129-EF48F744C4A2}">
  <ds:schemaRefs>
    <ds:schemaRef ds:uri="685f9fda-bd71-4433-b331-92feb955308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7bba60b-8344-4f77-bb4d-4abea71fd4ad"/>
    <ds:schemaRef ds:uri="http://purl.org/dc/elements/1.1/"/>
    <ds:schemaRef ds:uri="http://schemas.microsoft.com/office/2006/metadata/properties"/>
    <ds:schemaRef ds:uri="e5cb917f-4135-4f26-866f-3bac1ed7ab3e"/>
    <ds:schemaRef ds:uri="http://www.w3.org/XML/1998/namespace"/>
    <ds:schemaRef ds:uri="http://purl.org/dc/dcmitype/"/>
  </ds:schemaRefs>
</ds:datastoreItem>
</file>

<file path=customXml/itemProps3.xml><?xml version="1.0" encoding="utf-8"?>
<ds:datastoreItem xmlns:ds="http://schemas.openxmlformats.org/officeDocument/2006/customXml" ds:itemID="{EFB51F65-1365-4242-88F8-DD637C59E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38</TotalTime>
  <Pages>10</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dc:creator>
  <cp:lastModifiedBy>Booth, Alicia</cp:lastModifiedBy>
  <cp:revision>6</cp:revision>
  <cp:lastPrinted>2018-11-16T03:00:00Z</cp:lastPrinted>
  <dcterms:created xsi:type="dcterms:W3CDTF">2018-12-06T20:46:00Z</dcterms:created>
  <dcterms:modified xsi:type="dcterms:W3CDTF">2018-12-06T22:19:00Z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0x0101002825A64A6E1845A99A9D8EE8A5686ECB0032B84A6872528F41B613D99B516BEDB0</vt:lpwstr>
  </property>
  <property fmtid="{D5CDD505-2E9C-101B-9397-08002B2CF9AE}" pid="3" name="HPRMSecurityLevel">
    <vt:lpwstr>1;#UNCLASSIFIED|9c49a7c7-17c7-412f-8077-62dec89b9196</vt:lpwstr>
  </property>
  <property fmtid="{D5CDD505-2E9C-101B-9397-08002B2CF9AE}" pid="4" name="ESearchTags">
    <vt:lpwstr/>
  </property>
  <property fmtid="{D5CDD505-2E9C-101B-9397-08002B2CF9AE}" pid="5" name="HPRMSecurityCaveat">
    <vt:lpwstr/>
  </property>
  <property fmtid="{D5CDD505-2E9C-101B-9397-08002B2CF9AE}" pid="6" name="ebe9aaf1ad2e44d4a2da0e3109a121ee">
    <vt:lpwstr/>
  </property>
  <property fmtid="{D5CDD505-2E9C-101B-9397-08002B2CF9AE}" pid="7" name="LegislationConsidered">
    <vt:lpwstr/>
  </property>
  <property fmtid="{D5CDD505-2E9C-101B-9397-08002B2CF9AE}" pid="8" name="LegalSubjectMatter">
    <vt:lpwstr/>
  </property>
  <property fmtid="{D5CDD505-2E9C-101B-9397-08002B2CF9AE}" pid="9" name="IAGLegalDocumentAuthor">
    <vt:lpwstr/>
  </property>
  <property fmtid="{D5CDD505-2E9C-101B-9397-08002B2CF9AE}" pid="10" name="i758ba37c88940e586c26421e592bc03">
    <vt:lpwstr/>
  </property>
  <property fmtid="{D5CDD505-2E9C-101B-9397-08002B2CF9AE}" pid="11" name="p5403ef223e24c6aac8ae445cb84820f">
    <vt:lpwstr/>
  </property>
  <property fmtid="{D5CDD505-2E9C-101B-9397-08002B2CF9AE}" pid="12" name="oabc4c43943e42efa5238e2af47855ca">
    <vt:lpwstr/>
  </property>
  <property fmtid="{D5CDD505-2E9C-101B-9397-08002B2CF9AE}" pid="13" name="DocumentType">
    <vt:lpwstr/>
  </property>
  <property fmtid="{D5CDD505-2E9C-101B-9397-08002B2CF9AE}" pid="14" name="CommonwealthEntity">
    <vt:lpwstr/>
  </property>
  <property fmtid="{D5CDD505-2E9C-101B-9397-08002B2CF9AE}" pid="15" name="d8e935fc69f04a868babb549fc6a3e6b">
    <vt:lpwstr/>
  </property>
</Properties>
</file>