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5BBEA" w14:textId="77777777" w:rsidR="00B915EE" w:rsidRDefault="00B915EE" w:rsidP="00B915EE">
      <w:pPr>
        <w:spacing w:before="240" w:after="240"/>
        <w:jc w:val="center"/>
      </w:pPr>
    </w:p>
    <w:p w14:paraId="33A6D92C" w14:textId="77777777" w:rsidR="000D291D" w:rsidRPr="00A02405" w:rsidRDefault="00D02810" w:rsidP="000D291D">
      <w:pPr>
        <w:pStyle w:val="ESCoverpage"/>
      </w:pPr>
      <w:r>
        <w:rPr>
          <w:noProof/>
          <w:lang w:eastAsia="en-AU"/>
        </w:rPr>
        <w:drawing>
          <wp:inline distT="0" distB="0" distL="0" distR="0" wp14:anchorId="1DC36D51" wp14:editId="6D45754B">
            <wp:extent cx="2056531" cy="15811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sea.png"/>
                    <pic:cNvPicPr/>
                  </pic:nvPicPr>
                  <pic:blipFill>
                    <a:blip r:embed="rId8">
                      <a:extLst>
                        <a:ext uri="{28A0092B-C50C-407E-A947-70E740481C1C}">
                          <a14:useLocalDpi xmlns:a14="http://schemas.microsoft.com/office/drawing/2010/main" val="0"/>
                        </a:ext>
                      </a:extLst>
                    </a:blip>
                    <a:stretch>
                      <a:fillRect/>
                    </a:stretch>
                  </pic:blipFill>
                  <pic:spPr>
                    <a:xfrm>
                      <a:off x="0" y="0"/>
                      <a:ext cx="2102463" cy="1616464"/>
                    </a:xfrm>
                    <a:prstGeom prst="rect">
                      <a:avLst/>
                    </a:prstGeom>
                  </pic:spPr>
                </pic:pic>
              </a:graphicData>
            </a:graphic>
          </wp:inline>
        </w:drawing>
      </w:r>
    </w:p>
    <w:p w14:paraId="22E64CAB" w14:textId="77777777" w:rsidR="000D291D" w:rsidRPr="00A02405" w:rsidRDefault="000D291D" w:rsidP="000D291D">
      <w:pPr>
        <w:pStyle w:val="ESCoverpage"/>
      </w:pPr>
    </w:p>
    <w:p w14:paraId="7818143C" w14:textId="75A46681" w:rsidR="000D291D" w:rsidRPr="00D02810" w:rsidRDefault="000D291D" w:rsidP="000D291D">
      <w:pPr>
        <w:pStyle w:val="ESCoverpage"/>
        <w:rPr>
          <w:b/>
          <w:sz w:val="32"/>
          <w:szCs w:val="32"/>
        </w:rPr>
      </w:pPr>
      <w:r w:rsidRPr="00D02810">
        <w:rPr>
          <w:b/>
          <w:sz w:val="32"/>
          <w:szCs w:val="32"/>
        </w:rPr>
        <w:t>Financial Adviser Standards and Ethics Authority</w:t>
      </w:r>
      <w:r w:rsidR="002151F6">
        <w:rPr>
          <w:b/>
          <w:sz w:val="32"/>
          <w:szCs w:val="32"/>
        </w:rPr>
        <w:t xml:space="preserve"> Ltd</w:t>
      </w:r>
    </w:p>
    <w:p w14:paraId="4ECD3303" w14:textId="77777777" w:rsidR="000D291D" w:rsidRPr="009816FC" w:rsidRDefault="000D291D" w:rsidP="000D291D">
      <w:pPr>
        <w:pStyle w:val="ESCoverpage"/>
        <w:rPr>
          <w:sz w:val="24"/>
          <w:szCs w:val="24"/>
        </w:rPr>
      </w:pPr>
    </w:p>
    <w:p w14:paraId="312AE59D" w14:textId="77777777" w:rsidR="000D291D" w:rsidRPr="009816FC" w:rsidRDefault="000D291D" w:rsidP="000D291D">
      <w:pPr>
        <w:pStyle w:val="ESCoverpage"/>
        <w:rPr>
          <w:sz w:val="24"/>
          <w:szCs w:val="24"/>
        </w:rPr>
      </w:pPr>
    </w:p>
    <w:p w14:paraId="55B7849C" w14:textId="77777777" w:rsidR="000D291D" w:rsidRPr="009816FC" w:rsidRDefault="000D291D" w:rsidP="000D291D">
      <w:pPr>
        <w:pStyle w:val="ESCoverpage"/>
        <w:rPr>
          <w:sz w:val="24"/>
          <w:szCs w:val="24"/>
        </w:rPr>
      </w:pPr>
    </w:p>
    <w:p w14:paraId="7C6746EF" w14:textId="77777777" w:rsidR="000D291D" w:rsidRPr="009816FC" w:rsidRDefault="000D291D" w:rsidP="000D291D">
      <w:pPr>
        <w:pStyle w:val="ESCoverpage"/>
        <w:rPr>
          <w:rStyle w:val="CharTitle"/>
          <w:sz w:val="24"/>
          <w:szCs w:val="24"/>
        </w:rPr>
      </w:pPr>
      <w:bookmarkStart w:id="0" w:name="Title"/>
      <w:r w:rsidRPr="009816FC">
        <w:rPr>
          <w:rStyle w:val="CharTitle"/>
          <w:sz w:val="24"/>
          <w:szCs w:val="24"/>
        </w:rPr>
        <w:t>Corporations (Provisional Relevant Providers</w:t>
      </w:r>
      <w:r w:rsidR="00845C85">
        <w:rPr>
          <w:rStyle w:val="CharTitle"/>
          <w:sz w:val="24"/>
          <w:szCs w:val="24"/>
        </w:rPr>
        <w:t>—Expressions</w:t>
      </w:r>
      <w:r w:rsidRPr="009816FC">
        <w:rPr>
          <w:rStyle w:val="CharTitle"/>
          <w:sz w:val="24"/>
          <w:szCs w:val="24"/>
        </w:rPr>
        <w:t>) Determination 2018</w:t>
      </w:r>
      <w:bookmarkEnd w:id="0"/>
    </w:p>
    <w:p w14:paraId="21193F1B" w14:textId="77777777" w:rsidR="000D291D" w:rsidRPr="009816FC" w:rsidRDefault="000D291D" w:rsidP="000D291D">
      <w:pPr>
        <w:pStyle w:val="ESCoverpage"/>
        <w:rPr>
          <w:sz w:val="24"/>
          <w:szCs w:val="24"/>
        </w:rPr>
      </w:pPr>
    </w:p>
    <w:p w14:paraId="6096A115" w14:textId="77777777" w:rsidR="000D291D" w:rsidRPr="009816FC" w:rsidRDefault="000D291D" w:rsidP="000D291D">
      <w:pPr>
        <w:pStyle w:val="ESCoverpage"/>
        <w:rPr>
          <w:sz w:val="24"/>
          <w:szCs w:val="24"/>
        </w:rPr>
      </w:pPr>
    </w:p>
    <w:p w14:paraId="0DAE9E44" w14:textId="77777777" w:rsidR="000D291D" w:rsidRPr="009816FC" w:rsidRDefault="000D291D" w:rsidP="000D291D">
      <w:pPr>
        <w:pStyle w:val="ESCoverpage"/>
        <w:rPr>
          <w:sz w:val="24"/>
          <w:szCs w:val="24"/>
        </w:rPr>
      </w:pPr>
    </w:p>
    <w:p w14:paraId="7EFA3EF0" w14:textId="77777777" w:rsidR="000D291D" w:rsidRPr="00845C85" w:rsidRDefault="000D291D" w:rsidP="000D291D">
      <w:pPr>
        <w:pStyle w:val="ESCoverpage"/>
        <w:rPr>
          <w:b/>
          <w:sz w:val="24"/>
          <w:szCs w:val="24"/>
        </w:rPr>
      </w:pPr>
      <w:r w:rsidRPr="00845C85">
        <w:rPr>
          <w:b/>
          <w:sz w:val="24"/>
          <w:szCs w:val="24"/>
        </w:rPr>
        <w:t>Explanatory Statement</w:t>
      </w:r>
    </w:p>
    <w:p w14:paraId="614D6BC8" w14:textId="77777777" w:rsidR="00B915EE" w:rsidRDefault="00B915EE" w:rsidP="00B915EE">
      <w:pPr>
        <w:spacing w:before="240" w:after="240"/>
        <w:jc w:val="center"/>
      </w:pPr>
    </w:p>
    <w:p w14:paraId="722CB564" w14:textId="77777777" w:rsidR="00967A05" w:rsidRDefault="00967A05" w:rsidP="00B915EE">
      <w:pPr>
        <w:sectPr w:rsidR="00967A0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pgNumType w:start="1"/>
          <w:cols w:space="720"/>
          <w:titlePg/>
          <w:docGrid w:linePitch="313"/>
        </w:sectPr>
      </w:pPr>
    </w:p>
    <w:p w14:paraId="3837A016" w14:textId="77777777" w:rsidR="00B915EE" w:rsidRPr="00B915EE" w:rsidRDefault="00B915EE" w:rsidP="00250F4C">
      <w:pPr>
        <w:pStyle w:val="Heading1"/>
      </w:pPr>
      <w:r w:rsidRPr="00B915EE">
        <w:lastRenderedPageBreak/>
        <w:t xml:space="preserve">Key </w:t>
      </w:r>
      <w:r w:rsidRPr="00250F4C">
        <w:t>information</w:t>
      </w:r>
    </w:p>
    <w:p w14:paraId="49052F0E" w14:textId="6D8E36F4" w:rsidR="00BB2D9F" w:rsidRDefault="00BB2D9F" w:rsidP="00CE07AF">
      <w:pPr>
        <w:pStyle w:val="Heading3"/>
        <w:tabs>
          <w:tab w:val="left" w:pos="567"/>
        </w:tabs>
        <w:ind w:left="0" w:firstLine="0"/>
      </w:pPr>
      <w:r>
        <w:t xml:space="preserve">Under section 923C </w:t>
      </w:r>
      <w:r w:rsidR="00591744">
        <w:t xml:space="preserve">of </w:t>
      </w:r>
      <w:r>
        <w:t xml:space="preserve">the </w:t>
      </w:r>
      <w:r w:rsidRPr="00313083">
        <w:rPr>
          <w:i/>
        </w:rPr>
        <w:t>Corporations Act 2001</w:t>
      </w:r>
      <w:r>
        <w:t xml:space="preserve">, </w:t>
      </w:r>
      <w:r w:rsidR="00591744">
        <w:t xml:space="preserve">a person </w:t>
      </w:r>
      <w:r>
        <w:t xml:space="preserve">cannot use the expressions “financial planner” or “financial adviser” (or terms of like import) if </w:t>
      </w:r>
      <w:r w:rsidR="00591744">
        <w:t>the person is</w:t>
      </w:r>
      <w:r>
        <w:t xml:space="preserve"> a “provisional relevant provider”</w:t>
      </w:r>
      <w:r w:rsidR="006733EE">
        <w:t>.</w:t>
      </w:r>
      <w:r>
        <w:t xml:space="preserve"> Provisional relevant providers can only provide financial services to clients under supervision.</w:t>
      </w:r>
    </w:p>
    <w:p w14:paraId="66EAF55D" w14:textId="417A85D1" w:rsidR="00B915EE" w:rsidRDefault="00B915EE" w:rsidP="00CE07AF">
      <w:pPr>
        <w:pStyle w:val="Heading3"/>
        <w:tabs>
          <w:tab w:val="left" w:pos="567"/>
        </w:tabs>
        <w:ind w:left="0" w:firstLine="0"/>
      </w:pPr>
      <w:r>
        <w:t xml:space="preserve">This </w:t>
      </w:r>
      <w:r w:rsidR="00845C85">
        <w:t xml:space="preserve">effect of this </w:t>
      </w:r>
      <w:r w:rsidR="00BB2D9F">
        <w:t>d</w:t>
      </w:r>
      <w:r>
        <w:t xml:space="preserve">etermination </w:t>
      </w:r>
      <w:r w:rsidR="00845C85">
        <w:t xml:space="preserve">is that a provisional relevant provider can lawfully </w:t>
      </w:r>
      <w:r w:rsidR="00BB2D9F">
        <w:t>use or assume</w:t>
      </w:r>
      <w:r>
        <w:t xml:space="preserve"> the expressions “provisional financial planner” </w:t>
      </w:r>
      <w:r w:rsidR="00591744">
        <w:t>or</w:t>
      </w:r>
      <w:r>
        <w:t xml:space="preserve"> “provisional financial adviser”.</w:t>
      </w:r>
    </w:p>
    <w:p w14:paraId="5ED3E359" w14:textId="77777777" w:rsidR="00B915EE" w:rsidRDefault="00B915EE" w:rsidP="00CE07AF">
      <w:pPr>
        <w:pStyle w:val="Heading3"/>
        <w:tabs>
          <w:tab w:val="left" w:pos="567"/>
        </w:tabs>
        <w:ind w:left="0" w:firstLine="0"/>
      </w:pPr>
      <w:r w:rsidRPr="008F4A2F">
        <w:rPr>
          <w:b/>
          <w:i/>
        </w:rPr>
        <w:t>Date of effect</w:t>
      </w:r>
      <w:r>
        <w:t>: the day after it is registered in the Federal Register of Legislation (see section 2).</w:t>
      </w:r>
    </w:p>
    <w:p w14:paraId="68DC93A3" w14:textId="77777777" w:rsidR="00B915EE" w:rsidRDefault="00B915EE" w:rsidP="008F4A2F">
      <w:pPr>
        <w:pStyle w:val="Heading1"/>
      </w:pPr>
      <w:r>
        <w:t xml:space="preserve">Outline of this </w:t>
      </w:r>
      <w:r w:rsidR="00BB2D9F">
        <w:t>d</w:t>
      </w:r>
      <w:r>
        <w:t>etermination</w:t>
      </w:r>
    </w:p>
    <w:p w14:paraId="7118D217" w14:textId="146C7E31" w:rsidR="00845C85" w:rsidRDefault="00BB2D9F" w:rsidP="00CE07AF">
      <w:pPr>
        <w:pStyle w:val="Heading3"/>
        <w:tabs>
          <w:tab w:val="left" w:pos="567"/>
        </w:tabs>
        <w:ind w:left="0" w:firstLine="0"/>
      </w:pPr>
      <w:r>
        <w:t>Under s</w:t>
      </w:r>
      <w:r w:rsidR="00B915EE">
        <w:t xml:space="preserve">ubsection 923C(9), a provisional relevant provider may assume or use </w:t>
      </w:r>
      <w:r>
        <w:t xml:space="preserve">the expressions “financial planner” or “financial adviser” (or terms of like import) </w:t>
      </w:r>
      <w:r w:rsidR="00B915EE">
        <w:t>if they are or are part of expressions determined for the purposes by the standards body (</w:t>
      </w:r>
      <w:r>
        <w:t>Financial Adviser Stan</w:t>
      </w:r>
      <w:r w:rsidR="00967A05">
        <w:t>dards and Ethics Authority Ltd</w:t>
      </w:r>
      <w:r w:rsidR="00591744">
        <w:t>)</w:t>
      </w:r>
      <w:r w:rsidR="00B915EE">
        <w:t>.</w:t>
      </w:r>
    </w:p>
    <w:p w14:paraId="6040C28D" w14:textId="4307DCD5" w:rsidR="00845C85" w:rsidRDefault="00845C85" w:rsidP="00CE07AF">
      <w:pPr>
        <w:pStyle w:val="Heading3"/>
        <w:tabs>
          <w:tab w:val="left" w:pos="567"/>
        </w:tabs>
        <w:ind w:left="0" w:firstLine="0"/>
      </w:pPr>
      <w:r w:rsidRPr="00B974A1">
        <w:rPr>
          <w:b/>
          <w:i/>
        </w:rPr>
        <w:t>Provisional relevant provider</w:t>
      </w:r>
      <w:r>
        <w:t xml:space="preserve"> is defined in section 910A of the </w:t>
      </w:r>
      <w:r w:rsidRPr="000E0268">
        <w:rPr>
          <w:i/>
        </w:rPr>
        <w:t>Corporations Act 2001</w:t>
      </w:r>
      <w:r w:rsidR="006733EE">
        <w:rPr>
          <w:i/>
        </w:rPr>
        <w:t>.</w:t>
      </w:r>
    </w:p>
    <w:p w14:paraId="2F74815A" w14:textId="2131DA6C" w:rsidR="00B915EE" w:rsidRDefault="00B915EE" w:rsidP="00CE07AF">
      <w:pPr>
        <w:pStyle w:val="Heading3"/>
        <w:tabs>
          <w:tab w:val="left" w:pos="567"/>
        </w:tabs>
        <w:ind w:left="0" w:firstLine="0"/>
      </w:pPr>
      <w:r>
        <w:t xml:space="preserve">Section 4 of this </w:t>
      </w:r>
      <w:r w:rsidR="0017537B">
        <w:t>determination</w:t>
      </w:r>
      <w:r>
        <w:t xml:space="preserve"> has the effect that a provisional relevant provider can use or assume the expressions “provisional financial planner” </w:t>
      </w:r>
      <w:r w:rsidR="00591744">
        <w:t>or</w:t>
      </w:r>
      <w:r>
        <w:t xml:space="preserve"> “provisional financial adviser”.</w:t>
      </w:r>
    </w:p>
    <w:p w14:paraId="23932347" w14:textId="77777777" w:rsidR="00845C85" w:rsidRDefault="00845C85" w:rsidP="00250F4C">
      <w:pPr>
        <w:pStyle w:val="Heading1"/>
      </w:pPr>
      <w:bookmarkStart w:id="1" w:name="_Toc523419948"/>
      <w:bookmarkStart w:id="2" w:name="_Toc523420062"/>
      <w:bookmarkStart w:id="3" w:name="_Toc523421233"/>
      <w:bookmarkStart w:id="4" w:name="_Toc523419949"/>
      <w:bookmarkStart w:id="5" w:name="_Toc523420063"/>
      <w:bookmarkStart w:id="6" w:name="_Toc523421234"/>
      <w:bookmarkStart w:id="7" w:name="_Toc523419950"/>
      <w:bookmarkStart w:id="8" w:name="_Toc523420064"/>
      <w:bookmarkStart w:id="9" w:name="_Toc523421235"/>
      <w:bookmarkStart w:id="10" w:name="_Toc523419951"/>
      <w:bookmarkStart w:id="11" w:name="_Toc523420065"/>
      <w:bookmarkStart w:id="12" w:name="_Toc523421236"/>
      <w:bookmarkStart w:id="13" w:name="_Toc523419952"/>
      <w:bookmarkStart w:id="14" w:name="_Toc523420066"/>
      <w:bookmarkStart w:id="15" w:name="_Toc523421237"/>
      <w:bookmarkStart w:id="16" w:name="_Toc523419953"/>
      <w:bookmarkStart w:id="17" w:name="_Toc523420067"/>
      <w:bookmarkStart w:id="18" w:name="_Toc523421238"/>
      <w:bookmarkStart w:id="19" w:name="_Toc523419954"/>
      <w:bookmarkStart w:id="20" w:name="_Toc523420068"/>
      <w:bookmarkStart w:id="21" w:name="_Toc523421239"/>
      <w:bookmarkStart w:id="22" w:name="_Toc523419955"/>
      <w:bookmarkStart w:id="23" w:name="_Toc523420069"/>
      <w:bookmarkStart w:id="24" w:name="_Toc523421240"/>
      <w:bookmarkStart w:id="25" w:name="_Toc523419956"/>
      <w:bookmarkStart w:id="26" w:name="_Toc523420070"/>
      <w:bookmarkStart w:id="27" w:name="_Toc523421241"/>
      <w:bookmarkStart w:id="28" w:name="_Toc523419957"/>
      <w:bookmarkStart w:id="29" w:name="_Toc523420071"/>
      <w:bookmarkStart w:id="30" w:name="_Toc523421242"/>
      <w:bookmarkStart w:id="31" w:name="_Toc523419958"/>
      <w:bookmarkStart w:id="32" w:name="_Toc523420072"/>
      <w:bookmarkStart w:id="33" w:name="_Toc523421243"/>
      <w:bookmarkStart w:id="34" w:name="_Toc523419959"/>
      <w:bookmarkStart w:id="35" w:name="_Toc523420073"/>
      <w:bookmarkStart w:id="36" w:name="_Toc523421244"/>
      <w:bookmarkStart w:id="37" w:name="_Toc523419960"/>
      <w:bookmarkStart w:id="38" w:name="_Toc523420074"/>
      <w:bookmarkStart w:id="39" w:name="_Toc523421245"/>
      <w:bookmarkStart w:id="40" w:name="_Toc523419961"/>
      <w:bookmarkStart w:id="41" w:name="_Toc523420075"/>
      <w:bookmarkStart w:id="42" w:name="_Toc523421246"/>
      <w:bookmarkStart w:id="43" w:name="_Toc523419962"/>
      <w:bookmarkStart w:id="44" w:name="_Toc523420076"/>
      <w:bookmarkStart w:id="45" w:name="_Toc523421247"/>
      <w:bookmarkStart w:id="46" w:name="_Toc523419963"/>
      <w:bookmarkStart w:id="47" w:name="_Toc523420077"/>
      <w:bookmarkStart w:id="48" w:name="_Toc523421248"/>
      <w:bookmarkStart w:id="49" w:name="_Toc523419964"/>
      <w:bookmarkStart w:id="50" w:name="_Toc523420078"/>
      <w:bookmarkStart w:id="51" w:name="_Toc523421249"/>
      <w:bookmarkStart w:id="52" w:name="_Toc523419965"/>
      <w:bookmarkStart w:id="53" w:name="_Toc523420079"/>
      <w:bookmarkStart w:id="54" w:name="_Toc523421250"/>
      <w:bookmarkStart w:id="55" w:name="_Toc523419966"/>
      <w:bookmarkStart w:id="56" w:name="_Toc523420080"/>
      <w:bookmarkStart w:id="57" w:name="_Toc523421251"/>
      <w:bookmarkStart w:id="58" w:name="_Toc523419967"/>
      <w:bookmarkStart w:id="59" w:name="_Toc523420081"/>
      <w:bookmarkStart w:id="60" w:name="_Toc523421252"/>
      <w:bookmarkStart w:id="61" w:name="_Toc523419968"/>
      <w:bookmarkStart w:id="62" w:name="_Toc523420082"/>
      <w:bookmarkStart w:id="63" w:name="_Toc523421253"/>
      <w:bookmarkStart w:id="64" w:name="_Toc523419969"/>
      <w:bookmarkStart w:id="65" w:name="_Toc523420083"/>
      <w:bookmarkStart w:id="66" w:name="_Toc523421254"/>
      <w:bookmarkStart w:id="67" w:name="_Toc523419970"/>
      <w:bookmarkStart w:id="68" w:name="_Toc523420084"/>
      <w:bookmarkStart w:id="69" w:name="_Toc523421255"/>
      <w:bookmarkStart w:id="70" w:name="_Toc523419971"/>
      <w:bookmarkStart w:id="71" w:name="_Toc523420085"/>
      <w:bookmarkStart w:id="72" w:name="_Toc523421256"/>
      <w:bookmarkStart w:id="73" w:name="_Toc523419972"/>
      <w:bookmarkStart w:id="74" w:name="_Toc523420086"/>
      <w:bookmarkStart w:id="75" w:name="_Toc523421257"/>
      <w:bookmarkStart w:id="76" w:name="_Toc523419973"/>
      <w:bookmarkStart w:id="77" w:name="_Toc523420087"/>
      <w:bookmarkStart w:id="78" w:name="_Toc523421258"/>
      <w:bookmarkStart w:id="79" w:name="_Toc523419974"/>
      <w:bookmarkStart w:id="80" w:name="_Toc523420088"/>
      <w:bookmarkStart w:id="81" w:name="_Toc523421259"/>
      <w:bookmarkStart w:id="82" w:name="_Toc523419975"/>
      <w:bookmarkStart w:id="83" w:name="_Toc523420089"/>
      <w:bookmarkStart w:id="84" w:name="_Toc523421260"/>
      <w:bookmarkStart w:id="85" w:name="_Toc523419976"/>
      <w:bookmarkStart w:id="86" w:name="_Toc523420090"/>
      <w:bookmarkStart w:id="87" w:name="_Toc523421261"/>
      <w:bookmarkStart w:id="88" w:name="_Toc523419977"/>
      <w:bookmarkStart w:id="89" w:name="_Toc523420091"/>
      <w:bookmarkStart w:id="90" w:name="_Toc523421262"/>
      <w:bookmarkStart w:id="91" w:name="_Toc523419978"/>
      <w:bookmarkStart w:id="92" w:name="_Toc523420092"/>
      <w:bookmarkStart w:id="93" w:name="_Toc523421263"/>
      <w:bookmarkStart w:id="94" w:name="_Toc523419979"/>
      <w:bookmarkStart w:id="95" w:name="_Toc523420093"/>
      <w:bookmarkStart w:id="96" w:name="_Toc523421264"/>
      <w:bookmarkStart w:id="97" w:name="_Toc523419980"/>
      <w:bookmarkStart w:id="98" w:name="_Toc523420094"/>
      <w:bookmarkStart w:id="99" w:name="_Toc523421265"/>
      <w:bookmarkStart w:id="100" w:name="_Toc523419981"/>
      <w:bookmarkStart w:id="101" w:name="_Toc523420095"/>
      <w:bookmarkStart w:id="102" w:name="_Toc523421266"/>
      <w:bookmarkStart w:id="103" w:name="_Toc523419982"/>
      <w:bookmarkStart w:id="104" w:name="_Toc523420096"/>
      <w:bookmarkStart w:id="105" w:name="_Toc523421267"/>
      <w:bookmarkStart w:id="106" w:name="_Toc523419983"/>
      <w:bookmarkStart w:id="107" w:name="_Toc523420097"/>
      <w:bookmarkStart w:id="108" w:name="_Toc523421268"/>
      <w:bookmarkStart w:id="109" w:name="_Toc523419984"/>
      <w:bookmarkStart w:id="110" w:name="_Toc523420098"/>
      <w:bookmarkStart w:id="111" w:name="_Toc523421269"/>
      <w:bookmarkStart w:id="112" w:name="_Toc523419985"/>
      <w:bookmarkStart w:id="113" w:name="_Toc523420099"/>
      <w:bookmarkStart w:id="114" w:name="_Toc523421270"/>
      <w:bookmarkStart w:id="115" w:name="_Toc523419986"/>
      <w:bookmarkStart w:id="116" w:name="_Toc523420100"/>
      <w:bookmarkStart w:id="117" w:name="_Toc523421271"/>
      <w:bookmarkStart w:id="118" w:name="_Toc523419987"/>
      <w:bookmarkStart w:id="119" w:name="_Toc523420101"/>
      <w:bookmarkStart w:id="120" w:name="_Toc523421272"/>
      <w:bookmarkStart w:id="121" w:name="_Toc523419988"/>
      <w:bookmarkStart w:id="122" w:name="_Toc523420102"/>
      <w:bookmarkStart w:id="123" w:name="_Toc523421273"/>
      <w:bookmarkStart w:id="124" w:name="_Toc523420001"/>
      <w:bookmarkStart w:id="125" w:name="_Toc523420115"/>
      <w:bookmarkStart w:id="126" w:name="_Toc523421286"/>
      <w:bookmarkStart w:id="127" w:name="_Toc523420002"/>
      <w:bookmarkStart w:id="128" w:name="_Toc523420116"/>
      <w:bookmarkStart w:id="129" w:name="_Toc523421287"/>
      <w:bookmarkStart w:id="130" w:name="_Toc523420003"/>
      <w:bookmarkStart w:id="131" w:name="_Toc523420117"/>
      <w:bookmarkStart w:id="132" w:name="_Toc523421288"/>
      <w:bookmarkStart w:id="133" w:name="_Toc523420004"/>
      <w:bookmarkStart w:id="134" w:name="_Toc523420118"/>
      <w:bookmarkStart w:id="135" w:name="_Toc523421289"/>
      <w:bookmarkStart w:id="136" w:name="_Toc523420005"/>
      <w:bookmarkStart w:id="137" w:name="_Toc523420119"/>
      <w:bookmarkStart w:id="138" w:name="_Toc523421290"/>
      <w:bookmarkStart w:id="139" w:name="_Toc523420006"/>
      <w:bookmarkStart w:id="140" w:name="_Toc523420120"/>
      <w:bookmarkStart w:id="141" w:name="_Toc523421291"/>
      <w:bookmarkStart w:id="142" w:name="_Toc523420007"/>
      <w:bookmarkStart w:id="143" w:name="_Toc523420121"/>
      <w:bookmarkStart w:id="144" w:name="_Toc523421292"/>
      <w:bookmarkStart w:id="145" w:name="_Toc523420008"/>
      <w:bookmarkStart w:id="146" w:name="_Toc523420122"/>
      <w:bookmarkStart w:id="147" w:name="_Toc523421293"/>
      <w:bookmarkStart w:id="148" w:name="_Toc523420009"/>
      <w:bookmarkStart w:id="149" w:name="_Toc523420123"/>
      <w:bookmarkStart w:id="150" w:name="_Toc523421294"/>
      <w:bookmarkStart w:id="151" w:name="_Toc523420010"/>
      <w:bookmarkStart w:id="152" w:name="_Toc523420124"/>
      <w:bookmarkStart w:id="153" w:name="_Toc523421295"/>
      <w:bookmarkStart w:id="154" w:name="_Toc523420011"/>
      <w:bookmarkStart w:id="155" w:name="_Toc523420125"/>
      <w:bookmarkStart w:id="156" w:name="_Toc523421296"/>
      <w:bookmarkStart w:id="157" w:name="_Toc523420012"/>
      <w:bookmarkStart w:id="158" w:name="_Toc523420126"/>
      <w:bookmarkStart w:id="159" w:name="_Toc523421297"/>
      <w:bookmarkStart w:id="160" w:name="_Toc523420013"/>
      <w:bookmarkStart w:id="161" w:name="_Toc523420127"/>
      <w:bookmarkStart w:id="162" w:name="_Toc523421298"/>
      <w:bookmarkStart w:id="163" w:name="_Toc523420014"/>
      <w:bookmarkStart w:id="164" w:name="_Toc523420128"/>
      <w:bookmarkStart w:id="165" w:name="_Toc523421299"/>
      <w:bookmarkStart w:id="166" w:name="_Toc523420015"/>
      <w:bookmarkStart w:id="167" w:name="_Toc523420129"/>
      <w:bookmarkStart w:id="168" w:name="_Toc523421300"/>
      <w:bookmarkStart w:id="169" w:name="_Toc523420016"/>
      <w:bookmarkStart w:id="170" w:name="_Toc523420130"/>
      <w:bookmarkStart w:id="171" w:name="_Toc523421301"/>
      <w:bookmarkStart w:id="172" w:name="_Toc523420017"/>
      <w:bookmarkStart w:id="173" w:name="_Toc523420131"/>
      <w:bookmarkStart w:id="174" w:name="_Toc523421302"/>
      <w:bookmarkStart w:id="175" w:name="_Toc523420018"/>
      <w:bookmarkStart w:id="176" w:name="_Toc523420132"/>
      <w:bookmarkStart w:id="177" w:name="_Toc523421303"/>
      <w:bookmarkStart w:id="178" w:name="_Toc523420019"/>
      <w:bookmarkStart w:id="179" w:name="_Toc523420133"/>
      <w:bookmarkStart w:id="180" w:name="_Toc523421304"/>
      <w:bookmarkStart w:id="181" w:name="_Toc523420020"/>
      <w:bookmarkStart w:id="182" w:name="_Toc523420134"/>
      <w:bookmarkStart w:id="183" w:name="_Toc523421305"/>
      <w:bookmarkStart w:id="184" w:name="_Toc523420021"/>
      <w:bookmarkStart w:id="185" w:name="_Toc523420135"/>
      <w:bookmarkStart w:id="186" w:name="_Toc523421306"/>
      <w:bookmarkStart w:id="187" w:name="_Toc523420022"/>
      <w:bookmarkStart w:id="188" w:name="_Toc523420136"/>
      <w:bookmarkStart w:id="189" w:name="_Toc523421307"/>
      <w:bookmarkStart w:id="190" w:name="_Toc523420023"/>
      <w:bookmarkStart w:id="191" w:name="_Toc523420137"/>
      <w:bookmarkStart w:id="192" w:name="_Toc523421308"/>
      <w:bookmarkStart w:id="193" w:name="_Toc523420024"/>
      <w:bookmarkStart w:id="194" w:name="_Toc523420138"/>
      <w:bookmarkStart w:id="195" w:name="_Toc523421309"/>
      <w:bookmarkStart w:id="196" w:name="_Toc523420025"/>
      <w:bookmarkStart w:id="197" w:name="_Toc523420139"/>
      <w:bookmarkStart w:id="198" w:name="_Toc523421310"/>
      <w:bookmarkStart w:id="199" w:name="_Toc523420026"/>
      <w:bookmarkStart w:id="200" w:name="_Toc523420140"/>
      <w:bookmarkStart w:id="201" w:name="_Toc523421311"/>
      <w:bookmarkStart w:id="202" w:name="_Toc523420027"/>
      <w:bookmarkStart w:id="203" w:name="_Toc523420141"/>
      <w:bookmarkStart w:id="204" w:name="_Toc523421312"/>
      <w:bookmarkStart w:id="205" w:name="_Toc523420028"/>
      <w:bookmarkStart w:id="206" w:name="_Toc523420142"/>
      <w:bookmarkStart w:id="207" w:name="_Toc523421313"/>
      <w:bookmarkStart w:id="208" w:name="_Toc523420029"/>
      <w:bookmarkStart w:id="209" w:name="_Toc523420143"/>
      <w:bookmarkStart w:id="210" w:name="_Toc523421314"/>
      <w:bookmarkStart w:id="211" w:name="_Toc523420030"/>
      <w:bookmarkStart w:id="212" w:name="_Toc523420144"/>
      <w:bookmarkStart w:id="213" w:name="_Toc523421315"/>
      <w:bookmarkStart w:id="214" w:name="_Toc523420031"/>
      <w:bookmarkStart w:id="215" w:name="_Toc523420145"/>
      <w:bookmarkStart w:id="216" w:name="_Toc523421316"/>
      <w:bookmarkStart w:id="217" w:name="_Toc523420032"/>
      <w:bookmarkStart w:id="218" w:name="_Toc523420146"/>
      <w:bookmarkStart w:id="219" w:name="_Toc523421317"/>
      <w:bookmarkStart w:id="220" w:name="_Toc523420033"/>
      <w:bookmarkStart w:id="221" w:name="_Toc523420147"/>
      <w:bookmarkStart w:id="222" w:name="_Toc523421318"/>
      <w:bookmarkStart w:id="223" w:name="_Toc523420034"/>
      <w:bookmarkStart w:id="224" w:name="_Toc523420148"/>
      <w:bookmarkStart w:id="225" w:name="_Toc523421319"/>
      <w:bookmarkStart w:id="226" w:name="_Toc523420035"/>
      <w:bookmarkStart w:id="227" w:name="_Toc523420149"/>
      <w:bookmarkStart w:id="228" w:name="_Toc523421320"/>
      <w:bookmarkStart w:id="229" w:name="_Toc523420036"/>
      <w:bookmarkStart w:id="230" w:name="_Toc523420150"/>
      <w:bookmarkStart w:id="231" w:name="_Toc523421321"/>
      <w:bookmarkStart w:id="232" w:name="_Toc523420037"/>
      <w:bookmarkStart w:id="233" w:name="_Toc523420151"/>
      <w:bookmarkStart w:id="234" w:name="_Toc523421322"/>
      <w:bookmarkStart w:id="235" w:name="_Toc523420050"/>
      <w:bookmarkStart w:id="236" w:name="_Toc523420164"/>
      <w:bookmarkStart w:id="237" w:name="_Toc523421335"/>
      <w:bookmarkStart w:id="238" w:name="_Toc523420051"/>
      <w:bookmarkStart w:id="239" w:name="_Toc523420165"/>
      <w:bookmarkStart w:id="240" w:name="_Toc523421336"/>
      <w:bookmarkStart w:id="241" w:name="_Toc523420052"/>
      <w:bookmarkStart w:id="242" w:name="_Toc523420166"/>
      <w:bookmarkStart w:id="243" w:name="_Toc523421337"/>
      <w:bookmarkStart w:id="244" w:name="_Toc523420053"/>
      <w:bookmarkStart w:id="245" w:name="_Toc523420167"/>
      <w:bookmarkStart w:id="246" w:name="_Toc523421338"/>
      <w:bookmarkStart w:id="247" w:name="_Toc523420054"/>
      <w:bookmarkStart w:id="248" w:name="_Toc523420168"/>
      <w:bookmarkStart w:id="249" w:name="_Toc523421339"/>
      <w:bookmarkStart w:id="250" w:name="_Toc52342005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 xml:space="preserve">Detailed </w:t>
      </w:r>
      <w:r w:rsidRPr="00250F4C">
        <w:t>provisions</w:t>
      </w:r>
    </w:p>
    <w:p w14:paraId="5EBD1C81" w14:textId="77777777" w:rsidR="00845C85" w:rsidRDefault="00845C85" w:rsidP="00845C85">
      <w:pPr>
        <w:pStyle w:val="Heading2"/>
      </w:pPr>
      <w:r>
        <w:t>Section 1</w:t>
      </w:r>
    </w:p>
    <w:p w14:paraId="17FB662B" w14:textId="77777777" w:rsidR="00845C85" w:rsidRDefault="00845C85" w:rsidP="00CE07AF">
      <w:pPr>
        <w:pStyle w:val="Heading3"/>
        <w:tabs>
          <w:tab w:val="left" w:pos="567"/>
        </w:tabs>
        <w:ind w:left="0" w:firstLine="0"/>
      </w:pPr>
      <w:r>
        <w:t xml:space="preserve">This section identifies the determination as the </w:t>
      </w:r>
      <w:r w:rsidRPr="00250F4C">
        <w:rPr>
          <w:i/>
        </w:rPr>
        <w:t>Corporations (Provisional Relevant Providers—Expressions) Determination 2018</w:t>
      </w:r>
      <w:r>
        <w:t>.</w:t>
      </w:r>
    </w:p>
    <w:p w14:paraId="228B4947" w14:textId="77777777" w:rsidR="00845C85" w:rsidRDefault="00845C85" w:rsidP="00250F4C">
      <w:pPr>
        <w:pStyle w:val="Heading2"/>
        <w:tabs>
          <w:tab w:val="left" w:pos="3533"/>
        </w:tabs>
      </w:pPr>
      <w:r>
        <w:t>Section 2</w:t>
      </w:r>
    </w:p>
    <w:p w14:paraId="5486F179" w14:textId="77777777" w:rsidR="00845C85" w:rsidRPr="00845C85" w:rsidRDefault="00845C85" w:rsidP="00CE07AF">
      <w:pPr>
        <w:pStyle w:val="Heading3"/>
        <w:tabs>
          <w:tab w:val="left" w:pos="567"/>
        </w:tabs>
        <w:ind w:left="0" w:firstLine="0"/>
      </w:pPr>
      <w:r>
        <w:t>This section sets out when the determination commences, which is the day after it is registered in the Federal Register of Legislation.</w:t>
      </w:r>
    </w:p>
    <w:p w14:paraId="57EA9023" w14:textId="77777777" w:rsidR="00845C85" w:rsidRDefault="00845C85" w:rsidP="00845C85">
      <w:pPr>
        <w:pStyle w:val="Heading2"/>
      </w:pPr>
      <w:r>
        <w:t>Section 3</w:t>
      </w:r>
    </w:p>
    <w:p w14:paraId="5CA87F1B" w14:textId="109512B1" w:rsidR="00845C85" w:rsidRPr="00845C85" w:rsidRDefault="00845C85" w:rsidP="00CE07AF">
      <w:pPr>
        <w:pStyle w:val="Heading3"/>
        <w:tabs>
          <w:tab w:val="left" w:pos="567"/>
        </w:tabs>
        <w:ind w:left="0" w:firstLine="0"/>
      </w:pPr>
      <w:r>
        <w:t xml:space="preserve">This section states the legislative authority for making the determination: subparagraph 921U(2)(a)(v) of the </w:t>
      </w:r>
      <w:r w:rsidRPr="00CE112C">
        <w:rPr>
          <w:i/>
        </w:rPr>
        <w:t>Corporations Act 2001</w:t>
      </w:r>
      <w:r w:rsidR="00030021">
        <w:rPr>
          <w:i/>
        </w:rPr>
        <w:t>.</w:t>
      </w:r>
    </w:p>
    <w:p w14:paraId="47211A55" w14:textId="77777777" w:rsidR="00845C85" w:rsidRDefault="00845C85" w:rsidP="00845C85">
      <w:pPr>
        <w:pStyle w:val="Heading2"/>
      </w:pPr>
      <w:r>
        <w:t>Section 4</w:t>
      </w:r>
    </w:p>
    <w:p w14:paraId="6B0AF0C4" w14:textId="0B0F2545" w:rsidR="00B955D5" w:rsidRDefault="00845C85" w:rsidP="006A24B0">
      <w:pPr>
        <w:pStyle w:val="Heading3"/>
        <w:tabs>
          <w:tab w:val="left" w:pos="567"/>
        </w:tabs>
        <w:ind w:left="0" w:firstLine="0"/>
      </w:pPr>
      <w:r>
        <w:t xml:space="preserve">This section </w:t>
      </w:r>
      <w:r w:rsidRPr="00250F4C">
        <w:t>specifies</w:t>
      </w:r>
      <w:r>
        <w:t xml:space="preserve"> the 2 expressions that may be used or assumed by a provisional</w:t>
      </w:r>
      <w:r w:rsidR="0017537B">
        <w:t xml:space="preserve"> relevant provider</w:t>
      </w:r>
      <w:r>
        <w:t>:</w:t>
      </w:r>
      <w:r w:rsidR="0017537B">
        <w:t xml:space="preserve"> </w:t>
      </w:r>
      <w:r w:rsidR="00446A58">
        <w:t>“</w:t>
      </w:r>
      <w:r w:rsidRPr="00845C85">
        <w:t>pro</w:t>
      </w:r>
      <w:r>
        <w:t>visional financial planner” and</w:t>
      </w:r>
      <w:r w:rsidR="0017537B">
        <w:t xml:space="preserve"> </w:t>
      </w:r>
      <w:r w:rsidRPr="00845C85">
        <w:t>“provisional financial adviser”</w:t>
      </w:r>
      <w:r>
        <w:t>.</w:t>
      </w:r>
    </w:p>
    <w:p w14:paraId="0B594975" w14:textId="77777777" w:rsidR="002441A5" w:rsidRPr="00125FEE" w:rsidRDefault="002441A5" w:rsidP="00125FEE">
      <w:pPr>
        <w:pStyle w:val="Heading1"/>
        <w:spacing w:before="360" w:after="240" w:line="260" w:lineRule="atLeast"/>
        <w:rPr>
          <w:rStyle w:val="ESCharHeading1"/>
        </w:rPr>
      </w:pPr>
      <w:r w:rsidRPr="00125FEE">
        <w:rPr>
          <w:rStyle w:val="ESCharHeading1"/>
        </w:rPr>
        <w:lastRenderedPageBreak/>
        <w:t>Consultation</w:t>
      </w:r>
    </w:p>
    <w:p w14:paraId="4B6A235B" w14:textId="7C2A5F2A" w:rsidR="00125FEE" w:rsidRDefault="00125FEE" w:rsidP="00125FEE">
      <w:pPr>
        <w:pStyle w:val="Heading3"/>
        <w:tabs>
          <w:tab w:val="left" w:pos="567"/>
        </w:tabs>
        <w:ind w:left="0" w:firstLine="0"/>
      </w:pPr>
      <w:r w:rsidRPr="00125FEE">
        <w:t>The Authority undertook consultation from July to August 2018 on the work a</w:t>
      </w:r>
      <w:r>
        <w:t>nd training requirements with 14 formal</w:t>
      </w:r>
      <w:r w:rsidRPr="00125FEE">
        <w:t xml:space="preserve"> submissions received. The draft determination itself was also the subject of consultation</w:t>
      </w:r>
      <w:r w:rsidR="006733EE">
        <w:t xml:space="preserve"> with </w:t>
      </w:r>
      <w:r w:rsidR="00BD5702">
        <w:t>7 submission</w:t>
      </w:r>
      <w:r w:rsidR="006733EE">
        <w:t>s received</w:t>
      </w:r>
      <w:r w:rsidRPr="00125FEE">
        <w:t xml:space="preserve">. The Authority conducted </w:t>
      </w:r>
      <w:r w:rsidR="00365AE0">
        <w:t>5</w:t>
      </w:r>
      <w:r w:rsidRPr="00125FEE">
        <w:t xml:space="preserve"> forums with stakeholder groups. All feedback was given due consideration. The Authority concluded that the </w:t>
      </w:r>
      <w:bookmarkStart w:id="251" w:name="_GoBack"/>
      <w:bookmarkEnd w:id="251"/>
      <w:r w:rsidR="00E56659">
        <w:t xml:space="preserve"> </w:t>
      </w:r>
      <w:r w:rsidRPr="00125FEE">
        <w:t>determination me</w:t>
      </w:r>
      <w:r w:rsidR="006733EE">
        <w:t>e</w:t>
      </w:r>
      <w:r w:rsidRPr="00125FEE">
        <w:t>t</w:t>
      </w:r>
      <w:r w:rsidR="00342559">
        <w:t>s</w:t>
      </w:r>
      <w:r w:rsidRPr="00125FEE">
        <w:t xml:space="preserve"> its requirements for the </w:t>
      </w:r>
      <w:r>
        <w:t>expressions standard</w:t>
      </w:r>
      <w:r w:rsidRPr="00125FEE">
        <w:t>.</w:t>
      </w:r>
    </w:p>
    <w:p w14:paraId="771B0382" w14:textId="77777777" w:rsidR="00147113" w:rsidRPr="00CE3848" w:rsidRDefault="00147113" w:rsidP="00147113">
      <w:pPr>
        <w:pStyle w:val="Heading1"/>
        <w:spacing w:before="360" w:after="240" w:line="260" w:lineRule="atLeast"/>
        <w:rPr>
          <w:rStyle w:val="ESCharHeading1"/>
        </w:rPr>
      </w:pPr>
      <w:r w:rsidRPr="00CE3848">
        <w:rPr>
          <w:rStyle w:val="ESCharHeading1"/>
        </w:rPr>
        <w:t xml:space="preserve">Regulatory </w:t>
      </w:r>
      <w:r w:rsidRPr="00355F10">
        <w:rPr>
          <w:rStyle w:val="ESCharHeading1"/>
        </w:rPr>
        <w:t>Impact</w:t>
      </w:r>
    </w:p>
    <w:p w14:paraId="626278CD" w14:textId="0091C074" w:rsidR="00147113" w:rsidRDefault="00147113" w:rsidP="00147113">
      <w:pPr>
        <w:pStyle w:val="Heading3"/>
        <w:tabs>
          <w:tab w:val="left" w:pos="567"/>
        </w:tabs>
        <w:ind w:left="0" w:firstLine="0"/>
      </w:pPr>
      <w:r>
        <w:t>The Office of Best Practice Regulation has advised that no regulatory impact statement is required for th</w:t>
      </w:r>
      <w:r w:rsidR="00342559">
        <w:t>e</w:t>
      </w:r>
      <w:r>
        <w:t xml:space="preserve"> determination given the limited regulatory impact that it will have.</w:t>
      </w:r>
    </w:p>
    <w:p w14:paraId="0063BE2E" w14:textId="7290CEB8" w:rsidR="002441A5" w:rsidRDefault="002441A5" w:rsidP="002441A5">
      <w:pPr>
        <w:pStyle w:val="Heading3"/>
        <w:tabs>
          <w:tab w:val="left" w:pos="567"/>
        </w:tabs>
        <w:ind w:left="0" w:firstLine="0"/>
      </w:pPr>
      <w:r>
        <w:t xml:space="preserve">The </w:t>
      </w:r>
      <w:r w:rsidR="00F70358">
        <w:t xml:space="preserve">compliance costs associated with </w:t>
      </w:r>
      <w:r>
        <w:t xml:space="preserve">the 2017 amendments to the Act </w:t>
      </w:r>
      <w:r w:rsidR="00F70358">
        <w:t xml:space="preserve">raising </w:t>
      </w:r>
      <w:r>
        <w:t xml:space="preserve">education, training and </w:t>
      </w:r>
      <w:r w:rsidR="00F70358">
        <w:t xml:space="preserve">ethical standards of financial advisers </w:t>
      </w:r>
      <w:r>
        <w:t xml:space="preserve">was estimated in the Explanatory Memorandum for the Bill for the </w:t>
      </w:r>
      <w:r w:rsidRPr="002441A5">
        <w:rPr>
          <w:i/>
        </w:rPr>
        <w:t>Corporations Amendment (Professional Standards of Financial Advisers) Act 2017</w:t>
      </w:r>
      <w:r>
        <w:t xml:space="preserve"> at approximately $165.1m. It is not practicable to make a meaningful estimate of the value of the benefits to consumers of improved standards in the industry.</w:t>
      </w:r>
    </w:p>
    <w:p w14:paraId="76C143EF" w14:textId="12342C36" w:rsidR="00147113" w:rsidRPr="006F233D" w:rsidRDefault="00147113" w:rsidP="002441A5">
      <w:pPr>
        <w:pStyle w:val="Heading1"/>
        <w:tabs>
          <w:tab w:val="left" w:pos="5429"/>
        </w:tabs>
        <w:spacing w:before="360" w:after="240" w:line="260" w:lineRule="atLeast"/>
      </w:pPr>
      <w:bookmarkStart w:id="252" w:name="_Toc523421340"/>
      <w:bookmarkStart w:id="253" w:name="_Toc526336664"/>
      <w:r w:rsidRPr="00CE3848">
        <w:rPr>
          <w:rStyle w:val="ESCharHeading1"/>
        </w:rPr>
        <w:t>Statement</w:t>
      </w:r>
      <w:r w:rsidRPr="006F233D">
        <w:t xml:space="preserve"> of </w:t>
      </w:r>
      <w:r>
        <w:t>c</w:t>
      </w:r>
      <w:r w:rsidRPr="006F233D">
        <w:t xml:space="preserve">ompatibility with </w:t>
      </w:r>
      <w:r>
        <w:t>h</w:t>
      </w:r>
      <w:r w:rsidRPr="006F233D">
        <w:t xml:space="preserve">uman </w:t>
      </w:r>
      <w:r>
        <w:t>r</w:t>
      </w:r>
      <w:r w:rsidRPr="006F233D">
        <w:t>ights</w:t>
      </w:r>
      <w:bookmarkEnd w:id="252"/>
      <w:bookmarkEnd w:id="253"/>
    </w:p>
    <w:p w14:paraId="18F0A215" w14:textId="5AC44C46" w:rsidR="00147113" w:rsidRDefault="00365AE0" w:rsidP="00147113">
      <w:pPr>
        <w:pStyle w:val="Heading3"/>
        <w:tabs>
          <w:tab w:val="left" w:pos="567"/>
        </w:tabs>
        <w:ind w:left="0" w:firstLine="0"/>
      </w:pPr>
      <w:r>
        <w:t xml:space="preserve">This instrument may engage the right to freely choose and accept work under Article 6(1) of the International Convention on Economic, Social and Cultural Rights. However, it is part of a series of legislated requirements for financial planners and financial advisers designed to ensure that consumers get better service standards and to instil overall confidence in the industry. On that basis, the instrument is assessed to be compatible with the human rights and freedoms recognised or declared in the </w:t>
      </w:r>
      <w:r w:rsidRPr="00313083">
        <w:t>international</w:t>
      </w:r>
      <w:r>
        <w:t xml:space="preserve"> instruments listed in section 3 of the </w:t>
      </w:r>
      <w:r w:rsidRPr="009816FC">
        <w:rPr>
          <w:i/>
        </w:rPr>
        <w:t>Human Rights (Parliamentary Scrutiny) Act 2011</w:t>
      </w:r>
      <w:r>
        <w:t>.</w:t>
      </w:r>
    </w:p>
    <w:p w14:paraId="580ED2B4" w14:textId="77777777" w:rsidR="00147113" w:rsidRPr="001370A3" w:rsidRDefault="00147113" w:rsidP="00147113">
      <w:pPr>
        <w:pStyle w:val="Heading3"/>
        <w:numPr>
          <w:ilvl w:val="0"/>
          <w:numId w:val="0"/>
        </w:numPr>
        <w:tabs>
          <w:tab w:val="left" w:pos="567"/>
        </w:tabs>
      </w:pPr>
    </w:p>
    <w:sectPr w:rsidR="00147113" w:rsidRPr="001370A3" w:rsidSect="00D02810">
      <w:headerReference w:type="even" r:id="rId15"/>
      <w:headerReference w:type="default" r:id="rId16"/>
      <w:footerReference w:type="even" r:id="rId17"/>
      <w:footerReference w:type="default" r:id="rId18"/>
      <w:headerReference w:type="first" r:id="rId19"/>
      <w:type w:val="oddPage"/>
      <w:pgSz w:w="11906" w:h="16838" w:code="9"/>
      <w:pgMar w:top="1418" w:right="1418" w:bottom="1418" w:left="1418"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FA388" w14:textId="77777777" w:rsidR="00F3584D" w:rsidRDefault="00F3584D">
      <w:r>
        <w:separator/>
      </w:r>
    </w:p>
  </w:endnote>
  <w:endnote w:type="continuationSeparator" w:id="0">
    <w:p w14:paraId="5DDFCCA1" w14:textId="77777777" w:rsidR="00F3584D" w:rsidRDefault="00F3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720E" w14:textId="77777777" w:rsidR="00915E25" w:rsidRDefault="00915E25" w:rsidP="00A65596">
    <w:pPr>
      <w:pStyle w:val="FooterEven"/>
      <w:rPr>
        <w:rStyle w:val="PageNumber"/>
      </w:rPr>
    </w:pPr>
    <w:r>
      <w:rPr>
        <w:rStyle w:val="PageNumber"/>
      </w:rPr>
      <w:fldChar w:fldCharType="begin"/>
    </w:r>
    <w:r>
      <w:rPr>
        <w:rStyle w:val="PageNumber"/>
      </w:rPr>
      <w:instrText xml:space="preserve">PAGE  </w:instrText>
    </w:r>
    <w:r>
      <w:rPr>
        <w:rStyle w:val="PageNumber"/>
      </w:rPr>
      <w:fldChar w:fldCharType="separate"/>
    </w:r>
    <w:r w:rsidR="002441A5">
      <w:rPr>
        <w:rStyle w:val="PageNumber"/>
        <w:noProof/>
      </w:rPr>
      <w:t>1</w:t>
    </w:r>
    <w:r>
      <w:rPr>
        <w:rStyle w:val="PageNumber"/>
      </w:rPr>
      <w:fldChar w:fldCharType="end"/>
    </w:r>
  </w:p>
  <w:p w14:paraId="0BA8761B" w14:textId="77777777" w:rsidR="00915E25" w:rsidRDefault="00915E25" w:rsidP="008F4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7737" w14:textId="77777777" w:rsidR="00915E25" w:rsidRPr="008F4A2F" w:rsidRDefault="00915E25" w:rsidP="00A65596">
    <w:pPr>
      <w:pStyle w:val="FooterOdd"/>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2441A5">
      <w:rPr>
        <w:rStyle w:val="PageNumber"/>
        <w:noProof/>
      </w:rPr>
      <w:t>1</w:t>
    </w:r>
    <w:r w:rsidRPr="008F4A2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55C7" w14:textId="77777777" w:rsidR="0024171A" w:rsidRDefault="002417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DF7C" w14:textId="6286ACF5" w:rsidR="00A424F5" w:rsidRDefault="00A424F5" w:rsidP="00A65596">
    <w:pPr>
      <w:pStyle w:val="FooterEven"/>
      <w:rPr>
        <w:rStyle w:val="PageNumber"/>
      </w:rPr>
    </w:pPr>
    <w:r>
      <w:rPr>
        <w:rStyle w:val="PageNumber"/>
      </w:rPr>
      <w:fldChar w:fldCharType="begin"/>
    </w:r>
    <w:r>
      <w:rPr>
        <w:rStyle w:val="PageNumber"/>
      </w:rPr>
      <w:instrText xml:space="preserve">PAGE  </w:instrText>
    </w:r>
    <w:r>
      <w:rPr>
        <w:rStyle w:val="PageNumber"/>
      </w:rPr>
      <w:fldChar w:fldCharType="separate"/>
    </w:r>
    <w:r w:rsidR="00125FEE">
      <w:rPr>
        <w:rStyle w:val="PageNumber"/>
        <w:noProof/>
      </w:rPr>
      <w:t>2</w:t>
    </w:r>
    <w:r>
      <w:rPr>
        <w:rStyle w:val="PageNumber"/>
      </w:rPr>
      <w:fldChar w:fldCharType="end"/>
    </w:r>
  </w:p>
  <w:p w14:paraId="0B268C7D" w14:textId="46E58182" w:rsidR="00A424F5" w:rsidRDefault="00A424F5" w:rsidP="008F4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D685" w14:textId="55FD0FE4" w:rsidR="00A424F5" w:rsidRPr="008F4A2F" w:rsidRDefault="00A424F5" w:rsidP="00A65596">
    <w:pPr>
      <w:pStyle w:val="FooterOdd"/>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125FEE">
      <w:rPr>
        <w:rStyle w:val="PageNumber"/>
        <w:noProof/>
      </w:rPr>
      <w:t>1</w:t>
    </w:r>
    <w:r w:rsidRPr="008F4A2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1B948" w14:textId="77777777" w:rsidR="00F3584D" w:rsidRDefault="00F3584D">
      <w:r>
        <w:separator/>
      </w:r>
    </w:p>
  </w:footnote>
  <w:footnote w:type="continuationSeparator" w:id="0">
    <w:p w14:paraId="34D63174" w14:textId="77777777" w:rsidR="00F3584D" w:rsidRDefault="00F3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FC8C" w14:textId="77777777" w:rsidR="00030021" w:rsidRPr="000D291D" w:rsidRDefault="00030021" w:rsidP="00030021">
    <w:pPr>
      <w:pStyle w:val="Header"/>
    </w:pPr>
    <w:r w:rsidRPr="000D291D">
      <w:t>Corporations (Provisional Relevant Providers</w:t>
    </w:r>
    <w:r>
      <w:t>—Expressions</w:t>
    </w:r>
    <w:r w:rsidRPr="000D291D">
      <w:t>) Determination 2018</w:t>
    </w:r>
  </w:p>
  <w:p w14:paraId="60A9499E" w14:textId="77777777" w:rsidR="00030021" w:rsidRDefault="00030021" w:rsidP="00030021">
    <w:pPr>
      <w:pStyle w:val="Header"/>
    </w:pPr>
  </w:p>
  <w:p w14:paraId="597A2C88" w14:textId="77777777" w:rsidR="00030021" w:rsidRPr="00C40F06" w:rsidRDefault="00030021" w:rsidP="00030021">
    <w:pPr>
      <w:pStyle w:val="Headerline"/>
    </w:pPr>
  </w:p>
  <w:p w14:paraId="3F0B3A18" w14:textId="77777777" w:rsidR="00030021" w:rsidRPr="00030021" w:rsidRDefault="00030021" w:rsidP="0003002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282E" w14:textId="77777777" w:rsidR="000D291D" w:rsidRPr="000D291D" w:rsidRDefault="000D291D" w:rsidP="00BA2832">
    <w:pPr>
      <w:pStyle w:val="Header"/>
    </w:pPr>
    <w:r w:rsidRPr="000D291D">
      <w:t>Corporations (Provisional Relevant Providers</w:t>
    </w:r>
    <w:r w:rsidR="00845C85">
      <w:t>—Expressions</w:t>
    </w:r>
    <w:r w:rsidRPr="000D291D">
      <w:t>) Determination 2018</w:t>
    </w:r>
  </w:p>
  <w:p w14:paraId="4ECF6F89" w14:textId="77777777" w:rsidR="000D291D" w:rsidRDefault="000D291D" w:rsidP="00250F4C">
    <w:pPr>
      <w:pStyle w:val="Header"/>
    </w:pPr>
  </w:p>
  <w:p w14:paraId="06F6BA4F" w14:textId="77777777" w:rsidR="000D291D" w:rsidRPr="00C40F06" w:rsidRDefault="000D291D" w:rsidP="00250F4C">
    <w:pPr>
      <w:pStyle w:val="Headerline"/>
    </w:pPr>
  </w:p>
  <w:p w14:paraId="42560C84" w14:textId="77777777" w:rsidR="00313083" w:rsidRPr="00250F4C" w:rsidRDefault="00313083" w:rsidP="0025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355C" w14:textId="77777777" w:rsidR="0024171A" w:rsidRDefault="00241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1A15" w14:textId="081FB31E" w:rsidR="00A424F5" w:rsidRPr="000D291D" w:rsidRDefault="00A424F5" w:rsidP="00030021">
    <w:pPr>
      <w:pStyle w:val="Header"/>
    </w:pPr>
    <w:r w:rsidRPr="000D291D">
      <w:t>Corporations (Provisional Relevant Providers</w:t>
    </w:r>
    <w:r>
      <w:t>—Expressions</w:t>
    </w:r>
    <w:r w:rsidRPr="000D291D">
      <w:t>) Determination 2018</w:t>
    </w:r>
  </w:p>
  <w:p w14:paraId="2C955080" w14:textId="77777777" w:rsidR="00A424F5" w:rsidRDefault="00A424F5" w:rsidP="00030021">
    <w:pPr>
      <w:pStyle w:val="Header"/>
    </w:pPr>
  </w:p>
  <w:p w14:paraId="773E132A" w14:textId="77777777" w:rsidR="00A424F5" w:rsidRPr="00C40F06" w:rsidRDefault="00A424F5" w:rsidP="00030021">
    <w:pPr>
      <w:pStyle w:val="Headerline"/>
    </w:pPr>
  </w:p>
  <w:p w14:paraId="23723C34" w14:textId="77777777" w:rsidR="00A424F5" w:rsidRPr="00030021" w:rsidRDefault="00A424F5" w:rsidP="00030021">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E8B0" w14:textId="63A62F15" w:rsidR="00A424F5" w:rsidRPr="000D291D" w:rsidRDefault="00A424F5" w:rsidP="00BA2832">
    <w:pPr>
      <w:pStyle w:val="Header"/>
    </w:pPr>
    <w:r w:rsidRPr="000D291D">
      <w:t>Corporations (Provisional Relevant Providers</w:t>
    </w:r>
    <w:r>
      <w:t>—Expressions</w:t>
    </w:r>
    <w:r w:rsidRPr="000D291D">
      <w:t>) Determination 2018</w:t>
    </w:r>
  </w:p>
  <w:p w14:paraId="1E437E42" w14:textId="16252B5A" w:rsidR="00A424F5" w:rsidRDefault="00A424F5" w:rsidP="00250F4C">
    <w:pPr>
      <w:pStyle w:val="Header"/>
    </w:pPr>
  </w:p>
  <w:p w14:paraId="1E4F670C" w14:textId="28827BD8" w:rsidR="00A424F5" w:rsidRPr="00C40F06" w:rsidRDefault="00A424F5" w:rsidP="00250F4C">
    <w:pPr>
      <w:pStyle w:val="Headerline"/>
    </w:pPr>
  </w:p>
  <w:p w14:paraId="6730EC42" w14:textId="10743C48" w:rsidR="00A424F5" w:rsidRPr="00250F4C" w:rsidRDefault="00A424F5" w:rsidP="00250F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332B" w14:textId="77777777" w:rsidR="00C82A13" w:rsidRPr="00967A05" w:rsidRDefault="00C82A13" w:rsidP="00967A05">
    <w:pPr>
      <w:pStyle w:val="Header"/>
    </w:pPr>
    <w:r w:rsidRPr="00967A05">
      <w:t>Corporations (Provisional Relevant Providers—Expressions) Determination 2018</w:t>
    </w:r>
  </w:p>
  <w:p w14:paraId="28C5D8FB" w14:textId="77777777" w:rsidR="00C82A13" w:rsidRDefault="00C82A13" w:rsidP="00C82A13">
    <w:pPr>
      <w:jc w:val="center"/>
    </w:pPr>
  </w:p>
  <w:p w14:paraId="4921DF4A" w14:textId="77777777" w:rsidR="00C82A13" w:rsidRPr="00C40F06" w:rsidRDefault="00C82A13" w:rsidP="00967A05">
    <w:pPr>
      <w:pBdr>
        <w:bottom w:val="single" w:sz="6" w:space="1" w:color="auto"/>
      </w:pBdr>
      <w:rPr>
        <w:sz w:val="12"/>
        <w:szCs w:val="12"/>
      </w:rPr>
    </w:pPr>
  </w:p>
  <w:p w14:paraId="337FE603" w14:textId="77777777" w:rsidR="00C82A13" w:rsidRPr="00967A05" w:rsidRDefault="00C82A13" w:rsidP="0096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8562FB"/>
    <w:multiLevelType w:val="hybridMultilevel"/>
    <w:tmpl w:val="97A293AC"/>
    <w:lvl w:ilvl="0" w:tplc="A508A74A">
      <w:start w:val="1"/>
      <w:numFmt w:val="decimal"/>
      <w:pStyle w:val="BodyText"/>
      <w:lvlText w:val="%1."/>
      <w:lvlJc w:val="left"/>
      <w:pPr>
        <w:ind w:left="720" w:hanging="360"/>
      </w:pPr>
      <w:rPr>
        <w:rFonts w:ascii="Times New Roman" w:hAnsi="Times New Roman" w:hint="default"/>
        <w:b w:val="0"/>
        <w:i w:val="0"/>
        <w:caps w:val="0"/>
        <w:strike w:val="0"/>
        <w:dstrike w:val="0"/>
        <w:vanish w:val="0"/>
        <w:color w:val="auto"/>
        <w:sz w:val="22"/>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FE13B0"/>
    <w:multiLevelType w:val="multilevel"/>
    <w:tmpl w:val="1CDC67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4"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AC64A1"/>
    <w:multiLevelType w:val="multilevel"/>
    <w:tmpl w:val="31E23120"/>
    <w:lvl w:ilvl="0">
      <w:start w:val="1"/>
      <w:numFmt w:val="none"/>
      <w:suff w:val="nothing"/>
      <w:lvlText w:val=""/>
      <w:lvlJc w:val="center"/>
      <w:pPr>
        <w:ind w:left="0" w:firstLine="0"/>
      </w:pPr>
      <w:rPr>
        <w:rFonts w:ascii="Arial Bold" w:hAnsi="Arial Bold" w:hint="default"/>
        <w:b/>
        <w:i w:val="0"/>
        <w:caps w:val="0"/>
        <w:strike w:val="0"/>
        <w:dstrike w:val="0"/>
        <w:vanish w:val="0"/>
        <w:sz w:val="24"/>
        <w:vertAlign w:val="baseline"/>
      </w:rPr>
    </w:lvl>
    <w:lvl w:ilvl="1">
      <w:start w:val="1"/>
      <w:numFmt w:val="none"/>
      <w:lvlRestart w:val="0"/>
      <w:suff w:val="nothing"/>
      <w:lvlText w:val=""/>
      <w:lvlJc w:val="center"/>
      <w:pPr>
        <w:ind w:left="0" w:firstLine="0"/>
      </w:pPr>
      <w:rPr>
        <w:rFonts w:ascii="Arial Bold" w:hAnsi="Arial Bold" w:hint="default"/>
        <w:b/>
        <w:i w:val="0"/>
      </w:rPr>
    </w:lvl>
    <w:lvl w:ilvl="2">
      <w:start w:val="1"/>
      <w:numFmt w:val="none"/>
      <w:lvlRestart w:val="0"/>
      <w:suff w:val="nothing"/>
      <w:lvlText w:val=""/>
      <w:lvlJc w:val="center"/>
      <w:pPr>
        <w:ind w:left="0" w:firstLine="0"/>
      </w:pPr>
      <w:rPr>
        <w:rFonts w:ascii="Arial" w:hAnsi="Arial" w:cs="Times New Roman" w:hint="default"/>
        <w:b w:val="0"/>
        <w:bCs w:val="0"/>
        <w:i/>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decimal"/>
      <w:lvlRestart w:val="0"/>
      <w:lvlText w:val="%4."/>
      <w:lvlJc w:val="left"/>
      <w:pPr>
        <w:ind w:left="567" w:hanging="567"/>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134" w:hanging="567"/>
      </w:pPr>
      <w:rPr>
        <w:rFonts w:ascii="Arial" w:hAnsi="Arial" w:hint="default"/>
        <w:b w:val="0"/>
        <w:i w:val="0"/>
        <w:caps w:val="0"/>
        <w:strike w:val="0"/>
        <w:dstrike w:val="0"/>
        <w:vanish w:val="0"/>
        <w:sz w:val="20"/>
        <w:vertAlign w:val="baseline"/>
      </w:rPr>
    </w:lvl>
    <w:lvl w:ilvl="5">
      <w:start w:val="1"/>
      <w:numFmt w:val="lowerRoman"/>
      <w:lvlText w:val="(%6)"/>
      <w:lvlJc w:val="left"/>
      <w:pPr>
        <w:ind w:left="1701" w:hanging="567"/>
      </w:pPr>
      <w:rPr>
        <w:rFonts w:ascii="Arial" w:hAnsi="Arial" w:hint="default"/>
        <w:b w:val="0"/>
        <w:i w:val="0"/>
        <w:caps w:val="0"/>
        <w:strike w:val="0"/>
        <w:dstrike w:val="0"/>
        <w:vanish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2"/>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0"/>
  </w:num>
  <w:num w:numId="18">
    <w:abstractNumId w:val="10"/>
  </w:num>
  <w:num w:numId="19">
    <w:abstractNumId w:val="10"/>
  </w:num>
  <w:num w:numId="20">
    <w:abstractNumId w:val="10"/>
  </w:num>
  <w:num w:numId="21">
    <w:abstractNumId w:val="10"/>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37"/>
  <w:evenAndOddHeaders/>
  <w:drawingGridHorizontalSpacing w:val="113"/>
  <w:drawingGridVerticalSpacing w:val="113"/>
  <w:displayHorizont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WMBrand" w:val="1.0"/>
    <w:docVar w:name="KWMSetGroupVis" w:val="-1"/>
    <w:docVar w:name="msjDescription" w:val="FASEA ES"/>
  </w:docVars>
  <w:rsids>
    <w:rsidRoot w:val="00F3584D"/>
    <w:rsid w:val="00025528"/>
    <w:rsid w:val="00030021"/>
    <w:rsid w:val="0003053C"/>
    <w:rsid w:val="000D1DA8"/>
    <w:rsid w:val="000D291D"/>
    <w:rsid w:val="000D5E46"/>
    <w:rsid w:val="000F150D"/>
    <w:rsid w:val="00125FEE"/>
    <w:rsid w:val="001370A3"/>
    <w:rsid w:val="00147113"/>
    <w:rsid w:val="0016014D"/>
    <w:rsid w:val="00160C67"/>
    <w:rsid w:val="0017537B"/>
    <w:rsid w:val="002151F6"/>
    <w:rsid w:val="0024171A"/>
    <w:rsid w:val="002441A5"/>
    <w:rsid w:val="00250F4C"/>
    <w:rsid w:val="002E46B5"/>
    <w:rsid w:val="00313083"/>
    <w:rsid w:val="00314779"/>
    <w:rsid w:val="00342559"/>
    <w:rsid w:val="00352D21"/>
    <w:rsid w:val="00365AE0"/>
    <w:rsid w:val="003C1A0C"/>
    <w:rsid w:val="00446A58"/>
    <w:rsid w:val="004A3231"/>
    <w:rsid w:val="004E1D06"/>
    <w:rsid w:val="005309D2"/>
    <w:rsid w:val="0056108D"/>
    <w:rsid w:val="00561CE0"/>
    <w:rsid w:val="00574095"/>
    <w:rsid w:val="005817A9"/>
    <w:rsid w:val="005902AE"/>
    <w:rsid w:val="00591744"/>
    <w:rsid w:val="005B69FE"/>
    <w:rsid w:val="006733EE"/>
    <w:rsid w:val="00677E91"/>
    <w:rsid w:val="00680F3B"/>
    <w:rsid w:val="006F3E79"/>
    <w:rsid w:val="00704629"/>
    <w:rsid w:val="00705F82"/>
    <w:rsid w:val="00717303"/>
    <w:rsid w:val="00723750"/>
    <w:rsid w:val="00845C85"/>
    <w:rsid w:val="008F4A2F"/>
    <w:rsid w:val="00912D9F"/>
    <w:rsid w:val="00915E25"/>
    <w:rsid w:val="00931325"/>
    <w:rsid w:val="00967A05"/>
    <w:rsid w:val="00975F1A"/>
    <w:rsid w:val="009816FC"/>
    <w:rsid w:val="009D367B"/>
    <w:rsid w:val="00A207EA"/>
    <w:rsid w:val="00A424F5"/>
    <w:rsid w:val="00A65596"/>
    <w:rsid w:val="00A917CB"/>
    <w:rsid w:val="00AB35FC"/>
    <w:rsid w:val="00AD4558"/>
    <w:rsid w:val="00B21F85"/>
    <w:rsid w:val="00B22F0B"/>
    <w:rsid w:val="00B30277"/>
    <w:rsid w:val="00B65A0F"/>
    <w:rsid w:val="00B672C6"/>
    <w:rsid w:val="00B74B93"/>
    <w:rsid w:val="00B915EE"/>
    <w:rsid w:val="00B955D5"/>
    <w:rsid w:val="00BA2832"/>
    <w:rsid w:val="00BB081C"/>
    <w:rsid w:val="00BB2D9F"/>
    <w:rsid w:val="00BD5702"/>
    <w:rsid w:val="00BE6772"/>
    <w:rsid w:val="00C72EC7"/>
    <w:rsid w:val="00C81117"/>
    <w:rsid w:val="00C82A13"/>
    <w:rsid w:val="00CE07AF"/>
    <w:rsid w:val="00D02810"/>
    <w:rsid w:val="00D07C4F"/>
    <w:rsid w:val="00D450EC"/>
    <w:rsid w:val="00D56FFF"/>
    <w:rsid w:val="00D96B09"/>
    <w:rsid w:val="00DD1F2D"/>
    <w:rsid w:val="00E05B41"/>
    <w:rsid w:val="00E56659"/>
    <w:rsid w:val="00E74E0A"/>
    <w:rsid w:val="00EB46C0"/>
    <w:rsid w:val="00EE52EB"/>
    <w:rsid w:val="00EE76A0"/>
    <w:rsid w:val="00EE7B42"/>
    <w:rsid w:val="00EF7551"/>
    <w:rsid w:val="00F3584D"/>
    <w:rsid w:val="00F70358"/>
    <w:rsid w:val="00FA4107"/>
    <w:rsid w:val="00FD2C32"/>
    <w:rsid w:val="00FF7F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57FC336"/>
  <w15:docId w15:val="{BBB3C4E7-D949-4DBB-8AC0-6D4AF74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915EE"/>
    <w:rPr>
      <w:rFonts w:cs="Arial"/>
      <w:sz w:val="22"/>
      <w:lang w:eastAsia="en-US"/>
    </w:rPr>
  </w:style>
  <w:style w:type="paragraph" w:styleId="Heading1">
    <w:name w:val="heading 1"/>
    <w:aliases w:val="ES Heading 1,ESHeading 1"/>
    <w:qFormat/>
    <w:rsid w:val="00250F4C"/>
    <w:pPr>
      <w:keepNext/>
      <w:spacing w:before="720"/>
      <w:outlineLvl w:val="0"/>
    </w:pPr>
    <w:rPr>
      <w:rFonts w:cs="Arial"/>
      <w:b/>
      <w:sz w:val="24"/>
      <w:szCs w:val="24"/>
      <w:lang w:eastAsia="en-US"/>
    </w:rPr>
  </w:style>
  <w:style w:type="paragraph" w:styleId="Heading2">
    <w:name w:val="heading 2"/>
    <w:aliases w:val="ES Heading 2,ESHeading 2"/>
    <w:basedOn w:val="Normal"/>
    <w:next w:val="Heading3"/>
    <w:qFormat/>
    <w:rsid w:val="00250F4C"/>
    <w:pPr>
      <w:keepNext/>
      <w:spacing w:before="240" w:after="240"/>
      <w:outlineLvl w:val="1"/>
    </w:pPr>
    <w:rPr>
      <w:b/>
    </w:rPr>
  </w:style>
  <w:style w:type="paragraph" w:styleId="Heading3">
    <w:name w:val="heading 3"/>
    <w:aliases w:val="ESHeading 3"/>
    <w:basedOn w:val="BodyText"/>
    <w:qFormat/>
    <w:rsid w:val="00250F4C"/>
    <w:pPr>
      <w:outlineLvl w:val="2"/>
    </w:pPr>
  </w:style>
  <w:style w:type="paragraph" w:styleId="Heading4">
    <w:name w:val="heading 4"/>
    <w:basedOn w:val="Normal"/>
    <w:qFormat/>
    <w:rsid w:val="00313083"/>
    <w:pPr>
      <w:numPr>
        <w:ilvl w:val="3"/>
        <w:numId w:val="1"/>
      </w:numPr>
      <w:tabs>
        <w:tab w:val="clear" w:pos="2211"/>
      </w:tabs>
      <w:spacing w:before="240"/>
      <w:ind w:left="1701" w:hanging="567"/>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tabs>
        <w:tab w:val="clear" w:pos="1474"/>
      </w:tabs>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4A2F"/>
    <w:pPr>
      <w:tabs>
        <w:tab w:val="right" w:pos="9070"/>
      </w:tabs>
      <w:ind w:right="-15"/>
    </w:pPr>
    <w:rPr>
      <w:sz w:val="16"/>
    </w:rPr>
  </w:style>
  <w:style w:type="paragraph" w:styleId="BodyText">
    <w:name w:val="Body Text"/>
    <w:aliases w:val="ES Body Text numbers"/>
    <w:link w:val="BodyTextChar"/>
    <w:rsid w:val="00313083"/>
    <w:pPr>
      <w:numPr>
        <w:numId w:val="15"/>
      </w:numPr>
      <w:spacing w:before="240"/>
    </w:pPr>
    <w:rPr>
      <w:rFonts w:cs="Arial"/>
      <w:sz w:val="22"/>
      <w:lang w:eastAsia="en-US"/>
    </w:r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967A05"/>
    <w:pPr>
      <w:jc w:val="center"/>
    </w:pPr>
    <w:rPr>
      <w:i/>
      <w:sz w:val="18"/>
    </w:rPr>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aliases w:val="ES Body Text numbers Char"/>
    <w:link w:val="BodyText"/>
    <w:rsid w:val="00313083"/>
    <w:rPr>
      <w:rFonts w:cs="Arial"/>
      <w:sz w:val="22"/>
      <w:lang w:eastAsia="en-US"/>
    </w:rPr>
  </w:style>
  <w:style w:type="character" w:customStyle="1" w:styleId="BodyTextFirstIndentChar">
    <w:name w:val="Body Text First Indent Char"/>
    <w:basedOn w:val="BodyTextChar"/>
    <w:link w:val="BodyTextFirstIndent"/>
    <w:rsid w:val="00025528"/>
    <w:rPr>
      <w:rFonts w:cs="Arial"/>
      <w:sz w:val="22"/>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spacing w:after="60"/>
      <w:outlineLvl w:val="9"/>
    </w:pPr>
    <w:rPr>
      <w:rFonts w:ascii="Cambria" w:eastAsia="SimSun" w:hAnsi="Cambria" w:cs="Times New Roman"/>
      <w:b w:val="0"/>
      <w:bCs/>
      <w:kern w:val="32"/>
      <w:sz w:val="32"/>
      <w:szCs w:val="32"/>
    </w:rPr>
  </w:style>
  <w:style w:type="paragraph" w:customStyle="1" w:styleId="ESCoverpage">
    <w:name w:val="ES Cover page"/>
    <w:rsid w:val="00B915EE"/>
    <w:pPr>
      <w:spacing w:before="240"/>
      <w:jc w:val="center"/>
    </w:pPr>
    <w:rPr>
      <w:rFonts w:cs="Arial"/>
      <w:sz w:val="22"/>
      <w:lang w:eastAsia="en-US"/>
    </w:rPr>
  </w:style>
  <w:style w:type="paragraph" w:customStyle="1" w:styleId="ESBodyTextnonumbers">
    <w:name w:val="ES Body Text no numbers"/>
    <w:rsid w:val="00D56FFF"/>
    <w:rPr>
      <w:rFonts w:cs="Arial"/>
      <w:sz w:val="22"/>
      <w:lang w:eastAsia="en-US"/>
    </w:rPr>
  </w:style>
  <w:style w:type="character" w:customStyle="1" w:styleId="CharTitle">
    <w:name w:val="CharTitle"/>
    <w:basedOn w:val="DefaultParagraphFont"/>
    <w:uiPriority w:val="1"/>
    <w:rsid w:val="000D291D"/>
    <w:rPr>
      <w:i/>
    </w:rPr>
  </w:style>
  <w:style w:type="paragraph" w:customStyle="1" w:styleId="FooterOdd">
    <w:name w:val="Footer Odd"/>
    <w:basedOn w:val="Footer"/>
    <w:rsid w:val="00967A05"/>
    <w:pPr>
      <w:jc w:val="right"/>
    </w:pPr>
  </w:style>
  <w:style w:type="paragraph" w:customStyle="1" w:styleId="FooterEven">
    <w:name w:val="Footer Even"/>
    <w:basedOn w:val="Footer"/>
    <w:rsid w:val="00967A05"/>
  </w:style>
  <w:style w:type="paragraph" w:customStyle="1" w:styleId="Headerline">
    <w:name w:val="Header line"/>
    <w:basedOn w:val="Normal"/>
    <w:rsid w:val="00250F4C"/>
    <w:pPr>
      <w:pBdr>
        <w:bottom w:val="single" w:sz="6" w:space="1" w:color="auto"/>
      </w:pBdr>
    </w:pPr>
    <w:rPr>
      <w:sz w:val="12"/>
      <w:szCs w:val="12"/>
    </w:rPr>
  </w:style>
  <w:style w:type="character" w:customStyle="1" w:styleId="ESCharHeading1">
    <w:name w:val="ESCharHeading 1"/>
    <w:uiPriority w:val="1"/>
    <w:qFormat/>
    <w:rsid w:val="00677E91"/>
  </w:style>
  <w:style w:type="paragraph" w:customStyle="1" w:styleId="ESText1">
    <w:name w:val="ESText 1"/>
    <w:rsid w:val="00677E91"/>
    <w:pPr>
      <w:spacing w:before="240" w:line="240" w:lineRule="atLeast"/>
      <w:ind w:left="567" w:hanging="567"/>
    </w:pPr>
    <w:rPr>
      <w:rFonts w:cs="Arial"/>
      <w:iCs/>
      <w:sz w:val="22"/>
      <w:szCs w:val="22"/>
      <w:lang w:eastAsia="en-AU"/>
    </w:rPr>
  </w:style>
  <w:style w:type="paragraph" w:customStyle="1" w:styleId="ESTexta">
    <w:name w:val="ESText (a)"/>
    <w:qFormat/>
    <w:rsid w:val="00677E91"/>
    <w:pPr>
      <w:spacing w:before="120" w:line="240" w:lineRule="atLeast"/>
      <w:ind w:left="1134" w:hanging="567"/>
    </w:pPr>
    <w:rPr>
      <w:sz w:val="22"/>
      <w:lang w:eastAsia="en-AU"/>
    </w:rPr>
  </w:style>
  <w:style w:type="paragraph" w:customStyle="1" w:styleId="ESTexti">
    <w:name w:val="ESText (i)"/>
    <w:qFormat/>
    <w:rsid w:val="00677E91"/>
    <w:pPr>
      <w:spacing w:before="240" w:line="240" w:lineRule="atLeast"/>
      <w:ind w:left="1701" w:hanging="567"/>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9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24AF-092B-4DF6-8A36-201E29A4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vt:lpstr>
    </vt:vector>
  </TitlesOfParts>
  <Company>King &amp; Wood Mallesons</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KWM</dc:creator>
  <cp:lastModifiedBy>amelia constantinidis</cp:lastModifiedBy>
  <cp:revision>2</cp:revision>
  <cp:lastPrinted>2018-12-10T01:20:00Z</cp:lastPrinted>
  <dcterms:created xsi:type="dcterms:W3CDTF">2018-12-14T03:23:00Z</dcterms:created>
  <dcterms:modified xsi:type="dcterms:W3CDTF">2018-12-14T03:23:00Z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JClientMatter">
    <vt:lpwstr/>
  </property>
  <property fmtid="{D5CDD505-2E9C-101B-9397-08002B2CF9AE}" pid="3" name="MSJClientCode">
    <vt:lpwstr/>
  </property>
  <property fmtid="{D5CDD505-2E9C-101B-9397-08002B2CF9AE}" pid="4" name="MSJPrintCopies">
    <vt:lpwstr>2</vt:lpwstr>
  </property>
  <property fmtid="{D5CDD505-2E9C-101B-9397-08002B2CF9AE}" pid="5" name="Template">
    <vt:lpwstr>fblank.dotm</vt:lpwstr>
  </property>
  <property fmtid="{D5CDD505-2E9C-101B-9397-08002B2CF9AE}" pid="6" name="DocID">
    <vt:lpwstr>39893699_1</vt:lpwstr>
  </property>
</Properties>
</file>