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25054" w14:textId="77777777" w:rsidR="007D63BF" w:rsidRPr="006809B4" w:rsidRDefault="007D63BF" w:rsidP="00973CC5">
      <w:pPr>
        <w:pStyle w:val="Title"/>
      </w:pPr>
      <w:r w:rsidRPr="006809B4">
        <w:t>EXPLANATORY STATEMENT</w:t>
      </w:r>
    </w:p>
    <w:p w14:paraId="2F707378" w14:textId="77777777" w:rsidR="007D63BF" w:rsidRPr="006809B4" w:rsidRDefault="007D63BF" w:rsidP="00D148F2">
      <w:pPr>
        <w:rPr>
          <w:b/>
          <w:bCs/>
        </w:rPr>
      </w:pPr>
    </w:p>
    <w:p w14:paraId="080A8AFA" w14:textId="77777777" w:rsidR="007D63BF" w:rsidRPr="006809B4" w:rsidRDefault="007D63BF" w:rsidP="00973CC5">
      <w:pPr>
        <w:jc w:val="center"/>
      </w:pPr>
      <w:r w:rsidRPr="006809B4">
        <w:t xml:space="preserve">Issued by the Authority of the Minister for Health </w:t>
      </w:r>
    </w:p>
    <w:p w14:paraId="17825E22" w14:textId="77777777" w:rsidR="007D63BF" w:rsidRPr="006809B4" w:rsidRDefault="007D63BF" w:rsidP="00973CC5">
      <w:pPr>
        <w:jc w:val="center"/>
      </w:pPr>
    </w:p>
    <w:p w14:paraId="7F61F280" w14:textId="77777777"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14:paraId="6BA10285" w14:textId="77777777" w:rsidR="005C11C6" w:rsidRPr="006809B4" w:rsidRDefault="005C11C6" w:rsidP="00973CC5">
      <w:pPr>
        <w:jc w:val="center"/>
        <w:rPr>
          <w:b/>
          <w:u w:val="single"/>
        </w:rPr>
      </w:pPr>
    </w:p>
    <w:p w14:paraId="1AEAA96C" w14:textId="77777777" w:rsidR="00405205" w:rsidRPr="00405205" w:rsidRDefault="00A37928" w:rsidP="00405205">
      <w:pPr>
        <w:jc w:val="center"/>
        <w:rPr>
          <w:i/>
        </w:rPr>
      </w:pPr>
      <w:r w:rsidRPr="0083426D">
        <w:rPr>
          <w:i/>
        </w:rPr>
        <w:t>Private Health Insurance (</w:t>
      </w:r>
      <w:r w:rsidR="00E566D5">
        <w:rPr>
          <w:i/>
        </w:rPr>
        <w:t>Reforms</w:t>
      </w:r>
      <w:r w:rsidR="001C1E87" w:rsidRPr="0083426D">
        <w:rPr>
          <w:i/>
        </w:rPr>
        <w:t xml:space="preserve">) </w:t>
      </w:r>
    </w:p>
    <w:p w14:paraId="37724683" w14:textId="7FB9D544" w:rsidR="00A37928" w:rsidRPr="0083426D" w:rsidRDefault="00405205" w:rsidP="00405205">
      <w:pPr>
        <w:jc w:val="center"/>
        <w:rPr>
          <w:i/>
        </w:rPr>
      </w:pPr>
      <w:r w:rsidRPr="00405205">
        <w:rPr>
          <w:i/>
        </w:rPr>
        <w:t xml:space="preserve">Amendment </w:t>
      </w:r>
      <w:r w:rsidR="00E566D5">
        <w:rPr>
          <w:i/>
        </w:rPr>
        <w:t>Rules (No.</w:t>
      </w:r>
      <w:r w:rsidR="00873992">
        <w:rPr>
          <w:i/>
        </w:rPr>
        <w:t xml:space="preserve"> </w:t>
      </w:r>
      <w:r w:rsidR="005E71A2">
        <w:rPr>
          <w:i/>
        </w:rPr>
        <w:t>3</w:t>
      </w:r>
      <w:r w:rsidRPr="00405205">
        <w:rPr>
          <w:i/>
        </w:rPr>
        <w:t>) 2018</w:t>
      </w:r>
    </w:p>
    <w:p w14:paraId="3607E4DC" w14:textId="77777777" w:rsidR="00587B1D" w:rsidRPr="006809B4" w:rsidRDefault="00587B1D" w:rsidP="00973CC5">
      <w:pPr>
        <w:jc w:val="center"/>
        <w:rPr>
          <w:i/>
          <w:szCs w:val="24"/>
        </w:rPr>
      </w:pPr>
    </w:p>
    <w:p w14:paraId="1E9DFD06" w14:textId="0F02B015" w:rsidR="00010101" w:rsidRPr="00010101" w:rsidRDefault="00010101" w:rsidP="00240FF5">
      <w:pPr>
        <w:rPr>
          <w:szCs w:val="24"/>
          <w:u w:val="single"/>
        </w:rPr>
      </w:pPr>
      <w:r w:rsidRPr="00010101">
        <w:rPr>
          <w:szCs w:val="24"/>
          <w:u w:val="single"/>
        </w:rPr>
        <w:t>Authority</w:t>
      </w:r>
    </w:p>
    <w:p w14:paraId="31BA0FF7" w14:textId="10506E18" w:rsidR="00E70246" w:rsidRDefault="00545EDC" w:rsidP="00240FF5">
      <w:r w:rsidRPr="00A877BF">
        <w:t xml:space="preserve">Section 333-20 of the </w:t>
      </w:r>
      <w:r w:rsidRPr="00A877BF">
        <w:rPr>
          <w:i/>
          <w:iCs/>
        </w:rPr>
        <w:t xml:space="preserve">Private Health Insurance Act 2007 </w:t>
      </w:r>
      <w:r w:rsidRPr="00A877BF">
        <w:t>(the Act) authorises the Minister for Health</w:t>
      </w:r>
      <w:r w:rsidR="00DC35DE">
        <w:t xml:space="preserve"> to</w:t>
      </w:r>
      <w:r w:rsidRPr="00A877BF">
        <w:t xml:space="preserve">, by legislative instrument, make </w:t>
      </w:r>
      <w:r w:rsidR="0018070E">
        <w:t xml:space="preserve">specified </w:t>
      </w:r>
      <w:r w:rsidRPr="00A877BF">
        <w:rPr>
          <w:i/>
        </w:rPr>
        <w:t xml:space="preserve">Private Health Insurance Rules </w:t>
      </w:r>
      <w:r w:rsidRPr="00A877BF">
        <w:t>providing for matters required or permitted by the corresponding Chapter, Part or section to be provided</w:t>
      </w:r>
      <w:r w:rsidR="00DC35DE">
        <w:t>;</w:t>
      </w:r>
      <w:r w:rsidRPr="00A877BF">
        <w:t xml:space="preserve"> or necessary or convenient to be provided in order to carry out or give effect to that Chapter, Part or section. </w:t>
      </w:r>
    </w:p>
    <w:p w14:paraId="7AFD70CE" w14:textId="77777777" w:rsidR="00E70246" w:rsidRDefault="00E70246" w:rsidP="00240FF5"/>
    <w:p w14:paraId="445956A3" w14:textId="1C4DBC09" w:rsidR="00DC35DE" w:rsidRDefault="00545EDC" w:rsidP="00240FF5">
      <w:r w:rsidRPr="00A877BF">
        <w:t xml:space="preserve">The </w:t>
      </w:r>
      <w:r w:rsidRPr="00A520AB">
        <w:rPr>
          <w:i/>
        </w:rPr>
        <w:t xml:space="preserve">Private Health Insurance (Reforms) Amendment Rules </w:t>
      </w:r>
      <w:r w:rsidR="00E70246" w:rsidRPr="00A520AB">
        <w:rPr>
          <w:i/>
        </w:rPr>
        <w:t>(No.</w:t>
      </w:r>
      <w:r w:rsidR="005E71A2">
        <w:rPr>
          <w:i/>
        </w:rPr>
        <w:t>3</w:t>
      </w:r>
      <w:r w:rsidR="00E70246" w:rsidRPr="00A520AB">
        <w:rPr>
          <w:i/>
        </w:rPr>
        <w:t xml:space="preserve">) </w:t>
      </w:r>
      <w:r w:rsidRPr="00A520AB">
        <w:rPr>
          <w:i/>
        </w:rPr>
        <w:t>2018</w:t>
      </w:r>
      <w:r w:rsidRPr="00A877BF">
        <w:t xml:space="preserve"> </w:t>
      </w:r>
      <w:r>
        <w:t xml:space="preserve">(the Amendment Rules) </w:t>
      </w:r>
      <w:r w:rsidRPr="00A877BF">
        <w:t xml:space="preserve">makes amendments to the </w:t>
      </w:r>
      <w:r w:rsidR="00E70246" w:rsidRPr="004662EE">
        <w:rPr>
          <w:i/>
        </w:rPr>
        <w:t>Private Health Insurance (Reforms) Amendment Rules 2018</w:t>
      </w:r>
      <w:r w:rsidR="00E70246" w:rsidRPr="00A877BF">
        <w:t xml:space="preserve"> </w:t>
      </w:r>
      <w:r w:rsidR="00E70246">
        <w:t>(the Principal Rules), which in turn amend the</w:t>
      </w:r>
      <w:r w:rsidR="00440CD7">
        <w:t xml:space="preserve"> </w:t>
      </w:r>
      <w:r w:rsidR="00440CD7" w:rsidRPr="00A520AB">
        <w:rPr>
          <w:i/>
        </w:rPr>
        <w:t>Private Health Insurance (Complying Product) Rules 2015</w:t>
      </w:r>
      <w:r w:rsidR="008439BD" w:rsidRPr="00BA3B07">
        <w:t xml:space="preserve"> (the Complying Product Rules)</w:t>
      </w:r>
      <w:r w:rsidRPr="00BA3B07">
        <w:t>.</w:t>
      </w:r>
      <w:r w:rsidRPr="008439BD">
        <w:t xml:space="preserve"> </w:t>
      </w:r>
      <w:r w:rsidR="00116809">
        <w:t>T</w:t>
      </w:r>
      <w:r w:rsidR="001A7BA9">
        <w:t>h</w:t>
      </w:r>
      <w:r w:rsidR="00116809">
        <w:t>ese additional amendments do not change th</w:t>
      </w:r>
      <w:r w:rsidR="00DC35DE">
        <w:t>e</w:t>
      </w:r>
      <w:r w:rsidR="00116809">
        <w:t xml:space="preserve"> commencement date</w:t>
      </w:r>
      <w:r w:rsidR="00DC35DE">
        <w:t xml:space="preserve">s for amendments </w:t>
      </w:r>
      <w:r w:rsidR="008439BD">
        <w:t xml:space="preserve">to the Complying Product Rules as implemented by </w:t>
      </w:r>
      <w:r w:rsidR="00DC35DE">
        <w:t>the Principal Rules</w:t>
      </w:r>
      <w:r w:rsidR="001A7BA9">
        <w:t>.</w:t>
      </w:r>
      <w:r w:rsidR="00DC35DE">
        <w:t xml:space="preserve">  </w:t>
      </w:r>
    </w:p>
    <w:p w14:paraId="484A56FF" w14:textId="66F84EEC" w:rsidR="00440CD7" w:rsidRDefault="00440CD7" w:rsidP="00240FF5"/>
    <w:p w14:paraId="3A355452" w14:textId="77777777" w:rsidR="00440CD7" w:rsidRPr="00440CD7" w:rsidRDefault="00440CD7" w:rsidP="00440CD7">
      <w:r w:rsidRPr="00440CD7">
        <w:t xml:space="preserve">Under subsection 33 (3) of the </w:t>
      </w:r>
      <w:r w:rsidRPr="00440CD7">
        <w:rPr>
          <w:i/>
        </w:rPr>
        <w:t>Acts Interpretation Act 1901</w:t>
      </w:r>
      <w:r w:rsidRPr="00440CD7">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EF8AF37" w14:textId="77777777" w:rsidR="00440CD7" w:rsidRDefault="00440CD7" w:rsidP="00240FF5"/>
    <w:p w14:paraId="5ACFA778" w14:textId="77777777" w:rsidR="00587B1D" w:rsidRDefault="00587B1D" w:rsidP="00D47F0E">
      <w:pPr>
        <w:rPr>
          <w:u w:val="single"/>
        </w:rPr>
      </w:pPr>
      <w:r w:rsidRPr="00587B1D">
        <w:rPr>
          <w:u w:val="single"/>
        </w:rPr>
        <w:t>Purpose</w:t>
      </w:r>
    </w:p>
    <w:p w14:paraId="687EAD44" w14:textId="12015D73" w:rsidR="00DB1D08" w:rsidRDefault="009824AF" w:rsidP="009F16AD">
      <w:pPr>
        <w:autoSpaceDE w:val="0"/>
        <w:autoSpaceDN w:val="0"/>
        <w:adjustRightInd w:val="0"/>
      </w:pPr>
      <w:r>
        <w:t xml:space="preserve">The purpose of </w:t>
      </w:r>
      <w:r w:rsidR="00F2146D">
        <w:t xml:space="preserve">the </w:t>
      </w:r>
      <w:r w:rsidR="00DB1D08">
        <w:t xml:space="preserve">Amendment Rules is to amend elements of </w:t>
      </w:r>
      <w:r w:rsidR="00DB1D08">
        <w:rPr>
          <w:szCs w:val="24"/>
        </w:rPr>
        <w:t>item 4 of Part 1 of Schedule 3 of t</w:t>
      </w:r>
      <w:r w:rsidR="00DB1D08" w:rsidRPr="00B825A2">
        <w:t>he</w:t>
      </w:r>
      <w:r w:rsidR="00DB1D08" w:rsidRPr="00DE43F0">
        <w:rPr>
          <w:i/>
        </w:rPr>
        <w:t xml:space="preserve"> </w:t>
      </w:r>
      <w:r w:rsidR="00DB1D08">
        <w:t xml:space="preserve">Principal Rules to </w:t>
      </w:r>
      <w:r w:rsidR="00F2146D">
        <w:t>incorporate new</w:t>
      </w:r>
      <w:r w:rsidR="0018070E">
        <w:t xml:space="preserve"> </w:t>
      </w:r>
      <w:r w:rsidR="00F2146D">
        <w:t xml:space="preserve">Medicare Benefit Schedule (MBS) item numbers </w:t>
      </w:r>
      <w:r w:rsidR="00DB1D08">
        <w:t xml:space="preserve">within </w:t>
      </w:r>
      <w:r w:rsidR="005E71A2">
        <w:t xml:space="preserve">one of the </w:t>
      </w:r>
      <w:r w:rsidR="00DB1D08">
        <w:t xml:space="preserve">tables included in this item. </w:t>
      </w:r>
      <w:r w:rsidR="000D5619" w:rsidRPr="00DB1D08">
        <w:t>These</w:t>
      </w:r>
      <w:r w:rsidR="000D5619">
        <w:t xml:space="preserve"> amendments are consequential to changes to the MBS </w:t>
      </w:r>
      <w:r w:rsidR="006E4989">
        <w:t xml:space="preserve">on 1 November 2018 </w:t>
      </w:r>
      <w:r w:rsidR="00DE6294">
        <w:t xml:space="preserve">for </w:t>
      </w:r>
      <w:r w:rsidR="006E4989">
        <w:t xml:space="preserve">one of </w:t>
      </w:r>
      <w:r w:rsidR="00DE6294">
        <w:t xml:space="preserve">these items, </w:t>
      </w:r>
      <w:r w:rsidR="006E4989">
        <w:t xml:space="preserve">and for changes </w:t>
      </w:r>
      <w:r w:rsidR="000D5619">
        <w:t>which will take effect on 1</w:t>
      </w:r>
      <w:r w:rsidR="00AE72DC">
        <w:t> </w:t>
      </w:r>
      <w:r w:rsidR="005E71A2">
        <w:t>January</w:t>
      </w:r>
      <w:r w:rsidR="00AE72DC">
        <w:t> </w:t>
      </w:r>
      <w:r w:rsidR="000D5619">
        <w:t>201</w:t>
      </w:r>
      <w:r w:rsidR="005E71A2">
        <w:t>9</w:t>
      </w:r>
      <w:r w:rsidR="006E4989">
        <w:t xml:space="preserve"> for the other</w:t>
      </w:r>
      <w:r w:rsidR="000D5619">
        <w:t xml:space="preserve">. </w:t>
      </w:r>
      <w:r w:rsidR="00DE6294">
        <w:t xml:space="preserve">The Principal Rules are being amended </w:t>
      </w:r>
      <w:r w:rsidR="00803EFE">
        <w:t>to ensure that the changes</w:t>
      </w:r>
      <w:r w:rsidR="00803EFE" w:rsidRPr="00803EFE">
        <w:t xml:space="preserve"> </w:t>
      </w:r>
      <w:r w:rsidR="00803EFE">
        <w:t xml:space="preserve">to the </w:t>
      </w:r>
      <w:r w:rsidR="008407EC" w:rsidRPr="003C0BB5">
        <w:t>Complying Product Rules</w:t>
      </w:r>
      <w:r w:rsidR="008407EC">
        <w:t xml:space="preserve"> </w:t>
      </w:r>
      <w:r w:rsidR="00803EFE">
        <w:t xml:space="preserve">that commence on 1 April 2019 for product tiers and clinical categories provisions </w:t>
      </w:r>
      <w:r w:rsidR="00803EFE" w:rsidRPr="00D83FF4">
        <w:t>reflect the updated MBS items</w:t>
      </w:r>
      <w:r w:rsidR="00DE6294">
        <w:t xml:space="preserve">. </w:t>
      </w:r>
    </w:p>
    <w:p w14:paraId="06F40A74" w14:textId="5B41C21B" w:rsidR="00CA48FB" w:rsidRDefault="00CA48FB" w:rsidP="009F16AD">
      <w:pPr>
        <w:autoSpaceDE w:val="0"/>
        <w:autoSpaceDN w:val="0"/>
        <w:adjustRightInd w:val="0"/>
      </w:pPr>
    </w:p>
    <w:p w14:paraId="6FA06830" w14:textId="6B1C273F" w:rsidR="0089792F" w:rsidRDefault="00CA48FB" w:rsidP="009F16AD">
      <w:pPr>
        <w:autoSpaceDE w:val="0"/>
        <w:autoSpaceDN w:val="0"/>
        <w:adjustRightInd w:val="0"/>
      </w:pPr>
      <w:r>
        <w:t xml:space="preserve">The Amendment Rules will also make </w:t>
      </w:r>
      <w:r w:rsidR="00991A9B">
        <w:t>two</w:t>
      </w:r>
      <w:r w:rsidR="0089792F">
        <w:t xml:space="preserve"> </w:t>
      </w:r>
      <w:r>
        <w:t>further amendments to the Principal Rules to</w:t>
      </w:r>
      <w:r w:rsidR="0089792F">
        <w:t>:</w:t>
      </w:r>
    </w:p>
    <w:p w14:paraId="01B046F8" w14:textId="64E40F20" w:rsidR="0089792F" w:rsidRDefault="00D02A72" w:rsidP="00DE206B">
      <w:pPr>
        <w:pStyle w:val="ListParagraph"/>
        <w:numPr>
          <w:ilvl w:val="0"/>
          <w:numId w:val="53"/>
        </w:numPr>
        <w:autoSpaceDE w:val="0"/>
        <w:autoSpaceDN w:val="0"/>
        <w:adjustRightInd w:val="0"/>
      </w:pPr>
      <w:r>
        <w:t xml:space="preserve">enable private health insurers to </w:t>
      </w:r>
      <w:r w:rsidR="005273EE">
        <w:t xml:space="preserve">provide </w:t>
      </w:r>
      <w:r w:rsidR="00CA48FB">
        <w:t>a more precise description of the lengt</w:t>
      </w:r>
      <w:r w:rsidR="0089792F">
        <w:t xml:space="preserve">h of time remaining until </w:t>
      </w:r>
      <w:r w:rsidR="00CA48FB">
        <w:t>a</w:t>
      </w:r>
      <w:r w:rsidR="0089792F">
        <w:t>n</w:t>
      </w:r>
      <w:r w:rsidR="00CA48FB">
        <w:t xml:space="preserve"> insured person</w:t>
      </w:r>
      <w:r w:rsidR="0089792F">
        <w:t xml:space="preserve"> has reached 10 continuous years of cover and their Lifetime Health Cover loading </w:t>
      </w:r>
      <w:r w:rsidR="0089792F" w:rsidRPr="00D90238">
        <w:t>is removed;</w:t>
      </w:r>
      <w:r w:rsidR="00991A9B">
        <w:t xml:space="preserve"> and</w:t>
      </w:r>
    </w:p>
    <w:p w14:paraId="55160520" w14:textId="677B04D9" w:rsidR="0089792F" w:rsidRDefault="005273EE" w:rsidP="00DE206B">
      <w:pPr>
        <w:pStyle w:val="ListParagraph"/>
        <w:numPr>
          <w:ilvl w:val="0"/>
          <w:numId w:val="53"/>
        </w:numPr>
        <w:autoSpaceDE w:val="0"/>
        <w:autoSpaceDN w:val="0"/>
        <w:adjustRightInd w:val="0"/>
      </w:pPr>
      <w:r>
        <w:t>e</w:t>
      </w:r>
      <w:r w:rsidR="00EC4F9B">
        <w:t>nsure</w:t>
      </w:r>
      <w:r>
        <w:t xml:space="preserve"> that a hospital</w:t>
      </w:r>
      <w:r w:rsidR="00667994">
        <w:t xml:space="preserve"> that is already eligible to receive second-tier default benefits</w:t>
      </w:r>
      <w:r>
        <w:t xml:space="preserve"> will </w:t>
      </w:r>
      <w:r w:rsidR="00667994">
        <w:t xml:space="preserve">continue to be eligible </w:t>
      </w:r>
      <w:r>
        <w:t xml:space="preserve">for a period ending 60 calendar </w:t>
      </w:r>
      <w:r w:rsidR="00A675D9">
        <w:t>day</w:t>
      </w:r>
      <w:r>
        <w:t>s after the date on which its accreditation against the National Safety and Quality Health Service Standards is due to expire.</w:t>
      </w:r>
    </w:p>
    <w:p w14:paraId="04C067F8" w14:textId="5C60DD5F" w:rsidR="00493CEA" w:rsidRDefault="00493CEA">
      <w:r>
        <w:br w:type="page"/>
      </w:r>
    </w:p>
    <w:p w14:paraId="046FB300" w14:textId="77777777" w:rsidR="00BD453D" w:rsidRDefault="00587B1D" w:rsidP="00D47F0E">
      <w:pPr>
        <w:rPr>
          <w:u w:val="single"/>
        </w:rPr>
      </w:pPr>
      <w:r w:rsidRPr="00FE1C98">
        <w:rPr>
          <w:u w:val="single"/>
        </w:rPr>
        <w:lastRenderedPageBreak/>
        <w:t>Background</w:t>
      </w:r>
    </w:p>
    <w:p w14:paraId="56F70899" w14:textId="77777777" w:rsidR="00A75F35" w:rsidRPr="00A877BF" w:rsidRDefault="00A75F35" w:rsidP="00A75F35">
      <w:pPr>
        <w:autoSpaceDE w:val="0"/>
        <w:autoSpaceDN w:val="0"/>
        <w:adjustRightInd w:val="0"/>
        <w:rPr>
          <w:highlight w:val="yellow"/>
        </w:rPr>
      </w:pPr>
      <w:r w:rsidRPr="00A877BF">
        <w:t xml:space="preserve">On 13 October 2017, the Government announced a package of reforms designed to make private health insurance simpler and more affordable for all Australians. The </w:t>
      </w:r>
      <w:r w:rsidRPr="00A877BF">
        <w:rPr>
          <w:i/>
        </w:rPr>
        <w:t xml:space="preserve">Private Health Insurance Legislation Amendment Act 2018 </w:t>
      </w:r>
      <w:r w:rsidRPr="00A877BF">
        <w:t>amended the</w:t>
      </w:r>
      <w:r w:rsidRPr="00A877BF">
        <w:rPr>
          <w:i/>
        </w:rPr>
        <w:t xml:space="preserve"> Private</w:t>
      </w:r>
      <w:r>
        <w:rPr>
          <w:i/>
        </w:rPr>
        <w:t> </w:t>
      </w:r>
      <w:r w:rsidRPr="00A877BF">
        <w:rPr>
          <w:i/>
        </w:rPr>
        <w:t>Health Insurance Act 2007</w:t>
      </w:r>
      <w:r w:rsidRPr="00A877BF">
        <w:t xml:space="preserve"> and associated legislation to enable a number of reforms</w:t>
      </w:r>
      <w:r>
        <w:t>,</w:t>
      </w:r>
      <w:r w:rsidRPr="00A877BF">
        <w:t xml:space="preserve"> as well as establishing a framework to support the implementation of some reforms through subordinate legislation. </w:t>
      </w:r>
    </w:p>
    <w:p w14:paraId="5E11BC75" w14:textId="77777777" w:rsidR="00A75F35" w:rsidRPr="00A877BF" w:rsidRDefault="00A75F35" w:rsidP="00A75F35">
      <w:r w:rsidRPr="00A877BF">
        <w:t xml:space="preserve">   </w:t>
      </w:r>
    </w:p>
    <w:p w14:paraId="5D70A43F" w14:textId="5D1D57F3" w:rsidR="00E465C9" w:rsidRDefault="00A75F35" w:rsidP="00E465C9">
      <w:r>
        <w:t>The Principal Rules include</w:t>
      </w:r>
      <w:r w:rsidRPr="00A877BF">
        <w:t xml:space="preserve"> amendments </w:t>
      </w:r>
      <w:r w:rsidR="00991A9B">
        <w:t>to</w:t>
      </w:r>
      <w:r w:rsidR="00787FF2">
        <w:t xml:space="preserve"> </w:t>
      </w:r>
      <w:r w:rsidR="00E465C9">
        <w:t xml:space="preserve">set out the minimum requirements private health insurers need to meet to inform insured persons about their private health insurance products and </w:t>
      </w:r>
      <w:r w:rsidR="00B96C4C">
        <w:t xml:space="preserve">to </w:t>
      </w:r>
      <w:r w:rsidR="00991A9B">
        <w:t>support the Department of Health’s administration of hospitals’ applications for eligibility for second-tier default benefits</w:t>
      </w:r>
      <w:r w:rsidR="00E465C9">
        <w:t>.</w:t>
      </w:r>
    </w:p>
    <w:p w14:paraId="7E03D646" w14:textId="77777777" w:rsidR="00E465C9" w:rsidRDefault="00E465C9" w:rsidP="00E465C9"/>
    <w:p w14:paraId="298D66A8" w14:textId="156F1D11" w:rsidR="00485E7B" w:rsidRPr="00485E7B" w:rsidRDefault="00E465C9" w:rsidP="00485E7B">
      <w:r>
        <w:t xml:space="preserve">The Principal Rules also include amendments </w:t>
      </w:r>
      <w:r w:rsidR="001F0BEE">
        <w:t xml:space="preserve">to introduce new </w:t>
      </w:r>
      <w:r w:rsidR="00BC5008">
        <w:t xml:space="preserve">gold/silver/bronze/basic </w:t>
      </w:r>
      <w:r w:rsidR="00A75F35" w:rsidRPr="003B4687">
        <w:t xml:space="preserve">product tiers and </w:t>
      </w:r>
      <w:r w:rsidR="00BC5008">
        <w:t xml:space="preserve">related </w:t>
      </w:r>
      <w:r w:rsidR="00A75F35" w:rsidRPr="003B4687">
        <w:t>clinical categories for hospital cover</w:t>
      </w:r>
      <w:r w:rsidR="000777FA">
        <w:t xml:space="preserve"> in the </w:t>
      </w:r>
      <w:r w:rsidR="008407EC" w:rsidRPr="003C0BB5">
        <w:t>Complying Product Rules</w:t>
      </w:r>
      <w:r w:rsidR="00A75F35">
        <w:t>.</w:t>
      </w:r>
      <w:r w:rsidR="00A75F35" w:rsidRPr="003B4687">
        <w:t xml:space="preserve"> </w:t>
      </w:r>
      <w:r w:rsidR="00485E7B" w:rsidRPr="00485E7B">
        <w:t xml:space="preserve">This includes allocating all hospital treatment </w:t>
      </w:r>
      <w:r w:rsidR="00BC5008">
        <w:t>MBS</w:t>
      </w:r>
      <w:r w:rsidR="00485E7B" w:rsidRPr="00485E7B">
        <w:t xml:space="preserve"> items to specified groups to provide clarity in the administration of treatments to be covered by insurers</w:t>
      </w:r>
      <w:r w:rsidR="00BC5008">
        <w:t xml:space="preserve"> for clinical category arrangements</w:t>
      </w:r>
      <w:r w:rsidR="00485E7B" w:rsidRPr="00485E7B">
        <w:t xml:space="preserve">.  </w:t>
      </w:r>
    </w:p>
    <w:p w14:paraId="30A7F10E" w14:textId="77777777" w:rsidR="00485E7B" w:rsidRPr="00485E7B" w:rsidRDefault="00485E7B" w:rsidP="00485E7B"/>
    <w:p w14:paraId="5D74234E" w14:textId="28E3D360" w:rsidR="000876A2" w:rsidRDefault="00485E7B" w:rsidP="0027251C">
      <w:r w:rsidRPr="00485E7B">
        <w:t xml:space="preserve">The amendments to the Complying Product Rules for product tiers and clinical categories do not commence until 1 April 2019. In the meantime, changes to the MBS items are occurring.  </w:t>
      </w:r>
      <w:r w:rsidR="00AE72DC">
        <w:t>As</w:t>
      </w:r>
      <w:r w:rsidR="0019715D">
        <w:t xml:space="preserve"> </w:t>
      </w:r>
      <w:r w:rsidR="00AE72DC">
        <w:t xml:space="preserve">there are </w:t>
      </w:r>
      <w:r w:rsidR="00590B62">
        <w:t xml:space="preserve">further </w:t>
      </w:r>
      <w:r w:rsidR="0019715D">
        <w:t xml:space="preserve">changes </w:t>
      </w:r>
      <w:r w:rsidR="00AE72DC">
        <w:t>to MBS items commencing o</w:t>
      </w:r>
      <w:r w:rsidR="0019715D">
        <w:t xml:space="preserve">n 1 </w:t>
      </w:r>
      <w:r w:rsidR="00590B62">
        <w:t>January</w:t>
      </w:r>
      <w:r w:rsidR="0019715D">
        <w:t xml:space="preserve"> 201</w:t>
      </w:r>
      <w:r w:rsidR="00590B62">
        <w:t>9</w:t>
      </w:r>
      <w:r w:rsidR="0019715D">
        <w:t xml:space="preserve">, </w:t>
      </w:r>
      <w:r w:rsidR="00AE72DC">
        <w:t xml:space="preserve">the Amendment Rules provide </w:t>
      </w:r>
      <w:r w:rsidR="0019715D">
        <w:t>consequential changes to the allocation of those MBS items</w:t>
      </w:r>
      <w:r w:rsidR="00BF1805">
        <w:t xml:space="preserve"> for the clinical category arrangements.  </w:t>
      </w:r>
    </w:p>
    <w:p w14:paraId="0CCA45ED" w14:textId="77777777" w:rsidR="0019715D" w:rsidRDefault="0019715D" w:rsidP="0027251C"/>
    <w:p w14:paraId="084EDF25" w14:textId="33FFB907" w:rsidR="00A75F35" w:rsidRDefault="00A75F35" w:rsidP="00A75F35">
      <w:r w:rsidRPr="001C09DA">
        <w:t>The</w:t>
      </w:r>
      <w:r w:rsidR="0019715D">
        <w:t xml:space="preserve"> </w:t>
      </w:r>
      <w:r w:rsidR="00064431" w:rsidRPr="00BC5008">
        <w:t>introduction of</w:t>
      </w:r>
      <w:r w:rsidR="00064431">
        <w:t xml:space="preserve"> </w:t>
      </w:r>
      <w:r w:rsidR="0019715D">
        <w:t>product tiers, with related clinical categories</w:t>
      </w:r>
      <w:r w:rsidR="00AE72DC">
        <w:t xml:space="preserve"> and MBS item allocation</w:t>
      </w:r>
      <w:r w:rsidR="0019715D">
        <w:t>,</w:t>
      </w:r>
      <w:r>
        <w:t xml:space="preserve"> </w:t>
      </w:r>
      <w:r w:rsidRPr="001C09DA">
        <w:t xml:space="preserve">will provide consumers with greater certainty about the treatments covered by </w:t>
      </w:r>
      <w:r w:rsidR="0019715D">
        <w:t xml:space="preserve">health insurance </w:t>
      </w:r>
      <w:r w:rsidRPr="001C09DA">
        <w:t>product</w:t>
      </w:r>
      <w:r w:rsidR="00AE72DC">
        <w:t>s</w:t>
      </w:r>
      <w:r w:rsidRPr="001C09DA">
        <w:t xml:space="preserve">. </w:t>
      </w:r>
      <w:r w:rsidR="00AE72DC">
        <w:t xml:space="preserve">Consumers will be able to more easily </w:t>
      </w:r>
      <w:r w:rsidRPr="001C09DA">
        <w:t xml:space="preserve">understand </w:t>
      </w:r>
      <w:r w:rsidR="00AE72DC">
        <w:t xml:space="preserve">and compare </w:t>
      </w:r>
      <w:r w:rsidRPr="001C09DA">
        <w:t>competing policies.</w:t>
      </w:r>
      <w:r>
        <w:t xml:space="preserve"> </w:t>
      </w:r>
    </w:p>
    <w:p w14:paraId="1E284C03" w14:textId="77777777" w:rsidR="00A75F35" w:rsidRDefault="00A75F35" w:rsidP="00A520AB">
      <w:pPr>
        <w:contextualSpacing/>
      </w:pPr>
    </w:p>
    <w:p w14:paraId="7FCA9FF1" w14:textId="15F520C7" w:rsidR="007206A8" w:rsidRPr="00A520AB" w:rsidRDefault="007206A8" w:rsidP="00A520AB">
      <w:pPr>
        <w:contextualSpacing/>
        <w:rPr>
          <w:u w:val="single"/>
        </w:rPr>
      </w:pPr>
      <w:r>
        <w:rPr>
          <w:u w:val="single"/>
        </w:rPr>
        <w:t>Commencement</w:t>
      </w:r>
    </w:p>
    <w:p w14:paraId="6C5D25E0" w14:textId="0D9B6F4B" w:rsidR="00A75F35" w:rsidRDefault="007206A8" w:rsidP="00D951F7">
      <w:r>
        <w:t xml:space="preserve">The Amendment Rules </w:t>
      </w:r>
      <w:r w:rsidR="00064C83">
        <w:t>commence on the day after this in</w:t>
      </w:r>
      <w:r w:rsidR="00643F42">
        <w:t>strument is registered and on later dates, as set out in the following table</w:t>
      </w:r>
      <w:r w:rsidR="00B71583">
        <w:t>.</w:t>
      </w:r>
    </w:p>
    <w:p w14:paraId="34B234BB" w14:textId="77777777" w:rsidR="00064C83" w:rsidRDefault="00064C83" w:rsidP="00D951F7"/>
    <w:tbl>
      <w:tblPr>
        <w:tblW w:w="867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268"/>
        <w:gridCol w:w="4025"/>
        <w:gridCol w:w="2381"/>
      </w:tblGrid>
      <w:tr w:rsidR="00064C83" w:rsidRPr="00441D05" w14:paraId="1AB52236" w14:textId="77777777" w:rsidTr="0021167C">
        <w:trPr>
          <w:tblHeader/>
        </w:trPr>
        <w:tc>
          <w:tcPr>
            <w:tcW w:w="2268" w:type="dxa"/>
            <w:tcBorders>
              <w:top w:val="single" w:sz="2" w:space="0" w:color="auto"/>
              <w:bottom w:val="single" w:sz="12" w:space="0" w:color="auto"/>
            </w:tcBorders>
            <w:shd w:val="clear" w:color="auto" w:fill="auto"/>
            <w:hideMark/>
          </w:tcPr>
          <w:p w14:paraId="423990B5" w14:textId="77777777" w:rsidR="00064C83" w:rsidRPr="00441D05" w:rsidRDefault="00064C83" w:rsidP="0021167C">
            <w:pPr>
              <w:pStyle w:val="TableHeading"/>
              <w:rPr>
                <w:sz w:val="24"/>
                <w:szCs w:val="24"/>
              </w:rPr>
            </w:pPr>
            <w:r w:rsidRPr="00441D05">
              <w:rPr>
                <w:sz w:val="24"/>
                <w:szCs w:val="24"/>
              </w:rPr>
              <w:t>Provisions</w:t>
            </w:r>
          </w:p>
        </w:tc>
        <w:tc>
          <w:tcPr>
            <w:tcW w:w="4025" w:type="dxa"/>
            <w:tcBorders>
              <w:top w:val="single" w:sz="2" w:space="0" w:color="auto"/>
              <w:bottom w:val="single" w:sz="12" w:space="0" w:color="auto"/>
            </w:tcBorders>
          </w:tcPr>
          <w:p w14:paraId="35713B35" w14:textId="77777777" w:rsidR="00064C83" w:rsidRPr="00441D05" w:rsidRDefault="00064C83" w:rsidP="0021167C">
            <w:pPr>
              <w:pStyle w:val="TableHeading"/>
              <w:rPr>
                <w:sz w:val="24"/>
                <w:szCs w:val="24"/>
              </w:rPr>
            </w:pPr>
            <w:r>
              <w:rPr>
                <w:sz w:val="24"/>
                <w:szCs w:val="24"/>
              </w:rPr>
              <w:t>Amendment Topic</w:t>
            </w:r>
          </w:p>
        </w:tc>
        <w:tc>
          <w:tcPr>
            <w:tcW w:w="2381" w:type="dxa"/>
            <w:tcBorders>
              <w:top w:val="single" w:sz="2" w:space="0" w:color="auto"/>
              <w:bottom w:val="single" w:sz="12" w:space="0" w:color="auto"/>
            </w:tcBorders>
            <w:shd w:val="clear" w:color="auto" w:fill="auto"/>
            <w:hideMark/>
          </w:tcPr>
          <w:p w14:paraId="53F936B8" w14:textId="77777777" w:rsidR="00064C83" w:rsidRPr="00441D05" w:rsidRDefault="00064C83" w:rsidP="0021167C">
            <w:pPr>
              <w:pStyle w:val="TableHeading"/>
              <w:rPr>
                <w:sz w:val="24"/>
                <w:szCs w:val="24"/>
              </w:rPr>
            </w:pPr>
            <w:r w:rsidRPr="00441D05">
              <w:rPr>
                <w:sz w:val="24"/>
                <w:szCs w:val="24"/>
              </w:rPr>
              <w:t>Commencement</w:t>
            </w:r>
          </w:p>
        </w:tc>
      </w:tr>
      <w:tr w:rsidR="00064C83" w:rsidRPr="00441D05" w14:paraId="7C169A6E" w14:textId="77777777" w:rsidTr="0021167C">
        <w:tc>
          <w:tcPr>
            <w:tcW w:w="2268" w:type="dxa"/>
            <w:tcBorders>
              <w:top w:val="single" w:sz="12" w:space="0" w:color="auto"/>
              <w:bottom w:val="single" w:sz="2" w:space="0" w:color="auto"/>
            </w:tcBorders>
            <w:shd w:val="clear" w:color="auto" w:fill="auto"/>
            <w:hideMark/>
          </w:tcPr>
          <w:p w14:paraId="31EE44A4" w14:textId="77777777" w:rsidR="00064C83" w:rsidRPr="00441D05" w:rsidRDefault="00064C83" w:rsidP="0021167C">
            <w:pPr>
              <w:pStyle w:val="Tabletext"/>
              <w:rPr>
                <w:sz w:val="24"/>
                <w:szCs w:val="24"/>
              </w:rPr>
            </w:pPr>
            <w:r w:rsidRPr="00441D05">
              <w:rPr>
                <w:sz w:val="24"/>
                <w:szCs w:val="24"/>
              </w:rPr>
              <w:t>Sections 1 to 4</w:t>
            </w:r>
          </w:p>
        </w:tc>
        <w:tc>
          <w:tcPr>
            <w:tcW w:w="4025" w:type="dxa"/>
            <w:tcBorders>
              <w:top w:val="single" w:sz="12" w:space="0" w:color="auto"/>
              <w:bottom w:val="single" w:sz="2" w:space="0" w:color="auto"/>
            </w:tcBorders>
          </w:tcPr>
          <w:p w14:paraId="1CCC04F2" w14:textId="77777777" w:rsidR="00064C83" w:rsidRPr="00441D05" w:rsidRDefault="00064C83" w:rsidP="0021167C">
            <w:pPr>
              <w:pStyle w:val="Tabletext"/>
              <w:rPr>
                <w:sz w:val="24"/>
                <w:szCs w:val="24"/>
              </w:rPr>
            </w:pPr>
            <w:r>
              <w:rPr>
                <w:sz w:val="24"/>
                <w:szCs w:val="24"/>
              </w:rPr>
              <w:t>Technical</w:t>
            </w:r>
          </w:p>
        </w:tc>
        <w:tc>
          <w:tcPr>
            <w:tcW w:w="2381" w:type="dxa"/>
            <w:tcBorders>
              <w:top w:val="single" w:sz="12" w:space="0" w:color="auto"/>
              <w:bottom w:val="single" w:sz="2" w:space="0" w:color="auto"/>
            </w:tcBorders>
            <w:shd w:val="clear" w:color="auto" w:fill="auto"/>
            <w:hideMark/>
          </w:tcPr>
          <w:p w14:paraId="59E688AF" w14:textId="77777777" w:rsidR="00064C83" w:rsidRPr="00441D05" w:rsidRDefault="00064C83" w:rsidP="0021167C">
            <w:pPr>
              <w:pStyle w:val="Tabletext"/>
              <w:rPr>
                <w:sz w:val="24"/>
                <w:szCs w:val="24"/>
              </w:rPr>
            </w:pPr>
            <w:r w:rsidRPr="00441D05">
              <w:rPr>
                <w:sz w:val="24"/>
                <w:szCs w:val="24"/>
              </w:rPr>
              <w:t>The day after this instrument is registered.</w:t>
            </w:r>
          </w:p>
        </w:tc>
      </w:tr>
      <w:tr w:rsidR="00064C83" w:rsidRPr="00441D05" w14:paraId="44B30100" w14:textId="77777777" w:rsidTr="0021167C">
        <w:tc>
          <w:tcPr>
            <w:tcW w:w="2268" w:type="dxa"/>
            <w:tcBorders>
              <w:top w:val="single" w:sz="2" w:space="0" w:color="auto"/>
              <w:bottom w:val="single" w:sz="2" w:space="0" w:color="auto"/>
            </w:tcBorders>
            <w:shd w:val="clear" w:color="auto" w:fill="auto"/>
          </w:tcPr>
          <w:p w14:paraId="0A2F6DA4" w14:textId="77777777" w:rsidR="00064C83" w:rsidRPr="00441D05" w:rsidRDefault="00064C83" w:rsidP="0021167C">
            <w:pPr>
              <w:pStyle w:val="Tabletext"/>
              <w:rPr>
                <w:sz w:val="24"/>
                <w:szCs w:val="24"/>
              </w:rPr>
            </w:pPr>
            <w:r w:rsidRPr="00441D05">
              <w:rPr>
                <w:sz w:val="24"/>
                <w:szCs w:val="24"/>
              </w:rPr>
              <w:t>Schedule 1</w:t>
            </w:r>
          </w:p>
        </w:tc>
        <w:tc>
          <w:tcPr>
            <w:tcW w:w="4025" w:type="dxa"/>
            <w:tcBorders>
              <w:top w:val="single" w:sz="2" w:space="0" w:color="auto"/>
              <w:bottom w:val="single" w:sz="2" w:space="0" w:color="auto"/>
            </w:tcBorders>
          </w:tcPr>
          <w:p w14:paraId="2EF20E33" w14:textId="7D0DB45C" w:rsidR="004B2CA6" w:rsidRDefault="00167185" w:rsidP="00BF1805">
            <w:pPr>
              <w:pStyle w:val="Tabletext"/>
              <w:rPr>
                <w:sz w:val="24"/>
                <w:szCs w:val="24"/>
              </w:rPr>
            </w:pPr>
            <w:r>
              <w:rPr>
                <w:sz w:val="24"/>
                <w:szCs w:val="24"/>
              </w:rPr>
              <w:t>Lifetime Health Cover information</w:t>
            </w:r>
            <w:r w:rsidR="004B2CA6">
              <w:rPr>
                <w:sz w:val="24"/>
                <w:szCs w:val="24"/>
              </w:rPr>
              <w:t>.</w:t>
            </w:r>
          </w:p>
          <w:p w14:paraId="588DF3D5" w14:textId="171787DB" w:rsidR="00064C83" w:rsidRPr="00441D05" w:rsidRDefault="00BF1805" w:rsidP="00BF1805">
            <w:pPr>
              <w:pStyle w:val="Tabletext"/>
              <w:rPr>
                <w:sz w:val="24"/>
                <w:szCs w:val="24"/>
              </w:rPr>
            </w:pPr>
            <w:r>
              <w:rPr>
                <w:sz w:val="24"/>
                <w:szCs w:val="24"/>
              </w:rPr>
              <w:t xml:space="preserve">Allocation of MBS items </w:t>
            </w:r>
            <w:r w:rsidR="00643F42">
              <w:rPr>
                <w:sz w:val="24"/>
                <w:szCs w:val="24"/>
              </w:rPr>
              <w:t>(Products tiers and clinical categories)</w:t>
            </w:r>
            <w:r w:rsidR="004B2CA6">
              <w:rPr>
                <w:sz w:val="24"/>
                <w:szCs w:val="24"/>
              </w:rPr>
              <w:t>.</w:t>
            </w:r>
          </w:p>
        </w:tc>
        <w:tc>
          <w:tcPr>
            <w:tcW w:w="2381" w:type="dxa"/>
            <w:tcBorders>
              <w:top w:val="single" w:sz="2" w:space="0" w:color="auto"/>
              <w:bottom w:val="single" w:sz="2" w:space="0" w:color="auto"/>
            </w:tcBorders>
            <w:shd w:val="clear" w:color="auto" w:fill="auto"/>
          </w:tcPr>
          <w:p w14:paraId="58D0289D" w14:textId="3CB8B569" w:rsidR="00064C83" w:rsidRPr="00441D05" w:rsidRDefault="00064C83" w:rsidP="0021167C">
            <w:pPr>
              <w:pStyle w:val="Tabletext"/>
              <w:rPr>
                <w:sz w:val="24"/>
                <w:szCs w:val="24"/>
              </w:rPr>
            </w:pPr>
            <w:r w:rsidRPr="00441D05">
              <w:rPr>
                <w:sz w:val="24"/>
                <w:szCs w:val="24"/>
              </w:rPr>
              <w:t xml:space="preserve">1 </w:t>
            </w:r>
            <w:r w:rsidR="00643F42">
              <w:rPr>
                <w:sz w:val="24"/>
                <w:szCs w:val="24"/>
              </w:rPr>
              <w:t>January</w:t>
            </w:r>
            <w:r w:rsidR="00064431">
              <w:rPr>
                <w:sz w:val="24"/>
                <w:szCs w:val="24"/>
              </w:rPr>
              <w:t xml:space="preserve"> </w:t>
            </w:r>
            <w:r w:rsidRPr="00441D05">
              <w:rPr>
                <w:sz w:val="24"/>
                <w:szCs w:val="24"/>
              </w:rPr>
              <w:t>2019</w:t>
            </w:r>
          </w:p>
        </w:tc>
      </w:tr>
      <w:tr w:rsidR="00064C83" w:rsidRPr="00441D05" w14:paraId="14657264" w14:textId="77777777" w:rsidTr="0021167C">
        <w:tc>
          <w:tcPr>
            <w:tcW w:w="2268" w:type="dxa"/>
            <w:tcBorders>
              <w:top w:val="single" w:sz="2" w:space="0" w:color="auto"/>
              <w:bottom w:val="single" w:sz="2" w:space="0" w:color="auto"/>
            </w:tcBorders>
            <w:shd w:val="clear" w:color="auto" w:fill="auto"/>
          </w:tcPr>
          <w:p w14:paraId="223A4168" w14:textId="3E80BF8C" w:rsidR="00064C83" w:rsidRPr="00441D05" w:rsidRDefault="00064C83" w:rsidP="0021167C">
            <w:pPr>
              <w:pStyle w:val="Tabletext"/>
              <w:rPr>
                <w:sz w:val="24"/>
                <w:szCs w:val="24"/>
              </w:rPr>
            </w:pPr>
            <w:r w:rsidRPr="00441D05">
              <w:rPr>
                <w:sz w:val="24"/>
                <w:szCs w:val="24"/>
              </w:rPr>
              <w:t>Schedule 2</w:t>
            </w:r>
          </w:p>
        </w:tc>
        <w:tc>
          <w:tcPr>
            <w:tcW w:w="4025" w:type="dxa"/>
            <w:tcBorders>
              <w:top w:val="single" w:sz="2" w:space="0" w:color="auto"/>
              <w:bottom w:val="single" w:sz="2" w:space="0" w:color="auto"/>
            </w:tcBorders>
          </w:tcPr>
          <w:p w14:paraId="2FEBF58B" w14:textId="6C414316" w:rsidR="00064C83" w:rsidRPr="00441D05" w:rsidRDefault="00643F42" w:rsidP="0021167C">
            <w:pPr>
              <w:pStyle w:val="Tabletext"/>
              <w:rPr>
                <w:sz w:val="24"/>
                <w:szCs w:val="24"/>
              </w:rPr>
            </w:pPr>
            <w:r>
              <w:rPr>
                <w:sz w:val="24"/>
                <w:szCs w:val="24"/>
              </w:rPr>
              <w:t>Second tier administrative reforms</w:t>
            </w:r>
          </w:p>
        </w:tc>
        <w:tc>
          <w:tcPr>
            <w:tcW w:w="2381" w:type="dxa"/>
            <w:tcBorders>
              <w:top w:val="single" w:sz="2" w:space="0" w:color="auto"/>
              <w:bottom w:val="single" w:sz="2" w:space="0" w:color="auto"/>
            </w:tcBorders>
            <w:shd w:val="clear" w:color="auto" w:fill="auto"/>
          </w:tcPr>
          <w:p w14:paraId="0A37A945" w14:textId="08878144" w:rsidR="00064C83" w:rsidRPr="00441D05" w:rsidRDefault="00643F42" w:rsidP="0021167C">
            <w:pPr>
              <w:pStyle w:val="Tabletext"/>
              <w:rPr>
                <w:sz w:val="24"/>
                <w:szCs w:val="24"/>
              </w:rPr>
            </w:pPr>
            <w:r>
              <w:rPr>
                <w:sz w:val="24"/>
                <w:szCs w:val="24"/>
              </w:rPr>
              <w:t>3</w:t>
            </w:r>
            <w:r w:rsidR="00064C83" w:rsidRPr="00441D05">
              <w:rPr>
                <w:sz w:val="24"/>
                <w:szCs w:val="24"/>
              </w:rPr>
              <w:t xml:space="preserve">1 </w:t>
            </w:r>
            <w:r>
              <w:rPr>
                <w:sz w:val="24"/>
                <w:szCs w:val="24"/>
              </w:rPr>
              <w:t>December</w:t>
            </w:r>
            <w:r w:rsidR="00064C83" w:rsidRPr="00441D05">
              <w:rPr>
                <w:sz w:val="24"/>
                <w:szCs w:val="24"/>
              </w:rPr>
              <w:t xml:space="preserve"> 201</w:t>
            </w:r>
            <w:r w:rsidR="00787FF2">
              <w:rPr>
                <w:sz w:val="24"/>
                <w:szCs w:val="24"/>
              </w:rPr>
              <w:t>8</w:t>
            </w:r>
          </w:p>
        </w:tc>
      </w:tr>
    </w:tbl>
    <w:p w14:paraId="29A1BAD8" w14:textId="77777777" w:rsidR="00A75F35" w:rsidRDefault="00A75F35" w:rsidP="00D951F7"/>
    <w:p w14:paraId="768CBE4E" w14:textId="77777777" w:rsidR="00587B1D" w:rsidRDefault="00587B1D" w:rsidP="00587B1D">
      <w:pPr>
        <w:rPr>
          <w:u w:val="single"/>
        </w:rPr>
      </w:pPr>
      <w:r w:rsidRPr="001A053F">
        <w:rPr>
          <w:u w:val="single"/>
        </w:rPr>
        <w:t>Details</w:t>
      </w:r>
    </w:p>
    <w:p w14:paraId="106DA921" w14:textId="1227DD0B" w:rsidR="002A59B5" w:rsidRDefault="002A59B5" w:rsidP="00973CC5">
      <w:pPr>
        <w:jc w:val="both"/>
        <w:rPr>
          <w:szCs w:val="24"/>
        </w:rPr>
      </w:pPr>
      <w:r w:rsidRPr="006809B4">
        <w:rPr>
          <w:szCs w:val="24"/>
        </w:rPr>
        <w:t>Details of the Amend</w:t>
      </w:r>
      <w:r w:rsidR="005F6CF5" w:rsidRPr="006809B4">
        <w:rPr>
          <w:szCs w:val="24"/>
        </w:rPr>
        <w:t>ment</w:t>
      </w:r>
      <w:r w:rsidRPr="006809B4">
        <w:rPr>
          <w:szCs w:val="24"/>
        </w:rPr>
        <w:t xml:space="preserve"> Rules are set out in </w:t>
      </w:r>
      <w:r w:rsidRPr="000F0625">
        <w:rPr>
          <w:b/>
          <w:szCs w:val="24"/>
        </w:rPr>
        <w:t>Attachment</w:t>
      </w:r>
      <w:r w:rsidR="00A520AB">
        <w:rPr>
          <w:b/>
          <w:szCs w:val="24"/>
        </w:rPr>
        <w:t xml:space="preserve"> A</w:t>
      </w:r>
      <w:r w:rsidRPr="006809B4">
        <w:rPr>
          <w:szCs w:val="24"/>
        </w:rPr>
        <w:t>.</w:t>
      </w:r>
    </w:p>
    <w:p w14:paraId="2D7DDD24" w14:textId="77777777" w:rsidR="007E7A60" w:rsidRDefault="007E7A60" w:rsidP="00973CC5">
      <w:pPr>
        <w:jc w:val="both"/>
        <w:rPr>
          <w:szCs w:val="24"/>
        </w:rPr>
      </w:pPr>
    </w:p>
    <w:p w14:paraId="0376B6CD" w14:textId="77777777" w:rsidR="002E0949" w:rsidRPr="00587B1D" w:rsidRDefault="00526D8A" w:rsidP="00973CC5">
      <w:pPr>
        <w:jc w:val="both"/>
        <w:rPr>
          <w:szCs w:val="24"/>
          <w:u w:val="single"/>
        </w:rPr>
      </w:pPr>
      <w:r w:rsidRPr="00587B1D">
        <w:rPr>
          <w:szCs w:val="24"/>
          <w:u w:val="single"/>
        </w:rPr>
        <w:lastRenderedPageBreak/>
        <w:t>Consultation</w:t>
      </w:r>
    </w:p>
    <w:p w14:paraId="6D3062EB" w14:textId="5176BAE2" w:rsidR="00475C44" w:rsidRPr="00F8094C" w:rsidRDefault="00BF1805" w:rsidP="00475C44">
      <w:pPr>
        <w:autoSpaceDE w:val="0"/>
        <w:autoSpaceDN w:val="0"/>
        <w:adjustRightInd w:val="0"/>
        <w:rPr>
          <w:szCs w:val="24"/>
        </w:rPr>
      </w:pPr>
      <w:r>
        <w:rPr>
          <w:szCs w:val="24"/>
        </w:rPr>
        <w:t xml:space="preserve">The addition of relevant </w:t>
      </w:r>
      <w:r w:rsidR="000876A2" w:rsidRPr="00F8094C">
        <w:rPr>
          <w:szCs w:val="24"/>
        </w:rPr>
        <w:t>item</w:t>
      </w:r>
      <w:r>
        <w:rPr>
          <w:szCs w:val="24"/>
        </w:rPr>
        <w:t>s for the MBS</w:t>
      </w:r>
      <w:r w:rsidR="000876A2" w:rsidRPr="00F8094C">
        <w:rPr>
          <w:szCs w:val="24"/>
        </w:rPr>
        <w:t xml:space="preserve"> </w:t>
      </w:r>
      <w:r w:rsidR="00475C44" w:rsidRPr="00F8094C">
        <w:rPr>
          <w:szCs w:val="24"/>
        </w:rPr>
        <w:t>implement</w:t>
      </w:r>
      <w:r>
        <w:rPr>
          <w:szCs w:val="24"/>
        </w:rPr>
        <w:t>s</w:t>
      </w:r>
      <w:r w:rsidR="00475C44" w:rsidRPr="00F8094C">
        <w:rPr>
          <w:szCs w:val="24"/>
        </w:rPr>
        <w:t xml:space="preserve"> decisions agreed by Government following recommendations of the Medical Services Advisory Committee (MSAC). </w:t>
      </w:r>
    </w:p>
    <w:p w14:paraId="744FD219" w14:textId="77777777" w:rsidR="00475C44" w:rsidRPr="00F8094C" w:rsidRDefault="00475C44" w:rsidP="00475C44">
      <w:pPr>
        <w:autoSpaceDE w:val="0"/>
        <w:autoSpaceDN w:val="0"/>
        <w:adjustRightInd w:val="0"/>
        <w:rPr>
          <w:szCs w:val="24"/>
        </w:rPr>
      </w:pPr>
    </w:p>
    <w:p w14:paraId="353BFC3F" w14:textId="77777777" w:rsidR="00475C44" w:rsidRPr="00F8094C" w:rsidRDefault="00475C44" w:rsidP="00475C44">
      <w:pPr>
        <w:autoSpaceDE w:val="0"/>
        <w:autoSpaceDN w:val="0"/>
        <w:adjustRightInd w:val="0"/>
        <w:rPr>
          <w:szCs w:val="24"/>
        </w:rPr>
      </w:pPr>
      <w:r w:rsidRPr="00F8094C">
        <w:rPr>
          <w:szCs w:val="24"/>
        </w:rPr>
        <w:t>As part of the MSAC process, consultation was undertaken on the MBS item changes with professional bodies, consumer groups, the public and clinical experts for all applications considered by MSAC.</w:t>
      </w:r>
    </w:p>
    <w:p w14:paraId="5948DDC5" w14:textId="77777777" w:rsidR="00475C44" w:rsidRPr="00F8094C" w:rsidRDefault="00475C44" w:rsidP="00475C44">
      <w:pPr>
        <w:autoSpaceDE w:val="0"/>
        <w:autoSpaceDN w:val="0"/>
        <w:adjustRightInd w:val="0"/>
        <w:rPr>
          <w:color w:val="000000"/>
          <w:szCs w:val="24"/>
        </w:rPr>
      </w:pPr>
    </w:p>
    <w:p w14:paraId="12214451" w14:textId="37E9EC4A" w:rsidR="00CE6C0C" w:rsidRDefault="00064431" w:rsidP="00AD64A3">
      <w:pPr>
        <w:rPr>
          <w:szCs w:val="24"/>
          <w:lang w:eastAsia="en-US"/>
        </w:rPr>
      </w:pPr>
      <w:r w:rsidRPr="00BC5008">
        <w:t>P</w:t>
      </w:r>
      <w:r w:rsidR="009A5F19" w:rsidRPr="00BC5008">
        <w:t xml:space="preserve">eak </w:t>
      </w:r>
      <w:r w:rsidRPr="00BC5008">
        <w:t xml:space="preserve">private health insurance </w:t>
      </w:r>
      <w:r w:rsidR="009A5F19" w:rsidRPr="00BC5008">
        <w:t xml:space="preserve">organisations </w:t>
      </w:r>
      <w:r w:rsidRPr="00BC5008">
        <w:t xml:space="preserve">were consulted </w:t>
      </w:r>
      <w:r w:rsidR="009A5F19" w:rsidRPr="00BC5008">
        <w:t>about the</w:t>
      </w:r>
      <w:r w:rsidR="00586A3D" w:rsidRPr="00BC5008">
        <w:t xml:space="preserve"> consequential</w:t>
      </w:r>
      <w:r w:rsidR="009A5F19" w:rsidRPr="00BC5008">
        <w:t xml:space="preserve"> amendments</w:t>
      </w:r>
      <w:r w:rsidR="00BC5008" w:rsidRPr="00BC5008">
        <w:t xml:space="preserve"> to allocate additional MBS items to the support treatments list of the Amendment Rules</w:t>
      </w:r>
      <w:r w:rsidR="009A5F19" w:rsidRPr="00BC5008">
        <w:t>.</w:t>
      </w:r>
      <w:r w:rsidR="009A5F19">
        <w:t xml:space="preserve"> </w:t>
      </w:r>
      <w:r w:rsidR="000876A2">
        <w:t>T</w:t>
      </w:r>
      <w:r w:rsidR="009A5F19">
        <w:t>he amendments are machinery in nature</w:t>
      </w:r>
      <w:r w:rsidR="00586A3D">
        <w:t>.  T</w:t>
      </w:r>
      <w:r w:rsidR="000876A2">
        <w:t>hey apply the approach to allocation of the</w:t>
      </w:r>
      <w:r w:rsidR="00586A3D">
        <w:t xml:space="preserve"> relevant</w:t>
      </w:r>
      <w:r w:rsidR="000876A2">
        <w:t xml:space="preserve"> MBS items that </w:t>
      </w:r>
      <w:r w:rsidR="00586A3D">
        <w:t xml:space="preserve">was </w:t>
      </w:r>
      <w:r w:rsidR="000876A2">
        <w:t xml:space="preserve">the subject </w:t>
      </w:r>
      <w:r w:rsidR="00586A3D">
        <w:t xml:space="preserve">of </w:t>
      </w:r>
      <w:r w:rsidR="000876A2">
        <w:t>previous consultation</w:t>
      </w:r>
      <w:r w:rsidR="00586A3D">
        <w:t xml:space="preserve"> for the Principal Rules</w:t>
      </w:r>
      <w:r w:rsidR="000601E3">
        <w:t xml:space="preserve">. </w:t>
      </w:r>
    </w:p>
    <w:p w14:paraId="24B08817" w14:textId="77777777" w:rsidR="007206A8" w:rsidRDefault="007206A8" w:rsidP="00AD64A3">
      <w:pPr>
        <w:rPr>
          <w:szCs w:val="24"/>
          <w:lang w:eastAsia="en-US"/>
        </w:rPr>
      </w:pPr>
    </w:p>
    <w:p w14:paraId="3F7BB853" w14:textId="77777777" w:rsidR="007206A8" w:rsidRDefault="007206A8" w:rsidP="00AD64A3">
      <w:pPr>
        <w:rPr>
          <w:szCs w:val="24"/>
          <w:lang w:eastAsia="en-US"/>
        </w:rPr>
      </w:pPr>
      <w:r>
        <w:rPr>
          <w:szCs w:val="24"/>
          <w:u w:val="single"/>
          <w:lang w:eastAsia="en-US"/>
        </w:rPr>
        <w:t>Statement of Compatibility with human rights</w:t>
      </w:r>
    </w:p>
    <w:p w14:paraId="7E35C6EE" w14:textId="77777777" w:rsidR="00251A9C" w:rsidRDefault="00D461FF" w:rsidP="00AD64A3">
      <w:pPr>
        <w:rPr>
          <w:b/>
          <w:szCs w:val="24"/>
          <w:lang w:eastAsia="en-US"/>
        </w:rPr>
      </w:pPr>
      <w:r>
        <w:rPr>
          <w:szCs w:val="24"/>
          <w:lang w:eastAsia="en-US"/>
        </w:rPr>
        <w:t xml:space="preserve">Subsection 9(1) of the </w:t>
      </w:r>
      <w:r>
        <w:rPr>
          <w:i/>
          <w:szCs w:val="24"/>
          <w:lang w:eastAsia="en-US"/>
        </w:rPr>
        <w:t xml:space="preserve">Human Rights (Parliamentary Scrutiny) Act 2011 </w:t>
      </w:r>
      <w:r>
        <w:rPr>
          <w:szCs w:val="24"/>
          <w:lang w:eastAsia="en-US"/>
        </w:rPr>
        <w:t xml:space="preserve">requires the rule-maker in </w:t>
      </w:r>
      <w:r w:rsidR="00BA3FF3">
        <w:rPr>
          <w:szCs w:val="24"/>
          <w:lang w:eastAsia="en-US"/>
        </w:rPr>
        <w:t xml:space="preserve">relation to a legislative instrument to which section 42 (disallowance) of the </w:t>
      </w:r>
      <w:r w:rsidR="00BA3FF3">
        <w:rPr>
          <w:i/>
          <w:szCs w:val="24"/>
          <w:lang w:eastAsia="en-US"/>
        </w:rPr>
        <w:t>Legislation Act 2003</w:t>
      </w:r>
      <w:r w:rsidR="00BA3FF3">
        <w:rPr>
          <w:szCs w:val="24"/>
          <w:lang w:eastAsia="en-US"/>
        </w:rPr>
        <w:t xml:space="preserve"> applies to cause a statement of compatibility to be prepared in respect of that legislative instrument. The Statement of Compatibility has been prepared to meet that requirement and is included at </w:t>
      </w:r>
      <w:r w:rsidR="00BA3FF3">
        <w:rPr>
          <w:b/>
          <w:szCs w:val="24"/>
          <w:lang w:eastAsia="en-US"/>
        </w:rPr>
        <w:t>Attachment B.</w:t>
      </w:r>
    </w:p>
    <w:p w14:paraId="2909A013" w14:textId="137EB015" w:rsidR="00024783" w:rsidRPr="00CE6C0C" w:rsidRDefault="00B24C3C" w:rsidP="00AD64A3">
      <w:pPr>
        <w:rPr>
          <w:color w:val="1F497D"/>
        </w:rPr>
      </w:pPr>
      <w:r>
        <w:rPr>
          <w:szCs w:val="24"/>
          <w:lang w:eastAsia="en-US"/>
        </w:rPr>
        <w:br w:type="page"/>
      </w:r>
    </w:p>
    <w:p w14:paraId="714ED37D" w14:textId="28E0D9B8" w:rsidR="00260997" w:rsidRDefault="00260997" w:rsidP="00260997">
      <w:pPr>
        <w:ind w:left="1701" w:firstLine="567"/>
        <w:jc w:val="right"/>
        <w:rPr>
          <w:b/>
        </w:rPr>
      </w:pPr>
      <w:r>
        <w:rPr>
          <w:b/>
        </w:rPr>
        <w:lastRenderedPageBreak/>
        <w:t>ATTACHMENT</w:t>
      </w:r>
      <w:r w:rsidR="007206A8">
        <w:rPr>
          <w:b/>
        </w:rPr>
        <w:t xml:space="preserve"> A</w:t>
      </w:r>
    </w:p>
    <w:p w14:paraId="78145366" w14:textId="77777777" w:rsidR="00260997" w:rsidRDefault="00260997" w:rsidP="00260997">
      <w:pPr>
        <w:jc w:val="center"/>
        <w:rPr>
          <w:b/>
        </w:rPr>
      </w:pPr>
    </w:p>
    <w:p w14:paraId="3ED06CF6" w14:textId="51E7D2EA" w:rsidR="00260997" w:rsidRDefault="00260997" w:rsidP="00260997">
      <w:pPr>
        <w:jc w:val="center"/>
        <w:rPr>
          <w:b/>
          <w:i/>
        </w:rPr>
      </w:pPr>
      <w:r w:rsidRPr="00C81642">
        <w:rPr>
          <w:b/>
        </w:rPr>
        <w:t xml:space="preserve">DETAILS </w:t>
      </w:r>
      <w:r>
        <w:rPr>
          <w:b/>
        </w:rPr>
        <w:t xml:space="preserve">OF THE </w:t>
      </w:r>
      <w:r w:rsidRPr="00C81642">
        <w:rPr>
          <w:b/>
          <w:i/>
        </w:rPr>
        <w:t>PRIVATE HEALTH INSURANCE (</w:t>
      </w:r>
      <w:r w:rsidR="00161272">
        <w:rPr>
          <w:b/>
          <w:i/>
        </w:rPr>
        <w:t>REFORMS</w:t>
      </w:r>
      <w:r w:rsidRPr="00C81642">
        <w:rPr>
          <w:b/>
          <w:i/>
        </w:rPr>
        <w:t xml:space="preserve">) </w:t>
      </w:r>
      <w:r w:rsidR="001C1E87">
        <w:rPr>
          <w:b/>
          <w:i/>
        </w:rPr>
        <w:br/>
      </w:r>
      <w:r w:rsidR="001C1E87" w:rsidRPr="00C81642">
        <w:rPr>
          <w:b/>
          <w:i/>
        </w:rPr>
        <w:t>AMENDMENT</w:t>
      </w:r>
      <w:r w:rsidR="00A77AF8">
        <w:rPr>
          <w:b/>
          <w:i/>
        </w:rPr>
        <w:t xml:space="preserve"> </w:t>
      </w:r>
      <w:r w:rsidRPr="00C81642">
        <w:rPr>
          <w:b/>
          <w:i/>
        </w:rPr>
        <w:t>RULES</w:t>
      </w:r>
      <w:r w:rsidR="00161272">
        <w:rPr>
          <w:b/>
          <w:i/>
        </w:rPr>
        <w:t xml:space="preserve"> (No</w:t>
      </w:r>
      <w:r w:rsidR="00873992">
        <w:rPr>
          <w:b/>
          <w:i/>
        </w:rPr>
        <w:t xml:space="preserve">. </w:t>
      </w:r>
      <w:r w:rsidR="002855C5">
        <w:rPr>
          <w:b/>
          <w:i/>
        </w:rPr>
        <w:t>3</w:t>
      </w:r>
      <w:r w:rsidR="00161272">
        <w:rPr>
          <w:b/>
          <w:i/>
        </w:rPr>
        <w:t xml:space="preserve">) </w:t>
      </w:r>
      <w:r w:rsidRPr="00C81642">
        <w:rPr>
          <w:b/>
          <w:i/>
        </w:rPr>
        <w:t>20</w:t>
      </w:r>
      <w:r>
        <w:rPr>
          <w:b/>
          <w:i/>
        </w:rPr>
        <w:t>1</w:t>
      </w:r>
      <w:r w:rsidR="001C1E87">
        <w:rPr>
          <w:b/>
          <w:i/>
        </w:rPr>
        <w:t>8</w:t>
      </w:r>
    </w:p>
    <w:p w14:paraId="5CF0EB6A" w14:textId="77777777" w:rsidR="00260997" w:rsidRDefault="00260997" w:rsidP="00260997">
      <w:pPr>
        <w:rPr>
          <w:b/>
          <w:i/>
        </w:rPr>
      </w:pPr>
    </w:p>
    <w:p w14:paraId="21841761" w14:textId="77777777" w:rsidR="00260997" w:rsidRPr="00FD090C" w:rsidRDefault="00260997" w:rsidP="00260997">
      <w:pPr>
        <w:spacing w:before="120" w:after="120"/>
      </w:pPr>
      <w:r>
        <w:rPr>
          <w:b/>
        </w:rPr>
        <w:t>Section 1</w:t>
      </w:r>
      <w:r>
        <w:rPr>
          <w:b/>
        </w:rPr>
        <w:tab/>
        <w:t>Name of Rules</w:t>
      </w:r>
    </w:p>
    <w:p w14:paraId="63819DDB" w14:textId="459338D1" w:rsidR="00260997" w:rsidRDefault="00260997" w:rsidP="00260997">
      <w:pPr>
        <w:spacing w:before="120" w:after="120"/>
      </w:pPr>
      <w:r>
        <w:t>Section 1 provides that t</w:t>
      </w:r>
      <w:r w:rsidR="00BA3FF3">
        <w:t xml:space="preserve">his instrument </w:t>
      </w:r>
      <w:r>
        <w:t xml:space="preserve">is the </w:t>
      </w:r>
      <w:r w:rsidR="001C1E87" w:rsidRPr="001C1E87">
        <w:rPr>
          <w:i/>
        </w:rPr>
        <w:t>Private Health</w:t>
      </w:r>
      <w:r w:rsidR="00734E4D">
        <w:rPr>
          <w:i/>
        </w:rPr>
        <w:t xml:space="preserve"> Insurance (</w:t>
      </w:r>
      <w:r w:rsidR="00161272">
        <w:rPr>
          <w:i/>
        </w:rPr>
        <w:t>Reforms</w:t>
      </w:r>
      <w:r w:rsidR="00734E4D">
        <w:rPr>
          <w:i/>
        </w:rPr>
        <w:t xml:space="preserve">) </w:t>
      </w:r>
      <w:r w:rsidR="001C1E87" w:rsidRPr="001C1E87">
        <w:rPr>
          <w:i/>
        </w:rPr>
        <w:t>Amendment</w:t>
      </w:r>
      <w:r w:rsidR="00734E4D">
        <w:rPr>
          <w:i/>
        </w:rPr>
        <w:t>)</w:t>
      </w:r>
      <w:r w:rsidR="00B519DD">
        <w:rPr>
          <w:i/>
        </w:rPr>
        <w:t xml:space="preserve"> </w:t>
      </w:r>
      <w:r w:rsidR="001C1E87" w:rsidRPr="001C1E87">
        <w:rPr>
          <w:i/>
        </w:rPr>
        <w:t xml:space="preserve">Rules </w:t>
      </w:r>
      <w:r w:rsidR="00161272">
        <w:rPr>
          <w:i/>
        </w:rPr>
        <w:t xml:space="preserve">(No. </w:t>
      </w:r>
      <w:r w:rsidR="002855C5">
        <w:rPr>
          <w:i/>
        </w:rPr>
        <w:t>3</w:t>
      </w:r>
      <w:r w:rsidR="00161272">
        <w:rPr>
          <w:i/>
        </w:rPr>
        <w:t xml:space="preserve">) </w:t>
      </w:r>
      <w:r w:rsidR="001C1E87" w:rsidRPr="001C1E87">
        <w:rPr>
          <w:i/>
        </w:rPr>
        <w:t xml:space="preserve">2018 </w:t>
      </w:r>
      <w:r>
        <w:t>(the Amendment Rules).</w:t>
      </w:r>
    </w:p>
    <w:p w14:paraId="7E91CE8B" w14:textId="77777777" w:rsidR="00E91E8B" w:rsidRPr="00C81642" w:rsidRDefault="00E91E8B" w:rsidP="00260997">
      <w:pPr>
        <w:spacing w:before="120" w:after="120"/>
      </w:pPr>
    </w:p>
    <w:p w14:paraId="3AADB198" w14:textId="77777777" w:rsidR="00260997" w:rsidRPr="00FD090C" w:rsidRDefault="00260997" w:rsidP="00260997">
      <w:pPr>
        <w:spacing w:before="120" w:after="120"/>
      </w:pPr>
      <w:r>
        <w:rPr>
          <w:b/>
        </w:rPr>
        <w:t>Section 2</w:t>
      </w:r>
      <w:r>
        <w:rPr>
          <w:b/>
        </w:rPr>
        <w:tab/>
        <w:t>Commencement</w:t>
      </w:r>
    </w:p>
    <w:p w14:paraId="031788ED" w14:textId="52EC5E3F" w:rsidR="00BF1805" w:rsidRDefault="00E91E8B" w:rsidP="00787FF2">
      <w:pPr>
        <w:spacing w:before="120" w:after="120"/>
      </w:pPr>
      <w:r>
        <w:t xml:space="preserve">Section 2 sets out </w:t>
      </w:r>
      <w:r w:rsidR="00BA3FF3">
        <w:t xml:space="preserve">when the </w:t>
      </w:r>
      <w:r>
        <w:t>Amendment Rules</w:t>
      </w:r>
      <w:r w:rsidR="00BA3FF3">
        <w:t xml:space="preserve"> commence, which is</w:t>
      </w:r>
      <w:r w:rsidR="002D5B40">
        <w:t xml:space="preserve"> </w:t>
      </w:r>
      <w:r w:rsidR="00BF1805">
        <w:t>set out in the following table.</w:t>
      </w:r>
    </w:p>
    <w:p w14:paraId="38ECA006" w14:textId="77777777" w:rsidR="00BF1805" w:rsidRDefault="00BF1805" w:rsidP="00BF1805"/>
    <w:tbl>
      <w:tblPr>
        <w:tblW w:w="867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268"/>
        <w:gridCol w:w="4025"/>
        <w:gridCol w:w="2381"/>
      </w:tblGrid>
      <w:tr w:rsidR="00BF1805" w:rsidRPr="00441D05" w14:paraId="37CCC35C" w14:textId="77777777" w:rsidTr="00487076">
        <w:trPr>
          <w:tblHeader/>
        </w:trPr>
        <w:tc>
          <w:tcPr>
            <w:tcW w:w="2268" w:type="dxa"/>
            <w:tcBorders>
              <w:top w:val="single" w:sz="2" w:space="0" w:color="auto"/>
              <w:bottom w:val="single" w:sz="12" w:space="0" w:color="auto"/>
            </w:tcBorders>
            <w:shd w:val="clear" w:color="auto" w:fill="auto"/>
            <w:hideMark/>
          </w:tcPr>
          <w:p w14:paraId="68C3DB4C" w14:textId="77777777" w:rsidR="00BF1805" w:rsidRPr="00441D05" w:rsidRDefault="00BF1805" w:rsidP="00487076">
            <w:pPr>
              <w:pStyle w:val="TableHeading"/>
              <w:rPr>
                <w:sz w:val="24"/>
                <w:szCs w:val="24"/>
              </w:rPr>
            </w:pPr>
            <w:r w:rsidRPr="00441D05">
              <w:rPr>
                <w:sz w:val="24"/>
                <w:szCs w:val="24"/>
              </w:rPr>
              <w:t>Provisions</w:t>
            </w:r>
          </w:p>
        </w:tc>
        <w:tc>
          <w:tcPr>
            <w:tcW w:w="4025" w:type="dxa"/>
            <w:tcBorders>
              <w:top w:val="single" w:sz="2" w:space="0" w:color="auto"/>
              <w:bottom w:val="single" w:sz="12" w:space="0" w:color="auto"/>
            </w:tcBorders>
          </w:tcPr>
          <w:p w14:paraId="3CC0F0A4" w14:textId="77777777" w:rsidR="00BF1805" w:rsidRPr="00441D05" w:rsidRDefault="00BF1805" w:rsidP="00487076">
            <w:pPr>
              <w:pStyle w:val="TableHeading"/>
              <w:rPr>
                <w:sz w:val="24"/>
                <w:szCs w:val="24"/>
              </w:rPr>
            </w:pPr>
            <w:r>
              <w:rPr>
                <w:sz w:val="24"/>
                <w:szCs w:val="24"/>
              </w:rPr>
              <w:t>Amendment Topic</w:t>
            </w:r>
          </w:p>
        </w:tc>
        <w:tc>
          <w:tcPr>
            <w:tcW w:w="2381" w:type="dxa"/>
            <w:tcBorders>
              <w:top w:val="single" w:sz="2" w:space="0" w:color="auto"/>
              <w:bottom w:val="single" w:sz="12" w:space="0" w:color="auto"/>
            </w:tcBorders>
            <w:shd w:val="clear" w:color="auto" w:fill="auto"/>
            <w:hideMark/>
          </w:tcPr>
          <w:p w14:paraId="50DC8AFC" w14:textId="77777777" w:rsidR="00BF1805" w:rsidRPr="00441D05" w:rsidRDefault="00BF1805" w:rsidP="00487076">
            <w:pPr>
              <w:pStyle w:val="TableHeading"/>
              <w:rPr>
                <w:sz w:val="24"/>
                <w:szCs w:val="24"/>
              </w:rPr>
            </w:pPr>
            <w:r w:rsidRPr="00441D05">
              <w:rPr>
                <w:sz w:val="24"/>
                <w:szCs w:val="24"/>
              </w:rPr>
              <w:t>Commencement</w:t>
            </w:r>
          </w:p>
        </w:tc>
      </w:tr>
      <w:tr w:rsidR="00BF1805" w:rsidRPr="00441D05" w14:paraId="54A9FA14" w14:textId="77777777" w:rsidTr="00487076">
        <w:tc>
          <w:tcPr>
            <w:tcW w:w="2268" w:type="dxa"/>
            <w:tcBorders>
              <w:top w:val="single" w:sz="12" w:space="0" w:color="auto"/>
              <w:bottom w:val="single" w:sz="2" w:space="0" w:color="auto"/>
            </w:tcBorders>
            <w:shd w:val="clear" w:color="auto" w:fill="auto"/>
            <w:hideMark/>
          </w:tcPr>
          <w:p w14:paraId="456F63C8" w14:textId="77777777" w:rsidR="00BF1805" w:rsidRPr="00441D05" w:rsidRDefault="00BF1805" w:rsidP="00487076">
            <w:pPr>
              <w:pStyle w:val="Tabletext"/>
              <w:rPr>
                <w:sz w:val="24"/>
                <w:szCs w:val="24"/>
              </w:rPr>
            </w:pPr>
            <w:r w:rsidRPr="00441D05">
              <w:rPr>
                <w:sz w:val="24"/>
                <w:szCs w:val="24"/>
              </w:rPr>
              <w:t>Sections 1 to 4</w:t>
            </w:r>
          </w:p>
        </w:tc>
        <w:tc>
          <w:tcPr>
            <w:tcW w:w="4025" w:type="dxa"/>
            <w:tcBorders>
              <w:top w:val="single" w:sz="12" w:space="0" w:color="auto"/>
              <w:bottom w:val="single" w:sz="2" w:space="0" w:color="auto"/>
            </w:tcBorders>
          </w:tcPr>
          <w:p w14:paraId="5D53D4CF" w14:textId="77777777" w:rsidR="00BF1805" w:rsidRPr="00441D05" w:rsidRDefault="00BF1805" w:rsidP="00487076">
            <w:pPr>
              <w:pStyle w:val="Tabletext"/>
              <w:rPr>
                <w:sz w:val="24"/>
                <w:szCs w:val="24"/>
              </w:rPr>
            </w:pPr>
            <w:r>
              <w:rPr>
                <w:sz w:val="24"/>
                <w:szCs w:val="24"/>
              </w:rPr>
              <w:t>Technical</w:t>
            </w:r>
          </w:p>
        </w:tc>
        <w:tc>
          <w:tcPr>
            <w:tcW w:w="2381" w:type="dxa"/>
            <w:tcBorders>
              <w:top w:val="single" w:sz="12" w:space="0" w:color="auto"/>
              <w:bottom w:val="single" w:sz="2" w:space="0" w:color="auto"/>
            </w:tcBorders>
            <w:shd w:val="clear" w:color="auto" w:fill="auto"/>
            <w:hideMark/>
          </w:tcPr>
          <w:p w14:paraId="7417EB47" w14:textId="77777777" w:rsidR="00BF1805" w:rsidRPr="00441D05" w:rsidRDefault="00BF1805" w:rsidP="00487076">
            <w:pPr>
              <w:pStyle w:val="Tabletext"/>
              <w:rPr>
                <w:sz w:val="24"/>
                <w:szCs w:val="24"/>
              </w:rPr>
            </w:pPr>
            <w:r w:rsidRPr="00441D05">
              <w:rPr>
                <w:sz w:val="24"/>
                <w:szCs w:val="24"/>
              </w:rPr>
              <w:t>The day after this instrument is registered.</w:t>
            </w:r>
          </w:p>
        </w:tc>
      </w:tr>
      <w:tr w:rsidR="00BF1805" w:rsidRPr="00441D05" w14:paraId="58F13CF8" w14:textId="77777777" w:rsidTr="00487076">
        <w:tc>
          <w:tcPr>
            <w:tcW w:w="2268" w:type="dxa"/>
            <w:tcBorders>
              <w:top w:val="single" w:sz="2" w:space="0" w:color="auto"/>
              <w:bottom w:val="single" w:sz="2" w:space="0" w:color="auto"/>
            </w:tcBorders>
            <w:shd w:val="clear" w:color="auto" w:fill="auto"/>
          </w:tcPr>
          <w:p w14:paraId="17EBB1B3" w14:textId="77777777" w:rsidR="00BF1805" w:rsidRPr="00441D05" w:rsidRDefault="00BF1805" w:rsidP="00487076">
            <w:pPr>
              <w:pStyle w:val="Tabletext"/>
              <w:rPr>
                <w:sz w:val="24"/>
                <w:szCs w:val="24"/>
              </w:rPr>
            </w:pPr>
            <w:r w:rsidRPr="00441D05">
              <w:rPr>
                <w:sz w:val="24"/>
                <w:szCs w:val="24"/>
              </w:rPr>
              <w:t>Schedule 1</w:t>
            </w:r>
          </w:p>
        </w:tc>
        <w:tc>
          <w:tcPr>
            <w:tcW w:w="4025" w:type="dxa"/>
            <w:tcBorders>
              <w:top w:val="single" w:sz="2" w:space="0" w:color="auto"/>
              <w:bottom w:val="single" w:sz="2" w:space="0" w:color="auto"/>
            </w:tcBorders>
          </w:tcPr>
          <w:p w14:paraId="6F34E620" w14:textId="1371C17C" w:rsidR="004B2CA6" w:rsidRDefault="004B2CA6" w:rsidP="004B2CA6">
            <w:pPr>
              <w:pStyle w:val="Tabletext"/>
              <w:rPr>
                <w:sz w:val="24"/>
                <w:szCs w:val="24"/>
              </w:rPr>
            </w:pPr>
            <w:bookmarkStart w:id="0" w:name="_GoBack"/>
            <w:bookmarkEnd w:id="0"/>
            <w:r>
              <w:rPr>
                <w:sz w:val="24"/>
                <w:szCs w:val="24"/>
              </w:rPr>
              <w:t>Lifetime Health Cover</w:t>
            </w:r>
            <w:r w:rsidR="00167185">
              <w:rPr>
                <w:sz w:val="24"/>
                <w:szCs w:val="24"/>
              </w:rPr>
              <w:t xml:space="preserve"> information</w:t>
            </w:r>
            <w:r>
              <w:rPr>
                <w:sz w:val="24"/>
                <w:szCs w:val="24"/>
              </w:rPr>
              <w:t>.</w:t>
            </w:r>
          </w:p>
          <w:p w14:paraId="480CF119" w14:textId="77F3E439" w:rsidR="00BF1805" w:rsidRPr="00441D05" w:rsidRDefault="00BF1805" w:rsidP="00487076">
            <w:pPr>
              <w:pStyle w:val="Tabletext"/>
              <w:rPr>
                <w:sz w:val="24"/>
                <w:szCs w:val="24"/>
              </w:rPr>
            </w:pPr>
            <w:r>
              <w:rPr>
                <w:sz w:val="24"/>
                <w:szCs w:val="24"/>
              </w:rPr>
              <w:t>Allocation of MBS items (Products tiers and clinical categories)</w:t>
            </w:r>
          </w:p>
        </w:tc>
        <w:tc>
          <w:tcPr>
            <w:tcW w:w="2381" w:type="dxa"/>
            <w:tcBorders>
              <w:top w:val="single" w:sz="2" w:space="0" w:color="auto"/>
              <w:bottom w:val="single" w:sz="2" w:space="0" w:color="auto"/>
            </w:tcBorders>
            <w:shd w:val="clear" w:color="auto" w:fill="auto"/>
          </w:tcPr>
          <w:p w14:paraId="338A3A74" w14:textId="58E0055F" w:rsidR="00BF1805" w:rsidRPr="00441D05" w:rsidRDefault="00BF1805" w:rsidP="00487076">
            <w:pPr>
              <w:pStyle w:val="Tabletext"/>
              <w:rPr>
                <w:sz w:val="24"/>
                <w:szCs w:val="24"/>
              </w:rPr>
            </w:pPr>
            <w:r w:rsidRPr="00441D05">
              <w:rPr>
                <w:sz w:val="24"/>
                <w:szCs w:val="24"/>
              </w:rPr>
              <w:t xml:space="preserve">1 </w:t>
            </w:r>
            <w:r>
              <w:rPr>
                <w:sz w:val="24"/>
                <w:szCs w:val="24"/>
              </w:rPr>
              <w:t>January</w:t>
            </w:r>
            <w:r w:rsidR="00493600">
              <w:rPr>
                <w:sz w:val="24"/>
                <w:szCs w:val="24"/>
              </w:rPr>
              <w:t xml:space="preserve"> </w:t>
            </w:r>
            <w:r w:rsidRPr="00441D05">
              <w:rPr>
                <w:sz w:val="24"/>
                <w:szCs w:val="24"/>
              </w:rPr>
              <w:t>2019</w:t>
            </w:r>
          </w:p>
        </w:tc>
      </w:tr>
      <w:tr w:rsidR="00BF1805" w:rsidRPr="00441D05" w14:paraId="37F5FCDB" w14:textId="77777777" w:rsidTr="00487076">
        <w:tc>
          <w:tcPr>
            <w:tcW w:w="2268" w:type="dxa"/>
            <w:tcBorders>
              <w:top w:val="single" w:sz="2" w:space="0" w:color="auto"/>
              <w:bottom w:val="single" w:sz="2" w:space="0" w:color="auto"/>
            </w:tcBorders>
            <w:shd w:val="clear" w:color="auto" w:fill="auto"/>
          </w:tcPr>
          <w:p w14:paraId="39BCE537" w14:textId="77777777" w:rsidR="00BF1805" w:rsidRPr="00441D05" w:rsidRDefault="00BF1805" w:rsidP="00487076">
            <w:pPr>
              <w:pStyle w:val="Tabletext"/>
              <w:rPr>
                <w:sz w:val="24"/>
                <w:szCs w:val="24"/>
              </w:rPr>
            </w:pPr>
            <w:r w:rsidRPr="00441D05">
              <w:rPr>
                <w:sz w:val="24"/>
                <w:szCs w:val="24"/>
              </w:rPr>
              <w:t>Schedule 2</w:t>
            </w:r>
          </w:p>
        </w:tc>
        <w:tc>
          <w:tcPr>
            <w:tcW w:w="4025" w:type="dxa"/>
            <w:tcBorders>
              <w:top w:val="single" w:sz="2" w:space="0" w:color="auto"/>
              <w:bottom w:val="single" w:sz="2" w:space="0" w:color="auto"/>
            </w:tcBorders>
          </w:tcPr>
          <w:p w14:paraId="1EB230C5" w14:textId="77777777" w:rsidR="00BF1805" w:rsidRPr="00441D05" w:rsidRDefault="00BF1805" w:rsidP="00487076">
            <w:pPr>
              <w:pStyle w:val="Tabletext"/>
              <w:rPr>
                <w:sz w:val="24"/>
                <w:szCs w:val="24"/>
              </w:rPr>
            </w:pPr>
            <w:r>
              <w:rPr>
                <w:sz w:val="24"/>
                <w:szCs w:val="24"/>
              </w:rPr>
              <w:t>Second tier administrative reforms</w:t>
            </w:r>
          </w:p>
        </w:tc>
        <w:tc>
          <w:tcPr>
            <w:tcW w:w="2381" w:type="dxa"/>
            <w:tcBorders>
              <w:top w:val="single" w:sz="2" w:space="0" w:color="auto"/>
              <w:bottom w:val="single" w:sz="2" w:space="0" w:color="auto"/>
            </w:tcBorders>
            <w:shd w:val="clear" w:color="auto" w:fill="auto"/>
          </w:tcPr>
          <w:p w14:paraId="3505BB7A" w14:textId="16D117E3" w:rsidR="00BF1805" w:rsidRPr="00441D05" w:rsidRDefault="00BF1805" w:rsidP="00487076">
            <w:pPr>
              <w:pStyle w:val="Tabletext"/>
              <w:rPr>
                <w:sz w:val="24"/>
                <w:szCs w:val="24"/>
              </w:rPr>
            </w:pPr>
            <w:r>
              <w:rPr>
                <w:sz w:val="24"/>
                <w:szCs w:val="24"/>
              </w:rPr>
              <w:t>3</w:t>
            </w:r>
            <w:r w:rsidRPr="00441D05">
              <w:rPr>
                <w:sz w:val="24"/>
                <w:szCs w:val="24"/>
              </w:rPr>
              <w:t xml:space="preserve">1 </w:t>
            </w:r>
            <w:r>
              <w:rPr>
                <w:sz w:val="24"/>
                <w:szCs w:val="24"/>
              </w:rPr>
              <w:t>December</w:t>
            </w:r>
            <w:r w:rsidRPr="00441D05">
              <w:rPr>
                <w:sz w:val="24"/>
                <w:szCs w:val="24"/>
              </w:rPr>
              <w:t xml:space="preserve"> 201</w:t>
            </w:r>
            <w:r w:rsidR="00351CD2">
              <w:rPr>
                <w:sz w:val="24"/>
                <w:szCs w:val="24"/>
              </w:rPr>
              <w:t>8</w:t>
            </w:r>
          </w:p>
        </w:tc>
      </w:tr>
    </w:tbl>
    <w:p w14:paraId="1B13A83B" w14:textId="77777777" w:rsidR="00734E4D" w:rsidRDefault="00734E4D" w:rsidP="00260997">
      <w:pPr>
        <w:spacing w:before="120" w:after="120"/>
        <w:rPr>
          <w:b/>
        </w:rPr>
      </w:pPr>
    </w:p>
    <w:p w14:paraId="5C29A5A4" w14:textId="77777777" w:rsidR="00734E4D" w:rsidRDefault="00734E4D" w:rsidP="00260997">
      <w:pPr>
        <w:spacing w:before="120" w:after="120"/>
        <w:rPr>
          <w:b/>
        </w:rPr>
      </w:pPr>
      <w:r>
        <w:rPr>
          <w:b/>
        </w:rPr>
        <w:t xml:space="preserve">Section 3 Authority </w:t>
      </w:r>
    </w:p>
    <w:p w14:paraId="44C465FC" w14:textId="1438DDAC" w:rsidR="00734E4D" w:rsidRDefault="004C41ED" w:rsidP="00260997">
      <w:pPr>
        <w:spacing w:before="120" w:after="120"/>
      </w:pPr>
      <w:r w:rsidRPr="004C41ED">
        <w:t>Section 3 provides that the Authority for</w:t>
      </w:r>
      <w:r w:rsidR="00586A3D">
        <w:t xml:space="preserve"> </w:t>
      </w:r>
      <w:r w:rsidR="00E91E8B">
        <w:t xml:space="preserve">the Amendment Rules </w:t>
      </w:r>
      <w:r w:rsidRPr="004C41ED">
        <w:t xml:space="preserve">is </w:t>
      </w:r>
      <w:r w:rsidR="00586A3D">
        <w:t>section 333</w:t>
      </w:r>
      <w:r w:rsidR="00586A3D">
        <w:noBreakHyphen/>
        <w:t xml:space="preserve">20 of </w:t>
      </w:r>
      <w:r w:rsidRPr="004C41ED">
        <w:t xml:space="preserve">the </w:t>
      </w:r>
      <w:r w:rsidRPr="004C41ED">
        <w:rPr>
          <w:i/>
        </w:rPr>
        <w:t>Private Health Insurance Act 2007</w:t>
      </w:r>
      <w:r w:rsidRPr="004C41ED">
        <w:t xml:space="preserve"> (the Act).</w:t>
      </w:r>
    </w:p>
    <w:p w14:paraId="3D89537B" w14:textId="77777777" w:rsidR="00734E4D" w:rsidRPr="00734E4D" w:rsidRDefault="00734E4D" w:rsidP="00260997">
      <w:pPr>
        <w:spacing w:before="120" w:after="120"/>
      </w:pPr>
    </w:p>
    <w:p w14:paraId="585474D7" w14:textId="77777777" w:rsidR="00734E4D" w:rsidRDefault="00734E4D" w:rsidP="00260997">
      <w:pPr>
        <w:spacing w:before="120" w:after="120"/>
        <w:rPr>
          <w:b/>
        </w:rPr>
      </w:pPr>
      <w:r>
        <w:rPr>
          <w:b/>
        </w:rPr>
        <w:t>Section 4 Schedules</w:t>
      </w:r>
    </w:p>
    <w:p w14:paraId="742D4710" w14:textId="50E8712D" w:rsidR="0026208C" w:rsidRDefault="00260997" w:rsidP="00260997">
      <w:pPr>
        <w:spacing w:before="120" w:after="120"/>
      </w:pPr>
      <w:r>
        <w:t xml:space="preserve">Section </w:t>
      </w:r>
      <w:r w:rsidR="00734E4D">
        <w:t>4</w:t>
      </w:r>
      <w:r>
        <w:t xml:space="preserve"> provides that </w:t>
      </w:r>
      <w:r w:rsidR="0026208C">
        <w:t xml:space="preserve">an instrument specified in a Schedule to the Amendment Rules is amended or repealed as set out in items in the schedule concerned. There are two </w:t>
      </w:r>
      <w:r w:rsidR="00EA78E9">
        <w:t xml:space="preserve">amending </w:t>
      </w:r>
      <w:r w:rsidR="0026208C">
        <w:t>schedules contained within the Amendment Rules.</w:t>
      </w:r>
    </w:p>
    <w:p w14:paraId="6EF76952" w14:textId="412193F9" w:rsidR="00C47942" w:rsidRDefault="00260997" w:rsidP="00260997">
      <w:pPr>
        <w:spacing w:before="120" w:after="120"/>
      </w:pPr>
      <w:r>
        <w:t xml:space="preserve"> </w:t>
      </w:r>
    </w:p>
    <w:p w14:paraId="40367BB8" w14:textId="77777777" w:rsidR="00C47942" w:rsidRDefault="00C47942">
      <w:r>
        <w:br w:type="page"/>
      </w:r>
    </w:p>
    <w:p w14:paraId="5E140570" w14:textId="77777777" w:rsidR="00260997" w:rsidRDefault="00260997" w:rsidP="00260997">
      <w:pPr>
        <w:spacing w:before="120" w:after="120"/>
      </w:pPr>
    </w:p>
    <w:p w14:paraId="0CF10FED" w14:textId="2D64BD45" w:rsidR="00EA78E9" w:rsidRDefault="00260997" w:rsidP="00260997">
      <w:pPr>
        <w:spacing w:before="120" w:after="120"/>
        <w:rPr>
          <w:b/>
        </w:rPr>
      </w:pPr>
      <w:r>
        <w:rPr>
          <w:b/>
        </w:rPr>
        <w:t xml:space="preserve">Schedule </w:t>
      </w:r>
      <w:r w:rsidR="00E91E8B">
        <w:rPr>
          <w:b/>
        </w:rPr>
        <w:t xml:space="preserve">1 </w:t>
      </w:r>
      <w:r>
        <w:rPr>
          <w:b/>
        </w:rPr>
        <w:t>– Amendments</w:t>
      </w:r>
      <w:r w:rsidR="00EA78E9">
        <w:rPr>
          <w:b/>
        </w:rPr>
        <w:t xml:space="preserve"> commencing 1 January 2019</w:t>
      </w:r>
    </w:p>
    <w:p w14:paraId="2490579E" w14:textId="3D92376A" w:rsidR="00260997" w:rsidRPr="00EA78E9" w:rsidRDefault="00EA78E9" w:rsidP="00260997">
      <w:pPr>
        <w:spacing w:before="120" w:after="120"/>
        <w:rPr>
          <w:b/>
          <w:i/>
        </w:rPr>
      </w:pPr>
      <w:r w:rsidRPr="00EA78E9">
        <w:rPr>
          <w:b/>
          <w:i/>
        </w:rPr>
        <w:t>Private Health Insurance (Reforms) Amendment Rules 2018</w:t>
      </w:r>
    </w:p>
    <w:p w14:paraId="2C17B5A8" w14:textId="24A0C793" w:rsidR="00274096" w:rsidRDefault="00274096" w:rsidP="00260997"/>
    <w:p w14:paraId="6D8FD281" w14:textId="77777777" w:rsidR="00F86C15" w:rsidRDefault="00274096" w:rsidP="00260997">
      <w:pPr>
        <w:rPr>
          <w:b/>
        </w:rPr>
      </w:pPr>
      <w:r>
        <w:rPr>
          <w:b/>
        </w:rPr>
        <w:t>Item [</w:t>
      </w:r>
      <w:r w:rsidR="009464C4">
        <w:rPr>
          <w:b/>
        </w:rPr>
        <w:t>1</w:t>
      </w:r>
      <w:r>
        <w:rPr>
          <w:b/>
        </w:rPr>
        <w:t>]</w:t>
      </w:r>
      <w:r>
        <w:rPr>
          <w:b/>
        </w:rPr>
        <w:tab/>
      </w:r>
      <w:r>
        <w:rPr>
          <w:b/>
        </w:rPr>
        <w:tab/>
      </w:r>
    </w:p>
    <w:p w14:paraId="1FC72477" w14:textId="77777777" w:rsidR="008407EC" w:rsidRDefault="008407EC" w:rsidP="00260997">
      <w:pPr>
        <w:rPr>
          <w:b/>
        </w:rPr>
      </w:pPr>
    </w:p>
    <w:p w14:paraId="47150833" w14:textId="6D2AD8AC" w:rsidR="00274096" w:rsidRDefault="00274096" w:rsidP="00BA3B07">
      <w:pPr>
        <w:ind w:firstLine="567"/>
        <w:rPr>
          <w:b/>
        </w:rPr>
      </w:pPr>
      <w:r>
        <w:rPr>
          <w:b/>
        </w:rPr>
        <w:t>Item [6</w:t>
      </w:r>
      <w:r w:rsidR="003B6609">
        <w:rPr>
          <w:b/>
        </w:rPr>
        <w:t>]</w:t>
      </w:r>
      <w:r>
        <w:rPr>
          <w:b/>
        </w:rPr>
        <w:t xml:space="preserve"> </w:t>
      </w:r>
      <w:r w:rsidR="00F53517">
        <w:rPr>
          <w:b/>
        </w:rPr>
        <w:t xml:space="preserve">Part 2 </w:t>
      </w:r>
      <w:r>
        <w:rPr>
          <w:b/>
        </w:rPr>
        <w:t>of Schedule 2</w:t>
      </w:r>
      <w:r w:rsidR="00F86C15">
        <w:rPr>
          <w:b/>
        </w:rPr>
        <w:t>,</w:t>
      </w:r>
      <w:r>
        <w:rPr>
          <w:b/>
        </w:rPr>
        <w:t xml:space="preserve"> subparagraph 15(2</w:t>
      </w:r>
      <w:proofErr w:type="gramStart"/>
      <w:r>
        <w:rPr>
          <w:b/>
        </w:rPr>
        <w:t>)(</w:t>
      </w:r>
      <w:proofErr w:type="gramEnd"/>
      <w:r>
        <w:rPr>
          <w:b/>
        </w:rPr>
        <w:t>b)(ii)</w:t>
      </w:r>
    </w:p>
    <w:p w14:paraId="1F52EC60" w14:textId="77777777" w:rsidR="00274096" w:rsidRPr="00274096" w:rsidRDefault="00274096" w:rsidP="00260997"/>
    <w:p w14:paraId="0A4DA3A0" w14:textId="4E2E48D1" w:rsidR="00DE206B" w:rsidRPr="00822560" w:rsidRDefault="005C541D" w:rsidP="00260997">
      <w:r>
        <w:t>Item [</w:t>
      </w:r>
      <w:r w:rsidR="00E13AB5">
        <w:t>1</w:t>
      </w:r>
      <w:r>
        <w:t xml:space="preserve">] amends Item 6 of Schedule 2 to ensure new subparagraph 15(2)(b)(ii) provides for a more precise description of the length of time remaining until an insured person has reached 10 continuous years of cover and their Lifetime Health Cover loading is removed. The amendments allow for </w:t>
      </w:r>
      <w:r w:rsidR="00477673">
        <w:t xml:space="preserve">this period of time to </w:t>
      </w:r>
      <w:r w:rsidR="00787FF2">
        <w:t xml:space="preserve">be </w:t>
      </w:r>
      <w:r w:rsidR="00477673">
        <w:t>describe</w:t>
      </w:r>
      <w:r w:rsidR="00787FF2">
        <w:t>d</w:t>
      </w:r>
      <w:r w:rsidR="00477673">
        <w:t xml:space="preserve"> in terms of the number of years, months and days</w:t>
      </w:r>
      <w:r w:rsidR="00F86C15">
        <w:t xml:space="preserve"> (or any of those periods that is applicable)</w:t>
      </w:r>
      <w:r w:rsidR="00095493">
        <w:t>.</w:t>
      </w:r>
      <w:r w:rsidR="00F86C15">
        <w:t xml:space="preserve">  Insurers could choose to just s</w:t>
      </w:r>
      <w:r w:rsidR="00787FF2">
        <w:t>tate</w:t>
      </w:r>
      <w:r w:rsidR="00F86C15">
        <w:t xml:space="preserve"> a number of years if there is a large number of years left, or could say precisely the number of days remaining.  Insurers may choose to provide other information. For example, they may choose to advise the date when 10 years of continuous cover will be reached, and information about the assumptions and related rules for calculating the time remaining.</w:t>
      </w:r>
    </w:p>
    <w:p w14:paraId="57884DF4" w14:textId="77777777" w:rsidR="003B6609" w:rsidRDefault="003B6609" w:rsidP="00260997">
      <w:pPr>
        <w:rPr>
          <w:b/>
        </w:rPr>
      </w:pPr>
    </w:p>
    <w:p w14:paraId="20ECC8C2" w14:textId="77777777" w:rsidR="00F86C15" w:rsidRDefault="00260997" w:rsidP="00260997">
      <w:pPr>
        <w:rPr>
          <w:b/>
        </w:rPr>
      </w:pPr>
      <w:r>
        <w:rPr>
          <w:b/>
        </w:rPr>
        <w:t>Item</w:t>
      </w:r>
      <w:r w:rsidR="000A3543">
        <w:rPr>
          <w:b/>
        </w:rPr>
        <w:t>s</w:t>
      </w:r>
      <w:r>
        <w:rPr>
          <w:b/>
        </w:rPr>
        <w:t xml:space="preserve"> </w:t>
      </w:r>
      <w:r w:rsidR="00274096">
        <w:rPr>
          <w:b/>
        </w:rPr>
        <w:t>[</w:t>
      </w:r>
      <w:r w:rsidR="009464C4">
        <w:rPr>
          <w:b/>
        </w:rPr>
        <w:t>2</w:t>
      </w:r>
      <w:r w:rsidR="00274096">
        <w:rPr>
          <w:b/>
        </w:rPr>
        <w:t>]</w:t>
      </w:r>
      <w:r w:rsidR="000A3543">
        <w:rPr>
          <w:b/>
        </w:rPr>
        <w:t xml:space="preserve"> and </w:t>
      </w:r>
      <w:r w:rsidR="00274096">
        <w:rPr>
          <w:b/>
        </w:rPr>
        <w:t>[</w:t>
      </w:r>
      <w:r w:rsidR="009464C4">
        <w:rPr>
          <w:b/>
        </w:rPr>
        <w:t>3</w:t>
      </w:r>
      <w:r w:rsidR="00274096">
        <w:rPr>
          <w:b/>
        </w:rPr>
        <w:t>]</w:t>
      </w:r>
      <w:r w:rsidR="00991A9B">
        <w:rPr>
          <w:b/>
        </w:rPr>
        <w:tab/>
      </w:r>
      <w:r w:rsidR="0083415B">
        <w:rPr>
          <w:b/>
        </w:rPr>
        <w:tab/>
      </w:r>
    </w:p>
    <w:p w14:paraId="539ACF33" w14:textId="77777777" w:rsidR="008407EC" w:rsidRDefault="008407EC" w:rsidP="00BA3B07">
      <w:pPr>
        <w:ind w:firstLine="567"/>
        <w:rPr>
          <w:b/>
        </w:rPr>
      </w:pPr>
    </w:p>
    <w:p w14:paraId="507E005F" w14:textId="35CEA4F3" w:rsidR="00260997" w:rsidRDefault="0083415B" w:rsidP="00BA3B07">
      <w:pPr>
        <w:ind w:firstLine="567"/>
      </w:pPr>
      <w:r>
        <w:rPr>
          <w:b/>
        </w:rPr>
        <w:t xml:space="preserve">Item [4] of Schedule 3 (table to section </w:t>
      </w:r>
      <w:r w:rsidR="001D50B2">
        <w:rPr>
          <w:b/>
        </w:rPr>
        <w:t>1</w:t>
      </w:r>
      <w:r>
        <w:rPr>
          <w:b/>
        </w:rPr>
        <w:t xml:space="preserve"> of Schedule </w:t>
      </w:r>
      <w:r w:rsidR="001D50B2">
        <w:rPr>
          <w:b/>
        </w:rPr>
        <w:t>7</w:t>
      </w:r>
      <w:r>
        <w:rPr>
          <w:b/>
        </w:rPr>
        <w:t>)</w:t>
      </w:r>
    </w:p>
    <w:p w14:paraId="42319DE5" w14:textId="048330BD" w:rsidR="0083415B" w:rsidRDefault="0083415B" w:rsidP="00260997"/>
    <w:p w14:paraId="3BD5D396" w14:textId="7FE049CF" w:rsidR="00927EB5" w:rsidRDefault="00927EB5" w:rsidP="00927EB5">
      <w:r>
        <w:t>Item</w:t>
      </w:r>
      <w:r w:rsidR="000A3543">
        <w:t>s</w:t>
      </w:r>
      <w:r>
        <w:t xml:space="preserve"> </w:t>
      </w:r>
      <w:r w:rsidR="008407EC">
        <w:t>2</w:t>
      </w:r>
      <w:r w:rsidR="000A3543">
        <w:t xml:space="preserve"> and </w:t>
      </w:r>
      <w:r w:rsidR="008407EC">
        <w:t>3</w:t>
      </w:r>
      <w:r>
        <w:t xml:space="preserve"> amend Item 4 of Schedule 3 of the Principal Rules to </w:t>
      </w:r>
      <w:r w:rsidR="000A3543">
        <w:t xml:space="preserve">insert two new </w:t>
      </w:r>
      <w:r w:rsidR="008D1956">
        <w:t>M</w:t>
      </w:r>
      <w:r w:rsidR="00F86C15">
        <w:t xml:space="preserve">edicare </w:t>
      </w:r>
      <w:r w:rsidR="008D1956">
        <w:t>B</w:t>
      </w:r>
      <w:r w:rsidR="00F86C15">
        <w:t xml:space="preserve">enefits </w:t>
      </w:r>
      <w:r w:rsidR="008D1956">
        <w:t>S</w:t>
      </w:r>
      <w:r w:rsidR="00F86C15">
        <w:t>chedule (MBS)</w:t>
      </w:r>
      <w:r w:rsidR="008D1956">
        <w:t xml:space="preserve"> item number</w:t>
      </w:r>
      <w:r w:rsidR="00F86C15">
        <w:t>s</w:t>
      </w:r>
      <w:r w:rsidR="008D1956">
        <w:t xml:space="preserve"> </w:t>
      </w:r>
      <w:r w:rsidR="000E60BD">
        <w:t xml:space="preserve">(72814 and 73344) </w:t>
      </w:r>
      <w:r w:rsidR="008D1956">
        <w:t xml:space="preserve">in </w:t>
      </w:r>
      <w:r>
        <w:t>the table set out in section</w:t>
      </w:r>
      <w:r w:rsidR="00265E6C">
        <w:t> </w:t>
      </w:r>
      <w:r>
        <w:t xml:space="preserve">1 of Schedule 7 to ensure that MBS item numbers </w:t>
      </w:r>
      <w:r w:rsidR="009C73BC">
        <w:t>included</w:t>
      </w:r>
      <w:r>
        <w:t xml:space="preserve"> in the table are consistent with the MBS as at 1</w:t>
      </w:r>
      <w:r w:rsidR="00265E6C">
        <w:t> </w:t>
      </w:r>
      <w:r w:rsidR="000A3543">
        <w:t>January</w:t>
      </w:r>
      <w:r>
        <w:t xml:space="preserve"> 201</w:t>
      </w:r>
      <w:r w:rsidR="000A3543">
        <w:t>9</w:t>
      </w:r>
      <w:r>
        <w:t>.</w:t>
      </w:r>
      <w:r w:rsidR="008167DE">
        <w:t xml:space="preserve"> This table sets out the MBS items </w:t>
      </w:r>
      <w:r w:rsidR="004D2FC7">
        <w:rPr>
          <w:color w:val="000000"/>
          <w:shd w:val="clear" w:color="auto" w:fill="FFFFFF"/>
        </w:rPr>
        <w:t>that are relevant to treatments that are commonly used to support the provision of another primary treatment (</w:t>
      </w:r>
      <w:proofErr w:type="spellStart"/>
      <w:r w:rsidR="004D2FC7">
        <w:rPr>
          <w:color w:val="000000"/>
          <w:shd w:val="clear" w:color="auto" w:fill="FFFFFF"/>
        </w:rPr>
        <w:t>eg</w:t>
      </w:r>
      <w:proofErr w:type="spellEnd"/>
      <w:r w:rsidR="004D2FC7">
        <w:rPr>
          <w:color w:val="000000"/>
          <w:shd w:val="clear" w:color="auto" w:fill="FFFFFF"/>
        </w:rPr>
        <w:t xml:space="preserve">, pathology, </w:t>
      </w:r>
      <w:r w:rsidR="00803EFE">
        <w:rPr>
          <w:color w:val="000000"/>
          <w:shd w:val="clear" w:color="auto" w:fill="FFFFFF"/>
        </w:rPr>
        <w:t xml:space="preserve">and </w:t>
      </w:r>
      <w:r w:rsidR="004D2FC7">
        <w:rPr>
          <w:color w:val="000000"/>
          <w:shd w:val="clear" w:color="auto" w:fill="FFFFFF"/>
        </w:rPr>
        <w:t>anaesthetics)</w:t>
      </w:r>
      <w:r w:rsidR="00A50179">
        <w:t>.</w:t>
      </w:r>
    </w:p>
    <w:p w14:paraId="1522F065" w14:textId="26DAF7C5" w:rsidR="00927EB5" w:rsidRDefault="00927EB5" w:rsidP="00927EB5"/>
    <w:p w14:paraId="3960007B" w14:textId="1FE0DCDA" w:rsidR="00E01284" w:rsidRDefault="00E01284" w:rsidP="00927EB5">
      <w:r>
        <w:t xml:space="preserve">The two new MBS item numbers apply to individual pathology tests, which </w:t>
      </w:r>
      <w:r w:rsidR="00914B4B">
        <w:t xml:space="preserve">are required for </w:t>
      </w:r>
      <w:r>
        <w:t xml:space="preserve">assessment of a patient’s eligibility </w:t>
      </w:r>
      <w:r w:rsidR="00EE517D">
        <w:t>to access</w:t>
      </w:r>
      <w:r w:rsidR="008E3610">
        <w:t xml:space="preserve"> specific cancer-related pharmaceuticals under the Pharmaceutical Benefits Scheme.</w:t>
      </w:r>
    </w:p>
    <w:p w14:paraId="68C778FA" w14:textId="77777777" w:rsidR="00827E45" w:rsidRDefault="00827E45" w:rsidP="00827E45"/>
    <w:p w14:paraId="7D604F49" w14:textId="1B165E08" w:rsidR="00635D15" w:rsidRDefault="00827E45" w:rsidP="00827E45">
      <w:r>
        <w:t xml:space="preserve">Details </w:t>
      </w:r>
      <w:r w:rsidR="00803EFE">
        <w:t>about specific MBS item</w:t>
      </w:r>
      <w:r>
        <w:t xml:space="preserve"> changes </w:t>
      </w:r>
      <w:r w:rsidR="003449E7">
        <w:t xml:space="preserve">already in effect or </w:t>
      </w:r>
      <w:r>
        <w:t xml:space="preserve">taking effect on 1 </w:t>
      </w:r>
      <w:r w:rsidR="000A3543">
        <w:t>January</w:t>
      </w:r>
      <w:r>
        <w:t xml:space="preserve"> 201</w:t>
      </w:r>
      <w:r w:rsidR="008E5800">
        <w:t>9</w:t>
      </w:r>
      <w:r>
        <w:t xml:space="preserve"> can be found on the Department of Health MBS Online website</w:t>
      </w:r>
      <w:r w:rsidR="000E60BD">
        <w:t>.</w:t>
      </w:r>
    </w:p>
    <w:p w14:paraId="7DEFD091" w14:textId="03D6BC08" w:rsidR="009464C4" w:rsidRDefault="009464C4">
      <w:r>
        <w:br w:type="page"/>
      </w:r>
    </w:p>
    <w:p w14:paraId="15C1DE99" w14:textId="42A47779" w:rsidR="009464C4" w:rsidRDefault="009464C4" w:rsidP="009464C4">
      <w:pPr>
        <w:spacing w:before="120" w:after="120"/>
        <w:rPr>
          <w:b/>
        </w:rPr>
      </w:pPr>
      <w:r>
        <w:rPr>
          <w:b/>
        </w:rPr>
        <w:lastRenderedPageBreak/>
        <w:t>Schedule 2 – Amendments</w:t>
      </w:r>
      <w:r w:rsidR="00EA78E9">
        <w:rPr>
          <w:b/>
        </w:rPr>
        <w:t xml:space="preserve"> commencing 31 December 2018</w:t>
      </w:r>
    </w:p>
    <w:p w14:paraId="5FF82425" w14:textId="10856C78" w:rsidR="00635D15" w:rsidRDefault="00F86C15" w:rsidP="00F86C15">
      <w:pPr>
        <w:spacing w:before="120" w:after="120"/>
      </w:pPr>
      <w:r w:rsidRPr="00EA78E9">
        <w:rPr>
          <w:b/>
          <w:i/>
        </w:rPr>
        <w:t>Private Health Insurance (Reforms) Amendment Rules 2018</w:t>
      </w:r>
    </w:p>
    <w:p w14:paraId="080DDBC2" w14:textId="77777777" w:rsidR="00F86C15" w:rsidRDefault="003B6609" w:rsidP="00827E45">
      <w:pPr>
        <w:rPr>
          <w:b/>
        </w:rPr>
      </w:pPr>
      <w:r>
        <w:rPr>
          <w:b/>
        </w:rPr>
        <w:t>Item [</w:t>
      </w:r>
      <w:r w:rsidR="009464C4">
        <w:rPr>
          <w:b/>
        </w:rPr>
        <w:t>1</w:t>
      </w:r>
      <w:r>
        <w:rPr>
          <w:b/>
        </w:rPr>
        <w:t>]</w:t>
      </w:r>
      <w:r>
        <w:rPr>
          <w:b/>
        </w:rPr>
        <w:tab/>
      </w:r>
      <w:r>
        <w:rPr>
          <w:b/>
        </w:rPr>
        <w:tab/>
      </w:r>
    </w:p>
    <w:p w14:paraId="40F829B1" w14:textId="77777777" w:rsidR="000E60BD" w:rsidRDefault="000E60BD" w:rsidP="00827E45">
      <w:pPr>
        <w:rPr>
          <w:b/>
        </w:rPr>
      </w:pPr>
    </w:p>
    <w:p w14:paraId="3B67F550" w14:textId="5A7C9112" w:rsidR="00635D15" w:rsidRPr="00822560" w:rsidRDefault="003B6609" w:rsidP="00BA3B07">
      <w:pPr>
        <w:ind w:firstLine="567"/>
        <w:rPr>
          <w:b/>
        </w:rPr>
      </w:pPr>
      <w:r>
        <w:rPr>
          <w:b/>
        </w:rPr>
        <w:t>Item [9</w:t>
      </w:r>
      <w:r w:rsidR="00071E07">
        <w:rPr>
          <w:b/>
        </w:rPr>
        <w:t>]</w:t>
      </w:r>
      <w:r>
        <w:rPr>
          <w:b/>
        </w:rPr>
        <w:t xml:space="preserve"> of Schedule 4 </w:t>
      </w:r>
      <w:proofErr w:type="spellStart"/>
      <w:r>
        <w:rPr>
          <w:b/>
        </w:rPr>
        <w:t>subrule</w:t>
      </w:r>
      <w:proofErr w:type="spellEnd"/>
      <w:r>
        <w:rPr>
          <w:b/>
        </w:rPr>
        <w:t xml:space="preserve"> </w:t>
      </w:r>
      <w:proofErr w:type="gramStart"/>
      <w:r w:rsidR="00F56A21">
        <w:rPr>
          <w:b/>
        </w:rPr>
        <w:t>7E</w:t>
      </w:r>
      <w:r>
        <w:rPr>
          <w:b/>
        </w:rPr>
        <w:t>(</w:t>
      </w:r>
      <w:proofErr w:type="gramEnd"/>
      <w:r w:rsidR="00F56A21">
        <w:rPr>
          <w:b/>
        </w:rPr>
        <w:t>3</w:t>
      </w:r>
      <w:r>
        <w:rPr>
          <w:b/>
        </w:rPr>
        <w:t>)</w:t>
      </w:r>
    </w:p>
    <w:p w14:paraId="1BE54A3E" w14:textId="77777777" w:rsidR="00635D15" w:rsidRDefault="00635D15" w:rsidP="00827E45"/>
    <w:p w14:paraId="3E48F8E1" w14:textId="04A8450C" w:rsidR="003B6609" w:rsidRDefault="00071E07" w:rsidP="00822560">
      <w:pPr>
        <w:autoSpaceDE w:val="0"/>
        <w:autoSpaceDN w:val="0"/>
        <w:adjustRightInd w:val="0"/>
      </w:pPr>
      <w:r>
        <w:t xml:space="preserve">Item </w:t>
      </w:r>
      <w:r w:rsidR="00E13AB5">
        <w:t>1</w:t>
      </w:r>
      <w:r w:rsidR="003B6609">
        <w:t xml:space="preserve"> amends Item [9] of Schedule 4 so that</w:t>
      </w:r>
      <w:r w:rsidR="004E307D">
        <w:t xml:space="preserve"> under</w:t>
      </w:r>
      <w:r w:rsidR="003B6609">
        <w:t xml:space="preserve"> new </w:t>
      </w:r>
      <w:proofErr w:type="spellStart"/>
      <w:r w:rsidR="003B6609">
        <w:t>subrule</w:t>
      </w:r>
      <w:proofErr w:type="spellEnd"/>
      <w:r w:rsidR="003B6609">
        <w:t xml:space="preserve"> </w:t>
      </w:r>
      <w:r w:rsidR="00F56A21">
        <w:t>7E</w:t>
      </w:r>
      <w:r w:rsidR="003B6609">
        <w:t>(</w:t>
      </w:r>
      <w:r w:rsidR="00F56A21">
        <w:t>3</w:t>
      </w:r>
      <w:r w:rsidR="003B6609">
        <w:t xml:space="preserve">) a hospital will be included in the second-tier eligible hospitals class for a period ending 60 calendar </w:t>
      </w:r>
      <w:r w:rsidR="003E3066">
        <w:t>day</w:t>
      </w:r>
      <w:r w:rsidR="003B6609">
        <w:t>s after the date on which its accreditation against the National Safety and Quality Health Service Standards is due to expire.</w:t>
      </w:r>
      <w:r w:rsidR="004E307D">
        <w:t xml:space="preserve"> The effect of this amendment is to ensure that if a hospital is not reaccredited until shortly before an earlier period of accreditation has ended, it will have time to reapply to be included in the second-tier eligible hospitals class and for the Minister for Health, or the Minister’s delegate, to consider the application within the 60 days specified in the </w:t>
      </w:r>
      <w:r w:rsidR="004E307D" w:rsidRPr="00822560">
        <w:rPr>
          <w:i/>
        </w:rPr>
        <w:t>Private Health Insurance Act 2007</w:t>
      </w:r>
      <w:r w:rsidR="004E307D">
        <w:t>.</w:t>
      </w:r>
    </w:p>
    <w:p w14:paraId="1C051F0D" w14:textId="1026DF16" w:rsidR="00635D15" w:rsidRDefault="00635D15" w:rsidP="00827E45"/>
    <w:p w14:paraId="5550F5FE" w14:textId="38E67358" w:rsidR="00E70246" w:rsidRDefault="00E70246" w:rsidP="00827E45">
      <w:r>
        <w:br w:type="page"/>
      </w:r>
    </w:p>
    <w:p w14:paraId="51B79857" w14:textId="50B3410C" w:rsidR="004D2FC7" w:rsidRPr="00F8094C" w:rsidRDefault="004D2FC7" w:rsidP="00F8094C">
      <w:pPr>
        <w:ind w:left="1701" w:firstLine="567"/>
        <w:jc w:val="right"/>
        <w:rPr>
          <w:b/>
        </w:rPr>
      </w:pPr>
      <w:r w:rsidRPr="00F8094C">
        <w:rPr>
          <w:b/>
        </w:rPr>
        <w:lastRenderedPageBreak/>
        <w:t>ATTACHMENT B</w:t>
      </w:r>
    </w:p>
    <w:p w14:paraId="427966E0" w14:textId="5B8A6FC4" w:rsidR="00E70246" w:rsidRPr="00E4135E" w:rsidRDefault="00E70246" w:rsidP="00E70246">
      <w:pPr>
        <w:spacing w:before="360" w:after="120"/>
        <w:jc w:val="center"/>
        <w:rPr>
          <w:b/>
          <w:sz w:val="28"/>
          <w:szCs w:val="28"/>
        </w:rPr>
      </w:pPr>
      <w:r w:rsidRPr="00E4135E">
        <w:rPr>
          <w:b/>
          <w:sz w:val="28"/>
          <w:szCs w:val="28"/>
        </w:rPr>
        <w:t>Statement of Compatibility with Human Rights</w:t>
      </w:r>
    </w:p>
    <w:p w14:paraId="466C680E" w14:textId="501A1BAF" w:rsidR="00E70246" w:rsidRPr="00E4135E" w:rsidRDefault="00E70246" w:rsidP="00E70246">
      <w:pPr>
        <w:spacing w:before="120" w:after="120"/>
        <w:jc w:val="center"/>
        <w:rPr>
          <w:szCs w:val="24"/>
        </w:rPr>
      </w:pPr>
      <w:r w:rsidRPr="00E4135E">
        <w:rPr>
          <w:i/>
          <w:szCs w:val="24"/>
        </w:rPr>
        <w:t>Prepared in accordance with Part 3 of the Human Rights (Parliamentary Scrutiny) Act 2011</w:t>
      </w:r>
    </w:p>
    <w:p w14:paraId="47E0C245" w14:textId="77777777" w:rsidR="00E70246" w:rsidRPr="00E4135E" w:rsidRDefault="00E70246" w:rsidP="00E70246">
      <w:pPr>
        <w:jc w:val="center"/>
        <w:rPr>
          <w:szCs w:val="24"/>
        </w:rPr>
      </w:pPr>
    </w:p>
    <w:p w14:paraId="14899B19" w14:textId="22E1CBBD" w:rsidR="00E70246" w:rsidRDefault="00E70246" w:rsidP="00E70246">
      <w:pPr>
        <w:spacing w:before="120" w:after="120"/>
        <w:jc w:val="center"/>
        <w:rPr>
          <w:b/>
          <w:szCs w:val="24"/>
        </w:rPr>
      </w:pPr>
      <w:r w:rsidRPr="00657833">
        <w:rPr>
          <w:b/>
          <w:szCs w:val="24"/>
        </w:rPr>
        <w:t>Private Health Insurance (</w:t>
      </w:r>
      <w:r w:rsidR="007206A8">
        <w:rPr>
          <w:b/>
          <w:szCs w:val="24"/>
        </w:rPr>
        <w:t>Reforms</w:t>
      </w:r>
      <w:r w:rsidRPr="00657833">
        <w:rPr>
          <w:b/>
          <w:szCs w:val="24"/>
        </w:rPr>
        <w:t xml:space="preserve">) Amendment Rules </w:t>
      </w:r>
      <w:r w:rsidR="00A14848">
        <w:rPr>
          <w:b/>
          <w:szCs w:val="24"/>
        </w:rPr>
        <w:t>(No.3</w:t>
      </w:r>
      <w:r w:rsidR="007206A8">
        <w:rPr>
          <w:b/>
          <w:szCs w:val="24"/>
        </w:rPr>
        <w:t xml:space="preserve">) </w:t>
      </w:r>
      <w:r w:rsidRPr="00657833">
        <w:rPr>
          <w:b/>
          <w:szCs w:val="24"/>
        </w:rPr>
        <w:t>2018</w:t>
      </w:r>
    </w:p>
    <w:p w14:paraId="7E0FD33D" w14:textId="701F1303" w:rsidR="00E70246" w:rsidRPr="00E4135E" w:rsidRDefault="00E70246" w:rsidP="00E70246">
      <w:pPr>
        <w:spacing w:before="120" w:after="120"/>
        <w:rPr>
          <w:szCs w:val="24"/>
        </w:rPr>
      </w:pPr>
      <w:r w:rsidRPr="00E4135E">
        <w:rPr>
          <w:szCs w:val="24"/>
        </w:rPr>
        <w:t>Thi</w:t>
      </w:r>
      <w:r>
        <w:rPr>
          <w:szCs w:val="24"/>
        </w:rPr>
        <w:t xml:space="preserve">s </w:t>
      </w:r>
      <w:r w:rsidR="00DD6D55">
        <w:rPr>
          <w:szCs w:val="24"/>
        </w:rPr>
        <w:t>l</w:t>
      </w:r>
      <w:r w:rsidRPr="00E4135E">
        <w:rPr>
          <w:szCs w:val="24"/>
        </w:rPr>
        <w:t xml:space="preserve">egislative </w:t>
      </w:r>
      <w:r w:rsidR="00DD6D55">
        <w:rPr>
          <w:szCs w:val="24"/>
        </w:rPr>
        <w:t>i</w:t>
      </w:r>
      <w:r w:rsidRPr="00E4135E">
        <w:rPr>
          <w:szCs w:val="24"/>
        </w:rPr>
        <w:t xml:space="preserve">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4027BE1A" w14:textId="77777777" w:rsidR="00E70246" w:rsidRDefault="00E70246" w:rsidP="00E70246">
      <w:pPr>
        <w:jc w:val="both"/>
        <w:rPr>
          <w:b/>
          <w:szCs w:val="24"/>
        </w:rPr>
      </w:pPr>
    </w:p>
    <w:p w14:paraId="4FB4B77F" w14:textId="77777777" w:rsidR="00E70246" w:rsidRPr="00A163C5" w:rsidRDefault="00E70246" w:rsidP="00E70246">
      <w:pPr>
        <w:spacing w:before="120" w:after="120"/>
        <w:jc w:val="both"/>
        <w:rPr>
          <w:b/>
          <w:szCs w:val="24"/>
        </w:rPr>
      </w:pPr>
      <w:r w:rsidRPr="00A163C5">
        <w:rPr>
          <w:b/>
          <w:szCs w:val="24"/>
        </w:rPr>
        <w:t>Overview of the Legislative Instrument</w:t>
      </w:r>
    </w:p>
    <w:p w14:paraId="598D4283" w14:textId="7E54B16A" w:rsidR="004D2FC7" w:rsidRDefault="00E70246" w:rsidP="00E70246">
      <w:pPr>
        <w:autoSpaceDE w:val="0"/>
        <w:autoSpaceDN w:val="0"/>
        <w:adjustRightInd w:val="0"/>
        <w:spacing w:before="120" w:after="120"/>
      </w:pPr>
      <w:r>
        <w:rPr>
          <w:szCs w:val="24"/>
        </w:rPr>
        <w:t xml:space="preserve">The </w:t>
      </w:r>
      <w:r w:rsidRPr="00657833">
        <w:rPr>
          <w:i/>
          <w:szCs w:val="24"/>
        </w:rPr>
        <w:t>Private Health Insurance (</w:t>
      </w:r>
      <w:r>
        <w:rPr>
          <w:i/>
          <w:szCs w:val="24"/>
        </w:rPr>
        <w:t>Reforms</w:t>
      </w:r>
      <w:r w:rsidRPr="00657833">
        <w:rPr>
          <w:i/>
          <w:szCs w:val="24"/>
        </w:rPr>
        <w:t xml:space="preserve">) Amendment Rules </w:t>
      </w:r>
      <w:r w:rsidR="00A14848">
        <w:rPr>
          <w:i/>
          <w:szCs w:val="24"/>
        </w:rPr>
        <w:t>(No. 3</w:t>
      </w:r>
      <w:r>
        <w:rPr>
          <w:i/>
          <w:szCs w:val="24"/>
        </w:rPr>
        <w:t>)</w:t>
      </w:r>
      <w:r w:rsidR="004D2FC7">
        <w:rPr>
          <w:i/>
          <w:szCs w:val="24"/>
        </w:rPr>
        <w:t xml:space="preserve"> </w:t>
      </w:r>
      <w:r w:rsidRPr="00657833">
        <w:rPr>
          <w:i/>
          <w:szCs w:val="24"/>
        </w:rPr>
        <w:t xml:space="preserve">2018 </w:t>
      </w:r>
      <w:r>
        <w:rPr>
          <w:szCs w:val="24"/>
        </w:rPr>
        <w:t>(the Amendment Rules) amends</w:t>
      </w:r>
      <w:r w:rsidRPr="00821B06">
        <w:rPr>
          <w:szCs w:val="24"/>
        </w:rPr>
        <w:t xml:space="preserve"> </w:t>
      </w:r>
      <w:r>
        <w:rPr>
          <w:szCs w:val="24"/>
        </w:rPr>
        <w:t xml:space="preserve">the </w:t>
      </w:r>
      <w:r>
        <w:rPr>
          <w:i/>
          <w:szCs w:val="24"/>
        </w:rPr>
        <w:t>Private Health Insurance (Reforms) Amendment Rules 2018</w:t>
      </w:r>
      <w:r>
        <w:rPr>
          <w:szCs w:val="24"/>
        </w:rPr>
        <w:t xml:space="preserve"> (the Principal Rules) </w:t>
      </w:r>
      <w:r>
        <w:t xml:space="preserve">to </w:t>
      </w:r>
      <w:r w:rsidR="00A14848">
        <w:t xml:space="preserve">insert additional </w:t>
      </w:r>
      <w:r>
        <w:t xml:space="preserve">individual Medicare Benefit Schedule (MBS) item numbers to ensure that the MBS item numbers set out in the Amendment Rules are consistent with the </w:t>
      </w:r>
      <w:r w:rsidRPr="00A520AB">
        <w:t>MBS</w:t>
      </w:r>
      <w:r>
        <w:t xml:space="preserve"> </w:t>
      </w:r>
      <w:r w:rsidR="00270C59">
        <w:t>as at</w:t>
      </w:r>
      <w:r w:rsidR="00A14848">
        <w:t xml:space="preserve"> 1 January 2019</w:t>
      </w:r>
      <w:r>
        <w:t xml:space="preserve">. </w:t>
      </w:r>
    </w:p>
    <w:p w14:paraId="62F06AFC" w14:textId="3C5B78B3" w:rsidR="00E70246" w:rsidRDefault="00E70246" w:rsidP="00E70246">
      <w:pPr>
        <w:autoSpaceDE w:val="0"/>
        <w:autoSpaceDN w:val="0"/>
        <w:adjustRightInd w:val="0"/>
        <w:spacing w:before="120" w:after="120"/>
      </w:pPr>
      <w:r>
        <w:t>The inclusion of MBS items in the Principal Rules are part of the reforms to simplify the nomenclature of, and introduce standardised clinical categories for, private health insurance policies offering hospital cover. The effect of these reforms is to make it easier for consumers to understand the information they receive about insurance policies and select policies best suited for their needs.</w:t>
      </w:r>
    </w:p>
    <w:p w14:paraId="1C51797A" w14:textId="678AE21F" w:rsidR="00F40B74" w:rsidRDefault="00F40B74" w:rsidP="00F40B74">
      <w:pPr>
        <w:autoSpaceDE w:val="0"/>
        <w:autoSpaceDN w:val="0"/>
        <w:adjustRightInd w:val="0"/>
      </w:pPr>
      <w:r>
        <w:t>The Amendment Rules will also make two further amendments to the Principal Rules</w:t>
      </w:r>
      <w:r>
        <w:t xml:space="preserve">. One will </w:t>
      </w:r>
      <w:r>
        <w:t xml:space="preserve">enable private health insurers to provide a more precise description of the length of time remaining until an insured person has reached 10 continuous years of cover and their Lifetime Health Cover loading </w:t>
      </w:r>
      <w:r w:rsidRPr="00D90238">
        <w:t>is removed</w:t>
      </w:r>
      <w:r>
        <w:t xml:space="preserve">. The other will </w:t>
      </w:r>
      <w:r>
        <w:t>ensure that a hospital that is already eligible to receive second-tier default benefits will continue to be eligible for a period ending 60 calendar days after the date on which its accreditation against the National Safety and Quality Health Service Standards is due to expire.</w:t>
      </w:r>
    </w:p>
    <w:p w14:paraId="1C322F4A" w14:textId="77777777" w:rsidR="00F40B74" w:rsidRPr="00E00DEC" w:rsidRDefault="00F40B74" w:rsidP="00E70246">
      <w:pPr>
        <w:autoSpaceDE w:val="0"/>
        <w:autoSpaceDN w:val="0"/>
        <w:adjustRightInd w:val="0"/>
        <w:spacing w:before="120" w:after="120"/>
        <w:rPr>
          <w:szCs w:val="24"/>
        </w:rPr>
      </w:pPr>
    </w:p>
    <w:p w14:paraId="472778B7" w14:textId="77777777" w:rsidR="00E70246" w:rsidRPr="00A163C5" w:rsidRDefault="00E70246" w:rsidP="00E70246">
      <w:pPr>
        <w:spacing w:before="120" w:after="120"/>
        <w:rPr>
          <w:b/>
          <w:szCs w:val="24"/>
        </w:rPr>
      </w:pPr>
      <w:r w:rsidRPr="00A163C5">
        <w:rPr>
          <w:b/>
          <w:szCs w:val="24"/>
        </w:rPr>
        <w:t>Human rights implications</w:t>
      </w:r>
    </w:p>
    <w:p w14:paraId="504EF266" w14:textId="721F1958" w:rsidR="00E70246" w:rsidRPr="002865A3" w:rsidRDefault="00E70246" w:rsidP="00E70246">
      <w:pPr>
        <w:autoSpaceDE w:val="0"/>
        <w:autoSpaceDN w:val="0"/>
        <w:adjustRightInd w:val="0"/>
        <w:spacing w:before="120" w:after="120"/>
      </w:pPr>
      <w:r>
        <w:rPr>
          <w:color w:val="000000"/>
          <w:szCs w:val="24"/>
        </w:rPr>
        <w:t xml:space="preserve">This legislative instrument engages Article 12 of the International Covenant on Economic, Social and Cultural Rights by assisting with the progressive realisation by all appropriate means of </w:t>
      </w:r>
      <w:r w:rsidRPr="002865A3">
        <w:t xml:space="preserve">the right of everyone to the enjoyment of the highest attainable standard of physical and mental health. </w:t>
      </w:r>
    </w:p>
    <w:p w14:paraId="08C87FF5" w14:textId="53B6D3DD" w:rsidR="00E70246" w:rsidRDefault="00E70246" w:rsidP="002865A3">
      <w:pPr>
        <w:autoSpaceDE w:val="0"/>
        <w:autoSpaceDN w:val="0"/>
        <w:adjustRightInd w:val="0"/>
        <w:spacing w:before="120" w:after="120"/>
        <w:rPr>
          <w:color w:val="000000"/>
          <w:szCs w:val="24"/>
        </w:rPr>
      </w:pPr>
      <w:r w:rsidRPr="002865A3">
        <w:t>Private health insurance</w:t>
      </w:r>
      <w:r>
        <w:rPr>
          <w:color w:val="000000"/>
          <w:szCs w:val="24"/>
        </w:rPr>
        <w:t xml:space="preserve"> regulation assists with the advancement of the right</w:t>
      </w:r>
      <w:r w:rsidR="008654E5">
        <w:rPr>
          <w:color w:val="000000"/>
          <w:szCs w:val="24"/>
        </w:rPr>
        <w:t xml:space="preserve"> to health</w:t>
      </w:r>
      <w:r>
        <w:rPr>
          <w:color w:val="000000"/>
          <w:szCs w:val="24"/>
        </w:rPr>
        <w:t xml:space="preserve">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r w:rsidR="00DD6D55">
        <w:rPr>
          <w:color w:val="000000"/>
          <w:szCs w:val="24"/>
        </w:rPr>
        <w:t>The additional amendments implemented by the legislative instrument do not deviate from and continue to support that overall purpose.</w:t>
      </w:r>
    </w:p>
    <w:p w14:paraId="7FCF2467" w14:textId="77777777" w:rsidR="00E70246" w:rsidRDefault="00E70246" w:rsidP="00F8094C">
      <w:pPr>
        <w:keepNext/>
        <w:rPr>
          <w:b/>
          <w:szCs w:val="24"/>
        </w:rPr>
      </w:pPr>
      <w:r>
        <w:rPr>
          <w:b/>
          <w:szCs w:val="24"/>
        </w:rPr>
        <w:t>Conclusion</w:t>
      </w:r>
    </w:p>
    <w:p w14:paraId="48B473BC" w14:textId="79ABD8EC" w:rsidR="00E70246" w:rsidRDefault="00E70246" w:rsidP="00F8094C">
      <w:pPr>
        <w:keepNext/>
        <w:spacing w:before="120" w:after="120"/>
        <w:rPr>
          <w:b/>
          <w:szCs w:val="24"/>
        </w:rPr>
      </w:pPr>
      <w:r>
        <w:rPr>
          <w:szCs w:val="24"/>
        </w:rPr>
        <w:t xml:space="preserve">This legislative instrument is compatible </w:t>
      </w:r>
      <w:r w:rsidR="00B71583">
        <w:rPr>
          <w:szCs w:val="24"/>
        </w:rPr>
        <w:t xml:space="preserve">and advance the protection of the </w:t>
      </w:r>
      <w:r>
        <w:rPr>
          <w:szCs w:val="24"/>
        </w:rPr>
        <w:t>human right</w:t>
      </w:r>
      <w:r w:rsidR="00B71583">
        <w:rPr>
          <w:szCs w:val="24"/>
        </w:rPr>
        <w:t xml:space="preserve"> to health. </w:t>
      </w:r>
    </w:p>
    <w:p w14:paraId="4DC8D7ED" w14:textId="1B3D6F70" w:rsidR="00E70246" w:rsidRDefault="00E70246" w:rsidP="00F8094C">
      <w:pPr>
        <w:keepNext/>
        <w:jc w:val="center"/>
        <w:rPr>
          <w:b/>
          <w:szCs w:val="24"/>
        </w:rPr>
      </w:pPr>
    </w:p>
    <w:p w14:paraId="1EE8D8FB" w14:textId="77777777" w:rsidR="004D2FC7" w:rsidRDefault="004D2FC7" w:rsidP="00F8094C">
      <w:pPr>
        <w:keepNext/>
        <w:jc w:val="center"/>
        <w:rPr>
          <w:b/>
          <w:szCs w:val="24"/>
        </w:rPr>
      </w:pPr>
    </w:p>
    <w:p w14:paraId="2D1076C4" w14:textId="639CD375" w:rsidR="00E70246" w:rsidRDefault="00E7709D" w:rsidP="00F8094C">
      <w:pPr>
        <w:keepNext/>
        <w:rPr>
          <w:b/>
          <w:szCs w:val="24"/>
        </w:rPr>
      </w:pPr>
      <w:r w:rsidRPr="0099299B">
        <w:rPr>
          <w:b/>
          <w:szCs w:val="24"/>
        </w:rPr>
        <w:t>Andrew Simpson</w:t>
      </w:r>
    </w:p>
    <w:p w14:paraId="6BA9049C" w14:textId="5D0EC60C" w:rsidR="00E70246" w:rsidRDefault="00E70246" w:rsidP="00A520AB">
      <w:pPr>
        <w:rPr>
          <w:b/>
          <w:szCs w:val="24"/>
        </w:rPr>
      </w:pPr>
      <w:r>
        <w:rPr>
          <w:b/>
          <w:szCs w:val="24"/>
        </w:rPr>
        <w:t>Acting</w:t>
      </w:r>
      <w:r w:rsidR="00E7709D">
        <w:rPr>
          <w:b/>
          <w:szCs w:val="24"/>
        </w:rPr>
        <w:t xml:space="preserve"> First</w:t>
      </w:r>
      <w:r>
        <w:rPr>
          <w:b/>
          <w:szCs w:val="24"/>
        </w:rPr>
        <w:t xml:space="preserve"> Assistant Secretary</w:t>
      </w:r>
    </w:p>
    <w:p w14:paraId="6B9BD0B1" w14:textId="50ADC321" w:rsidR="00024783" w:rsidRDefault="00E70246" w:rsidP="00F8094C">
      <w:pPr>
        <w:rPr>
          <w:rFonts w:ascii="Calibri" w:eastAsia="Calibri" w:hAnsi="Calibri"/>
          <w:sz w:val="22"/>
          <w:szCs w:val="22"/>
          <w:lang w:eastAsia="en-US"/>
        </w:rPr>
      </w:pPr>
      <w:r>
        <w:rPr>
          <w:b/>
          <w:szCs w:val="24"/>
        </w:rPr>
        <w:t>Medical Benefits Division</w:t>
      </w:r>
    </w:p>
    <w:sectPr w:rsidR="00024783" w:rsidSect="007B6273">
      <w:headerReference w:type="even" r:id="rId8"/>
      <w:headerReference w:type="default" r:id="rId9"/>
      <w:type w:val="continuous"/>
      <w:pgSz w:w="11906" w:h="16838"/>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154A8" w14:textId="77777777" w:rsidR="00E13D66" w:rsidRDefault="00E13D66">
      <w:r>
        <w:separator/>
      </w:r>
    </w:p>
  </w:endnote>
  <w:endnote w:type="continuationSeparator" w:id="0">
    <w:p w14:paraId="1923565A" w14:textId="77777777" w:rsidR="00E13D66" w:rsidRDefault="00E13D66">
      <w:r>
        <w:continuationSeparator/>
      </w:r>
    </w:p>
  </w:endnote>
  <w:endnote w:type="continuationNotice" w:id="1">
    <w:p w14:paraId="57AAD4D9" w14:textId="77777777" w:rsidR="00E13D66" w:rsidRDefault="00E13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98684" w14:textId="77777777" w:rsidR="00E13D66" w:rsidRDefault="00E13D66">
      <w:r>
        <w:separator/>
      </w:r>
    </w:p>
  </w:footnote>
  <w:footnote w:type="continuationSeparator" w:id="0">
    <w:p w14:paraId="78CCCA57" w14:textId="77777777" w:rsidR="00E13D66" w:rsidRDefault="00E13D66">
      <w:r>
        <w:continuationSeparator/>
      </w:r>
    </w:p>
  </w:footnote>
  <w:footnote w:type="continuationNotice" w:id="1">
    <w:p w14:paraId="1103549A" w14:textId="77777777" w:rsidR="00E13D66" w:rsidRDefault="00E13D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5572" w14:textId="77777777" w:rsidR="004709C4" w:rsidRDefault="004709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B2D5A6" w14:textId="77777777" w:rsidR="004709C4" w:rsidRDefault="0047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6D509" w14:textId="2654BF52" w:rsidR="004709C4" w:rsidRDefault="004709C4">
    <w:pPr>
      <w:pStyle w:val="Header"/>
      <w:framePr w:wrap="around" w:vAnchor="text" w:hAnchor="margin" w:xAlign="center" w:y="1"/>
      <w:rPr>
        <w:rStyle w:val="PageNumber"/>
      </w:rPr>
    </w:pPr>
  </w:p>
  <w:p w14:paraId="2567A379" w14:textId="77777777" w:rsidR="004709C4" w:rsidRPr="00D0290E" w:rsidRDefault="004709C4" w:rsidP="00D029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2FD"/>
    <w:multiLevelType w:val="hybridMultilevel"/>
    <w:tmpl w:val="662C04F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F17D4"/>
    <w:multiLevelType w:val="hybridMultilevel"/>
    <w:tmpl w:val="99DAE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26E35"/>
    <w:multiLevelType w:val="hybridMultilevel"/>
    <w:tmpl w:val="6A78D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B4150"/>
    <w:multiLevelType w:val="multilevel"/>
    <w:tmpl w:val="691A926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F4F0E"/>
    <w:multiLevelType w:val="hybridMultilevel"/>
    <w:tmpl w:val="FECA1BE2"/>
    <w:lvl w:ilvl="0" w:tplc="A9221CE6">
      <w:start w:val="1"/>
      <w:numFmt w:val="decimal"/>
      <w:lvlText w:val="%1."/>
      <w:lvlJc w:val="left"/>
      <w:pPr>
        <w:ind w:left="360" w:hanging="360"/>
      </w:pPr>
      <w:rPr>
        <w:rFonts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E1610F"/>
    <w:multiLevelType w:val="hybridMultilevel"/>
    <w:tmpl w:val="445027DA"/>
    <w:lvl w:ilvl="0" w:tplc="77E645EE">
      <w:start w:val="8"/>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256BA0"/>
    <w:multiLevelType w:val="hybridMultilevel"/>
    <w:tmpl w:val="64548308"/>
    <w:lvl w:ilvl="0" w:tplc="3662A1B6">
      <w:start w:val="1"/>
      <w:numFmt w:val="lowerLetter"/>
      <w:lvlText w:val="%1)"/>
      <w:lvlJc w:val="left"/>
      <w:pPr>
        <w:tabs>
          <w:tab w:val="num" w:pos="1875"/>
        </w:tabs>
        <w:ind w:left="1875" w:hanging="390"/>
      </w:pPr>
      <w:rPr>
        <w:rFonts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7" w15:restartNumberingAfterBreak="0">
    <w:nsid w:val="117A2CCD"/>
    <w:multiLevelType w:val="hybridMultilevel"/>
    <w:tmpl w:val="0E74F976"/>
    <w:lvl w:ilvl="0" w:tplc="9C2026F6">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11897249"/>
    <w:multiLevelType w:val="hybridMultilevel"/>
    <w:tmpl w:val="8F58C85C"/>
    <w:lvl w:ilvl="0" w:tplc="DDC43382">
      <w:start w:val="5"/>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A2307E"/>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134A2CE2"/>
    <w:multiLevelType w:val="hybridMultilevel"/>
    <w:tmpl w:val="5114D3A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E530CCE"/>
    <w:multiLevelType w:val="hybridMultilevel"/>
    <w:tmpl w:val="1B5AB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53A12"/>
    <w:multiLevelType w:val="hybridMultilevel"/>
    <w:tmpl w:val="43B62C0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846CB"/>
    <w:multiLevelType w:val="hybridMultilevel"/>
    <w:tmpl w:val="326CBD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832497F"/>
    <w:multiLevelType w:val="hybridMultilevel"/>
    <w:tmpl w:val="B6D0D3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770F8"/>
    <w:multiLevelType w:val="hybridMultilevel"/>
    <w:tmpl w:val="6E1EFF80"/>
    <w:lvl w:ilvl="0" w:tplc="A9221CE6">
      <w:start w:val="1"/>
      <w:numFmt w:val="decimal"/>
      <w:lvlText w:val="%1."/>
      <w:lvlJc w:val="left"/>
      <w:pPr>
        <w:ind w:left="360" w:hanging="360"/>
      </w:pPr>
      <w:rPr>
        <w:rFonts w:hint="default"/>
        <w:b w:val="0"/>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C852BA6"/>
    <w:multiLevelType w:val="hybridMultilevel"/>
    <w:tmpl w:val="69542568"/>
    <w:lvl w:ilvl="0" w:tplc="BD2A76A6">
      <w:start w:val="1"/>
      <w:numFmt w:val="bullet"/>
      <w:lvlText w:val=""/>
      <w:lvlJc w:val="left"/>
      <w:pPr>
        <w:tabs>
          <w:tab w:val="num" w:pos="283"/>
        </w:tabs>
        <w:ind w:left="283" w:hanging="283"/>
      </w:pPr>
      <w:rPr>
        <w:rFonts w:ascii="Symbol" w:hAnsi="Symbol" w:cs="Symbol" w:hint="default"/>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5D6305"/>
    <w:multiLevelType w:val="hybridMultilevel"/>
    <w:tmpl w:val="121AC7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328A0469"/>
    <w:multiLevelType w:val="hybridMultilevel"/>
    <w:tmpl w:val="C4660E54"/>
    <w:lvl w:ilvl="0" w:tplc="C952E44A">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64FBB"/>
    <w:multiLevelType w:val="hybridMultilevel"/>
    <w:tmpl w:val="233AC9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B6C6109"/>
    <w:multiLevelType w:val="hybridMultilevel"/>
    <w:tmpl w:val="5C08093C"/>
    <w:lvl w:ilvl="0" w:tplc="C486D582">
      <w:start w:val="6"/>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BDC1845"/>
    <w:multiLevelType w:val="hybridMultilevel"/>
    <w:tmpl w:val="E634F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211B9B"/>
    <w:multiLevelType w:val="multilevel"/>
    <w:tmpl w:val="7876ABD0"/>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87135"/>
    <w:multiLevelType w:val="hybridMultilevel"/>
    <w:tmpl w:val="8286F1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632AA"/>
    <w:multiLevelType w:val="hybridMultilevel"/>
    <w:tmpl w:val="BFEEC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E345F2"/>
    <w:multiLevelType w:val="hybridMultilevel"/>
    <w:tmpl w:val="44C8428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6" w15:restartNumberingAfterBreak="0">
    <w:nsid w:val="4BA245B4"/>
    <w:multiLevelType w:val="hybridMultilevel"/>
    <w:tmpl w:val="7876ABD0"/>
    <w:lvl w:ilvl="0" w:tplc="182803E0">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4C71B8"/>
    <w:multiLevelType w:val="hybridMultilevel"/>
    <w:tmpl w:val="F0C445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D42C69"/>
    <w:multiLevelType w:val="hybridMultilevel"/>
    <w:tmpl w:val="386843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1B4D82"/>
    <w:multiLevelType w:val="hybridMultilevel"/>
    <w:tmpl w:val="6862DAD2"/>
    <w:lvl w:ilvl="0" w:tplc="66DED830">
      <w:start w:val="1"/>
      <w:numFmt w:val="bullet"/>
      <w:lvlText w:val=""/>
      <w:lvlJc w:val="left"/>
      <w:pPr>
        <w:tabs>
          <w:tab w:val="num" w:pos="357"/>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144413"/>
    <w:multiLevelType w:val="multilevel"/>
    <w:tmpl w:val="86CEFCD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bullet"/>
      <w:lvlText w:val=""/>
      <w:lvlJc w:val="left"/>
      <w:pPr>
        <w:tabs>
          <w:tab w:val="num" w:pos="1561"/>
        </w:tabs>
        <w:ind w:left="1561" w:hanging="851"/>
      </w:pPr>
      <w:rPr>
        <w:rFonts w:ascii="Symbol" w:hAnsi="Symbol"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31" w15:restartNumberingAfterBreak="0">
    <w:nsid w:val="5AF236D6"/>
    <w:multiLevelType w:val="hybridMultilevel"/>
    <w:tmpl w:val="34A2AD1A"/>
    <w:lvl w:ilvl="0" w:tplc="6F021FB2">
      <w:start w:val="10"/>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FBD236F"/>
    <w:multiLevelType w:val="hybridMultilevel"/>
    <w:tmpl w:val="B6E60480"/>
    <w:lvl w:ilvl="0" w:tplc="09DC891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170EEC"/>
    <w:multiLevelType w:val="hybridMultilevel"/>
    <w:tmpl w:val="0F1E34FC"/>
    <w:lvl w:ilvl="0" w:tplc="E866484C">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1194F36"/>
    <w:multiLevelType w:val="hybridMultilevel"/>
    <w:tmpl w:val="09A2C786"/>
    <w:lvl w:ilvl="0" w:tplc="F40052A0">
      <w:start w:val="1"/>
      <w:numFmt w:val="bullet"/>
      <w:lvlText w:val=""/>
      <w:lvlJc w:val="left"/>
      <w:pPr>
        <w:tabs>
          <w:tab w:val="num" w:pos="624"/>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1E7A15"/>
    <w:multiLevelType w:val="hybridMultilevel"/>
    <w:tmpl w:val="DB889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091B7D"/>
    <w:multiLevelType w:val="hybridMultilevel"/>
    <w:tmpl w:val="5EE887CE"/>
    <w:lvl w:ilvl="0" w:tplc="78909D8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7" w15:restartNumberingAfterBreak="0">
    <w:nsid w:val="64902E71"/>
    <w:multiLevelType w:val="hybridMultilevel"/>
    <w:tmpl w:val="3D160254"/>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5541893"/>
    <w:multiLevelType w:val="hybridMultilevel"/>
    <w:tmpl w:val="39E45DA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720D31"/>
    <w:multiLevelType w:val="hybridMultilevel"/>
    <w:tmpl w:val="691A9262"/>
    <w:lvl w:ilvl="0" w:tplc="24D464C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0005A8"/>
    <w:multiLevelType w:val="hybridMultilevel"/>
    <w:tmpl w:val="F16A311C"/>
    <w:lvl w:ilvl="0" w:tplc="FA3C858C">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6E4B09E5"/>
    <w:multiLevelType w:val="hybridMultilevel"/>
    <w:tmpl w:val="367CA87E"/>
    <w:lvl w:ilvl="0" w:tplc="DC88E9F6">
      <w:start w:val="5"/>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E7869"/>
    <w:multiLevelType w:val="hybridMultilevel"/>
    <w:tmpl w:val="36E0B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F56416"/>
    <w:multiLevelType w:val="hybridMultilevel"/>
    <w:tmpl w:val="01D22AAC"/>
    <w:lvl w:ilvl="0" w:tplc="0C090001">
      <w:start w:val="1"/>
      <w:numFmt w:val="bullet"/>
      <w:lvlText w:val=""/>
      <w:lvlJc w:val="left"/>
      <w:pPr>
        <w:tabs>
          <w:tab w:val="num" w:pos="1080"/>
        </w:tabs>
        <w:ind w:left="1080" w:hanging="360"/>
      </w:pPr>
      <w:rPr>
        <w:rFonts w:ascii="Symbol" w:hAnsi="Symbol" w:hint="default"/>
      </w:rPr>
    </w:lvl>
    <w:lvl w:ilvl="1" w:tplc="8DD49256">
      <w:start w:val="1"/>
      <w:numFmt w:val="bullet"/>
      <w:lvlText w:val=""/>
      <w:lvlJc w:val="left"/>
      <w:pPr>
        <w:tabs>
          <w:tab w:val="num" w:pos="1803"/>
        </w:tabs>
        <w:ind w:left="1803" w:hanging="363"/>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6" w15:restartNumberingAfterBreak="0">
    <w:nsid w:val="779605B9"/>
    <w:multiLevelType w:val="hybridMultilevel"/>
    <w:tmpl w:val="E51E57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191271"/>
    <w:multiLevelType w:val="hybridMultilevel"/>
    <w:tmpl w:val="D2162492"/>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79AB5809"/>
    <w:multiLevelType w:val="hybridMultilevel"/>
    <w:tmpl w:val="70A29672"/>
    <w:lvl w:ilvl="0" w:tplc="F588140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541095"/>
    <w:multiLevelType w:val="hybridMultilevel"/>
    <w:tmpl w:val="A18CF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D686147"/>
    <w:multiLevelType w:val="hybridMultilevel"/>
    <w:tmpl w:val="5EF8BCAA"/>
    <w:lvl w:ilvl="0" w:tplc="F93049D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42"/>
  </w:num>
  <w:num w:numId="3">
    <w:abstractNumId w:val="44"/>
  </w:num>
  <w:num w:numId="4">
    <w:abstractNumId w:val="38"/>
  </w:num>
  <w:num w:numId="5">
    <w:abstractNumId w:val="41"/>
  </w:num>
  <w:num w:numId="6">
    <w:abstractNumId w:val="20"/>
  </w:num>
  <w:num w:numId="7">
    <w:abstractNumId w:val="9"/>
  </w:num>
  <w:num w:numId="8">
    <w:abstractNumId w:val="31"/>
  </w:num>
  <w:num w:numId="9">
    <w:abstractNumId w:val="27"/>
  </w:num>
  <w:num w:numId="10">
    <w:abstractNumId w:val="2"/>
  </w:num>
  <w:num w:numId="11">
    <w:abstractNumId w:val="23"/>
  </w:num>
  <w:num w:numId="12">
    <w:abstractNumId w:val="33"/>
  </w:num>
  <w:num w:numId="13">
    <w:abstractNumId w:val="40"/>
  </w:num>
  <w:num w:numId="14">
    <w:abstractNumId w:val="10"/>
  </w:num>
  <w:num w:numId="15">
    <w:abstractNumId w:val="7"/>
  </w:num>
  <w:num w:numId="16">
    <w:abstractNumId w:val="8"/>
  </w:num>
  <w:num w:numId="17">
    <w:abstractNumId w:val="47"/>
  </w:num>
  <w:num w:numId="18">
    <w:abstractNumId w:val="5"/>
  </w:num>
  <w:num w:numId="19">
    <w:abstractNumId w:val="29"/>
  </w:num>
  <w:num w:numId="20">
    <w:abstractNumId w:val="14"/>
  </w:num>
  <w:num w:numId="21">
    <w:abstractNumId w:val="28"/>
  </w:num>
  <w:num w:numId="22">
    <w:abstractNumId w:val="43"/>
  </w:num>
  <w:num w:numId="23">
    <w:abstractNumId w:val="32"/>
  </w:num>
  <w:num w:numId="24">
    <w:abstractNumId w:val="39"/>
  </w:num>
  <w:num w:numId="25">
    <w:abstractNumId w:val="0"/>
  </w:num>
  <w:num w:numId="26">
    <w:abstractNumId w:val="50"/>
  </w:num>
  <w:num w:numId="27">
    <w:abstractNumId w:val="49"/>
  </w:num>
  <w:num w:numId="28">
    <w:abstractNumId w:val="46"/>
  </w:num>
  <w:num w:numId="29">
    <w:abstractNumId w:val="12"/>
  </w:num>
  <w:num w:numId="30">
    <w:abstractNumId w:val="34"/>
  </w:num>
  <w:num w:numId="31">
    <w:abstractNumId w:val="6"/>
  </w:num>
  <w:num w:numId="32">
    <w:abstractNumId w:val="37"/>
  </w:num>
  <w:num w:numId="33">
    <w:abstractNumId w:val="3"/>
  </w:num>
  <w:num w:numId="34">
    <w:abstractNumId w:val="26"/>
  </w:num>
  <w:num w:numId="35">
    <w:abstractNumId w:val="22"/>
  </w:num>
  <w:num w:numId="36">
    <w:abstractNumId w:val="18"/>
  </w:num>
  <w:num w:numId="37">
    <w:abstractNumId w:val="36"/>
  </w:num>
  <w:num w:numId="38">
    <w:abstractNumId w:val="48"/>
  </w:num>
  <w:num w:numId="39">
    <w:abstractNumId w:val="17"/>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6"/>
  </w:num>
  <w:num w:numId="46">
    <w:abstractNumId w:val="11"/>
  </w:num>
  <w:num w:numId="47">
    <w:abstractNumId w:val="15"/>
  </w:num>
  <w:num w:numId="48">
    <w:abstractNumId w:val="4"/>
  </w:num>
  <w:num w:numId="49">
    <w:abstractNumId w:val="35"/>
  </w:num>
  <w:num w:numId="50">
    <w:abstractNumId w:val="1"/>
  </w:num>
  <w:num w:numId="51">
    <w:abstractNumId w:val="24"/>
  </w:num>
  <w:num w:numId="52">
    <w:abstractNumId w:val="21"/>
  </w:num>
  <w:num w:numId="53">
    <w:abstractNumId w:val="19"/>
  </w:num>
  <w:num w:numId="54">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05F"/>
    <w:rsid w:val="00002813"/>
    <w:rsid w:val="00003072"/>
    <w:rsid w:val="0000321D"/>
    <w:rsid w:val="0000395C"/>
    <w:rsid w:val="00003ADD"/>
    <w:rsid w:val="000065DC"/>
    <w:rsid w:val="00010101"/>
    <w:rsid w:val="00010F79"/>
    <w:rsid w:val="0001141A"/>
    <w:rsid w:val="00012E15"/>
    <w:rsid w:val="00013CB6"/>
    <w:rsid w:val="00014753"/>
    <w:rsid w:val="00014798"/>
    <w:rsid w:val="0001486F"/>
    <w:rsid w:val="00014C68"/>
    <w:rsid w:val="0001616C"/>
    <w:rsid w:val="000172CE"/>
    <w:rsid w:val="00020719"/>
    <w:rsid w:val="00021AFA"/>
    <w:rsid w:val="0002234B"/>
    <w:rsid w:val="00023AEF"/>
    <w:rsid w:val="000241B1"/>
    <w:rsid w:val="000244EA"/>
    <w:rsid w:val="00024783"/>
    <w:rsid w:val="00025876"/>
    <w:rsid w:val="000259ED"/>
    <w:rsid w:val="00034212"/>
    <w:rsid w:val="00034F5B"/>
    <w:rsid w:val="00034F7D"/>
    <w:rsid w:val="00040C8D"/>
    <w:rsid w:val="000435C1"/>
    <w:rsid w:val="000438CE"/>
    <w:rsid w:val="0004476D"/>
    <w:rsid w:val="0004484A"/>
    <w:rsid w:val="00045559"/>
    <w:rsid w:val="000502A5"/>
    <w:rsid w:val="00051856"/>
    <w:rsid w:val="0005565B"/>
    <w:rsid w:val="00055773"/>
    <w:rsid w:val="000601E3"/>
    <w:rsid w:val="000602E8"/>
    <w:rsid w:val="00060380"/>
    <w:rsid w:val="00061D1A"/>
    <w:rsid w:val="00062206"/>
    <w:rsid w:val="00062BB9"/>
    <w:rsid w:val="00064431"/>
    <w:rsid w:val="00064C83"/>
    <w:rsid w:val="000656AF"/>
    <w:rsid w:val="000662ED"/>
    <w:rsid w:val="0006664A"/>
    <w:rsid w:val="000674BC"/>
    <w:rsid w:val="000703A1"/>
    <w:rsid w:val="00070623"/>
    <w:rsid w:val="00071E07"/>
    <w:rsid w:val="00071FE1"/>
    <w:rsid w:val="00072044"/>
    <w:rsid w:val="00077015"/>
    <w:rsid w:val="00077490"/>
    <w:rsid w:val="000777FA"/>
    <w:rsid w:val="00081855"/>
    <w:rsid w:val="00083EDC"/>
    <w:rsid w:val="00084D5C"/>
    <w:rsid w:val="00085A5A"/>
    <w:rsid w:val="00086AA6"/>
    <w:rsid w:val="000876A2"/>
    <w:rsid w:val="00094FE0"/>
    <w:rsid w:val="00095493"/>
    <w:rsid w:val="0009712F"/>
    <w:rsid w:val="00097A3A"/>
    <w:rsid w:val="000A3543"/>
    <w:rsid w:val="000A74E4"/>
    <w:rsid w:val="000B0838"/>
    <w:rsid w:val="000B196C"/>
    <w:rsid w:val="000B1A63"/>
    <w:rsid w:val="000B2988"/>
    <w:rsid w:val="000B2B48"/>
    <w:rsid w:val="000B7EE0"/>
    <w:rsid w:val="000C1862"/>
    <w:rsid w:val="000C1AA4"/>
    <w:rsid w:val="000C1FDD"/>
    <w:rsid w:val="000C3A29"/>
    <w:rsid w:val="000C70F1"/>
    <w:rsid w:val="000D06A4"/>
    <w:rsid w:val="000D20EA"/>
    <w:rsid w:val="000D2111"/>
    <w:rsid w:val="000D3B54"/>
    <w:rsid w:val="000D3F0F"/>
    <w:rsid w:val="000D4177"/>
    <w:rsid w:val="000D5619"/>
    <w:rsid w:val="000D6592"/>
    <w:rsid w:val="000D66E6"/>
    <w:rsid w:val="000D6B44"/>
    <w:rsid w:val="000D6D60"/>
    <w:rsid w:val="000E16CA"/>
    <w:rsid w:val="000E2841"/>
    <w:rsid w:val="000E3025"/>
    <w:rsid w:val="000E3586"/>
    <w:rsid w:val="000E4BF6"/>
    <w:rsid w:val="000E5FCA"/>
    <w:rsid w:val="000E60BD"/>
    <w:rsid w:val="000E7AC5"/>
    <w:rsid w:val="000F0625"/>
    <w:rsid w:val="000F1772"/>
    <w:rsid w:val="000F3A0C"/>
    <w:rsid w:val="000F3A18"/>
    <w:rsid w:val="000F4B0E"/>
    <w:rsid w:val="000F6A3B"/>
    <w:rsid w:val="00100B9A"/>
    <w:rsid w:val="00103FB5"/>
    <w:rsid w:val="00105190"/>
    <w:rsid w:val="00112B00"/>
    <w:rsid w:val="00112C22"/>
    <w:rsid w:val="00113801"/>
    <w:rsid w:val="001150E2"/>
    <w:rsid w:val="0011548B"/>
    <w:rsid w:val="001158B8"/>
    <w:rsid w:val="00116809"/>
    <w:rsid w:val="001173E1"/>
    <w:rsid w:val="001305FA"/>
    <w:rsid w:val="00131099"/>
    <w:rsid w:val="00133072"/>
    <w:rsid w:val="00136EF4"/>
    <w:rsid w:val="00140CBA"/>
    <w:rsid w:val="00143E01"/>
    <w:rsid w:val="00143F16"/>
    <w:rsid w:val="0014638F"/>
    <w:rsid w:val="0014661E"/>
    <w:rsid w:val="001477D5"/>
    <w:rsid w:val="00147F9D"/>
    <w:rsid w:val="001502B6"/>
    <w:rsid w:val="001507DC"/>
    <w:rsid w:val="001519AA"/>
    <w:rsid w:val="0015342B"/>
    <w:rsid w:val="00154F2A"/>
    <w:rsid w:val="00156EBC"/>
    <w:rsid w:val="00160A11"/>
    <w:rsid w:val="00160E2C"/>
    <w:rsid w:val="00161272"/>
    <w:rsid w:val="0016152E"/>
    <w:rsid w:val="00161E1F"/>
    <w:rsid w:val="0016231E"/>
    <w:rsid w:val="0016460C"/>
    <w:rsid w:val="00164845"/>
    <w:rsid w:val="00165C2E"/>
    <w:rsid w:val="001666A8"/>
    <w:rsid w:val="00167185"/>
    <w:rsid w:val="001673D6"/>
    <w:rsid w:val="00167472"/>
    <w:rsid w:val="00167CDE"/>
    <w:rsid w:val="00170085"/>
    <w:rsid w:val="00170257"/>
    <w:rsid w:val="00171489"/>
    <w:rsid w:val="00173245"/>
    <w:rsid w:val="00174E75"/>
    <w:rsid w:val="00175206"/>
    <w:rsid w:val="001778EB"/>
    <w:rsid w:val="0018070E"/>
    <w:rsid w:val="00180E60"/>
    <w:rsid w:val="0018151D"/>
    <w:rsid w:val="001829D3"/>
    <w:rsid w:val="001844E3"/>
    <w:rsid w:val="00185EED"/>
    <w:rsid w:val="0018601F"/>
    <w:rsid w:val="00192124"/>
    <w:rsid w:val="0019318F"/>
    <w:rsid w:val="00194A4D"/>
    <w:rsid w:val="00196C24"/>
    <w:rsid w:val="0019715D"/>
    <w:rsid w:val="001A2C97"/>
    <w:rsid w:val="001A45DA"/>
    <w:rsid w:val="001A4F98"/>
    <w:rsid w:val="001A6261"/>
    <w:rsid w:val="001A630B"/>
    <w:rsid w:val="001A7530"/>
    <w:rsid w:val="001A7BA9"/>
    <w:rsid w:val="001B0002"/>
    <w:rsid w:val="001B1763"/>
    <w:rsid w:val="001B188D"/>
    <w:rsid w:val="001B1891"/>
    <w:rsid w:val="001B1BA7"/>
    <w:rsid w:val="001B1BBD"/>
    <w:rsid w:val="001B2A13"/>
    <w:rsid w:val="001B3545"/>
    <w:rsid w:val="001B4B15"/>
    <w:rsid w:val="001B5541"/>
    <w:rsid w:val="001B6364"/>
    <w:rsid w:val="001B7409"/>
    <w:rsid w:val="001C073D"/>
    <w:rsid w:val="001C1E87"/>
    <w:rsid w:val="001C217A"/>
    <w:rsid w:val="001C22B3"/>
    <w:rsid w:val="001C4872"/>
    <w:rsid w:val="001C514B"/>
    <w:rsid w:val="001C6271"/>
    <w:rsid w:val="001C66DD"/>
    <w:rsid w:val="001C6FA7"/>
    <w:rsid w:val="001D05DC"/>
    <w:rsid w:val="001D0D42"/>
    <w:rsid w:val="001D2AEE"/>
    <w:rsid w:val="001D4B25"/>
    <w:rsid w:val="001D4C76"/>
    <w:rsid w:val="001D50B2"/>
    <w:rsid w:val="001D58AA"/>
    <w:rsid w:val="001D76AC"/>
    <w:rsid w:val="001D788B"/>
    <w:rsid w:val="001E1817"/>
    <w:rsid w:val="001E1E7E"/>
    <w:rsid w:val="001E2A7B"/>
    <w:rsid w:val="001E419F"/>
    <w:rsid w:val="001E430E"/>
    <w:rsid w:val="001E60DD"/>
    <w:rsid w:val="001F0BEE"/>
    <w:rsid w:val="001F2C05"/>
    <w:rsid w:val="001F34D7"/>
    <w:rsid w:val="001F414D"/>
    <w:rsid w:val="001F4B1B"/>
    <w:rsid w:val="001F7C23"/>
    <w:rsid w:val="002076F9"/>
    <w:rsid w:val="002119D8"/>
    <w:rsid w:val="00216412"/>
    <w:rsid w:val="00216521"/>
    <w:rsid w:val="002167CC"/>
    <w:rsid w:val="002173D2"/>
    <w:rsid w:val="0022117D"/>
    <w:rsid w:val="00224143"/>
    <w:rsid w:val="00230033"/>
    <w:rsid w:val="002309C4"/>
    <w:rsid w:val="00231758"/>
    <w:rsid w:val="0023205E"/>
    <w:rsid w:val="002327B4"/>
    <w:rsid w:val="00233436"/>
    <w:rsid w:val="0023363E"/>
    <w:rsid w:val="00233CE9"/>
    <w:rsid w:val="0023473B"/>
    <w:rsid w:val="00234DE1"/>
    <w:rsid w:val="002362A8"/>
    <w:rsid w:val="00236497"/>
    <w:rsid w:val="00240FF5"/>
    <w:rsid w:val="002419EA"/>
    <w:rsid w:val="00241BC6"/>
    <w:rsid w:val="00241C11"/>
    <w:rsid w:val="0024225B"/>
    <w:rsid w:val="00243E61"/>
    <w:rsid w:val="00245AD5"/>
    <w:rsid w:val="00245B4C"/>
    <w:rsid w:val="00247E9E"/>
    <w:rsid w:val="00250685"/>
    <w:rsid w:val="00251A9C"/>
    <w:rsid w:val="00253DA5"/>
    <w:rsid w:val="00254FF6"/>
    <w:rsid w:val="00256C3D"/>
    <w:rsid w:val="00256F81"/>
    <w:rsid w:val="00260997"/>
    <w:rsid w:val="00261485"/>
    <w:rsid w:val="002615A7"/>
    <w:rsid w:val="0026208C"/>
    <w:rsid w:val="00265E6C"/>
    <w:rsid w:val="002700B9"/>
    <w:rsid w:val="00270C59"/>
    <w:rsid w:val="0027145F"/>
    <w:rsid w:val="00271B06"/>
    <w:rsid w:val="0027251C"/>
    <w:rsid w:val="0027338B"/>
    <w:rsid w:val="00274096"/>
    <w:rsid w:val="002750AA"/>
    <w:rsid w:val="00276EBA"/>
    <w:rsid w:val="00277013"/>
    <w:rsid w:val="002778AB"/>
    <w:rsid w:val="00277D71"/>
    <w:rsid w:val="00282F18"/>
    <w:rsid w:val="002833DB"/>
    <w:rsid w:val="00283518"/>
    <w:rsid w:val="00284395"/>
    <w:rsid w:val="002855C5"/>
    <w:rsid w:val="00286224"/>
    <w:rsid w:val="002865A3"/>
    <w:rsid w:val="00287DAA"/>
    <w:rsid w:val="00287E1D"/>
    <w:rsid w:val="0029055E"/>
    <w:rsid w:val="002909E7"/>
    <w:rsid w:val="002917F1"/>
    <w:rsid w:val="002920A2"/>
    <w:rsid w:val="00292BFB"/>
    <w:rsid w:val="002973A6"/>
    <w:rsid w:val="002975FF"/>
    <w:rsid w:val="00297BE3"/>
    <w:rsid w:val="002A1384"/>
    <w:rsid w:val="002A15B9"/>
    <w:rsid w:val="002A2F0A"/>
    <w:rsid w:val="002A3E3F"/>
    <w:rsid w:val="002A59B5"/>
    <w:rsid w:val="002A5DA0"/>
    <w:rsid w:val="002A77AE"/>
    <w:rsid w:val="002A7A04"/>
    <w:rsid w:val="002B0531"/>
    <w:rsid w:val="002B151F"/>
    <w:rsid w:val="002B4B59"/>
    <w:rsid w:val="002C28DE"/>
    <w:rsid w:val="002C343F"/>
    <w:rsid w:val="002C4A12"/>
    <w:rsid w:val="002C546F"/>
    <w:rsid w:val="002C556B"/>
    <w:rsid w:val="002C67B2"/>
    <w:rsid w:val="002C6B5B"/>
    <w:rsid w:val="002C7302"/>
    <w:rsid w:val="002D0A2F"/>
    <w:rsid w:val="002D0E29"/>
    <w:rsid w:val="002D0FC9"/>
    <w:rsid w:val="002D15E3"/>
    <w:rsid w:val="002D441D"/>
    <w:rsid w:val="002D5038"/>
    <w:rsid w:val="002D5B40"/>
    <w:rsid w:val="002E0949"/>
    <w:rsid w:val="002E1BEC"/>
    <w:rsid w:val="002E2BA9"/>
    <w:rsid w:val="002E3183"/>
    <w:rsid w:val="002E332C"/>
    <w:rsid w:val="002E3495"/>
    <w:rsid w:val="002E3858"/>
    <w:rsid w:val="002E44C9"/>
    <w:rsid w:val="002E45FF"/>
    <w:rsid w:val="002E46B1"/>
    <w:rsid w:val="002E5427"/>
    <w:rsid w:val="002E548A"/>
    <w:rsid w:val="002E67E2"/>
    <w:rsid w:val="002F0299"/>
    <w:rsid w:val="002F2501"/>
    <w:rsid w:val="002F25D7"/>
    <w:rsid w:val="002F27EA"/>
    <w:rsid w:val="002F29E5"/>
    <w:rsid w:val="002F3146"/>
    <w:rsid w:val="002F4262"/>
    <w:rsid w:val="002F4988"/>
    <w:rsid w:val="002F4A73"/>
    <w:rsid w:val="002F4CBD"/>
    <w:rsid w:val="002F5C09"/>
    <w:rsid w:val="002F6285"/>
    <w:rsid w:val="002F732B"/>
    <w:rsid w:val="002F73A3"/>
    <w:rsid w:val="00300A1C"/>
    <w:rsid w:val="00303999"/>
    <w:rsid w:val="00304B14"/>
    <w:rsid w:val="00307F61"/>
    <w:rsid w:val="0031037C"/>
    <w:rsid w:val="0031065D"/>
    <w:rsid w:val="0031298D"/>
    <w:rsid w:val="00313AA7"/>
    <w:rsid w:val="00315C42"/>
    <w:rsid w:val="00321C60"/>
    <w:rsid w:val="003272B6"/>
    <w:rsid w:val="003300AA"/>
    <w:rsid w:val="00331B20"/>
    <w:rsid w:val="00332FEB"/>
    <w:rsid w:val="00333B56"/>
    <w:rsid w:val="003344BB"/>
    <w:rsid w:val="003404D8"/>
    <w:rsid w:val="00342B44"/>
    <w:rsid w:val="00343E4F"/>
    <w:rsid w:val="00343EC1"/>
    <w:rsid w:val="00344652"/>
    <w:rsid w:val="003449E7"/>
    <w:rsid w:val="00344FC9"/>
    <w:rsid w:val="00345397"/>
    <w:rsid w:val="003470F4"/>
    <w:rsid w:val="0034772B"/>
    <w:rsid w:val="00350756"/>
    <w:rsid w:val="00350982"/>
    <w:rsid w:val="00350F3D"/>
    <w:rsid w:val="00351CD2"/>
    <w:rsid w:val="003548E0"/>
    <w:rsid w:val="003553CA"/>
    <w:rsid w:val="00357665"/>
    <w:rsid w:val="00360468"/>
    <w:rsid w:val="003612B5"/>
    <w:rsid w:val="00365BB7"/>
    <w:rsid w:val="00365BF2"/>
    <w:rsid w:val="00365C2E"/>
    <w:rsid w:val="0036709E"/>
    <w:rsid w:val="00367795"/>
    <w:rsid w:val="00367879"/>
    <w:rsid w:val="00370123"/>
    <w:rsid w:val="0037092D"/>
    <w:rsid w:val="003715AE"/>
    <w:rsid w:val="00374D39"/>
    <w:rsid w:val="0037566F"/>
    <w:rsid w:val="00375BDB"/>
    <w:rsid w:val="00375F29"/>
    <w:rsid w:val="00376562"/>
    <w:rsid w:val="00376FDE"/>
    <w:rsid w:val="00377D10"/>
    <w:rsid w:val="00380294"/>
    <w:rsid w:val="00380FA3"/>
    <w:rsid w:val="00384126"/>
    <w:rsid w:val="00384A31"/>
    <w:rsid w:val="00385FDF"/>
    <w:rsid w:val="00386463"/>
    <w:rsid w:val="003879F3"/>
    <w:rsid w:val="00390178"/>
    <w:rsid w:val="00390E8C"/>
    <w:rsid w:val="0039186D"/>
    <w:rsid w:val="00392973"/>
    <w:rsid w:val="003945BE"/>
    <w:rsid w:val="00394728"/>
    <w:rsid w:val="00394992"/>
    <w:rsid w:val="00394B83"/>
    <w:rsid w:val="0039705A"/>
    <w:rsid w:val="003A0560"/>
    <w:rsid w:val="003A0884"/>
    <w:rsid w:val="003A2CAE"/>
    <w:rsid w:val="003A42FF"/>
    <w:rsid w:val="003A77E2"/>
    <w:rsid w:val="003A7E5E"/>
    <w:rsid w:val="003B054D"/>
    <w:rsid w:val="003B22E3"/>
    <w:rsid w:val="003B3335"/>
    <w:rsid w:val="003B34CA"/>
    <w:rsid w:val="003B5FE6"/>
    <w:rsid w:val="003B6473"/>
    <w:rsid w:val="003B6609"/>
    <w:rsid w:val="003B705E"/>
    <w:rsid w:val="003B7340"/>
    <w:rsid w:val="003C040F"/>
    <w:rsid w:val="003C0ECF"/>
    <w:rsid w:val="003C528B"/>
    <w:rsid w:val="003C66E9"/>
    <w:rsid w:val="003D174F"/>
    <w:rsid w:val="003D25B4"/>
    <w:rsid w:val="003D27C3"/>
    <w:rsid w:val="003D4004"/>
    <w:rsid w:val="003D4D70"/>
    <w:rsid w:val="003D7967"/>
    <w:rsid w:val="003E14D5"/>
    <w:rsid w:val="003E22A8"/>
    <w:rsid w:val="003E3066"/>
    <w:rsid w:val="003E372C"/>
    <w:rsid w:val="003E520D"/>
    <w:rsid w:val="003E78C0"/>
    <w:rsid w:val="003E7B55"/>
    <w:rsid w:val="003E7B8D"/>
    <w:rsid w:val="003E7E18"/>
    <w:rsid w:val="003F713F"/>
    <w:rsid w:val="004008A7"/>
    <w:rsid w:val="00400DB2"/>
    <w:rsid w:val="00402421"/>
    <w:rsid w:val="00403B5D"/>
    <w:rsid w:val="00405205"/>
    <w:rsid w:val="00405CF7"/>
    <w:rsid w:val="00406446"/>
    <w:rsid w:val="00406964"/>
    <w:rsid w:val="00412334"/>
    <w:rsid w:val="00412788"/>
    <w:rsid w:val="00412877"/>
    <w:rsid w:val="0041329F"/>
    <w:rsid w:val="0041494D"/>
    <w:rsid w:val="00414E71"/>
    <w:rsid w:val="0041638B"/>
    <w:rsid w:val="00421C60"/>
    <w:rsid w:val="00421D71"/>
    <w:rsid w:val="00423B5F"/>
    <w:rsid w:val="0042406B"/>
    <w:rsid w:val="004256F4"/>
    <w:rsid w:val="00425811"/>
    <w:rsid w:val="00427285"/>
    <w:rsid w:val="00432C38"/>
    <w:rsid w:val="004344DF"/>
    <w:rsid w:val="004354C4"/>
    <w:rsid w:val="00435BAA"/>
    <w:rsid w:val="00435CCC"/>
    <w:rsid w:val="004373E0"/>
    <w:rsid w:val="00440CD7"/>
    <w:rsid w:val="0044196B"/>
    <w:rsid w:val="00441C72"/>
    <w:rsid w:val="0044276A"/>
    <w:rsid w:val="00443763"/>
    <w:rsid w:val="00444001"/>
    <w:rsid w:val="0044480D"/>
    <w:rsid w:val="0044585B"/>
    <w:rsid w:val="00445FFC"/>
    <w:rsid w:val="004462F5"/>
    <w:rsid w:val="004467F9"/>
    <w:rsid w:val="00446C80"/>
    <w:rsid w:val="00446FB5"/>
    <w:rsid w:val="00447751"/>
    <w:rsid w:val="00451BE1"/>
    <w:rsid w:val="004527AE"/>
    <w:rsid w:val="00453252"/>
    <w:rsid w:val="0045394B"/>
    <w:rsid w:val="00456323"/>
    <w:rsid w:val="004564CD"/>
    <w:rsid w:val="00457D21"/>
    <w:rsid w:val="00460781"/>
    <w:rsid w:val="004616A1"/>
    <w:rsid w:val="0046256F"/>
    <w:rsid w:val="00464C1B"/>
    <w:rsid w:val="004655D3"/>
    <w:rsid w:val="0046692A"/>
    <w:rsid w:val="004709C4"/>
    <w:rsid w:val="00470B92"/>
    <w:rsid w:val="00471339"/>
    <w:rsid w:val="00471552"/>
    <w:rsid w:val="00471AA2"/>
    <w:rsid w:val="004735D1"/>
    <w:rsid w:val="00473DF6"/>
    <w:rsid w:val="004747E8"/>
    <w:rsid w:val="00475C44"/>
    <w:rsid w:val="004764E8"/>
    <w:rsid w:val="004766BF"/>
    <w:rsid w:val="00476B47"/>
    <w:rsid w:val="00477673"/>
    <w:rsid w:val="00477E67"/>
    <w:rsid w:val="004816AF"/>
    <w:rsid w:val="00481ADE"/>
    <w:rsid w:val="00481BB2"/>
    <w:rsid w:val="00482A75"/>
    <w:rsid w:val="00483509"/>
    <w:rsid w:val="00485438"/>
    <w:rsid w:val="004854AF"/>
    <w:rsid w:val="00485A74"/>
    <w:rsid w:val="00485E7B"/>
    <w:rsid w:val="00486037"/>
    <w:rsid w:val="00490A2D"/>
    <w:rsid w:val="00493600"/>
    <w:rsid w:val="00493CB2"/>
    <w:rsid w:val="00493CEA"/>
    <w:rsid w:val="00495DE2"/>
    <w:rsid w:val="00496084"/>
    <w:rsid w:val="004963BC"/>
    <w:rsid w:val="00496B12"/>
    <w:rsid w:val="00497721"/>
    <w:rsid w:val="004A4785"/>
    <w:rsid w:val="004A5BE7"/>
    <w:rsid w:val="004A7CB2"/>
    <w:rsid w:val="004B1FFD"/>
    <w:rsid w:val="004B22AE"/>
    <w:rsid w:val="004B2452"/>
    <w:rsid w:val="004B2CA6"/>
    <w:rsid w:val="004B3FD7"/>
    <w:rsid w:val="004B5813"/>
    <w:rsid w:val="004B6038"/>
    <w:rsid w:val="004B679F"/>
    <w:rsid w:val="004B6FD8"/>
    <w:rsid w:val="004C1DF0"/>
    <w:rsid w:val="004C2331"/>
    <w:rsid w:val="004C3238"/>
    <w:rsid w:val="004C3BD4"/>
    <w:rsid w:val="004C41ED"/>
    <w:rsid w:val="004C5166"/>
    <w:rsid w:val="004C5571"/>
    <w:rsid w:val="004D0194"/>
    <w:rsid w:val="004D02E9"/>
    <w:rsid w:val="004D072B"/>
    <w:rsid w:val="004D2FC7"/>
    <w:rsid w:val="004D5F7C"/>
    <w:rsid w:val="004D60B9"/>
    <w:rsid w:val="004D6670"/>
    <w:rsid w:val="004D686B"/>
    <w:rsid w:val="004D6FB3"/>
    <w:rsid w:val="004D7BDB"/>
    <w:rsid w:val="004E307D"/>
    <w:rsid w:val="004E49FE"/>
    <w:rsid w:val="004E4B3A"/>
    <w:rsid w:val="004E5443"/>
    <w:rsid w:val="004E5688"/>
    <w:rsid w:val="004E58C3"/>
    <w:rsid w:val="004E5F2B"/>
    <w:rsid w:val="004E6613"/>
    <w:rsid w:val="004E79B9"/>
    <w:rsid w:val="004F0448"/>
    <w:rsid w:val="004F11D3"/>
    <w:rsid w:val="004F1FC0"/>
    <w:rsid w:val="004F48C0"/>
    <w:rsid w:val="004F4F60"/>
    <w:rsid w:val="004F5CC3"/>
    <w:rsid w:val="004F71AB"/>
    <w:rsid w:val="00500D13"/>
    <w:rsid w:val="0050272C"/>
    <w:rsid w:val="00504FC6"/>
    <w:rsid w:val="00505331"/>
    <w:rsid w:val="00505F8E"/>
    <w:rsid w:val="005061F6"/>
    <w:rsid w:val="005126E2"/>
    <w:rsid w:val="005134DB"/>
    <w:rsid w:val="00513731"/>
    <w:rsid w:val="00514C4A"/>
    <w:rsid w:val="0051711C"/>
    <w:rsid w:val="005200BD"/>
    <w:rsid w:val="00521722"/>
    <w:rsid w:val="0052219B"/>
    <w:rsid w:val="00526D8A"/>
    <w:rsid w:val="005273EE"/>
    <w:rsid w:val="0053024E"/>
    <w:rsid w:val="00530DD7"/>
    <w:rsid w:val="00531987"/>
    <w:rsid w:val="00531AE0"/>
    <w:rsid w:val="0053207C"/>
    <w:rsid w:val="00532747"/>
    <w:rsid w:val="005409D1"/>
    <w:rsid w:val="00541A8B"/>
    <w:rsid w:val="005439D6"/>
    <w:rsid w:val="00545283"/>
    <w:rsid w:val="00545EDC"/>
    <w:rsid w:val="00545FF9"/>
    <w:rsid w:val="005466F6"/>
    <w:rsid w:val="00546D0B"/>
    <w:rsid w:val="005470AD"/>
    <w:rsid w:val="005520B7"/>
    <w:rsid w:val="00553749"/>
    <w:rsid w:val="005541DD"/>
    <w:rsid w:val="00554258"/>
    <w:rsid w:val="005548DF"/>
    <w:rsid w:val="005549C3"/>
    <w:rsid w:val="00554B74"/>
    <w:rsid w:val="005571AB"/>
    <w:rsid w:val="005572A2"/>
    <w:rsid w:val="005572C5"/>
    <w:rsid w:val="00560D42"/>
    <w:rsid w:val="00562997"/>
    <w:rsid w:val="00563298"/>
    <w:rsid w:val="005636FC"/>
    <w:rsid w:val="005679F8"/>
    <w:rsid w:val="00571FFC"/>
    <w:rsid w:val="00573B58"/>
    <w:rsid w:val="00574215"/>
    <w:rsid w:val="00575A24"/>
    <w:rsid w:val="00576F78"/>
    <w:rsid w:val="005775B1"/>
    <w:rsid w:val="005807D6"/>
    <w:rsid w:val="0058305B"/>
    <w:rsid w:val="005836DA"/>
    <w:rsid w:val="00586A3D"/>
    <w:rsid w:val="00586C54"/>
    <w:rsid w:val="00587B1D"/>
    <w:rsid w:val="00590B62"/>
    <w:rsid w:val="0059108D"/>
    <w:rsid w:val="00591AC2"/>
    <w:rsid w:val="005925E5"/>
    <w:rsid w:val="005928F0"/>
    <w:rsid w:val="005949E2"/>
    <w:rsid w:val="0059597A"/>
    <w:rsid w:val="00595BCA"/>
    <w:rsid w:val="0059600E"/>
    <w:rsid w:val="00596227"/>
    <w:rsid w:val="00596597"/>
    <w:rsid w:val="00596F3B"/>
    <w:rsid w:val="005A0141"/>
    <w:rsid w:val="005A0275"/>
    <w:rsid w:val="005A096A"/>
    <w:rsid w:val="005A1082"/>
    <w:rsid w:val="005A2817"/>
    <w:rsid w:val="005A2A60"/>
    <w:rsid w:val="005A54B6"/>
    <w:rsid w:val="005A557D"/>
    <w:rsid w:val="005B2411"/>
    <w:rsid w:val="005B390E"/>
    <w:rsid w:val="005B4219"/>
    <w:rsid w:val="005B4A50"/>
    <w:rsid w:val="005B61E0"/>
    <w:rsid w:val="005B6354"/>
    <w:rsid w:val="005C01C3"/>
    <w:rsid w:val="005C0F67"/>
    <w:rsid w:val="005C11C6"/>
    <w:rsid w:val="005C217C"/>
    <w:rsid w:val="005C4CD9"/>
    <w:rsid w:val="005C541D"/>
    <w:rsid w:val="005D2A41"/>
    <w:rsid w:val="005D3D89"/>
    <w:rsid w:val="005D4E5C"/>
    <w:rsid w:val="005E123E"/>
    <w:rsid w:val="005E2D86"/>
    <w:rsid w:val="005E50CA"/>
    <w:rsid w:val="005E71A2"/>
    <w:rsid w:val="005E7BA0"/>
    <w:rsid w:val="005F2D7C"/>
    <w:rsid w:val="005F3B70"/>
    <w:rsid w:val="005F44C4"/>
    <w:rsid w:val="005F5A36"/>
    <w:rsid w:val="005F6CF5"/>
    <w:rsid w:val="006011A5"/>
    <w:rsid w:val="0061048D"/>
    <w:rsid w:val="006111E5"/>
    <w:rsid w:val="006169E9"/>
    <w:rsid w:val="00620973"/>
    <w:rsid w:val="00620F4D"/>
    <w:rsid w:val="006215D8"/>
    <w:rsid w:val="00623CDD"/>
    <w:rsid w:val="006273F2"/>
    <w:rsid w:val="00632653"/>
    <w:rsid w:val="0063475F"/>
    <w:rsid w:val="00635D15"/>
    <w:rsid w:val="00637415"/>
    <w:rsid w:val="006378B1"/>
    <w:rsid w:val="006424D6"/>
    <w:rsid w:val="0064299E"/>
    <w:rsid w:val="006437A7"/>
    <w:rsid w:val="00643D30"/>
    <w:rsid w:val="00643D37"/>
    <w:rsid w:val="00643F42"/>
    <w:rsid w:val="00644163"/>
    <w:rsid w:val="0064469A"/>
    <w:rsid w:val="00645D3F"/>
    <w:rsid w:val="006466B7"/>
    <w:rsid w:val="006467CD"/>
    <w:rsid w:val="00646DBB"/>
    <w:rsid w:val="006527ED"/>
    <w:rsid w:val="00652C7A"/>
    <w:rsid w:val="0065391E"/>
    <w:rsid w:val="0065398B"/>
    <w:rsid w:val="0065491C"/>
    <w:rsid w:val="00655EEF"/>
    <w:rsid w:val="006567FC"/>
    <w:rsid w:val="00657833"/>
    <w:rsid w:val="006579EA"/>
    <w:rsid w:val="00657FB1"/>
    <w:rsid w:val="006612A2"/>
    <w:rsid w:val="00664B10"/>
    <w:rsid w:val="00666CDA"/>
    <w:rsid w:val="00667994"/>
    <w:rsid w:val="00667E6F"/>
    <w:rsid w:val="00670246"/>
    <w:rsid w:val="00670D92"/>
    <w:rsid w:val="006753A2"/>
    <w:rsid w:val="0067582A"/>
    <w:rsid w:val="00676ABE"/>
    <w:rsid w:val="00677186"/>
    <w:rsid w:val="00677281"/>
    <w:rsid w:val="006809B4"/>
    <w:rsid w:val="006809E2"/>
    <w:rsid w:val="006817B0"/>
    <w:rsid w:val="00684795"/>
    <w:rsid w:val="0069145A"/>
    <w:rsid w:val="0069318B"/>
    <w:rsid w:val="00693BF2"/>
    <w:rsid w:val="00694301"/>
    <w:rsid w:val="006950EB"/>
    <w:rsid w:val="00695A29"/>
    <w:rsid w:val="00696129"/>
    <w:rsid w:val="00696C5C"/>
    <w:rsid w:val="00697CB9"/>
    <w:rsid w:val="006A0238"/>
    <w:rsid w:val="006A1186"/>
    <w:rsid w:val="006A2EF1"/>
    <w:rsid w:val="006A6B2C"/>
    <w:rsid w:val="006B1335"/>
    <w:rsid w:val="006B1E07"/>
    <w:rsid w:val="006B34C6"/>
    <w:rsid w:val="006B561F"/>
    <w:rsid w:val="006B593E"/>
    <w:rsid w:val="006B6E67"/>
    <w:rsid w:val="006B7354"/>
    <w:rsid w:val="006B7904"/>
    <w:rsid w:val="006C004D"/>
    <w:rsid w:val="006C0380"/>
    <w:rsid w:val="006C04B0"/>
    <w:rsid w:val="006C146B"/>
    <w:rsid w:val="006C1D55"/>
    <w:rsid w:val="006C3857"/>
    <w:rsid w:val="006C3C82"/>
    <w:rsid w:val="006C74ED"/>
    <w:rsid w:val="006D0133"/>
    <w:rsid w:val="006D027D"/>
    <w:rsid w:val="006D2F41"/>
    <w:rsid w:val="006D4C48"/>
    <w:rsid w:val="006D4CBF"/>
    <w:rsid w:val="006D5F1F"/>
    <w:rsid w:val="006D7663"/>
    <w:rsid w:val="006D7A8C"/>
    <w:rsid w:val="006E03AB"/>
    <w:rsid w:val="006E3144"/>
    <w:rsid w:val="006E333D"/>
    <w:rsid w:val="006E407F"/>
    <w:rsid w:val="006E4989"/>
    <w:rsid w:val="006E5AE1"/>
    <w:rsid w:val="006F0475"/>
    <w:rsid w:val="006F1D16"/>
    <w:rsid w:val="006F369C"/>
    <w:rsid w:val="006F5840"/>
    <w:rsid w:val="006F5F58"/>
    <w:rsid w:val="006F7179"/>
    <w:rsid w:val="00700D55"/>
    <w:rsid w:val="00701459"/>
    <w:rsid w:val="00701BFB"/>
    <w:rsid w:val="0070260B"/>
    <w:rsid w:val="00705005"/>
    <w:rsid w:val="007051BD"/>
    <w:rsid w:val="00706F5E"/>
    <w:rsid w:val="00710FBF"/>
    <w:rsid w:val="00713703"/>
    <w:rsid w:val="007206A8"/>
    <w:rsid w:val="00720850"/>
    <w:rsid w:val="00721001"/>
    <w:rsid w:val="00722B6B"/>
    <w:rsid w:val="00723A50"/>
    <w:rsid w:val="00723F7C"/>
    <w:rsid w:val="00724372"/>
    <w:rsid w:val="0072447C"/>
    <w:rsid w:val="00724A8E"/>
    <w:rsid w:val="007254C8"/>
    <w:rsid w:val="00725C1E"/>
    <w:rsid w:val="00726FF7"/>
    <w:rsid w:val="00730772"/>
    <w:rsid w:val="00730F5B"/>
    <w:rsid w:val="007311E0"/>
    <w:rsid w:val="0073288F"/>
    <w:rsid w:val="007344DE"/>
    <w:rsid w:val="007349C3"/>
    <w:rsid w:val="00734E4D"/>
    <w:rsid w:val="007356F4"/>
    <w:rsid w:val="00741A63"/>
    <w:rsid w:val="00742AD7"/>
    <w:rsid w:val="0074346B"/>
    <w:rsid w:val="00744CDF"/>
    <w:rsid w:val="00745012"/>
    <w:rsid w:val="00745480"/>
    <w:rsid w:val="00746B05"/>
    <w:rsid w:val="00751132"/>
    <w:rsid w:val="00751AF6"/>
    <w:rsid w:val="007549C0"/>
    <w:rsid w:val="00754A98"/>
    <w:rsid w:val="00760C96"/>
    <w:rsid w:val="00766639"/>
    <w:rsid w:val="00766CDB"/>
    <w:rsid w:val="00771E4C"/>
    <w:rsid w:val="0077437D"/>
    <w:rsid w:val="00775D3A"/>
    <w:rsid w:val="00775EA8"/>
    <w:rsid w:val="00776D1E"/>
    <w:rsid w:val="007776E1"/>
    <w:rsid w:val="0077789D"/>
    <w:rsid w:val="007779F2"/>
    <w:rsid w:val="00781A12"/>
    <w:rsid w:val="0078397D"/>
    <w:rsid w:val="00786AAE"/>
    <w:rsid w:val="00787FF2"/>
    <w:rsid w:val="007915E4"/>
    <w:rsid w:val="00792727"/>
    <w:rsid w:val="0079343D"/>
    <w:rsid w:val="00793B2F"/>
    <w:rsid w:val="00794DFE"/>
    <w:rsid w:val="007955A0"/>
    <w:rsid w:val="007A1E9C"/>
    <w:rsid w:val="007A3599"/>
    <w:rsid w:val="007A35AC"/>
    <w:rsid w:val="007A4D4C"/>
    <w:rsid w:val="007A50BA"/>
    <w:rsid w:val="007A538B"/>
    <w:rsid w:val="007B0F35"/>
    <w:rsid w:val="007B14C1"/>
    <w:rsid w:val="007B2BF9"/>
    <w:rsid w:val="007B2E03"/>
    <w:rsid w:val="007B345A"/>
    <w:rsid w:val="007B3D8C"/>
    <w:rsid w:val="007B3F03"/>
    <w:rsid w:val="007B5141"/>
    <w:rsid w:val="007B534D"/>
    <w:rsid w:val="007B5BFB"/>
    <w:rsid w:val="007B6273"/>
    <w:rsid w:val="007B6468"/>
    <w:rsid w:val="007B6FCE"/>
    <w:rsid w:val="007C01BE"/>
    <w:rsid w:val="007C21B8"/>
    <w:rsid w:val="007C3140"/>
    <w:rsid w:val="007C417D"/>
    <w:rsid w:val="007C5769"/>
    <w:rsid w:val="007C6BFD"/>
    <w:rsid w:val="007C7BA2"/>
    <w:rsid w:val="007D2A44"/>
    <w:rsid w:val="007D63BF"/>
    <w:rsid w:val="007D68B0"/>
    <w:rsid w:val="007E4934"/>
    <w:rsid w:val="007E5F8B"/>
    <w:rsid w:val="007E63D6"/>
    <w:rsid w:val="007E7875"/>
    <w:rsid w:val="007E7A60"/>
    <w:rsid w:val="007E7C32"/>
    <w:rsid w:val="007F1AC9"/>
    <w:rsid w:val="007F1D5B"/>
    <w:rsid w:val="007F367B"/>
    <w:rsid w:val="007F3CAC"/>
    <w:rsid w:val="007F5BFA"/>
    <w:rsid w:val="007F6293"/>
    <w:rsid w:val="007F6549"/>
    <w:rsid w:val="00801D23"/>
    <w:rsid w:val="0080358D"/>
    <w:rsid w:val="00803DB6"/>
    <w:rsid w:val="00803EFE"/>
    <w:rsid w:val="00804776"/>
    <w:rsid w:val="00804F36"/>
    <w:rsid w:val="00805E9C"/>
    <w:rsid w:val="00805EFA"/>
    <w:rsid w:val="008060C5"/>
    <w:rsid w:val="00807CDF"/>
    <w:rsid w:val="00810236"/>
    <w:rsid w:val="0081160C"/>
    <w:rsid w:val="00811E34"/>
    <w:rsid w:val="00812B95"/>
    <w:rsid w:val="00813DC4"/>
    <w:rsid w:val="00814988"/>
    <w:rsid w:val="00814B24"/>
    <w:rsid w:val="00814C5B"/>
    <w:rsid w:val="00814D01"/>
    <w:rsid w:val="0081507E"/>
    <w:rsid w:val="008152DF"/>
    <w:rsid w:val="00815BC2"/>
    <w:rsid w:val="008161BD"/>
    <w:rsid w:val="008167DE"/>
    <w:rsid w:val="00820FAA"/>
    <w:rsid w:val="00821B06"/>
    <w:rsid w:val="00822560"/>
    <w:rsid w:val="00822744"/>
    <w:rsid w:val="00823E86"/>
    <w:rsid w:val="0082445D"/>
    <w:rsid w:val="00824855"/>
    <w:rsid w:val="00825927"/>
    <w:rsid w:val="0082647A"/>
    <w:rsid w:val="00827E45"/>
    <w:rsid w:val="00830C82"/>
    <w:rsid w:val="008311F0"/>
    <w:rsid w:val="0083415B"/>
    <w:rsid w:val="0083426D"/>
    <w:rsid w:val="00834A37"/>
    <w:rsid w:val="0084010A"/>
    <w:rsid w:val="008407B3"/>
    <w:rsid w:val="008407EC"/>
    <w:rsid w:val="00842EDC"/>
    <w:rsid w:val="008439BD"/>
    <w:rsid w:val="0084794C"/>
    <w:rsid w:val="008479B9"/>
    <w:rsid w:val="00847FE9"/>
    <w:rsid w:val="00850972"/>
    <w:rsid w:val="00850B39"/>
    <w:rsid w:val="008513E5"/>
    <w:rsid w:val="008531B3"/>
    <w:rsid w:val="008546F3"/>
    <w:rsid w:val="0085489B"/>
    <w:rsid w:val="008615D7"/>
    <w:rsid w:val="00861B96"/>
    <w:rsid w:val="00862769"/>
    <w:rsid w:val="008634D6"/>
    <w:rsid w:val="00863762"/>
    <w:rsid w:val="00864A66"/>
    <w:rsid w:val="008654E5"/>
    <w:rsid w:val="00866C65"/>
    <w:rsid w:val="008670E5"/>
    <w:rsid w:val="00867561"/>
    <w:rsid w:val="00873992"/>
    <w:rsid w:val="00874125"/>
    <w:rsid w:val="00874370"/>
    <w:rsid w:val="0087694F"/>
    <w:rsid w:val="00876C99"/>
    <w:rsid w:val="00882D11"/>
    <w:rsid w:val="00882FB1"/>
    <w:rsid w:val="0088328B"/>
    <w:rsid w:val="00883586"/>
    <w:rsid w:val="0088528A"/>
    <w:rsid w:val="00893117"/>
    <w:rsid w:val="00894789"/>
    <w:rsid w:val="008974D4"/>
    <w:rsid w:val="0089792F"/>
    <w:rsid w:val="008A093F"/>
    <w:rsid w:val="008A0F95"/>
    <w:rsid w:val="008A0FCE"/>
    <w:rsid w:val="008A103A"/>
    <w:rsid w:val="008A2EF1"/>
    <w:rsid w:val="008A670B"/>
    <w:rsid w:val="008A6A00"/>
    <w:rsid w:val="008B1EE7"/>
    <w:rsid w:val="008B32F9"/>
    <w:rsid w:val="008B3497"/>
    <w:rsid w:val="008B3C39"/>
    <w:rsid w:val="008B4837"/>
    <w:rsid w:val="008B782C"/>
    <w:rsid w:val="008C0C13"/>
    <w:rsid w:val="008C3AEA"/>
    <w:rsid w:val="008C5916"/>
    <w:rsid w:val="008C66E3"/>
    <w:rsid w:val="008C76D1"/>
    <w:rsid w:val="008C7A52"/>
    <w:rsid w:val="008D1956"/>
    <w:rsid w:val="008D21FE"/>
    <w:rsid w:val="008D2931"/>
    <w:rsid w:val="008D3222"/>
    <w:rsid w:val="008D4717"/>
    <w:rsid w:val="008E10F1"/>
    <w:rsid w:val="008E281D"/>
    <w:rsid w:val="008E3610"/>
    <w:rsid w:val="008E5800"/>
    <w:rsid w:val="008E651C"/>
    <w:rsid w:val="008E6DE9"/>
    <w:rsid w:val="008E7F4C"/>
    <w:rsid w:val="008F03D4"/>
    <w:rsid w:val="008F09D1"/>
    <w:rsid w:val="008F1C04"/>
    <w:rsid w:val="008F20AA"/>
    <w:rsid w:val="008F5662"/>
    <w:rsid w:val="00901CD2"/>
    <w:rsid w:val="00901EDF"/>
    <w:rsid w:val="00902619"/>
    <w:rsid w:val="00902CD0"/>
    <w:rsid w:val="009068E0"/>
    <w:rsid w:val="009073BA"/>
    <w:rsid w:val="00907AD8"/>
    <w:rsid w:val="00910912"/>
    <w:rsid w:val="00910DE9"/>
    <w:rsid w:val="009117F0"/>
    <w:rsid w:val="00911EE6"/>
    <w:rsid w:val="0091363D"/>
    <w:rsid w:val="0091410B"/>
    <w:rsid w:val="00914B4B"/>
    <w:rsid w:val="00920829"/>
    <w:rsid w:val="00920B1F"/>
    <w:rsid w:val="00920D51"/>
    <w:rsid w:val="00922B3A"/>
    <w:rsid w:val="00924A5C"/>
    <w:rsid w:val="009256CA"/>
    <w:rsid w:val="00925D4C"/>
    <w:rsid w:val="00926C9F"/>
    <w:rsid w:val="00927EB5"/>
    <w:rsid w:val="009308A8"/>
    <w:rsid w:val="00930FAA"/>
    <w:rsid w:val="0093133C"/>
    <w:rsid w:val="0093190C"/>
    <w:rsid w:val="00936049"/>
    <w:rsid w:val="009362F4"/>
    <w:rsid w:val="009404E4"/>
    <w:rsid w:val="0094266F"/>
    <w:rsid w:val="00942D1D"/>
    <w:rsid w:val="0094451A"/>
    <w:rsid w:val="009456CF"/>
    <w:rsid w:val="00945DC9"/>
    <w:rsid w:val="009464C4"/>
    <w:rsid w:val="00947F93"/>
    <w:rsid w:val="00952156"/>
    <w:rsid w:val="00954065"/>
    <w:rsid w:val="009563CE"/>
    <w:rsid w:val="00960C17"/>
    <w:rsid w:val="009664A0"/>
    <w:rsid w:val="00966559"/>
    <w:rsid w:val="0096662F"/>
    <w:rsid w:val="0097006B"/>
    <w:rsid w:val="00970E39"/>
    <w:rsid w:val="00971F0F"/>
    <w:rsid w:val="0097213C"/>
    <w:rsid w:val="00973CC5"/>
    <w:rsid w:val="00976C24"/>
    <w:rsid w:val="00977A3E"/>
    <w:rsid w:val="0098101E"/>
    <w:rsid w:val="00981066"/>
    <w:rsid w:val="009824AF"/>
    <w:rsid w:val="0098343D"/>
    <w:rsid w:val="0098369C"/>
    <w:rsid w:val="0098370C"/>
    <w:rsid w:val="0098565F"/>
    <w:rsid w:val="00985D5E"/>
    <w:rsid w:val="009863AE"/>
    <w:rsid w:val="00987DE5"/>
    <w:rsid w:val="00991A9B"/>
    <w:rsid w:val="0099299B"/>
    <w:rsid w:val="00995754"/>
    <w:rsid w:val="009A02C6"/>
    <w:rsid w:val="009A1DA5"/>
    <w:rsid w:val="009A244C"/>
    <w:rsid w:val="009A28CA"/>
    <w:rsid w:val="009A490A"/>
    <w:rsid w:val="009A4948"/>
    <w:rsid w:val="009A5D1A"/>
    <w:rsid w:val="009A5F19"/>
    <w:rsid w:val="009B05B1"/>
    <w:rsid w:val="009B45B4"/>
    <w:rsid w:val="009B4E32"/>
    <w:rsid w:val="009B59AD"/>
    <w:rsid w:val="009B7691"/>
    <w:rsid w:val="009C3374"/>
    <w:rsid w:val="009C429B"/>
    <w:rsid w:val="009C4500"/>
    <w:rsid w:val="009C500D"/>
    <w:rsid w:val="009C534D"/>
    <w:rsid w:val="009C6674"/>
    <w:rsid w:val="009C73BC"/>
    <w:rsid w:val="009C7CD7"/>
    <w:rsid w:val="009D011D"/>
    <w:rsid w:val="009D1483"/>
    <w:rsid w:val="009D1894"/>
    <w:rsid w:val="009D1FD2"/>
    <w:rsid w:val="009D2A44"/>
    <w:rsid w:val="009D3BCF"/>
    <w:rsid w:val="009D596A"/>
    <w:rsid w:val="009D775D"/>
    <w:rsid w:val="009E41D7"/>
    <w:rsid w:val="009E5BFC"/>
    <w:rsid w:val="009E7191"/>
    <w:rsid w:val="009E7895"/>
    <w:rsid w:val="009F16AD"/>
    <w:rsid w:val="009F1E2C"/>
    <w:rsid w:val="009F25C8"/>
    <w:rsid w:val="009F7CD2"/>
    <w:rsid w:val="00A01A7B"/>
    <w:rsid w:val="00A02349"/>
    <w:rsid w:val="00A03099"/>
    <w:rsid w:val="00A040E4"/>
    <w:rsid w:val="00A0519C"/>
    <w:rsid w:val="00A07364"/>
    <w:rsid w:val="00A1063C"/>
    <w:rsid w:val="00A10DDD"/>
    <w:rsid w:val="00A11DB6"/>
    <w:rsid w:val="00A1321C"/>
    <w:rsid w:val="00A14848"/>
    <w:rsid w:val="00A15C40"/>
    <w:rsid w:val="00A163C5"/>
    <w:rsid w:val="00A17433"/>
    <w:rsid w:val="00A2130E"/>
    <w:rsid w:val="00A21745"/>
    <w:rsid w:val="00A2211B"/>
    <w:rsid w:val="00A22E80"/>
    <w:rsid w:val="00A23A29"/>
    <w:rsid w:val="00A24503"/>
    <w:rsid w:val="00A2450F"/>
    <w:rsid w:val="00A2459C"/>
    <w:rsid w:val="00A25DD2"/>
    <w:rsid w:val="00A26DB2"/>
    <w:rsid w:val="00A30AD0"/>
    <w:rsid w:val="00A314F9"/>
    <w:rsid w:val="00A315E4"/>
    <w:rsid w:val="00A317CC"/>
    <w:rsid w:val="00A31A47"/>
    <w:rsid w:val="00A32F26"/>
    <w:rsid w:val="00A348E5"/>
    <w:rsid w:val="00A37928"/>
    <w:rsid w:val="00A41784"/>
    <w:rsid w:val="00A43800"/>
    <w:rsid w:val="00A440F5"/>
    <w:rsid w:val="00A45EAC"/>
    <w:rsid w:val="00A50179"/>
    <w:rsid w:val="00A50535"/>
    <w:rsid w:val="00A50C93"/>
    <w:rsid w:val="00A514B2"/>
    <w:rsid w:val="00A520AB"/>
    <w:rsid w:val="00A5297D"/>
    <w:rsid w:val="00A531D4"/>
    <w:rsid w:val="00A636AF"/>
    <w:rsid w:val="00A63B38"/>
    <w:rsid w:val="00A63D23"/>
    <w:rsid w:val="00A64082"/>
    <w:rsid w:val="00A65576"/>
    <w:rsid w:val="00A675D9"/>
    <w:rsid w:val="00A679AE"/>
    <w:rsid w:val="00A70676"/>
    <w:rsid w:val="00A753B6"/>
    <w:rsid w:val="00A75F35"/>
    <w:rsid w:val="00A76546"/>
    <w:rsid w:val="00A77AF8"/>
    <w:rsid w:val="00A77E81"/>
    <w:rsid w:val="00A8012A"/>
    <w:rsid w:val="00A804E6"/>
    <w:rsid w:val="00A8119B"/>
    <w:rsid w:val="00A832EA"/>
    <w:rsid w:val="00A85711"/>
    <w:rsid w:val="00A867BC"/>
    <w:rsid w:val="00A90783"/>
    <w:rsid w:val="00A91C26"/>
    <w:rsid w:val="00A93416"/>
    <w:rsid w:val="00A94F46"/>
    <w:rsid w:val="00A96CF0"/>
    <w:rsid w:val="00A977FD"/>
    <w:rsid w:val="00AA0340"/>
    <w:rsid w:val="00AA08E2"/>
    <w:rsid w:val="00AA2AB1"/>
    <w:rsid w:val="00AA4808"/>
    <w:rsid w:val="00AA5253"/>
    <w:rsid w:val="00AB060A"/>
    <w:rsid w:val="00AB096E"/>
    <w:rsid w:val="00AB2EC7"/>
    <w:rsid w:val="00AB3BD3"/>
    <w:rsid w:val="00AB414C"/>
    <w:rsid w:val="00AB4217"/>
    <w:rsid w:val="00AB51D5"/>
    <w:rsid w:val="00AB5518"/>
    <w:rsid w:val="00AB64AC"/>
    <w:rsid w:val="00AB6729"/>
    <w:rsid w:val="00AB71C4"/>
    <w:rsid w:val="00AB7C3C"/>
    <w:rsid w:val="00AC426C"/>
    <w:rsid w:val="00AC6B4D"/>
    <w:rsid w:val="00AD189D"/>
    <w:rsid w:val="00AD2196"/>
    <w:rsid w:val="00AD2AC5"/>
    <w:rsid w:val="00AD64A3"/>
    <w:rsid w:val="00AD72C9"/>
    <w:rsid w:val="00AD7EB6"/>
    <w:rsid w:val="00AE0A4F"/>
    <w:rsid w:val="00AE16E6"/>
    <w:rsid w:val="00AE1A27"/>
    <w:rsid w:val="00AE50CA"/>
    <w:rsid w:val="00AE72DC"/>
    <w:rsid w:val="00AE733D"/>
    <w:rsid w:val="00AF5A3E"/>
    <w:rsid w:val="00AF5AFF"/>
    <w:rsid w:val="00AF67F8"/>
    <w:rsid w:val="00B00475"/>
    <w:rsid w:val="00B0299C"/>
    <w:rsid w:val="00B05A3C"/>
    <w:rsid w:val="00B0713C"/>
    <w:rsid w:val="00B114CC"/>
    <w:rsid w:val="00B12741"/>
    <w:rsid w:val="00B136DC"/>
    <w:rsid w:val="00B15B80"/>
    <w:rsid w:val="00B15CE3"/>
    <w:rsid w:val="00B17001"/>
    <w:rsid w:val="00B17B97"/>
    <w:rsid w:val="00B20139"/>
    <w:rsid w:val="00B21186"/>
    <w:rsid w:val="00B23D61"/>
    <w:rsid w:val="00B23E43"/>
    <w:rsid w:val="00B24631"/>
    <w:rsid w:val="00B24C3C"/>
    <w:rsid w:val="00B26151"/>
    <w:rsid w:val="00B26416"/>
    <w:rsid w:val="00B26E79"/>
    <w:rsid w:val="00B33A8C"/>
    <w:rsid w:val="00B3464B"/>
    <w:rsid w:val="00B354CD"/>
    <w:rsid w:val="00B417C2"/>
    <w:rsid w:val="00B41824"/>
    <w:rsid w:val="00B421D0"/>
    <w:rsid w:val="00B4289F"/>
    <w:rsid w:val="00B45C00"/>
    <w:rsid w:val="00B4749D"/>
    <w:rsid w:val="00B47FF1"/>
    <w:rsid w:val="00B5077A"/>
    <w:rsid w:val="00B519DD"/>
    <w:rsid w:val="00B51A6A"/>
    <w:rsid w:val="00B53675"/>
    <w:rsid w:val="00B53BDA"/>
    <w:rsid w:val="00B53F50"/>
    <w:rsid w:val="00B54F5B"/>
    <w:rsid w:val="00B6025C"/>
    <w:rsid w:val="00B61CE1"/>
    <w:rsid w:val="00B628A1"/>
    <w:rsid w:val="00B6496C"/>
    <w:rsid w:val="00B64B99"/>
    <w:rsid w:val="00B65E65"/>
    <w:rsid w:val="00B66F7B"/>
    <w:rsid w:val="00B71583"/>
    <w:rsid w:val="00B71C53"/>
    <w:rsid w:val="00B73131"/>
    <w:rsid w:val="00B767A4"/>
    <w:rsid w:val="00B76C68"/>
    <w:rsid w:val="00B77623"/>
    <w:rsid w:val="00B80517"/>
    <w:rsid w:val="00B80D6E"/>
    <w:rsid w:val="00B82BC4"/>
    <w:rsid w:val="00B831F7"/>
    <w:rsid w:val="00B83456"/>
    <w:rsid w:val="00B83714"/>
    <w:rsid w:val="00B84E23"/>
    <w:rsid w:val="00B85BF1"/>
    <w:rsid w:val="00B9188B"/>
    <w:rsid w:val="00B922D2"/>
    <w:rsid w:val="00B9299E"/>
    <w:rsid w:val="00B9591F"/>
    <w:rsid w:val="00B96C4C"/>
    <w:rsid w:val="00BA1DF4"/>
    <w:rsid w:val="00BA297E"/>
    <w:rsid w:val="00BA3B07"/>
    <w:rsid w:val="00BA3FF3"/>
    <w:rsid w:val="00BA457B"/>
    <w:rsid w:val="00BA4B1D"/>
    <w:rsid w:val="00BA5A2D"/>
    <w:rsid w:val="00BA6A62"/>
    <w:rsid w:val="00BA7243"/>
    <w:rsid w:val="00BB3236"/>
    <w:rsid w:val="00BB4079"/>
    <w:rsid w:val="00BB4E81"/>
    <w:rsid w:val="00BB5049"/>
    <w:rsid w:val="00BB57B6"/>
    <w:rsid w:val="00BB6645"/>
    <w:rsid w:val="00BB6D4E"/>
    <w:rsid w:val="00BB6DFB"/>
    <w:rsid w:val="00BB7CA0"/>
    <w:rsid w:val="00BC1E85"/>
    <w:rsid w:val="00BC490B"/>
    <w:rsid w:val="00BC5008"/>
    <w:rsid w:val="00BC6599"/>
    <w:rsid w:val="00BC7BCB"/>
    <w:rsid w:val="00BD453D"/>
    <w:rsid w:val="00BD62F3"/>
    <w:rsid w:val="00BD686F"/>
    <w:rsid w:val="00BE24E7"/>
    <w:rsid w:val="00BE2B40"/>
    <w:rsid w:val="00BE3320"/>
    <w:rsid w:val="00BE430C"/>
    <w:rsid w:val="00BE50A2"/>
    <w:rsid w:val="00BE56CC"/>
    <w:rsid w:val="00BF08E8"/>
    <w:rsid w:val="00BF1805"/>
    <w:rsid w:val="00BF32DA"/>
    <w:rsid w:val="00BF41A8"/>
    <w:rsid w:val="00BF4946"/>
    <w:rsid w:val="00BF5A2D"/>
    <w:rsid w:val="00BF601C"/>
    <w:rsid w:val="00BF627D"/>
    <w:rsid w:val="00BF6A77"/>
    <w:rsid w:val="00C035D7"/>
    <w:rsid w:val="00C03F46"/>
    <w:rsid w:val="00C04349"/>
    <w:rsid w:val="00C107BB"/>
    <w:rsid w:val="00C1089E"/>
    <w:rsid w:val="00C12710"/>
    <w:rsid w:val="00C14BD5"/>
    <w:rsid w:val="00C14DC2"/>
    <w:rsid w:val="00C1621F"/>
    <w:rsid w:val="00C170A8"/>
    <w:rsid w:val="00C179D6"/>
    <w:rsid w:val="00C23656"/>
    <w:rsid w:val="00C24DCA"/>
    <w:rsid w:val="00C27F1D"/>
    <w:rsid w:val="00C30F14"/>
    <w:rsid w:val="00C31644"/>
    <w:rsid w:val="00C439C1"/>
    <w:rsid w:val="00C43EA0"/>
    <w:rsid w:val="00C445A1"/>
    <w:rsid w:val="00C44630"/>
    <w:rsid w:val="00C45058"/>
    <w:rsid w:val="00C45114"/>
    <w:rsid w:val="00C47942"/>
    <w:rsid w:val="00C51BD1"/>
    <w:rsid w:val="00C53A04"/>
    <w:rsid w:val="00C54C8E"/>
    <w:rsid w:val="00C55222"/>
    <w:rsid w:val="00C55B16"/>
    <w:rsid w:val="00C56AC1"/>
    <w:rsid w:val="00C60843"/>
    <w:rsid w:val="00C614EB"/>
    <w:rsid w:val="00C62AD8"/>
    <w:rsid w:val="00C65977"/>
    <w:rsid w:val="00C664DC"/>
    <w:rsid w:val="00C66A3B"/>
    <w:rsid w:val="00C70D6F"/>
    <w:rsid w:val="00C70F1E"/>
    <w:rsid w:val="00C74F26"/>
    <w:rsid w:val="00C755F8"/>
    <w:rsid w:val="00C768A3"/>
    <w:rsid w:val="00C81852"/>
    <w:rsid w:val="00C820EF"/>
    <w:rsid w:val="00C82264"/>
    <w:rsid w:val="00C83B57"/>
    <w:rsid w:val="00C8630D"/>
    <w:rsid w:val="00C87554"/>
    <w:rsid w:val="00C87978"/>
    <w:rsid w:val="00C87BB3"/>
    <w:rsid w:val="00C91612"/>
    <w:rsid w:val="00C932E8"/>
    <w:rsid w:val="00C97770"/>
    <w:rsid w:val="00CA107E"/>
    <w:rsid w:val="00CA3368"/>
    <w:rsid w:val="00CA48FB"/>
    <w:rsid w:val="00CA6375"/>
    <w:rsid w:val="00CA7011"/>
    <w:rsid w:val="00CB0412"/>
    <w:rsid w:val="00CB0A99"/>
    <w:rsid w:val="00CB269B"/>
    <w:rsid w:val="00CB33EA"/>
    <w:rsid w:val="00CB5DD3"/>
    <w:rsid w:val="00CB6FE1"/>
    <w:rsid w:val="00CC129C"/>
    <w:rsid w:val="00CC13B7"/>
    <w:rsid w:val="00CC140A"/>
    <w:rsid w:val="00CC18AD"/>
    <w:rsid w:val="00CC1C2A"/>
    <w:rsid w:val="00CC35AB"/>
    <w:rsid w:val="00CC42DC"/>
    <w:rsid w:val="00CC6105"/>
    <w:rsid w:val="00CC7761"/>
    <w:rsid w:val="00CD24BF"/>
    <w:rsid w:val="00CD24D6"/>
    <w:rsid w:val="00CD291B"/>
    <w:rsid w:val="00CD3159"/>
    <w:rsid w:val="00CD342E"/>
    <w:rsid w:val="00CD4A52"/>
    <w:rsid w:val="00CD61C7"/>
    <w:rsid w:val="00CD6F24"/>
    <w:rsid w:val="00CD7E73"/>
    <w:rsid w:val="00CE063A"/>
    <w:rsid w:val="00CE1B84"/>
    <w:rsid w:val="00CE1C70"/>
    <w:rsid w:val="00CE6C0C"/>
    <w:rsid w:val="00CE6D28"/>
    <w:rsid w:val="00CE7F08"/>
    <w:rsid w:val="00CF24DB"/>
    <w:rsid w:val="00CF3F6C"/>
    <w:rsid w:val="00CF53B5"/>
    <w:rsid w:val="00D007E2"/>
    <w:rsid w:val="00D01F1B"/>
    <w:rsid w:val="00D0290E"/>
    <w:rsid w:val="00D02A72"/>
    <w:rsid w:val="00D02F4B"/>
    <w:rsid w:val="00D05461"/>
    <w:rsid w:val="00D059F4"/>
    <w:rsid w:val="00D05BAB"/>
    <w:rsid w:val="00D067D7"/>
    <w:rsid w:val="00D06ABD"/>
    <w:rsid w:val="00D07833"/>
    <w:rsid w:val="00D11689"/>
    <w:rsid w:val="00D13021"/>
    <w:rsid w:val="00D13071"/>
    <w:rsid w:val="00D148F2"/>
    <w:rsid w:val="00D15DA2"/>
    <w:rsid w:val="00D200DD"/>
    <w:rsid w:val="00D20DCB"/>
    <w:rsid w:val="00D23736"/>
    <w:rsid w:val="00D24061"/>
    <w:rsid w:val="00D25F88"/>
    <w:rsid w:val="00D26701"/>
    <w:rsid w:val="00D26711"/>
    <w:rsid w:val="00D27976"/>
    <w:rsid w:val="00D3052A"/>
    <w:rsid w:val="00D32103"/>
    <w:rsid w:val="00D326CE"/>
    <w:rsid w:val="00D33CAE"/>
    <w:rsid w:val="00D3496E"/>
    <w:rsid w:val="00D354E0"/>
    <w:rsid w:val="00D35DC6"/>
    <w:rsid w:val="00D362CC"/>
    <w:rsid w:val="00D36D31"/>
    <w:rsid w:val="00D37A82"/>
    <w:rsid w:val="00D401EB"/>
    <w:rsid w:val="00D404FF"/>
    <w:rsid w:val="00D422BD"/>
    <w:rsid w:val="00D43DBF"/>
    <w:rsid w:val="00D45135"/>
    <w:rsid w:val="00D4600C"/>
    <w:rsid w:val="00D461FF"/>
    <w:rsid w:val="00D46EFE"/>
    <w:rsid w:val="00D47F0E"/>
    <w:rsid w:val="00D5012B"/>
    <w:rsid w:val="00D50C4B"/>
    <w:rsid w:val="00D51838"/>
    <w:rsid w:val="00D519AB"/>
    <w:rsid w:val="00D51A27"/>
    <w:rsid w:val="00D51D93"/>
    <w:rsid w:val="00D531CC"/>
    <w:rsid w:val="00D53FC1"/>
    <w:rsid w:val="00D56399"/>
    <w:rsid w:val="00D56E0C"/>
    <w:rsid w:val="00D570E8"/>
    <w:rsid w:val="00D57F1E"/>
    <w:rsid w:val="00D607A2"/>
    <w:rsid w:val="00D64348"/>
    <w:rsid w:val="00D64B10"/>
    <w:rsid w:val="00D67876"/>
    <w:rsid w:val="00D72377"/>
    <w:rsid w:val="00D74429"/>
    <w:rsid w:val="00D75177"/>
    <w:rsid w:val="00D7533D"/>
    <w:rsid w:val="00D76509"/>
    <w:rsid w:val="00D80B3A"/>
    <w:rsid w:val="00D81A66"/>
    <w:rsid w:val="00D82D81"/>
    <w:rsid w:val="00D831E6"/>
    <w:rsid w:val="00D83F1F"/>
    <w:rsid w:val="00D8496B"/>
    <w:rsid w:val="00D90238"/>
    <w:rsid w:val="00D90E0B"/>
    <w:rsid w:val="00D91E92"/>
    <w:rsid w:val="00D94CD9"/>
    <w:rsid w:val="00D951F7"/>
    <w:rsid w:val="00D955F4"/>
    <w:rsid w:val="00D9652F"/>
    <w:rsid w:val="00D97DF6"/>
    <w:rsid w:val="00DA03E9"/>
    <w:rsid w:val="00DA0A16"/>
    <w:rsid w:val="00DA0D81"/>
    <w:rsid w:val="00DA3BD4"/>
    <w:rsid w:val="00DA47E2"/>
    <w:rsid w:val="00DA510F"/>
    <w:rsid w:val="00DA52F4"/>
    <w:rsid w:val="00DB0BD6"/>
    <w:rsid w:val="00DB1582"/>
    <w:rsid w:val="00DB1D08"/>
    <w:rsid w:val="00DB1EBB"/>
    <w:rsid w:val="00DB2307"/>
    <w:rsid w:val="00DB2AB5"/>
    <w:rsid w:val="00DB2D48"/>
    <w:rsid w:val="00DB4CC6"/>
    <w:rsid w:val="00DB719C"/>
    <w:rsid w:val="00DB7D9F"/>
    <w:rsid w:val="00DC04A3"/>
    <w:rsid w:val="00DC16DC"/>
    <w:rsid w:val="00DC32F4"/>
    <w:rsid w:val="00DC35DE"/>
    <w:rsid w:val="00DC4500"/>
    <w:rsid w:val="00DC6DA8"/>
    <w:rsid w:val="00DC761B"/>
    <w:rsid w:val="00DD1819"/>
    <w:rsid w:val="00DD3939"/>
    <w:rsid w:val="00DD39FA"/>
    <w:rsid w:val="00DD6D55"/>
    <w:rsid w:val="00DE06D4"/>
    <w:rsid w:val="00DE206B"/>
    <w:rsid w:val="00DE325E"/>
    <w:rsid w:val="00DE36C8"/>
    <w:rsid w:val="00DE45B2"/>
    <w:rsid w:val="00DE479A"/>
    <w:rsid w:val="00DE55DF"/>
    <w:rsid w:val="00DE6294"/>
    <w:rsid w:val="00DE70D5"/>
    <w:rsid w:val="00DE7B09"/>
    <w:rsid w:val="00DE7BB7"/>
    <w:rsid w:val="00DE7C8F"/>
    <w:rsid w:val="00DF00D3"/>
    <w:rsid w:val="00DF3B48"/>
    <w:rsid w:val="00DF4087"/>
    <w:rsid w:val="00DF7344"/>
    <w:rsid w:val="00DF7E08"/>
    <w:rsid w:val="00E00449"/>
    <w:rsid w:val="00E00BEC"/>
    <w:rsid w:val="00E01284"/>
    <w:rsid w:val="00E017F0"/>
    <w:rsid w:val="00E040FE"/>
    <w:rsid w:val="00E0623F"/>
    <w:rsid w:val="00E070B6"/>
    <w:rsid w:val="00E07A09"/>
    <w:rsid w:val="00E101CA"/>
    <w:rsid w:val="00E10651"/>
    <w:rsid w:val="00E13AB5"/>
    <w:rsid w:val="00E13D51"/>
    <w:rsid w:val="00E13D66"/>
    <w:rsid w:val="00E154E9"/>
    <w:rsid w:val="00E16AB1"/>
    <w:rsid w:val="00E17433"/>
    <w:rsid w:val="00E17ED6"/>
    <w:rsid w:val="00E17FB7"/>
    <w:rsid w:val="00E21818"/>
    <w:rsid w:val="00E24910"/>
    <w:rsid w:val="00E27369"/>
    <w:rsid w:val="00E33A53"/>
    <w:rsid w:val="00E33B76"/>
    <w:rsid w:val="00E3476D"/>
    <w:rsid w:val="00E35BC9"/>
    <w:rsid w:val="00E3601E"/>
    <w:rsid w:val="00E411E0"/>
    <w:rsid w:val="00E41C95"/>
    <w:rsid w:val="00E4308E"/>
    <w:rsid w:val="00E444BC"/>
    <w:rsid w:val="00E456CD"/>
    <w:rsid w:val="00E45C64"/>
    <w:rsid w:val="00E465C9"/>
    <w:rsid w:val="00E526C7"/>
    <w:rsid w:val="00E52AC3"/>
    <w:rsid w:val="00E52D68"/>
    <w:rsid w:val="00E53580"/>
    <w:rsid w:val="00E53806"/>
    <w:rsid w:val="00E54110"/>
    <w:rsid w:val="00E5471B"/>
    <w:rsid w:val="00E54D15"/>
    <w:rsid w:val="00E557E2"/>
    <w:rsid w:val="00E558FE"/>
    <w:rsid w:val="00E566D5"/>
    <w:rsid w:val="00E57478"/>
    <w:rsid w:val="00E606AA"/>
    <w:rsid w:val="00E62A84"/>
    <w:rsid w:val="00E647AE"/>
    <w:rsid w:val="00E64AE2"/>
    <w:rsid w:val="00E70246"/>
    <w:rsid w:val="00E732F1"/>
    <w:rsid w:val="00E74990"/>
    <w:rsid w:val="00E7565A"/>
    <w:rsid w:val="00E7709D"/>
    <w:rsid w:val="00E80149"/>
    <w:rsid w:val="00E8020A"/>
    <w:rsid w:val="00E805E3"/>
    <w:rsid w:val="00E819A6"/>
    <w:rsid w:val="00E81AE4"/>
    <w:rsid w:val="00E8209E"/>
    <w:rsid w:val="00E856E6"/>
    <w:rsid w:val="00E86AC3"/>
    <w:rsid w:val="00E90315"/>
    <w:rsid w:val="00E90503"/>
    <w:rsid w:val="00E913DF"/>
    <w:rsid w:val="00E91E8B"/>
    <w:rsid w:val="00E941EB"/>
    <w:rsid w:val="00E9622E"/>
    <w:rsid w:val="00E9636F"/>
    <w:rsid w:val="00E96C17"/>
    <w:rsid w:val="00EA025C"/>
    <w:rsid w:val="00EA0606"/>
    <w:rsid w:val="00EA07D4"/>
    <w:rsid w:val="00EA1F62"/>
    <w:rsid w:val="00EA30AD"/>
    <w:rsid w:val="00EA39FB"/>
    <w:rsid w:val="00EA4648"/>
    <w:rsid w:val="00EA78E9"/>
    <w:rsid w:val="00EB1C3F"/>
    <w:rsid w:val="00EB342A"/>
    <w:rsid w:val="00EB4237"/>
    <w:rsid w:val="00EB6506"/>
    <w:rsid w:val="00EB7D16"/>
    <w:rsid w:val="00EC1D4C"/>
    <w:rsid w:val="00EC2564"/>
    <w:rsid w:val="00EC3E1C"/>
    <w:rsid w:val="00EC4331"/>
    <w:rsid w:val="00EC4F9B"/>
    <w:rsid w:val="00EC6CCA"/>
    <w:rsid w:val="00ED1686"/>
    <w:rsid w:val="00ED3815"/>
    <w:rsid w:val="00ED45EE"/>
    <w:rsid w:val="00ED68E1"/>
    <w:rsid w:val="00ED69D2"/>
    <w:rsid w:val="00EE2563"/>
    <w:rsid w:val="00EE277A"/>
    <w:rsid w:val="00EE331E"/>
    <w:rsid w:val="00EE3B62"/>
    <w:rsid w:val="00EE517D"/>
    <w:rsid w:val="00EE65DE"/>
    <w:rsid w:val="00EF15B6"/>
    <w:rsid w:val="00EF374D"/>
    <w:rsid w:val="00EF4586"/>
    <w:rsid w:val="00EF471C"/>
    <w:rsid w:val="00EF592F"/>
    <w:rsid w:val="00EF5EC6"/>
    <w:rsid w:val="00EF6747"/>
    <w:rsid w:val="00F01F3F"/>
    <w:rsid w:val="00F0272B"/>
    <w:rsid w:val="00F02ED9"/>
    <w:rsid w:val="00F045D0"/>
    <w:rsid w:val="00F04703"/>
    <w:rsid w:val="00F0490D"/>
    <w:rsid w:val="00F0508D"/>
    <w:rsid w:val="00F11F31"/>
    <w:rsid w:val="00F126F2"/>
    <w:rsid w:val="00F12A56"/>
    <w:rsid w:val="00F1411D"/>
    <w:rsid w:val="00F14861"/>
    <w:rsid w:val="00F16832"/>
    <w:rsid w:val="00F16BEB"/>
    <w:rsid w:val="00F208C1"/>
    <w:rsid w:val="00F212A0"/>
    <w:rsid w:val="00F2146D"/>
    <w:rsid w:val="00F23353"/>
    <w:rsid w:val="00F23D11"/>
    <w:rsid w:val="00F240BC"/>
    <w:rsid w:val="00F24A2D"/>
    <w:rsid w:val="00F25E02"/>
    <w:rsid w:val="00F25EB9"/>
    <w:rsid w:val="00F27C18"/>
    <w:rsid w:val="00F300FF"/>
    <w:rsid w:val="00F3089A"/>
    <w:rsid w:val="00F30ADF"/>
    <w:rsid w:val="00F314B6"/>
    <w:rsid w:val="00F31EB3"/>
    <w:rsid w:val="00F32035"/>
    <w:rsid w:val="00F32412"/>
    <w:rsid w:val="00F3275A"/>
    <w:rsid w:val="00F3282A"/>
    <w:rsid w:val="00F33CDC"/>
    <w:rsid w:val="00F3465C"/>
    <w:rsid w:val="00F34ABD"/>
    <w:rsid w:val="00F3717E"/>
    <w:rsid w:val="00F37A29"/>
    <w:rsid w:val="00F40B74"/>
    <w:rsid w:val="00F41D89"/>
    <w:rsid w:val="00F4434B"/>
    <w:rsid w:val="00F447F5"/>
    <w:rsid w:val="00F452F4"/>
    <w:rsid w:val="00F5034C"/>
    <w:rsid w:val="00F53517"/>
    <w:rsid w:val="00F53D61"/>
    <w:rsid w:val="00F55B3B"/>
    <w:rsid w:val="00F56A21"/>
    <w:rsid w:val="00F62D37"/>
    <w:rsid w:val="00F6492A"/>
    <w:rsid w:val="00F6543E"/>
    <w:rsid w:val="00F672C1"/>
    <w:rsid w:val="00F714CB"/>
    <w:rsid w:val="00F718EC"/>
    <w:rsid w:val="00F75692"/>
    <w:rsid w:val="00F75844"/>
    <w:rsid w:val="00F765A6"/>
    <w:rsid w:val="00F7667A"/>
    <w:rsid w:val="00F76765"/>
    <w:rsid w:val="00F779EB"/>
    <w:rsid w:val="00F77E50"/>
    <w:rsid w:val="00F8094C"/>
    <w:rsid w:val="00F84536"/>
    <w:rsid w:val="00F848DB"/>
    <w:rsid w:val="00F86C15"/>
    <w:rsid w:val="00F86CCC"/>
    <w:rsid w:val="00F9054B"/>
    <w:rsid w:val="00F92DB5"/>
    <w:rsid w:val="00F93869"/>
    <w:rsid w:val="00F94C81"/>
    <w:rsid w:val="00F953E8"/>
    <w:rsid w:val="00F96190"/>
    <w:rsid w:val="00FA3E14"/>
    <w:rsid w:val="00FA4ED5"/>
    <w:rsid w:val="00FA4FEC"/>
    <w:rsid w:val="00FA679C"/>
    <w:rsid w:val="00FA7516"/>
    <w:rsid w:val="00FB01AB"/>
    <w:rsid w:val="00FB286A"/>
    <w:rsid w:val="00FB3C17"/>
    <w:rsid w:val="00FB465C"/>
    <w:rsid w:val="00FB6C82"/>
    <w:rsid w:val="00FC3B08"/>
    <w:rsid w:val="00FC51EE"/>
    <w:rsid w:val="00FD059A"/>
    <w:rsid w:val="00FD2ECF"/>
    <w:rsid w:val="00FD3B22"/>
    <w:rsid w:val="00FE1967"/>
    <w:rsid w:val="00FE1E8E"/>
    <w:rsid w:val="00FE5348"/>
    <w:rsid w:val="00FE797B"/>
    <w:rsid w:val="00FF01AB"/>
    <w:rsid w:val="00FF02F8"/>
    <w:rsid w:val="00FF310E"/>
    <w:rsid w:val="00FF446E"/>
    <w:rsid w:val="00FF5BD0"/>
    <w:rsid w:val="00FF7A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C8C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paragraph" w:styleId="ListParagraph">
    <w:name w:val="List Paragraph"/>
    <w:basedOn w:val="Normal"/>
    <w:uiPriority w:val="34"/>
    <w:qFormat/>
    <w:rsid w:val="002D5B40"/>
    <w:pPr>
      <w:ind w:left="720"/>
      <w:contextualSpacing/>
    </w:pPr>
  </w:style>
  <w:style w:type="paragraph" w:customStyle="1" w:styleId="Tabletext">
    <w:name w:val="Tabletext"/>
    <w:aliases w:val="tt"/>
    <w:basedOn w:val="Normal"/>
    <w:rsid w:val="00064C83"/>
    <w:pPr>
      <w:spacing w:before="60" w:line="240" w:lineRule="atLeast"/>
    </w:pPr>
    <w:rPr>
      <w:sz w:val="20"/>
    </w:rPr>
  </w:style>
  <w:style w:type="paragraph" w:customStyle="1" w:styleId="TableHeading">
    <w:name w:val="TableHeading"/>
    <w:aliases w:val="th"/>
    <w:basedOn w:val="Normal"/>
    <w:next w:val="Tabletext"/>
    <w:rsid w:val="00064C83"/>
    <w:pPr>
      <w:keepNext/>
      <w:spacing w:before="60"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23101793">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84496">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12246732">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EC5D-4353-402C-B258-AE27D0AD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2031</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2012-03-13T07:46:00Z</cp:lastPrinted>
  <dcterms:created xsi:type="dcterms:W3CDTF">2018-12-16T23:29:00Z</dcterms:created>
  <dcterms:modified xsi:type="dcterms:W3CDTF">2018-12-17T06:07:00Z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