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0A4" w:rsidRDefault="006B00A4">
      <w:pPr>
        <w:spacing w:after="0" w:line="240" w:lineRule="auto"/>
        <w:rPr>
          <w:rFonts w:ascii="Times New Roman" w:hAnsi="Times New Roman" w:cs="Times New Roman"/>
          <w:b/>
          <w:i/>
          <w:sz w:val="28"/>
          <w:szCs w:val="28"/>
          <w:highlight w:val="yellow"/>
        </w:rPr>
      </w:pPr>
    </w:p>
    <w:p w:rsidR="006B00A4" w:rsidRDefault="006B00A4">
      <w:pPr>
        <w:spacing w:after="0" w:line="240" w:lineRule="auto"/>
        <w:rPr>
          <w:rFonts w:ascii="Times New Roman" w:hAnsi="Times New Roman" w:cs="Times New Roman"/>
          <w:b/>
          <w:i/>
          <w:sz w:val="28"/>
          <w:szCs w:val="28"/>
          <w:highlight w:val="yellow"/>
        </w:rPr>
      </w:pPr>
    </w:p>
    <w:p w:rsidR="006B00A4" w:rsidRDefault="006B00A4">
      <w:pPr>
        <w:spacing w:after="0" w:line="240" w:lineRule="auto"/>
        <w:rPr>
          <w:rFonts w:ascii="Times New Roman" w:hAnsi="Times New Roman" w:cs="Times New Roman"/>
          <w:b/>
          <w:i/>
          <w:sz w:val="28"/>
          <w:szCs w:val="28"/>
          <w:highlight w:val="yellow"/>
        </w:rPr>
      </w:pPr>
    </w:p>
    <w:p w:rsidR="006B00A4" w:rsidRDefault="006B00A4" w:rsidP="00EA361F">
      <w:pPr>
        <w:spacing w:after="0" w:line="240" w:lineRule="auto"/>
        <w:jc w:val="center"/>
        <w:rPr>
          <w:rFonts w:ascii="Times New Roman" w:hAnsi="Times New Roman" w:cs="Times New Roman"/>
          <w:sz w:val="28"/>
          <w:szCs w:val="28"/>
        </w:rPr>
      </w:pPr>
    </w:p>
    <w:p w:rsidR="006B00A4" w:rsidRDefault="000D677D" w:rsidP="00EA36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287ACB">
        <w:rPr>
          <w:rFonts w:ascii="Times New Roman" w:hAnsi="Times New Roman" w:cs="Times New Roman"/>
          <w:sz w:val="28"/>
          <w:szCs w:val="28"/>
        </w:rPr>
        <w:t>8</w:t>
      </w:r>
    </w:p>
    <w:p w:rsidR="000D677D" w:rsidRDefault="000D677D" w:rsidP="00EA361F">
      <w:pPr>
        <w:spacing w:after="0" w:line="240" w:lineRule="auto"/>
        <w:jc w:val="center"/>
        <w:rPr>
          <w:rFonts w:ascii="Times New Roman" w:hAnsi="Times New Roman" w:cs="Times New Roman"/>
          <w:sz w:val="28"/>
          <w:szCs w:val="28"/>
        </w:rPr>
      </w:pPr>
    </w:p>
    <w:p w:rsidR="006B00A4" w:rsidRDefault="006B00A4" w:rsidP="00EA361F">
      <w:pPr>
        <w:spacing w:after="0" w:line="240" w:lineRule="auto"/>
        <w:jc w:val="center"/>
        <w:rPr>
          <w:rFonts w:ascii="Times New Roman" w:hAnsi="Times New Roman" w:cs="Times New Roman"/>
          <w:sz w:val="28"/>
          <w:szCs w:val="28"/>
        </w:rPr>
      </w:pPr>
    </w:p>
    <w:p w:rsidR="006B00A4" w:rsidRDefault="002C1A21" w:rsidP="00EA36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6B00A4" w:rsidRDefault="006B00A4" w:rsidP="00EA361F">
      <w:pPr>
        <w:spacing w:after="0" w:line="240" w:lineRule="auto"/>
        <w:jc w:val="center"/>
        <w:rPr>
          <w:rFonts w:ascii="Times New Roman" w:hAnsi="Times New Roman" w:cs="Times New Roman"/>
          <w:sz w:val="28"/>
          <w:szCs w:val="28"/>
        </w:rPr>
      </w:pPr>
    </w:p>
    <w:p w:rsidR="006B00A4" w:rsidRDefault="006B00A4" w:rsidP="00EA36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THE PARLIAMENT OF THE COMMONWEALTH OF AUSTRALIA</w:t>
      </w:r>
    </w:p>
    <w:p w:rsidR="006B00A4" w:rsidRDefault="006B00A4" w:rsidP="00EA361F">
      <w:pPr>
        <w:spacing w:after="0" w:line="240" w:lineRule="auto"/>
        <w:jc w:val="center"/>
        <w:rPr>
          <w:rFonts w:ascii="Times New Roman" w:hAnsi="Times New Roman" w:cs="Times New Roman"/>
          <w:sz w:val="28"/>
          <w:szCs w:val="28"/>
        </w:rPr>
      </w:pPr>
    </w:p>
    <w:p w:rsidR="006B00A4" w:rsidRDefault="006B00A4" w:rsidP="00EA361F">
      <w:pPr>
        <w:spacing w:after="0" w:line="240" w:lineRule="auto"/>
        <w:jc w:val="center"/>
        <w:rPr>
          <w:rFonts w:ascii="Times New Roman" w:hAnsi="Times New Roman" w:cs="Times New Roman"/>
          <w:sz w:val="28"/>
          <w:szCs w:val="28"/>
        </w:rPr>
      </w:pPr>
    </w:p>
    <w:p w:rsidR="006B00A4" w:rsidRDefault="006B00A4" w:rsidP="00EA361F">
      <w:pPr>
        <w:spacing w:after="0" w:line="240" w:lineRule="auto"/>
        <w:jc w:val="center"/>
        <w:rPr>
          <w:rFonts w:ascii="Times New Roman" w:hAnsi="Times New Roman" w:cs="Times New Roman"/>
          <w:sz w:val="28"/>
          <w:szCs w:val="28"/>
        </w:rPr>
      </w:pPr>
    </w:p>
    <w:p w:rsidR="006B00A4" w:rsidRDefault="006B00A4" w:rsidP="00EA361F">
      <w:pPr>
        <w:spacing w:after="0" w:line="240" w:lineRule="auto"/>
        <w:jc w:val="center"/>
        <w:rPr>
          <w:rFonts w:ascii="Times New Roman" w:hAnsi="Times New Roman" w:cs="Times New Roman"/>
          <w:sz w:val="28"/>
          <w:szCs w:val="28"/>
        </w:rPr>
      </w:pPr>
    </w:p>
    <w:p w:rsidR="006B00A4" w:rsidRDefault="006B00A4" w:rsidP="00EA361F">
      <w:pPr>
        <w:spacing w:after="0" w:line="240" w:lineRule="auto"/>
        <w:jc w:val="center"/>
        <w:rPr>
          <w:rFonts w:ascii="Times New Roman" w:hAnsi="Times New Roman" w:cs="Times New Roman"/>
          <w:sz w:val="28"/>
          <w:szCs w:val="28"/>
        </w:rPr>
      </w:pPr>
    </w:p>
    <w:p w:rsidR="006B00A4" w:rsidRDefault="006B00A4" w:rsidP="00EA361F">
      <w:pPr>
        <w:spacing w:after="0" w:line="240" w:lineRule="auto"/>
        <w:jc w:val="center"/>
        <w:rPr>
          <w:rFonts w:ascii="Times New Roman" w:hAnsi="Times New Roman" w:cs="Times New Roman"/>
          <w:sz w:val="28"/>
          <w:szCs w:val="28"/>
        </w:rPr>
      </w:pPr>
    </w:p>
    <w:p w:rsidR="006B00A4" w:rsidRDefault="006B00A4" w:rsidP="00EA361F">
      <w:pPr>
        <w:spacing w:after="0" w:line="240" w:lineRule="auto"/>
        <w:jc w:val="center"/>
        <w:rPr>
          <w:rFonts w:ascii="Times New Roman" w:hAnsi="Times New Roman" w:cs="Times New Roman"/>
          <w:sz w:val="28"/>
          <w:szCs w:val="28"/>
        </w:rPr>
      </w:pPr>
    </w:p>
    <w:p w:rsidR="006B00A4" w:rsidRDefault="006B00A4" w:rsidP="00EA361F">
      <w:pPr>
        <w:spacing w:after="0" w:line="240" w:lineRule="auto"/>
        <w:jc w:val="center"/>
        <w:rPr>
          <w:rFonts w:ascii="Times New Roman" w:hAnsi="Times New Roman" w:cs="Times New Roman"/>
          <w:sz w:val="28"/>
          <w:szCs w:val="28"/>
        </w:rPr>
      </w:pPr>
    </w:p>
    <w:p w:rsidR="006B00A4" w:rsidRDefault="006B00A4" w:rsidP="00EA361F">
      <w:pPr>
        <w:spacing w:after="0" w:line="240" w:lineRule="auto"/>
        <w:jc w:val="center"/>
        <w:rPr>
          <w:rFonts w:ascii="Times New Roman" w:hAnsi="Times New Roman" w:cs="Times New Roman"/>
          <w:b/>
          <w:sz w:val="28"/>
          <w:szCs w:val="28"/>
        </w:rPr>
      </w:pPr>
      <w:r w:rsidRPr="00EA361F">
        <w:rPr>
          <w:rFonts w:ascii="Times New Roman" w:hAnsi="Times New Roman" w:cs="Times New Roman"/>
          <w:b/>
          <w:sz w:val="28"/>
          <w:szCs w:val="28"/>
        </w:rPr>
        <w:t xml:space="preserve">AUSTRALIAN PASSPORTS </w:t>
      </w:r>
      <w:r w:rsidR="00F978A7">
        <w:rPr>
          <w:rFonts w:ascii="Times New Roman" w:hAnsi="Times New Roman" w:cs="Times New Roman"/>
          <w:b/>
          <w:sz w:val="28"/>
          <w:szCs w:val="28"/>
        </w:rPr>
        <w:t>(APPLICATION FEES)</w:t>
      </w:r>
      <w:r w:rsidRPr="00EA361F">
        <w:rPr>
          <w:rFonts w:ascii="Times New Roman" w:hAnsi="Times New Roman" w:cs="Times New Roman"/>
          <w:b/>
          <w:sz w:val="28"/>
          <w:szCs w:val="28"/>
        </w:rPr>
        <w:t xml:space="preserve"> </w:t>
      </w:r>
      <w:r w:rsidR="004E0763">
        <w:rPr>
          <w:rFonts w:ascii="Times New Roman" w:hAnsi="Times New Roman" w:cs="Times New Roman"/>
          <w:b/>
          <w:sz w:val="28"/>
          <w:szCs w:val="28"/>
        </w:rPr>
        <w:br/>
      </w:r>
      <w:r w:rsidRPr="00EA361F">
        <w:rPr>
          <w:rFonts w:ascii="Times New Roman" w:hAnsi="Times New Roman" w:cs="Times New Roman"/>
          <w:b/>
          <w:sz w:val="28"/>
          <w:szCs w:val="28"/>
        </w:rPr>
        <w:t>AMENDMENT DETERMINATION 201</w:t>
      </w:r>
      <w:r w:rsidR="00287ACB">
        <w:rPr>
          <w:rFonts w:ascii="Times New Roman" w:hAnsi="Times New Roman" w:cs="Times New Roman"/>
          <w:b/>
          <w:sz w:val="28"/>
          <w:szCs w:val="28"/>
        </w:rPr>
        <w:t>8</w:t>
      </w:r>
    </w:p>
    <w:p w:rsidR="006B00A4" w:rsidRDefault="006B00A4" w:rsidP="00EA361F">
      <w:pPr>
        <w:spacing w:after="0" w:line="240" w:lineRule="auto"/>
        <w:jc w:val="center"/>
        <w:rPr>
          <w:rFonts w:ascii="Times New Roman" w:hAnsi="Times New Roman" w:cs="Times New Roman"/>
          <w:b/>
          <w:sz w:val="28"/>
          <w:szCs w:val="28"/>
        </w:rPr>
      </w:pPr>
    </w:p>
    <w:p w:rsidR="006B00A4" w:rsidRDefault="006B00A4" w:rsidP="00EA361F">
      <w:pPr>
        <w:spacing w:after="0" w:line="240" w:lineRule="auto"/>
        <w:jc w:val="center"/>
        <w:rPr>
          <w:rFonts w:ascii="Times New Roman" w:hAnsi="Times New Roman" w:cs="Times New Roman"/>
          <w:b/>
          <w:sz w:val="28"/>
          <w:szCs w:val="28"/>
        </w:rPr>
      </w:pPr>
    </w:p>
    <w:p w:rsidR="006B00A4" w:rsidRDefault="006B00A4" w:rsidP="00EA361F">
      <w:pPr>
        <w:spacing w:after="0" w:line="240" w:lineRule="auto"/>
        <w:jc w:val="center"/>
        <w:rPr>
          <w:rFonts w:ascii="Times New Roman" w:hAnsi="Times New Roman" w:cs="Times New Roman"/>
          <w:b/>
          <w:sz w:val="28"/>
          <w:szCs w:val="28"/>
        </w:rPr>
      </w:pPr>
    </w:p>
    <w:p w:rsidR="006B00A4" w:rsidRDefault="006B00A4" w:rsidP="00EA361F">
      <w:pPr>
        <w:spacing w:after="0" w:line="240" w:lineRule="auto"/>
        <w:jc w:val="center"/>
        <w:rPr>
          <w:rFonts w:ascii="Times New Roman" w:hAnsi="Times New Roman" w:cs="Times New Roman"/>
          <w:b/>
          <w:sz w:val="28"/>
          <w:szCs w:val="28"/>
        </w:rPr>
      </w:pPr>
    </w:p>
    <w:p w:rsidR="006B00A4" w:rsidRDefault="006B00A4" w:rsidP="00EA36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EXPLANATORY STATEMENT</w:t>
      </w:r>
    </w:p>
    <w:p w:rsidR="006B00A4" w:rsidRDefault="006B00A4" w:rsidP="00EA361F">
      <w:pPr>
        <w:spacing w:after="0" w:line="240" w:lineRule="auto"/>
        <w:jc w:val="center"/>
        <w:rPr>
          <w:rFonts w:ascii="Times New Roman" w:hAnsi="Times New Roman" w:cs="Times New Roman"/>
          <w:sz w:val="28"/>
          <w:szCs w:val="28"/>
        </w:rPr>
      </w:pPr>
    </w:p>
    <w:p w:rsidR="006B00A4" w:rsidRDefault="006B00A4" w:rsidP="00EA361F">
      <w:pPr>
        <w:spacing w:after="0" w:line="240" w:lineRule="auto"/>
        <w:jc w:val="center"/>
        <w:rPr>
          <w:rFonts w:ascii="Times New Roman" w:hAnsi="Times New Roman" w:cs="Times New Roman"/>
          <w:sz w:val="28"/>
          <w:szCs w:val="28"/>
        </w:rPr>
      </w:pPr>
    </w:p>
    <w:p w:rsidR="006B00A4" w:rsidRDefault="006B00A4" w:rsidP="00EA361F">
      <w:pPr>
        <w:spacing w:after="0" w:line="240" w:lineRule="auto"/>
        <w:jc w:val="center"/>
        <w:rPr>
          <w:rFonts w:ascii="Times New Roman" w:hAnsi="Times New Roman" w:cs="Times New Roman"/>
          <w:sz w:val="28"/>
          <w:szCs w:val="28"/>
        </w:rPr>
      </w:pPr>
    </w:p>
    <w:p w:rsidR="006B00A4" w:rsidRDefault="006B00A4" w:rsidP="00EA361F">
      <w:pPr>
        <w:spacing w:after="0" w:line="240" w:lineRule="auto"/>
        <w:jc w:val="center"/>
        <w:rPr>
          <w:rFonts w:ascii="Times New Roman" w:hAnsi="Times New Roman" w:cs="Times New Roman"/>
          <w:sz w:val="28"/>
          <w:szCs w:val="28"/>
        </w:rPr>
      </w:pPr>
    </w:p>
    <w:p w:rsidR="006B00A4" w:rsidRDefault="006B00A4" w:rsidP="00EA361F">
      <w:pPr>
        <w:spacing w:after="0" w:line="240" w:lineRule="auto"/>
        <w:jc w:val="center"/>
        <w:rPr>
          <w:rFonts w:ascii="Times New Roman" w:hAnsi="Times New Roman" w:cs="Times New Roman"/>
          <w:sz w:val="28"/>
          <w:szCs w:val="28"/>
        </w:rPr>
      </w:pPr>
    </w:p>
    <w:p w:rsidR="006B00A4" w:rsidRDefault="006B00A4" w:rsidP="00EA361F">
      <w:pPr>
        <w:spacing w:after="0" w:line="240" w:lineRule="auto"/>
        <w:jc w:val="center"/>
        <w:rPr>
          <w:rFonts w:ascii="Times New Roman" w:hAnsi="Times New Roman" w:cs="Times New Roman"/>
          <w:sz w:val="28"/>
          <w:szCs w:val="28"/>
        </w:rPr>
      </w:pPr>
    </w:p>
    <w:p w:rsidR="006B00A4" w:rsidRDefault="006B00A4" w:rsidP="00EA361F">
      <w:pPr>
        <w:spacing w:after="0" w:line="240" w:lineRule="auto"/>
        <w:jc w:val="center"/>
        <w:rPr>
          <w:rFonts w:ascii="Times New Roman" w:hAnsi="Times New Roman" w:cs="Times New Roman"/>
          <w:sz w:val="28"/>
          <w:szCs w:val="28"/>
        </w:rPr>
      </w:pPr>
    </w:p>
    <w:p w:rsidR="006B00A4" w:rsidRDefault="006B00A4" w:rsidP="00EA361F">
      <w:pPr>
        <w:spacing w:after="0" w:line="240" w:lineRule="auto"/>
        <w:jc w:val="center"/>
        <w:rPr>
          <w:rFonts w:ascii="Times New Roman" w:hAnsi="Times New Roman" w:cs="Times New Roman"/>
          <w:sz w:val="28"/>
          <w:szCs w:val="28"/>
        </w:rPr>
      </w:pPr>
    </w:p>
    <w:p w:rsidR="006B00A4" w:rsidRPr="00EA361F" w:rsidRDefault="006B00A4" w:rsidP="00EA361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(Circulated by authority of the M</w:t>
      </w:r>
      <w:r w:rsidR="008A5081">
        <w:rPr>
          <w:rFonts w:ascii="Times New Roman" w:hAnsi="Times New Roman" w:cs="Times New Roman"/>
          <w:sz w:val="28"/>
          <w:szCs w:val="28"/>
        </w:rPr>
        <w:t>inister for Foreign Affairs, Senator the</w:t>
      </w:r>
      <w:r>
        <w:rPr>
          <w:rFonts w:ascii="Times New Roman" w:hAnsi="Times New Roman" w:cs="Times New Roman"/>
          <w:sz w:val="28"/>
          <w:szCs w:val="28"/>
        </w:rPr>
        <w:t xml:space="preserve"> Hon </w:t>
      </w:r>
      <w:r w:rsidR="008A5081">
        <w:rPr>
          <w:rFonts w:ascii="Times New Roman" w:hAnsi="Times New Roman" w:cs="Times New Roman"/>
          <w:sz w:val="28"/>
          <w:szCs w:val="28"/>
        </w:rPr>
        <w:t>Marise Payne</w:t>
      </w:r>
      <w:r>
        <w:rPr>
          <w:rFonts w:ascii="Times New Roman" w:hAnsi="Times New Roman" w:cs="Times New Roman"/>
          <w:sz w:val="28"/>
          <w:szCs w:val="28"/>
        </w:rPr>
        <w:t>)</w:t>
      </w:r>
      <w:r w:rsidRPr="00EA361F">
        <w:rPr>
          <w:rFonts w:ascii="Times New Roman" w:hAnsi="Times New Roman" w:cs="Times New Roman"/>
          <w:b/>
          <w:sz w:val="28"/>
          <w:szCs w:val="28"/>
        </w:rPr>
        <w:br w:type="page"/>
      </w:r>
    </w:p>
    <w:p w:rsidR="006B00A4" w:rsidRPr="00EA361F" w:rsidRDefault="006B00A4" w:rsidP="00EA361F">
      <w:pPr>
        <w:spacing w:after="0" w:line="240" w:lineRule="auto"/>
        <w:jc w:val="center"/>
        <w:rPr>
          <w:rFonts w:ascii="Times New Roman" w:hAnsi="Times New Roman" w:cs="Times New Roman"/>
          <w:sz w:val="28"/>
          <w:szCs w:val="28"/>
        </w:rPr>
      </w:pPr>
    </w:p>
    <w:p w:rsidR="00DC7D18" w:rsidRPr="00DC7D18" w:rsidRDefault="00DC7D18" w:rsidP="00DC7D18">
      <w:pPr>
        <w:jc w:val="center"/>
        <w:rPr>
          <w:rFonts w:ascii="Times New Roman" w:hAnsi="Times New Roman" w:cs="Times New Roman"/>
          <w:b/>
          <w:sz w:val="28"/>
          <w:szCs w:val="28"/>
        </w:rPr>
      </w:pPr>
      <w:r w:rsidRPr="00C15025">
        <w:rPr>
          <w:rFonts w:ascii="Times New Roman" w:hAnsi="Times New Roman" w:cs="Times New Roman"/>
          <w:b/>
          <w:sz w:val="28"/>
          <w:szCs w:val="28"/>
        </w:rPr>
        <w:t>AUSTRALIAN PA</w:t>
      </w:r>
      <w:r w:rsidR="00C15025" w:rsidRPr="00C15025">
        <w:rPr>
          <w:rFonts w:ascii="Times New Roman" w:hAnsi="Times New Roman" w:cs="Times New Roman"/>
          <w:b/>
          <w:sz w:val="28"/>
          <w:szCs w:val="28"/>
        </w:rPr>
        <w:t xml:space="preserve">SSPORTS </w:t>
      </w:r>
      <w:r w:rsidR="00F978A7">
        <w:rPr>
          <w:rFonts w:ascii="Times New Roman" w:hAnsi="Times New Roman" w:cs="Times New Roman"/>
          <w:b/>
          <w:sz w:val="28"/>
          <w:szCs w:val="28"/>
        </w:rPr>
        <w:t>(APPLICATION FEES)</w:t>
      </w:r>
      <w:r w:rsidR="00A2483E">
        <w:rPr>
          <w:rFonts w:ascii="Times New Roman" w:hAnsi="Times New Roman" w:cs="Times New Roman"/>
          <w:b/>
          <w:sz w:val="28"/>
          <w:szCs w:val="28"/>
        </w:rPr>
        <w:t xml:space="preserve"> </w:t>
      </w:r>
      <w:r w:rsidR="004E0763">
        <w:rPr>
          <w:rFonts w:ascii="Times New Roman" w:hAnsi="Times New Roman" w:cs="Times New Roman"/>
          <w:b/>
          <w:sz w:val="28"/>
          <w:szCs w:val="28"/>
        </w:rPr>
        <w:br/>
      </w:r>
      <w:r w:rsidR="00A2483E">
        <w:rPr>
          <w:rFonts w:ascii="Times New Roman" w:hAnsi="Times New Roman" w:cs="Times New Roman"/>
          <w:b/>
          <w:sz w:val="28"/>
          <w:szCs w:val="28"/>
        </w:rPr>
        <w:t>AMENDMENT</w:t>
      </w:r>
      <w:r w:rsidR="00404838">
        <w:rPr>
          <w:rFonts w:ascii="Times New Roman" w:hAnsi="Times New Roman" w:cs="Times New Roman"/>
          <w:b/>
          <w:sz w:val="28"/>
          <w:szCs w:val="28"/>
        </w:rPr>
        <w:t xml:space="preserve"> </w:t>
      </w:r>
      <w:r w:rsidR="00A2483E">
        <w:rPr>
          <w:rFonts w:ascii="Times New Roman" w:hAnsi="Times New Roman" w:cs="Times New Roman"/>
          <w:b/>
          <w:sz w:val="28"/>
          <w:szCs w:val="28"/>
        </w:rPr>
        <w:t>DETERMINATION 201</w:t>
      </w:r>
      <w:r w:rsidR="00CC77F8">
        <w:rPr>
          <w:rFonts w:ascii="Times New Roman" w:hAnsi="Times New Roman" w:cs="Times New Roman"/>
          <w:b/>
          <w:sz w:val="28"/>
          <w:szCs w:val="28"/>
        </w:rPr>
        <w:t>8</w:t>
      </w:r>
    </w:p>
    <w:p w:rsidR="00DC7D18" w:rsidRDefault="00DC7D18" w:rsidP="00DC7D18">
      <w:pPr>
        <w:pStyle w:val="Style0"/>
        <w:rPr>
          <w:rFonts w:ascii="Times New Roman" w:hAnsi="Times New Roman" w:cs="Times New Roman"/>
          <w:color w:val="000000"/>
          <w:sz w:val="20"/>
          <w:szCs w:val="20"/>
        </w:rPr>
      </w:pPr>
    </w:p>
    <w:p w:rsidR="00800388" w:rsidRPr="00EA361F" w:rsidRDefault="00800388">
      <w:pPr>
        <w:spacing w:after="0" w:line="240" w:lineRule="auto"/>
        <w:rPr>
          <w:rFonts w:ascii="Times New Roman" w:hAnsi="Times New Roman" w:cs="Times New Roman"/>
          <w:b/>
          <w:color w:val="000000"/>
          <w:sz w:val="24"/>
          <w:szCs w:val="24"/>
        </w:rPr>
      </w:pPr>
      <w:r w:rsidRPr="00EA361F">
        <w:rPr>
          <w:rFonts w:ascii="Times New Roman" w:hAnsi="Times New Roman" w:cs="Times New Roman"/>
          <w:b/>
          <w:color w:val="000000"/>
          <w:sz w:val="24"/>
          <w:szCs w:val="24"/>
        </w:rPr>
        <w:t>Outline</w:t>
      </w:r>
    </w:p>
    <w:p w:rsidR="00800388" w:rsidRDefault="00800388">
      <w:pPr>
        <w:spacing w:after="0" w:line="240" w:lineRule="auto"/>
        <w:rPr>
          <w:rFonts w:ascii="Times New Roman" w:hAnsi="Times New Roman" w:cs="Times New Roman"/>
          <w:b/>
          <w:color w:val="000000"/>
          <w:sz w:val="24"/>
          <w:szCs w:val="24"/>
        </w:rPr>
      </w:pPr>
    </w:p>
    <w:p w:rsidR="00CD78F5" w:rsidRPr="00CD78F5" w:rsidRDefault="00405F03" w:rsidP="00CD78F5">
      <w:pPr>
        <w:spacing w:after="0" w:line="240" w:lineRule="auto"/>
        <w:rPr>
          <w:rFonts w:ascii="Times New Roman" w:eastAsia="SimSun" w:hAnsi="Times New Roman" w:cs="Times New Roman"/>
          <w:b/>
          <w:color w:val="000000"/>
          <w:sz w:val="24"/>
          <w:szCs w:val="24"/>
          <w:lang w:eastAsia="zh-CN"/>
        </w:rPr>
      </w:pPr>
      <w:r w:rsidRPr="00CD78F5">
        <w:rPr>
          <w:rFonts w:ascii="Times New Roman" w:hAnsi="Times New Roman" w:cs="Times New Roman"/>
          <w:color w:val="000000"/>
          <w:sz w:val="24"/>
          <w:szCs w:val="24"/>
        </w:rPr>
        <w:t xml:space="preserve">The </w:t>
      </w:r>
      <w:r w:rsidRPr="00CD78F5">
        <w:rPr>
          <w:rFonts w:ascii="Times New Roman" w:hAnsi="Times New Roman" w:cs="Times New Roman"/>
          <w:i/>
          <w:color w:val="000000"/>
          <w:sz w:val="24"/>
          <w:szCs w:val="24"/>
        </w:rPr>
        <w:t xml:space="preserve">Australian Passports </w:t>
      </w:r>
      <w:r w:rsidR="00F978A7" w:rsidRPr="00CD78F5">
        <w:rPr>
          <w:rFonts w:ascii="Times New Roman" w:hAnsi="Times New Roman" w:cs="Times New Roman"/>
          <w:i/>
          <w:color w:val="000000"/>
          <w:sz w:val="24"/>
          <w:szCs w:val="24"/>
        </w:rPr>
        <w:t>(Application Fees)</w:t>
      </w:r>
      <w:r w:rsidRPr="00CD78F5">
        <w:rPr>
          <w:rFonts w:ascii="Times New Roman" w:hAnsi="Times New Roman" w:cs="Times New Roman"/>
          <w:i/>
          <w:color w:val="000000"/>
          <w:sz w:val="24"/>
          <w:szCs w:val="24"/>
        </w:rPr>
        <w:t xml:space="preserve"> Amendment Determination 201</w:t>
      </w:r>
      <w:r w:rsidR="00CC77F8">
        <w:rPr>
          <w:rFonts w:ascii="Times New Roman" w:hAnsi="Times New Roman" w:cs="Times New Roman"/>
          <w:i/>
          <w:color w:val="000000"/>
          <w:sz w:val="24"/>
          <w:szCs w:val="24"/>
        </w:rPr>
        <w:t>8</w:t>
      </w:r>
      <w:r w:rsidRPr="00CD78F5">
        <w:rPr>
          <w:rFonts w:ascii="Times New Roman" w:hAnsi="Times New Roman" w:cs="Times New Roman"/>
          <w:i/>
          <w:color w:val="000000"/>
          <w:sz w:val="24"/>
          <w:szCs w:val="24"/>
        </w:rPr>
        <w:t xml:space="preserve"> </w:t>
      </w:r>
      <w:r w:rsidRPr="00CD78F5">
        <w:rPr>
          <w:rFonts w:ascii="Times New Roman" w:hAnsi="Times New Roman" w:cs="Times New Roman"/>
          <w:color w:val="000000"/>
          <w:sz w:val="24"/>
          <w:szCs w:val="24"/>
        </w:rPr>
        <w:t>(the Amendment Determination) amends the</w:t>
      </w:r>
      <w:r w:rsidRPr="00CD78F5">
        <w:rPr>
          <w:rFonts w:ascii="Times New Roman" w:hAnsi="Times New Roman" w:cs="Times New Roman"/>
          <w:i/>
          <w:color w:val="000000"/>
          <w:sz w:val="24"/>
          <w:szCs w:val="24"/>
        </w:rPr>
        <w:t xml:space="preserve"> Australian Passports (Application Fees) Determination 2015 </w:t>
      </w:r>
      <w:r w:rsidRPr="00CD78F5">
        <w:rPr>
          <w:rFonts w:ascii="Times New Roman" w:hAnsi="Times New Roman" w:cs="Times New Roman"/>
          <w:color w:val="000000"/>
          <w:sz w:val="24"/>
          <w:szCs w:val="24"/>
        </w:rPr>
        <w:t xml:space="preserve">(the </w:t>
      </w:r>
      <w:r w:rsidR="00353040">
        <w:rPr>
          <w:rFonts w:ascii="Times New Roman" w:hAnsi="Times New Roman" w:cs="Times New Roman"/>
          <w:color w:val="000000"/>
          <w:sz w:val="24"/>
          <w:szCs w:val="24"/>
        </w:rPr>
        <w:t>Passport</w:t>
      </w:r>
      <w:r w:rsidR="00F978A7" w:rsidRPr="00CD78F5">
        <w:rPr>
          <w:rFonts w:ascii="Times New Roman" w:hAnsi="Times New Roman" w:cs="Times New Roman"/>
          <w:color w:val="000000"/>
          <w:sz w:val="24"/>
          <w:szCs w:val="24"/>
        </w:rPr>
        <w:t xml:space="preserve"> Fees Determination) </w:t>
      </w:r>
      <w:r w:rsidRPr="00CD78F5">
        <w:rPr>
          <w:rFonts w:ascii="Times New Roman" w:hAnsi="Times New Roman" w:cs="Times New Roman"/>
          <w:color w:val="000000"/>
          <w:sz w:val="24"/>
          <w:szCs w:val="24"/>
        </w:rPr>
        <w:t xml:space="preserve">to </w:t>
      </w:r>
      <w:r w:rsidR="00B23EDC">
        <w:rPr>
          <w:rFonts w:ascii="Times New Roman" w:hAnsi="Times New Roman" w:cs="Times New Roman"/>
          <w:color w:val="000000"/>
          <w:sz w:val="24"/>
          <w:szCs w:val="24"/>
        </w:rPr>
        <w:t>increase the fees for travel documents</w:t>
      </w:r>
      <w:r w:rsidR="00CD78F5" w:rsidRPr="00CD78F5">
        <w:rPr>
          <w:rFonts w:ascii="Times New Roman" w:hAnsi="Times New Roman" w:cs="Times New Roman"/>
          <w:sz w:val="24"/>
          <w:szCs w:val="24"/>
        </w:rPr>
        <w:t>.</w:t>
      </w:r>
    </w:p>
    <w:p w:rsidR="00405F03" w:rsidRPr="00CD78F5" w:rsidRDefault="00405F03" w:rsidP="00405F03">
      <w:pPr>
        <w:spacing w:after="0"/>
        <w:contextualSpacing/>
        <w:rPr>
          <w:rFonts w:ascii="Times" w:eastAsia="SimSun" w:hAnsi="Times" w:cs="Times"/>
          <w:color w:val="000000"/>
          <w:sz w:val="24"/>
          <w:szCs w:val="24"/>
          <w:lang w:eastAsia="zh-CN"/>
        </w:rPr>
      </w:pPr>
    </w:p>
    <w:p w:rsidR="00800388" w:rsidRPr="004C3FE2" w:rsidRDefault="00800388" w:rsidP="00800388">
      <w:pPr>
        <w:pStyle w:val="Style0"/>
        <w:spacing w:line="276" w:lineRule="auto"/>
        <w:rPr>
          <w:rFonts w:ascii="Times New Roman" w:hAnsi="Times New Roman"/>
          <w:b/>
          <w:color w:val="000000"/>
        </w:rPr>
      </w:pPr>
      <w:r w:rsidRPr="004C3FE2">
        <w:rPr>
          <w:rFonts w:ascii="Times New Roman" w:hAnsi="Times New Roman"/>
          <w:b/>
          <w:color w:val="000000"/>
        </w:rPr>
        <w:t>Financial impact</w:t>
      </w:r>
    </w:p>
    <w:p w:rsidR="00800388" w:rsidRDefault="00800388" w:rsidP="00800388">
      <w:pPr>
        <w:pStyle w:val="Style0"/>
        <w:spacing w:line="276" w:lineRule="auto"/>
        <w:rPr>
          <w:rFonts w:ascii="Times New Roman" w:hAnsi="Times New Roman"/>
          <w:color w:val="000000"/>
        </w:rPr>
      </w:pPr>
    </w:p>
    <w:p w:rsidR="00D202FB" w:rsidRDefault="00D202FB" w:rsidP="00EA361F">
      <w:pPr>
        <w:spacing w:after="0" w:line="240" w:lineRule="auto"/>
        <w:contextualSpacing/>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Under provisions in </w:t>
      </w:r>
      <w:r w:rsidR="009A77D1">
        <w:rPr>
          <w:rFonts w:ascii="Times New Roman" w:eastAsia="SimSun" w:hAnsi="Times New Roman" w:cs="Times New Roman"/>
          <w:color w:val="000000"/>
          <w:sz w:val="24"/>
          <w:szCs w:val="24"/>
          <w:lang w:eastAsia="zh-CN"/>
        </w:rPr>
        <w:t xml:space="preserve">force in sections 5 and 6 of the </w:t>
      </w:r>
      <w:r w:rsidR="00353040">
        <w:rPr>
          <w:rFonts w:ascii="Times New Roman" w:eastAsia="SimSun" w:hAnsi="Times New Roman" w:cs="Times New Roman"/>
          <w:color w:val="000000"/>
          <w:sz w:val="24"/>
          <w:szCs w:val="24"/>
          <w:lang w:eastAsia="zh-CN"/>
        </w:rPr>
        <w:t>Passport</w:t>
      </w:r>
      <w:r>
        <w:rPr>
          <w:rFonts w:ascii="Times New Roman" w:eastAsia="SimSun" w:hAnsi="Times New Roman" w:cs="Times New Roman"/>
          <w:color w:val="000000"/>
          <w:sz w:val="24"/>
          <w:szCs w:val="24"/>
          <w:lang w:eastAsia="zh-CN"/>
        </w:rPr>
        <w:t xml:space="preserve"> Fees Determination immediately prior </w:t>
      </w:r>
      <w:bookmarkStart w:id="0" w:name="_GoBack"/>
      <w:bookmarkEnd w:id="0"/>
      <w:r>
        <w:rPr>
          <w:rFonts w:ascii="Times New Roman" w:eastAsia="SimSun" w:hAnsi="Times New Roman" w:cs="Times New Roman"/>
          <w:color w:val="000000"/>
          <w:sz w:val="24"/>
          <w:szCs w:val="24"/>
          <w:lang w:eastAsia="zh-CN"/>
        </w:rPr>
        <w:t xml:space="preserve">to the commencement of the Amendment Determination, travel document fees would have increased </w:t>
      </w:r>
      <w:r w:rsidR="009A77D1">
        <w:rPr>
          <w:rFonts w:ascii="Times New Roman" w:eastAsia="SimSun" w:hAnsi="Times New Roman" w:cs="Times New Roman"/>
          <w:color w:val="000000"/>
          <w:sz w:val="24"/>
          <w:szCs w:val="24"/>
          <w:lang w:eastAsia="zh-CN"/>
        </w:rPr>
        <w:t>on 1 </w:t>
      </w:r>
      <w:r>
        <w:rPr>
          <w:rFonts w:ascii="Times New Roman" w:eastAsia="SimSun" w:hAnsi="Times New Roman" w:cs="Times New Roman"/>
          <w:color w:val="000000"/>
          <w:sz w:val="24"/>
          <w:szCs w:val="24"/>
          <w:lang w:eastAsia="zh-CN"/>
        </w:rPr>
        <w:t xml:space="preserve">January 2019 by the indexation factor specified in section 7 of the </w:t>
      </w:r>
      <w:r w:rsidR="00353040">
        <w:rPr>
          <w:rFonts w:ascii="Times New Roman" w:eastAsia="SimSun" w:hAnsi="Times New Roman" w:cs="Times New Roman"/>
          <w:color w:val="000000"/>
          <w:sz w:val="24"/>
          <w:szCs w:val="24"/>
          <w:lang w:eastAsia="zh-CN"/>
        </w:rPr>
        <w:t>Passport</w:t>
      </w:r>
      <w:r>
        <w:rPr>
          <w:rFonts w:ascii="Times New Roman" w:eastAsia="SimSun" w:hAnsi="Times New Roman" w:cs="Times New Roman"/>
          <w:color w:val="000000"/>
          <w:sz w:val="24"/>
          <w:szCs w:val="24"/>
          <w:lang w:eastAsia="zh-CN"/>
        </w:rPr>
        <w:t xml:space="preserve"> Fees Determination</w:t>
      </w:r>
      <w:r>
        <w:rPr>
          <w:rFonts w:ascii="Times New Roman" w:eastAsia="SimSun" w:hAnsi="Times New Roman" w:cs="Times New Roman"/>
          <w:bCs/>
          <w:color w:val="000000"/>
          <w:sz w:val="24"/>
          <w:szCs w:val="24"/>
          <w:lang w:eastAsia="zh-CN"/>
        </w:rPr>
        <w:t xml:space="preserve">. The </w:t>
      </w:r>
      <w:r w:rsidR="009A77D1">
        <w:rPr>
          <w:rFonts w:ascii="Times New Roman" w:eastAsia="SimSun" w:hAnsi="Times New Roman" w:cs="Times New Roman"/>
          <w:bCs/>
          <w:color w:val="000000"/>
          <w:sz w:val="24"/>
          <w:szCs w:val="24"/>
          <w:lang w:eastAsia="zh-CN"/>
        </w:rPr>
        <w:t>indexation factor</w:t>
      </w:r>
      <w:r>
        <w:rPr>
          <w:rFonts w:ascii="Times New Roman" w:eastAsia="SimSun" w:hAnsi="Times New Roman" w:cs="Times New Roman"/>
          <w:bCs/>
          <w:color w:val="000000"/>
          <w:sz w:val="24"/>
          <w:szCs w:val="24"/>
          <w:lang w:eastAsia="zh-CN"/>
        </w:rPr>
        <w:t xml:space="preserve"> is based on the </w:t>
      </w:r>
      <w:r w:rsidRPr="00D202FB">
        <w:rPr>
          <w:rFonts w:ascii="Times New Roman" w:eastAsia="SimSun" w:hAnsi="Times New Roman" w:cs="Times New Roman"/>
          <w:bCs/>
          <w:color w:val="000000"/>
          <w:sz w:val="24"/>
          <w:szCs w:val="24"/>
          <w:lang w:eastAsia="zh-CN"/>
        </w:rPr>
        <w:t>All Groups Consumer Price Index (</w:t>
      </w:r>
      <w:r>
        <w:rPr>
          <w:rFonts w:ascii="Times New Roman" w:eastAsia="SimSun" w:hAnsi="Times New Roman" w:cs="Times New Roman"/>
          <w:bCs/>
          <w:color w:val="000000"/>
          <w:sz w:val="24"/>
          <w:szCs w:val="24"/>
          <w:lang w:eastAsia="zh-CN"/>
        </w:rPr>
        <w:t>CPI)</w:t>
      </w:r>
      <w:r w:rsidRPr="00D202FB">
        <w:rPr>
          <w:rFonts w:ascii="Times New Roman" w:eastAsia="SimSun" w:hAnsi="Times New Roman" w:cs="Times New Roman"/>
          <w:bCs/>
          <w:color w:val="000000"/>
          <w:sz w:val="24"/>
          <w:szCs w:val="24"/>
          <w:lang w:eastAsia="zh-CN"/>
        </w:rPr>
        <w:t xml:space="preserve"> as published by the Australian Bureau of Statistics</w:t>
      </w:r>
      <w:r>
        <w:rPr>
          <w:rFonts w:ascii="Times New Roman" w:eastAsia="SimSun" w:hAnsi="Times New Roman" w:cs="Times New Roman"/>
          <w:color w:val="000000"/>
          <w:sz w:val="24"/>
          <w:szCs w:val="24"/>
          <w:lang w:eastAsia="zh-CN"/>
        </w:rPr>
        <w:t>.</w:t>
      </w:r>
    </w:p>
    <w:p w:rsidR="00D202FB" w:rsidRDefault="00D202FB" w:rsidP="00EA361F">
      <w:pPr>
        <w:spacing w:after="0" w:line="240" w:lineRule="auto"/>
        <w:contextualSpacing/>
        <w:rPr>
          <w:rFonts w:ascii="Times New Roman" w:eastAsia="SimSun" w:hAnsi="Times New Roman" w:cs="Times New Roman"/>
          <w:color w:val="000000"/>
          <w:sz w:val="24"/>
          <w:szCs w:val="24"/>
          <w:lang w:eastAsia="zh-CN"/>
        </w:rPr>
      </w:pPr>
    </w:p>
    <w:p w:rsidR="00D202FB" w:rsidRDefault="00D202FB" w:rsidP="00D202FB">
      <w:pPr>
        <w:spacing w:after="0" w:line="240" w:lineRule="auto"/>
        <w:contextualSpacing/>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The Amendment Determination increases fees beyond the indexation </w:t>
      </w:r>
      <w:r w:rsidR="004E0763">
        <w:rPr>
          <w:rFonts w:ascii="Times New Roman" w:eastAsia="SimSun" w:hAnsi="Times New Roman" w:cs="Times New Roman"/>
          <w:color w:val="000000"/>
          <w:sz w:val="24"/>
          <w:szCs w:val="24"/>
          <w:lang w:eastAsia="zh-CN"/>
        </w:rPr>
        <w:t>factor</w:t>
      </w:r>
      <w:r w:rsidR="009A77D1">
        <w:rPr>
          <w:rFonts w:ascii="Times New Roman" w:eastAsia="SimSun" w:hAnsi="Times New Roman" w:cs="Times New Roman"/>
          <w:color w:val="000000"/>
          <w:sz w:val="24"/>
          <w:szCs w:val="24"/>
          <w:lang w:eastAsia="zh-CN"/>
        </w:rPr>
        <w:t xml:space="preserve"> that would have applied on 1 January 2019</w:t>
      </w:r>
      <w:r>
        <w:rPr>
          <w:rFonts w:ascii="Times New Roman" w:eastAsia="SimSun" w:hAnsi="Times New Roman" w:cs="Times New Roman"/>
          <w:color w:val="000000"/>
          <w:sz w:val="24"/>
          <w:szCs w:val="24"/>
          <w:lang w:eastAsia="zh-CN"/>
        </w:rPr>
        <w:t>:</w:t>
      </w:r>
    </w:p>
    <w:p w:rsidR="00D202FB" w:rsidRDefault="00D202FB" w:rsidP="00D202FB">
      <w:pPr>
        <w:spacing w:after="0" w:line="240" w:lineRule="auto"/>
        <w:contextualSpacing/>
        <w:rPr>
          <w:rFonts w:ascii="Times New Roman" w:eastAsia="SimSun" w:hAnsi="Times New Roman" w:cs="Times New Roman"/>
          <w:color w:val="000000"/>
          <w:sz w:val="24"/>
          <w:szCs w:val="24"/>
          <w:lang w:eastAsia="zh-CN"/>
        </w:rPr>
      </w:pPr>
    </w:p>
    <w:p w:rsidR="00E6522E" w:rsidRDefault="00D202FB" w:rsidP="00D202FB">
      <w:pPr>
        <w:pStyle w:val="ListParagraph"/>
        <w:numPr>
          <w:ilvl w:val="0"/>
          <w:numId w:val="16"/>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by $</w:t>
      </w:r>
      <w:r w:rsidR="004E0763">
        <w:rPr>
          <w:rFonts w:ascii="Times New Roman" w:eastAsia="SimSun" w:hAnsi="Times New Roman" w:cs="Times New Roman"/>
          <w:color w:val="000000"/>
          <w:sz w:val="24"/>
          <w:szCs w:val="24"/>
          <w:lang w:eastAsia="zh-CN"/>
        </w:rPr>
        <w:t>6</w:t>
      </w:r>
      <w:r>
        <w:rPr>
          <w:rFonts w:ascii="Times New Roman" w:eastAsia="SimSun" w:hAnsi="Times New Roman" w:cs="Times New Roman"/>
          <w:color w:val="000000"/>
          <w:sz w:val="24"/>
          <w:szCs w:val="24"/>
          <w:lang w:eastAsia="zh-CN"/>
        </w:rPr>
        <w:t xml:space="preserve"> </w:t>
      </w:r>
      <w:r w:rsidRPr="00D202FB">
        <w:rPr>
          <w:rFonts w:ascii="Times New Roman" w:eastAsia="SimSun" w:hAnsi="Times New Roman" w:cs="Times New Roman"/>
          <w:color w:val="000000"/>
          <w:sz w:val="24"/>
          <w:szCs w:val="24"/>
          <w:lang w:eastAsia="zh-CN"/>
        </w:rPr>
        <w:t xml:space="preserve">for an Australian passport that is valid for up to 10 years </w:t>
      </w:r>
      <w:r w:rsidR="00E6522E">
        <w:rPr>
          <w:rFonts w:ascii="Times New Roman" w:eastAsia="SimSun" w:hAnsi="Times New Roman" w:cs="Times New Roman"/>
          <w:color w:val="000000"/>
          <w:sz w:val="24"/>
          <w:szCs w:val="24"/>
          <w:lang w:eastAsia="zh-CN"/>
        </w:rPr>
        <w:t xml:space="preserve">and issued to an adult or </w:t>
      </w:r>
      <w:r w:rsidR="004E0763">
        <w:rPr>
          <w:rFonts w:ascii="Times New Roman" w:eastAsia="SimSun" w:hAnsi="Times New Roman" w:cs="Times New Roman"/>
          <w:color w:val="000000"/>
          <w:sz w:val="24"/>
          <w:szCs w:val="24"/>
          <w:lang w:eastAsia="zh-CN"/>
        </w:rPr>
        <w:t xml:space="preserve">to </w:t>
      </w:r>
      <w:r w:rsidR="00E6522E">
        <w:rPr>
          <w:rFonts w:ascii="Times New Roman" w:eastAsia="SimSun" w:hAnsi="Times New Roman" w:cs="Times New Roman"/>
          <w:color w:val="000000"/>
          <w:sz w:val="24"/>
          <w:szCs w:val="24"/>
          <w:lang w:eastAsia="zh-CN"/>
        </w:rPr>
        <w:t>a child who is 16 or 17</w:t>
      </w:r>
    </w:p>
    <w:p w:rsidR="00E6522E" w:rsidRDefault="00E6522E" w:rsidP="00D202FB">
      <w:pPr>
        <w:pStyle w:val="ListParagraph"/>
        <w:numPr>
          <w:ilvl w:val="0"/>
          <w:numId w:val="16"/>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by $3 for all other travel documents</w:t>
      </w:r>
    </w:p>
    <w:p w:rsidR="00E6522E" w:rsidRDefault="00E6522E" w:rsidP="00D202FB">
      <w:pPr>
        <w:pStyle w:val="ListParagraph"/>
        <w:numPr>
          <w:ilvl w:val="0"/>
          <w:numId w:val="16"/>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by $25 for </w:t>
      </w:r>
      <w:r w:rsidRPr="00E6522E">
        <w:rPr>
          <w:rFonts w:ascii="Times New Roman" w:eastAsia="SimSun" w:hAnsi="Times New Roman" w:cs="Times New Roman"/>
          <w:color w:val="000000"/>
          <w:sz w:val="24"/>
          <w:szCs w:val="24"/>
          <w:lang w:eastAsia="zh-CN"/>
        </w:rPr>
        <w:t>priority process</w:t>
      </w:r>
      <w:r w:rsidR="004E0763">
        <w:rPr>
          <w:rFonts w:ascii="Times New Roman" w:eastAsia="SimSun" w:hAnsi="Times New Roman" w:cs="Times New Roman"/>
          <w:color w:val="000000"/>
          <w:sz w:val="24"/>
          <w:szCs w:val="24"/>
          <w:lang w:eastAsia="zh-CN"/>
        </w:rPr>
        <w:t>ing</w:t>
      </w:r>
      <w:r w:rsidRPr="00E6522E">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 xml:space="preserve">and for the surcharge payable </w:t>
      </w:r>
      <w:r w:rsidR="004E0763">
        <w:rPr>
          <w:rFonts w:ascii="Times New Roman" w:eastAsia="SimSun" w:hAnsi="Times New Roman" w:cs="Times New Roman"/>
          <w:color w:val="000000"/>
          <w:sz w:val="24"/>
          <w:szCs w:val="24"/>
          <w:lang w:eastAsia="zh-CN"/>
        </w:rPr>
        <w:t>in respect of</w:t>
      </w:r>
      <w:r>
        <w:rPr>
          <w:rFonts w:ascii="Times New Roman" w:eastAsia="SimSun" w:hAnsi="Times New Roman" w:cs="Times New Roman"/>
          <w:color w:val="000000"/>
          <w:sz w:val="24"/>
          <w:szCs w:val="24"/>
          <w:lang w:eastAsia="zh-CN"/>
        </w:rPr>
        <w:t xml:space="preserve"> adult applica</w:t>
      </w:r>
      <w:r w:rsidR="004E0763">
        <w:rPr>
          <w:rFonts w:ascii="Times New Roman" w:eastAsia="SimSun" w:hAnsi="Times New Roman" w:cs="Times New Roman"/>
          <w:color w:val="000000"/>
          <w:sz w:val="24"/>
          <w:szCs w:val="24"/>
          <w:lang w:eastAsia="zh-CN"/>
        </w:rPr>
        <w:t>tions made overseas</w:t>
      </w:r>
    </w:p>
    <w:p w:rsidR="00E6522E" w:rsidRDefault="00E6522E" w:rsidP="00D202FB">
      <w:pPr>
        <w:pStyle w:val="ListParagraph"/>
        <w:numPr>
          <w:ilvl w:val="0"/>
          <w:numId w:val="16"/>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by $10 for the surcharge payable </w:t>
      </w:r>
      <w:r w:rsidR="004E0763">
        <w:rPr>
          <w:rFonts w:ascii="Times New Roman" w:eastAsia="SimSun" w:hAnsi="Times New Roman" w:cs="Times New Roman"/>
          <w:color w:val="000000"/>
          <w:sz w:val="24"/>
          <w:szCs w:val="24"/>
          <w:lang w:eastAsia="zh-CN"/>
        </w:rPr>
        <w:t>in respect of child</w:t>
      </w:r>
      <w:r>
        <w:rPr>
          <w:rFonts w:ascii="Times New Roman" w:eastAsia="SimSun" w:hAnsi="Times New Roman" w:cs="Times New Roman"/>
          <w:color w:val="000000"/>
          <w:sz w:val="24"/>
          <w:szCs w:val="24"/>
          <w:lang w:eastAsia="zh-CN"/>
        </w:rPr>
        <w:t xml:space="preserve"> applications made overseas</w:t>
      </w:r>
    </w:p>
    <w:p w:rsidR="00E6522E" w:rsidRDefault="00E6522E" w:rsidP="00E6522E">
      <w:pPr>
        <w:spacing w:after="0" w:line="240" w:lineRule="auto"/>
        <w:rPr>
          <w:rFonts w:ascii="Times New Roman" w:eastAsia="SimSun" w:hAnsi="Times New Roman" w:cs="Times New Roman"/>
          <w:color w:val="000000"/>
          <w:sz w:val="24"/>
          <w:szCs w:val="24"/>
          <w:lang w:eastAsia="zh-CN"/>
        </w:rPr>
      </w:pPr>
    </w:p>
    <w:p w:rsidR="00D645E1" w:rsidRDefault="00800388" w:rsidP="00E6522E">
      <w:pPr>
        <w:spacing w:after="0" w:line="240" w:lineRule="auto"/>
        <w:rPr>
          <w:rFonts w:ascii="Times New Roman" w:eastAsia="SimSun" w:hAnsi="Times New Roman" w:cs="Times New Roman"/>
          <w:color w:val="000000"/>
          <w:sz w:val="24"/>
          <w:szCs w:val="24"/>
          <w:lang w:eastAsia="zh-CN"/>
        </w:rPr>
      </w:pPr>
      <w:r w:rsidRPr="00E6522E">
        <w:rPr>
          <w:rFonts w:ascii="Times New Roman" w:eastAsia="SimSun" w:hAnsi="Times New Roman" w:cs="Times New Roman"/>
          <w:color w:val="000000"/>
          <w:sz w:val="24"/>
          <w:szCs w:val="24"/>
          <w:lang w:eastAsia="zh-CN"/>
        </w:rPr>
        <w:t xml:space="preserve">The </w:t>
      </w:r>
      <w:r w:rsidR="002F2FAD" w:rsidRPr="00E6522E">
        <w:rPr>
          <w:rFonts w:ascii="Times New Roman" w:eastAsia="SimSun" w:hAnsi="Times New Roman" w:cs="Times New Roman"/>
          <w:color w:val="000000"/>
          <w:sz w:val="24"/>
          <w:szCs w:val="24"/>
          <w:lang w:eastAsia="zh-CN"/>
        </w:rPr>
        <w:t>financial impact</w:t>
      </w:r>
      <w:r w:rsidRPr="00E6522E">
        <w:rPr>
          <w:rFonts w:ascii="Times New Roman" w:eastAsia="SimSun" w:hAnsi="Times New Roman" w:cs="Times New Roman"/>
          <w:color w:val="000000"/>
          <w:sz w:val="24"/>
          <w:szCs w:val="24"/>
          <w:lang w:eastAsia="zh-CN"/>
        </w:rPr>
        <w:t xml:space="preserve"> of the</w:t>
      </w:r>
      <w:r w:rsidR="00E6522E">
        <w:rPr>
          <w:rFonts w:ascii="Times New Roman" w:eastAsia="SimSun" w:hAnsi="Times New Roman" w:cs="Times New Roman"/>
          <w:color w:val="000000"/>
          <w:sz w:val="24"/>
          <w:szCs w:val="24"/>
          <w:lang w:eastAsia="zh-CN"/>
        </w:rPr>
        <w:t xml:space="preserve">se </w:t>
      </w:r>
      <w:r w:rsidR="009A77D1">
        <w:rPr>
          <w:rFonts w:ascii="Times New Roman" w:eastAsia="SimSun" w:hAnsi="Times New Roman" w:cs="Times New Roman"/>
          <w:color w:val="000000"/>
          <w:sz w:val="24"/>
          <w:szCs w:val="24"/>
          <w:lang w:eastAsia="zh-CN"/>
        </w:rPr>
        <w:t xml:space="preserve">additional increases </w:t>
      </w:r>
      <w:r w:rsidRPr="00E6522E">
        <w:rPr>
          <w:rFonts w:ascii="Times New Roman" w:eastAsia="SimSun" w:hAnsi="Times New Roman" w:cs="Times New Roman"/>
          <w:color w:val="000000"/>
          <w:sz w:val="24"/>
          <w:szCs w:val="24"/>
          <w:lang w:eastAsia="zh-CN"/>
        </w:rPr>
        <w:t xml:space="preserve">will be to </w:t>
      </w:r>
      <w:r w:rsidR="00E6522E">
        <w:rPr>
          <w:rFonts w:ascii="Times New Roman" w:eastAsia="SimSun" w:hAnsi="Times New Roman" w:cs="Times New Roman"/>
          <w:color w:val="000000"/>
          <w:sz w:val="24"/>
          <w:szCs w:val="24"/>
          <w:lang w:eastAsia="zh-CN"/>
        </w:rPr>
        <w:t xml:space="preserve">generate additional expected revenue of </w:t>
      </w:r>
      <w:r w:rsidR="00506A5D" w:rsidRPr="00E6522E">
        <w:rPr>
          <w:rFonts w:ascii="Times New Roman" w:eastAsia="SimSun" w:hAnsi="Times New Roman" w:cs="Times New Roman"/>
          <w:color w:val="000000"/>
          <w:sz w:val="24"/>
          <w:szCs w:val="24"/>
          <w:lang w:eastAsia="zh-CN"/>
        </w:rPr>
        <w:t xml:space="preserve">around </w:t>
      </w:r>
      <w:r w:rsidRPr="00E6522E">
        <w:rPr>
          <w:rFonts w:ascii="Times New Roman" w:eastAsia="SimSun" w:hAnsi="Times New Roman" w:cs="Times New Roman"/>
          <w:color w:val="000000"/>
          <w:sz w:val="24"/>
          <w:szCs w:val="24"/>
          <w:lang w:eastAsia="zh-CN"/>
        </w:rPr>
        <w:t>$</w:t>
      </w:r>
      <w:r w:rsidR="00C9660B" w:rsidRPr="00E6522E">
        <w:rPr>
          <w:rFonts w:ascii="Times New Roman" w:eastAsia="SimSun" w:hAnsi="Times New Roman" w:cs="Times New Roman"/>
          <w:color w:val="000000"/>
          <w:sz w:val="24"/>
          <w:szCs w:val="24"/>
          <w:lang w:eastAsia="zh-CN"/>
        </w:rPr>
        <w:t>80.2</w:t>
      </w:r>
      <w:r w:rsidRPr="00E6522E">
        <w:rPr>
          <w:rFonts w:ascii="Times New Roman" w:eastAsia="SimSun" w:hAnsi="Times New Roman" w:cs="Times New Roman"/>
          <w:color w:val="000000"/>
          <w:sz w:val="24"/>
          <w:szCs w:val="24"/>
          <w:lang w:eastAsia="zh-CN"/>
        </w:rPr>
        <w:t xml:space="preserve"> million over </w:t>
      </w:r>
      <w:r w:rsidR="00C9660B" w:rsidRPr="00E6522E">
        <w:rPr>
          <w:rFonts w:ascii="Times New Roman" w:eastAsia="SimSun" w:hAnsi="Times New Roman" w:cs="Times New Roman"/>
          <w:color w:val="000000"/>
          <w:sz w:val="24"/>
          <w:szCs w:val="24"/>
          <w:lang w:eastAsia="zh-CN"/>
        </w:rPr>
        <w:t>the forward estimates</w:t>
      </w:r>
      <w:r w:rsidR="00E6522E">
        <w:rPr>
          <w:rFonts w:ascii="Times New Roman" w:eastAsia="SimSun" w:hAnsi="Times New Roman" w:cs="Times New Roman"/>
          <w:color w:val="000000"/>
          <w:sz w:val="24"/>
          <w:szCs w:val="24"/>
          <w:lang w:eastAsia="zh-CN"/>
        </w:rPr>
        <w:t>.</w:t>
      </w:r>
    </w:p>
    <w:p w:rsidR="00E6522E" w:rsidRDefault="00E6522E" w:rsidP="00E6522E">
      <w:pPr>
        <w:spacing w:after="0" w:line="240" w:lineRule="auto"/>
        <w:rPr>
          <w:rFonts w:ascii="Times New Roman" w:eastAsia="SimSun" w:hAnsi="Times New Roman" w:cs="Times New Roman"/>
          <w:color w:val="000000"/>
          <w:sz w:val="24"/>
          <w:szCs w:val="24"/>
          <w:lang w:eastAsia="zh-CN"/>
        </w:rPr>
      </w:pPr>
    </w:p>
    <w:p w:rsidR="00E6522E" w:rsidRPr="00E6522E" w:rsidRDefault="00E6522E" w:rsidP="00E6522E">
      <w:p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The Amendment preserves automatic annual application of the indexation factor in future years.</w:t>
      </w:r>
    </w:p>
    <w:p w:rsidR="00D202FB" w:rsidRPr="00EA361F" w:rsidRDefault="00D202FB" w:rsidP="00EA361F">
      <w:pPr>
        <w:spacing w:after="0" w:line="240" w:lineRule="auto"/>
        <w:contextualSpacing/>
        <w:rPr>
          <w:rFonts w:ascii="Times New Roman" w:eastAsia="SimSun" w:hAnsi="Times New Roman" w:cs="Times New Roman"/>
          <w:color w:val="000000"/>
          <w:sz w:val="24"/>
          <w:szCs w:val="24"/>
          <w:lang w:eastAsia="zh-CN"/>
        </w:rPr>
      </w:pPr>
    </w:p>
    <w:p w:rsidR="00800388" w:rsidRDefault="00800388" w:rsidP="00800388">
      <w:pPr>
        <w:pStyle w:val="Style0"/>
        <w:spacing w:line="276" w:lineRule="auto"/>
        <w:rPr>
          <w:rFonts w:ascii="Times New Roman" w:hAnsi="Times New Roman"/>
          <w:color w:val="000000"/>
        </w:rPr>
      </w:pPr>
      <w:r w:rsidRPr="004C3FE2">
        <w:rPr>
          <w:rFonts w:ascii="Times New Roman" w:hAnsi="Times New Roman"/>
          <w:b/>
          <w:color w:val="000000"/>
        </w:rPr>
        <w:t>Regulatory impact</w:t>
      </w:r>
    </w:p>
    <w:p w:rsidR="00800388" w:rsidRDefault="00800388" w:rsidP="00800388">
      <w:pPr>
        <w:pStyle w:val="Style0"/>
        <w:spacing w:line="276" w:lineRule="auto"/>
        <w:rPr>
          <w:rFonts w:ascii="Times New Roman" w:hAnsi="Times New Roman" w:cs="Times New Roman"/>
          <w:color w:val="000000"/>
        </w:rPr>
      </w:pPr>
    </w:p>
    <w:p w:rsidR="00800388" w:rsidRPr="00231F57" w:rsidRDefault="00800388" w:rsidP="00B23EDC">
      <w:pPr>
        <w:spacing w:line="240" w:lineRule="auto"/>
        <w:rPr>
          <w:rFonts w:ascii="Times New Roman" w:eastAsia="SimSun" w:hAnsi="Times New Roman" w:cs="Times New Roman"/>
          <w:color w:val="000000"/>
          <w:sz w:val="24"/>
          <w:szCs w:val="24"/>
          <w:lang w:eastAsia="zh-CN"/>
        </w:rPr>
      </w:pPr>
      <w:r w:rsidRPr="00815DAB">
        <w:rPr>
          <w:rFonts w:ascii="Times New Roman" w:eastAsia="SimSun" w:hAnsi="Times New Roman" w:cs="Times New Roman"/>
          <w:color w:val="000000"/>
          <w:sz w:val="24"/>
          <w:szCs w:val="24"/>
          <w:lang w:eastAsia="zh-CN"/>
        </w:rPr>
        <w:t>The Amend</w:t>
      </w:r>
      <w:r w:rsidR="000A3CFF">
        <w:rPr>
          <w:rFonts w:ascii="Times New Roman" w:eastAsia="SimSun" w:hAnsi="Times New Roman" w:cs="Times New Roman"/>
          <w:color w:val="000000"/>
          <w:sz w:val="24"/>
          <w:szCs w:val="24"/>
          <w:lang w:eastAsia="zh-CN"/>
        </w:rPr>
        <w:t>ment</w:t>
      </w:r>
      <w:r w:rsidRPr="00815DAB">
        <w:rPr>
          <w:rFonts w:ascii="Times New Roman" w:eastAsia="SimSun" w:hAnsi="Times New Roman" w:cs="Times New Roman"/>
          <w:color w:val="000000"/>
          <w:sz w:val="24"/>
          <w:szCs w:val="24"/>
          <w:lang w:eastAsia="zh-CN"/>
        </w:rPr>
        <w:t xml:space="preserve"> Determination will impose no </w:t>
      </w:r>
      <w:r w:rsidR="00815DAB">
        <w:rPr>
          <w:rFonts w:ascii="Times New Roman" w:eastAsia="SimSun" w:hAnsi="Times New Roman" w:cs="Times New Roman"/>
          <w:color w:val="000000"/>
          <w:sz w:val="24"/>
          <w:szCs w:val="24"/>
          <w:lang w:eastAsia="zh-CN"/>
        </w:rPr>
        <w:t xml:space="preserve">additional </w:t>
      </w:r>
      <w:r w:rsidRPr="00815DAB">
        <w:rPr>
          <w:rFonts w:ascii="Times New Roman" w:eastAsia="SimSun" w:hAnsi="Times New Roman" w:cs="Times New Roman"/>
          <w:color w:val="000000"/>
          <w:sz w:val="24"/>
          <w:szCs w:val="24"/>
          <w:lang w:eastAsia="zh-CN"/>
        </w:rPr>
        <w:t>regulatory impact on Australian citizens or businesses.</w:t>
      </w:r>
      <w:r w:rsidR="00132271" w:rsidRPr="00815DAB">
        <w:rPr>
          <w:rFonts w:ascii="Times New Roman" w:eastAsia="SimSun" w:hAnsi="Times New Roman" w:cs="Times New Roman"/>
          <w:color w:val="000000"/>
          <w:sz w:val="24"/>
          <w:szCs w:val="24"/>
          <w:lang w:eastAsia="zh-CN"/>
        </w:rPr>
        <w:t xml:space="preserve"> </w:t>
      </w:r>
      <w:r w:rsidR="00815DAB">
        <w:rPr>
          <w:rFonts w:ascii="Times New Roman" w:eastAsia="SimSun" w:hAnsi="Times New Roman" w:cs="Times New Roman"/>
          <w:color w:val="000000"/>
          <w:sz w:val="24"/>
          <w:szCs w:val="24"/>
          <w:lang w:eastAsia="zh-CN"/>
        </w:rPr>
        <w:t xml:space="preserve">The Office of Best Practice Regulation </w:t>
      </w:r>
      <w:r w:rsidR="00A75A8A">
        <w:rPr>
          <w:rFonts w:ascii="Times New Roman" w:eastAsia="SimSun" w:hAnsi="Times New Roman" w:cs="Times New Roman"/>
          <w:color w:val="000000"/>
          <w:sz w:val="24"/>
          <w:szCs w:val="24"/>
          <w:lang w:eastAsia="zh-CN"/>
        </w:rPr>
        <w:t xml:space="preserve">has </w:t>
      </w:r>
      <w:r w:rsidR="00132271" w:rsidRPr="00815DAB">
        <w:rPr>
          <w:rFonts w:ascii="Times New Roman" w:eastAsia="SimSun" w:hAnsi="Times New Roman" w:cs="Times New Roman"/>
          <w:color w:val="000000"/>
          <w:sz w:val="24"/>
          <w:szCs w:val="24"/>
          <w:lang w:eastAsia="zh-CN"/>
        </w:rPr>
        <w:t>advise</w:t>
      </w:r>
      <w:r w:rsidR="00815DAB">
        <w:rPr>
          <w:rFonts w:ascii="Times New Roman" w:eastAsia="SimSun" w:hAnsi="Times New Roman" w:cs="Times New Roman"/>
          <w:color w:val="000000"/>
          <w:sz w:val="24"/>
          <w:szCs w:val="24"/>
          <w:lang w:eastAsia="zh-CN"/>
        </w:rPr>
        <w:t>d</w:t>
      </w:r>
      <w:r w:rsidR="00132271" w:rsidRPr="00815DAB">
        <w:rPr>
          <w:rFonts w:ascii="Times New Roman" w:eastAsia="SimSun" w:hAnsi="Times New Roman" w:cs="Times New Roman"/>
          <w:color w:val="000000"/>
          <w:sz w:val="24"/>
          <w:szCs w:val="24"/>
          <w:lang w:eastAsia="zh-CN"/>
        </w:rPr>
        <w:t xml:space="preserve"> that no Regulation Impact Statement </w:t>
      </w:r>
      <w:r w:rsidR="00815DAB">
        <w:rPr>
          <w:rFonts w:ascii="Times New Roman" w:eastAsia="SimSun" w:hAnsi="Times New Roman" w:cs="Times New Roman"/>
          <w:color w:val="000000"/>
          <w:sz w:val="24"/>
          <w:szCs w:val="24"/>
          <w:lang w:eastAsia="zh-CN"/>
        </w:rPr>
        <w:t>is</w:t>
      </w:r>
      <w:r w:rsidR="00132271" w:rsidRPr="00815DAB">
        <w:rPr>
          <w:rFonts w:ascii="Times New Roman" w:eastAsia="SimSun" w:hAnsi="Times New Roman" w:cs="Times New Roman"/>
          <w:color w:val="000000"/>
          <w:sz w:val="24"/>
          <w:szCs w:val="24"/>
          <w:lang w:eastAsia="zh-CN"/>
        </w:rPr>
        <w:t xml:space="preserve"> required</w:t>
      </w:r>
      <w:r w:rsidR="00815DAB">
        <w:rPr>
          <w:rFonts w:ascii="Times New Roman" w:eastAsia="SimSun" w:hAnsi="Times New Roman" w:cs="Times New Roman"/>
          <w:color w:val="000000"/>
          <w:sz w:val="24"/>
          <w:szCs w:val="24"/>
          <w:lang w:eastAsia="zh-CN"/>
        </w:rPr>
        <w:t xml:space="preserve"> (</w:t>
      </w:r>
      <w:r w:rsidR="00132271" w:rsidRPr="00815DAB">
        <w:rPr>
          <w:rFonts w:ascii="Times New Roman" w:eastAsia="SimSun" w:hAnsi="Times New Roman" w:cs="Times New Roman"/>
          <w:color w:val="000000"/>
          <w:sz w:val="24"/>
          <w:szCs w:val="24"/>
          <w:lang w:eastAsia="zh-CN"/>
        </w:rPr>
        <w:t>refe</w:t>
      </w:r>
      <w:r w:rsidR="00815DAB">
        <w:rPr>
          <w:rFonts w:ascii="Times New Roman" w:eastAsia="SimSun" w:hAnsi="Times New Roman" w:cs="Times New Roman"/>
          <w:color w:val="000000"/>
          <w:sz w:val="24"/>
          <w:szCs w:val="24"/>
          <w:lang w:eastAsia="zh-CN"/>
        </w:rPr>
        <w:t>rence number</w:t>
      </w:r>
      <w:r w:rsidR="00132271" w:rsidRPr="00815DAB">
        <w:rPr>
          <w:rFonts w:ascii="Times New Roman" w:eastAsia="SimSun" w:hAnsi="Times New Roman" w:cs="Times New Roman"/>
          <w:color w:val="000000"/>
          <w:sz w:val="24"/>
          <w:szCs w:val="24"/>
          <w:lang w:eastAsia="zh-CN"/>
        </w:rPr>
        <w:t xml:space="preserve"> </w:t>
      </w:r>
      <w:r w:rsidR="00250BCD" w:rsidRPr="00250BCD">
        <w:rPr>
          <w:rFonts w:ascii="Times New Roman" w:eastAsia="SimSun" w:hAnsi="Times New Roman" w:cs="Times New Roman"/>
          <w:color w:val="000000"/>
          <w:sz w:val="24"/>
          <w:szCs w:val="24"/>
          <w:lang w:eastAsia="zh-CN"/>
        </w:rPr>
        <w:t>24659</w:t>
      </w:r>
      <w:r w:rsidR="00815DAB">
        <w:rPr>
          <w:rFonts w:ascii="Times New Roman" w:eastAsia="SimSun" w:hAnsi="Times New Roman" w:cs="Times New Roman"/>
          <w:color w:val="000000"/>
          <w:sz w:val="24"/>
          <w:szCs w:val="24"/>
          <w:lang w:eastAsia="zh-CN"/>
        </w:rPr>
        <w:t>)</w:t>
      </w:r>
      <w:r w:rsidR="00132271" w:rsidRPr="00815DAB">
        <w:rPr>
          <w:rFonts w:ascii="Times New Roman" w:eastAsia="SimSun" w:hAnsi="Times New Roman" w:cs="Times New Roman"/>
          <w:color w:val="000000"/>
          <w:sz w:val="24"/>
          <w:szCs w:val="24"/>
          <w:lang w:eastAsia="zh-CN"/>
        </w:rPr>
        <w:t>.</w:t>
      </w:r>
    </w:p>
    <w:p w:rsidR="00800388" w:rsidRPr="00F65BE8" w:rsidRDefault="00800388" w:rsidP="00800388">
      <w:pPr>
        <w:pStyle w:val="Style0"/>
        <w:spacing w:line="276" w:lineRule="auto"/>
        <w:rPr>
          <w:rFonts w:ascii="Times New Roman" w:hAnsi="Times New Roman" w:cs="Times New Roman"/>
          <w:b/>
          <w:color w:val="000000"/>
        </w:rPr>
      </w:pPr>
      <w:r w:rsidRPr="00F65BE8">
        <w:rPr>
          <w:rFonts w:ascii="Times New Roman" w:hAnsi="Times New Roman" w:cs="Times New Roman"/>
          <w:b/>
          <w:color w:val="000000"/>
        </w:rPr>
        <w:t>Consultation</w:t>
      </w:r>
    </w:p>
    <w:p w:rsidR="00800388" w:rsidRPr="00F65BE8" w:rsidRDefault="00800388" w:rsidP="00800388">
      <w:pPr>
        <w:pStyle w:val="Style0"/>
        <w:spacing w:line="276" w:lineRule="auto"/>
        <w:rPr>
          <w:rFonts w:ascii="Times New Roman" w:hAnsi="Times New Roman" w:cs="Times New Roman"/>
          <w:color w:val="000000"/>
        </w:rPr>
      </w:pPr>
    </w:p>
    <w:p w:rsidR="00800388" w:rsidRPr="00EA361F" w:rsidRDefault="00B23EDC" w:rsidP="00927505">
      <w:pPr>
        <w:pStyle w:val="Style0"/>
        <w:shd w:val="clear" w:color="auto" w:fill="FFFFFF" w:themeFill="background1"/>
        <w:spacing w:line="276" w:lineRule="auto"/>
        <w:rPr>
          <w:rFonts w:ascii="Times New Roman" w:hAnsi="Times New Roman" w:cs="Times New Roman"/>
          <w:b/>
          <w:color w:val="000000"/>
        </w:rPr>
      </w:pPr>
      <w:r>
        <w:rPr>
          <w:rFonts w:ascii="Times New Roman" w:hAnsi="Times New Roman" w:cs="Times New Roman"/>
          <w:color w:val="000000"/>
        </w:rPr>
        <w:t>The Department of Finance</w:t>
      </w:r>
      <w:r w:rsidR="00846B25" w:rsidRPr="00C72D27">
        <w:rPr>
          <w:rFonts w:ascii="Times New Roman" w:hAnsi="Times New Roman" w:cs="Times New Roman"/>
          <w:color w:val="000000"/>
        </w:rPr>
        <w:t xml:space="preserve"> was consulted on the</w:t>
      </w:r>
      <w:r w:rsidR="00927505" w:rsidRPr="00C72D27">
        <w:rPr>
          <w:rFonts w:ascii="Times New Roman" w:hAnsi="Times New Roman" w:cs="Times New Roman"/>
          <w:color w:val="000000"/>
        </w:rPr>
        <w:t xml:space="preserve"> fee increases for Australian travel documents.</w:t>
      </w:r>
      <w:r w:rsidR="00800388" w:rsidRPr="00EA361F">
        <w:rPr>
          <w:rFonts w:ascii="Times New Roman" w:hAnsi="Times New Roman" w:cs="Times New Roman"/>
          <w:b/>
          <w:color w:val="000000"/>
        </w:rPr>
        <w:br w:type="page"/>
      </w:r>
    </w:p>
    <w:p w:rsidR="00800388" w:rsidRPr="00B945C5" w:rsidRDefault="00332742" w:rsidP="00DC7D18">
      <w:pPr>
        <w:pStyle w:val="Style0"/>
        <w:rPr>
          <w:rFonts w:ascii="Times New Roman" w:hAnsi="Times New Roman" w:cs="Times New Roman"/>
          <w:b/>
          <w:i/>
          <w:color w:val="000000"/>
        </w:rPr>
      </w:pPr>
      <w:r>
        <w:rPr>
          <w:rFonts w:ascii="Times New Roman" w:hAnsi="Times New Roman" w:cs="Times New Roman"/>
          <w:b/>
          <w:i/>
          <w:color w:val="000000"/>
        </w:rPr>
        <w:lastRenderedPageBreak/>
        <w:t xml:space="preserve">Australian </w:t>
      </w:r>
      <w:r w:rsidR="00800388" w:rsidRPr="00B945C5">
        <w:rPr>
          <w:rFonts w:ascii="Times New Roman" w:hAnsi="Times New Roman" w:cs="Times New Roman"/>
          <w:b/>
          <w:i/>
          <w:color w:val="000000"/>
        </w:rPr>
        <w:t xml:space="preserve">Passports </w:t>
      </w:r>
      <w:r>
        <w:rPr>
          <w:rFonts w:ascii="Times New Roman" w:hAnsi="Times New Roman" w:cs="Times New Roman"/>
          <w:b/>
          <w:i/>
          <w:color w:val="000000"/>
        </w:rPr>
        <w:t>(Application Fees)</w:t>
      </w:r>
      <w:r w:rsidR="00800388" w:rsidRPr="00B945C5">
        <w:rPr>
          <w:rFonts w:ascii="Times New Roman" w:hAnsi="Times New Roman" w:cs="Times New Roman"/>
          <w:b/>
          <w:i/>
          <w:color w:val="000000"/>
        </w:rPr>
        <w:t xml:space="preserve"> Amendment Determination 201</w:t>
      </w:r>
      <w:r w:rsidR="00D645E1">
        <w:rPr>
          <w:rFonts w:ascii="Times New Roman" w:hAnsi="Times New Roman" w:cs="Times New Roman"/>
          <w:b/>
          <w:i/>
          <w:color w:val="000000"/>
        </w:rPr>
        <w:t>8</w:t>
      </w:r>
    </w:p>
    <w:p w:rsidR="00800388" w:rsidRPr="00B945C5" w:rsidRDefault="00800388" w:rsidP="00DC7D18">
      <w:pPr>
        <w:pStyle w:val="Style0"/>
        <w:rPr>
          <w:rFonts w:ascii="Times New Roman" w:hAnsi="Times New Roman" w:cs="Times New Roman"/>
          <w:b/>
          <w:i/>
          <w:color w:val="000000"/>
        </w:rPr>
      </w:pPr>
    </w:p>
    <w:p w:rsidR="009A77D1" w:rsidRPr="00B945C5" w:rsidRDefault="009A77D1" w:rsidP="009A77D1">
      <w:pPr>
        <w:pStyle w:val="Style0"/>
        <w:rPr>
          <w:rFonts w:ascii="Times New Roman" w:hAnsi="Times New Roman" w:cs="Times New Roman"/>
          <w:b/>
          <w:color w:val="000000"/>
        </w:rPr>
      </w:pPr>
      <w:r w:rsidRPr="00B945C5">
        <w:rPr>
          <w:rFonts w:ascii="Times New Roman" w:hAnsi="Times New Roman" w:cs="Times New Roman"/>
          <w:b/>
          <w:color w:val="000000"/>
        </w:rPr>
        <w:t>Preliminary</w:t>
      </w:r>
    </w:p>
    <w:p w:rsidR="009A77D1" w:rsidRPr="00B945C5" w:rsidRDefault="009A77D1" w:rsidP="009A77D1">
      <w:pPr>
        <w:pStyle w:val="Style0"/>
        <w:rPr>
          <w:rFonts w:ascii="Times New Roman" w:hAnsi="Times New Roman" w:cs="Times New Roman"/>
          <w:b/>
          <w:color w:val="000000"/>
        </w:rPr>
      </w:pPr>
    </w:p>
    <w:p w:rsidR="009A77D1" w:rsidRPr="00EA361F" w:rsidRDefault="009A77D1" w:rsidP="009A77D1">
      <w:pPr>
        <w:pStyle w:val="Style0"/>
        <w:rPr>
          <w:rFonts w:ascii="Times New Roman" w:hAnsi="Times New Roman" w:cs="Times New Roman"/>
          <w:b/>
          <w:color w:val="000000"/>
          <w:u w:val="single"/>
        </w:rPr>
      </w:pPr>
      <w:r w:rsidRPr="00EA361F">
        <w:rPr>
          <w:rFonts w:ascii="Times New Roman" w:hAnsi="Times New Roman" w:cs="Times New Roman"/>
          <w:b/>
          <w:color w:val="000000"/>
          <w:u w:val="single"/>
        </w:rPr>
        <w:t>Notes on Clauses</w:t>
      </w:r>
    </w:p>
    <w:p w:rsidR="009A77D1" w:rsidRPr="00736F91" w:rsidRDefault="009A77D1" w:rsidP="009A77D1">
      <w:pPr>
        <w:pStyle w:val="ActHead5"/>
        <w:rPr>
          <w:szCs w:val="24"/>
        </w:rPr>
      </w:pPr>
      <w:bookmarkStart w:id="1" w:name="_Toc354749432"/>
      <w:r w:rsidRPr="002C1A21">
        <w:rPr>
          <w:rStyle w:val="CharSectno"/>
          <w:rFonts w:eastAsiaTheme="minorHAnsi"/>
          <w:szCs w:val="24"/>
        </w:rPr>
        <w:t>Clause 1</w:t>
      </w:r>
      <w:r>
        <w:rPr>
          <w:rStyle w:val="CharSectno"/>
          <w:rFonts w:eastAsiaTheme="minorHAnsi"/>
          <w:szCs w:val="24"/>
        </w:rPr>
        <w:t xml:space="preserve"> -</w:t>
      </w:r>
      <w:r w:rsidRPr="004620DB">
        <w:rPr>
          <w:szCs w:val="24"/>
        </w:rPr>
        <w:t xml:space="preserve"> </w:t>
      </w:r>
      <w:r w:rsidRPr="00D66475">
        <w:rPr>
          <w:szCs w:val="24"/>
        </w:rPr>
        <w:t>Name</w:t>
      </w:r>
      <w:bookmarkEnd w:id="1"/>
      <w:r w:rsidRPr="00D66475">
        <w:rPr>
          <w:szCs w:val="24"/>
        </w:rPr>
        <w:t xml:space="preserve"> of determination</w:t>
      </w:r>
    </w:p>
    <w:p w:rsidR="009A77D1" w:rsidRPr="00EA361F" w:rsidRDefault="009A77D1" w:rsidP="009A77D1">
      <w:pPr>
        <w:pStyle w:val="subsection"/>
        <w:numPr>
          <w:ilvl w:val="0"/>
          <w:numId w:val="2"/>
        </w:numPr>
        <w:tabs>
          <w:tab w:val="clear" w:pos="1021"/>
          <w:tab w:val="right" w:pos="0"/>
        </w:tabs>
        <w:rPr>
          <w:sz w:val="24"/>
          <w:szCs w:val="24"/>
        </w:rPr>
      </w:pPr>
      <w:r w:rsidRPr="00EA361F">
        <w:rPr>
          <w:sz w:val="24"/>
          <w:szCs w:val="24"/>
        </w:rPr>
        <w:t xml:space="preserve">Clause 1 provides that the name of this determination will be the </w:t>
      </w:r>
      <w:r w:rsidRPr="00EA361F">
        <w:rPr>
          <w:i/>
          <w:color w:val="000000"/>
          <w:sz w:val="24"/>
          <w:szCs w:val="24"/>
        </w:rPr>
        <w:t xml:space="preserve">Australian Passports </w:t>
      </w:r>
      <w:r>
        <w:rPr>
          <w:i/>
          <w:color w:val="000000"/>
          <w:sz w:val="24"/>
          <w:szCs w:val="24"/>
        </w:rPr>
        <w:t xml:space="preserve">(Application Fees) </w:t>
      </w:r>
      <w:r w:rsidRPr="00EA361F">
        <w:rPr>
          <w:i/>
          <w:color w:val="000000"/>
          <w:sz w:val="24"/>
          <w:szCs w:val="24"/>
        </w:rPr>
        <w:t>Amendment Determination 201</w:t>
      </w:r>
      <w:r>
        <w:rPr>
          <w:i/>
          <w:color w:val="000000"/>
          <w:sz w:val="24"/>
          <w:szCs w:val="24"/>
        </w:rPr>
        <w:t>8</w:t>
      </w:r>
      <w:r w:rsidRPr="00EA361F">
        <w:rPr>
          <w:i/>
          <w:color w:val="000000"/>
          <w:sz w:val="24"/>
          <w:szCs w:val="24"/>
        </w:rPr>
        <w:t xml:space="preserve"> </w:t>
      </w:r>
      <w:r w:rsidRPr="00EA361F">
        <w:rPr>
          <w:color w:val="000000"/>
          <w:sz w:val="24"/>
          <w:szCs w:val="24"/>
        </w:rPr>
        <w:t>(Amendment Determination)</w:t>
      </w:r>
      <w:r w:rsidRPr="00EA361F">
        <w:rPr>
          <w:i/>
          <w:color w:val="000000"/>
          <w:sz w:val="24"/>
          <w:szCs w:val="24"/>
        </w:rPr>
        <w:t>.</w:t>
      </w:r>
    </w:p>
    <w:p w:rsidR="009A77D1" w:rsidRPr="00736F91" w:rsidRDefault="009A77D1" w:rsidP="009A77D1">
      <w:pPr>
        <w:pStyle w:val="ActHead5"/>
        <w:rPr>
          <w:szCs w:val="24"/>
        </w:rPr>
      </w:pPr>
      <w:bookmarkStart w:id="2" w:name="_Toc354749433"/>
      <w:r w:rsidRPr="002C1A21">
        <w:rPr>
          <w:rStyle w:val="CharSectno"/>
          <w:rFonts w:eastAsiaTheme="minorHAnsi"/>
          <w:szCs w:val="24"/>
        </w:rPr>
        <w:t>Clause 2</w:t>
      </w:r>
      <w:r>
        <w:rPr>
          <w:rStyle w:val="CharSectno"/>
          <w:rFonts w:eastAsiaTheme="minorHAnsi"/>
          <w:szCs w:val="24"/>
        </w:rPr>
        <w:t xml:space="preserve"> - </w:t>
      </w:r>
      <w:r w:rsidRPr="00D66475">
        <w:rPr>
          <w:szCs w:val="24"/>
        </w:rPr>
        <w:t>Commencement</w:t>
      </w:r>
      <w:bookmarkEnd w:id="2"/>
    </w:p>
    <w:p w:rsidR="009A77D1" w:rsidRPr="00EA361F" w:rsidRDefault="009A77D1" w:rsidP="009A77D1">
      <w:pPr>
        <w:pStyle w:val="subsection"/>
        <w:numPr>
          <w:ilvl w:val="0"/>
          <w:numId w:val="2"/>
        </w:numPr>
        <w:tabs>
          <w:tab w:val="clear" w:pos="1021"/>
          <w:tab w:val="right" w:pos="0"/>
        </w:tabs>
        <w:rPr>
          <w:b/>
          <w:sz w:val="24"/>
          <w:szCs w:val="24"/>
        </w:rPr>
      </w:pPr>
      <w:r>
        <w:rPr>
          <w:color w:val="000000"/>
          <w:sz w:val="24"/>
          <w:szCs w:val="24"/>
        </w:rPr>
        <w:t>Subc</w:t>
      </w:r>
      <w:r w:rsidRPr="00EA361F">
        <w:rPr>
          <w:color w:val="000000"/>
          <w:sz w:val="24"/>
          <w:szCs w:val="24"/>
        </w:rPr>
        <w:t>lause 2</w:t>
      </w:r>
      <w:r>
        <w:rPr>
          <w:color w:val="000000"/>
          <w:sz w:val="24"/>
          <w:szCs w:val="24"/>
        </w:rPr>
        <w:t>(1)</w:t>
      </w:r>
      <w:r w:rsidRPr="00EA361F">
        <w:rPr>
          <w:color w:val="000000"/>
          <w:sz w:val="24"/>
          <w:szCs w:val="24"/>
        </w:rPr>
        <w:t xml:space="preserve"> provides that the Amendment Determination will commence on 1 January 201</w:t>
      </w:r>
      <w:r>
        <w:rPr>
          <w:color w:val="000000"/>
          <w:sz w:val="24"/>
          <w:szCs w:val="24"/>
        </w:rPr>
        <w:t>9</w:t>
      </w:r>
      <w:r w:rsidRPr="00EA361F">
        <w:rPr>
          <w:color w:val="000000"/>
          <w:sz w:val="24"/>
          <w:szCs w:val="24"/>
        </w:rPr>
        <w:t>.</w:t>
      </w:r>
    </w:p>
    <w:p w:rsidR="009A77D1" w:rsidRPr="00EA361F" w:rsidRDefault="009A77D1" w:rsidP="009A77D1">
      <w:pPr>
        <w:pStyle w:val="subsection"/>
        <w:numPr>
          <w:ilvl w:val="0"/>
          <w:numId w:val="2"/>
        </w:numPr>
        <w:tabs>
          <w:tab w:val="clear" w:pos="1021"/>
          <w:tab w:val="right" w:pos="0"/>
        </w:tabs>
        <w:rPr>
          <w:b/>
          <w:sz w:val="24"/>
          <w:szCs w:val="24"/>
        </w:rPr>
      </w:pPr>
      <w:r w:rsidRPr="00EA361F">
        <w:rPr>
          <w:color w:val="000000"/>
          <w:sz w:val="24"/>
          <w:szCs w:val="24"/>
        </w:rPr>
        <w:t>Subclause 2(2)</w:t>
      </w:r>
      <w:r>
        <w:rPr>
          <w:color w:val="000000"/>
          <w:sz w:val="24"/>
          <w:szCs w:val="24"/>
        </w:rPr>
        <w:t xml:space="preserve"> provides that any information in column 3 of the table in subclause 2(1) is not part of the Amendment Determination.  However, information may be inserted in this column, or information in it may be edited, in any published version of this Determination.</w:t>
      </w:r>
    </w:p>
    <w:p w:rsidR="009A77D1" w:rsidRPr="00736F91" w:rsidRDefault="009A77D1" w:rsidP="009A77D1">
      <w:pPr>
        <w:pStyle w:val="ActHead5"/>
        <w:rPr>
          <w:szCs w:val="24"/>
        </w:rPr>
      </w:pPr>
      <w:bookmarkStart w:id="3" w:name="_Toc354749434"/>
      <w:r w:rsidRPr="002C1A21">
        <w:rPr>
          <w:szCs w:val="24"/>
        </w:rPr>
        <w:t>Clause 3</w:t>
      </w:r>
      <w:r>
        <w:rPr>
          <w:szCs w:val="24"/>
        </w:rPr>
        <w:t xml:space="preserve"> -</w:t>
      </w:r>
      <w:r w:rsidRPr="004620DB">
        <w:rPr>
          <w:szCs w:val="24"/>
        </w:rPr>
        <w:t xml:space="preserve"> </w:t>
      </w:r>
      <w:r w:rsidRPr="00D66475">
        <w:rPr>
          <w:szCs w:val="24"/>
        </w:rPr>
        <w:t>Authority</w:t>
      </w:r>
      <w:bookmarkEnd w:id="3"/>
    </w:p>
    <w:p w:rsidR="009A77D1" w:rsidRPr="00EA361F" w:rsidRDefault="009A77D1" w:rsidP="009A77D1">
      <w:pPr>
        <w:pStyle w:val="subsection"/>
        <w:numPr>
          <w:ilvl w:val="0"/>
          <w:numId w:val="2"/>
        </w:numPr>
        <w:tabs>
          <w:tab w:val="clear" w:pos="1021"/>
          <w:tab w:val="right" w:pos="0"/>
        </w:tabs>
        <w:rPr>
          <w:color w:val="000000"/>
          <w:sz w:val="24"/>
          <w:szCs w:val="24"/>
        </w:rPr>
      </w:pPr>
      <w:r w:rsidRPr="00EA361F">
        <w:rPr>
          <w:color w:val="000000"/>
          <w:sz w:val="24"/>
          <w:szCs w:val="24"/>
        </w:rPr>
        <w:t xml:space="preserve">The </w:t>
      </w:r>
      <w:r w:rsidRPr="00EA361F">
        <w:rPr>
          <w:i/>
          <w:color w:val="000000"/>
          <w:sz w:val="24"/>
          <w:szCs w:val="24"/>
        </w:rPr>
        <w:t>Australian Passports (Application Fees) Act 2005</w:t>
      </w:r>
      <w:r w:rsidRPr="00EA361F">
        <w:rPr>
          <w:color w:val="000000"/>
          <w:sz w:val="24"/>
          <w:szCs w:val="24"/>
        </w:rPr>
        <w:t xml:space="preserve"> (</w:t>
      </w:r>
      <w:r w:rsidR="00353040">
        <w:rPr>
          <w:color w:val="000000"/>
          <w:sz w:val="24"/>
          <w:szCs w:val="24"/>
        </w:rPr>
        <w:t>Passport</w:t>
      </w:r>
      <w:r w:rsidRPr="00EA361F">
        <w:rPr>
          <w:color w:val="000000"/>
          <w:sz w:val="24"/>
          <w:szCs w:val="24"/>
        </w:rPr>
        <w:t xml:space="preserve"> Fees Act) empowers the Minister to impose, as taxes, fees for Australian travel documents and related purposes.  Section 8 gives the Minister the authority to specify matters provided in the </w:t>
      </w:r>
      <w:r w:rsidR="00353040">
        <w:rPr>
          <w:color w:val="000000"/>
          <w:sz w:val="24"/>
          <w:szCs w:val="24"/>
        </w:rPr>
        <w:t>Passport</w:t>
      </w:r>
      <w:r w:rsidRPr="00EA361F">
        <w:rPr>
          <w:color w:val="000000"/>
          <w:sz w:val="24"/>
          <w:szCs w:val="24"/>
        </w:rPr>
        <w:t xml:space="preserve"> Fees Act in a determination. </w:t>
      </w:r>
      <w:r>
        <w:rPr>
          <w:color w:val="000000"/>
          <w:sz w:val="24"/>
          <w:szCs w:val="24"/>
        </w:rPr>
        <w:t xml:space="preserve"> The </w:t>
      </w:r>
      <w:r w:rsidR="00D00169" w:rsidRPr="00D00169">
        <w:rPr>
          <w:i/>
          <w:color w:val="000000"/>
          <w:sz w:val="24"/>
          <w:szCs w:val="24"/>
        </w:rPr>
        <w:t>Australian Passports (Application Fees) Determination 2015</w:t>
      </w:r>
      <w:r w:rsidR="00D00169">
        <w:rPr>
          <w:color w:val="000000"/>
          <w:sz w:val="24"/>
          <w:szCs w:val="24"/>
        </w:rPr>
        <w:t xml:space="preserve"> (</w:t>
      </w:r>
      <w:r w:rsidR="00353040">
        <w:rPr>
          <w:color w:val="000000"/>
          <w:sz w:val="24"/>
          <w:szCs w:val="24"/>
        </w:rPr>
        <w:t>Passport</w:t>
      </w:r>
      <w:r>
        <w:rPr>
          <w:color w:val="000000"/>
          <w:sz w:val="24"/>
          <w:szCs w:val="24"/>
        </w:rPr>
        <w:t xml:space="preserve"> Fees Determination</w:t>
      </w:r>
      <w:r w:rsidR="00D00169">
        <w:rPr>
          <w:color w:val="000000"/>
          <w:sz w:val="24"/>
          <w:szCs w:val="24"/>
        </w:rPr>
        <w:t>)</w:t>
      </w:r>
      <w:r>
        <w:rPr>
          <w:color w:val="000000"/>
          <w:sz w:val="24"/>
          <w:szCs w:val="24"/>
        </w:rPr>
        <w:t xml:space="preserve"> supports the operation of, and provides functional detail to, the </w:t>
      </w:r>
      <w:r w:rsidR="00353040">
        <w:rPr>
          <w:color w:val="000000"/>
          <w:sz w:val="24"/>
          <w:szCs w:val="24"/>
        </w:rPr>
        <w:t>Passport</w:t>
      </w:r>
      <w:r>
        <w:rPr>
          <w:color w:val="000000"/>
          <w:sz w:val="24"/>
          <w:szCs w:val="24"/>
        </w:rPr>
        <w:t xml:space="preserve"> Fees Act.</w:t>
      </w:r>
    </w:p>
    <w:p w:rsidR="009A77D1" w:rsidRPr="00736F91" w:rsidRDefault="009A77D1" w:rsidP="009A77D1">
      <w:pPr>
        <w:pStyle w:val="ActHead5"/>
        <w:rPr>
          <w:szCs w:val="24"/>
        </w:rPr>
      </w:pPr>
      <w:bookmarkStart w:id="4" w:name="_Toc354749435"/>
      <w:r w:rsidRPr="002C1A21">
        <w:rPr>
          <w:szCs w:val="24"/>
        </w:rPr>
        <w:t>Clause 4</w:t>
      </w:r>
      <w:r>
        <w:rPr>
          <w:szCs w:val="24"/>
        </w:rPr>
        <w:t xml:space="preserve"> -</w:t>
      </w:r>
      <w:r w:rsidRPr="004620DB">
        <w:rPr>
          <w:szCs w:val="24"/>
        </w:rPr>
        <w:t xml:space="preserve"> </w:t>
      </w:r>
      <w:r w:rsidRPr="00D66475">
        <w:rPr>
          <w:szCs w:val="24"/>
        </w:rPr>
        <w:t>Schedules</w:t>
      </w:r>
      <w:bookmarkEnd w:id="4"/>
    </w:p>
    <w:p w:rsidR="009A77D1" w:rsidRPr="00EA361F" w:rsidRDefault="009A77D1" w:rsidP="009A77D1">
      <w:pPr>
        <w:pStyle w:val="subsection"/>
        <w:numPr>
          <w:ilvl w:val="0"/>
          <w:numId w:val="2"/>
        </w:numPr>
        <w:tabs>
          <w:tab w:val="clear" w:pos="1021"/>
          <w:tab w:val="right" w:pos="0"/>
        </w:tabs>
        <w:rPr>
          <w:sz w:val="24"/>
          <w:szCs w:val="24"/>
        </w:rPr>
      </w:pPr>
      <w:r w:rsidRPr="00EA361F">
        <w:rPr>
          <w:sz w:val="24"/>
          <w:szCs w:val="24"/>
        </w:rPr>
        <w:t>Clause 4 provides that each instrument specified in a Schedule to the instrument is amended or repealed as set out in the applicable items in the Schedule, and any other item in the Schedule has effect according to its terms.</w:t>
      </w:r>
    </w:p>
    <w:p w:rsidR="009A77D1" w:rsidRDefault="009A77D1" w:rsidP="00C751C8">
      <w:pPr>
        <w:spacing w:after="0"/>
        <w:rPr>
          <w:rFonts w:ascii="Times New Roman" w:hAnsi="Times New Roman" w:cs="Times New Roman"/>
          <w:sz w:val="24"/>
          <w:szCs w:val="24"/>
        </w:rPr>
      </w:pPr>
    </w:p>
    <w:p w:rsidR="00A75A8A" w:rsidRDefault="00A75A8A">
      <w:pPr>
        <w:spacing w:after="0" w:line="240" w:lineRule="auto"/>
        <w:rPr>
          <w:rFonts w:ascii="Times New Roman" w:eastAsia="Times New Roman" w:hAnsi="Times New Roman" w:cs="Times New Roman"/>
          <w:b/>
          <w:kern w:val="28"/>
          <w:sz w:val="28"/>
          <w:szCs w:val="28"/>
          <w:lang w:eastAsia="en-AU"/>
        </w:rPr>
      </w:pPr>
      <w:r>
        <w:rPr>
          <w:sz w:val="28"/>
          <w:szCs w:val="28"/>
        </w:rPr>
        <w:br w:type="page"/>
      </w:r>
    </w:p>
    <w:p w:rsidR="00F02CA3" w:rsidRPr="00EA361F" w:rsidRDefault="00F02CA3" w:rsidP="00F02CA3">
      <w:pPr>
        <w:pStyle w:val="ActHead5"/>
        <w:rPr>
          <w:rFonts w:asciiTheme="minorHAnsi" w:eastAsiaTheme="minorHAnsi" w:hAnsiTheme="minorHAnsi" w:cstheme="minorBidi"/>
          <w:b w:val="0"/>
          <w:kern w:val="0"/>
          <w:szCs w:val="24"/>
          <w:lang w:eastAsia="en-US"/>
        </w:rPr>
      </w:pPr>
      <w:r w:rsidRPr="00EA361F">
        <w:rPr>
          <w:sz w:val="28"/>
          <w:szCs w:val="28"/>
        </w:rPr>
        <w:lastRenderedPageBreak/>
        <w:t>Schedule 1—Amendments</w:t>
      </w:r>
    </w:p>
    <w:p w:rsidR="00F02CA3" w:rsidRPr="001F1AE6" w:rsidRDefault="00F02CA3" w:rsidP="00F02CA3">
      <w:pPr>
        <w:rPr>
          <w:rFonts w:ascii="Times New Roman" w:eastAsia="SimSun" w:hAnsi="Times New Roman" w:cs="Times New Roman"/>
          <w:b/>
          <w:i/>
          <w:color w:val="000000"/>
          <w:sz w:val="28"/>
          <w:szCs w:val="28"/>
          <w:lang w:eastAsia="zh-CN"/>
        </w:rPr>
      </w:pPr>
      <w:r>
        <w:rPr>
          <w:sz w:val="24"/>
          <w:szCs w:val="24"/>
        </w:rPr>
        <w:br/>
      </w:r>
      <w:r w:rsidRPr="001F1AE6">
        <w:rPr>
          <w:rFonts w:ascii="Times New Roman" w:eastAsia="SimSun" w:hAnsi="Times New Roman" w:cs="Times New Roman"/>
          <w:b/>
          <w:i/>
          <w:color w:val="000000"/>
          <w:sz w:val="28"/>
          <w:szCs w:val="28"/>
          <w:lang w:eastAsia="zh-CN"/>
        </w:rPr>
        <w:t>Australian Passports (Application Fees) Determination 2015</w:t>
      </w:r>
    </w:p>
    <w:p w:rsidR="00763022" w:rsidRPr="00E23F35" w:rsidRDefault="00763022" w:rsidP="00763022">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Item 1 – Sections 5 and 6 (repeal and replacement)</w:t>
      </w:r>
    </w:p>
    <w:p w:rsidR="00763022" w:rsidRPr="00E23F35" w:rsidRDefault="00763022" w:rsidP="00763022">
      <w:pPr>
        <w:spacing w:after="0" w:line="240" w:lineRule="auto"/>
        <w:rPr>
          <w:rFonts w:ascii="Times New Roman" w:eastAsia="SimSun" w:hAnsi="Times New Roman" w:cs="Times New Roman"/>
          <w:b/>
          <w:color w:val="000000"/>
          <w:sz w:val="24"/>
          <w:szCs w:val="24"/>
          <w:lang w:eastAsia="zh-CN"/>
        </w:rPr>
      </w:pPr>
    </w:p>
    <w:p w:rsidR="00763022" w:rsidRPr="00F31B5D" w:rsidRDefault="00763022" w:rsidP="00763022">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t>Section 5 specifies application fees for Australian travel documents.</w:t>
      </w:r>
    </w:p>
    <w:p w:rsidR="00763022" w:rsidRPr="00F31B5D" w:rsidRDefault="00763022" w:rsidP="00763022">
      <w:pPr>
        <w:spacing w:after="0" w:line="240" w:lineRule="auto"/>
        <w:ind w:left="360"/>
        <w:rPr>
          <w:rFonts w:ascii="Times New Roman" w:eastAsia="SimSun" w:hAnsi="Times New Roman" w:cs="Times New Roman"/>
          <w:b/>
          <w:color w:val="000000"/>
          <w:sz w:val="24"/>
          <w:szCs w:val="24"/>
          <w:lang w:eastAsia="zh-CN"/>
        </w:rPr>
      </w:pPr>
    </w:p>
    <w:p w:rsidR="00763022" w:rsidRPr="00F31B5D" w:rsidRDefault="00763022" w:rsidP="00763022">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EA361F">
        <w:rPr>
          <w:rFonts w:ascii="Times New Roman" w:eastAsia="SimSun" w:hAnsi="Times New Roman" w:cs="Times New Roman"/>
          <w:color w:val="000000"/>
          <w:sz w:val="24"/>
          <w:szCs w:val="24"/>
          <w:lang w:eastAsia="zh-CN"/>
        </w:rPr>
        <w:t xml:space="preserve">Section </w:t>
      </w:r>
      <w:r>
        <w:rPr>
          <w:rFonts w:ascii="Times New Roman" w:eastAsia="SimSun" w:hAnsi="Times New Roman" w:cs="Times New Roman"/>
          <w:color w:val="000000"/>
          <w:sz w:val="24"/>
          <w:szCs w:val="24"/>
          <w:lang w:eastAsia="zh-CN"/>
        </w:rPr>
        <w:t>6 specifies additional fees in relation to Australian travel documents.</w:t>
      </w:r>
    </w:p>
    <w:p w:rsidR="00763022" w:rsidRPr="00F31B5D" w:rsidRDefault="00763022" w:rsidP="00763022">
      <w:pPr>
        <w:pStyle w:val="ListParagraph"/>
        <w:rPr>
          <w:rFonts w:ascii="Times New Roman" w:eastAsia="SimSun" w:hAnsi="Times New Roman" w:cs="Times New Roman"/>
          <w:color w:val="000000"/>
          <w:sz w:val="24"/>
          <w:szCs w:val="24"/>
          <w:lang w:eastAsia="zh-CN"/>
        </w:rPr>
      </w:pPr>
    </w:p>
    <w:p w:rsidR="00763022" w:rsidRPr="00763022" w:rsidRDefault="00763022" w:rsidP="00763022">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t xml:space="preserve">This amendment repeals both sections. They contained lengthy, redundant provisions relating to fees charged in past years that were no longer applicable. </w:t>
      </w:r>
    </w:p>
    <w:p w:rsidR="00763022" w:rsidRPr="00763022" w:rsidRDefault="00763022" w:rsidP="00763022">
      <w:pPr>
        <w:pStyle w:val="ListParagraph"/>
        <w:rPr>
          <w:rFonts w:ascii="Times New Roman" w:eastAsia="SimSun" w:hAnsi="Times New Roman" w:cs="Times New Roman"/>
          <w:b/>
          <w:color w:val="000000"/>
          <w:sz w:val="24"/>
          <w:szCs w:val="24"/>
          <w:lang w:eastAsia="zh-CN"/>
        </w:rPr>
      </w:pPr>
    </w:p>
    <w:p w:rsidR="004B572C" w:rsidRPr="004B572C" w:rsidRDefault="004B572C" w:rsidP="00365900">
      <w:pPr>
        <w:pStyle w:val="ListParagraph"/>
        <w:keepLines/>
        <w:numPr>
          <w:ilvl w:val="0"/>
          <w:numId w:val="3"/>
        </w:numPr>
        <w:spacing w:after="0" w:line="240" w:lineRule="auto"/>
        <w:ind w:left="714" w:hanging="357"/>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For application fees for all travel document types in the table in subsection 5(3), except </w:t>
      </w:r>
      <w:r w:rsidR="00E67765">
        <w:rPr>
          <w:rFonts w:ascii="Times New Roman" w:eastAsia="SimSun" w:hAnsi="Times New Roman" w:cs="Times New Roman"/>
          <w:color w:val="000000"/>
          <w:sz w:val="24"/>
          <w:szCs w:val="24"/>
          <w:lang w:eastAsia="zh-CN"/>
        </w:rPr>
        <w:t xml:space="preserve">for </w:t>
      </w:r>
      <w:r>
        <w:rPr>
          <w:rFonts w:ascii="Times New Roman" w:eastAsia="SimSun" w:hAnsi="Times New Roman" w:cs="Times New Roman"/>
          <w:color w:val="000000"/>
          <w:sz w:val="24"/>
          <w:szCs w:val="24"/>
          <w:lang w:eastAsia="zh-CN"/>
        </w:rPr>
        <w:t xml:space="preserve">provisional travel documents, </w:t>
      </w:r>
      <w:r w:rsidR="00005E8A">
        <w:rPr>
          <w:rFonts w:ascii="Times New Roman" w:eastAsia="SimSun" w:hAnsi="Times New Roman" w:cs="Times New Roman"/>
          <w:color w:val="000000"/>
          <w:sz w:val="24"/>
          <w:szCs w:val="24"/>
          <w:lang w:eastAsia="zh-CN"/>
        </w:rPr>
        <w:t xml:space="preserve">the replacement </w:t>
      </w:r>
      <w:r>
        <w:rPr>
          <w:rFonts w:ascii="Times New Roman" w:eastAsia="SimSun" w:hAnsi="Times New Roman" w:cs="Times New Roman"/>
          <w:color w:val="000000"/>
          <w:sz w:val="24"/>
          <w:szCs w:val="24"/>
          <w:lang w:eastAsia="zh-CN"/>
        </w:rPr>
        <w:t>s</w:t>
      </w:r>
      <w:r w:rsidRPr="004B572C">
        <w:rPr>
          <w:rFonts w:ascii="Times New Roman" w:eastAsia="SimSun" w:hAnsi="Times New Roman" w:cs="Times New Roman"/>
          <w:color w:val="000000"/>
          <w:sz w:val="24"/>
          <w:szCs w:val="24"/>
          <w:lang w:eastAsia="zh-CN"/>
        </w:rPr>
        <w:t xml:space="preserve">ubsection 5(1) sets </w:t>
      </w:r>
      <w:r>
        <w:rPr>
          <w:rFonts w:ascii="Times New Roman" w:eastAsia="SimSun" w:hAnsi="Times New Roman" w:cs="Times New Roman"/>
          <w:color w:val="000000"/>
          <w:sz w:val="24"/>
          <w:szCs w:val="24"/>
          <w:lang w:eastAsia="zh-CN"/>
        </w:rPr>
        <w:t xml:space="preserve">2019 as </w:t>
      </w:r>
      <w:r w:rsidRPr="004B572C">
        <w:rPr>
          <w:rFonts w:ascii="Times New Roman" w:eastAsia="SimSun" w:hAnsi="Times New Roman" w:cs="Times New Roman"/>
          <w:color w:val="000000"/>
          <w:sz w:val="24"/>
          <w:szCs w:val="24"/>
          <w:lang w:eastAsia="zh-CN"/>
        </w:rPr>
        <w:t xml:space="preserve">the base year for </w:t>
      </w:r>
      <w:r>
        <w:rPr>
          <w:rFonts w:ascii="Times New Roman" w:eastAsia="SimSun" w:hAnsi="Times New Roman" w:cs="Times New Roman"/>
          <w:color w:val="000000"/>
          <w:sz w:val="24"/>
          <w:szCs w:val="24"/>
          <w:lang w:eastAsia="zh-CN"/>
        </w:rPr>
        <w:t xml:space="preserve">future indexation. </w:t>
      </w:r>
      <w:r w:rsidRPr="004B572C">
        <w:rPr>
          <w:rFonts w:ascii="Times New Roman" w:eastAsia="SimSun" w:hAnsi="Times New Roman" w:cs="Times New Roman"/>
          <w:color w:val="000000"/>
          <w:sz w:val="24"/>
          <w:szCs w:val="24"/>
          <w:lang w:eastAsia="zh-CN"/>
        </w:rPr>
        <w:t xml:space="preserve">Application fees are </w:t>
      </w:r>
      <w:r>
        <w:rPr>
          <w:rFonts w:ascii="Times New Roman" w:eastAsia="SimSun" w:hAnsi="Times New Roman" w:cs="Times New Roman"/>
          <w:color w:val="000000"/>
          <w:sz w:val="24"/>
          <w:szCs w:val="24"/>
          <w:lang w:eastAsia="zh-CN"/>
        </w:rPr>
        <w:t xml:space="preserve">updated annually on 1 January to reflect </w:t>
      </w:r>
      <w:r w:rsidRPr="004B572C">
        <w:rPr>
          <w:rFonts w:ascii="Times New Roman" w:eastAsia="SimSun" w:hAnsi="Times New Roman" w:cs="Times New Roman"/>
          <w:color w:val="000000"/>
          <w:sz w:val="24"/>
          <w:szCs w:val="24"/>
          <w:lang w:eastAsia="zh-CN"/>
        </w:rPr>
        <w:t>indexation based on the All Groups Consumer Price Index (CPI indexation).</w:t>
      </w:r>
    </w:p>
    <w:p w:rsidR="004B572C" w:rsidRPr="004B572C" w:rsidRDefault="004B572C" w:rsidP="004B572C">
      <w:pPr>
        <w:spacing w:after="0" w:line="240" w:lineRule="auto"/>
        <w:ind w:left="360"/>
        <w:rPr>
          <w:rFonts w:ascii="Times New Roman" w:eastAsia="SimSun" w:hAnsi="Times New Roman" w:cs="Times New Roman"/>
          <w:color w:val="000000"/>
          <w:sz w:val="24"/>
          <w:szCs w:val="24"/>
          <w:lang w:eastAsia="zh-CN"/>
        </w:rPr>
      </w:pPr>
    </w:p>
    <w:p w:rsidR="004B572C" w:rsidRPr="004B572C" w:rsidRDefault="004B572C" w:rsidP="004B572C">
      <w:pPr>
        <w:pStyle w:val="ListParagraph"/>
        <w:numPr>
          <w:ilvl w:val="0"/>
          <w:numId w:val="3"/>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Subsection 5(2) provides that provisional travel documents will not be subject to indexation. This is because there is no fee for these documents.</w:t>
      </w:r>
    </w:p>
    <w:p w:rsidR="004B572C" w:rsidRPr="004B572C" w:rsidRDefault="004B572C" w:rsidP="004B572C">
      <w:pPr>
        <w:spacing w:after="0" w:line="240" w:lineRule="auto"/>
        <w:ind w:left="360"/>
        <w:rPr>
          <w:rFonts w:ascii="Times New Roman" w:eastAsia="SimSun" w:hAnsi="Times New Roman" w:cs="Times New Roman"/>
          <w:color w:val="000000"/>
          <w:sz w:val="24"/>
          <w:szCs w:val="24"/>
          <w:lang w:eastAsia="zh-CN"/>
        </w:rPr>
      </w:pPr>
    </w:p>
    <w:p w:rsidR="008412C1" w:rsidRDefault="004B572C" w:rsidP="004B572C">
      <w:pPr>
        <w:pStyle w:val="ListParagraph"/>
        <w:numPr>
          <w:ilvl w:val="0"/>
          <w:numId w:val="3"/>
        </w:numPr>
        <w:spacing w:after="0" w:line="240" w:lineRule="auto"/>
        <w:rPr>
          <w:rFonts w:ascii="Times New Roman" w:eastAsia="SimSun" w:hAnsi="Times New Roman" w:cs="Times New Roman"/>
          <w:color w:val="000000"/>
          <w:sz w:val="24"/>
          <w:szCs w:val="24"/>
          <w:lang w:eastAsia="zh-CN"/>
        </w:rPr>
      </w:pPr>
      <w:r w:rsidRPr="004B572C">
        <w:rPr>
          <w:rFonts w:ascii="Times New Roman" w:eastAsia="SimSun" w:hAnsi="Times New Roman" w:cs="Times New Roman"/>
          <w:color w:val="000000"/>
          <w:sz w:val="24"/>
          <w:szCs w:val="24"/>
          <w:lang w:eastAsia="zh-CN"/>
        </w:rPr>
        <w:t>The table in subsection 5(3) sets out the fees for specific travel do</w:t>
      </w:r>
      <w:r w:rsidR="00005E8A">
        <w:rPr>
          <w:rFonts w:ascii="Times New Roman" w:eastAsia="SimSun" w:hAnsi="Times New Roman" w:cs="Times New Roman"/>
          <w:color w:val="000000"/>
          <w:sz w:val="24"/>
          <w:szCs w:val="24"/>
          <w:lang w:eastAsia="zh-CN"/>
        </w:rPr>
        <w:t>cuments and circumstances.</w:t>
      </w:r>
    </w:p>
    <w:p w:rsidR="008412C1" w:rsidRPr="008412C1" w:rsidRDefault="008412C1" w:rsidP="008412C1">
      <w:pPr>
        <w:pStyle w:val="ListParagraph"/>
        <w:rPr>
          <w:rFonts w:ascii="Times New Roman" w:eastAsia="SimSun" w:hAnsi="Times New Roman" w:cs="Times New Roman"/>
          <w:color w:val="000000"/>
          <w:sz w:val="24"/>
          <w:szCs w:val="24"/>
          <w:lang w:eastAsia="zh-CN"/>
        </w:rPr>
      </w:pPr>
    </w:p>
    <w:p w:rsidR="004B572C" w:rsidRDefault="008412C1" w:rsidP="004B572C">
      <w:pPr>
        <w:pStyle w:val="ListParagraph"/>
        <w:numPr>
          <w:ilvl w:val="0"/>
          <w:numId w:val="3"/>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Column 1 </w:t>
      </w:r>
      <w:r w:rsidR="004B572C">
        <w:rPr>
          <w:rFonts w:ascii="Times New Roman" w:eastAsia="SimSun" w:hAnsi="Times New Roman" w:cs="Times New Roman"/>
          <w:color w:val="000000"/>
          <w:sz w:val="24"/>
          <w:szCs w:val="24"/>
          <w:lang w:eastAsia="zh-CN"/>
        </w:rPr>
        <w:t xml:space="preserve">differs from </w:t>
      </w:r>
      <w:r>
        <w:rPr>
          <w:rFonts w:ascii="Times New Roman" w:eastAsia="SimSun" w:hAnsi="Times New Roman" w:cs="Times New Roman"/>
          <w:color w:val="000000"/>
          <w:sz w:val="24"/>
          <w:szCs w:val="24"/>
          <w:lang w:eastAsia="zh-CN"/>
        </w:rPr>
        <w:t xml:space="preserve">column 1 of </w:t>
      </w:r>
      <w:r w:rsidR="004B572C">
        <w:rPr>
          <w:rFonts w:ascii="Times New Roman" w:eastAsia="SimSun" w:hAnsi="Times New Roman" w:cs="Times New Roman"/>
          <w:color w:val="000000"/>
          <w:sz w:val="24"/>
          <w:szCs w:val="24"/>
          <w:lang w:eastAsia="zh-CN"/>
        </w:rPr>
        <w:t xml:space="preserve">the repealed subsection 5(3) </w:t>
      </w:r>
      <w:r w:rsidR="00A75A8A">
        <w:rPr>
          <w:rFonts w:ascii="Times New Roman" w:eastAsia="SimSun" w:hAnsi="Times New Roman" w:cs="Times New Roman"/>
          <w:color w:val="000000"/>
          <w:sz w:val="24"/>
          <w:szCs w:val="24"/>
          <w:lang w:eastAsia="zh-CN"/>
        </w:rPr>
        <w:t xml:space="preserve">only </w:t>
      </w:r>
      <w:r w:rsidR="00390E2C">
        <w:rPr>
          <w:rFonts w:ascii="Times New Roman" w:eastAsia="SimSun" w:hAnsi="Times New Roman" w:cs="Times New Roman"/>
          <w:color w:val="000000"/>
          <w:sz w:val="24"/>
          <w:szCs w:val="24"/>
          <w:lang w:eastAsia="zh-CN"/>
        </w:rPr>
        <w:t xml:space="preserve">in that items have been renumbered and </w:t>
      </w:r>
      <w:r>
        <w:rPr>
          <w:rFonts w:ascii="Times New Roman" w:eastAsia="SimSun" w:hAnsi="Times New Roman" w:cs="Times New Roman"/>
          <w:color w:val="000000"/>
          <w:sz w:val="24"/>
          <w:szCs w:val="24"/>
          <w:lang w:eastAsia="zh-CN"/>
        </w:rPr>
        <w:t xml:space="preserve">that </w:t>
      </w:r>
      <w:r w:rsidR="004B572C">
        <w:rPr>
          <w:rFonts w:ascii="Times New Roman" w:eastAsia="SimSun" w:hAnsi="Times New Roman" w:cs="Times New Roman"/>
          <w:color w:val="000000"/>
          <w:sz w:val="24"/>
          <w:szCs w:val="24"/>
          <w:lang w:eastAsia="zh-CN"/>
        </w:rPr>
        <w:t xml:space="preserve">items related to </w:t>
      </w:r>
      <w:r w:rsidR="00390E2C">
        <w:rPr>
          <w:rFonts w:ascii="Times New Roman" w:eastAsia="SimSun" w:hAnsi="Times New Roman" w:cs="Times New Roman"/>
          <w:color w:val="000000"/>
          <w:sz w:val="24"/>
          <w:szCs w:val="24"/>
          <w:lang w:eastAsia="zh-CN"/>
        </w:rPr>
        <w:t>Australian frequent traveller passports</w:t>
      </w:r>
      <w:r>
        <w:rPr>
          <w:rFonts w:ascii="Times New Roman" w:eastAsia="SimSun" w:hAnsi="Times New Roman" w:cs="Times New Roman"/>
          <w:color w:val="000000"/>
          <w:sz w:val="24"/>
          <w:szCs w:val="24"/>
          <w:lang w:eastAsia="zh-CN"/>
        </w:rPr>
        <w:t xml:space="preserve"> no longer appear</w:t>
      </w:r>
      <w:r w:rsidR="00390E2C">
        <w:rPr>
          <w:rFonts w:ascii="Times New Roman" w:eastAsia="SimSun" w:hAnsi="Times New Roman" w:cs="Times New Roman"/>
          <w:color w:val="000000"/>
          <w:sz w:val="24"/>
          <w:szCs w:val="24"/>
          <w:lang w:eastAsia="zh-CN"/>
        </w:rPr>
        <w:t>, given that this type of travel document has not been offered since 30 November 2017.</w:t>
      </w:r>
    </w:p>
    <w:p w:rsidR="008412C1" w:rsidRPr="008412C1" w:rsidRDefault="008412C1" w:rsidP="008412C1">
      <w:pPr>
        <w:pStyle w:val="ListParagraph"/>
        <w:rPr>
          <w:rFonts w:ascii="Times New Roman" w:eastAsia="SimSun" w:hAnsi="Times New Roman" w:cs="Times New Roman"/>
          <w:color w:val="000000"/>
          <w:sz w:val="24"/>
          <w:szCs w:val="24"/>
          <w:lang w:eastAsia="zh-CN"/>
        </w:rPr>
      </w:pPr>
    </w:p>
    <w:p w:rsidR="00593BB4" w:rsidRDefault="00593BB4" w:rsidP="004B572C">
      <w:pPr>
        <w:pStyle w:val="ListParagraph"/>
        <w:numPr>
          <w:ilvl w:val="0"/>
          <w:numId w:val="3"/>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The amounts of the fees in </w:t>
      </w:r>
      <w:r w:rsidR="008412C1">
        <w:rPr>
          <w:rFonts w:ascii="Times New Roman" w:eastAsia="SimSun" w:hAnsi="Times New Roman" w:cs="Times New Roman"/>
          <w:color w:val="000000"/>
          <w:sz w:val="24"/>
          <w:szCs w:val="24"/>
          <w:lang w:eastAsia="zh-CN"/>
        </w:rPr>
        <w:t xml:space="preserve">Column 2 of the table in subsection 5(3) </w:t>
      </w:r>
      <w:r w:rsidR="003A6A4A">
        <w:rPr>
          <w:rFonts w:ascii="Times New Roman" w:eastAsia="SimSun" w:hAnsi="Times New Roman" w:cs="Times New Roman"/>
          <w:color w:val="000000"/>
          <w:sz w:val="24"/>
          <w:szCs w:val="24"/>
          <w:lang w:eastAsia="zh-CN"/>
        </w:rPr>
        <w:t>we</w:t>
      </w:r>
      <w:r>
        <w:rPr>
          <w:rFonts w:ascii="Times New Roman" w:eastAsia="SimSun" w:hAnsi="Times New Roman" w:cs="Times New Roman"/>
          <w:color w:val="000000"/>
          <w:sz w:val="24"/>
          <w:szCs w:val="24"/>
          <w:lang w:eastAsia="zh-CN"/>
        </w:rPr>
        <w:t xml:space="preserve">re derived by applying the following increases to </w:t>
      </w:r>
      <w:r w:rsidR="00E67765">
        <w:rPr>
          <w:rFonts w:ascii="Times New Roman" w:eastAsia="SimSun" w:hAnsi="Times New Roman" w:cs="Times New Roman"/>
          <w:color w:val="000000"/>
          <w:sz w:val="24"/>
          <w:szCs w:val="24"/>
          <w:lang w:eastAsia="zh-CN"/>
        </w:rPr>
        <w:t xml:space="preserve">the corresponding </w:t>
      </w:r>
      <w:r>
        <w:rPr>
          <w:rFonts w:ascii="Times New Roman" w:eastAsia="SimSun" w:hAnsi="Times New Roman" w:cs="Times New Roman"/>
          <w:color w:val="000000"/>
          <w:sz w:val="24"/>
          <w:szCs w:val="24"/>
          <w:lang w:eastAsia="zh-CN"/>
        </w:rPr>
        <w:t xml:space="preserve">fees </w:t>
      </w:r>
      <w:r w:rsidR="00E67765">
        <w:rPr>
          <w:rFonts w:ascii="Times New Roman" w:eastAsia="SimSun" w:hAnsi="Times New Roman" w:cs="Times New Roman"/>
          <w:color w:val="000000"/>
          <w:sz w:val="24"/>
          <w:szCs w:val="24"/>
          <w:lang w:eastAsia="zh-CN"/>
        </w:rPr>
        <w:t>that applied</w:t>
      </w:r>
      <w:r>
        <w:rPr>
          <w:rFonts w:ascii="Times New Roman" w:eastAsia="SimSun" w:hAnsi="Times New Roman" w:cs="Times New Roman"/>
          <w:color w:val="000000"/>
          <w:sz w:val="24"/>
          <w:szCs w:val="24"/>
          <w:lang w:eastAsia="zh-CN"/>
        </w:rPr>
        <w:t xml:space="preserve"> in 2018:</w:t>
      </w:r>
      <w:r w:rsidR="008412C1">
        <w:rPr>
          <w:rFonts w:ascii="Times New Roman" w:eastAsia="SimSun" w:hAnsi="Times New Roman" w:cs="Times New Roman"/>
          <w:color w:val="000000"/>
          <w:sz w:val="24"/>
          <w:szCs w:val="24"/>
          <w:lang w:eastAsia="zh-CN"/>
        </w:rPr>
        <w:t xml:space="preserve"> </w:t>
      </w:r>
    </w:p>
    <w:p w:rsidR="00593BB4" w:rsidRPr="00593BB4" w:rsidRDefault="00593BB4" w:rsidP="00593BB4">
      <w:pPr>
        <w:pStyle w:val="ListParagraph"/>
        <w:rPr>
          <w:rFonts w:ascii="Times New Roman" w:eastAsia="SimSun" w:hAnsi="Times New Roman" w:cs="Times New Roman"/>
          <w:color w:val="000000"/>
          <w:sz w:val="24"/>
          <w:szCs w:val="24"/>
          <w:lang w:eastAsia="zh-CN"/>
        </w:rPr>
      </w:pPr>
    </w:p>
    <w:p w:rsidR="00593BB4" w:rsidRDefault="008412C1" w:rsidP="00593BB4">
      <w:pPr>
        <w:pStyle w:val="ListParagraph"/>
        <w:numPr>
          <w:ilvl w:val="1"/>
          <w:numId w:val="3"/>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the indexation factor which, but for th</w:t>
      </w:r>
      <w:r w:rsidR="00D00169">
        <w:rPr>
          <w:rFonts w:ascii="Times New Roman" w:eastAsia="SimSun" w:hAnsi="Times New Roman" w:cs="Times New Roman"/>
          <w:color w:val="000000"/>
          <w:sz w:val="24"/>
          <w:szCs w:val="24"/>
          <w:lang w:eastAsia="zh-CN"/>
        </w:rPr>
        <w:t>e</w:t>
      </w:r>
      <w:r>
        <w:rPr>
          <w:rFonts w:ascii="Times New Roman" w:eastAsia="SimSun" w:hAnsi="Times New Roman" w:cs="Times New Roman"/>
          <w:color w:val="000000"/>
          <w:sz w:val="24"/>
          <w:szCs w:val="24"/>
          <w:lang w:eastAsia="zh-CN"/>
        </w:rPr>
        <w:t xml:space="preserve"> Amendment Determination, would have applied from 1 January 2019</w:t>
      </w:r>
      <w:r w:rsidR="00593BB4">
        <w:rPr>
          <w:rFonts w:ascii="Times New Roman" w:eastAsia="SimSun" w:hAnsi="Times New Roman" w:cs="Times New Roman"/>
          <w:color w:val="000000"/>
          <w:sz w:val="24"/>
          <w:szCs w:val="24"/>
          <w:lang w:eastAsia="zh-CN"/>
        </w:rPr>
        <w:t>, and</w:t>
      </w:r>
    </w:p>
    <w:p w:rsidR="00593BB4" w:rsidRPr="00593BB4" w:rsidRDefault="00593BB4" w:rsidP="00593BB4">
      <w:pPr>
        <w:spacing w:after="0" w:line="240" w:lineRule="auto"/>
        <w:ind w:left="1080"/>
        <w:rPr>
          <w:rFonts w:ascii="Times New Roman" w:eastAsia="SimSun" w:hAnsi="Times New Roman" w:cs="Times New Roman"/>
          <w:color w:val="000000"/>
          <w:sz w:val="24"/>
          <w:szCs w:val="24"/>
          <w:lang w:eastAsia="zh-CN"/>
        </w:rPr>
      </w:pPr>
    </w:p>
    <w:p w:rsidR="008412C1" w:rsidRDefault="008412C1" w:rsidP="00593BB4">
      <w:pPr>
        <w:pStyle w:val="ListParagraph"/>
        <w:numPr>
          <w:ilvl w:val="1"/>
          <w:numId w:val="3"/>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the following additional increases:</w:t>
      </w:r>
    </w:p>
    <w:p w:rsidR="008412C1" w:rsidRPr="008412C1" w:rsidRDefault="008412C1" w:rsidP="008412C1">
      <w:pPr>
        <w:pStyle w:val="ListParagraph"/>
        <w:rPr>
          <w:rFonts w:ascii="Times New Roman" w:eastAsia="SimSun" w:hAnsi="Times New Roman" w:cs="Times New Roman"/>
          <w:color w:val="000000"/>
          <w:sz w:val="24"/>
          <w:szCs w:val="24"/>
          <w:lang w:eastAsia="zh-CN"/>
        </w:rPr>
      </w:pPr>
    </w:p>
    <w:p w:rsidR="008412C1" w:rsidRDefault="008412C1" w:rsidP="00593BB4">
      <w:pPr>
        <w:pStyle w:val="ListParagraph"/>
        <w:numPr>
          <w:ilvl w:val="2"/>
          <w:numId w:val="3"/>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$6 for </w:t>
      </w:r>
      <w:r w:rsidRPr="00D202FB">
        <w:rPr>
          <w:rFonts w:ascii="Times New Roman" w:eastAsia="SimSun" w:hAnsi="Times New Roman" w:cs="Times New Roman"/>
          <w:color w:val="000000"/>
          <w:sz w:val="24"/>
          <w:szCs w:val="24"/>
          <w:lang w:eastAsia="zh-CN"/>
        </w:rPr>
        <w:t>Australian passport</w:t>
      </w:r>
      <w:r>
        <w:rPr>
          <w:rFonts w:ascii="Times New Roman" w:eastAsia="SimSun" w:hAnsi="Times New Roman" w:cs="Times New Roman"/>
          <w:color w:val="000000"/>
          <w:sz w:val="24"/>
          <w:szCs w:val="24"/>
          <w:lang w:eastAsia="zh-CN"/>
        </w:rPr>
        <w:t xml:space="preserve">s </w:t>
      </w:r>
      <w:r w:rsidRPr="00D202FB">
        <w:rPr>
          <w:rFonts w:ascii="Times New Roman" w:eastAsia="SimSun" w:hAnsi="Times New Roman" w:cs="Times New Roman"/>
          <w:color w:val="000000"/>
          <w:sz w:val="24"/>
          <w:szCs w:val="24"/>
          <w:lang w:eastAsia="zh-CN"/>
        </w:rPr>
        <w:t xml:space="preserve">that </w:t>
      </w:r>
      <w:r>
        <w:rPr>
          <w:rFonts w:ascii="Times New Roman" w:eastAsia="SimSun" w:hAnsi="Times New Roman" w:cs="Times New Roman"/>
          <w:color w:val="000000"/>
          <w:sz w:val="24"/>
          <w:szCs w:val="24"/>
          <w:lang w:eastAsia="zh-CN"/>
        </w:rPr>
        <w:t>are</w:t>
      </w:r>
      <w:r w:rsidRPr="00D202FB">
        <w:rPr>
          <w:rFonts w:ascii="Times New Roman" w:eastAsia="SimSun" w:hAnsi="Times New Roman" w:cs="Times New Roman"/>
          <w:color w:val="000000"/>
          <w:sz w:val="24"/>
          <w:szCs w:val="24"/>
          <w:lang w:eastAsia="zh-CN"/>
        </w:rPr>
        <w:t xml:space="preserve"> valid for up to 10 years </w:t>
      </w:r>
      <w:r>
        <w:rPr>
          <w:rFonts w:ascii="Times New Roman" w:eastAsia="SimSun" w:hAnsi="Times New Roman" w:cs="Times New Roman"/>
          <w:color w:val="000000"/>
          <w:sz w:val="24"/>
          <w:szCs w:val="24"/>
          <w:lang w:eastAsia="zh-CN"/>
        </w:rPr>
        <w:t xml:space="preserve">and issued </w:t>
      </w:r>
      <w:r w:rsidR="003A6A4A">
        <w:rPr>
          <w:rFonts w:ascii="Times New Roman" w:eastAsia="SimSun" w:hAnsi="Times New Roman" w:cs="Times New Roman"/>
          <w:color w:val="000000"/>
          <w:sz w:val="24"/>
          <w:szCs w:val="24"/>
          <w:lang w:eastAsia="zh-CN"/>
        </w:rPr>
        <w:t xml:space="preserve">either </w:t>
      </w:r>
      <w:r>
        <w:rPr>
          <w:rFonts w:ascii="Times New Roman" w:eastAsia="SimSun" w:hAnsi="Times New Roman" w:cs="Times New Roman"/>
          <w:color w:val="000000"/>
          <w:sz w:val="24"/>
          <w:szCs w:val="24"/>
          <w:lang w:eastAsia="zh-CN"/>
        </w:rPr>
        <w:t>to an adult or to a child who is 16 or 17</w:t>
      </w:r>
      <w:r w:rsidR="00314C7B">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 xml:space="preserve">except </w:t>
      </w:r>
      <w:r w:rsidR="003A6A4A">
        <w:rPr>
          <w:rFonts w:ascii="Times New Roman" w:eastAsia="SimSun" w:hAnsi="Times New Roman" w:cs="Times New Roman"/>
          <w:color w:val="000000"/>
          <w:sz w:val="24"/>
          <w:szCs w:val="24"/>
          <w:lang w:eastAsia="zh-CN"/>
        </w:rPr>
        <w:t>for travel documents specified in later parts of column 1</w:t>
      </w:r>
      <w:r w:rsidR="00314C7B">
        <w:rPr>
          <w:rFonts w:ascii="Times New Roman" w:eastAsia="SimSun" w:hAnsi="Times New Roman" w:cs="Times New Roman"/>
          <w:color w:val="000000"/>
          <w:sz w:val="24"/>
          <w:szCs w:val="24"/>
          <w:lang w:eastAsia="zh-CN"/>
        </w:rPr>
        <w:t>)</w:t>
      </w:r>
    </w:p>
    <w:p w:rsidR="008412C1" w:rsidRDefault="008412C1" w:rsidP="00593BB4">
      <w:pPr>
        <w:pStyle w:val="ListParagraph"/>
        <w:numPr>
          <w:ilvl w:val="2"/>
          <w:numId w:val="3"/>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 for all other travel document types</w:t>
      </w:r>
    </w:p>
    <w:p w:rsidR="008412C1" w:rsidRDefault="008412C1" w:rsidP="00593BB4">
      <w:pPr>
        <w:pStyle w:val="ListParagraph"/>
        <w:numPr>
          <w:ilvl w:val="2"/>
          <w:numId w:val="3"/>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no increase for observations </w:t>
      </w:r>
      <w:r w:rsidR="00593BB4">
        <w:rPr>
          <w:rFonts w:ascii="Times New Roman" w:eastAsia="SimSun" w:hAnsi="Times New Roman" w:cs="Times New Roman"/>
          <w:color w:val="000000"/>
          <w:sz w:val="24"/>
          <w:szCs w:val="24"/>
          <w:lang w:eastAsia="zh-CN"/>
        </w:rPr>
        <w:t xml:space="preserve">in travel documents </w:t>
      </w:r>
      <w:r>
        <w:rPr>
          <w:rFonts w:ascii="Times New Roman" w:eastAsia="SimSun" w:hAnsi="Times New Roman" w:cs="Times New Roman"/>
          <w:color w:val="000000"/>
          <w:sz w:val="24"/>
          <w:szCs w:val="24"/>
          <w:lang w:eastAsia="zh-CN"/>
        </w:rPr>
        <w:t xml:space="preserve">(item 7) or </w:t>
      </w:r>
      <w:r w:rsidR="00593BB4">
        <w:rPr>
          <w:rFonts w:ascii="Times New Roman" w:eastAsia="SimSun" w:hAnsi="Times New Roman" w:cs="Times New Roman"/>
          <w:color w:val="000000"/>
          <w:sz w:val="24"/>
          <w:szCs w:val="24"/>
          <w:lang w:eastAsia="zh-CN"/>
        </w:rPr>
        <w:t xml:space="preserve">for </w:t>
      </w:r>
      <w:r>
        <w:rPr>
          <w:rFonts w:ascii="Times New Roman" w:eastAsia="SimSun" w:hAnsi="Times New Roman" w:cs="Times New Roman"/>
          <w:color w:val="000000"/>
          <w:sz w:val="24"/>
          <w:szCs w:val="24"/>
          <w:lang w:eastAsia="zh-CN"/>
        </w:rPr>
        <w:t>provisional travel documents (item 11)</w:t>
      </w:r>
      <w:r w:rsidR="003A6A4A">
        <w:rPr>
          <w:rFonts w:ascii="Times New Roman" w:eastAsia="SimSun" w:hAnsi="Times New Roman" w:cs="Times New Roman"/>
          <w:color w:val="000000"/>
          <w:sz w:val="24"/>
          <w:szCs w:val="24"/>
          <w:lang w:eastAsia="zh-CN"/>
        </w:rPr>
        <w:t>.</w:t>
      </w:r>
    </w:p>
    <w:p w:rsidR="008412C1" w:rsidRPr="008412C1" w:rsidRDefault="008412C1" w:rsidP="008412C1">
      <w:pPr>
        <w:pStyle w:val="ListParagraph"/>
        <w:rPr>
          <w:rFonts w:ascii="Times New Roman" w:eastAsia="SimSun" w:hAnsi="Times New Roman" w:cs="Times New Roman"/>
          <w:color w:val="000000"/>
          <w:sz w:val="24"/>
          <w:szCs w:val="24"/>
          <w:lang w:eastAsia="zh-CN"/>
        </w:rPr>
      </w:pPr>
    </w:p>
    <w:p w:rsidR="008412C1" w:rsidRDefault="00365900" w:rsidP="00365900">
      <w:pPr>
        <w:pStyle w:val="ListParagraph"/>
        <w:numPr>
          <w:ilvl w:val="0"/>
          <w:numId w:val="3"/>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Subsection 6(1) s</w:t>
      </w:r>
      <w:r w:rsidRPr="00442848">
        <w:rPr>
          <w:rFonts w:ascii="Times New Roman" w:eastAsia="SimSun" w:hAnsi="Times New Roman" w:cs="Times New Roman"/>
          <w:color w:val="000000"/>
          <w:sz w:val="24"/>
          <w:szCs w:val="24"/>
          <w:lang w:eastAsia="zh-CN"/>
        </w:rPr>
        <w:t xml:space="preserve">ets out </w:t>
      </w:r>
      <w:r>
        <w:rPr>
          <w:rFonts w:ascii="Times New Roman" w:eastAsia="SimSun" w:hAnsi="Times New Roman" w:cs="Times New Roman"/>
          <w:color w:val="000000"/>
          <w:sz w:val="24"/>
          <w:szCs w:val="24"/>
          <w:lang w:eastAsia="zh-CN"/>
        </w:rPr>
        <w:t>t</w:t>
      </w:r>
      <w:r w:rsidRPr="00C00DF7">
        <w:rPr>
          <w:rFonts w:ascii="Times New Roman" w:eastAsia="SimSun" w:hAnsi="Times New Roman" w:cs="Times New Roman"/>
          <w:color w:val="000000"/>
          <w:sz w:val="24"/>
          <w:szCs w:val="24"/>
          <w:lang w:eastAsia="zh-CN"/>
        </w:rPr>
        <w:t xml:space="preserve">he </w:t>
      </w:r>
      <w:r>
        <w:rPr>
          <w:rFonts w:ascii="Times New Roman" w:eastAsia="SimSun" w:hAnsi="Times New Roman" w:cs="Times New Roman"/>
          <w:color w:val="000000"/>
          <w:sz w:val="24"/>
          <w:szCs w:val="24"/>
          <w:lang w:eastAsia="zh-CN"/>
        </w:rPr>
        <w:t xml:space="preserve">annual CPI indexation of </w:t>
      </w:r>
      <w:r w:rsidRPr="00442848">
        <w:rPr>
          <w:rFonts w:ascii="Times New Roman" w:eastAsia="SimSun" w:hAnsi="Times New Roman" w:cs="Times New Roman"/>
          <w:color w:val="000000"/>
          <w:sz w:val="24"/>
          <w:szCs w:val="24"/>
          <w:lang w:eastAsia="zh-CN"/>
        </w:rPr>
        <w:t>additional fees.</w:t>
      </w:r>
      <w:r w:rsidRPr="00365900">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 xml:space="preserve">For fees in respect of items 2 and 3 in subsection 6(3) </w:t>
      </w:r>
      <w:r w:rsidR="00314C7B">
        <w:rPr>
          <w:rFonts w:ascii="Times New Roman" w:eastAsia="SimSun" w:hAnsi="Times New Roman" w:cs="Times New Roman"/>
          <w:color w:val="000000"/>
          <w:sz w:val="24"/>
          <w:szCs w:val="24"/>
          <w:lang w:eastAsia="zh-CN"/>
        </w:rPr>
        <w:t>which</w:t>
      </w:r>
      <w:r>
        <w:rPr>
          <w:rFonts w:ascii="Times New Roman" w:eastAsia="SimSun" w:hAnsi="Times New Roman" w:cs="Times New Roman"/>
          <w:color w:val="000000"/>
          <w:sz w:val="24"/>
          <w:szCs w:val="24"/>
          <w:lang w:eastAsia="zh-CN"/>
        </w:rPr>
        <w:t xml:space="preserve"> </w:t>
      </w:r>
      <w:r w:rsidRPr="00442848">
        <w:rPr>
          <w:rFonts w:ascii="Times New Roman" w:eastAsia="SimSun" w:hAnsi="Times New Roman" w:cs="Times New Roman"/>
          <w:color w:val="000000"/>
          <w:sz w:val="24"/>
          <w:szCs w:val="24"/>
          <w:lang w:eastAsia="zh-CN"/>
        </w:rPr>
        <w:t>may be payable in addition to an application fee fo</w:t>
      </w:r>
      <w:r>
        <w:rPr>
          <w:rFonts w:ascii="Times New Roman" w:eastAsia="SimSun" w:hAnsi="Times New Roman" w:cs="Times New Roman"/>
          <w:color w:val="000000"/>
          <w:sz w:val="24"/>
          <w:szCs w:val="24"/>
          <w:lang w:eastAsia="zh-CN"/>
        </w:rPr>
        <w:t>r an Australian travel document, s</w:t>
      </w:r>
      <w:r w:rsidRPr="004B572C">
        <w:rPr>
          <w:rFonts w:ascii="Times New Roman" w:eastAsia="SimSun" w:hAnsi="Times New Roman" w:cs="Times New Roman"/>
          <w:color w:val="000000"/>
          <w:sz w:val="24"/>
          <w:szCs w:val="24"/>
          <w:lang w:eastAsia="zh-CN"/>
        </w:rPr>
        <w:t xml:space="preserve">ubsection </w:t>
      </w:r>
      <w:r>
        <w:rPr>
          <w:rFonts w:ascii="Times New Roman" w:eastAsia="SimSun" w:hAnsi="Times New Roman" w:cs="Times New Roman"/>
          <w:color w:val="000000"/>
          <w:sz w:val="24"/>
          <w:szCs w:val="24"/>
          <w:lang w:eastAsia="zh-CN"/>
        </w:rPr>
        <w:t>6</w:t>
      </w:r>
      <w:r w:rsidRPr="004B572C">
        <w:rPr>
          <w:rFonts w:ascii="Times New Roman" w:eastAsia="SimSun" w:hAnsi="Times New Roman" w:cs="Times New Roman"/>
          <w:color w:val="000000"/>
          <w:sz w:val="24"/>
          <w:szCs w:val="24"/>
          <w:lang w:eastAsia="zh-CN"/>
        </w:rPr>
        <w:t xml:space="preserve">(1) sets </w:t>
      </w:r>
      <w:r>
        <w:rPr>
          <w:rFonts w:ascii="Times New Roman" w:eastAsia="SimSun" w:hAnsi="Times New Roman" w:cs="Times New Roman"/>
          <w:color w:val="000000"/>
          <w:sz w:val="24"/>
          <w:szCs w:val="24"/>
          <w:lang w:eastAsia="zh-CN"/>
        </w:rPr>
        <w:t xml:space="preserve">2019 as </w:t>
      </w:r>
      <w:r w:rsidRPr="004B572C">
        <w:rPr>
          <w:rFonts w:ascii="Times New Roman" w:eastAsia="SimSun" w:hAnsi="Times New Roman" w:cs="Times New Roman"/>
          <w:color w:val="000000"/>
          <w:sz w:val="24"/>
          <w:szCs w:val="24"/>
          <w:lang w:eastAsia="zh-CN"/>
        </w:rPr>
        <w:t xml:space="preserve">the base year for </w:t>
      </w:r>
      <w:r>
        <w:rPr>
          <w:rFonts w:ascii="Times New Roman" w:eastAsia="SimSun" w:hAnsi="Times New Roman" w:cs="Times New Roman"/>
          <w:color w:val="000000"/>
          <w:sz w:val="24"/>
          <w:szCs w:val="24"/>
          <w:lang w:eastAsia="zh-CN"/>
        </w:rPr>
        <w:t xml:space="preserve">future indexation. </w:t>
      </w:r>
      <w:r w:rsidRPr="004B572C">
        <w:rPr>
          <w:rFonts w:ascii="Times New Roman" w:eastAsia="SimSun" w:hAnsi="Times New Roman" w:cs="Times New Roman"/>
          <w:color w:val="000000"/>
          <w:sz w:val="24"/>
          <w:szCs w:val="24"/>
          <w:lang w:eastAsia="zh-CN"/>
        </w:rPr>
        <w:t xml:space="preserve">Application fees are </w:t>
      </w:r>
      <w:r>
        <w:rPr>
          <w:rFonts w:ascii="Times New Roman" w:eastAsia="SimSun" w:hAnsi="Times New Roman" w:cs="Times New Roman"/>
          <w:color w:val="000000"/>
          <w:sz w:val="24"/>
          <w:szCs w:val="24"/>
          <w:lang w:eastAsia="zh-CN"/>
        </w:rPr>
        <w:t xml:space="preserve">updated annually on 1 January to reflect CPI </w:t>
      </w:r>
      <w:r w:rsidRPr="004B572C">
        <w:rPr>
          <w:rFonts w:ascii="Times New Roman" w:eastAsia="SimSun" w:hAnsi="Times New Roman" w:cs="Times New Roman"/>
          <w:color w:val="000000"/>
          <w:sz w:val="24"/>
          <w:szCs w:val="24"/>
          <w:lang w:eastAsia="zh-CN"/>
        </w:rPr>
        <w:t>indexation</w:t>
      </w:r>
      <w:r>
        <w:rPr>
          <w:rFonts w:ascii="Times New Roman" w:eastAsia="SimSun" w:hAnsi="Times New Roman" w:cs="Times New Roman"/>
          <w:color w:val="000000"/>
          <w:sz w:val="24"/>
          <w:szCs w:val="24"/>
          <w:lang w:eastAsia="zh-CN"/>
        </w:rPr>
        <w:t>.</w:t>
      </w:r>
    </w:p>
    <w:p w:rsidR="00005E8A" w:rsidRPr="00005E8A" w:rsidRDefault="00005E8A" w:rsidP="00005E8A">
      <w:pPr>
        <w:spacing w:after="0" w:line="240" w:lineRule="auto"/>
        <w:ind w:left="360"/>
        <w:rPr>
          <w:rFonts w:ascii="Times New Roman" w:eastAsia="SimSun" w:hAnsi="Times New Roman" w:cs="Times New Roman"/>
          <w:color w:val="000000"/>
          <w:sz w:val="24"/>
          <w:szCs w:val="24"/>
          <w:lang w:eastAsia="zh-CN"/>
        </w:rPr>
      </w:pPr>
    </w:p>
    <w:p w:rsidR="00005E8A" w:rsidRDefault="00005E8A" w:rsidP="00D00169">
      <w:pPr>
        <w:pStyle w:val="ListParagraph"/>
        <w:keepNext/>
        <w:numPr>
          <w:ilvl w:val="0"/>
          <w:numId w:val="3"/>
        </w:numPr>
        <w:spacing w:after="0" w:line="240" w:lineRule="auto"/>
        <w:ind w:left="714" w:hanging="357"/>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lastRenderedPageBreak/>
        <w:t>The table in subsection 6(3) sets out the fees that apply in addition to an application for an Australian travel document.</w:t>
      </w:r>
    </w:p>
    <w:p w:rsidR="00005E8A" w:rsidRPr="00005E8A" w:rsidRDefault="00005E8A" w:rsidP="00005E8A">
      <w:pPr>
        <w:pStyle w:val="ListParagraph"/>
        <w:rPr>
          <w:rFonts w:ascii="Times New Roman" w:eastAsia="SimSun" w:hAnsi="Times New Roman" w:cs="Times New Roman"/>
          <w:color w:val="000000"/>
          <w:sz w:val="24"/>
          <w:szCs w:val="24"/>
          <w:lang w:eastAsia="zh-CN"/>
        </w:rPr>
      </w:pPr>
    </w:p>
    <w:p w:rsidR="00005E8A" w:rsidRDefault="00005E8A" w:rsidP="00005E8A">
      <w:pPr>
        <w:pStyle w:val="ListParagraph"/>
        <w:numPr>
          <w:ilvl w:val="0"/>
          <w:numId w:val="3"/>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Column 1 is identical to column 1 of the repealed subsection 6(3). To avoid the need for consequential amendments to the </w:t>
      </w:r>
      <w:r w:rsidRPr="00005E8A">
        <w:rPr>
          <w:rFonts w:ascii="Times New Roman" w:eastAsia="SimSun" w:hAnsi="Times New Roman" w:cs="Times New Roman"/>
          <w:i/>
          <w:color w:val="000000"/>
          <w:sz w:val="24"/>
          <w:szCs w:val="24"/>
          <w:lang w:eastAsia="zh-CN"/>
        </w:rPr>
        <w:t>Australian Passports Determination 2015,</w:t>
      </w:r>
      <w:r>
        <w:rPr>
          <w:rFonts w:ascii="Times New Roman" w:eastAsia="SimSun" w:hAnsi="Times New Roman" w:cs="Times New Roman"/>
          <w:color w:val="000000"/>
          <w:sz w:val="24"/>
          <w:szCs w:val="24"/>
          <w:lang w:eastAsia="zh-CN"/>
        </w:rPr>
        <w:t xml:space="preserve"> items have not been renumbered to start at 1. For the same reason, subsections in section 6 have not been renumbered to include a subsection 6(2).</w:t>
      </w:r>
    </w:p>
    <w:p w:rsidR="00005E8A" w:rsidRPr="00005E8A" w:rsidRDefault="00005E8A" w:rsidP="00005E8A">
      <w:pPr>
        <w:pStyle w:val="ListParagraph"/>
        <w:rPr>
          <w:rFonts w:ascii="Times New Roman" w:eastAsia="SimSun" w:hAnsi="Times New Roman" w:cs="Times New Roman"/>
          <w:color w:val="000000"/>
          <w:sz w:val="24"/>
          <w:szCs w:val="24"/>
          <w:lang w:eastAsia="zh-CN"/>
        </w:rPr>
      </w:pPr>
    </w:p>
    <w:p w:rsidR="00005E8A" w:rsidRDefault="00005E8A" w:rsidP="00005E8A">
      <w:pPr>
        <w:pStyle w:val="ListParagraph"/>
        <w:numPr>
          <w:ilvl w:val="0"/>
          <w:numId w:val="3"/>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The amounts of the additional fees in Column 2 of the table in subsection 6(3) were derived by applying the following increases to </w:t>
      </w:r>
      <w:r w:rsidR="00E67765">
        <w:rPr>
          <w:rFonts w:ascii="Times New Roman" w:eastAsia="SimSun" w:hAnsi="Times New Roman" w:cs="Times New Roman"/>
          <w:color w:val="000000"/>
          <w:sz w:val="24"/>
          <w:szCs w:val="24"/>
          <w:lang w:eastAsia="zh-CN"/>
        </w:rPr>
        <w:t>the corresponding</w:t>
      </w:r>
      <w:r>
        <w:rPr>
          <w:rFonts w:ascii="Times New Roman" w:eastAsia="SimSun" w:hAnsi="Times New Roman" w:cs="Times New Roman"/>
          <w:color w:val="000000"/>
          <w:sz w:val="24"/>
          <w:szCs w:val="24"/>
          <w:lang w:eastAsia="zh-CN"/>
        </w:rPr>
        <w:t xml:space="preserve"> fees </w:t>
      </w:r>
      <w:r w:rsidR="00E67765">
        <w:rPr>
          <w:rFonts w:ascii="Times New Roman" w:eastAsia="SimSun" w:hAnsi="Times New Roman" w:cs="Times New Roman"/>
          <w:color w:val="000000"/>
          <w:sz w:val="24"/>
          <w:szCs w:val="24"/>
          <w:lang w:eastAsia="zh-CN"/>
        </w:rPr>
        <w:t>that applied</w:t>
      </w:r>
      <w:r>
        <w:rPr>
          <w:rFonts w:ascii="Times New Roman" w:eastAsia="SimSun" w:hAnsi="Times New Roman" w:cs="Times New Roman"/>
          <w:color w:val="000000"/>
          <w:sz w:val="24"/>
          <w:szCs w:val="24"/>
          <w:lang w:eastAsia="zh-CN"/>
        </w:rPr>
        <w:t xml:space="preserve"> in 2018:</w:t>
      </w:r>
    </w:p>
    <w:p w:rsidR="00005E8A" w:rsidRPr="00593BB4" w:rsidRDefault="00005E8A" w:rsidP="00005E8A">
      <w:pPr>
        <w:pStyle w:val="ListParagraph"/>
        <w:rPr>
          <w:rFonts w:ascii="Times New Roman" w:eastAsia="SimSun" w:hAnsi="Times New Roman" w:cs="Times New Roman"/>
          <w:color w:val="000000"/>
          <w:sz w:val="24"/>
          <w:szCs w:val="24"/>
          <w:lang w:eastAsia="zh-CN"/>
        </w:rPr>
      </w:pPr>
    </w:p>
    <w:p w:rsidR="00005E8A" w:rsidRDefault="00005E8A" w:rsidP="00005E8A">
      <w:pPr>
        <w:pStyle w:val="ListParagraph"/>
        <w:numPr>
          <w:ilvl w:val="1"/>
          <w:numId w:val="3"/>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the indexation factor which, but for th</w:t>
      </w:r>
      <w:r w:rsidR="00D00169">
        <w:rPr>
          <w:rFonts w:ascii="Times New Roman" w:eastAsia="SimSun" w:hAnsi="Times New Roman" w:cs="Times New Roman"/>
          <w:color w:val="000000"/>
          <w:sz w:val="24"/>
          <w:szCs w:val="24"/>
          <w:lang w:eastAsia="zh-CN"/>
        </w:rPr>
        <w:t>e</w:t>
      </w:r>
      <w:r>
        <w:rPr>
          <w:rFonts w:ascii="Times New Roman" w:eastAsia="SimSun" w:hAnsi="Times New Roman" w:cs="Times New Roman"/>
          <w:color w:val="000000"/>
          <w:sz w:val="24"/>
          <w:szCs w:val="24"/>
          <w:lang w:eastAsia="zh-CN"/>
        </w:rPr>
        <w:t xml:space="preserve"> Amendment Determination, would have applied from 1 January 2019, and</w:t>
      </w:r>
    </w:p>
    <w:p w:rsidR="00005E8A" w:rsidRPr="00593BB4" w:rsidRDefault="00005E8A" w:rsidP="00005E8A">
      <w:pPr>
        <w:spacing w:after="0" w:line="240" w:lineRule="auto"/>
        <w:ind w:left="1080"/>
        <w:rPr>
          <w:rFonts w:ascii="Times New Roman" w:eastAsia="SimSun" w:hAnsi="Times New Roman" w:cs="Times New Roman"/>
          <w:color w:val="000000"/>
          <w:sz w:val="24"/>
          <w:szCs w:val="24"/>
          <w:lang w:eastAsia="zh-CN"/>
        </w:rPr>
      </w:pPr>
    </w:p>
    <w:p w:rsidR="00005E8A" w:rsidRDefault="00005E8A" w:rsidP="00005E8A">
      <w:pPr>
        <w:pStyle w:val="ListParagraph"/>
        <w:keepNext/>
        <w:numPr>
          <w:ilvl w:val="1"/>
          <w:numId w:val="3"/>
        </w:numPr>
        <w:spacing w:after="0" w:line="240" w:lineRule="auto"/>
        <w:ind w:left="1434" w:hanging="357"/>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the following additional increases:</w:t>
      </w:r>
    </w:p>
    <w:p w:rsidR="00005E8A" w:rsidRPr="008412C1" w:rsidRDefault="00005E8A" w:rsidP="00005E8A">
      <w:pPr>
        <w:pStyle w:val="ListParagraph"/>
        <w:rPr>
          <w:rFonts w:ascii="Times New Roman" w:eastAsia="SimSun" w:hAnsi="Times New Roman" w:cs="Times New Roman"/>
          <w:color w:val="000000"/>
          <w:sz w:val="24"/>
          <w:szCs w:val="24"/>
          <w:lang w:eastAsia="zh-CN"/>
        </w:rPr>
      </w:pPr>
    </w:p>
    <w:p w:rsidR="00005E8A" w:rsidRDefault="00005E8A" w:rsidP="00005E8A">
      <w:pPr>
        <w:pStyle w:val="ListParagraph"/>
        <w:numPr>
          <w:ilvl w:val="2"/>
          <w:numId w:val="3"/>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$25 for </w:t>
      </w:r>
      <w:r w:rsidRPr="00E6522E">
        <w:rPr>
          <w:rFonts w:ascii="Times New Roman" w:eastAsia="SimSun" w:hAnsi="Times New Roman" w:cs="Times New Roman"/>
          <w:color w:val="000000"/>
          <w:sz w:val="24"/>
          <w:szCs w:val="24"/>
          <w:lang w:eastAsia="zh-CN"/>
        </w:rPr>
        <w:t>priority process</w:t>
      </w:r>
      <w:r>
        <w:rPr>
          <w:rFonts w:ascii="Times New Roman" w:eastAsia="SimSun" w:hAnsi="Times New Roman" w:cs="Times New Roman"/>
          <w:color w:val="000000"/>
          <w:sz w:val="24"/>
          <w:szCs w:val="24"/>
          <w:lang w:eastAsia="zh-CN"/>
        </w:rPr>
        <w:t>ing</w:t>
      </w:r>
      <w:r w:rsidRPr="00E6522E">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and for the surcharge payable in respect of adult applications made overseas</w:t>
      </w:r>
    </w:p>
    <w:p w:rsidR="00005E8A" w:rsidRDefault="00005E8A" w:rsidP="00005E8A">
      <w:pPr>
        <w:pStyle w:val="ListParagraph"/>
        <w:numPr>
          <w:ilvl w:val="2"/>
          <w:numId w:val="3"/>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 for the surcharge payable in respect of child applications made overseas</w:t>
      </w:r>
    </w:p>
    <w:p w:rsidR="009A77D1" w:rsidRDefault="009A77D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D59EE" w:rsidRDefault="00DC7D18" w:rsidP="00C751C8">
      <w:pPr>
        <w:spacing w:after="0"/>
        <w:jc w:val="center"/>
        <w:rPr>
          <w:rFonts w:ascii="Times New Roman" w:hAnsi="Times New Roman" w:cs="Times New Roman"/>
          <w:b/>
          <w:color w:val="000000"/>
          <w:sz w:val="28"/>
          <w:szCs w:val="28"/>
        </w:rPr>
      </w:pPr>
      <w:r w:rsidRPr="00F93E68">
        <w:rPr>
          <w:rFonts w:ascii="Times New Roman" w:hAnsi="Times New Roman" w:cs="Times New Roman"/>
          <w:b/>
          <w:color w:val="000000"/>
          <w:sz w:val="28"/>
          <w:szCs w:val="28"/>
        </w:rPr>
        <w:lastRenderedPageBreak/>
        <w:t>STATEMENT OF COMPATIBILITY WITH HUMAN RIGHTS</w:t>
      </w:r>
    </w:p>
    <w:p w:rsidR="00DC7D18" w:rsidRPr="00DC7D18" w:rsidRDefault="00DC7D18" w:rsidP="00C751C8">
      <w:pPr>
        <w:pStyle w:val="Style0"/>
        <w:spacing w:line="276" w:lineRule="auto"/>
        <w:rPr>
          <w:rFonts w:ascii="Times New Roman" w:hAnsi="Times New Roman" w:cs="Times New Roman"/>
          <w:color w:val="000000"/>
        </w:rPr>
      </w:pPr>
    </w:p>
    <w:p w:rsidR="00DC7D18" w:rsidRPr="00DC7D18" w:rsidRDefault="00DC7D18" w:rsidP="00C751C8">
      <w:pPr>
        <w:pStyle w:val="Style0"/>
        <w:spacing w:line="276" w:lineRule="auto"/>
        <w:rPr>
          <w:rFonts w:ascii="Times New Roman" w:hAnsi="Times New Roman" w:cs="Times New Roman"/>
          <w:i/>
          <w:color w:val="000000"/>
        </w:rPr>
      </w:pPr>
      <w:r w:rsidRPr="00DC7D18">
        <w:rPr>
          <w:rFonts w:ascii="Times New Roman" w:hAnsi="Times New Roman" w:cs="Times New Roman"/>
          <w:i/>
          <w:color w:val="000000"/>
        </w:rPr>
        <w:t>Prepared in accordance with Part 3 of the Human Rights (Parliamentary Scrutiny) Act 2011</w:t>
      </w:r>
    </w:p>
    <w:p w:rsidR="002D0828" w:rsidRDefault="002D0828" w:rsidP="00C751C8">
      <w:pPr>
        <w:pStyle w:val="Style0"/>
        <w:spacing w:line="276" w:lineRule="auto"/>
        <w:rPr>
          <w:rFonts w:ascii="Times New Roman" w:hAnsi="Times New Roman" w:cs="Times New Roman"/>
          <w:b/>
          <w:color w:val="000000"/>
        </w:rPr>
      </w:pPr>
    </w:p>
    <w:p w:rsidR="00DC7D18" w:rsidRPr="00EA361F" w:rsidRDefault="002D0828" w:rsidP="00C751C8">
      <w:pPr>
        <w:pStyle w:val="Style0"/>
        <w:spacing w:line="276" w:lineRule="auto"/>
        <w:rPr>
          <w:rFonts w:ascii="Times New Roman" w:hAnsi="Times New Roman" w:cs="Times New Roman"/>
          <w:b/>
          <w:i/>
          <w:color w:val="000000"/>
        </w:rPr>
      </w:pPr>
      <w:r w:rsidRPr="00EA361F">
        <w:rPr>
          <w:rFonts w:ascii="Times New Roman" w:hAnsi="Times New Roman" w:cs="Times New Roman"/>
          <w:b/>
          <w:i/>
          <w:color w:val="000000"/>
        </w:rPr>
        <w:t xml:space="preserve">Australian Passports </w:t>
      </w:r>
      <w:r w:rsidR="00F978A7">
        <w:rPr>
          <w:rFonts w:ascii="Times New Roman" w:hAnsi="Times New Roman" w:cs="Times New Roman"/>
          <w:b/>
          <w:i/>
          <w:color w:val="000000"/>
        </w:rPr>
        <w:t>(Application Fees)</w:t>
      </w:r>
      <w:r w:rsidRPr="00EA361F">
        <w:rPr>
          <w:rFonts w:ascii="Times New Roman" w:hAnsi="Times New Roman" w:cs="Times New Roman"/>
          <w:b/>
          <w:i/>
          <w:color w:val="000000"/>
        </w:rPr>
        <w:t xml:space="preserve"> Amendment Determination 201</w:t>
      </w:r>
      <w:r w:rsidR="00D645E1">
        <w:rPr>
          <w:rFonts w:ascii="Times New Roman" w:hAnsi="Times New Roman" w:cs="Times New Roman"/>
          <w:b/>
          <w:i/>
          <w:color w:val="000000"/>
        </w:rPr>
        <w:t>8</w:t>
      </w:r>
    </w:p>
    <w:p w:rsidR="00DC7D18" w:rsidRPr="00DC7D18" w:rsidRDefault="00DC7D18" w:rsidP="00C751C8">
      <w:pPr>
        <w:pStyle w:val="Style0"/>
        <w:spacing w:line="276" w:lineRule="auto"/>
        <w:rPr>
          <w:rFonts w:ascii="Times New Roman" w:hAnsi="Times New Roman" w:cs="Times New Roman"/>
          <w:color w:val="000000"/>
        </w:rPr>
      </w:pPr>
    </w:p>
    <w:p w:rsidR="00DC7D18" w:rsidRPr="00DC7D18" w:rsidRDefault="00DC7D18" w:rsidP="00B23EDC">
      <w:pPr>
        <w:pStyle w:val="Style0"/>
        <w:rPr>
          <w:rFonts w:ascii="Times New Roman" w:hAnsi="Times New Roman" w:cs="Times New Roman"/>
          <w:color w:val="000000"/>
        </w:rPr>
      </w:pPr>
      <w:r w:rsidRPr="00DC7D18">
        <w:rPr>
          <w:rFonts w:ascii="Times New Roman" w:hAnsi="Times New Roman" w:cs="Times New Roman"/>
          <w:color w:val="000000"/>
        </w:rPr>
        <w:t>This Legislative Instrument is compatible with the human rights and freedoms recognised or declared in the international instruments listed in Section 3 of the</w:t>
      </w:r>
      <w:r w:rsidRPr="00A51B3B">
        <w:rPr>
          <w:rFonts w:ascii="Times New Roman" w:hAnsi="Times New Roman" w:cs="Times New Roman"/>
          <w:i/>
          <w:color w:val="000000"/>
        </w:rPr>
        <w:t xml:space="preserve"> Human Rights (Parliamentary Scrutiny) Act 2011.</w:t>
      </w:r>
      <w:r w:rsidRPr="00DC7D18">
        <w:rPr>
          <w:rFonts w:ascii="Times New Roman" w:hAnsi="Times New Roman" w:cs="Times New Roman"/>
          <w:color w:val="000000"/>
        </w:rPr>
        <w:t xml:space="preserve"> </w:t>
      </w:r>
    </w:p>
    <w:p w:rsidR="00DC7D18" w:rsidRPr="00DC7D18" w:rsidRDefault="00DC7D18" w:rsidP="00C751C8">
      <w:pPr>
        <w:pStyle w:val="Style0"/>
        <w:spacing w:line="276" w:lineRule="auto"/>
        <w:rPr>
          <w:rFonts w:ascii="Times New Roman" w:hAnsi="Times New Roman" w:cs="Times New Roman"/>
          <w:color w:val="000000"/>
        </w:rPr>
      </w:pPr>
    </w:p>
    <w:p w:rsidR="00DC7D18" w:rsidRPr="00DC7D18" w:rsidRDefault="00DC7D18" w:rsidP="00C751C8">
      <w:pPr>
        <w:pStyle w:val="Style0"/>
        <w:spacing w:line="276" w:lineRule="auto"/>
        <w:rPr>
          <w:rFonts w:ascii="Times New Roman" w:hAnsi="Times New Roman" w:cs="Times New Roman"/>
          <w:b/>
          <w:color w:val="000000"/>
        </w:rPr>
      </w:pPr>
      <w:r w:rsidRPr="00DC7D18">
        <w:rPr>
          <w:rFonts w:ascii="Times New Roman" w:hAnsi="Times New Roman" w:cs="Times New Roman"/>
          <w:b/>
          <w:color w:val="000000"/>
        </w:rPr>
        <w:t>Overview of the instrument</w:t>
      </w:r>
    </w:p>
    <w:p w:rsidR="00DC7D18" w:rsidRPr="00DC7D18" w:rsidRDefault="00DC7D18" w:rsidP="00C751C8">
      <w:pPr>
        <w:pStyle w:val="Style0"/>
        <w:spacing w:line="276" w:lineRule="auto"/>
        <w:rPr>
          <w:rFonts w:ascii="Times New Roman" w:hAnsi="Times New Roman" w:cs="Times New Roman"/>
          <w:color w:val="000000"/>
        </w:rPr>
      </w:pPr>
    </w:p>
    <w:p w:rsidR="00F978A7" w:rsidRPr="001F1AE6" w:rsidRDefault="00F978A7" w:rsidP="00B23EDC">
      <w:pPr>
        <w:pStyle w:val="Style0"/>
        <w:rPr>
          <w:rFonts w:ascii="Times New Roman" w:hAnsi="Times New Roman" w:cs="Times New Roman"/>
          <w:color w:val="000000"/>
        </w:rPr>
      </w:pPr>
      <w:r w:rsidRPr="001F1AE6">
        <w:rPr>
          <w:rFonts w:ascii="Times New Roman" w:hAnsi="Times New Roman" w:cs="Times New Roman"/>
          <w:color w:val="000000"/>
        </w:rPr>
        <w:t xml:space="preserve">The </w:t>
      </w:r>
      <w:r w:rsidRPr="001F1AE6">
        <w:rPr>
          <w:rFonts w:ascii="Times New Roman" w:hAnsi="Times New Roman" w:cs="Times New Roman"/>
          <w:i/>
          <w:color w:val="000000"/>
        </w:rPr>
        <w:t xml:space="preserve">Australian Passports </w:t>
      </w:r>
      <w:r>
        <w:rPr>
          <w:rFonts w:ascii="Times New Roman" w:hAnsi="Times New Roman" w:cs="Times New Roman"/>
          <w:i/>
          <w:color w:val="000000"/>
        </w:rPr>
        <w:t>(Application Fees)</w:t>
      </w:r>
      <w:r w:rsidRPr="001F1AE6">
        <w:rPr>
          <w:rFonts w:ascii="Times New Roman" w:hAnsi="Times New Roman" w:cs="Times New Roman"/>
          <w:i/>
          <w:color w:val="000000"/>
        </w:rPr>
        <w:t xml:space="preserve"> Amendment Determination 201</w:t>
      </w:r>
      <w:r w:rsidR="00D645E1">
        <w:rPr>
          <w:rFonts w:ascii="Times New Roman" w:hAnsi="Times New Roman" w:cs="Times New Roman"/>
          <w:i/>
          <w:color w:val="000000"/>
        </w:rPr>
        <w:t>8</w:t>
      </w:r>
      <w:r w:rsidRPr="001F1AE6">
        <w:rPr>
          <w:rFonts w:ascii="Times New Roman" w:hAnsi="Times New Roman" w:cs="Times New Roman"/>
          <w:i/>
          <w:color w:val="000000"/>
        </w:rPr>
        <w:t xml:space="preserve"> </w:t>
      </w:r>
      <w:r w:rsidRPr="001F1AE6">
        <w:rPr>
          <w:rFonts w:ascii="Times New Roman" w:hAnsi="Times New Roman" w:cs="Times New Roman"/>
          <w:color w:val="000000"/>
        </w:rPr>
        <w:t>(Amendment Determination) amends the</w:t>
      </w:r>
      <w:r w:rsidRPr="001F1AE6">
        <w:rPr>
          <w:rFonts w:ascii="Times New Roman" w:hAnsi="Times New Roman" w:cs="Times New Roman"/>
          <w:i/>
          <w:color w:val="000000"/>
        </w:rPr>
        <w:t xml:space="preserve"> Australian Passports (Application Fees) Determination 2015 </w:t>
      </w:r>
      <w:r w:rsidRPr="001F1AE6">
        <w:rPr>
          <w:rFonts w:ascii="Times New Roman" w:hAnsi="Times New Roman" w:cs="Times New Roman"/>
          <w:color w:val="000000"/>
        </w:rPr>
        <w:t>(</w:t>
      </w:r>
      <w:r w:rsidR="00353040">
        <w:rPr>
          <w:rFonts w:ascii="Times New Roman" w:hAnsi="Times New Roman" w:cs="Times New Roman"/>
          <w:color w:val="000000"/>
        </w:rPr>
        <w:t>Passport</w:t>
      </w:r>
      <w:r>
        <w:rPr>
          <w:rFonts w:ascii="Times New Roman" w:hAnsi="Times New Roman" w:cs="Times New Roman"/>
          <w:color w:val="000000"/>
        </w:rPr>
        <w:t xml:space="preserve"> Fees Determination) </w:t>
      </w:r>
      <w:r w:rsidR="00D645E1" w:rsidRPr="00D645E1">
        <w:rPr>
          <w:rFonts w:ascii="Times New Roman" w:hAnsi="Times New Roman" w:cs="Times New Roman"/>
          <w:color w:val="000000"/>
        </w:rPr>
        <w:t xml:space="preserve">to </w:t>
      </w:r>
      <w:r w:rsidR="00B23EDC">
        <w:rPr>
          <w:rFonts w:ascii="Times New Roman" w:hAnsi="Times New Roman" w:cs="Times New Roman"/>
          <w:color w:val="000000"/>
        </w:rPr>
        <w:t>increase the fees for travel documents.</w:t>
      </w:r>
    </w:p>
    <w:p w:rsidR="00F978A7" w:rsidRPr="001F1AE6" w:rsidRDefault="00F978A7" w:rsidP="00F978A7">
      <w:pPr>
        <w:spacing w:after="0"/>
        <w:contextualSpacing/>
        <w:rPr>
          <w:rFonts w:ascii="Times" w:eastAsia="SimSun" w:hAnsi="Times" w:cs="Times"/>
          <w:color w:val="000000"/>
          <w:sz w:val="24"/>
          <w:szCs w:val="24"/>
          <w:lang w:eastAsia="zh-CN"/>
        </w:rPr>
      </w:pPr>
    </w:p>
    <w:p w:rsidR="00DC7D18" w:rsidRDefault="00DC7D18" w:rsidP="00B23EDC">
      <w:pPr>
        <w:spacing w:after="0" w:line="240" w:lineRule="auto"/>
        <w:contextualSpacing/>
        <w:rPr>
          <w:rFonts w:ascii="Times New Roman" w:hAnsi="Times New Roman" w:cs="Times New Roman"/>
          <w:b/>
          <w:color w:val="000000"/>
        </w:rPr>
      </w:pPr>
      <w:r w:rsidRPr="008173A1">
        <w:rPr>
          <w:rFonts w:ascii="Times New Roman" w:hAnsi="Times New Roman" w:cs="Times New Roman"/>
          <w:b/>
          <w:color w:val="000000"/>
        </w:rPr>
        <w:t>Human rights implications</w:t>
      </w:r>
    </w:p>
    <w:p w:rsidR="0040093F" w:rsidRPr="00C751C8" w:rsidRDefault="0040093F" w:rsidP="00C751C8">
      <w:pPr>
        <w:pStyle w:val="Style0"/>
        <w:spacing w:line="276" w:lineRule="auto"/>
        <w:rPr>
          <w:rFonts w:ascii="Times New Roman" w:hAnsi="Times New Roman" w:cs="Times New Roman"/>
          <w:b/>
          <w:color w:val="000000"/>
        </w:rPr>
      </w:pPr>
    </w:p>
    <w:p w:rsidR="0040093F" w:rsidRPr="00F978A7" w:rsidRDefault="00C751C8" w:rsidP="00F978A7">
      <w:pPr>
        <w:spacing w:after="240" w:line="240" w:lineRule="auto"/>
        <w:rPr>
          <w:rFonts w:ascii="Times New Roman" w:eastAsia="Times New Roman" w:hAnsi="Times New Roman" w:cs="Times New Roman"/>
          <w:sz w:val="24"/>
          <w:szCs w:val="20"/>
          <w:lang w:eastAsia="en-AU"/>
        </w:rPr>
      </w:pPr>
      <w:r w:rsidRPr="00C751C8">
        <w:rPr>
          <w:rFonts w:ascii="Times New Roman" w:eastAsia="Times New Roman" w:hAnsi="Times New Roman" w:cs="Times New Roman"/>
          <w:sz w:val="24"/>
          <w:szCs w:val="20"/>
          <w:lang w:eastAsia="en-AU"/>
        </w:rPr>
        <w:t>Th</w:t>
      </w:r>
      <w:r w:rsidR="00F978A7">
        <w:rPr>
          <w:rFonts w:ascii="Times New Roman" w:eastAsia="Times New Roman" w:hAnsi="Times New Roman" w:cs="Times New Roman"/>
          <w:sz w:val="24"/>
          <w:szCs w:val="20"/>
          <w:lang w:eastAsia="en-AU"/>
        </w:rPr>
        <w:t>e Amendment Determination</w:t>
      </w:r>
      <w:r w:rsidRPr="00C751C8">
        <w:rPr>
          <w:rFonts w:ascii="Times New Roman" w:eastAsia="Times New Roman" w:hAnsi="Times New Roman" w:cs="Times New Roman"/>
          <w:sz w:val="24"/>
          <w:szCs w:val="20"/>
          <w:lang w:eastAsia="en-AU"/>
        </w:rPr>
        <w:t xml:space="preserve"> engage</w:t>
      </w:r>
      <w:r w:rsidR="00F978A7">
        <w:rPr>
          <w:rFonts w:ascii="Times New Roman" w:eastAsia="Times New Roman" w:hAnsi="Times New Roman" w:cs="Times New Roman"/>
          <w:sz w:val="24"/>
          <w:szCs w:val="20"/>
          <w:lang w:eastAsia="en-AU"/>
        </w:rPr>
        <w:t>s</w:t>
      </w:r>
      <w:r w:rsidRPr="00C751C8">
        <w:rPr>
          <w:rFonts w:ascii="Times New Roman" w:eastAsia="Times New Roman" w:hAnsi="Times New Roman" w:cs="Times New Roman"/>
          <w:sz w:val="24"/>
          <w:szCs w:val="20"/>
          <w:lang w:eastAsia="en-AU"/>
        </w:rPr>
        <w:t xml:space="preserve"> the</w:t>
      </w:r>
      <w:r w:rsidRPr="00C751C8">
        <w:rPr>
          <w:rFonts w:ascii="Times New Roman" w:eastAsia="Times New Roman" w:hAnsi="Times New Roman" w:cs="Times New Roman"/>
          <w:sz w:val="24"/>
          <w:szCs w:val="24"/>
          <w:lang w:eastAsia="en-AU"/>
        </w:rPr>
        <w:t xml:space="preserve"> right to freedom of movement</w:t>
      </w:r>
      <w:r w:rsidR="006613A4">
        <w:rPr>
          <w:rFonts w:ascii="Times New Roman" w:eastAsia="Times New Roman" w:hAnsi="Times New Roman" w:cs="Times New Roman"/>
          <w:sz w:val="24"/>
          <w:szCs w:val="24"/>
          <w:lang w:eastAsia="en-AU"/>
        </w:rPr>
        <w:t xml:space="preserve"> as set out in A</w:t>
      </w:r>
      <w:r w:rsidR="0040093F">
        <w:rPr>
          <w:rFonts w:ascii="Times New Roman" w:eastAsia="Times New Roman" w:hAnsi="Times New Roman" w:cs="Times New Roman"/>
          <w:sz w:val="24"/>
          <w:szCs w:val="24"/>
          <w:lang w:eastAsia="en-AU"/>
        </w:rPr>
        <w:t>rticle 12</w:t>
      </w:r>
      <w:r w:rsidR="0040093F">
        <w:rPr>
          <w:rFonts w:ascii="Times New Roman" w:eastAsia="Times New Roman" w:hAnsi="Times New Roman" w:cs="Times New Roman"/>
          <w:sz w:val="24"/>
          <w:szCs w:val="20"/>
          <w:lang w:eastAsia="en-AU"/>
        </w:rPr>
        <w:t xml:space="preserve"> </w:t>
      </w:r>
      <w:r w:rsidRPr="0040093F">
        <w:rPr>
          <w:rFonts w:ascii="Times New Roman" w:eastAsia="Times New Roman" w:hAnsi="Times New Roman" w:cs="Times New Roman"/>
          <w:sz w:val="24"/>
          <w:szCs w:val="20"/>
          <w:lang w:eastAsia="en-AU"/>
        </w:rPr>
        <w:t>of</w:t>
      </w:r>
      <w:r w:rsidR="00F978A7">
        <w:rPr>
          <w:rFonts w:ascii="Times New Roman" w:eastAsia="Times New Roman" w:hAnsi="Times New Roman" w:cs="Times New Roman"/>
          <w:sz w:val="24"/>
          <w:szCs w:val="20"/>
          <w:lang w:eastAsia="en-AU"/>
        </w:rPr>
        <w:t xml:space="preserve"> </w:t>
      </w:r>
      <w:r w:rsidRPr="0040093F">
        <w:rPr>
          <w:rFonts w:ascii="Times New Roman" w:eastAsia="Times New Roman" w:hAnsi="Times New Roman" w:cs="Times New Roman"/>
          <w:sz w:val="24"/>
          <w:szCs w:val="20"/>
          <w:lang w:eastAsia="en-AU"/>
        </w:rPr>
        <w:t>the International Covenant</w:t>
      </w:r>
      <w:r w:rsidRPr="0040093F">
        <w:rPr>
          <w:rFonts w:ascii="Times New Roman" w:eastAsia="Times New Roman" w:hAnsi="Times New Roman" w:cs="Times New Roman"/>
          <w:i/>
          <w:sz w:val="24"/>
          <w:szCs w:val="24"/>
          <w:lang w:eastAsia="en-AU"/>
        </w:rPr>
        <w:t xml:space="preserve"> </w:t>
      </w:r>
      <w:r w:rsidRPr="0040093F">
        <w:rPr>
          <w:rFonts w:ascii="Times New Roman" w:eastAsia="Times New Roman" w:hAnsi="Times New Roman" w:cs="Times New Roman"/>
          <w:sz w:val="24"/>
          <w:szCs w:val="24"/>
          <w:lang w:eastAsia="en-AU"/>
        </w:rPr>
        <w:t>on Civil and Political Rights (ICCPR).</w:t>
      </w:r>
    </w:p>
    <w:p w:rsidR="002D59EE" w:rsidRPr="008173A1" w:rsidRDefault="00DC7D18" w:rsidP="00F978A7">
      <w:pPr>
        <w:pStyle w:val="Style0"/>
        <w:keepNext/>
        <w:keepLines/>
        <w:spacing w:line="276" w:lineRule="auto"/>
        <w:rPr>
          <w:rFonts w:ascii="Times New Roman" w:hAnsi="Times New Roman" w:cs="Times New Roman"/>
          <w:b/>
          <w:i/>
          <w:color w:val="000000"/>
        </w:rPr>
      </w:pPr>
      <w:r w:rsidRPr="008173A1">
        <w:rPr>
          <w:rFonts w:ascii="Times New Roman" w:hAnsi="Times New Roman" w:cs="Times New Roman"/>
          <w:b/>
          <w:i/>
          <w:color w:val="000000"/>
        </w:rPr>
        <w:t>Right to freedom of movement</w:t>
      </w:r>
    </w:p>
    <w:p w:rsidR="002D59EE" w:rsidRPr="008173A1" w:rsidRDefault="002D59EE" w:rsidP="00C751C8">
      <w:pPr>
        <w:pStyle w:val="Style0"/>
        <w:keepNext/>
        <w:keepLines/>
        <w:spacing w:line="276" w:lineRule="auto"/>
        <w:rPr>
          <w:rFonts w:ascii="Times New Roman" w:hAnsi="Times New Roman" w:cs="Times New Roman"/>
          <w:color w:val="000000"/>
        </w:rPr>
      </w:pPr>
    </w:p>
    <w:p w:rsidR="00906EFB" w:rsidRDefault="00DC7D18" w:rsidP="00B23EDC">
      <w:pPr>
        <w:pStyle w:val="Style0"/>
        <w:keepNext/>
        <w:keepLines/>
        <w:rPr>
          <w:rFonts w:ascii="Times New Roman" w:hAnsi="Times New Roman" w:cs="Times New Roman"/>
          <w:color w:val="000000"/>
        </w:rPr>
      </w:pPr>
      <w:r w:rsidRPr="008173A1">
        <w:rPr>
          <w:rFonts w:ascii="Times New Roman" w:hAnsi="Times New Roman" w:cs="Times New Roman"/>
          <w:color w:val="000000"/>
        </w:rPr>
        <w:t>Article 12 of the ICCPR protects the right to freedom of movement</w:t>
      </w:r>
      <w:r w:rsidR="008173A1">
        <w:rPr>
          <w:rFonts w:ascii="Times New Roman" w:hAnsi="Times New Roman" w:cs="Times New Roman"/>
          <w:color w:val="000000"/>
        </w:rPr>
        <w:t>:</w:t>
      </w:r>
      <w:r w:rsidRPr="008173A1">
        <w:rPr>
          <w:rFonts w:ascii="Times New Roman" w:hAnsi="Times New Roman" w:cs="Times New Roman"/>
          <w:color w:val="000000"/>
        </w:rPr>
        <w:t xml:space="preserve"> specifically</w:t>
      </w:r>
      <w:r w:rsidR="008173A1">
        <w:rPr>
          <w:rFonts w:ascii="Times New Roman" w:hAnsi="Times New Roman" w:cs="Times New Roman"/>
          <w:color w:val="000000"/>
        </w:rPr>
        <w:t>, it states</w:t>
      </w:r>
      <w:r w:rsidRPr="008173A1">
        <w:rPr>
          <w:rFonts w:ascii="Times New Roman" w:hAnsi="Times New Roman" w:cs="Times New Roman"/>
          <w:color w:val="000000"/>
        </w:rPr>
        <w:t xml:space="preserve"> that everyone shall be free to leave any country </w:t>
      </w:r>
      <w:r w:rsidR="008173A1" w:rsidRPr="008173A1">
        <w:rPr>
          <w:rFonts w:ascii="Times New Roman" w:hAnsi="Times New Roman" w:cs="Times New Roman"/>
          <w:color w:val="000000"/>
        </w:rPr>
        <w:t>and that no</w:t>
      </w:r>
      <w:r w:rsidR="00771EE8">
        <w:rPr>
          <w:rFonts w:ascii="Times New Roman" w:hAnsi="Times New Roman" w:cs="Times New Roman"/>
          <w:color w:val="000000"/>
        </w:rPr>
        <w:t>-</w:t>
      </w:r>
      <w:r w:rsidR="008173A1" w:rsidRPr="008173A1">
        <w:rPr>
          <w:rFonts w:ascii="Times New Roman" w:hAnsi="Times New Roman" w:cs="Times New Roman"/>
          <w:color w:val="000000"/>
        </w:rPr>
        <w:t xml:space="preserve">one shall be arbitrarily deprived of the right to enter their own country. </w:t>
      </w:r>
    </w:p>
    <w:p w:rsidR="00E36F88" w:rsidRDefault="002D0828" w:rsidP="00B23EDC">
      <w:pPr>
        <w:spacing w:before="120" w:after="240" w:line="240" w:lineRule="auto"/>
        <w:rPr>
          <w:rFonts w:ascii="Times New Roman" w:eastAsia="Times New Roman" w:hAnsi="Times New Roman" w:cs="Times New Roman"/>
          <w:color w:val="000000"/>
          <w:sz w:val="24"/>
          <w:szCs w:val="24"/>
          <w:lang w:eastAsia="en-AU"/>
        </w:rPr>
      </w:pPr>
      <w:r w:rsidRPr="002D0828">
        <w:rPr>
          <w:rFonts w:ascii="Times New Roman" w:eastAsia="Times New Roman" w:hAnsi="Times New Roman" w:cs="Times New Roman"/>
          <w:color w:val="000000"/>
          <w:sz w:val="24"/>
          <w:szCs w:val="24"/>
          <w:lang w:eastAsia="en-AU"/>
        </w:rPr>
        <w:t xml:space="preserve">The </w:t>
      </w:r>
      <w:r w:rsidR="00353040">
        <w:rPr>
          <w:rFonts w:ascii="Times New Roman" w:eastAsia="Times New Roman" w:hAnsi="Times New Roman" w:cs="Times New Roman"/>
          <w:color w:val="000000"/>
          <w:sz w:val="24"/>
          <w:szCs w:val="24"/>
          <w:lang w:eastAsia="en-AU"/>
        </w:rPr>
        <w:t>Passport</w:t>
      </w:r>
      <w:r w:rsidRPr="002D0828">
        <w:rPr>
          <w:rFonts w:ascii="Times New Roman" w:eastAsia="Times New Roman" w:hAnsi="Times New Roman" w:cs="Times New Roman"/>
          <w:color w:val="000000"/>
          <w:sz w:val="24"/>
          <w:szCs w:val="24"/>
          <w:lang w:eastAsia="en-AU"/>
        </w:rPr>
        <w:t xml:space="preserve"> Fees Act and the </w:t>
      </w:r>
      <w:r w:rsidR="00353040">
        <w:rPr>
          <w:rFonts w:ascii="Times New Roman" w:eastAsia="Times New Roman" w:hAnsi="Times New Roman" w:cs="Times New Roman"/>
          <w:color w:val="000000"/>
          <w:sz w:val="24"/>
          <w:szCs w:val="24"/>
          <w:lang w:eastAsia="en-AU"/>
        </w:rPr>
        <w:t>Passport</w:t>
      </w:r>
      <w:r w:rsidRPr="002D0828">
        <w:rPr>
          <w:rFonts w:ascii="Times New Roman" w:eastAsia="Times New Roman" w:hAnsi="Times New Roman" w:cs="Times New Roman"/>
          <w:color w:val="000000"/>
          <w:sz w:val="24"/>
          <w:szCs w:val="24"/>
          <w:lang w:eastAsia="en-AU"/>
        </w:rPr>
        <w:t xml:space="preserve"> Fees Determination engage the right to freedom of movement in Article 12 of the ICCPR. This is because the imposition of fees to obtain an Australian travel document could limit the freedom of an Australian citizen to leave Australia, as found in Article 12(2) of the ICCPR. </w:t>
      </w:r>
    </w:p>
    <w:p w:rsidR="00E67765" w:rsidRDefault="00E67765" w:rsidP="004A5AEA">
      <w:pPr>
        <w:spacing w:after="0" w:line="240" w:lineRule="auto"/>
        <w:contextualSpacing/>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Passport fees are subject to automatic annual CPI indexation. </w:t>
      </w:r>
      <w:r w:rsidR="00E21F5E" w:rsidRPr="00756681">
        <w:rPr>
          <w:rFonts w:ascii="Times New Roman" w:eastAsia="SimSun" w:hAnsi="Times New Roman" w:cs="Times New Roman"/>
          <w:color w:val="000000"/>
          <w:sz w:val="24"/>
          <w:szCs w:val="24"/>
          <w:lang w:eastAsia="zh-CN"/>
        </w:rPr>
        <w:t>From 1 January 201</w:t>
      </w:r>
      <w:r w:rsidR="00E21F5E">
        <w:rPr>
          <w:rFonts w:ascii="Times New Roman" w:eastAsia="SimSun" w:hAnsi="Times New Roman" w:cs="Times New Roman"/>
          <w:color w:val="000000"/>
          <w:sz w:val="24"/>
          <w:szCs w:val="24"/>
          <w:lang w:eastAsia="zh-CN"/>
        </w:rPr>
        <w:t>9</w:t>
      </w:r>
      <w:r w:rsidR="00E21F5E" w:rsidRPr="00756681">
        <w:rPr>
          <w:rFonts w:ascii="Times New Roman" w:eastAsia="SimSun" w:hAnsi="Times New Roman" w:cs="Times New Roman"/>
          <w:color w:val="000000"/>
          <w:sz w:val="24"/>
          <w:szCs w:val="24"/>
          <w:lang w:eastAsia="zh-CN"/>
        </w:rPr>
        <w:t>,</w:t>
      </w:r>
      <w:r w:rsidR="00E21F5E">
        <w:rPr>
          <w:rFonts w:ascii="Times New Roman" w:eastAsia="SimSun" w:hAnsi="Times New Roman" w:cs="Times New Roman"/>
          <w:color w:val="000000"/>
          <w:sz w:val="24"/>
          <w:szCs w:val="24"/>
          <w:lang w:eastAsia="zh-CN"/>
        </w:rPr>
        <w:t xml:space="preserve"> under th</w:t>
      </w:r>
      <w:r w:rsidR="00353040">
        <w:rPr>
          <w:rFonts w:ascii="Times New Roman" w:eastAsia="SimSun" w:hAnsi="Times New Roman" w:cs="Times New Roman"/>
          <w:color w:val="000000"/>
          <w:sz w:val="24"/>
          <w:szCs w:val="24"/>
          <w:lang w:eastAsia="zh-CN"/>
        </w:rPr>
        <w:t>e</w:t>
      </w:r>
      <w:r w:rsidR="00E21F5E">
        <w:rPr>
          <w:rFonts w:ascii="Times New Roman" w:eastAsia="SimSun" w:hAnsi="Times New Roman" w:cs="Times New Roman"/>
          <w:color w:val="000000"/>
          <w:sz w:val="24"/>
          <w:szCs w:val="24"/>
          <w:lang w:eastAsia="zh-CN"/>
        </w:rPr>
        <w:t xml:space="preserve"> Amendment Determination,</w:t>
      </w:r>
      <w:r w:rsidR="00E21F5E" w:rsidRPr="00756681">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fees</w:t>
      </w:r>
      <w:r w:rsidR="00E21F5E">
        <w:rPr>
          <w:rFonts w:ascii="Times New Roman" w:eastAsia="SimSun" w:hAnsi="Times New Roman" w:cs="Times New Roman"/>
          <w:color w:val="000000"/>
          <w:sz w:val="24"/>
          <w:szCs w:val="24"/>
          <w:lang w:eastAsia="zh-CN"/>
        </w:rPr>
        <w:t xml:space="preserve"> will </w:t>
      </w:r>
      <w:r>
        <w:rPr>
          <w:rFonts w:ascii="Times New Roman" w:eastAsia="SimSun" w:hAnsi="Times New Roman" w:cs="Times New Roman"/>
          <w:color w:val="000000"/>
          <w:sz w:val="24"/>
          <w:szCs w:val="24"/>
          <w:lang w:eastAsia="zh-CN"/>
        </w:rPr>
        <w:t>increase above CPI by the following amounts:</w:t>
      </w:r>
    </w:p>
    <w:p w:rsidR="00E67765" w:rsidRDefault="00E67765" w:rsidP="004A5AEA">
      <w:pPr>
        <w:spacing w:after="0" w:line="240" w:lineRule="auto"/>
        <w:contextualSpacing/>
        <w:rPr>
          <w:rFonts w:ascii="Times New Roman" w:eastAsia="SimSun" w:hAnsi="Times New Roman" w:cs="Times New Roman"/>
          <w:color w:val="000000"/>
          <w:sz w:val="24"/>
          <w:szCs w:val="24"/>
          <w:lang w:eastAsia="zh-CN"/>
        </w:rPr>
      </w:pPr>
    </w:p>
    <w:p w:rsidR="00E67765" w:rsidRDefault="00E67765" w:rsidP="00E67765">
      <w:pPr>
        <w:pStyle w:val="ListParagraph"/>
        <w:numPr>
          <w:ilvl w:val="0"/>
          <w:numId w:val="16"/>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by $6 </w:t>
      </w:r>
      <w:r w:rsidRPr="00D202FB">
        <w:rPr>
          <w:rFonts w:ascii="Times New Roman" w:eastAsia="SimSun" w:hAnsi="Times New Roman" w:cs="Times New Roman"/>
          <w:color w:val="000000"/>
          <w:sz w:val="24"/>
          <w:szCs w:val="24"/>
          <w:lang w:eastAsia="zh-CN"/>
        </w:rPr>
        <w:t xml:space="preserve">for an Australian passport that is valid for up to 10 years </w:t>
      </w:r>
      <w:r>
        <w:rPr>
          <w:rFonts w:ascii="Times New Roman" w:eastAsia="SimSun" w:hAnsi="Times New Roman" w:cs="Times New Roman"/>
          <w:color w:val="000000"/>
          <w:sz w:val="24"/>
          <w:szCs w:val="24"/>
          <w:lang w:eastAsia="zh-CN"/>
        </w:rPr>
        <w:t>and issued to an adult or to a child who is 16 or 17</w:t>
      </w:r>
    </w:p>
    <w:p w:rsidR="00E67765" w:rsidRDefault="00E67765" w:rsidP="00E67765">
      <w:pPr>
        <w:pStyle w:val="ListParagraph"/>
        <w:numPr>
          <w:ilvl w:val="0"/>
          <w:numId w:val="16"/>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by $3 for all other travel documents</w:t>
      </w:r>
    </w:p>
    <w:p w:rsidR="00E67765" w:rsidRDefault="00E67765" w:rsidP="00E67765">
      <w:pPr>
        <w:pStyle w:val="ListParagraph"/>
        <w:numPr>
          <w:ilvl w:val="0"/>
          <w:numId w:val="16"/>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by $25 for </w:t>
      </w:r>
      <w:r w:rsidRPr="00E6522E">
        <w:rPr>
          <w:rFonts w:ascii="Times New Roman" w:eastAsia="SimSun" w:hAnsi="Times New Roman" w:cs="Times New Roman"/>
          <w:color w:val="000000"/>
          <w:sz w:val="24"/>
          <w:szCs w:val="24"/>
          <w:lang w:eastAsia="zh-CN"/>
        </w:rPr>
        <w:t>priority process</w:t>
      </w:r>
      <w:r>
        <w:rPr>
          <w:rFonts w:ascii="Times New Roman" w:eastAsia="SimSun" w:hAnsi="Times New Roman" w:cs="Times New Roman"/>
          <w:color w:val="000000"/>
          <w:sz w:val="24"/>
          <w:szCs w:val="24"/>
          <w:lang w:eastAsia="zh-CN"/>
        </w:rPr>
        <w:t>ing</w:t>
      </w:r>
      <w:r w:rsidRPr="00E6522E">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and for the surcharge payable in respect of adult applications made overseas</w:t>
      </w:r>
    </w:p>
    <w:p w:rsidR="00E67765" w:rsidRDefault="00E67765" w:rsidP="00E67765">
      <w:pPr>
        <w:pStyle w:val="ListParagraph"/>
        <w:numPr>
          <w:ilvl w:val="0"/>
          <w:numId w:val="16"/>
        </w:num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by $10 for the surcharge payable in respect of child applications made overseas.</w:t>
      </w:r>
    </w:p>
    <w:p w:rsidR="00E67765" w:rsidRDefault="00E67765" w:rsidP="00E67765">
      <w:pPr>
        <w:spacing w:after="0" w:line="240" w:lineRule="auto"/>
        <w:rPr>
          <w:rFonts w:ascii="Times New Roman" w:eastAsia="SimSun" w:hAnsi="Times New Roman" w:cs="Times New Roman"/>
          <w:color w:val="000000"/>
          <w:sz w:val="24"/>
          <w:szCs w:val="24"/>
          <w:lang w:eastAsia="zh-CN"/>
        </w:rPr>
      </w:pPr>
    </w:p>
    <w:p w:rsidR="00A75A8A" w:rsidRDefault="00A75A8A" w:rsidP="00A75A8A">
      <w:pPr>
        <w:spacing w:before="120"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These increases</w:t>
      </w:r>
      <w:r w:rsidRPr="00A75A8A">
        <w:rPr>
          <w:rFonts w:ascii="Times New Roman" w:eastAsia="Times New Roman" w:hAnsi="Times New Roman" w:cs="Times New Roman"/>
          <w:color w:val="000000"/>
          <w:sz w:val="24"/>
          <w:szCs w:val="24"/>
          <w:lang w:eastAsia="en-AU"/>
        </w:rPr>
        <w:t xml:space="preserve">, particularly when viewed in the context of the costs of overseas travel generally, are unlikely to restrict the freedom to leave one’s own country protected by Article 12(2).  In addition, sections 27 and 28 of the </w:t>
      </w:r>
      <w:r w:rsidRPr="00A75A8A">
        <w:rPr>
          <w:rFonts w:ascii="Times New Roman" w:eastAsia="Times New Roman" w:hAnsi="Times New Roman" w:cs="Times New Roman"/>
          <w:i/>
          <w:color w:val="000000"/>
          <w:sz w:val="24"/>
          <w:szCs w:val="24"/>
          <w:lang w:eastAsia="en-AU"/>
        </w:rPr>
        <w:t>Australian Passports Determination 2015</w:t>
      </w:r>
      <w:r>
        <w:rPr>
          <w:rFonts w:ascii="Times New Roman" w:eastAsia="Times New Roman" w:hAnsi="Times New Roman" w:cs="Times New Roman"/>
          <w:color w:val="000000"/>
          <w:sz w:val="24"/>
          <w:szCs w:val="24"/>
          <w:lang w:eastAsia="en-AU"/>
        </w:rPr>
        <w:t xml:space="preserve"> (Passports Determination) </w:t>
      </w:r>
      <w:r w:rsidRPr="00A75A8A">
        <w:rPr>
          <w:rFonts w:ascii="Times New Roman" w:eastAsia="Times New Roman" w:hAnsi="Times New Roman" w:cs="Times New Roman"/>
          <w:color w:val="000000"/>
          <w:sz w:val="24"/>
          <w:szCs w:val="24"/>
          <w:lang w:eastAsia="en-AU"/>
        </w:rPr>
        <w:t xml:space="preserve">provide for the waiver and refund of fees in certain circumstances, including on compassionate grounds. Further, a decision not to waive or refund a fee under sections 27 and 28 of the </w:t>
      </w:r>
      <w:r>
        <w:rPr>
          <w:rFonts w:ascii="Times New Roman" w:eastAsia="Times New Roman" w:hAnsi="Times New Roman" w:cs="Times New Roman"/>
          <w:color w:val="000000"/>
          <w:sz w:val="24"/>
          <w:szCs w:val="24"/>
          <w:lang w:eastAsia="en-AU"/>
        </w:rPr>
        <w:t xml:space="preserve">Passports </w:t>
      </w:r>
      <w:r w:rsidRPr="00A75A8A">
        <w:rPr>
          <w:rFonts w:ascii="Times New Roman" w:eastAsia="Times New Roman" w:hAnsi="Times New Roman" w:cs="Times New Roman"/>
          <w:color w:val="000000"/>
          <w:sz w:val="24"/>
          <w:szCs w:val="24"/>
          <w:lang w:eastAsia="en-AU"/>
        </w:rPr>
        <w:t>Determination is reviewable under paragraphs 48(</w:t>
      </w:r>
      <w:proofErr w:type="spellStart"/>
      <w:r w:rsidRPr="00A75A8A">
        <w:rPr>
          <w:rFonts w:ascii="Times New Roman" w:eastAsia="Times New Roman" w:hAnsi="Times New Roman" w:cs="Times New Roman"/>
          <w:color w:val="000000"/>
          <w:sz w:val="24"/>
          <w:szCs w:val="24"/>
          <w:lang w:eastAsia="en-AU"/>
        </w:rPr>
        <w:t>i</w:t>
      </w:r>
      <w:proofErr w:type="spellEnd"/>
      <w:r w:rsidRPr="00A75A8A">
        <w:rPr>
          <w:rFonts w:ascii="Times New Roman" w:eastAsia="Times New Roman" w:hAnsi="Times New Roman" w:cs="Times New Roman"/>
          <w:color w:val="000000"/>
          <w:sz w:val="24"/>
          <w:szCs w:val="24"/>
          <w:lang w:eastAsia="en-AU"/>
        </w:rPr>
        <w:t>) to (k) of the Act.</w:t>
      </w:r>
    </w:p>
    <w:p w:rsidR="00C751C8" w:rsidRPr="00F978A7" w:rsidRDefault="00E36F88" w:rsidP="00A75A8A">
      <w:pPr>
        <w:spacing w:before="120" w:after="240" w:line="240" w:lineRule="auto"/>
        <w:rPr>
          <w:rFonts w:ascii="Times New Roman" w:eastAsia="Times New Roman" w:hAnsi="Times New Roman" w:cs="Times New Roman"/>
          <w:color w:val="000000"/>
          <w:sz w:val="24"/>
          <w:szCs w:val="24"/>
          <w:lang w:eastAsia="en-AU"/>
        </w:rPr>
      </w:pPr>
      <w:r w:rsidRPr="00EA361F">
        <w:rPr>
          <w:rFonts w:ascii="Times New Roman" w:eastAsia="Times New Roman" w:hAnsi="Times New Roman" w:cs="Times New Roman"/>
          <w:color w:val="000000"/>
          <w:sz w:val="24"/>
          <w:szCs w:val="24"/>
          <w:lang w:eastAsia="en-AU"/>
        </w:rPr>
        <w:lastRenderedPageBreak/>
        <w:t xml:space="preserve">As </w:t>
      </w:r>
      <w:r w:rsidR="003C7E60">
        <w:rPr>
          <w:rFonts w:ascii="Times New Roman" w:eastAsia="Times New Roman" w:hAnsi="Times New Roman" w:cs="Times New Roman"/>
          <w:color w:val="000000"/>
          <w:sz w:val="24"/>
          <w:szCs w:val="24"/>
          <w:lang w:eastAsia="en-AU"/>
        </w:rPr>
        <w:t>such, the</w:t>
      </w:r>
      <w:r w:rsidRPr="00EA361F">
        <w:rPr>
          <w:rFonts w:ascii="Times New Roman" w:eastAsia="Times New Roman" w:hAnsi="Times New Roman" w:cs="Times New Roman"/>
          <w:color w:val="000000"/>
          <w:sz w:val="24"/>
          <w:szCs w:val="24"/>
          <w:lang w:eastAsia="en-AU"/>
        </w:rPr>
        <w:t xml:space="preserve"> Amendment Determination </w:t>
      </w:r>
      <w:r>
        <w:rPr>
          <w:rFonts w:ascii="Times New Roman" w:eastAsia="Times New Roman" w:hAnsi="Times New Roman" w:cs="Times New Roman"/>
          <w:color w:val="000000"/>
          <w:sz w:val="24"/>
          <w:szCs w:val="24"/>
          <w:lang w:eastAsia="en-AU"/>
        </w:rPr>
        <w:t>is</w:t>
      </w:r>
      <w:r w:rsidRPr="00EA361F">
        <w:rPr>
          <w:rFonts w:ascii="Times New Roman" w:eastAsia="Times New Roman" w:hAnsi="Times New Roman" w:cs="Times New Roman"/>
          <w:color w:val="000000"/>
          <w:sz w:val="24"/>
          <w:szCs w:val="24"/>
          <w:lang w:eastAsia="en-AU"/>
        </w:rPr>
        <w:t xml:space="preserve"> consistent with Australia’s obligations in relation to freedom of movement under international law.</w:t>
      </w:r>
      <w:bookmarkStart w:id="5" w:name="_Toc425762158"/>
    </w:p>
    <w:p w:rsidR="002D0828" w:rsidRPr="002D0828" w:rsidRDefault="002D0828" w:rsidP="00B23EDC">
      <w:pPr>
        <w:keepNext/>
        <w:spacing w:before="240" w:after="0" w:line="240" w:lineRule="auto"/>
        <w:outlineLvl w:val="2"/>
        <w:rPr>
          <w:rFonts w:ascii="Times New Roman" w:eastAsia="SimSun" w:hAnsi="Times New Roman" w:cs="Arial"/>
          <w:b/>
          <w:bCs/>
          <w:color w:val="000000"/>
          <w:sz w:val="24"/>
          <w:szCs w:val="26"/>
        </w:rPr>
      </w:pPr>
      <w:r w:rsidRPr="002D0828">
        <w:rPr>
          <w:rFonts w:ascii="Times New Roman" w:eastAsia="SimSun" w:hAnsi="Times New Roman" w:cs="Arial"/>
          <w:b/>
          <w:bCs/>
          <w:color w:val="000000"/>
          <w:sz w:val="24"/>
          <w:szCs w:val="26"/>
        </w:rPr>
        <w:t>Conclusion</w:t>
      </w:r>
      <w:bookmarkEnd w:id="5"/>
    </w:p>
    <w:p w:rsidR="002D0828" w:rsidRPr="002D0828" w:rsidRDefault="002D0828" w:rsidP="00B23EDC">
      <w:pPr>
        <w:spacing w:after="0" w:line="240" w:lineRule="auto"/>
        <w:rPr>
          <w:rFonts w:ascii="Times" w:eastAsia="SimSun" w:hAnsi="Times" w:cs="Times"/>
          <w:color w:val="000000"/>
          <w:sz w:val="24"/>
          <w:szCs w:val="24"/>
        </w:rPr>
      </w:pPr>
    </w:p>
    <w:p w:rsidR="002D0828" w:rsidRPr="002C5592" w:rsidRDefault="002D0828" w:rsidP="00B23EDC">
      <w:pPr>
        <w:spacing w:after="0" w:line="240" w:lineRule="auto"/>
        <w:rPr>
          <w:rFonts w:ascii="Times" w:eastAsia="SimSun" w:hAnsi="Times" w:cs="Times"/>
          <w:color w:val="000000"/>
          <w:sz w:val="24"/>
          <w:szCs w:val="24"/>
          <w:lang w:eastAsia="zh-CN"/>
        </w:rPr>
      </w:pPr>
      <w:r w:rsidRPr="002D0828">
        <w:rPr>
          <w:rFonts w:ascii="Times" w:eastAsia="SimSun" w:hAnsi="Times" w:cs="Times"/>
          <w:color w:val="000000"/>
          <w:sz w:val="24"/>
          <w:szCs w:val="24"/>
          <w:lang w:eastAsia="zh-CN"/>
        </w:rPr>
        <w:t xml:space="preserve">The </w:t>
      </w:r>
      <w:r w:rsidR="001E10B6">
        <w:rPr>
          <w:rFonts w:ascii="Times" w:eastAsia="SimSun" w:hAnsi="Times" w:cs="Times"/>
          <w:color w:val="000000"/>
          <w:sz w:val="24"/>
          <w:szCs w:val="24"/>
          <w:lang w:eastAsia="zh-CN"/>
        </w:rPr>
        <w:t>Amendment</w:t>
      </w:r>
      <w:r w:rsidRPr="002D0828">
        <w:rPr>
          <w:rFonts w:ascii="Times" w:eastAsia="SimSun" w:hAnsi="Times" w:cs="Times"/>
          <w:color w:val="000000"/>
          <w:sz w:val="24"/>
          <w:szCs w:val="24"/>
          <w:lang w:eastAsia="zh-CN"/>
        </w:rPr>
        <w:t xml:space="preserve"> Determination is compatible with human rights because to the extent that it may limit human rights, those limitations are reasonable, necessary and proportionate.</w:t>
      </w:r>
    </w:p>
    <w:p w:rsidR="00312DB0" w:rsidRPr="00DC7D18" w:rsidRDefault="008173A1" w:rsidP="008173A1">
      <w:pPr>
        <w:pStyle w:val="Style0"/>
        <w:keepNext/>
        <w:keepLines/>
        <w:spacing w:line="276" w:lineRule="auto"/>
        <w:rPr>
          <w:rFonts w:ascii="Times New Roman" w:hAnsi="Times New Roman" w:cs="Times New Roman"/>
          <w:color w:val="000000"/>
        </w:rPr>
      </w:pPr>
      <w:r>
        <w:rPr>
          <w:rFonts w:ascii="Times New Roman" w:hAnsi="Times New Roman" w:cs="Times New Roman"/>
          <w:color w:val="000000"/>
        </w:rPr>
        <w:t xml:space="preserve"> </w:t>
      </w:r>
    </w:p>
    <w:sectPr w:rsidR="00312DB0" w:rsidRPr="00DC7D18" w:rsidSect="00DC7D18">
      <w:footerReference w:type="default" r:id="rId12"/>
      <w:pgSz w:w="11906" w:h="16838"/>
      <w:pgMar w:top="1440" w:right="1080" w:bottom="1440" w:left="108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73A" w:rsidRDefault="0005673A" w:rsidP="00DC7D18">
      <w:pPr>
        <w:spacing w:after="0" w:line="240" w:lineRule="auto"/>
      </w:pPr>
      <w:r>
        <w:separator/>
      </w:r>
    </w:p>
  </w:endnote>
  <w:endnote w:type="continuationSeparator" w:id="0">
    <w:p w:rsidR="0005673A" w:rsidRDefault="0005673A" w:rsidP="00DC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C35" w:rsidRPr="00DE4C0F" w:rsidRDefault="00FF4C35">
    <w:pPr>
      <w:pStyle w:val="Footer"/>
      <w:rPr>
        <w:rFonts w:ascii="Times New Roman" w:hAnsi="Times New Roman" w:cs="Times New Roman"/>
        <w:i/>
        <w:sz w:val="20"/>
      </w:rPr>
    </w:pPr>
    <w:r w:rsidRPr="00DE4C0F">
      <w:rPr>
        <w:rFonts w:ascii="Times New Roman" w:hAnsi="Times New Roman" w:cs="Times New Roman"/>
        <w:i/>
        <w:sz w:val="20"/>
      </w:rPr>
      <w:t xml:space="preserve">Australian Passports </w:t>
    </w:r>
    <w:r w:rsidR="006532A7">
      <w:rPr>
        <w:rFonts w:ascii="Times New Roman" w:hAnsi="Times New Roman" w:cs="Times New Roman"/>
        <w:i/>
        <w:sz w:val="20"/>
      </w:rPr>
      <w:t xml:space="preserve">(Application Fees) </w:t>
    </w:r>
    <w:r w:rsidRPr="00DE4C0F">
      <w:rPr>
        <w:rFonts w:ascii="Times New Roman" w:hAnsi="Times New Roman" w:cs="Times New Roman"/>
        <w:i/>
        <w:sz w:val="20"/>
      </w:rPr>
      <w:t>Amendment</w:t>
    </w:r>
    <w:r w:rsidR="00C9660B">
      <w:rPr>
        <w:rFonts w:ascii="Times New Roman" w:hAnsi="Times New Roman" w:cs="Times New Roman"/>
        <w:i/>
        <w:sz w:val="20"/>
      </w:rPr>
      <w:t xml:space="preserve"> Determination 2018</w:t>
    </w:r>
    <w:r w:rsidRPr="00DE4C0F">
      <w:rPr>
        <w:rFonts w:ascii="Times New Roman" w:hAnsi="Times New Roman" w:cs="Times New Roman"/>
        <w:i/>
        <w:sz w:val="20"/>
      </w:rPr>
      <w:t xml:space="preserve">      </w:t>
    </w:r>
  </w:p>
  <w:p w:rsidR="00FF4C35" w:rsidRPr="00DC7D18" w:rsidRDefault="00FF4C35" w:rsidP="00DE4C0F">
    <w:pPr>
      <w:pStyle w:val="Footer"/>
      <w:jc w:val="right"/>
      <w:rPr>
        <w:rFonts w:ascii="Times New Roman" w:hAnsi="Times New Roman" w:cs="Times New Roman"/>
      </w:rPr>
    </w:pPr>
    <w:r w:rsidRPr="00DC7D18">
      <w:rPr>
        <w:rFonts w:ascii="Times New Roman" w:hAnsi="Times New Roman" w:cs="Times New Roman"/>
      </w:rPr>
      <w:tab/>
    </w:r>
    <w:sdt>
      <w:sdtPr>
        <w:rPr>
          <w:rFonts w:ascii="Times New Roman" w:hAnsi="Times New Roman" w:cs="Times New Roman"/>
        </w:rPr>
        <w:id w:val="16460829"/>
        <w:docPartObj>
          <w:docPartGallery w:val="Page Numbers (Bottom of Page)"/>
          <w:docPartUnique/>
        </w:docPartObj>
      </w:sdtPr>
      <w:sdtEndPr/>
      <w:sdtContent>
        <w:sdt>
          <w:sdtPr>
            <w:rPr>
              <w:rFonts w:ascii="Times New Roman" w:hAnsi="Times New Roman" w:cs="Times New Roman"/>
            </w:rPr>
            <w:id w:val="98381352"/>
            <w:docPartObj>
              <w:docPartGallery w:val="Page Numbers (Top of Page)"/>
              <w:docPartUnique/>
            </w:docPartObj>
          </w:sdtPr>
          <w:sdtEndPr/>
          <w:sdtContent>
            <w:r>
              <w:rPr>
                <w:rFonts w:ascii="Times New Roman" w:hAnsi="Times New Roman" w:cs="Times New Roman"/>
              </w:rPr>
              <w:tab/>
            </w:r>
            <w:r w:rsidRPr="00DC7D18">
              <w:rPr>
                <w:rFonts w:ascii="Times New Roman" w:hAnsi="Times New Roman" w:cs="Times New Roman"/>
              </w:rPr>
              <w:t xml:space="preserve">Page </w:t>
            </w:r>
            <w:r w:rsidRPr="00DC7D18">
              <w:rPr>
                <w:rFonts w:ascii="Times New Roman" w:hAnsi="Times New Roman" w:cs="Times New Roman"/>
              </w:rPr>
              <w:fldChar w:fldCharType="begin"/>
            </w:r>
            <w:r w:rsidRPr="00DC7D18">
              <w:rPr>
                <w:rFonts w:ascii="Times New Roman" w:hAnsi="Times New Roman" w:cs="Times New Roman"/>
              </w:rPr>
              <w:instrText xml:space="preserve"> PAGE </w:instrText>
            </w:r>
            <w:r w:rsidRPr="00DC7D18">
              <w:rPr>
                <w:rFonts w:ascii="Times New Roman" w:hAnsi="Times New Roman" w:cs="Times New Roman"/>
              </w:rPr>
              <w:fldChar w:fldCharType="separate"/>
            </w:r>
            <w:r w:rsidR="00353040">
              <w:rPr>
                <w:rFonts w:ascii="Times New Roman" w:hAnsi="Times New Roman" w:cs="Times New Roman"/>
                <w:noProof/>
              </w:rPr>
              <w:t>7</w:t>
            </w:r>
            <w:r w:rsidRPr="00DC7D18">
              <w:rPr>
                <w:rFonts w:ascii="Times New Roman" w:hAnsi="Times New Roman" w:cs="Times New Roman"/>
              </w:rPr>
              <w:fldChar w:fldCharType="end"/>
            </w:r>
            <w:r w:rsidRPr="00DC7D18">
              <w:rPr>
                <w:rFonts w:ascii="Times New Roman" w:hAnsi="Times New Roman" w:cs="Times New Roman"/>
              </w:rPr>
              <w:t xml:space="preserve"> of </w:t>
            </w:r>
            <w:r w:rsidRPr="00DC7D18">
              <w:rPr>
                <w:rFonts w:ascii="Times New Roman" w:hAnsi="Times New Roman" w:cs="Times New Roman"/>
              </w:rPr>
              <w:fldChar w:fldCharType="begin"/>
            </w:r>
            <w:r w:rsidRPr="00DC7D18">
              <w:rPr>
                <w:rFonts w:ascii="Times New Roman" w:hAnsi="Times New Roman" w:cs="Times New Roman"/>
              </w:rPr>
              <w:instrText xml:space="preserve"> NUMPAGES  </w:instrText>
            </w:r>
            <w:r w:rsidRPr="00DC7D18">
              <w:rPr>
                <w:rFonts w:ascii="Times New Roman" w:hAnsi="Times New Roman" w:cs="Times New Roman"/>
              </w:rPr>
              <w:fldChar w:fldCharType="separate"/>
            </w:r>
            <w:r w:rsidR="00353040">
              <w:rPr>
                <w:rFonts w:ascii="Times New Roman" w:hAnsi="Times New Roman" w:cs="Times New Roman"/>
                <w:noProof/>
              </w:rPr>
              <w:t>7</w:t>
            </w:r>
            <w:r w:rsidRPr="00DC7D18">
              <w:rPr>
                <w:rFonts w:ascii="Times New Roman" w:hAnsi="Times New Roman" w:cs="Times New Roman"/>
              </w:rPr>
              <w:fldChar w:fldCharType="end"/>
            </w:r>
          </w:sdtContent>
        </w:sdt>
      </w:sdtContent>
    </w:sdt>
  </w:p>
  <w:p w:rsidR="00FF4C35" w:rsidRPr="00DC7D18" w:rsidRDefault="00FF4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73A" w:rsidRDefault="0005673A" w:rsidP="00DC7D18">
      <w:pPr>
        <w:spacing w:after="0" w:line="240" w:lineRule="auto"/>
      </w:pPr>
      <w:r>
        <w:separator/>
      </w:r>
    </w:p>
  </w:footnote>
  <w:footnote w:type="continuationSeparator" w:id="0">
    <w:p w:rsidR="0005673A" w:rsidRDefault="0005673A" w:rsidP="00DC7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449D"/>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914FF"/>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3230D"/>
    <w:multiLevelType w:val="hybridMultilevel"/>
    <w:tmpl w:val="5002C712"/>
    <w:lvl w:ilvl="0" w:tplc="5C0EE39A">
      <w:start w:val="1"/>
      <w:numFmt w:val="decimal"/>
      <w:lvlText w:val="%1."/>
      <w:lvlJc w:val="left"/>
      <w:pPr>
        <w:ind w:left="720" w:hanging="360"/>
      </w:pPr>
      <w:rPr>
        <w:rFonts w:hint="default"/>
        <w:b w:val="0"/>
      </w:rPr>
    </w:lvl>
    <w:lvl w:ilvl="1" w:tplc="30E4FC74">
      <w:start w:val="1"/>
      <w:numFmt w:val="lowerRoman"/>
      <w:lvlText w:val="%2."/>
      <w:lvlJc w:val="right"/>
      <w:pPr>
        <w:ind w:left="1440" w:hanging="360"/>
      </w:pPr>
      <w:rPr>
        <w:rFonts w:ascii="Times New Roman" w:hAnsi="Times New Roman"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FA54D8"/>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33DAE"/>
    <w:multiLevelType w:val="hybridMultilevel"/>
    <w:tmpl w:val="733EB5DC"/>
    <w:lvl w:ilvl="0" w:tplc="8B12D734">
      <w:start w:val="6"/>
      <w:numFmt w:val="bullet"/>
      <w:lvlText w:val="-"/>
      <w:lvlJc w:val="left"/>
      <w:pPr>
        <w:ind w:left="1080" w:hanging="360"/>
      </w:pPr>
      <w:rPr>
        <w:rFonts w:ascii="Times New Roman" w:eastAsia="SimSu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1E40E8F"/>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45C4F"/>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0794B"/>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90E12"/>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A2327"/>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622C5"/>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A2404C"/>
    <w:multiLevelType w:val="hybridMultilevel"/>
    <w:tmpl w:val="D4DE0AA2"/>
    <w:lvl w:ilvl="0" w:tplc="0C090019">
      <w:start w:val="1"/>
      <w:numFmt w:val="lowerLetter"/>
      <w:lvlText w:val="%1."/>
      <w:lvlJc w:val="left"/>
      <w:pPr>
        <w:ind w:left="720" w:hanging="360"/>
      </w:pPr>
    </w:lvl>
    <w:lvl w:ilvl="1" w:tplc="30E4FC74">
      <w:start w:val="1"/>
      <w:numFmt w:val="lowerRoman"/>
      <w:lvlText w:val="%2."/>
      <w:lvlJc w:val="right"/>
      <w:pPr>
        <w:ind w:left="1440" w:hanging="360"/>
      </w:pPr>
      <w:rPr>
        <w:rFonts w:ascii="Times New Roman" w:hAnsi="Times New Roman"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953638"/>
    <w:multiLevelType w:val="hybridMultilevel"/>
    <w:tmpl w:val="5002C712"/>
    <w:lvl w:ilvl="0" w:tplc="5C0EE39A">
      <w:start w:val="1"/>
      <w:numFmt w:val="decimal"/>
      <w:lvlText w:val="%1."/>
      <w:lvlJc w:val="left"/>
      <w:pPr>
        <w:ind w:left="720" w:hanging="360"/>
      </w:pPr>
      <w:rPr>
        <w:rFonts w:hint="default"/>
        <w:b w:val="0"/>
      </w:rPr>
    </w:lvl>
    <w:lvl w:ilvl="1" w:tplc="30E4FC74">
      <w:start w:val="1"/>
      <w:numFmt w:val="lowerRoman"/>
      <w:lvlText w:val="%2."/>
      <w:lvlJc w:val="right"/>
      <w:pPr>
        <w:ind w:left="1440" w:hanging="360"/>
      </w:pPr>
      <w:rPr>
        <w:rFonts w:ascii="Times New Roman" w:hAnsi="Times New Roman"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42481E"/>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A21DBA"/>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710AB2"/>
    <w:multiLevelType w:val="hybridMultilevel"/>
    <w:tmpl w:val="FD1CD3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1"/>
  </w:num>
  <w:num w:numId="2">
    <w:abstractNumId w:val="2"/>
  </w:num>
  <w:num w:numId="3">
    <w:abstractNumId w:val="13"/>
  </w:num>
  <w:num w:numId="4">
    <w:abstractNumId w:val="12"/>
  </w:num>
  <w:num w:numId="5">
    <w:abstractNumId w:val="14"/>
  </w:num>
  <w:num w:numId="6">
    <w:abstractNumId w:val="10"/>
  </w:num>
  <w:num w:numId="7">
    <w:abstractNumId w:val="1"/>
  </w:num>
  <w:num w:numId="8">
    <w:abstractNumId w:val="9"/>
  </w:num>
  <w:num w:numId="9">
    <w:abstractNumId w:val="3"/>
  </w:num>
  <w:num w:numId="10">
    <w:abstractNumId w:val="6"/>
  </w:num>
  <w:num w:numId="11">
    <w:abstractNumId w:val="0"/>
  </w:num>
  <w:num w:numId="12">
    <w:abstractNumId w:val="7"/>
  </w:num>
  <w:num w:numId="13">
    <w:abstractNumId w:val="5"/>
  </w:num>
  <w:num w:numId="14">
    <w:abstractNumId w:val="8"/>
  </w:num>
  <w:num w:numId="15">
    <w:abstractNumId w:val="15"/>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18"/>
    <w:rsid w:val="000038DE"/>
    <w:rsid w:val="00005BBC"/>
    <w:rsid w:val="00005E8A"/>
    <w:rsid w:val="00010B03"/>
    <w:rsid w:val="000127FE"/>
    <w:rsid w:val="00013C27"/>
    <w:rsid w:val="000232B0"/>
    <w:rsid w:val="000264A5"/>
    <w:rsid w:val="00032BCE"/>
    <w:rsid w:val="0004035A"/>
    <w:rsid w:val="000519DF"/>
    <w:rsid w:val="00051AE4"/>
    <w:rsid w:val="00053021"/>
    <w:rsid w:val="0005673A"/>
    <w:rsid w:val="000673EA"/>
    <w:rsid w:val="0006767D"/>
    <w:rsid w:val="00071D4A"/>
    <w:rsid w:val="00080F35"/>
    <w:rsid w:val="000916C0"/>
    <w:rsid w:val="00092976"/>
    <w:rsid w:val="0009610B"/>
    <w:rsid w:val="000A08E6"/>
    <w:rsid w:val="000A3CFF"/>
    <w:rsid w:val="000A5A1F"/>
    <w:rsid w:val="000A6FAB"/>
    <w:rsid w:val="000B51CF"/>
    <w:rsid w:val="000C2A82"/>
    <w:rsid w:val="000C6010"/>
    <w:rsid w:val="000D3FDF"/>
    <w:rsid w:val="000D5036"/>
    <w:rsid w:val="000D5080"/>
    <w:rsid w:val="000D677D"/>
    <w:rsid w:val="000E1B2F"/>
    <w:rsid w:val="000E1E82"/>
    <w:rsid w:val="000E1F81"/>
    <w:rsid w:val="000E27FF"/>
    <w:rsid w:val="000E7AD0"/>
    <w:rsid w:val="000F1240"/>
    <w:rsid w:val="000F3F3C"/>
    <w:rsid w:val="000F7F22"/>
    <w:rsid w:val="0010079A"/>
    <w:rsid w:val="00102F0F"/>
    <w:rsid w:val="00107BBA"/>
    <w:rsid w:val="001114CC"/>
    <w:rsid w:val="001115BB"/>
    <w:rsid w:val="00111CDE"/>
    <w:rsid w:val="00112628"/>
    <w:rsid w:val="00117516"/>
    <w:rsid w:val="001234BB"/>
    <w:rsid w:val="00124357"/>
    <w:rsid w:val="001252BB"/>
    <w:rsid w:val="001265C8"/>
    <w:rsid w:val="00132271"/>
    <w:rsid w:val="00137EF5"/>
    <w:rsid w:val="00142EFC"/>
    <w:rsid w:val="00143A3D"/>
    <w:rsid w:val="00144679"/>
    <w:rsid w:val="00145819"/>
    <w:rsid w:val="001475B8"/>
    <w:rsid w:val="00152E3E"/>
    <w:rsid w:val="00154357"/>
    <w:rsid w:val="001610DD"/>
    <w:rsid w:val="00164987"/>
    <w:rsid w:val="00172BDC"/>
    <w:rsid w:val="00172F58"/>
    <w:rsid w:val="00174949"/>
    <w:rsid w:val="001759EF"/>
    <w:rsid w:val="001767C9"/>
    <w:rsid w:val="00176E4A"/>
    <w:rsid w:val="0017788B"/>
    <w:rsid w:val="00180343"/>
    <w:rsid w:val="00180DB4"/>
    <w:rsid w:val="00182ED9"/>
    <w:rsid w:val="00187FB3"/>
    <w:rsid w:val="00191364"/>
    <w:rsid w:val="00193AAD"/>
    <w:rsid w:val="00194C51"/>
    <w:rsid w:val="001A2D51"/>
    <w:rsid w:val="001A4C12"/>
    <w:rsid w:val="001A5E45"/>
    <w:rsid w:val="001A6075"/>
    <w:rsid w:val="001B0284"/>
    <w:rsid w:val="001C4A09"/>
    <w:rsid w:val="001D0E48"/>
    <w:rsid w:val="001D2B98"/>
    <w:rsid w:val="001D5A06"/>
    <w:rsid w:val="001D6492"/>
    <w:rsid w:val="001E10B6"/>
    <w:rsid w:val="001E5D16"/>
    <w:rsid w:val="001F290A"/>
    <w:rsid w:val="002017F5"/>
    <w:rsid w:val="00202824"/>
    <w:rsid w:val="0021299D"/>
    <w:rsid w:val="0021771C"/>
    <w:rsid w:val="00220619"/>
    <w:rsid w:val="00224D8A"/>
    <w:rsid w:val="0022697A"/>
    <w:rsid w:val="00230232"/>
    <w:rsid w:val="00231F57"/>
    <w:rsid w:val="00236822"/>
    <w:rsid w:val="002373EB"/>
    <w:rsid w:val="002507A4"/>
    <w:rsid w:val="00250BCD"/>
    <w:rsid w:val="00253BBD"/>
    <w:rsid w:val="00262C6F"/>
    <w:rsid w:val="00272C87"/>
    <w:rsid w:val="00272F6F"/>
    <w:rsid w:val="0027735D"/>
    <w:rsid w:val="002822B9"/>
    <w:rsid w:val="00282E5D"/>
    <w:rsid w:val="002836DA"/>
    <w:rsid w:val="00285031"/>
    <w:rsid w:val="00287ACB"/>
    <w:rsid w:val="00290039"/>
    <w:rsid w:val="00292BC2"/>
    <w:rsid w:val="00293745"/>
    <w:rsid w:val="002A41A7"/>
    <w:rsid w:val="002A5A14"/>
    <w:rsid w:val="002B2F28"/>
    <w:rsid w:val="002B4523"/>
    <w:rsid w:val="002B58F3"/>
    <w:rsid w:val="002C1A21"/>
    <w:rsid w:val="002C3E1B"/>
    <w:rsid w:val="002C4072"/>
    <w:rsid w:val="002C5592"/>
    <w:rsid w:val="002C66E8"/>
    <w:rsid w:val="002C6FDA"/>
    <w:rsid w:val="002D0828"/>
    <w:rsid w:val="002D4809"/>
    <w:rsid w:val="002D555F"/>
    <w:rsid w:val="002D59EE"/>
    <w:rsid w:val="002E0D22"/>
    <w:rsid w:val="002E66F5"/>
    <w:rsid w:val="002F2FAD"/>
    <w:rsid w:val="002F322A"/>
    <w:rsid w:val="002F3865"/>
    <w:rsid w:val="0030211E"/>
    <w:rsid w:val="00303028"/>
    <w:rsid w:val="0030580C"/>
    <w:rsid w:val="00305DBD"/>
    <w:rsid w:val="00306189"/>
    <w:rsid w:val="00307F72"/>
    <w:rsid w:val="00310E4A"/>
    <w:rsid w:val="00311E2F"/>
    <w:rsid w:val="00311F1E"/>
    <w:rsid w:val="0031291E"/>
    <w:rsid w:val="00312DB0"/>
    <w:rsid w:val="00313291"/>
    <w:rsid w:val="00314C7B"/>
    <w:rsid w:val="0031620B"/>
    <w:rsid w:val="00320DE8"/>
    <w:rsid w:val="003257A3"/>
    <w:rsid w:val="00326631"/>
    <w:rsid w:val="00326975"/>
    <w:rsid w:val="0033143B"/>
    <w:rsid w:val="00331F68"/>
    <w:rsid w:val="00332742"/>
    <w:rsid w:val="00332E58"/>
    <w:rsid w:val="00333A85"/>
    <w:rsid w:val="00334909"/>
    <w:rsid w:val="003363F6"/>
    <w:rsid w:val="00337F6B"/>
    <w:rsid w:val="00341C32"/>
    <w:rsid w:val="00341E91"/>
    <w:rsid w:val="00342EB1"/>
    <w:rsid w:val="0034341A"/>
    <w:rsid w:val="00344A74"/>
    <w:rsid w:val="00353040"/>
    <w:rsid w:val="003622E0"/>
    <w:rsid w:val="00365900"/>
    <w:rsid w:val="00371FE1"/>
    <w:rsid w:val="00373B3E"/>
    <w:rsid w:val="003755E8"/>
    <w:rsid w:val="0037729B"/>
    <w:rsid w:val="003828F8"/>
    <w:rsid w:val="0038370D"/>
    <w:rsid w:val="00390E2C"/>
    <w:rsid w:val="003A4366"/>
    <w:rsid w:val="003A6A4A"/>
    <w:rsid w:val="003B5C4D"/>
    <w:rsid w:val="003C0DA2"/>
    <w:rsid w:val="003C58E3"/>
    <w:rsid w:val="003C7E60"/>
    <w:rsid w:val="003D189D"/>
    <w:rsid w:val="003E4CBE"/>
    <w:rsid w:val="003E7D93"/>
    <w:rsid w:val="003F794B"/>
    <w:rsid w:val="0040093F"/>
    <w:rsid w:val="00404838"/>
    <w:rsid w:val="00405EF4"/>
    <w:rsid w:val="00405F03"/>
    <w:rsid w:val="00410185"/>
    <w:rsid w:val="00416D11"/>
    <w:rsid w:val="00420D04"/>
    <w:rsid w:val="00420D8A"/>
    <w:rsid w:val="00420DE2"/>
    <w:rsid w:val="004213DA"/>
    <w:rsid w:val="004220D2"/>
    <w:rsid w:val="00423A04"/>
    <w:rsid w:val="00423CFA"/>
    <w:rsid w:val="0042752E"/>
    <w:rsid w:val="00434C8D"/>
    <w:rsid w:val="00435794"/>
    <w:rsid w:val="00442848"/>
    <w:rsid w:val="00447A47"/>
    <w:rsid w:val="0045235B"/>
    <w:rsid w:val="004606C4"/>
    <w:rsid w:val="004620DB"/>
    <w:rsid w:val="00466503"/>
    <w:rsid w:val="00472DE9"/>
    <w:rsid w:val="00480ACF"/>
    <w:rsid w:val="00481D27"/>
    <w:rsid w:val="00482435"/>
    <w:rsid w:val="00485983"/>
    <w:rsid w:val="00485BE4"/>
    <w:rsid w:val="004925E4"/>
    <w:rsid w:val="004A0A89"/>
    <w:rsid w:val="004A13E2"/>
    <w:rsid w:val="004A1713"/>
    <w:rsid w:val="004A5AEA"/>
    <w:rsid w:val="004B572C"/>
    <w:rsid w:val="004B597F"/>
    <w:rsid w:val="004B68AD"/>
    <w:rsid w:val="004C0F3A"/>
    <w:rsid w:val="004C3FE2"/>
    <w:rsid w:val="004D0F71"/>
    <w:rsid w:val="004D56AD"/>
    <w:rsid w:val="004E0763"/>
    <w:rsid w:val="004E215E"/>
    <w:rsid w:val="004E3820"/>
    <w:rsid w:val="004E4A22"/>
    <w:rsid w:val="004F121D"/>
    <w:rsid w:val="004F4E41"/>
    <w:rsid w:val="004F5FF2"/>
    <w:rsid w:val="005007FF"/>
    <w:rsid w:val="00506A5D"/>
    <w:rsid w:val="00506BDE"/>
    <w:rsid w:val="00517460"/>
    <w:rsid w:val="00520ED6"/>
    <w:rsid w:val="005230C4"/>
    <w:rsid w:val="0052473F"/>
    <w:rsid w:val="00526F94"/>
    <w:rsid w:val="00530C97"/>
    <w:rsid w:val="00535222"/>
    <w:rsid w:val="00536998"/>
    <w:rsid w:val="00542158"/>
    <w:rsid w:val="00547229"/>
    <w:rsid w:val="005530FD"/>
    <w:rsid w:val="00555979"/>
    <w:rsid w:val="00556436"/>
    <w:rsid w:val="00565908"/>
    <w:rsid w:val="00574D12"/>
    <w:rsid w:val="0058032C"/>
    <w:rsid w:val="00582DAB"/>
    <w:rsid w:val="0058376C"/>
    <w:rsid w:val="005865FD"/>
    <w:rsid w:val="00593BB4"/>
    <w:rsid w:val="005A35AC"/>
    <w:rsid w:val="005A3B00"/>
    <w:rsid w:val="005A584A"/>
    <w:rsid w:val="005C39AB"/>
    <w:rsid w:val="005C3D38"/>
    <w:rsid w:val="005D1A82"/>
    <w:rsid w:val="005D275B"/>
    <w:rsid w:val="005D5167"/>
    <w:rsid w:val="005D56A7"/>
    <w:rsid w:val="005E4B4B"/>
    <w:rsid w:val="005F0B74"/>
    <w:rsid w:val="005F113B"/>
    <w:rsid w:val="005F43B9"/>
    <w:rsid w:val="005F5BB6"/>
    <w:rsid w:val="00614E2E"/>
    <w:rsid w:val="00620835"/>
    <w:rsid w:val="00635CC3"/>
    <w:rsid w:val="00640930"/>
    <w:rsid w:val="00641EF7"/>
    <w:rsid w:val="00642E6C"/>
    <w:rsid w:val="006460E9"/>
    <w:rsid w:val="0064624D"/>
    <w:rsid w:val="006470E8"/>
    <w:rsid w:val="00647350"/>
    <w:rsid w:val="00650088"/>
    <w:rsid w:val="006532A7"/>
    <w:rsid w:val="006532C4"/>
    <w:rsid w:val="00660654"/>
    <w:rsid w:val="00660C9E"/>
    <w:rsid w:val="00661341"/>
    <w:rsid w:val="006613A4"/>
    <w:rsid w:val="00662DE8"/>
    <w:rsid w:val="0066467B"/>
    <w:rsid w:val="00673E61"/>
    <w:rsid w:val="0067689D"/>
    <w:rsid w:val="00677752"/>
    <w:rsid w:val="00682169"/>
    <w:rsid w:val="006849DB"/>
    <w:rsid w:val="00685A17"/>
    <w:rsid w:val="00687208"/>
    <w:rsid w:val="006954C6"/>
    <w:rsid w:val="006958CF"/>
    <w:rsid w:val="00695A30"/>
    <w:rsid w:val="00696ACC"/>
    <w:rsid w:val="006A16CE"/>
    <w:rsid w:val="006A304E"/>
    <w:rsid w:val="006B00A4"/>
    <w:rsid w:val="006B2EA8"/>
    <w:rsid w:val="006C41EA"/>
    <w:rsid w:val="006D6194"/>
    <w:rsid w:val="006E0162"/>
    <w:rsid w:val="006E1726"/>
    <w:rsid w:val="006F1086"/>
    <w:rsid w:val="006F4024"/>
    <w:rsid w:val="006F68FC"/>
    <w:rsid w:val="007002F6"/>
    <w:rsid w:val="007038C5"/>
    <w:rsid w:val="007038DE"/>
    <w:rsid w:val="007102C5"/>
    <w:rsid w:val="007149E0"/>
    <w:rsid w:val="00714CB7"/>
    <w:rsid w:val="007263EF"/>
    <w:rsid w:val="00726AF5"/>
    <w:rsid w:val="00733CD7"/>
    <w:rsid w:val="00736F91"/>
    <w:rsid w:val="00737FDD"/>
    <w:rsid w:val="00740319"/>
    <w:rsid w:val="0074412A"/>
    <w:rsid w:val="007462B3"/>
    <w:rsid w:val="00747948"/>
    <w:rsid w:val="0075029F"/>
    <w:rsid w:val="00750468"/>
    <w:rsid w:val="0075050D"/>
    <w:rsid w:val="0075153B"/>
    <w:rsid w:val="00753132"/>
    <w:rsid w:val="00754919"/>
    <w:rsid w:val="007564CC"/>
    <w:rsid w:val="00756681"/>
    <w:rsid w:val="00761F6C"/>
    <w:rsid w:val="00763022"/>
    <w:rsid w:val="00763C8B"/>
    <w:rsid w:val="007649F4"/>
    <w:rsid w:val="00771669"/>
    <w:rsid w:val="00771EE8"/>
    <w:rsid w:val="00772FCF"/>
    <w:rsid w:val="00774B7D"/>
    <w:rsid w:val="0078004A"/>
    <w:rsid w:val="00780CD9"/>
    <w:rsid w:val="0079422E"/>
    <w:rsid w:val="007A2241"/>
    <w:rsid w:val="007A761E"/>
    <w:rsid w:val="007A7799"/>
    <w:rsid w:val="007B55CF"/>
    <w:rsid w:val="007C4A3D"/>
    <w:rsid w:val="007D0F90"/>
    <w:rsid w:val="007D4D5E"/>
    <w:rsid w:val="007D4E1E"/>
    <w:rsid w:val="007D574A"/>
    <w:rsid w:val="007E3490"/>
    <w:rsid w:val="007F2039"/>
    <w:rsid w:val="007F41B3"/>
    <w:rsid w:val="007F5ADA"/>
    <w:rsid w:val="00800388"/>
    <w:rsid w:val="0080390F"/>
    <w:rsid w:val="0080558A"/>
    <w:rsid w:val="0080636D"/>
    <w:rsid w:val="00814B95"/>
    <w:rsid w:val="00815703"/>
    <w:rsid w:val="00815DAB"/>
    <w:rsid w:val="008173A1"/>
    <w:rsid w:val="00822D8D"/>
    <w:rsid w:val="00824BFB"/>
    <w:rsid w:val="008274C6"/>
    <w:rsid w:val="00830092"/>
    <w:rsid w:val="008312C8"/>
    <w:rsid w:val="00834501"/>
    <w:rsid w:val="00835F69"/>
    <w:rsid w:val="0083673E"/>
    <w:rsid w:val="008412C1"/>
    <w:rsid w:val="00842924"/>
    <w:rsid w:val="00843078"/>
    <w:rsid w:val="00846B25"/>
    <w:rsid w:val="00853CC1"/>
    <w:rsid w:val="008620F9"/>
    <w:rsid w:val="00864AC5"/>
    <w:rsid w:val="00864F78"/>
    <w:rsid w:val="00867168"/>
    <w:rsid w:val="00871D2A"/>
    <w:rsid w:val="00875393"/>
    <w:rsid w:val="00876601"/>
    <w:rsid w:val="008834DD"/>
    <w:rsid w:val="00883A3A"/>
    <w:rsid w:val="00886832"/>
    <w:rsid w:val="00893100"/>
    <w:rsid w:val="00893699"/>
    <w:rsid w:val="00896B70"/>
    <w:rsid w:val="008A5081"/>
    <w:rsid w:val="008A5E16"/>
    <w:rsid w:val="008A65A5"/>
    <w:rsid w:val="008A7C1F"/>
    <w:rsid w:val="008B624A"/>
    <w:rsid w:val="008C016F"/>
    <w:rsid w:val="008C1071"/>
    <w:rsid w:val="008C414E"/>
    <w:rsid w:val="008D1776"/>
    <w:rsid w:val="008D18FD"/>
    <w:rsid w:val="008E1F85"/>
    <w:rsid w:val="008E28F3"/>
    <w:rsid w:val="008E5870"/>
    <w:rsid w:val="008F0DBC"/>
    <w:rsid w:val="008F3D90"/>
    <w:rsid w:val="008F3E88"/>
    <w:rsid w:val="00905DEE"/>
    <w:rsid w:val="00906EFB"/>
    <w:rsid w:val="00911D03"/>
    <w:rsid w:val="00913F38"/>
    <w:rsid w:val="00914368"/>
    <w:rsid w:val="00920CC2"/>
    <w:rsid w:val="009239A2"/>
    <w:rsid w:val="00923DCD"/>
    <w:rsid w:val="00924CDC"/>
    <w:rsid w:val="00924DFB"/>
    <w:rsid w:val="00926768"/>
    <w:rsid w:val="00927505"/>
    <w:rsid w:val="009308D0"/>
    <w:rsid w:val="00932E66"/>
    <w:rsid w:val="00941CEB"/>
    <w:rsid w:val="00942C8F"/>
    <w:rsid w:val="00945E88"/>
    <w:rsid w:val="0094643F"/>
    <w:rsid w:val="00947715"/>
    <w:rsid w:val="009477CA"/>
    <w:rsid w:val="00951BD2"/>
    <w:rsid w:val="00952ED4"/>
    <w:rsid w:val="009539F6"/>
    <w:rsid w:val="009551BE"/>
    <w:rsid w:val="00961EF9"/>
    <w:rsid w:val="009644CF"/>
    <w:rsid w:val="00965394"/>
    <w:rsid w:val="00972C90"/>
    <w:rsid w:val="00972F1F"/>
    <w:rsid w:val="00975523"/>
    <w:rsid w:val="009758AE"/>
    <w:rsid w:val="00980889"/>
    <w:rsid w:val="00980AC9"/>
    <w:rsid w:val="0098153E"/>
    <w:rsid w:val="00982A5C"/>
    <w:rsid w:val="00983E53"/>
    <w:rsid w:val="00996AB5"/>
    <w:rsid w:val="009A11D5"/>
    <w:rsid w:val="009A50F5"/>
    <w:rsid w:val="009A7463"/>
    <w:rsid w:val="009A77D1"/>
    <w:rsid w:val="009B32F9"/>
    <w:rsid w:val="009B5684"/>
    <w:rsid w:val="009C6388"/>
    <w:rsid w:val="009D2185"/>
    <w:rsid w:val="009E240D"/>
    <w:rsid w:val="009E5515"/>
    <w:rsid w:val="009F6507"/>
    <w:rsid w:val="00A10FAA"/>
    <w:rsid w:val="00A14383"/>
    <w:rsid w:val="00A160D3"/>
    <w:rsid w:val="00A201EF"/>
    <w:rsid w:val="00A2271A"/>
    <w:rsid w:val="00A2483E"/>
    <w:rsid w:val="00A267CE"/>
    <w:rsid w:val="00A27AEE"/>
    <w:rsid w:val="00A31565"/>
    <w:rsid w:val="00A325A0"/>
    <w:rsid w:val="00A332FD"/>
    <w:rsid w:val="00A50280"/>
    <w:rsid w:val="00A507C0"/>
    <w:rsid w:val="00A51B3B"/>
    <w:rsid w:val="00A52B46"/>
    <w:rsid w:val="00A56B71"/>
    <w:rsid w:val="00A57D4F"/>
    <w:rsid w:val="00A602F0"/>
    <w:rsid w:val="00A63BFB"/>
    <w:rsid w:val="00A65AEB"/>
    <w:rsid w:val="00A67E37"/>
    <w:rsid w:val="00A70C5B"/>
    <w:rsid w:val="00A7549C"/>
    <w:rsid w:val="00A75A8A"/>
    <w:rsid w:val="00A81728"/>
    <w:rsid w:val="00A950E4"/>
    <w:rsid w:val="00A97EE1"/>
    <w:rsid w:val="00AA0A58"/>
    <w:rsid w:val="00AB64B3"/>
    <w:rsid w:val="00AB6A98"/>
    <w:rsid w:val="00AC5B9A"/>
    <w:rsid w:val="00AC61E8"/>
    <w:rsid w:val="00AC70BB"/>
    <w:rsid w:val="00AC73C0"/>
    <w:rsid w:val="00AD0625"/>
    <w:rsid w:val="00AD0EB5"/>
    <w:rsid w:val="00AD5F87"/>
    <w:rsid w:val="00AE23E1"/>
    <w:rsid w:val="00B009A6"/>
    <w:rsid w:val="00B00A81"/>
    <w:rsid w:val="00B00DC8"/>
    <w:rsid w:val="00B02F78"/>
    <w:rsid w:val="00B0777A"/>
    <w:rsid w:val="00B0789F"/>
    <w:rsid w:val="00B11362"/>
    <w:rsid w:val="00B115C7"/>
    <w:rsid w:val="00B12AFD"/>
    <w:rsid w:val="00B14A5B"/>
    <w:rsid w:val="00B16EED"/>
    <w:rsid w:val="00B1715F"/>
    <w:rsid w:val="00B23287"/>
    <w:rsid w:val="00B23EDC"/>
    <w:rsid w:val="00B255C1"/>
    <w:rsid w:val="00B270E9"/>
    <w:rsid w:val="00B30A99"/>
    <w:rsid w:val="00B33073"/>
    <w:rsid w:val="00B35B25"/>
    <w:rsid w:val="00B36F3C"/>
    <w:rsid w:val="00B403CA"/>
    <w:rsid w:val="00B4326D"/>
    <w:rsid w:val="00B454DD"/>
    <w:rsid w:val="00B4751B"/>
    <w:rsid w:val="00B51ACD"/>
    <w:rsid w:val="00B62778"/>
    <w:rsid w:val="00B62DF9"/>
    <w:rsid w:val="00B64157"/>
    <w:rsid w:val="00B739ED"/>
    <w:rsid w:val="00B7472C"/>
    <w:rsid w:val="00B74C3D"/>
    <w:rsid w:val="00B75E57"/>
    <w:rsid w:val="00B80028"/>
    <w:rsid w:val="00B8037F"/>
    <w:rsid w:val="00B81886"/>
    <w:rsid w:val="00B821A1"/>
    <w:rsid w:val="00B82592"/>
    <w:rsid w:val="00B92834"/>
    <w:rsid w:val="00B945C5"/>
    <w:rsid w:val="00BA3615"/>
    <w:rsid w:val="00BB20DB"/>
    <w:rsid w:val="00BB4838"/>
    <w:rsid w:val="00BB715E"/>
    <w:rsid w:val="00BC4BCA"/>
    <w:rsid w:val="00BD2CE5"/>
    <w:rsid w:val="00BF17BF"/>
    <w:rsid w:val="00BF7465"/>
    <w:rsid w:val="00C006A3"/>
    <w:rsid w:val="00C00DF7"/>
    <w:rsid w:val="00C01055"/>
    <w:rsid w:val="00C01F91"/>
    <w:rsid w:val="00C13000"/>
    <w:rsid w:val="00C141CC"/>
    <w:rsid w:val="00C15025"/>
    <w:rsid w:val="00C1573C"/>
    <w:rsid w:val="00C15B8F"/>
    <w:rsid w:val="00C17DEB"/>
    <w:rsid w:val="00C202AB"/>
    <w:rsid w:val="00C21DD6"/>
    <w:rsid w:val="00C36451"/>
    <w:rsid w:val="00C37B15"/>
    <w:rsid w:val="00C4770A"/>
    <w:rsid w:val="00C523EF"/>
    <w:rsid w:val="00C5592D"/>
    <w:rsid w:val="00C563F8"/>
    <w:rsid w:val="00C56DD5"/>
    <w:rsid w:val="00C63A5F"/>
    <w:rsid w:val="00C71CEF"/>
    <w:rsid w:val="00C72D27"/>
    <w:rsid w:val="00C751C8"/>
    <w:rsid w:val="00C76251"/>
    <w:rsid w:val="00C77651"/>
    <w:rsid w:val="00C80A85"/>
    <w:rsid w:val="00C83144"/>
    <w:rsid w:val="00C8691D"/>
    <w:rsid w:val="00C87BEB"/>
    <w:rsid w:val="00C92F3A"/>
    <w:rsid w:val="00C93374"/>
    <w:rsid w:val="00C94FDF"/>
    <w:rsid w:val="00C95C85"/>
    <w:rsid w:val="00C9631A"/>
    <w:rsid w:val="00C9660B"/>
    <w:rsid w:val="00CA044E"/>
    <w:rsid w:val="00CA2D57"/>
    <w:rsid w:val="00CC452E"/>
    <w:rsid w:val="00CC5569"/>
    <w:rsid w:val="00CC77F8"/>
    <w:rsid w:val="00CC7B6A"/>
    <w:rsid w:val="00CD3108"/>
    <w:rsid w:val="00CD6A10"/>
    <w:rsid w:val="00CD78F5"/>
    <w:rsid w:val="00CE592B"/>
    <w:rsid w:val="00CE7B86"/>
    <w:rsid w:val="00CF0A5F"/>
    <w:rsid w:val="00CF1E82"/>
    <w:rsid w:val="00CF25E4"/>
    <w:rsid w:val="00D00169"/>
    <w:rsid w:val="00D03DA8"/>
    <w:rsid w:val="00D045CF"/>
    <w:rsid w:val="00D05A40"/>
    <w:rsid w:val="00D103B0"/>
    <w:rsid w:val="00D15CD2"/>
    <w:rsid w:val="00D202FB"/>
    <w:rsid w:val="00D229B3"/>
    <w:rsid w:val="00D27576"/>
    <w:rsid w:val="00D44F06"/>
    <w:rsid w:val="00D46D15"/>
    <w:rsid w:val="00D47AA8"/>
    <w:rsid w:val="00D50BA1"/>
    <w:rsid w:val="00D50FAF"/>
    <w:rsid w:val="00D539CB"/>
    <w:rsid w:val="00D64185"/>
    <w:rsid w:val="00D645E1"/>
    <w:rsid w:val="00D66475"/>
    <w:rsid w:val="00D71790"/>
    <w:rsid w:val="00D72C3E"/>
    <w:rsid w:val="00D73590"/>
    <w:rsid w:val="00D765FC"/>
    <w:rsid w:val="00D81E07"/>
    <w:rsid w:val="00D843DB"/>
    <w:rsid w:val="00D90214"/>
    <w:rsid w:val="00DA12D1"/>
    <w:rsid w:val="00DA1791"/>
    <w:rsid w:val="00DA19FC"/>
    <w:rsid w:val="00DA5329"/>
    <w:rsid w:val="00DB0D49"/>
    <w:rsid w:val="00DB3CB6"/>
    <w:rsid w:val="00DB667F"/>
    <w:rsid w:val="00DC14FC"/>
    <w:rsid w:val="00DC7D18"/>
    <w:rsid w:val="00DD3566"/>
    <w:rsid w:val="00DE0EAD"/>
    <w:rsid w:val="00DE4C0F"/>
    <w:rsid w:val="00DE5AAE"/>
    <w:rsid w:val="00DE67A5"/>
    <w:rsid w:val="00DF395F"/>
    <w:rsid w:val="00DF45D5"/>
    <w:rsid w:val="00DF6F11"/>
    <w:rsid w:val="00E0128E"/>
    <w:rsid w:val="00E01F6F"/>
    <w:rsid w:val="00E04ECA"/>
    <w:rsid w:val="00E153ED"/>
    <w:rsid w:val="00E157F5"/>
    <w:rsid w:val="00E21DDD"/>
    <w:rsid w:val="00E21F5E"/>
    <w:rsid w:val="00E23F35"/>
    <w:rsid w:val="00E27CB8"/>
    <w:rsid w:val="00E31CAF"/>
    <w:rsid w:val="00E31F09"/>
    <w:rsid w:val="00E33B9D"/>
    <w:rsid w:val="00E34A61"/>
    <w:rsid w:val="00E36F88"/>
    <w:rsid w:val="00E4086E"/>
    <w:rsid w:val="00E41922"/>
    <w:rsid w:val="00E4693C"/>
    <w:rsid w:val="00E47B9F"/>
    <w:rsid w:val="00E5050A"/>
    <w:rsid w:val="00E5177C"/>
    <w:rsid w:val="00E62528"/>
    <w:rsid w:val="00E636A7"/>
    <w:rsid w:val="00E6522E"/>
    <w:rsid w:val="00E65521"/>
    <w:rsid w:val="00E67765"/>
    <w:rsid w:val="00E768DF"/>
    <w:rsid w:val="00E85D0F"/>
    <w:rsid w:val="00E867F6"/>
    <w:rsid w:val="00E95560"/>
    <w:rsid w:val="00EA361F"/>
    <w:rsid w:val="00EA4D32"/>
    <w:rsid w:val="00EA5561"/>
    <w:rsid w:val="00EA67EB"/>
    <w:rsid w:val="00EB5753"/>
    <w:rsid w:val="00EB5960"/>
    <w:rsid w:val="00EB5F63"/>
    <w:rsid w:val="00EC3456"/>
    <w:rsid w:val="00EC7B79"/>
    <w:rsid w:val="00EE0820"/>
    <w:rsid w:val="00EE0AA9"/>
    <w:rsid w:val="00EE4FDD"/>
    <w:rsid w:val="00EF02F4"/>
    <w:rsid w:val="00EF3E8D"/>
    <w:rsid w:val="00F02CA3"/>
    <w:rsid w:val="00F02D5B"/>
    <w:rsid w:val="00F034AD"/>
    <w:rsid w:val="00F04412"/>
    <w:rsid w:val="00F17949"/>
    <w:rsid w:val="00F2490E"/>
    <w:rsid w:val="00F36CBC"/>
    <w:rsid w:val="00F41860"/>
    <w:rsid w:val="00F43182"/>
    <w:rsid w:val="00F504E7"/>
    <w:rsid w:val="00F51DDF"/>
    <w:rsid w:val="00F54703"/>
    <w:rsid w:val="00F54832"/>
    <w:rsid w:val="00F56451"/>
    <w:rsid w:val="00F65BE8"/>
    <w:rsid w:val="00F67D3D"/>
    <w:rsid w:val="00F73A52"/>
    <w:rsid w:val="00F759D6"/>
    <w:rsid w:val="00F75F16"/>
    <w:rsid w:val="00F84D89"/>
    <w:rsid w:val="00F8661C"/>
    <w:rsid w:val="00F93E68"/>
    <w:rsid w:val="00F978A7"/>
    <w:rsid w:val="00FA2734"/>
    <w:rsid w:val="00FB0652"/>
    <w:rsid w:val="00FB3C91"/>
    <w:rsid w:val="00FB572F"/>
    <w:rsid w:val="00FC0F22"/>
    <w:rsid w:val="00FC135F"/>
    <w:rsid w:val="00FC3E3E"/>
    <w:rsid w:val="00FC66AE"/>
    <w:rsid w:val="00FD03A4"/>
    <w:rsid w:val="00FD2305"/>
    <w:rsid w:val="00FD59DB"/>
    <w:rsid w:val="00FE423B"/>
    <w:rsid w:val="00FE5DFB"/>
    <w:rsid w:val="00FE619F"/>
    <w:rsid w:val="00FF0018"/>
    <w:rsid w:val="00FF4C35"/>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C58D912"/>
  <w15:docId w15:val="{E2A95EB5-EA74-4D1E-9205-EEECE18E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D18"/>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DC7D18"/>
    <w:pPr>
      <w:autoSpaceDE w:val="0"/>
      <w:autoSpaceDN w:val="0"/>
      <w:adjustRightInd w:val="0"/>
    </w:pPr>
    <w:rPr>
      <w:rFonts w:ascii="Arial" w:hAnsi="Arial" w:cs="Arial"/>
      <w:sz w:val="24"/>
      <w:szCs w:val="24"/>
    </w:rPr>
  </w:style>
  <w:style w:type="paragraph" w:styleId="Header">
    <w:name w:val="header"/>
    <w:basedOn w:val="Normal"/>
    <w:link w:val="HeaderChar"/>
    <w:uiPriority w:val="99"/>
    <w:rsid w:val="00DC7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D18"/>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C7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D18"/>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DC7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C7D18"/>
    <w:rPr>
      <w:rFonts w:ascii="Tahoma" w:eastAsiaTheme="minorHAnsi" w:hAnsi="Tahoma" w:cs="Tahoma"/>
      <w:sz w:val="16"/>
      <w:szCs w:val="16"/>
      <w:lang w:eastAsia="en-US"/>
    </w:rPr>
  </w:style>
  <w:style w:type="character" w:styleId="CommentReference">
    <w:name w:val="annotation reference"/>
    <w:basedOn w:val="DefaultParagraphFont"/>
    <w:rsid w:val="00DC7D18"/>
    <w:rPr>
      <w:sz w:val="16"/>
      <w:szCs w:val="16"/>
    </w:rPr>
  </w:style>
  <w:style w:type="paragraph" w:styleId="CommentText">
    <w:name w:val="annotation text"/>
    <w:basedOn w:val="Normal"/>
    <w:link w:val="CommentTextChar"/>
    <w:rsid w:val="00DC7D18"/>
    <w:pPr>
      <w:spacing w:line="240" w:lineRule="auto"/>
    </w:pPr>
    <w:rPr>
      <w:sz w:val="20"/>
      <w:szCs w:val="20"/>
    </w:rPr>
  </w:style>
  <w:style w:type="character" w:customStyle="1" w:styleId="CommentTextChar">
    <w:name w:val="Comment Text Char"/>
    <w:basedOn w:val="DefaultParagraphFont"/>
    <w:link w:val="CommentText"/>
    <w:rsid w:val="00DC7D1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DC7D18"/>
    <w:rPr>
      <w:b/>
      <w:bCs/>
    </w:rPr>
  </w:style>
  <w:style w:type="character" w:customStyle="1" w:styleId="CommentSubjectChar">
    <w:name w:val="Comment Subject Char"/>
    <w:basedOn w:val="CommentTextChar"/>
    <w:link w:val="CommentSubject"/>
    <w:rsid w:val="00DC7D18"/>
    <w:rPr>
      <w:rFonts w:asciiTheme="minorHAnsi" w:eastAsiaTheme="minorHAnsi" w:hAnsiTheme="minorHAnsi" w:cstheme="minorBidi"/>
      <w:b/>
      <w:bCs/>
      <w:lang w:eastAsia="en-US"/>
    </w:rPr>
  </w:style>
  <w:style w:type="paragraph" w:styleId="ListParagraph">
    <w:name w:val="List Paragraph"/>
    <w:basedOn w:val="Normal"/>
    <w:link w:val="ListParagraphChar"/>
    <w:uiPriority w:val="34"/>
    <w:qFormat/>
    <w:rsid w:val="0052473F"/>
    <w:pPr>
      <w:ind w:left="720"/>
      <w:contextualSpacing/>
    </w:pPr>
  </w:style>
  <w:style w:type="paragraph" w:styleId="NormalWeb">
    <w:name w:val="Normal (Web)"/>
    <w:basedOn w:val="Normal"/>
    <w:uiPriority w:val="99"/>
    <w:unhideWhenUsed/>
    <w:rsid w:val="00906EF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rsid w:val="00C1502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C15025"/>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C15025"/>
  </w:style>
  <w:style w:type="character" w:customStyle="1" w:styleId="ListParagraphChar">
    <w:name w:val="List Paragraph Char"/>
    <w:basedOn w:val="DefaultParagraphFont"/>
    <w:link w:val="ListParagraph"/>
    <w:uiPriority w:val="34"/>
    <w:locked/>
    <w:rsid w:val="00285031"/>
    <w:rPr>
      <w:rFonts w:asciiTheme="minorHAnsi" w:eastAsiaTheme="minorHAnsi" w:hAnsiTheme="minorHAnsi" w:cstheme="minorBidi"/>
      <w:sz w:val="22"/>
      <w:szCs w:val="22"/>
      <w:lang w:eastAsia="en-US"/>
    </w:rPr>
  </w:style>
  <w:style w:type="paragraph" w:styleId="TOC3">
    <w:name w:val="toc 3"/>
    <w:basedOn w:val="Normal"/>
    <w:next w:val="Normal"/>
    <w:autoRedefine/>
    <w:uiPriority w:val="39"/>
    <w:rsid w:val="00C523EF"/>
    <w:pPr>
      <w:tabs>
        <w:tab w:val="left" w:pos="567"/>
        <w:tab w:val="right" w:leader="dot" w:pos="8636"/>
      </w:tabs>
      <w:spacing w:after="0" w:line="240" w:lineRule="auto"/>
      <w:ind w:left="567"/>
      <w:contextualSpacing/>
    </w:pPr>
    <w:rPr>
      <w:rFonts w:ascii="Times" w:eastAsia="SimSun" w:hAnsi="Times" w:cs="Times"/>
      <w:b/>
      <w:noProof/>
      <w:color w:val="000000"/>
      <w:sz w:val="24"/>
      <w:szCs w:val="24"/>
      <w:lang w:eastAsia="zh-CN"/>
    </w:rPr>
  </w:style>
  <w:style w:type="paragraph" w:customStyle="1" w:styleId="Tablea">
    <w:name w:val="Table(a)"/>
    <w:aliases w:val="ta"/>
    <w:basedOn w:val="Normal"/>
    <w:rsid w:val="00D202FB"/>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D202F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D202FB"/>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7983">
      <w:bodyDiv w:val="1"/>
      <w:marLeft w:val="0"/>
      <w:marRight w:val="0"/>
      <w:marTop w:val="0"/>
      <w:marBottom w:val="0"/>
      <w:divBdr>
        <w:top w:val="none" w:sz="0" w:space="0" w:color="auto"/>
        <w:left w:val="none" w:sz="0" w:space="0" w:color="auto"/>
        <w:bottom w:val="none" w:sz="0" w:space="0" w:color="auto"/>
        <w:right w:val="none" w:sz="0" w:space="0" w:color="auto"/>
      </w:divBdr>
    </w:div>
    <w:div w:id="491142125">
      <w:bodyDiv w:val="1"/>
      <w:marLeft w:val="0"/>
      <w:marRight w:val="0"/>
      <w:marTop w:val="0"/>
      <w:marBottom w:val="0"/>
      <w:divBdr>
        <w:top w:val="none" w:sz="0" w:space="0" w:color="auto"/>
        <w:left w:val="none" w:sz="0" w:space="0" w:color="auto"/>
        <w:bottom w:val="none" w:sz="0" w:space="0" w:color="auto"/>
        <w:right w:val="none" w:sz="0" w:space="0" w:color="auto"/>
      </w:divBdr>
      <w:divsChild>
        <w:div w:id="933630948">
          <w:marLeft w:val="0"/>
          <w:marRight w:val="0"/>
          <w:marTop w:val="0"/>
          <w:marBottom w:val="0"/>
          <w:divBdr>
            <w:top w:val="none" w:sz="0" w:space="0" w:color="auto"/>
            <w:left w:val="none" w:sz="0" w:space="0" w:color="auto"/>
            <w:bottom w:val="none" w:sz="0" w:space="0" w:color="auto"/>
            <w:right w:val="none" w:sz="0" w:space="0" w:color="auto"/>
          </w:divBdr>
          <w:divsChild>
            <w:div w:id="592784629">
              <w:marLeft w:val="0"/>
              <w:marRight w:val="0"/>
              <w:marTop w:val="0"/>
              <w:marBottom w:val="0"/>
              <w:divBdr>
                <w:top w:val="none" w:sz="0" w:space="0" w:color="auto"/>
                <w:left w:val="none" w:sz="0" w:space="0" w:color="auto"/>
                <w:bottom w:val="none" w:sz="0" w:space="0" w:color="auto"/>
                <w:right w:val="none" w:sz="0" w:space="0" w:color="auto"/>
              </w:divBdr>
              <w:divsChild>
                <w:div w:id="838034887">
                  <w:marLeft w:val="0"/>
                  <w:marRight w:val="0"/>
                  <w:marTop w:val="0"/>
                  <w:marBottom w:val="0"/>
                  <w:divBdr>
                    <w:top w:val="none" w:sz="0" w:space="0" w:color="auto"/>
                    <w:left w:val="none" w:sz="0" w:space="0" w:color="auto"/>
                    <w:bottom w:val="none" w:sz="0" w:space="0" w:color="auto"/>
                    <w:right w:val="none" w:sz="0" w:space="0" w:color="auto"/>
                  </w:divBdr>
                  <w:divsChild>
                    <w:div w:id="1190291011">
                      <w:marLeft w:val="0"/>
                      <w:marRight w:val="0"/>
                      <w:marTop w:val="0"/>
                      <w:marBottom w:val="0"/>
                      <w:divBdr>
                        <w:top w:val="none" w:sz="0" w:space="0" w:color="auto"/>
                        <w:left w:val="none" w:sz="0" w:space="0" w:color="auto"/>
                        <w:bottom w:val="none" w:sz="0" w:space="0" w:color="auto"/>
                        <w:right w:val="none" w:sz="0" w:space="0" w:color="auto"/>
                      </w:divBdr>
                      <w:divsChild>
                        <w:div w:id="608196613">
                          <w:marLeft w:val="0"/>
                          <w:marRight w:val="0"/>
                          <w:marTop w:val="0"/>
                          <w:marBottom w:val="0"/>
                          <w:divBdr>
                            <w:top w:val="none" w:sz="0" w:space="0" w:color="auto"/>
                            <w:left w:val="none" w:sz="0" w:space="0" w:color="auto"/>
                            <w:bottom w:val="none" w:sz="0" w:space="0" w:color="auto"/>
                            <w:right w:val="none" w:sz="0" w:space="0" w:color="auto"/>
                          </w:divBdr>
                          <w:divsChild>
                            <w:div w:id="1961496251">
                              <w:marLeft w:val="0"/>
                              <w:marRight w:val="0"/>
                              <w:marTop w:val="0"/>
                              <w:marBottom w:val="0"/>
                              <w:divBdr>
                                <w:top w:val="none" w:sz="0" w:space="0" w:color="auto"/>
                                <w:left w:val="none" w:sz="0" w:space="0" w:color="auto"/>
                                <w:bottom w:val="none" w:sz="0" w:space="0" w:color="auto"/>
                                <w:right w:val="none" w:sz="0" w:space="0" w:color="auto"/>
                              </w:divBdr>
                              <w:divsChild>
                                <w:div w:id="579560221">
                                  <w:marLeft w:val="0"/>
                                  <w:marRight w:val="0"/>
                                  <w:marTop w:val="0"/>
                                  <w:marBottom w:val="0"/>
                                  <w:divBdr>
                                    <w:top w:val="none" w:sz="0" w:space="0" w:color="auto"/>
                                    <w:left w:val="none" w:sz="0" w:space="0" w:color="auto"/>
                                    <w:bottom w:val="none" w:sz="0" w:space="0" w:color="auto"/>
                                    <w:right w:val="none" w:sz="0" w:space="0" w:color="auto"/>
                                  </w:divBdr>
                                  <w:divsChild>
                                    <w:div w:id="2083868421">
                                      <w:marLeft w:val="0"/>
                                      <w:marRight w:val="0"/>
                                      <w:marTop w:val="0"/>
                                      <w:marBottom w:val="0"/>
                                      <w:divBdr>
                                        <w:top w:val="none" w:sz="0" w:space="0" w:color="auto"/>
                                        <w:left w:val="none" w:sz="0" w:space="0" w:color="auto"/>
                                        <w:bottom w:val="none" w:sz="0" w:space="0" w:color="auto"/>
                                        <w:right w:val="none" w:sz="0" w:space="0" w:color="auto"/>
                                      </w:divBdr>
                                      <w:divsChild>
                                        <w:div w:id="834759961">
                                          <w:marLeft w:val="0"/>
                                          <w:marRight w:val="0"/>
                                          <w:marTop w:val="0"/>
                                          <w:marBottom w:val="0"/>
                                          <w:divBdr>
                                            <w:top w:val="none" w:sz="0" w:space="0" w:color="auto"/>
                                            <w:left w:val="none" w:sz="0" w:space="0" w:color="auto"/>
                                            <w:bottom w:val="none" w:sz="0" w:space="0" w:color="auto"/>
                                            <w:right w:val="none" w:sz="0" w:space="0" w:color="auto"/>
                                          </w:divBdr>
                                          <w:divsChild>
                                            <w:div w:id="218828495">
                                              <w:marLeft w:val="0"/>
                                              <w:marRight w:val="0"/>
                                              <w:marTop w:val="0"/>
                                              <w:marBottom w:val="0"/>
                                              <w:divBdr>
                                                <w:top w:val="none" w:sz="0" w:space="0" w:color="auto"/>
                                                <w:left w:val="none" w:sz="0" w:space="0" w:color="auto"/>
                                                <w:bottom w:val="none" w:sz="0" w:space="0" w:color="auto"/>
                                                <w:right w:val="none" w:sz="0" w:space="0" w:color="auto"/>
                                              </w:divBdr>
                                              <w:divsChild>
                                                <w:div w:id="994182405">
                                                  <w:marLeft w:val="0"/>
                                                  <w:marRight w:val="0"/>
                                                  <w:marTop w:val="0"/>
                                                  <w:marBottom w:val="0"/>
                                                  <w:divBdr>
                                                    <w:top w:val="none" w:sz="0" w:space="0" w:color="auto"/>
                                                    <w:left w:val="none" w:sz="0" w:space="0" w:color="auto"/>
                                                    <w:bottom w:val="none" w:sz="0" w:space="0" w:color="auto"/>
                                                    <w:right w:val="none" w:sz="0" w:space="0" w:color="auto"/>
                                                  </w:divBdr>
                                                  <w:divsChild>
                                                    <w:div w:id="1138646541">
                                                      <w:marLeft w:val="0"/>
                                                      <w:marRight w:val="0"/>
                                                      <w:marTop w:val="0"/>
                                                      <w:marBottom w:val="0"/>
                                                      <w:divBdr>
                                                        <w:top w:val="none" w:sz="0" w:space="0" w:color="auto"/>
                                                        <w:left w:val="none" w:sz="0" w:space="0" w:color="auto"/>
                                                        <w:bottom w:val="none" w:sz="0" w:space="0" w:color="auto"/>
                                                        <w:right w:val="none" w:sz="0" w:space="0" w:color="auto"/>
                                                      </w:divBdr>
                                                      <w:divsChild>
                                                        <w:div w:id="16888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9689108">
      <w:bodyDiv w:val="1"/>
      <w:marLeft w:val="0"/>
      <w:marRight w:val="0"/>
      <w:marTop w:val="0"/>
      <w:marBottom w:val="0"/>
      <w:divBdr>
        <w:top w:val="none" w:sz="0" w:space="0" w:color="auto"/>
        <w:left w:val="none" w:sz="0" w:space="0" w:color="auto"/>
        <w:bottom w:val="none" w:sz="0" w:space="0" w:color="auto"/>
        <w:right w:val="none" w:sz="0" w:space="0" w:color="auto"/>
      </w:divBdr>
    </w:div>
    <w:div w:id="1561288341">
      <w:bodyDiv w:val="1"/>
      <w:marLeft w:val="0"/>
      <w:marRight w:val="0"/>
      <w:marTop w:val="0"/>
      <w:marBottom w:val="0"/>
      <w:divBdr>
        <w:top w:val="none" w:sz="0" w:space="0" w:color="auto"/>
        <w:left w:val="none" w:sz="0" w:space="0" w:color="auto"/>
        <w:bottom w:val="none" w:sz="0" w:space="0" w:color="auto"/>
        <w:right w:val="none" w:sz="0" w:space="0" w:color="auto"/>
      </w:divBdr>
    </w:div>
    <w:div w:id="1653558411">
      <w:bodyDiv w:val="1"/>
      <w:marLeft w:val="0"/>
      <w:marRight w:val="0"/>
      <w:marTop w:val="0"/>
      <w:marBottom w:val="0"/>
      <w:divBdr>
        <w:top w:val="none" w:sz="0" w:space="0" w:color="auto"/>
        <w:left w:val="none" w:sz="0" w:space="0" w:color="auto"/>
        <w:bottom w:val="none" w:sz="0" w:space="0" w:color="auto"/>
        <w:right w:val="none" w:sz="0" w:space="0" w:color="auto"/>
      </w:divBdr>
      <w:divsChild>
        <w:div w:id="1835296449">
          <w:marLeft w:val="0"/>
          <w:marRight w:val="0"/>
          <w:marTop w:val="0"/>
          <w:marBottom w:val="0"/>
          <w:divBdr>
            <w:top w:val="none" w:sz="0" w:space="0" w:color="auto"/>
            <w:left w:val="none" w:sz="0" w:space="0" w:color="auto"/>
            <w:bottom w:val="none" w:sz="0" w:space="0" w:color="auto"/>
            <w:right w:val="none" w:sz="0" w:space="0" w:color="auto"/>
          </w:divBdr>
          <w:divsChild>
            <w:div w:id="7602250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0372737">
      <w:bodyDiv w:val="1"/>
      <w:marLeft w:val="0"/>
      <w:marRight w:val="0"/>
      <w:marTop w:val="0"/>
      <w:marBottom w:val="0"/>
      <w:divBdr>
        <w:top w:val="none" w:sz="0" w:space="0" w:color="auto"/>
        <w:left w:val="none" w:sz="0" w:space="0" w:color="auto"/>
        <w:bottom w:val="none" w:sz="0" w:space="0" w:color="auto"/>
        <w:right w:val="none" w:sz="0" w:space="0" w:color="auto"/>
      </w:divBdr>
      <w:divsChild>
        <w:div w:id="337316897">
          <w:marLeft w:val="0"/>
          <w:marRight w:val="0"/>
          <w:marTop w:val="0"/>
          <w:marBottom w:val="0"/>
          <w:divBdr>
            <w:top w:val="none" w:sz="0" w:space="0" w:color="auto"/>
            <w:left w:val="none" w:sz="0" w:space="0" w:color="auto"/>
            <w:bottom w:val="none" w:sz="0" w:space="0" w:color="auto"/>
            <w:right w:val="none" w:sz="0" w:space="0" w:color="auto"/>
          </w:divBdr>
          <w:divsChild>
            <w:div w:id="494953353">
              <w:marLeft w:val="0"/>
              <w:marRight w:val="0"/>
              <w:marTop w:val="0"/>
              <w:marBottom w:val="0"/>
              <w:divBdr>
                <w:top w:val="none" w:sz="0" w:space="0" w:color="auto"/>
                <w:left w:val="none" w:sz="0" w:space="0" w:color="auto"/>
                <w:bottom w:val="none" w:sz="0" w:space="0" w:color="auto"/>
                <w:right w:val="none" w:sz="0" w:space="0" w:color="auto"/>
              </w:divBdr>
              <w:divsChild>
                <w:div w:id="590047860">
                  <w:marLeft w:val="0"/>
                  <w:marRight w:val="0"/>
                  <w:marTop w:val="0"/>
                  <w:marBottom w:val="0"/>
                  <w:divBdr>
                    <w:top w:val="none" w:sz="0" w:space="0" w:color="auto"/>
                    <w:left w:val="none" w:sz="0" w:space="0" w:color="auto"/>
                    <w:bottom w:val="none" w:sz="0" w:space="0" w:color="auto"/>
                    <w:right w:val="none" w:sz="0" w:space="0" w:color="auto"/>
                  </w:divBdr>
                  <w:divsChild>
                    <w:div w:id="1310281127">
                      <w:marLeft w:val="0"/>
                      <w:marRight w:val="0"/>
                      <w:marTop w:val="0"/>
                      <w:marBottom w:val="0"/>
                      <w:divBdr>
                        <w:top w:val="none" w:sz="0" w:space="0" w:color="auto"/>
                        <w:left w:val="none" w:sz="0" w:space="0" w:color="auto"/>
                        <w:bottom w:val="none" w:sz="0" w:space="0" w:color="auto"/>
                        <w:right w:val="none" w:sz="0" w:space="0" w:color="auto"/>
                      </w:divBdr>
                      <w:divsChild>
                        <w:div w:id="1648624642">
                          <w:marLeft w:val="0"/>
                          <w:marRight w:val="0"/>
                          <w:marTop w:val="0"/>
                          <w:marBottom w:val="0"/>
                          <w:divBdr>
                            <w:top w:val="none" w:sz="0" w:space="0" w:color="auto"/>
                            <w:left w:val="none" w:sz="0" w:space="0" w:color="auto"/>
                            <w:bottom w:val="none" w:sz="0" w:space="0" w:color="auto"/>
                            <w:right w:val="none" w:sz="0" w:space="0" w:color="auto"/>
                          </w:divBdr>
                          <w:divsChild>
                            <w:div w:id="405346398">
                              <w:marLeft w:val="0"/>
                              <w:marRight w:val="0"/>
                              <w:marTop w:val="0"/>
                              <w:marBottom w:val="0"/>
                              <w:divBdr>
                                <w:top w:val="none" w:sz="0" w:space="0" w:color="auto"/>
                                <w:left w:val="none" w:sz="0" w:space="0" w:color="auto"/>
                                <w:bottom w:val="none" w:sz="0" w:space="0" w:color="auto"/>
                                <w:right w:val="none" w:sz="0" w:space="0" w:color="auto"/>
                              </w:divBdr>
                              <w:divsChild>
                                <w:div w:id="1497845633">
                                  <w:marLeft w:val="0"/>
                                  <w:marRight w:val="0"/>
                                  <w:marTop w:val="0"/>
                                  <w:marBottom w:val="0"/>
                                  <w:divBdr>
                                    <w:top w:val="none" w:sz="0" w:space="0" w:color="auto"/>
                                    <w:left w:val="none" w:sz="0" w:space="0" w:color="auto"/>
                                    <w:bottom w:val="none" w:sz="0" w:space="0" w:color="auto"/>
                                    <w:right w:val="none" w:sz="0" w:space="0" w:color="auto"/>
                                  </w:divBdr>
                                  <w:divsChild>
                                    <w:div w:id="1725181420">
                                      <w:marLeft w:val="0"/>
                                      <w:marRight w:val="0"/>
                                      <w:marTop w:val="0"/>
                                      <w:marBottom w:val="0"/>
                                      <w:divBdr>
                                        <w:top w:val="none" w:sz="0" w:space="0" w:color="auto"/>
                                        <w:left w:val="none" w:sz="0" w:space="0" w:color="auto"/>
                                        <w:bottom w:val="none" w:sz="0" w:space="0" w:color="auto"/>
                                        <w:right w:val="none" w:sz="0" w:space="0" w:color="auto"/>
                                      </w:divBdr>
                                      <w:divsChild>
                                        <w:div w:id="2094278451">
                                          <w:marLeft w:val="0"/>
                                          <w:marRight w:val="0"/>
                                          <w:marTop w:val="0"/>
                                          <w:marBottom w:val="0"/>
                                          <w:divBdr>
                                            <w:top w:val="none" w:sz="0" w:space="0" w:color="auto"/>
                                            <w:left w:val="none" w:sz="0" w:space="0" w:color="auto"/>
                                            <w:bottom w:val="none" w:sz="0" w:space="0" w:color="auto"/>
                                            <w:right w:val="none" w:sz="0" w:space="0" w:color="auto"/>
                                          </w:divBdr>
                                          <w:divsChild>
                                            <w:div w:id="620571080">
                                              <w:marLeft w:val="0"/>
                                              <w:marRight w:val="0"/>
                                              <w:marTop w:val="0"/>
                                              <w:marBottom w:val="0"/>
                                              <w:divBdr>
                                                <w:top w:val="none" w:sz="0" w:space="0" w:color="auto"/>
                                                <w:left w:val="none" w:sz="0" w:space="0" w:color="auto"/>
                                                <w:bottom w:val="none" w:sz="0" w:space="0" w:color="auto"/>
                                                <w:right w:val="none" w:sz="0" w:space="0" w:color="auto"/>
                                              </w:divBdr>
                                              <w:divsChild>
                                                <w:div w:id="187646238">
                                                  <w:marLeft w:val="0"/>
                                                  <w:marRight w:val="0"/>
                                                  <w:marTop w:val="0"/>
                                                  <w:marBottom w:val="0"/>
                                                  <w:divBdr>
                                                    <w:top w:val="none" w:sz="0" w:space="0" w:color="auto"/>
                                                    <w:left w:val="none" w:sz="0" w:space="0" w:color="auto"/>
                                                    <w:bottom w:val="none" w:sz="0" w:space="0" w:color="auto"/>
                                                    <w:right w:val="none" w:sz="0" w:space="0" w:color="auto"/>
                                                  </w:divBdr>
                                                  <w:divsChild>
                                                    <w:div w:id="1700470586">
                                                      <w:marLeft w:val="0"/>
                                                      <w:marRight w:val="0"/>
                                                      <w:marTop w:val="0"/>
                                                      <w:marBottom w:val="0"/>
                                                      <w:divBdr>
                                                        <w:top w:val="none" w:sz="0" w:space="0" w:color="auto"/>
                                                        <w:left w:val="none" w:sz="0" w:space="0" w:color="auto"/>
                                                        <w:bottom w:val="none" w:sz="0" w:space="0" w:color="auto"/>
                                                        <w:right w:val="none" w:sz="0" w:space="0" w:color="auto"/>
                                                      </w:divBdr>
                                                      <w:divsChild>
                                                        <w:div w:id="16483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SecurityClassification xmlns="33699036-3951-4CA5-910A-014513B8E024" xsi:nil="true"/>
    <SecurityClassification xmlns="33699036-3951-4CA5-910A-014513B8E024" xsi:nil="true"/>
    <pdms_Reason xmlns="33699036-3951-4CA5-910A-014513B8E024" xsi:nil="true"/>
    <pdms_DocumentType xmlns="33699036-3951-4CA5-910A-014513B8E024" xsi:nil="true"/>
    <pdms_AttachedBy xmlns="33699036-3951-4CA5-910A-014513B8E0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E94321ABA4CE6459900EF0370E20135" ma:contentTypeVersion="" ma:contentTypeDescription="PDMS Documentation Content Type" ma:contentTypeScope="" ma:versionID="4576a5d7d7362d5831179df97787bb6c">
  <xsd:schema xmlns:xsd="http://www.w3.org/2001/XMLSchema" xmlns:xs="http://www.w3.org/2001/XMLSchema" xmlns:p="http://schemas.microsoft.com/office/2006/metadata/properties" xmlns:ns2="33699036-3951-4CA5-910A-014513B8E024" targetNamespace="http://schemas.microsoft.com/office/2006/metadata/properties" ma:root="true" ma:fieldsID="9aabdcec668eb26a30b1f77c06d5571d" ns2:_="">
    <xsd:import namespace="33699036-3951-4CA5-910A-014513B8E024"/>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99036-3951-4CA5-910A-014513B8E0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FEA9A-2AC5-494A-A6B0-DABA66A64AAF}">
  <ds:schemaRefs>
    <ds:schemaRef ds:uri="http://schemas.microsoft.com/sharepoint/v3/contenttype/forms"/>
  </ds:schemaRefs>
</ds:datastoreItem>
</file>

<file path=customXml/itemProps2.xml><?xml version="1.0" encoding="utf-8"?>
<ds:datastoreItem xmlns:ds="http://schemas.openxmlformats.org/officeDocument/2006/customXml" ds:itemID="{9DBA4B2B-071A-49CC-9361-9C4FE27947A8}">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 ds:uri="33699036-3951-4CA5-910A-014513B8E02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AD0B1EA-7A1D-41AB-9ACB-1CCCB64D0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99036-3951-4CA5-910A-014513B8E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B42A0-50FF-46F2-B1AC-48787887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7</Pages>
  <Words>1511</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imccormi</dc:creator>
  <cp:lastModifiedBy>Gee, Stephen</cp:lastModifiedBy>
  <cp:revision>13</cp:revision>
  <cp:lastPrinted>2016-09-28T03:05:00Z</cp:lastPrinted>
  <dcterms:created xsi:type="dcterms:W3CDTF">2018-12-06T21:54:00Z</dcterms:created>
  <dcterms:modified xsi:type="dcterms:W3CDTF">2018-12-10T00:48:00Z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397a6ce7-37c1-41a5-89a0-eddd6e81ca4d</vt:lpwstr>
  </property>
  <property fmtid="{D5CDD505-2E9C-101B-9397-08002B2CF9AE}" pid="3" name="ContentTypeId">
    <vt:lpwstr>0x010100266966F133664895A6EE3632470D45F501004E94321ABA4CE6459900EF0370E20135</vt:lpwstr>
  </property>
  <property fmtid="{D5CDD505-2E9C-101B-9397-08002B2CF9AE}" pid="4" name="SEC">
    <vt:lpwstr>No Security Classification Required</vt:lpwstr>
  </property>
  <property fmtid="{D5CDD505-2E9C-101B-9397-08002B2CF9AE}" pid="5" name="DLM">
    <vt:lpwstr>SensitiveLegal</vt:lpwstr>
  </property>
</Properties>
</file>