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633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70A022" wp14:editId="5DBC157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0449" w14:textId="77777777" w:rsidR="00715914" w:rsidRPr="00E500D4" w:rsidRDefault="00715914" w:rsidP="00715914">
      <w:pPr>
        <w:rPr>
          <w:sz w:val="19"/>
        </w:rPr>
      </w:pPr>
    </w:p>
    <w:p w14:paraId="3A74385D" w14:textId="66595E4C" w:rsidR="00715914" w:rsidRPr="00E500D4" w:rsidRDefault="00A85002" w:rsidP="00715914">
      <w:pPr>
        <w:pStyle w:val="ShortT"/>
      </w:pPr>
      <w:r>
        <w:t>Migration</w:t>
      </w:r>
      <w:r w:rsidR="0038049F" w:rsidRPr="00DA182D">
        <w:t xml:space="preserve"> </w:t>
      </w:r>
      <w:r w:rsidR="0038049F" w:rsidRPr="00A85002">
        <w:t>(</w:t>
      </w:r>
      <w:r w:rsidR="00176A3B">
        <w:t>LIN</w:t>
      </w:r>
      <w:r w:rsidRPr="00A85002">
        <w:t xml:space="preserve"> 1</w:t>
      </w:r>
      <w:r w:rsidR="00176A3B">
        <w:t>8</w:t>
      </w:r>
      <w:r w:rsidRPr="00A85002">
        <w:t>/</w:t>
      </w:r>
      <w:r w:rsidR="00953A96">
        <w:t>219</w:t>
      </w:r>
      <w:r w:rsidRPr="00A85002">
        <w:t xml:space="preserve">: Determination of International Trade Obligations </w:t>
      </w:r>
      <w:r w:rsidR="00662F7E">
        <w:t>R</w:t>
      </w:r>
      <w:r w:rsidRPr="00A85002">
        <w:t>elating to Labour Market Testing</w:t>
      </w:r>
      <w:r w:rsidR="0038049F" w:rsidRPr="00A85002">
        <w:t xml:space="preserve">) Instrument </w:t>
      </w:r>
      <w:r w:rsidRPr="00A85002">
        <w:t>201</w:t>
      </w:r>
      <w:r w:rsidR="00176A3B">
        <w:t>8</w:t>
      </w:r>
    </w:p>
    <w:p w14:paraId="3D6E253F" w14:textId="42703BFC" w:rsidR="00953A96" w:rsidRPr="00A85002" w:rsidRDefault="00953A96" w:rsidP="00953A96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David Coleman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Minister for </w:t>
      </w:r>
      <w:r w:rsidRPr="009E2664">
        <w:rPr>
          <w:szCs w:val="22"/>
        </w:rPr>
        <w:t>Immigration, Citizenship and Multicultural Affa</w:t>
      </w:r>
      <w:r>
        <w:rPr>
          <w:szCs w:val="22"/>
        </w:rPr>
        <w:t>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E57822">
        <w:rPr>
          <w:szCs w:val="22"/>
        </w:rPr>
        <w:t xml:space="preserve">following </w:t>
      </w:r>
      <w:r w:rsidR="006549E0">
        <w:rPr>
          <w:szCs w:val="22"/>
        </w:rPr>
        <w:t xml:space="preserve">legislative </w:t>
      </w:r>
      <w:r w:rsidRPr="00E57822">
        <w:rPr>
          <w:szCs w:val="22"/>
        </w:rPr>
        <w:t>instrument.</w:t>
      </w:r>
    </w:p>
    <w:p w14:paraId="4597B1D6" w14:textId="549C001B" w:rsidR="00953A96" w:rsidRPr="00001A63" w:rsidRDefault="00953A96" w:rsidP="00953A96">
      <w:pPr>
        <w:keepNext/>
        <w:spacing w:before="300" w:line="240" w:lineRule="atLeast"/>
        <w:ind w:right="397"/>
        <w:jc w:val="both"/>
        <w:rPr>
          <w:szCs w:val="22"/>
        </w:rPr>
      </w:pPr>
      <w:r w:rsidRPr="00A85002">
        <w:rPr>
          <w:szCs w:val="22"/>
        </w:rPr>
        <w:t>Dated</w:t>
      </w:r>
      <w:r w:rsidR="00113E2B">
        <w:rPr>
          <w:szCs w:val="22"/>
        </w:rPr>
        <w:tab/>
        <w:t>13/12/18</w:t>
      </w:r>
    </w:p>
    <w:p w14:paraId="0F7A83AF" w14:textId="143057EB" w:rsidR="00113E2B" w:rsidRDefault="00113E2B" w:rsidP="00953A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David Coleman</w:t>
      </w:r>
    </w:p>
    <w:p w14:paraId="678E3150" w14:textId="7FBCF7C7" w:rsidR="00953A96" w:rsidRPr="008D0754" w:rsidRDefault="006549E0" w:rsidP="00113E2B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345AF4">
        <w:rPr>
          <w:szCs w:val="22"/>
        </w:rPr>
        <w:t>T</w:t>
      </w:r>
      <w:r w:rsidR="00B43806">
        <w:rPr>
          <w:szCs w:val="22"/>
        </w:rPr>
        <w:t>he Hon David Coleman MP</w:t>
      </w:r>
      <w:r w:rsidRPr="00345AF4">
        <w:rPr>
          <w:szCs w:val="22"/>
        </w:rPr>
        <w:t xml:space="preserve"> </w:t>
      </w:r>
    </w:p>
    <w:p w14:paraId="5506AA58" w14:textId="77777777" w:rsidR="00953A96" w:rsidRPr="008E0027" w:rsidRDefault="00953A96" w:rsidP="00953A96">
      <w:pPr>
        <w:pStyle w:val="SignCoverPageEnd"/>
        <w:rPr>
          <w:sz w:val="22"/>
        </w:rPr>
      </w:pPr>
      <w:r>
        <w:rPr>
          <w:szCs w:val="22"/>
        </w:rPr>
        <w:t xml:space="preserve">Minister for </w:t>
      </w:r>
      <w:r w:rsidRPr="003B496B">
        <w:rPr>
          <w:sz w:val="22"/>
          <w:szCs w:val="22"/>
        </w:rPr>
        <w:t>Immigration,</w:t>
      </w:r>
      <w:bookmarkStart w:id="0" w:name="_GoBack"/>
      <w:bookmarkEnd w:id="0"/>
      <w:r w:rsidRPr="003B496B">
        <w:rPr>
          <w:sz w:val="22"/>
          <w:szCs w:val="22"/>
        </w:rPr>
        <w:t xml:space="preserve"> Citi</w:t>
      </w:r>
      <w:r>
        <w:rPr>
          <w:sz w:val="22"/>
          <w:szCs w:val="22"/>
        </w:rPr>
        <w:t>zenship and Multicultural Aff</w:t>
      </w:r>
      <w:r>
        <w:rPr>
          <w:szCs w:val="22"/>
        </w:rPr>
        <w:t>airs</w:t>
      </w:r>
      <w:r w:rsidRPr="008E0027">
        <w:rPr>
          <w:sz w:val="22"/>
          <w:highlight w:val="yellow"/>
        </w:rPr>
        <w:t xml:space="preserve"> </w:t>
      </w:r>
    </w:p>
    <w:p w14:paraId="07154578" w14:textId="77777777" w:rsidR="00F6696E" w:rsidRDefault="00F6696E" w:rsidP="00F6696E"/>
    <w:p w14:paraId="5616D00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43788A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82BFB8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4951C178" w14:textId="3A757C91" w:rsidR="00345AF4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345AF4" w:rsidRPr="00B96D80">
        <w:rPr>
          <w:noProof/>
        </w:rPr>
        <w:t>Part 1 – Preliminary</w:t>
      </w:r>
      <w:r w:rsidR="00345AF4">
        <w:rPr>
          <w:noProof/>
        </w:rPr>
        <w:tab/>
      </w:r>
      <w:r w:rsidR="00345AF4">
        <w:rPr>
          <w:noProof/>
        </w:rPr>
        <w:fldChar w:fldCharType="begin"/>
      </w:r>
      <w:r w:rsidR="00345AF4">
        <w:rPr>
          <w:noProof/>
        </w:rPr>
        <w:instrText xml:space="preserve"> PAGEREF _Toc529450214 \h </w:instrText>
      </w:r>
      <w:r w:rsidR="00345AF4">
        <w:rPr>
          <w:noProof/>
        </w:rPr>
      </w:r>
      <w:r w:rsidR="00345AF4">
        <w:rPr>
          <w:noProof/>
        </w:rPr>
        <w:fldChar w:fldCharType="separate"/>
      </w:r>
      <w:r w:rsidR="00AE5884">
        <w:rPr>
          <w:noProof/>
        </w:rPr>
        <w:t>1</w:t>
      </w:r>
      <w:r w:rsidR="00345AF4">
        <w:rPr>
          <w:noProof/>
        </w:rPr>
        <w:fldChar w:fldCharType="end"/>
      </w:r>
    </w:p>
    <w:p w14:paraId="6077E385" w14:textId="3C9E5A37" w:rsidR="00345AF4" w:rsidRDefault="00345A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_Toc529450215 \h </w:instrText>
      </w:r>
      <w:r>
        <w:rPr>
          <w:noProof/>
        </w:rPr>
      </w:r>
      <w:r>
        <w:rPr>
          <w:noProof/>
        </w:rPr>
        <w:fldChar w:fldCharType="separate"/>
      </w:r>
      <w:r w:rsidR="00AE5884">
        <w:rPr>
          <w:noProof/>
        </w:rPr>
        <w:t>1</w:t>
      </w:r>
      <w:r>
        <w:rPr>
          <w:noProof/>
        </w:rPr>
        <w:fldChar w:fldCharType="end"/>
      </w:r>
    </w:p>
    <w:p w14:paraId="726057BB" w14:textId="3A5C8B15" w:rsidR="00345AF4" w:rsidRDefault="00345A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_Toc529450216 \h </w:instrText>
      </w:r>
      <w:r>
        <w:rPr>
          <w:noProof/>
        </w:rPr>
      </w:r>
      <w:r>
        <w:rPr>
          <w:noProof/>
        </w:rPr>
        <w:fldChar w:fldCharType="separate"/>
      </w:r>
      <w:r w:rsidR="00AE5884">
        <w:rPr>
          <w:noProof/>
        </w:rPr>
        <w:t>1</w:t>
      </w:r>
      <w:r>
        <w:rPr>
          <w:noProof/>
        </w:rPr>
        <w:fldChar w:fldCharType="end"/>
      </w:r>
    </w:p>
    <w:p w14:paraId="751288C8" w14:textId="28B7A2C9" w:rsidR="00345AF4" w:rsidRDefault="00345A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_Toc529450217 \h </w:instrText>
      </w:r>
      <w:r>
        <w:rPr>
          <w:noProof/>
        </w:rPr>
      </w:r>
      <w:r>
        <w:rPr>
          <w:noProof/>
        </w:rPr>
        <w:fldChar w:fldCharType="separate"/>
      </w:r>
      <w:r w:rsidR="00AE5884">
        <w:rPr>
          <w:noProof/>
        </w:rPr>
        <w:t>1</w:t>
      </w:r>
      <w:r>
        <w:rPr>
          <w:noProof/>
        </w:rPr>
        <w:fldChar w:fldCharType="end"/>
      </w:r>
    </w:p>
    <w:p w14:paraId="63165791" w14:textId="42AFDB9D" w:rsidR="00345AF4" w:rsidRDefault="00345A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_Toc529450218 \h </w:instrText>
      </w:r>
      <w:r>
        <w:rPr>
          <w:noProof/>
        </w:rPr>
      </w:r>
      <w:r>
        <w:rPr>
          <w:noProof/>
        </w:rPr>
        <w:fldChar w:fldCharType="separate"/>
      </w:r>
      <w:r w:rsidR="00AE5884">
        <w:rPr>
          <w:noProof/>
        </w:rPr>
        <w:t>1</w:t>
      </w:r>
      <w:r>
        <w:rPr>
          <w:noProof/>
        </w:rPr>
        <w:fldChar w:fldCharType="end"/>
      </w:r>
    </w:p>
    <w:p w14:paraId="6B2A39B4" w14:textId="7161CD53" w:rsidR="00345AF4" w:rsidRDefault="00345A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6D80">
        <w:rPr>
          <w:noProof/>
        </w:rPr>
        <w:t>Part 2 – Determination of international trade obligations relating to labour market 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_Toc529450219 \h </w:instrText>
      </w:r>
      <w:r>
        <w:rPr>
          <w:noProof/>
        </w:rPr>
      </w:r>
      <w:r>
        <w:rPr>
          <w:noProof/>
        </w:rPr>
        <w:fldChar w:fldCharType="separate"/>
      </w:r>
      <w:r w:rsidR="00AE5884">
        <w:rPr>
          <w:noProof/>
        </w:rPr>
        <w:t>2</w:t>
      </w:r>
      <w:r>
        <w:rPr>
          <w:noProof/>
        </w:rPr>
        <w:fldChar w:fldCharType="end"/>
      </w:r>
    </w:p>
    <w:p w14:paraId="4DF49B09" w14:textId="633E464B" w:rsidR="00345AF4" w:rsidRDefault="00345A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International trade obligations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_Toc529450220 \h </w:instrText>
      </w:r>
      <w:r>
        <w:rPr>
          <w:noProof/>
        </w:rPr>
      </w:r>
      <w:r>
        <w:rPr>
          <w:noProof/>
        </w:rPr>
        <w:fldChar w:fldCharType="separate"/>
      </w:r>
      <w:r w:rsidR="00AE5884">
        <w:rPr>
          <w:noProof/>
        </w:rPr>
        <w:t>2</w:t>
      </w:r>
      <w:r>
        <w:rPr>
          <w:noProof/>
        </w:rPr>
        <w:fldChar w:fldCharType="end"/>
      </w:r>
    </w:p>
    <w:p w14:paraId="67DA0C3A" w14:textId="2EA9F611" w:rsidR="00F6696E" w:rsidRDefault="00B418CB" w:rsidP="00BF647F">
      <w:pPr>
        <w:pStyle w:val="TOC9"/>
      </w:pPr>
      <w:r>
        <w:fldChar w:fldCharType="end"/>
      </w:r>
    </w:p>
    <w:p w14:paraId="33140854" w14:textId="77777777" w:rsidR="00F6696E" w:rsidRPr="00A802BC" w:rsidRDefault="00F6696E" w:rsidP="00F6696E">
      <w:pPr>
        <w:outlineLvl w:val="0"/>
        <w:rPr>
          <w:sz w:val="20"/>
        </w:rPr>
      </w:pPr>
    </w:p>
    <w:p w14:paraId="229050A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725A0E" w14:textId="77777777" w:rsidR="00E03F87" w:rsidRPr="009E2664" w:rsidRDefault="00C24B6E" w:rsidP="009E2664">
      <w:pPr>
        <w:pStyle w:val="ActHead6"/>
        <w:rPr>
          <w:b w:val="0"/>
        </w:rPr>
      </w:pPr>
      <w:bookmarkStart w:id="1" w:name="_Toc529450214"/>
      <w:r w:rsidRPr="009E2664">
        <w:rPr>
          <w:rFonts w:ascii="Times New Roman" w:hAnsi="Times New Roman"/>
        </w:rPr>
        <w:lastRenderedPageBreak/>
        <w:t>Part 1 –</w:t>
      </w:r>
      <w:r w:rsidR="00E03F87" w:rsidRPr="009E2664">
        <w:rPr>
          <w:rFonts w:ascii="Times New Roman" w:hAnsi="Times New Roman"/>
        </w:rPr>
        <w:t xml:space="preserve"> Preliminary</w:t>
      </w:r>
      <w:bookmarkEnd w:id="1"/>
    </w:p>
    <w:p w14:paraId="5EF58095" w14:textId="77777777" w:rsidR="00A75FE9" w:rsidRPr="009C2562" w:rsidRDefault="00A75FE9" w:rsidP="00A75FE9">
      <w:pPr>
        <w:pStyle w:val="ActHead5"/>
      </w:pPr>
      <w:bookmarkStart w:id="2" w:name="_Toc529450215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088431DD" w14:textId="6746A2AE" w:rsidR="006C1D47" w:rsidRDefault="006C1D47" w:rsidP="00B91917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(1)</w:t>
      </w:r>
      <w:r w:rsidR="00A75FE9" w:rsidRPr="009C2562">
        <w:tab/>
        <w:t xml:space="preserve">This </w:t>
      </w:r>
      <w:r w:rsidR="004C4E59">
        <w:t xml:space="preserve">instrument </w:t>
      </w:r>
      <w:r w:rsidR="00A75FE9" w:rsidRPr="009C2562">
        <w:t xml:space="preserve">is the </w:t>
      </w:r>
      <w:bookmarkStart w:id="3" w:name="BKCheck15B_3"/>
      <w:bookmarkEnd w:id="3"/>
      <w:r w:rsidR="00172FBB" w:rsidRPr="00172FBB">
        <w:rPr>
          <w:i/>
        </w:rPr>
        <w:t>Migration (LIN 18/219: Determination of International Trade Obligations Relating to Labour Market Testing) Instrument 2018</w:t>
      </w:r>
      <w:r w:rsidR="00A75FE9" w:rsidRPr="009C2562">
        <w:t>.</w:t>
      </w:r>
    </w:p>
    <w:p w14:paraId="0B52C87F" w14:textId="7A2C09B4" w:rsidR="00A75FE9" w:rsidRDefault="006C1D47" w:rsidP="00BF647F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 xml:space="preserve">(2) </w:t>
      </w:r>
      <w:r>
        <w:tab/>
        <w:t xml:space="preserve">This instrument </w:t>
      </w:r>
      <w:r w:rsidR="00100531">
        <w:t xml:space="preserve">may be cited as </w:t>
      </w:r>
      <w:r>
        <w:t>LIN</w:t>
      </w:r>
      <w:r w:rsidR="00100531">
        <w:t xml:space="preserve"> </w:t>
      </w:r>
      <w:r w:rsidR="00A85002">
        <w:t>1</w:t>
      </w:r>
      <w:r>
        <w:t>8</w:t>
      </w:r>
      <w:r w:rsidR="00172FBB">
        <w:t>/219</w:t>
      </w:r>
      <w:r w:rsidR="00A85002">
        <w:t>.</w:t>
      </w:r>
    </w:p>
    <w:p w14:paraId="01E266FD" w14:textId="42165BD4" w:rsidR="00A75FE9" w:rsidRDefault="00A75FE9" w:rsidP="00A75FE9">
      <w:pPr>
        <w:pStyle w:val="ActHead5"/>
      </w:pPr>
      <w:bookmarkStart w:id="4" w:name="_Toc52945021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8F53F40" w14:textId="16A2834D" w:rsidR="00172FBB" w:rsidRDefault="00172FBB" w:rsidP="00B91917">
      <w:pPr>
        <w:pStyle w:val="subsection"/>
        <w:tabs>
          <w:tab w:val="clear" w:pos="1021"/>
          <w:tab w:val="right" w:pos="1134"/>
        </w:tabs>
        <w:spacing w:line="276" w:lineRule="auto"/>
        <w:ind w:firstLine="0"/>
        <w:rPr>
          <w:b/>
        </w:rPr>
      </w:pPr>
      <w:r w:rsidRPr="00172FBB">
        <w:t xml:space="preserve">This instrument commences immediately following the commencement of Schedule 1 to the </w:t>
      </w:r>
      <w:r w:rsidRPr="009D33DD">
        <w:rPr>
          <w:i/>
        </w:rPr>
        <w:t xml:space="preserve">Customs Amendment (Pacific Agreement on Closer Economic Relations </w:t>
      </w:r>
      <w:proofErr w:type="gramStart"/>
      <w:r w:rsidRPr="009D33DD">
        <w:rPr>
          <w:i/>
        </w:rPr>
        <w:t>Plus</w:t>
      </w:r>
      <w:proofErr w:type="gramEnd"/>
      <w:r w:rsidRPr="009D33DD">
        <w:rPr>
          <w:i/>
        </w:rPr>
        <w:t xml:space="preserve"> Implementation) Act 2018</w:t>
      </w:r>
      <w:r w:rsidRPr="00172FBB">
        <w:t>.</w:t>
      </w:r>
    </w:p>
    <w:p w14:paraId="39A3493A" w14:textId="2C23EAD9" w:rsidR="00A75FE9" w:rsidRPr="009E2664" w:rsidRDefault="00A75FE9" w:rsidP="001B5C49">
      <w:pPr>
        <w:pStyle w:val="ActHead5"/>
      </w:pPr>
      <w:bookmarkStart w:id="5" w:name="_Toc529450217"/>
      <w:proofErr w:type="gramStart"/>
      <w:r w:rsidRPr="009E2664">
        <w:t>3</w:t>
      </w:r>
      <w:r w:rsidRPr="009C2562">
        <w:t xml:space="preserve">  Authority</w:t>
      </w:r>
      <w:bookmarkEnd w:id="5"/>
      <w:proofErr w:type="gramEnd"/>
    </w:p>
    <w:p w14:paraId="483D05CB" w14:textId="0DF7BC03" w:rsidR="00A75FE9" w:rsidRPr="009C2562" w:rsidRDefault="00A75FE9" w:rsidP="00BF647F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675214" w:rsidRPr="00675214">
        <w:t xml:space="preserve">subsection </w:t>
      </w:r>
      <w:proofErr w:type="gramStart"/>
      <w:r w:rsidR="00675214" w:rsidRPr="00675214">
        <w:t>140GBA(</w:t>
      </w:r>
      <w:proofErr w:type="gramEnd"/>
      <w:r w:rsidR="00675214" w:rsidRPr="00675214">
        <w:t>2) of the</w:t>
      </w:r>
      <w:r w:rsidR="00675214">
        <w:t xml:space="preserve"> Act</w:t>
      </w:r>
      <w:r w:rsidRPr="009C2562">
        <w:t>.</w:t>
      </w:r>
    </w:p>
    <w:p w14:paraId="681420C6" w14:textId="77777777" w:rsidR="00A75FE9" w:rsidRPr="009C2562" w:rsidRDefault="00A75FE9" w:rsidP="00A75FE9">
      <w:pPr>
        <w:pStyle w:val="ActHead5"/>
      </w:pPr>
      <w:bookmarkStart w:id="6" w:name="_Toc529450218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673A3893" w14:textId="1A619098" w:rsidR="00A75FE9" w:rsidRPr="009C2562" w:rsidRDefault="00A75FE9" w:rsidP="00BF647F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414E34E9" w14:textId="77777777" w:rsidR="0041080F" w:rsidRDefault="00A75FE9" w:rsidP="00FB3B1E">
      <w:pPr>
        <w:pStyle w:val="Definition"/>
        <w:ind w:left="1418"/>
      </w:pPr>
      <w:r w:rsidRPr="009C2562">
        <w:rPr>
          <w:b/>
          <w:i/>
        </w:rPr>
        <w:t>Act</w:t>
      </w:r>
      <w:r w:rsidRPr="009C2562">
        <w:t xml:space="preserve"> means </w:t>
      </w:r>
      <w:r w:rsidR="00675214" w:rsidRPr="00675214">
        <w:rPr>
          <w:i/>
        </w:rPr>
        <w:t>Migration Act 1958</w:t>
      </w:r>
      <w:r w:rsidRPr="00675214">
        <w:t>.</w:t>
      </w:r>
      <w:bookmarkStart w:id="7" w:name="_Toc454512518"/>
    </w:p>
    <w:p w14:paraId="32868C65" w14:textId="77777777" w:rsidR="0041080F" w:rsidRPr="00DA112E" w:rsidRDefault="0041080F" w:rsidP="0041080F">
      <w:pPr>
        <w:pStyle w:val="Definition"/>
        <w:ind w:left="1418"/>
      </w:pPr>
      <w:proofErr w:type="gramStart"/>
      <w:r>
        <w:rPr>
          <w:b/>
          <w:i/>
        </w:rPr>
        <w:t>labour</w:t>
      </w:r>
      <w:proofErr w:type="gramEnd"/>
      <w:r>
        <w:rPr>
          <w:b/>
          <w:i/>
        </w:rPr>
        <w:t xml:space="preserve"> market testing </w:t>
      </w:r>
      <w:r>
        <w:t>is defined in subsection 140GBA(7) of the Act.</w:t>
      </w:r>
    </w:p>
    <w:p w14:paraId="702BB7B6" w14:textId="235879D5" w:rsidR="00477677" w:rsidRPr="00FB3B1E" w:rsidRDefault="00477677" w:rsidP="00FB3B1E">
      <w:pPr>
        <w:pStyle w:val="Definition"/>
        <w:ind w:left="1418"/>
      </w:pPr>
      <w:r>
        <w:rPr>
          <w:b/>
          <w:noProof/>
          <w:kern w:val="28"/>
          <w:sz w:val="32"/>
          <w:szCs w:val="32"/>
        </w:rPr>
        <w:br w:type="page"/>
      </w:r>
    </w:p>
    <w:p w14:paraId="4E87ED78" w14:textId="2A6E9A8C" w:rsidR="00E03F87" w:rsidRPr="009E2664" w:rsidRDefault="00E03F87" w:rsidP="009E2664">
      <w:pPr>
        <w:pStyle w:val="ActHead6"/>
        <w:rPr>
          <w:b w:val="0"/>
        </w:rPr>
      </w:pPr>
      <w:bookmarkStart w:id="8" w:name="_Toc529450219"/>
      <w:r w:rsidRPr="009E2664">
        <w:rPr>
          <w:rFonts w:ascii="Times New Roman" w:hAnsi="Times New Roman"/>
        </w:rPr>
        <w:lastRenderedPageBreak/>
        <w:t xml:space="preserve">Part 2 – </w:t>
      </w:r>
      <w:r w:rsidR="00873455" w:rsidRPr="009E2664">
        <w:rPr>
          <w:rFonts w:ascii="Times New Roman" w:hAnsi="Times New Roman"/>
        </w:rPr>
        <w:t>Determination of i</w:t>
      </w:r>
      <w:r w:rsidR="00D93510" w:rsidRPr="009E2664">
        <w:rPr>
          <w:rFonts w:ascii="Times New Roman" w:hAnsi="Times New Roman"/>
        </w:rPr>
        <w:t>nternational trad</w:t>
      </w:r>
      <w:r w:rsidR="00873455" w:rsidRPr="009E2664">
        <w:rPr>
          <w:rFonts w:ascii="Times New Roman" w:hAnsi="Times New Roman"/>
        </w:rPr>
        <w:t>e obligations relating to labour</w:t>
      </w:r>
      <w:r w:rsidR="00D93510" w:rsidRPr="009E2664">
        <w:rPr>
          <w:rFonts w:ascii="Times New Roman" w:hAnsi="Times New Roman"/>
        </w:rPr>
        <w:t xml:space="preserve"> market testing</w:t>
      </w:r>
      <w:bookmarkEnd w:id="8"/>
    </w:p>
    <w:p w14:paraId="4FADE3F1" w14:textId="62D03055" w:rsidR="00675214" w:rsidRPr="00E419FA" w:rsidRDefault="006549E0" w:rsidP="00137EA0">
      <w:pPr>
        <w:pStyle w:val="ActHead5"/>
        <w:spacing w:line="276" w:lineRule="auto"/>
        <w:ind w:left="567" w:hanging="567"/>
      </w:pPr>
      <w:bookmarkStart w:id="9" w:name="_Toc529450220"/>
      <w:r>
        <w:t>5</w:t>
      </w:r>
      <w:r w:rsidR="00B91917">
        <w:tab/>
      </w:r>
      <w:r w:rsidR="00873455">
        <w:t>I</w:t>
      </w:r>
      <w:r w:rsidR="00873455" w:rsidRPr="00873455">
        <w:t>nternational trade obligations</w:t>
      </w:r>
      <w:bookmarkEnd w:id="9"/>
      <w:r w:rsidR="00873455" w:rsidRPr="00873455">
        <w:t xml:space="preserve"> </w:t>
      </w:r>
    </w:p>
    <w:p w14:paraId="62D2360E" w14:textId="77777777" w:rsidR="004E43BC" w:rsidRDefault="008727C2" w:rsidP="004E43BC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 w:rsidRPr="00172FBB">
        <w:t xml:space="preserve">For the purposes of paragraph 140GBA(1)(c) of the Act, each obligation of Australia under international law, that relates to international trade, under the </w:t>
      </w:r>
      <w:r w:rsidR="004D0F6D">
        <w:t xml:space="preserve">Pacific Agreement on Closer Economic Relations Plus </w:t>
      </w:r>
      <w:r w:rsidRPr="00172FBB">
        <w:t>is determined as an international trade obligation of Australia</w:t>
      </w:r>
      <w:bookmarkEnd w:id="7"/>
      <w:r w:rsidR="004D0F6D">
        <w:t>.</w:t>
      </w:r>
    </w:p>
    <w:p w14:paraId="767D92AB" w14:textId="3664B069" w:rsidR="00A75FE9" w:rsidRPr="00C85E14" w:rsidRDefault="00C85E14" w:rsidP="004E43BC">
      <w:pPr>
        <w:pStyle w:val="subsection"/>
        <w:tabs>
          <w:tab w:val="clear" w:pos="1021"/>
          <w:tab w:val="right" w:pos="1701"/>
        </w:tabs>
        <w:spacing w:line="360" w:lineRule="auto"/>
        <w:ind w:left="1701" w:hanging="567"/>
        <w:rPr>
          <w:sz w:val="20"/>
        </w:rPr>
      </w:pPr>
      <w:r w:rsidRPr="00C85E14">
        <w:rPr>
          <w:sz w:val="20"/>
        </w:rPr>
        <w:t xml:space="preserve">Note: </w:t>
      </w:r>
      <w:r>
        <w:rPr>
          <w:sz w:val="20"/>
        </w:rPr>
        <w:tab/>
        <w:t xml:space="preserve"> P</w:t>
      </w:r>
      <w:r w:rsidRPr="00C85E14">
        <w:rPr>
          <w:sz w:val="20"/>
        </w:rPr>
        <w:t>aragraph 140GBA(1)(c) of the Act provides t</w:t>
      </w:r>
      <w:r>
        <w:rPr>
          <w:sz w:val="20"/>
        </w:rPr>
        <w:t xml:space="preserve">hat section 140GBA applies   </w:t>
      </w:r>
      <w:r>
        <w:rPr>
          <w:sz w:val="20"/>
        </w:rPr>
        <w:br/>
        <w:t xml:space="preserve">to a </w:t>
      </w:r>
      <w:r w:rsidRPr="00C85E14">
        <w:rPr>
          <w:sz w:val="20"/>
        </w:rPr>
        <w:t>nomination by an approved sponsor if it</w:t>
      </w:r>
      <w:r>
        <w:rPr>
          <w:sz w:val="20"/>
        </w:rPr>
        <w:t xml:space="preserve"> would not be inconsistent with </w:t>
      </w:r>
      <w:r>
        <w:rPr>
          <w:sz w:val="20"/>
        </w:rPr>
        <w:br/>
      </w:r>
      <w:r w:rsidRPr="00C85E14">
        <w:rPr>
          <w:sz w:val="20"/>
        </w:rPr>
        <w:t xml:space="preserve">any international trade obligation of Australia determined under </w:t>
      </w:r>
      <w:r w:rsidR="004E43BC">
        <w:rPr>
          <w:sz w:val="20"/>
        </w:rPr>
        <w:t>sub</w:t>
      </w:r>
      <w:r w:rsidRPr="00C85E14">
        <w:rPr>
          <w:sz w:val="20"/>
        </w:rPr>
        <w:t xml:space="preserve">section </w:t>
      </w:r>
      <w:r>
        <w:rPr>
          <w:sz w:val="20"/>
        </w:rPr>
        <w:t xml:space="preserve"> </w:t>
      </w:r>
      <w:r>
        <w:rPr>
          <w:sz w:val="20"/>
        </w:rPr>
        <w:br/>
      </w:r>
      <w:r w:rsidRPr="00C85E14">
        <w:rPr>
          <w:sz w:val="20"/>
        </w:rPr>
        <w:t xml:space="preserve">140GBA(2) to require the sponsor to satisfy the labour market testing </w:t>
      </w:r>
      <w:r>
        <w:rPr>
          <w:sz w:val="20"/>
        </w:rPr>
        <w:t xml:space="preserve"> </w:t>
      </w:r>
      <w:r>
        <w:rPr>
          <w:sz w:val="20"/>
        </w:rPr>
        <w:br/>
      </w:r>
      <w:r w:rsidRPr="00C85E14">
        <w:rPr>
          <w:sz w:val="20"/>
        </w:rPr>
        <w:t>condition in section 140GBA in relation to the nominated position.</w:t>
      </w:r>
    </w:p>
    <w:sectPr w:rsidR="00A75FE9" w:rsidRPr="00C85E14" w:rsidSect="00A93E07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77B8" w14:textId="77777777" w:rsidR="004E05DE" w:rsidRDefault="004E05DE" w:rsidP="00715914">
      <w:pPr>
        <w:spacing w:line="240" w:lineRule="auto"/>
      </w:pPr>
      <w:r>
        <w:separator/>
      </w:r>
    </w:p>
  </w:endnote>
  <w:endnote w:type="continuationSeparator" w:id="0">
    <w:p w14:paraId="0D2C3292" w14:textId="77777777" w:rsidR="004E05DE" w:rsidRDefault="004E05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51C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B50791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73232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773EC" w14:textId="468B9B1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5884">
            <w:rPr>
              <w:i/>
              <w:noProof/>
              <w:sz w:val="18"/>
            </w:rPr>
            <w:t>Migration (LIN 18/219: Determination of International Trade Obligations Relating to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C6CA6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8AD27C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421F0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5DD08F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064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AA0A1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67DAF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7BFB2" w14:textId="4A7D6C3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5884">
            <w:rPr>
              <w:i/>
              <w:noProof/>
              <w:sz w:val="18"/>
            </w:rPr>
            <w:t>Migration (LIN 18/219: Determination of International Trade Obligations Relating to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91EF9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CEBF38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4FA14D" w14:textId="77777777" w:rsidR="0072147A" w:rsidRDefault="0072147A" w:rsidP="00A369E3">
          <w:pPr>
            <w:rPr>
              <w:sz w:val="18"/>
            </w:rPr>
          </w:pPr>
        </w:p>
      </w:tc>
    </w:tr>
  </w:tbl>
  <w:p w14:paraId="52EAFCE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2C2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5C491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8A32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8AD3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1B10B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36CDBB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E7E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60BB816" w14:textId="77777777" w:rsidTr="00A87A58">
      <w:tc>
        <w:tcPr>
          <w:tcW w:w="365" w:type="pct"/>
        </w:tcPr>
        <w:p w14:paraId="2F0F57EC" w14:textId="4962BCB0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53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ACD6FE" w14:textId="3B55FDE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5884">
            <w:rPr>
              <w:i/>
              <w:noProof/>
              <w:sz w:val="18"/>
            </w:rPr>
            <w:t>Migration (LIN 18/219: Determination of International Trade Obligations Relating to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3C0C9D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299914E" w14:textId="77777777" w:rsidTr="00A87A58">
      <w:tc>
        <w:tcPr>
          <w:tcW w:w="5000" w:type="pct"/>
          <w:gridSpan w:val="3"/>
        </w:tcPr>
        <w:p w14:paraId="2AA1F75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8681D9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0B9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32DE57" w14:textId="77777777" w:rsidTr="00A87A58">
      <w:tc>
        <w:tcPr>
          <w:tcW w:w="947" w:type="pct"/>
        </w:tcPr>
        <w:p w14:paraId="4CC4823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C3FE80" w14:textId="434908D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3E2B">
            <w:rPr>
              <w:i/>
              <w:noProof/>
              <w:sz w:val="18"/>
            </w:rPr>
            <w:t>Migration (LIN 18/219: Determination of International Trade Obligations Relating to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0746C5" w14:textId="3CFCF8B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3E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F1F16D2" w14:textId="77777777" w:rsidTr="00A87A58">
      <w:tc>
        <w:tcPr>
          <w:tcW w:w="5000" w:type="pct"/>
          <w:gridSpan w:val="3"/>
        </w:tcPr>
        <w:p w14:paraId="7B888339" w14:textId="77777777" w:rsidR="00F6696E" w:rsidRDefault="00F6696E" w:rsidP="000850AC">
          <w:pPr>
            <w:rPr>
              <w:sz w:val="18"/>
            </w:rPr>
          </w:pPr>
        </w:p>
      </w:tc>
    </w:tr>
  </w:tbl>
  <w:p w14:paraId="26BB4C8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AFB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77677" w14:paraId="0D892E2D" w14:textId="77777777" w:rsidTr="00204420">
      <w:tc>
        <w:tcPr>
          <w:tcW w:w="365" w:type="pct"/>
        </w:tcPr>
        <w:p w14:paraId="4CE6B2CF" w14:textId="1604C973" w:rsidR="00477677" w:rsidRDefault="00477677" w:rsidP="004776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667B07" w14:textId="208EFECB" w:rsidR="00477677" w:rsidRDefault="00477677" w:rsidP="004776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3E2B">
            <w:rPr>
              <w:i/>
              <w:noProof/>
              <w:sz w:val="18"/>
            </w:rPr>
            <w:t>Migration (LIN 18/219: Determination of International Trade Obligations Relating to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8A8E7C" w14:textId="0458CB0E" w:rsidR="00477677" w:rsidRDefault="00A93E07" w:rsidP="00477677">
          <w:pPr>
            <w:spacing w:line="0" w:lineRule="atLeast"/>
            <w:jc w:val="right"/>
            <w:rPr>
              <w:sz w:val="18"/>
            </w:rPr>
          </w:pPr>
          <w:r w:rsidRPr="00477677">
            <w:rPr>
              <w:sz w:val="18"/>
            </w:rPr>
            <w:fldChar w:fldCharType="begin"/>
          </w:r>
          <w:r w:rsidRPr="00477677">
            <w:rPr>
              <w:sz w:val="18"/>
            </w:rPr>
            <w:instrText xml:space="preserve"> PAGE   \* MERGEFORMAT </w:instrText>
          </w:r>
          <w:r w:rsidRPr="00477677">
            <w:rPr>
              <w:sz w:val="18"/>
            </w:rPr>
            <w:fldChar w:fldCharType="separate"/>
          </w:r>
          <w:r w:rsidR="00113E2B">
            <w:rPr>
              <w:noProof/>
              <w:sz w:val="18"/>
            </w:rPr>
            <w:t>2</w:t>
          </w:r>
          <w:r w:rsidRPr="00477677">
            <w:rPr>
              <w:noProof/>
              <w:sz w:val="18"/>
            </w:rPr>
            <w:fldChar w:fldCharType="end"/>
          </w:r>
        </w:p>
      </w:tc>
    </w:tr>
    <w:tr w:rsidR="00477677" w14:paraId="0CF5A39B" w14:textId="77777777" w:rsidTr="00204420">
      <w:tc>
        <w:tcPr>
          <w:tcW w:w="5000" w:type="pct"/>
          <w:gridSpan w:val="3"/>
        </w:tcPr>
        <w:p w14:paraId="62BD2307" w14:textId="77777777" w:rsidR="00477677" w:rsidRDefault="00477677" w:rsidP="00477677">
          <w:pPr>
            <w:jc w:val="right"/>
            <w:rPr>
              <w:sz w:val="18"/>
            </w:rPr>
          </w:pPr>
        </w:p>
      </w:tc>
    </w:tr>
  </w:tbl>
  <w:p w14:paraId="22DFD15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BBF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77677" w14:paraId="4505D43E" w14:textId="77777777" w:rsidTr="00204420">
      <w:tc>
        <w:tcPr>
          <w:tcW w:w="365" w:type="pct"/>
        </w:tcPr>
        <w:p w14:paraId="3D348777" w14:textId="1BACE676" w:rsidR="00477677" w:rsidRDefault="00477677" w:rsidP="004776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3DBA99" w14:textId="3A31B604" w:rsidR="00477677" w:rsidRDefault="00477677" w:rsidP="004776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3E2B">
            <w:rPr>
              <w:i/>
              <w:noProof/>
              <w:sz w:val="18"/>
            </w:rPr>
            <w:t>Migration (LIN 18/219: Determination of International Trade Obligations Relating to Labour Market Testing)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2C354F" w14:textId="1C8F7AA1" w:rsidR="00477677" w:rsidRDefault="00477677" w:rsidP="00477677">
          <w:pPr>
            <w:spacing w:line="0" w:lineRule="atLeast"/>
            <w:jc w:val="right"/>
            <w:rPr>
              <w:sz w:val="18"/>
            </w:rPr>
          </w:pPr>
          <w:r w:rsidRPr="00477677">
            <w:rPr>
              <w:sz w:val="18"/>
            </w:rPr>
            <w:fldChar w:fldCharType="begin"/>
          </w:r>
          <w:r w:rsidRPr="00477677">
            <w:rPr>
              <w:sz w:val="18"/>
            </w:rPr>
            <w:instrText xml:space="preserve"> PAGE   \* MERGEFORMAT </w:instrText>
          </w:r>
          <w:r w:rsidRPr="00477677">
            <w:rPr>
              <w:sz w:val="18"/>
            </w:rPr>
            <w:fldChar w:fldCharType="separate"/>
          </w:r>
          <w:r w:rsidR="00113E2B">
            <w:rPr>
              <w:noProof/>
              <w:sz w:val="18"/>
            </w:rPr>
            <w:t>1</w:t>
          </w:r>
          <w:r w:rsidRPr="00477677">
            <w:rPr>
              <w:noProof/>
              <w:sz w:val="18"/>
            </w:rPr>
            <w:fldChar w:fldCharType="end"/>
          </w:r>
        </w:p>
      </w:tc>
    </w:tr>
    <w:tr w:rsidR="00477677" w14:paraId="653C58F9" w14:textId="77777777" w:rsidTr="00204420">
      <w:tc>
        <w:tcPr>
          <w:tcW w:w="5000" w:type="pct"/>
          <w:gridSpan w:val="3"/>
        </w:tcPr>
        <w:p w14:paraId="0BAC1F60" w14:textId="77777777" w:rsidR="00477677" w:rsidRDefault="00477677" w:rsidP="00477677">
          <w:pPr>
            <w:jc w:val="right"/>
            <w:rPr>
              <w:sz w:val="18"/>
            </w:rPr>
          </w:pPr>
        </w:p>
      </w:tc>
    </w:tr>
  </w:tbl>
  <w:p w14:paraId="3EDB882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15AE" w14:textId="77777777" w:rsidR="004E05DE" w:rsidRDefault="004E05DE" w:rsidP="00715914">
      <w:pPr>
        <w:spacing w:line="240" w:lineRule="auto"/>
      </w:pPr>
      <w:r>
        <w:separator/>
      </w:r>
    </w:p>
  </w:footnote>
  <w:footnote w:type="continuationSeparator" w:id="0">
    <w:p w14:paraId="6BBED199" w14:textId="77777777" w:rsidR="004E05DE" w:rsidRDefault="004E05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9D9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596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A73E" w14:textId="3056FE8E" w:rsidR="004F3028" w:rsidRDefault="004F30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9FD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152E" w14:textId="55E0913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F90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7ECD" w14:textId="77777777" w:rsidR="004E1307" w:rsidRDefault="004E1307" w:rsidP="00715914">
    <w:pPr>
      <w:rPr>
        <w:sz w:val="20"/>
      </w:rPr>
    </w:pPr>
  </w:p>
  <w:p w14:paraId="7A253DEF" w14:textId="77777777" w:rsidR="004E1307" w:rsidRDefault="004E1307" w:rsidP="00715914">
    <w:pPr>
      <w:rPr>
        <w:sz w:val="20"/>
      </w:rPr>
    </w:pPr>
  </w:p>
  <w:p w14:paraId="01C5F443" w14:textId="77777777" w:rsidR="004E1307" w:rsidRPr="007A1328" w:rsidRDefault="004E1307" w:rsidP="00715914">
    <w:pPr>
      <w:rPr>
        <w:sz w:val="20"/>
      </w:rPr>
    </w:pPr>
  </w:p>
  <w:p w14:paraId="22385A53" w14:textId="77777777" w:rsidR="004E1307" w:rsidRPr="007A1328" w:rsidRDefault="004E1307" w:rsidP="00715914">
    <w:pPr>
      <w:rPr>
        <w:b/>
        <w:sz w:val="24"/>
      </w:rPr>
    </w:pPr>
  </w:p>
  <w:p w14:paraId="66EDED8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90B4" w14:textId="77777777" w:rsidR="004E1307" w:rsidRPr="007A1328" w:rsidRDefault="004E1307" w:rsidP="00715914">
    <w:pPr>
      <w:jc w:val="right"/>
      <w:rPr>
        <w:sz w:val="20"/>
      </w:rPr>
    </w:pPr>
  </w:p>
  <w:p w14:paraId="21F41CDD" w14:textId="77777777" w:rsidR="004E1307" w:rsidRPr="007A1328" w:rsidRDefault="004E1307" w:rsidP="00715914">
    <w:pPr>
      <w:jc w:val="right"/>
      <w:rPr>
        <w:sz w:val="20"/>
      </w:rPr>
    </w:pPr>
  </w:p>
  <w:p w14:paraId="2D040B1A" w14:textId="77777777" w:rsidR="004E1307" w:rsidRPr="007A1328" w:rsidRDefault="004E1307" w:rsidP="00715914">
    <w:pPr>
      <w:jc w:val="right"/>
      <w:rPr>
        <w:sz w:val="20"/>
      </w:rPr>
    </w:pPr>
  </w:p>
  <w:p w14:paraId="0F2A9C7F" w14:textId="77777777" w:rsidR="004E1307" w:rsidRPr="007A1328" w:rsidRDefault="004E1307" w:rsidP="00715914">
    <w:pPr>
      <w:jc w:val="right"/>
      <w:rPr>
        <w:b/>
        <w:sz w:val="24"/>
      </w:rPr>
    </w:pPr>
  </w:p>
  <w:p w14:paraId="70C2628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025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FA1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CE9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6C0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1ED4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8E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9090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184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24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C5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A16E5"/>
    <w:multiLevelType w:val="hybridMultilevel"/>
    <w:tmpl w:val="2B722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141FB3"/>
    <w:multiLevelType w:val="hybridMultilevel"/>
    <w:tmpl w:val="79D2E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76537"/>
    <w:multiLevelType w:val="hybridMultilevel"/>
    <w:tmpl w:val="F5C2DEFC"/>
    <w:lvl w:ilvl="0" w:tplc="79228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007E1"/>
    <w:multiLevelType w:val="hybridMultilevel"/>
    <w:tmpl w:val="8748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13C3B3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05399"/>
    <w:multiLevelType w:val="hybridMultilevel"/>
    <w:tmpl w:val="3F2E50FC"/>
    <w:lvl w:ilvl="0" w:tplc="3C2E190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05F27"/>
    <w:multiLevelType w:val="hybridMultilevel"/>
    <w:tmpl w:val="66D6B0DA"/>
    <w:lvl w:ilvl="0" w:tplc="3DF8AEC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18414BA"/>
    <w:multiLevelType w:val="hybridMultilevel"/>
    <w:tmpl w:val="25A0CD6A"/>
    <w:lvl w:ilvl="0" w:tplc="6B982C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7DFE4391"/>
    <w:multiLevelType w:val="hybridMultilevel"/>
    <w:tmpl w:val="6DB4FEEE"/>
    <w:lvl w:ilvl="0" w:tplc="6B982C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74DA3E2A">
      <w:start w:val="1"/>
      <w:numFmt w:val="lowerLetter"/>
      <w:lvlText w:val="%2."/>
      <w:lvlJc w:val="left"/>
      <w:pPr>
        <w:ind w:left="1212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21"/>
  </w:num>
  <w:num w:numId="15">
    <w:abstractNumId w:val="16"/>
  </w:num>
  <w:num w:numId="16">
    <w:abstractNumId w:val="20"/>
  </w:num>
  <w:num w:numId="17">
    <w:abstractNumId w:val="19"/>
  </w:num>
  <w:num w:numId="18">
    <w:abstractNumId w:val="15"/>
  </w:num>
  <w:num w:numId="19">
    <w:abstractNumId w:val="14"/>
  </w:num>
  <w:num w:numId="20">
    <w:abstractNumId w:val="1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DE"/>
    <w:rsid w:val="00004174"/>
    <w:rsid w:val="00004470"/>
    <w:rsid w:val="000136AF"/>
    <w:rsid w:val="000258B1"/>
    <w:rsid w:val="00040A89"/>
    <w:rsid w:val="000437C1"/>
    <w:rsid w:val="0004455A"/>
    <w:rsid w:val="00044C02"/>
    <w:rsid w:val="00051C36"/>
    <w:rsid w:val="000526C3"/>
    <w:rsid w:val="0005365D"/>
    <w:rsid w:val="00055399"/>
    <w:rsid w:val="000614BF"/>
    <w:rsid w:val="00061CDE"/>
    <w:rsid w:val="0006709C"/>
    <w:rsid w:val="00074376"/>
    <w:rsid w:val="000978F5"/>
    <w:rsid w:val="000B15CD"/>
    <w:rsid w:val="000B35EB"/>
    <w:rsid w:val="000C1BAD"/>
    <w:rsid w:val="000C1E12"/>
    <w:rsid w:val="000D05EF"/>
    <w:rsid w:val="000D6918"/>
    <w:rsid w:val="000E041F"/>
    <w:rsid w:val="000E2261"/>
    <w:rsid w:val="000E2972"/>
    <w:rsid w:val="000E78B7"/>
    <w:rsid w:val="000F21C1"/>
    <w:rsid w:val="00100531"/>
    <w:rsid w:val="00103944"/>
    <w:rsid w:val="0010745C"/>
    <w:rsid w:val="0011076B"/>
    <w:rsid w:val="00113E2B"/>
    <w:rsid w:val="00132CEB"/>
    <w:rsid w:val="001339B0"/>
    <w:rsid w:val="00137EA0"/>
    <w:rsid w:val="00142B62"/>
    <w:rsid w:val="001441B7"/>
    <w:rsid w:val="00150B1C"/>
    <w:rsid w:val="001516CB"/>
    <w:rsid w:val="00152336"/>
    <w:rsid w:val="00157B8B"/>
    <w:rsid w:val="001615F8"/>
    <w:rsid w:val="00166C2F"/>
    <w:rsid w:val="00167026"/>
    <w:rsid w:val="00172FBB"/>
    <w:rsid w:val="00176A3B"/>
    <w:rsid w:val="00177B8F"/>
    <w:rsid w:val="001809D7"/>
    <w:rsid w:val="0018488D"/>
    <w:rsid w:val="001939E1"/>
    <w:rsid w:val="00194C3E"/>
    <w:rsid w:val="00195382"/>
    <w:rsid w:val="001B2CB6"/>
    <w:rsid w:val="001B32F4"/>
    <w:rsid w:val="001B5C49"/>
    <w:rsid w:val="001C61C5"/>
    <w:rsid w:val="001C69C4"/>
    <w:rsid w:val="001D37EF"/>
    <w:rsid w:val="001E0D19"/>
    <w:rsid w:val="001E3590"/>
    <w:rsid w:val="001E5FFA"/>
    <w:rsid w:val="001E7407"/>
    <w:rsid w:val="001F5D5E"/>
    <w:rsid w:val="001F6219"/>
    <w:rsid w:val="001F6CD4"/>
    <w:rsid w:val="00206C4D"/>
    <w:rsid w:val="00215AF1"/>
    <w:rsid w:val="002168D1"/>
    <w:rsid w:val="00225726"/>
    <w:rsid w:val="00226E17"/>
    <w:rsid w:val="002321E8"/>
    <w:rsid w:val="00232984"/>
    <w:rsid w:val="00232BCA"/>
    <w:rsid w:val="0024010F"/>
    <w:rsid w:val="00240749"/>
    <w:rsid w:val="00241311"/>
    <w:rsid w:val="00243018"/>
    <w:rsid w:val="002564A4"/>
    <w:rsid w:val="0026551E"/>
    <w:rsid w:val="0026736C"/>
    <w:rsid w:val="00272806"/>
    <w:rsid w:val="00281308"/>
    <w:rsid w:val="00284719"/>
    <w:rsid w:val="00285800"/>
    <w:rsid w:val="00297ECB"/>
    <w:rsid w:val="002A70D9"/>
    <w:rsid w:val="002A7BCF"/>
    <w:rsid w:val="002C3FD1"/>
    <w:rsid w:val="002D043A"/>
    <w:rsid w:val="002D266B"/>
    <w:rsid w:val="002D6224"/>
    <w:rsid w:val="002F1618"/>
    <w:rsid w:val="002F6839"/>
    <w:rsid w:val="00304F8B"/>
    <w:rsid w:val="00330DAC"/>
    <w:rsid w:val="00335BC6"/>
    <w:rsid w:val="003415D3"/>
    <w:rsid w:val="00344338"/>
    <w:rsid w:val="00344701"/>
    <w:rsid w:val="00345AF4"/>
    <w:rsid w:val="00352B0F"/>
    <w:rsid w:val="00360459"/>
    <w:rsid w:val="00363234"/>
    <w:rsid w:val="0036378A"/>
    <w:rsid w:val="0036477F"/>
    <w:rsid w:val="003721F0"/>
    <w:rsid w:val="003733AA"/>
    <w:rsid w:val="003775A1"/>
    <w:rsid w:val="0038049F"/>
    <w:rsid w:val="003A24A9"/>
    <w:rsid w:val="003A553A"/>
    <w:rsid w:val="003C6231"/>
    <w:rsid w:val="003C7A31"/>
    <w:rsid w:val="003D0BFE"/>
    <w:rsid w:val="003D5700"/>
    <w:rsid w:val="003E341B"/>
    <w:rsid w:val="003E4D00"/>
    <w:rsid w:val="00404917"/>
    <w:rsid w:val="0041080F"/>
    <w:rsid w:val="004116CD"/>
    <w:rsid w:val="004178BD"/>
    <w:rsid w:val="00417EB9"/>
    <w:rsid w:val="004230D9"/>
    <w:rsid w:val="00424CA9"/>
    <w:rsid w:val="00425F86"/>
    <w:rsid w:val="004276DF"/>
    <w:rsid w:val="00431E9B"/>
    <w:rsid w:val="004379E3"/>
    <w:rsid w:val="0044015E"/>
    <w:rsid w:val="0044291A"/>
    <w:rsid w:val="00444FC2"/>
    <w:rsid w:val="00451F34"/>
    <w:rsid w:val="00457293"/>
    <w:rsid w:val="00467661"/>
    <w:rsid w:val="00472DBE"/>
    <w:rsid w:val="00474A19"/>
    <w:rsid w:val="00477677"/>
    <w:rsid w:val="00477830"/>
    <w:rsid w:val="00487764"/>
    <w:rsid w:val="00496A73"/>
    <w:rsid w:val="00496F97"/>
    <w:rsid w:val="004A0362"/>
    <w:rsid w:val="004A102A"/>
    <w:rsid w:val="004A758F"/>
    <w:rsid w:val="004B6C48"/>
    <w:rsid w:val="004C4E59"/>
    <w:rsid w:val="004C6809"/>
    <w:rsid w:val="004D0F6D"/>
    <w:rsid w:val="004D4A55"/>
    <w:rsid w:val="004E05DE"/>
    <w:rsid w:val="004E063A"/>
    <w:rsid w:val="004E12D2"/>
    <w:rsid w:val="004E1307"/>
    <w:rsid w:val="004E43BC"/>
    <w:rsid w:val="004E7BEC"/>
    <w:rsid w:val="004F3028"/>
    <w:rsid w:val="00505D3D"/>
    <w:rsid w:val="00506AF6"/>
    <w:rsid w:val="00511F6C"/>
    <w:rsid w:val="00516B8D"/>
    <w:rsid w:val="005303C8"/>
    <w:rsid w:val="00534AF9"/>
    <w:rsid w:val="00537FBC"/>
    <w:rsid w:val="005503EE"/>
    <w:rsid w:val="00562ED6"/>
    <w:rsid w:val="00572479"/>
    <w:rsid w:val="005747A7"/>
    <w:rsid w:val="00584811"/>
    <w:rsid w:val="00585784"/>
    <w:rsid w:val="00585B4C"/>
    <w:rsid w:val="00593AA6"/>
    <w:rsid w:val="00594161"/>
    <w:rsid w:val="00594749"/>
    <w:rsid w:val="005A65D5"/>
    <w:rsid w:val="005B4067"/>
    <w:rsid w:val="005C2029"/>
    <w:rsid w:val="005C3F41"/>
    <w:rsid w:val="005D1D92"/>
    <w:rsid w:val="005D2D09"/>
    <w:rsid w:val="005D7C8D"/>
    <w:rsid w:val="005E6DBA"/>
    <w:rsid w:val="00600219"/>
    <w:rsid w:val="00604F2A"/>
    <w:rsid w:val="00611F31"/>
    <w:rsid w:val="006133E6"/>
    <w:rsid w:val="00615638"/>
    <w:rsid w:val="00620076"/>
    <w:rsid w:val="00625D55"/>
    <w:rsid w:val="00627E0A"/>
    <w:rsid w:val="0065488B"/>
    <w:rsid w:val="006549E0"/>
    <w:rsid w:val="00662F7E"/>
    <w:rsid w:val="00670EA1"/>
    <w:rsid w:val="00675214"/>
    <w:rsid w:val="00677CC2"/>
    <w:rsid w:val="006851D5"/>
    <w:rsid w:val="0068744B"/>
    <w:rsid w:val="00687C02"/>
    <w:rsid w:val="006905DE"/>
    <w:rsid w:val="0069207B"/>
    <w:rsid w:val="0069463F"/>
    <w:rsid w:val="006A154F"/>
    <w:rsid w:val="006A437B"/>
    <w:rsid w:val="006B5789"/>
    <w:rsid w:val="006C1D47"/>
    <w:rsid w:val="006C30C5"/>
    <w:rsid w:val="006C7F8C"/>
    <w:rsid w:val="006D5B86"/>
    <w:rsid w:val="006E2E1C"/>
    <w:rsid w:val="006E5A02"/>
    <w:rsid w:val="006E6246"/>
    <w:rsid w:val="006E69C2"/>
    <w:rsid w:val="006E6DCC"/>
    <w:rsid w:val="006F318F"/>
    <w:rsid w:val="006F5CD0"/>
    <w:rsid w:val="0070017E"/>
    <w:rsid w:val="00700B2C"/>
    <w:rsid w:val="007050A2"/>
    <w:rsid w:val="00713084"/>
    <w:rsid w:val="007130DB"/>
    <w:rsid w:val="00714F20"/>
    <w:rsid w:val="0071590F"/>
    <w:rsid w:val="00715914"/>
    <w:rsid w:val="0072147A"/>
    <w:rsid w:val="00723791"/>
    <w:rsid w:val="00731E00"/>
    <w:rsid w:val="00734B61"/>
    <w:rsid w:val="00741E1B"/>
    <w:rsid w:val="007440B7"/>
    <w:rsid w:val="007500C8"/>
    <w:rsid w:val="00756272"/>
    <w:rsid w:val="00762D38"/>
    <w:rsid w:val="007715C9"/>
    <w:rsid w:val="00771613"/>
    <w:rsid w:val="00774EDD"/>
    <w:rsid w:val="007757EC"/>
    <w:rsid w:val="00776DC8"/>
    <w:rsid w:val="00783E89"/>
    <w:rsid w:val="007920E6"/>
    <w:rsid w:val="00793915"/>
    <w:rsid w:val="007A289C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2FF"/>
    <w:rsid w:val="00851B4F"/>
    <w:rsid w:val="0085390F"/>
    <w:rsid w:val="00854D0B"/>
    <w:rsid w:val="00856A31"/>
    <w:rsid w:val="00857886"/>
    <w:rsid w:val="00860B4E"/>
    <w:rsid w:val="00865B1F"/>
    <w:rsid w:val="00866B29"/>
    <w:rsid w:val="00867B37"/>
    <w:rsid w:val="008727C2"/>
    <w:rsid w:val="00873455"/>
    <w:rsid w:val="008754D0"/>
    <w:rsid w:val="00875D13"/>
    <w:rsid w:val="008855C9"/>
    <w:rsid w:val="00886456"/>
    <w:rsid w:val="0089164C"/>
    <w:rsid w:val="00896176"/>
    <w:rsid w:val="008A46E1"/>
    <w:rsid w:val="008A4F43"/>
    <w:rsid w:val="008B2706"/>
    <w:rsid w:val="008C2EAC"/>
    <w:rsid w:val="008C3C09"/>
    <w:rsid w:val="008D0754"/>
    <w:rsid w:val="008D0EE0"/>
    <w:rsid w:val="008D7138"/>
    <w:rsid w:val="008D7CAD"/>
    <w:rsid w:val="008E0027"/>
    <w:rsid w:val="008E6067"/>
    <w:rsid w:val="008F54E7"/>
    <w:rsid w:val="00903422"/>
    <w:rsid w:val="009254C3"/>
    <w:rsid w:val="00932377"/>
    <w:rsid w:val="0093260E"/>
    <w:rsid w:val="00941236"/>
    <w:rsid w:val="00943FD5"/>
    <w:rsid w:val="00947D5A"/>
    <w:rsid w:val="009532A5"/>
    <w:rsid w:val="00953A96"/>
    <w:rsid w:val="009545BD"/>
    <w:rsid w:val="00964CF0"/>
    <w:rsid w:val="00977806"/>
    <w:rsid w:val="00982242"/>
    <w:rsid w:val="0098287B"/>
    <w:rsid w:val="009868E9"/>
    <w:rsid w:val="009900A3"/>
    <w:rsid w:val="0099170E"/>
    <w:rsid w:val="009927EA"/>
    <w:rsid w:val="009A4A0A"/>
    <w:rsid w:val="009C3413"/>
    <w:rsid w:val="009D33DD"/>
    <w:rsid w:val="009E2664"/>
    <w:rsid w:val="009E4362"/>
    <w:rsid w:val="009E531A"/>
    <w:rsid w:val="009F3B96"/>
    <w:rsid w:val="00A0014B"/>
    <w:rsid w:val="00A0441E"/>
    <w:rsid w:val="00A1078D"/>
    <w:rsid w:val="00A10D0E"/>
    <w:rsid w:val="00A12128"/>
    <w:rsid w:val="00A13BB1"/>
    <w:rsid w:val="00A20057"/>
    <w:rsid w:val="00A22C98"/>
    <w:rsid w:val="00A231E2"/>
    <w:rsid w:val="00A31C51"/>
    <w:rsid w:val="00A369E3"/>
    <w:rsid w:val="00A57600"/>
    <w:rsid w:val="00A624AB"/>
    <w:rsid w:val="00A64912"/>
    <w:rsid w:val="00A70A74"/>
    <w:rsid w:val="00A72787"/>
    <w:rsid w:val="00A75FE9"/>
    <w:rsid w:val="00A85002"/>
    <w:rsid w:val="00A93E07"/>
    <w:rsid w:val="00AD53CC"/>
    <w:rsid w:val="00AD5641"/>
    <w:rsid w:val="00AE2032"/>
    <w:rsid w:val="00AE5884"/>
    <w:rsid w:val="00AF06CF"/>
    <w:rsid w:val="00AF7271"/>
    <w:rsid w:val="00B07CDB"/>
    <w:rsid w:val="00B11E97"/>
    <w:rsid w:val="00B140C0"/>
    <w:rsid w:val="00B16A31"/>
    <w:rsid w:val="00B17DFD"/>
    <w:rsid w:val="00B27831"/>
    <w:rsid w:val="00B308FE"/>
    <w:rsid w:val="00B33709"/>
    <w:rsid w:val="00B33B3C"/>
    <w:rsid w:val="00B35B5C"/>
    <w:rsid w:val="00B36392"/>
    <w:rsid w:val="00B418CB"/>
    <w:rsid w:val="00B43806"/>
    <w:rsid w:val="00B441CE"/>
    <w:rsid w:val="00B45EDB"/>
    <w:rsid w:val="00B47444"/>
    <w:rsid w:val="00B50ADC"/>
    <w:rsid w:val="00B566B1"/>
    <w:rsid w:val="00B62442"/>
    <w:rsid w:val="00B63834"/>
    <w:rsid w:val="00B64518"/>
    <w:rsid w:val="00B70E75"/>
    <w:rsid w:val="00B71B52"/>
    <w:rsid w:val="00B71E19"/>
    <w:rsid w:val="00B77357"/>
    <w:rsid w:val="00B80199"/>
    <w:rsid w:val="00B83204"/>
    <w:rsid w:val="00B856E7"/>
    <w:rsid w:val="00B91917"/>
    <w:rsid w:val="00BA220B"/>
    <w:rsid w:val="00BA3A57"/>
    <w:rsid w:val="00BB1533"/>
    <w:rsid w:val="00BB4E1A"/>
    <w:rsid w:val="00BB7120"/>
    <w:rsid w:val="00BC015E"/>
    <w:rsid w:val="00BC76AC"/>
    <w:rsid w:val="00BD0ECB"/>
    <w:rsid w:val="00BD268A"/>
    <w:rsid w:val="00BE0066"/>
    <w:rsid w:val="00BE2155"/>
    <w:rsid w:val="00BE2FB2"/>
    <w:rsid w:val="00BE617B"/>
    <w:rsid w:val="00BE6D80"/>
    <w:rsid w:val="00BE719A"/>
    <w:rsid w:val="00BE720A"/>
    <w:rsid w:val="00BF0D73"/>
    <w:rsid w:val="00BF2465"/>
    <w:rsid w:val="00BF647F"/>
    <w:rsid w:val="00C16619"/>
    <w:rsid w:val="00C24B6E"/>
    <w:rsid w:val="00C25E7F"/>
    <w:rsid w:val="00C2746F"/>
    <w:rsid w:val="00C323D6"/>
    <w:rsid w:val="00C324A0"/>
    <w:rsid w:val="00C42ABC"/>
    <w:rsid w:val="00C42BF8"/>
    <w:rsid w:val="00C50043"/>
    <w:rsid w:val="00C53E03"/>
    <w:rsid w:val="00C70899"/>
    <w:rsid w:val="00C7573B"/>
    <w:rsid w:val="00C85E14"/>
    <w:rsid w:val="00C97A54"/>
    <w:rsid w:val="00CA5B23"/>
    <w:rsid w:val="00CA6865"/>
    <w:rsid w:val="00CB20C1"/>
    <w:rsid w:val="00CB602E"/>
    <w:rsid w:val="00CB7E90"/>
    <w:rsid w:val="00CE051D"/>
    <w:rsid w:val="00CE1335"/>
    <w:rsid w:val="00CE493D"/>
    <w:rsid w:val="00CF07FA"/>
    <w:rsid w:val="00CF0BB2"/>
    <w:rsid w:val="00CF3EE8"/>
    <w:rsid w:val="00CF60CC"/>
    <w:rsid w:val="00D04551"/>
    <w:rsid w:val="00D13441"/>
    <w:rsid w:val="00D13FE1"/>
    <w:rsid w:val="00D150E7"/>
    <w:rsid w:val="00D15BA9"/>
    <w:rsid w:val="00D2374D"/>
    <w:rsid w:val="00D30F44"/>
    <w:rsid w:val="00D36C24"/>
    <w:rsid w:val="00D45745"/>
    <w:rsid w:val="00D4665F"/>
    <w:rsid w:val="00D52DC2"/>
    <w:rsid w:val="00D53BCC"/>
    <w:rsid w:val="00D54C9E"/>
    <w:rsid w:val="00D6537E"/>
    <w:rsid w:val="00D658FE"/>
    <w:rsid w:val="00D70153"/>
    <w:rsid w:val="00D70DFB"/>
    <w:rsid w:val="00D766DF"/>
    <w:rsid w:val="00D77104"/>
    <w:rsid w:val="00D8206C"/>
    <w:rsid w:val="00D91F10"/>
    <w:rsid w:val="00D93510"/>
    <w:rsid w:val="00DA112E"/>
    <w:rsid w:val="00DA186E"/>
    <w:rsid w:val="00DA4116"/>
    <w:rsid w:val="00DB2061"/>
    <w:rsid w:val="00DB251C"/>
    <w:rsid w:val="00DB4630"/>
    <w:rsid w:val="00DC3604"/>
    <w:rsid w:val="00DC4F88"/>
    <w:rsid w:val="00DE107C"/>
    <w:rsid w:val="00DF2388"/>
    <w:rsid w:val="00E03F87"/>
    <w:rsid w:val="00E05704"/>
    <w:rsid w:val="00E0630E"/>
    <w:rsid w:val="00E27E37"/>
    <w:rsid w:val="00E338EF"/>
    <w:rsid w:val="00E37771"/>
    <w:rsid w:val="00E419FA"/>
    <w:rsid w:val="00E539D8"/>
    <w:rsid w:val="00E544BB"/>
    <w:rsid w:val="00E74DC7"/>
    <w:rsid w:val="00E8075A"/>
    <w:rsid w:val="00E879A1"/>
    <w:rsid w:val="00E940D8"/>
    <w:rsid w:val="00E94D5E"/>
    <w:rsid w:val="00EA7100"/>
    <w:rsid w:val="00EA7F9F"/>
    <w:rsid w:val="00EB1274"/>
    <w:rsid w:val="00ED2BB6"/>
    <w:rsid w:val="00ED31EB"/>
    <w:rsid w:val="00ED34E1"/>
    <w:rsid w:val="00ED3B8D"/>
    <w:rsid w:val="00ED7933"/>
    <w:rsid w:val="00EE236F"/>
    <w:rsid w:val="00EE3F38"/>
    <w:rsid w:val="00EE5E36"/>
    <w:rsid w:val="00EF1C70"/>
    <w:rsid w:val="00EF2E3A"/>
    <w:rsid w:val="00EF7589"/>
    <w:rsid w:val="00F02C7C"/>
    <w:rsid w:val="00F05F0B"/>
    <w:rsid w:val="00F072A7"/>
    <w:rsid w:val="00F078DC"/>
    <w:rsid w:val="00F32BA8"/>
    <w:rsid w:val="00F32EE0"/>
    <w:rsid w:val="00F349F1"/>
    <w:rsid w:val="00F4350D"/>
    <w:rsid w:val="00F43A88"/>
    <w:rsid w:val="00F479C4"/>
    <w:rsid w:val="00F55016"/>
    <w:rsid w:val="00F567F7"/>
    <w:rsid w:val="00F65552"/>
    <w:rsid w:val="00F6696E"/>
    <w:rsid w:val="00F73BD6"/>
    <w:rsid w:val="00F7436F"/>
    <w:rsid w:val="00F82C8E"/>
    <w:rsid w:val="00F83989"/>
    <w:rsid w:val="00F84E9A"/>
    <w:rsid w:val="00F85099"/>
    <w:rsid w:val="00F8540B"/>
    <w:rsid w:val="00F85F06"/>
    <w:rsid w:val="00F9379C"/>
    <w:rsid w:val="00F93E3B"/>
    <w:rsid w:val="00F9632C"/>
    <w:rsid w:val="00FA1E52"/>
    <w:rsid w:val="00FB104D"/>
    <w:rsid w:val="00FB3B1E"/>
    <w:rsid w:val="00FB5A08"/>
    <w:rsid w:val="00FC6A80"/>
    <w:rsid w:val="00FD4A78"/>
    <w:rsid w:val="00FD7922"/>
    <w:rsid w:val="00FE2731"/>
    <w:rsid w:val="00FE4688"/>
    <w:rsid w:val="00FE6AD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CBA5F13"/>
  <w15:docId w15:val="{99A5052D-A39D-4337-896A-46A06C3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5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5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10"/>
    <w:rPr>
      <w:b/>
      <w:bCs/>
    </w:rPr>
  </w:style>
  <w:style w:type="character" w:customStyle="1" w:styleId="legsubtitle1">
    <w:name w:val="legsubtitle1"/>
    <w:basedOn w:val="DefaultParagraphFont"/>
    <w:rsid w:val="00226E17"/>
    <w:rPr>
      <w:b/>
      <w:bCs/>
    </w:rPr>
  </w:style>
  <w:style w:type="paragraph" w:styleId="Revision">
    <w:name w:val="Revision"/>
    <w:hidden/>
    <w:uiPriority w:val="99"/>
    <w:semiHidden/>
    <w:rsid w:val="001B5C49"/>
    <w:rPr>
      <w:sz w:val="22"/>
    </w:rPr>
  </w:style>
  <w:style w:type="paragraph" w:styleId="ListParagraph">
    <w:name w:val="List Paragraph"/>
    <w:basedOn w:val="Normal"/>
    <w:uiPriority w:val="34"/>
    <w:qFormat/>
    <w:rsid w:val="004E12D2"/>
    <w:pPr>
      <w:spacing w:line="240" w:lineRule="auto"/>
      <w:ind w:left="720"/>
    </w:pPr>
    <w:rPr>
      <w:rFonts w:ascii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7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3EEE-9EF3-4FEA-B9FC-291CA9E4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Grace LIM</cp:lastModifiedBy>
  <cp:revision>3</cp:revision>
  <cp:lastPrinted>2018-11-08T03:21:00Z</cp:lastPrinted>
  <dcterms:created xsi:type="dcterms:W3CDTF">2018-12-19T23:13:00Z</dcterms:created>
  <dcterms:modified xsi:type="dcterms:W3CDTF">2018-12-19T23:14:00Z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