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BBA09" w14:textId="77777777" w:rsidR="005161DA" w:rsidRPr="00641906" w:rsidRDefault="005161DA" w:rsidP="005161DA">
      <w:pPr>
        <w:jc w:val="center"/>
        <w:rPr>
          <w:rFonts w:ascii="Times New Roman" w:hAnsi="Times New Roman" w:cs="Times New Roman"/>
          <w:b/>
          <w:sz w:val="28"/>
          <w:szCs w:val="28"/>
        </w:rPr>
      </w:pPr>
      <w:bookmarkStart w:id="0" w:name="_GoBack"/>
      <w:bookmarkEnd w:id="0"/>
      <w:r w:rsidRPr="00641906">
        <w:rPr>
          <w:rFonts w:ascii="Times New Roman" w:hAnsi="Times New Roman" w:cs="Times New Roman"/>
          <w:b/>
          <w:sz w:val="28"/>
          <w:szCs w:val="28"/>
        </w:rPr>
        <w:t>EXPLANATORY STATEMENT</w:t>
      </w:r>
    </w:p>
    <w:p w14:paraId="593BBA0A" w14:textId="77777777" w:rsidR="005161DA" w:rsidRDefault="005161DA" w:rsidP="005161DA">
      <w:pPr>
        <w:jc w:val="center"/>
        <w:rPr>
          <w:rFonts w:ascii="Times New Roman" w:hAnsi="Times New Roman" w:cs="Times New Roman"/>
        </w:rPr>
      </w:pPr>
      <w:r>
        <w:rPr>
          <w:rFonts w:ascii="Times New Roman" w:hAnsi="Times New Roman" w:cs="Times New Roman"/>
        </w:rPr>
        <w:t xml:space="preserve">Issued by Authority of the Attorney-General </w:t>
      </w:r>
    </w:p>
    <w:p w14:paraId="593BBA0B" w14:textId="77777777" w:rsidR="005161DA" w:rsidRDefault="005161DA" w:rsidP="005161DA">
      <w:pPr>
        <w:jc w:val="center"/>
        <w:rPr>
          <w:rFonts w:ascii="Times New Roman" w:hAnsi="Times New Roman" w:cs="Times New Roman"/>
          <w:i/>
        </w:rPr>
      </w:pPr>
      <w:r>
        <w:rPr>
          <w:rFonts w:ascii="Times New Roman" w:hAnsi="Times New Roman" w:cs="Times New Roman"/>
          <w:i/>
        </w:rPr>
        <w:t xml:space="preserve">Foreign Influence Transparency Scheme Act 2018 </w:t>
      </w:r>
    </w:p>
    <w:p w14:paraId="593BBA0C" w14:textId="77777777" w:rsidR="005161DA" w:rsidRDefault="005161DA" w:rsidP="005161DA">
      <w:pPr>
        <w:jc w:val="center"/>
        <w:rPr>
          <w:rFonts w:ascii="Times New Roman" w:hAnsi="Times New Roman" w:cs="Times New Roman"/>
          <w:b/>
          <w:i/>
        </w:rPr>
      </w:pPr>
      <w:r w:rsidRPr="00667B70">
        <w:rPr>
          <w:rFonts w:ascii="Times New Roman" w:hAnsi="Times New Roman" w:cs="Times New Roman"/>
          <w:b/>
          <w:i/>
        </w:rPr>
        <w:t xml:space="preserve">Foreign Influence Transparency Scheme </w:t>
      </w:r>
      <w:r>
        <w:rPr>
          <w:rFonts w:ascii="Times New Roman" w:hAnsi="Times New Roman" w:cs="Times New Roman"/>
          <w:b/>
          <w:i/>
        </w:rPr>
        <w:t xml:space="preserve">(Disclosure in Communications Activity) Amendment </w:t>
      </w:r>
      <w:r w:rsidRPr="00667B70">
        <w:rPr>
          <w:rFonts w:ascii="Times New Roman" w:hAnsi="Times New Roman" w:cs="Times New Roman"/>
          <w:b/>
          <w:i/>
        </w:rPr>
        <w:t>Rules 2018</w:t>
      </w:r>
    </w:p>
    <w:p w14:paraId="593BBA0D" w14:textId="77777777" w:rsidR="005161DA" w:rsidRPr="007D698E" w:rsidRDefault="005161DA" w:rsidP="005161DA">
      <w:pPr>
        <w:pBdr>
          <w:bottom w:val="single" w:sz="4" w:space="1" w:color="auto"/>
        </w:pBdr>
        <w:spacing w:after="240"/>
        <w:jc w:val="center"/>
        <w:rPr>
          <w:rFonts w:ascii="Times New Roman" w:eastAsia="Calibri" w:hAnsi="Times New Roman" w:cs="Times New Roman"/>
          <w:szCs w:val="24"/>
        </w:rPr>
      </w:pPr>
    </w:p>
    <w:p w14:paraId="593BBA0E" w14:textId="77777777" w:rsidR="005161DA" w:rsidRDefault="005161DA" w:rsidP="005161DA">
      <w:pPr>
        <w:spacing w:afterLines="100" w:after="240"/>
        <w:rPr>
          <w:rFonts w:ascii="Times New Roman" w:hAnsi="Times New Roman" w:cs="Times New Roman"/>
          <w:b/>
        </w:rPr>
      </w:pPr>
      <w:r w:rsidRPr="004D2843">
        <w:rPr>
          <w:rFonts w:ascii="Times New Roman" w:hAnsi="Times New Roman" w:cs="Times New Roman"/>
          <w:b/>
        </w:rPr>
        <w:t>Authority</w:t>
      </w:r>
    </w:p>
    <w:p w14:paraId="593BBA0F" w14:textId="77777777" w:rsidR="005161DA" w:rsidRDefault="005161DA" w:rsidP="005161DA">
      <w:pPr>
        <w:spacing w:afterLines="100" w:after="240"/>
        <w:rPr>
          <w:rFonts w:ascii="Times New Roman" w:hAnsi="Times New Roman" w:cs="Times New Roman"/>
          <w:szCs w:val="20"/>
        </w:rPr>
      </w:pPr>
      <w:r>
        <w:rPr>
          <w:rFonts w:ascii="Times New Roman" w:hAnsi="Times New Roman" w:cs="Times New Roman"/>
        </w:rPr>
        <w:t xml:space="preserve">The </w:t>
      </w:r>
      <w:r w:rsidRPr="003A29C3">
        <w:rPr>
          <w:rFonts w:ascii="Times New Roman" w:hAnsi="Times New Roman" w:cs="Times New Roman"/>
          <w:i/>
          <w:szCs w:val="20"/>
        </w:rPr>
        <w:t xml:space="preserve">Foreign Influence Transparency Scheme </w:t>
      </w:r>
      <w:r>
        <w:rPr>
          <w:rFonts w:ascii="Times New Roman" w:hAnsi="Times New Roman" w:cs="Times New Roman"/>
          <w:i/>
          <w:szCs w:val="20"/>
        </w:rPr>
        <w:t xml:space="preserve">(Disclosure in Communications Activity) Amendment </w:t>
      </w:r>
      <w:r w:rsidRPr="003A29C3">
        <w:rPr>
          <w:rFonts w:ascii="Times New Roman" w:hAnsi="Times New Roman" w:cs="Times New Roman"/>
          <w:i/>
          <w:szCs w:val="20"/>
        </w:rPr>
        <w:t>Rules</w:t>
      </w:r>
      <w:r w:rsidRPr="003A29C3">
        <w:rPr>
          <w:rFonts w:ascii="Times New Roman" w:hAnsi="Times New Roman" w:cs="Times New Roman"/>
          <w:szCs w:val="20"/>
        </w:rPr>
        <w:t xml:space="preserve"> </w:t>
      </w:r>
      <w:r w:rsidRPr="005161DA">
        <w:rPr>
          <w:rFonts w:ascii="Times New Roman" w:hAnsi="Times New Roman" w:cs="Times New Roman"/>
          <w:i/>
          <w:szCs w:val="20"/>
        </w:rPr>
        <w:t>2018</w:t>
      </w:r>
      <w:r w:rsidRPr="003A29C3">
        <w:rPr>
          <w:rFonts w:ascii="Times New Roman" w:hAnsi="Times New Roman" w:cs="Times New Roman"/>
          <w:szCs w:val="20"/>
        </w:rPr>
        <w:t xml:space="preserve"> (the</w:t>
      </w:r>
      <w:r>
        <w:rPr>
          <w:rFonts w:ascii="Times New Roman" w:hAnsi="Times New Roman" w:cs="Times New Roman"/>
          <w:szCs w:val="20"/>
        </w:rPr>
        <w:t xml:space="preserve"> Amendment</w:t>
      </w:r>
      <w:r w:rsidRPr="003A29C3">
        <w:rPr>
          <w:rFonts w:ascii="Times New Roman" w:hAnsi="Times New Roman" w:cs="Times New Roman"/>
          <w:szCs w:val="20"/>
        </w:rPr>
        <w:t xml:space="preserve"> </w:t>
      </w:r>
      <w:r>
        <w:rPr>
          <w:rFonts w:ascii="Times New Roman" w:hAnsi="Times New Roman" w:cs="Times New Roman"/>
          <w:szCs w:val="20"/>
        </w:rPr>
        <w:t>R</w:t>
      </w:r>
      <w:r w:rsidRPr="003A29C3">
        <w:rPr>
          <w:rFonts w:ascii="Times New Roman" w:hAnsi="Times New Roman" w:cs="Times New Roman"/>
          <w:szCs w:val="20"/>
        </w:rPr>
        <w:t>ules</w:t>
      </w:r>
      <w:r>
        <w:rPr>
          <w:rFonts w:ascii="Times New Roman" w:hAnsi="Times New Roman" w:cs="Times New Roman"/>
          <w:szCs w:val="20"/>
        </w:rPr>
        <w:t xml:space="preserve">) are made under section 71 of the </w:t>
      </w:r>
      <w:r w:rsidRPr="003A29C3">
        <w:rPr>
          <w:rFonts w:ascii="Times New Roman" w:hAnsi="Times New Roman" w:cs="Times New Roman"/>
          <w:i/>
          <w:szCs w:val="20"/>
        </w:rPr>
        <w:t xml:space="preserve">Foreign Influence Transparency Scheme Act 2018 </w:t>
      </w:r>
      <w:r>
        <w:rPr>
          <w:rFonts w:ascii="Times New Roman" w:hAnsi="Times New Roman" w:cs="Times New Roman"/>
          <w:szCs w:val="20"/>
        </w:rPr>
        <w:t>(the Act</w:t>
      </w:r>
      <w:r w:rsidRPr="003A29C3">
        <w:rPr>
          <w:rFonts w:ascii="Times New Roman" w:hAnsi="Times New Roman" w:cs="Times New Roman"/>
          <w:szCs w:val="20"/>
        </w:rPr>
        <w:t>)</w:t>
      </w:r>
      <w:r>
        <w:rPr>
          <w:rFonts w:ascii="Times New Roman" w:hAnsi="Times New Roman" w:cs="Times New Roman"/>
          <w:szCs w:val="20"/>
        </w:rPr>
        <w:t xml:space="preserve">, for the purposes of </w:t>
      </w:r>
      <w:r w:rsidRPr="003A29C3">
        <w:rPr>
          <w:rFonts w:ascii="Times New Roman" w:hAnsi="Times New Roman" w:cs="Times New Roman"/>
          <w:szCs w:val="20"/>
        </w:rPr>
        <w:t xml:space="preserve">section </w:t>
      </w:r>
      <w:r>
        <w:rPr>
          <w:rFonts w:ascii="Times New Roman" w:hAnsi="Times New Roman" w:cs="Times New Roman"/>
          <w:szCs w:val="20"/>
        </w:rPr>
        <w:t>38</w:t>
      </w:r>
      <w:r w:rsidRPr="003A29C3">
        <w:rPr>
          <w:rFonts w:ascii="Times New Roman" w:hAnsi="Times New Roman" w:cs="Times New Roman"/>
          <w:szCs w:val="20"/>
        </w:rPr>
        <w:t xml:space="preserve"> of the Act</w:t>
      </w:r>
      <w:r>
        <w:rPr>
          <w:rFonts w:ascii="Times New Roman" w:hAnsi="Times New Roman" w:cs="Times New Roman"/>
          <w:szCs w:val="20"/>
        </w:rPr>
        <w:t>. The Act establishes the Foreign Influence Transparency Scheme (the scheme). The objective of the scheme is to provide transparency to the public and decision makers about the nature, level and extent of foreign influence on Australia’s governmental and political processes.</w:t>
      </w:r>
    </w:p>
    <w:p w14:paraId="593BBA10" w14:textId="77777777" w:rsidR="005161DA" w:rsidRDefault="005161DA" w:rsidP="005161DA">
      <w:pPr>
        <w:spacing w:afterLines="100" w:after="240"/>
        <w:rPr>
          <w:rFonts w:ascii="Times New Roman" w:hAnsi="Times New Roman" w:cs="Times New Roman"/>
          <w:szCs w:val="20"/>
        </w:rPr>
      </w:pPr>
      <w:r>
        <w:rPr>
          <w:rFonts w:ascii="Times New Roman" w:hAnsi="Times New Roman" w:cs="Times New Roman"/>
          <w:szCs w:val="20"/>
        </w:rPr>
        <w:t>Section 71 of the Act provides that the Minister may, by legislative instrument, make rules prescribing matters that are required or permitted by the Act to be prescribed by the rules, or that are necessary or convenient to be prescribed for carrying out or giving effect to the Act.</w:t>
      </w:r>
    </w:p>
    <w:p w14:paraId="593BBA11" w14:textId="77777777" w:rsidR="005161DA" w:rsidRDefault="005161DA" w:rsidP="005161DA">
      <w:pPr>
        <w:spacing w:afterLines="100" w:after="240"/>
        <w:rPr>
          <w:rFonts w:ascii="Times New Roman" w:hAnsi="Times New Roman" w:cs="Times New Roman"/>
          <w:szCs w:val="24"/>
        </w:rPr>
      </w:pPr>
      <w:r>
        <w:rPr>
          <w:rFonts w:ascii="Times New Roman" w:hAnsi="Times New Roman" w:cs="Times New Roman"/>
          <w:szCs w:val="24"/>
        </w:rPr>
        <w:t xml:space="preserve">Section 38 of the Act </w:t>
      </w:r>
      <w:r w:rsidRPr="006159C5">
        <w:rPr>
          <w:rFonts w:ascii="Times New Roman" w:hAnsi="Times New Roman" w:cs="Times New Roman"/>
          <w:szCs w:val="24"/>
        </w:rPr>
        <w:t xml:space="preserve">requires a person who is registered in relation to communications activities on behalf of a foreign principal to make a disclosure about the foreign principal in accordance with the rules. </w:t>
      </w:r>
    </w:p>
    <w:p w14:paraId="593BBA12" w14:textId="77777777" w:rsidR="005161DA" w:rsidRDefault="005161DA" w:rsidP="005161DA">
      <w:pPr>
        <w:spacing w:afterLines="100" w:after="240"/>
        <w:rPr>
          <w:rFonts w:ascii="Times New Roman" w:hAnsi="Times New Roman" w:cs="Times New Roman"/>
          <w:szCs w:val="24"/>
        </w:rPr>
      </w:pPr>
      <w:r>
        <w:rPr>
          <w:rFonts w:ascii="Times New Roman" w:hAnsi="Times New Roman" w:cs="Times New Roman"/>
          <w:szCs w:val="24"/>
        </w:rPr>
        <w:t>Subsection 38(1)</w:t>
      </w:r>
      <w:r w:rsidRPr="006159C5">
        <w:rPr>
          <w:rFonts w:ascii="Times New Roman" w:hAnsi="Times New Roman" w:cs="Times New Roman"/>
          <w:szCs w:val="24"/>
        </w:rPr>
        <w:t xml:space="preserve"> </w:t>
      </w:r>
      <w:r>
        <w:rPr>
          <w:rFonts w:ascii="Times New Roman" w:hAnsi="Times New Roman" w:cs="Times New Roman"/>
          <w:szCs w:val="24"/>
        </w:rPr>
        <w:t>of the Act provides that the disclosure requirement applies if:</w:t>
      </w:r>
    </w:p>
    <w:p w14:paraId="593BBA13" w14:textId="77777777" w:rsidR="005161DA" w:rsidRPr="009F755B" w:rsidRDefault="005161DA" w:rsidP="005161DA">
      <w:pPr>
        <w:pStyle w:val="ListParagraph"/>
        <w:numPr>
          <w:ilvl w:val="0"/>
          <w:numId w:val="6"/>
        </w:numPr>
        <w:spacing w:afterLines="100" w:after="240"/>
        <w:rPr>
          <w:rFonts w:ascii="Times New Roman" w:hAnsi="Times New Roman" w:cs="Times New Roman"/>
          <w:szCs w:val="24"/>
        </w:rPr>
      </w:pPr>
      <w:r w:rsidRPr="009F755B">
        <w:rPr>
          <w:rFonts w:ascii="Times New Roman" w:hAnsi="Times New Roman" w:cs="Times New Roman"/>
          <w:szCs w:val="24"/>
        </w:rPr>
        <w:t>a person is registered under the scheme in relation to a foreign principal; and</w:t>
      </w:r>
    </w:p>
    <w:p w14:paraId="593BBA14" w14:textId="77777777" w:rsidR="005161DA" w:rsidRPr="009F755B" w:rsidRDefault="005161DA" w:rsidP="005161DA">
      <w:pPr>
        <w:pStyle w:val="ListParagraph"/>
        <w:numPr>
          <w:ilvl w:val="0"/>
          <w:numId w:val="6"/>
        </w:numPr>
        <w:spacing w:afterLines="100" w:after="240"/>
        <w:rPr>
          <w:rFonts w:ascii="Times New Roman" w:hAnsi="Times New Roman" w:cs="Times New Roman"/>
          <w:szCs w:val="24"/>
        </w:rPr>
      </w:pPr>
      <w:r w:rsidRPr="009F755B">
        <w:rPr>
          <w:rFonts w:ascii="Times New Roman" w:hAnsi="Times New Roman" w:cs="Times New Roman"/>
          <w:szCs w:val="24"/>
        </w:rPr>
        <w:t>the person undertakes communications activity on behalf of the foreign principal; and</w:t>
      </w:r>
    </w:p>
    <w:p w14:paraId="593BBA15" w14:textId="77777777" w:rsidR="005161DA" w:rsidRPr="00B3537D" w:rsidRDefault="005161DA" w:rsidP="005161DA">
      <w:pPr>
        <w:pStyle w:val="ListParagraph"/>
        <w:numPr>
          <w:ilvl w:val="0"/>
          <w:numId w:val="6"/>
        </w:numPr>
        <w:spacing w:afterLines="100" w:after="240"/>
      </w:pPr>
      <w:proofErr w:type="gramStart"/>
      <w:r w:rsidRPr="009F755B">
        <w:rPr>
          <w:rFonts w:ascii="Times New Roman" w:hAnsi="Times New Roman" w:cs="Times New Roman"/>
          <w:szCs w:val="24"/>
        </w:rPr>
        <w:t>the</w:t>
      </w:r>
      <w:proofErr w:type="gramEnd"/>
      <w:r w:rsidRPr="009F755B">
        <w:rPr>
          <w:rFonts w:ascii="Times New Roman" w:hAnsi="Times New Roman" w:cs="Times New Roman"/>
          <w:szCs w:val="24"/>
        </w:rPr>
        <w:t xml:space="preserve"> communications activity is registrable in relation to the foreign principal within the meaning of section 21 (activity in Australia for the purpose of political or governmental influence).</w:t>
      </w:r>
    </w:p>
    <w:p w14:paraId="593BBA16" w14:textId="77777777" w:rsidR="005161DA" w:rsidRPr="006159C5" w:rsidRDefault="005161DA" w:rsidP="005161DA">
      <w:pPr>
        <w:spacing w:afterLines="100" w:after="240"/>
        <w:rPr>
          <w:rFonts w:ascii="Times New Roman" w:hAnsi="Times New Roman" w:cs="Times New Roman"/>
          <w:szCs w:val="24"/>
        </w:rPr>
      </w:pPr>
      <w:r>
        <w:rPr>
          <w:rFonts w:ascii="Times New Roman" w:hAnsi="Times New Roman" w:cs="Times New Roman"/>
          <w:szCs w:val="24"/>
        </w:rPr>
        <w:t>Subsection 38(2) of the Act provides that the rules may prescribe any or all of the following:</w:t>
      </w:r>
    </w:p>
    <w:p w14:paraId="593BBA17" w14:textId="77777777" w:rsidR="005161DA" w:rsidRDefault="005161DA" w:rsidP="005161DA">
      <w:pPr>
        <w:pStyle w:val="ListParagraph"/>
        <w:numPr>
          <w:ilvl w:val="0"/>
          <w:numId w:val="7"/>
        </w:numPr>
        <w:spacing w:afterLines="100" w:after="240"/>
        <w:rPr>
          <w:rFonts w:ascii="Times New Roman" w:hAnsi="Times New Roman" w:cs="Times New Roman"/>
          <w:szCs w:val="24"/>
        </w:rPr>
      </w:pPr>
      <w:r w:rsidRPr="00575270">
        <w:rPr>
          <w:rFonts w:ascii="Times New Roman" w:hAnsi="Times New Roman" w:cs="Times New Roman"/>
          <w:szCs w:val="24"/>
        </w:rPr>
        <w:t>instances of communications activity;</w:t>
      </w:r>
    </w:p>
    <w:p w14:paraId="593BBA18" w14:textId="77777777" w:rsidR="005161DA" w:rsidRDefault="005161DA" w:rsidP="005161DA">
      <w:pPr>
        <w:pStyle w:val="ListParagraph"/>
        <w:numPr>
          <w:ilvl w:val="0"/>
          <w:numId w:val="7"/>
        </w:numPr>
        <w:spacing w:afterLines="100" w:after="240"/>
        <w:rPr>
          <w:rFonts w:ascii="Times New Roman" w:hAnsi="Times New Roman" w:cs="Times New Roman"/>
          <w:szCs w:val="24"/>
        </w:rPr>
      </w:pPr>
      <w:r w:rsidRPr="00575270">
        <w:rPr>
          <w:rFonts w:ascii="Times New Roman" w:hAnsi="Times New Roman" w:cs="Times New Roman"/>
          <w:szCs w:val="24"/>
        </w:rPr>
        <w:t>when and how disclosures are to be made in relation to instances of communications activity;</w:t>
      </w:r>
    </w:p>
    <w:p w14:paraId="593BBA19" w14:textId="77777777" w:rsidR="005161DA" w:rsidRDefault="005161DA" w:rsidP="005161DA">
      <w:pPr>
        <w:pStyle w:val="ListParagraph"/>
        <w:numPr>
          <w:ilvl w:val="0"/>
          <w:numId w:val="7"/>
        </w:numPr>
        <w:spacing w:afterLines="100" w:after="240"/>
        <w:rPr>
          <w:rFonts w:ascii="Times New Roman" w:hAnsi="Times New Roman" w:cs="Times New Roman"/>
          <w:szCs w:val="24"/>
        </w:rPr>
      </w:pPr>
      <w:r w:rsidRPr="00575270">
        <w:rPr>
          <w:rFonts w:ascii="Times New Roman" w:hAnsi="Times New Roman" w:cs="Times New Roman"/>
          <w:szCs w:val="24"/>
        </w:rPr>
        <w:t>the content, form and manner of disclosures;</w:t>
      </w:r>
    </w:p>
    <w:p w14:paraId="593BBA1A" w14:textId="77777777" w:rsidR="005161DA" w:rsidRPr="00575270" w:rsidRDefault="005161DA" w:rsidP="005161DA">
      <w:pPr>
        <w:pStyle w:val="ListParagraph"/>
        <w:numPr>
          <w:ilvl w:val="0"/>
          <w:numId w:val="7"/>
        </w:numPr>
        <w:spacing w:afterLines="100" w:after="240"/>
        <w:rPr>
          <w:rFonts w:ascii="Times New Roman" w:hAnsi="Times New Roman" w:cs="Times New Roman"/>
          <w:szCs w:val="24"/>
        </w:rPr>
      </w:pPr>
      <w:proofErr w:type="gramStart"/>
      <w:r w:rsidRPr="00575270">
        <w:rPr>
          <w:rFonts w:ascii="Times New Roman" w:hAnsi="Times New Roman" w:cs="Times New Roman"/>
          <w:szCs w:val="24"/>
        </w:rPr>
        <w:t>circumstances</w:t>
      </w:r>
      <w:proofErr w:type="gramEnd"/>
      <w:r w:rsidRPr="00575270">
        <w:rPr>
          <w:rFonts w:ascii="Times New Roman" w:hAnsi="Times New Roman" w:cs="Times New Roman"/>
          <w:szCs w:val="24"/>
        </w:rPr>
        <w:t xml:space="preserve"> in which a person is exempt from making a disclosure.</w:t>
      </w:r>
    </w:p>
    <w:p w14:paraId="593BBA1B" w14:textId="77777777" w:rsidR="005161DA" w:rsidRDefault="005161DA" w:rsidP="005161DA">
      <w:pPr>
        <w:spacing w:afterLines="100" w:after="240"/>
        <w:rPr>
          <w:rFonts w:ascii="Times New Roman" w:hAnsi="Times New Roman" w:cs="Times New Roman"/>
          <w:b/>
          <w:szCs w:val="24"/>
        </w:rPr>
      </w:pPr>
      <w:r w:rsidRPr="007B0891">
        <w:rPr>
          <w:rFonts w:ascii="Times New Roman" w:hAnsi="Times New Roman" w:cs="Times New Roman"/>
          <w:b/>
          <w:szCs w:val="24"/>
        </w:rPr>
        <w:t xml:space="preserve">Purpose </w:t>
      </w:r>
      <w:r>
        <w:rPr>
          <w:rFonts w:ascii="Times New Roman" w:hAnsi="Times New Roman" w:cs="Times New Roman"/>
          <w:b/>
          <w:szCs w:val="24"/>
        </w:rPr>
        <w:t>and operation of the Amendment R</w:t>
      </w:r>
      <w:r w:rsidRPr="007B0891">
        <w:rPr>
          <w:rFonts w:ascii="Times New Roman" w:hAnsi="Times New Roman" w:cs="Times New Roman"/>
          <w:b/>
          <w:szCs w:val="24"/>
        </w:rPr>
        <w:t xml:space="preserve">ules </w:t>
      </w:r>
    </w:p>
    <w:p w14:paraId="593BBA1C" w14:textId="77777777" w:rsidR="001552FA" w:rsidRDefault="00327F50" w:rsidP="005161DA">
      <w:pPr>
        <w:spacing w:afterLines="100" w:after="240"/>
        <w:rPr>
          <w:rFonts w:ascii="Times New Roman" w:hAnsi="Times New Roman" w:cs="Times New Roman"/>
          <w:szCs w:val="20"/>
        </w:rPr>
      </w:pPr>
      <w:r>
        <w:rPr>
          <w:rFonts w:ascii="Times New Roman" w:hAnsi="Times New Roman" w:cs="Times New Roman"/>
          <w:szCs w:val="20"/>
        </w:rPr>
        <w:t>The Amendment Rules make minor amendments to</w:t>
      </w:r>
      <w:r w:rsidR="001552FA">
        <w:rPr>
          <w:rFonts w:ascii="Times New Roman" w:hAnsi="Times New Roman" w:cs="Times New Roman"/>
          <w:szCs w:val="20"/>
        </w:rPr>
        <w:t xml:space="preserve"> section 7 of</w:t>
      </w:r>
      <w:r>
        <w:rPr>
          <w:rFonts w:ascii="Times New Roman" w:hAnsi="Times New Roman" w:cs="Times New Roman"/>
          <w:szCs w:val="20"/>
        </w:rPr>
        <w:t xml:space="preserve"> the </w:t>
      </w:r>
      <w:r w:rsidRPr="003A29C3">
        <w:rPr>
          <w:rFonts w:ascii="Times New Roman" w:hAnsi="Times New Roman" w:cs="Times New Roman"/>
          <w:i/>
          <w:szCs w:val="20"/>
        </w:rPr>
        <w:t xml:space="preserve">Foreign Influence Transparency Scheme </w:t>
      </w:r>
      <w:r>
        <w:rPr>
          <w:rFonts w:ascii="Times New Roman" w:hAnsi="Times New Roman" w:cs="Times New Roman"/>
          <w:i/>
          <w:szCs w:val="20"/>
        </w:rPr>
        <w:t xml:space="preserve">(Disclosure in Communications Activity) </w:t>
      </w:r>
      <w:r w:rsidRPr="003A29C3">
        <w:rPr>
          <w:rFonts w:ascii="Times New Roman" w:hAnsi="Times New Roman" w:cs="Times New Roman"/>
          <w:i/>
          <w:szCs w:val="20"/>
        </w:rPr>
        <w:t>Rules</w:t>
      </w:r>
      <w:r>
        <w:rPr>
          <w:rFonts w:ascii="Times New Roman" w:hAnsi="Times New Roman" w:cs="Times New Roman"/>
          <w:i/>
          <w:szCs w:val="20"/>
        </w:rPr>
        <w:t xml:space="preserve"> 2018</w:t>
      </w:r>
      <w:r>
        <w:rPr>
          <w:rFonts w:ascii="Times New Roman" w:hAnsi="Times New Roman" w:cs="Times New Roman"/>
          <w:szCs w:val="20"/>
        </w:rPr>
        <w:t xml:space="preserve"> (the FITS Rules), which commenced on 10 December 2018. </w:t>
      </w:r>
      <w:r w:rsidR="001552FA">
        <w:rPr>
          <w:rFonts w:ascii="Times New Roman" w:hAnsi="Times New Roman" w:cs="Times New Roman"/>
          <w:szCs w:val="20"/>
        </w:rPr>
        <w:t>The amendments address an oversight in the development of the FITS Rules.</w:t>
      </w:r>
    </w:p>
    <w:p w14:paraId="593BBA1D" w14:textId="77777777" w:rsidR="001552FA" w:rsidRDefault="001552FA" w:rsidP="005161DA">
      <w:pPr>
        <w:spacing w:afterLines="100" w:after="240"/>
        <w:rPr>
          <w:rFonts w:ascii="Times New Roman" w:hAnsi="Times New Roman" w:cs="Times New Roman"/>
          <w:szCs w:val="20"/>
        </w:rPr>
      </w:pPr>
      <w:r>
        <w:rPr>
          <w:rFonts w:ascii="Times New Roman" w:hAnsi="Times New Roman" w:cs="Times New Roman"/>
          <w:szCs w:val="20"/>
        </w:rPr>
        <w:lastRenderedPageBreak/>
        <w:t>The FITS Rules</w:t>
      </w:r>
      <w:r w:rsidRPr="001552FA">
        <w:rPr>
          <w:rFonts w:ascii="Times New Roman" w:hAnsi="Times New Roman" w:cs="Times New Roman"/>
          <w:szCs w:val="20"/>
        </w:rPr>
        <w:t xml:space="preserve"> prescribe the form, manner and content of disclosures to be made by persons registered under the </w:t>
      </w:r>
      <w:r>
        <w:rPr>
          <w:rFonts w:ascii="Times New Roman" w:hAnsi="Times New Roman" w:cs="Times New Roman"/>
          <w:szCs w:val="20"/>
        </w:rPr>
        <w:t xml:space="preserve">scheme </w:t>
      </w:r>
      <w:r w:rsidRPr="001552FA">
        <w:rPr>
          <w:rFonts w:ascii="Times New Roman" w:hAnsi="Times New Roman" w:cs="Times New Roman"/>
          <w:szCs w:val="20"/>
        </w:rPr>
        <w:t>when communicating to the public on behalf of a foreign principal, for the purposes of section 38</w:t>
      </w:r>
      <w:r>
        <w:rPr>
          <w:rFonts w:ascii="Times New Roman" w:hAnsi="Times New Roman" w:cs="Times New Roman"/>
          <w:szCs w:val="20"/>
        </w:rPr>
        <w:t xml:space="preserve"> of the Act. Section 7 of the FITS Rules relates to </w:t>
      </w:r>
      <w:r w:rsidRPr="001552FA">
        <w:rPr>
          <w:rFonts w:ascii="Times New Roman" w:hAnsi="Times New Roman" w:cs="Times New Roman"/>
          <w:szCs w:val="20"/>
        </w:rPr>
        <w:t>the disclosure requirements applying to authorised political material.</w:t>
      </w:r>
    </w:p>
    <w:p w14:paraId="593BBA1E" w14:textId="77777777" w:rsidR="001552FA" w:rsidRDefault="001552FA" w:rsidP="001552FA">
      <w:pPr>
        <w:spacing w:afterLines="100" w:after="240"/>
        <w:rPr>
          <w:rFonts w:ascii="Times New Roman" w:hAnsi="Times New Roman" w:cs="Times New Roman"/>
          <w:szCs w:val="20"/>
          <w:lang w:val="en-US"/>
        </w:rPr>
      </w:pPr>
      <w:r w:rsidRPr="001552FA">
        <w:rPr>
          <w:rFonts w:ascii="Times New Roman" w:hAnsi="Times New Roman" w:cs="Times New Roman"/>
          <w:szCs w:val="20"/>
        </w:rPr>
        <w:t xml:space="preserve">Subsection 7(1) </w:t>
      </w:r>
      <w:r>
        <w:rPr>
          <w:rFonts w:ascii="Times New Roman" w:hAnsi="Times New Roman" w:cs="Times New Roman"/>
          <w:szCs w:val="20"/>
        </w:rPr>
        <w:t xml:space="preserve">of the FITS Rules </w:t>
      </w:r>
      <w:r w:rsidRPr="001552FA">
        <w:rPr>
          <w:rFonts w:ascii="Times New Roman" w:hAnsi="Times New Roman" w:cs="Times New Roman"/>
          <w:szCs w:val="20"/>
        </w:rPr>
        <w:t>provides that for the purposes of paragraphs 38(2</w:t>
      </w:r>
      <w:proofErr w:type="gramStart"/>
      <w:r w:rsidRPr="001552FA">
        <w:rPr>
          <w:rFonts w:ascii="Times New Roman" w:hAnsi="Times New Roman" w:cs="Times New Roman"/>
          <w:szCs w:val="20"/>
        </w:rPr>
        <w:t>)(</w:t>
      </w:r>
      <w:proofErr w:type="gramEnd"/>
      <w:r w:rsidRPr="001552FA">
        <w:rPr>
          <w:rFonts w:ascii="Times New Roman" w:hAnsi="Times New Roman" w:cs="Times New Roman"/>
          <w:szCs w:val="20"/>
        </w:rPr>
        <w:t>b) and (c) of the Act, section 7 applies if particulars relating to an instance of communications activity in column 1 of an item of the table in subsection 5(1) of the Rules are notified or announced in accordance with any of the following laws:</w:t>
      </w:r>
    </w:p>
    <w:p w14:paraId="593BBA1F" w14:textId="77777777" w:rsidR="001552FA" w:rsidRPr="001552FA" w:rsidRDefault="001552FA" w:rsidP="001552FA">
      <w:pPr>
        <w:pStyle w:val="ListParagraph"/>
        <w:numPr>
          <w:ilvl w:val="0"/>
          <w:numId w:val="25"/>
        </w:numPr>
        <w:spacing w:afterLines="100" w:after="240"/>
        <w:rPr>
          <w:rFonts w:ascii="Times New Roman" w:hAnsi="Times New Roman" w:cs="Times New Roman"/>
          <w:szCs w:val="20"/>
          <w:lang w:val="en-US"/>
        </w:rPr>
      </w:pPr>
      <w:r w:rsidRPr="001552FA">
        <w:rPr>
          <w:rFonts w:ascii="Times New Roman" w:hAnsi="Times New Roman" w:cs="Times New Roman"/>
          <w:szCs w:val="20"/>
        </w:rPr>
        <w:t>Part XXA of the</w:t>
      </w:r>
      <w:r w:rsidRPr="001552FA">
        <w:rPr>
          <w:rFonts w:ascii="Times New Roman" w:hAnsi="Times New Roman" w:cs="Times New Roman"/>
          <w:i/>
          <w:iCs/>
          <w:szCs w:val="20"/>
        </w:rPr>
        <w:t xml:space="preserve"> Commonwealth Electoral Act 1918</w:t>
      </w:r>
    </w:p>
    <w:p w14:paraId="593BBA20" w14:textId="77777777" w:rsidR="001552FA" w:rsidRPr="001552FA" w:rsidRDefault="001552FA" w:rsidP="001552FA">
      <w:pPr>
        <w:pStyle w:val="ListParagraph"/>
        <w:numPr>
          <w:ilvl w:val="0"/>
          <w:numId w:val="25"/>
        </w:numPr>
        <w:spacing w:afterLines="100" w:after="240"/>
        <w:rPr>
          <w:rFonts w:ascii="Times New Roman" w:hAnsi="Times New Roman" w:cs="Times New Roman"/>
          <w:szCs w:val="20"/>
          <w:lang w:val="en-US"/>
        </w:rPr>
      </w:pPr>
      <w:r w:rsidRPr="001552FA">
        <w:rPr>
          <w:rFonts w:ascii="Times New Roman" w:hAnsi="Times New Roman" w:cs="Times New Roman"/>
          <w:szCs w:val="20"/>
        </w:rPr>
        <w:t>Part IX of the</w:t>
      </w:r>
      <w:r w:rsidRPr="001552FA">
        <w:rPr>
          <w:rFonts w:ascii="Times New Roman" w:hAnsi="Times New Roman" w:cs="Times New Roman"/>
          <w:i/>
          <w:iCs/>
          <w:szCs w:val="20"/>
        </w:rPr>
        <w:t xml:space="preserve"> Referendum (Machinery Provisions) Act 1984</w:t>
      </w:r>
      <w:r w:rsidRPr="001552FA">
        <w:rPr>
          <w:rFonts w:ascii="Times New Roman" w:hAnsi="Times New Roman" w:cs="Times New Roman"/>
          <w:szCs w:val="20"/>
        </w:rPr>
        <w:t>, and</w:t>
      </w:r>
    </w:p>
    <w:p w14:paraId="593BBA21" w14:textId="77777777" w:rsidR="001552FA" w:rsidRPr="001552FA" w:rsidRDefault="001552FA" w:rsidP="001552FA">
      <w:pPr>
        <w:pStyle w:val="ListParagraph"/>
        <w:numPr>
          <w:ilvl w:val="0"/>
          <w:numId w:val="25"/>
        </w:numPr>
        <w:spacing w:afterLines="100" w:after="240"/>
        <w:rPr>
          <w:rFonts w:ascii="Times New Roman" w:hAnsi="Times New Roman" w:cs="Times New Roman"/>
          <w:szCs w:val="20"/>
          <w:lang w:val="en-US"/>
        </w:rPr>
      </w:pPr>
      <w:r w:rsidRPr="001552FA">
        <w:rPr>
          <w:rFonts w:ascii="Times New Roman" w:hAnsi="Times New Roman" w:cs="Times New Roman"/>
          <w:szCs w:val="20"/>
        </w:rPr>
        <w:t xml:space="preserve">Subclause 4(2) of Schedule 2 to the </w:t>
      </w:r>
      <w:r w:rsidRPr="001552FA">
        <w:rPr>
          <w:rFonts w:ascii="Times New Roman" w:hAnsi="Times New Roman" w:cs="Times New Roman"/>
          <w:i/>
          <w:iCs/>
          <w:szCs w:val="20"/>
        </w:rPr>
        <w:t>Broadcasting Services Act 1992.</w:t>
      </w:r>
    </w:p>
    <w:p w14:paraId="593BBA22" w14:textId="77777777" w:rsidR="00DB6227" w:rsidRDefault="001552FA" w:rsidP="00DB6227">
      <w:pPr>
        <w:pStyle w:val="Celltext"/>
        <w:spacing w:after="120"/>
      </w:pPr>
      <w:r>
        <w:t xml:space="preserve">As explained in the Explanatory Statement </w:t>
      </w:r>
      <w:r w:rsidR="007E0EDB">
        <w:rPr>
          <w:bCs/>
          <w:szCs w:val="24"/>
        </w:rPr>
        <w:t xml:space="preserve">for </w:t>
      </w:r>
      <w:r>
        <w:t>the FITS Rules, section 7 of the FITS Rules</w:t>
      </w:r>
      <w:r w:rsidRPr="001552FA">
        <w:t xml:space="preserve"> address</w:t>
      </w:r>
      <w:r>
        <w:t>es</w:t>
      </w:r>
      <w:r w:rsidRPr="001552FA">
        <w:t xml:space="preserve"> circumstances in which instances of communications activity are subject to the disclosure requirements under the Act and requirements prescribed in any of the above listed laws.</w:t>
      </w:r>
      <w:r>
        <w:t xml:space="preserve"> In these circumstances, a</w:t>
      </w:r>
      <w:r w:rsidR="00DB6227">
        <w:t>n alternative,</w:t>
      </w:r>
      <w:r>
        <w:t xml:space="preserve"> shorter disclosure requirement than would generally apply is prescribed.</w:t>
      </w:r>
      <w:r w:rsidR="00DB6227">
        <w:t xml:space="preserve"> The alternative disclosure requirements ensure that the transparency objectives of the scheme are met, while minimising unnecessary duplication between different regulatory regimes. </w:t>
      </w:r>
    </w:p>
    <w:p w14:paraId="593BBA23" w14:textId="77777777" w:rsidR="001552FA" w:rsidRPr="001552FA" w:rsidRDefault="001552FA" w:rsidP="001552FA">
      <w:pPr>
        <w:spacing w:afterLines="100" w:after="240"/>
        <w:rPr>
          <w:rFonts w:ascii="Times New Roman" w:hAnsi="Times New Roman" w:cs="Times New Roman"/>
          <w:szCs w:val="20"/>
          <w:lang w:val="en-US"/>
        </w:rPr>
      </w:pPr>
      <w:r>
        <w:rPr>
          <w:rFonts w:ascii="Times New Roman" w:hAnsi="Times New Roman" w:cs="Times New Roman"/>
          <w:szCs w:val="20"/>
          <w:lang w:val="en-US"/>
        </w:rPr>
        <w:t xml:space="preserve">The Amendment Rules add the following to the list above:  </w:t>
      </w:r>
    </w:p>
    <w:p w14:paraId="593BBA24" w14:textId="77777777" w:rsidR="001552FA" w:rsidRDefault="001552FA" w:rsidP="001552FA">
      <w:pPr>
        <w:pStyle w:val="Default"/>
        <w:numPr>
          <w:ilvl w:val="0"/>
          <w:numId w:val="26"/>
        </w:numPr>
        <w:ind w:left="714" w:hanging="357"/>
        <w:jc w:val="both"/>
      </w:pPr>
      <w:r>
        <w:t>S</w:t>
      </w:r>
      <w:r w:rsidRPr="004A0246">
        <w:t xml:space="preserve">ubsection 79A(2) of the </w:t>
      </w:r>
      <w:r w:rsidRPr="004A0246">
        <w:rPr>
          <w:i/>
        </w:rPr>
        <w:t>Australian Broadcasting Corporation Act 1983</w:t>
      </w:r>
      <w:r>
        <w:t>, and</w:t>
      </w:r>
    </w:p>
    <w:p w14:paraId="593BBA25" w14:textId="77777777" w:rsidR="001552FA" w:rsidRDefault="001552FA" w:rsidP="001552FA">
      <w:pPr>
        <w:pStyle w:val="Default"/>
        <w:numPr>
          <w:ilvl w:val="0"/>
          <w:numId w:val="26"/>
        </w:numPr>
        <w:spacing w:after="200"/>
        <w:jc w:val="both"/>
      </w:pPr>
      <w:r>
        <w:t xml:space="preserve">Subsection </w:t>
      </w:r>
      <w:proofErr w:type="gramStart"/>
      <w:r>
        <w:t>70A(</w:t>
      </w:r>
      <w:proofErr w:type="gramEnd"/>
      <w:r>
        <w:t xml:space="preserve">2) of the </w:t>
      </w:r>
      <w:r w:rsidRPr="00B90E60">
        <w:rPr>
          <w:i/>
        </w:rPr>
        <w:t>Special Broadcasting Service Act 1991</w:t>
      </w:r>
      <w:r>
        <w:t>.</w:t>
      </w:r>
    </w:p>
    <w:p w14:paraId="593BBA26" w14:textId="77777777" w:rsidR="00327F50" w:rsidRDefault="00327F50" w:rsidP="00DB6227">
      <w:pPr>
        <w:spacing w:afterLines="100" w:after="240"/>
        <w:rPr>
          <w:rFonts w:ascii="Times New Roman" w:eastAsia="Calibri" w:hAnsi="Times New Roman" w:cs="Times New Roman"/>
          <w:b/>
          <w:szCs w:val="24"/>
        </w:rPr>
      </w:pPr>
      <w:r w:rsidRPr="00327F50">
        <w:rPr>
          <w:rFonts w:ascii="Times New Roman" w:hAnsi="Times New Roman" w:cs="Times New Roman"/>
          <w:szCs w:val="24"/>
        </w:rPr>
        <w:t>The amendments ensure that there is consistency in the disclosure requirements</w:t>
      </w:r>
      <w:r>
        <w:rPr>
          <w:rFonts w:ascii="Times New Roman" w:hAnsi="Times New Roman" w:cs="Times New Roman"/>
          <w:szCs w:val="24"/>
        </w:rPr>
        <w:t xml:space="preserve"> under the Act</w:t>
      </w:r>
      <w:r w:rsidR="001552FA">
        <w:rPr>
          <w:rFonts w:ascii="Times New Roman" w:hAnsi="Times New Roman" w:cs="Times New Roman"/>
          <w:szCs w:val="24"/>
        </w:rPr>
        <w:t xml:space="preserve"> </w:t>
      </w:r>
      <w:r w:rsidRPr="00327F50">
        <w:rPr>
          <w:rFonts w:ascii="Times New Roman" w:hAnsi="Times New Roman" w:cs="Times New Roman"/>
          <w:szCs w:val="24"/>
        </w:rPr>
        <w:t xml:space="preserve">applying to the </w:t>
      </w:r>
      <w:r>
        <w:rPr>
          <w:rFonts w:ascii="Times New Roman" w:hAnsi="Times New Roman" w:cs="Times New Roman"/>
          <w:szCs w:val="24"/>
        </w:rPr>
        <w:t>Australian Broadcasting Commission (ABC), the Special Broadcasting Service (</w:t>
      </w:r>
      <w:r w:rsidRPr="00327F50">
        <w:rPr>
          <w:rFonts w:ascii="Times New Roman" w:hAnsi="Times New Roman" w:cs="Times New Roman"/>
          <w:szCs w:val="24"/>
        </w:rPr>
        <w:t>SBS</w:t>
      </w:r>
      <w:r>
        <w:rPr>
          <w:rFonts w:ascii="Times New Roman" w:hAnsi="Times New Roman" w:cs="Times New Roman"/>
          <w:szCs w:val="24"/>
        </w:rPr>
        <w:t>)</w:t>
      </w:r>
      <w:r w:rsidRPr="00327F50">
        <w:rPr>
          <w:rFonts w:ascii="Times New Roman" w:hAnsi="Times New Roman" w:cs="Times New Roman"/>
          <w:szCs w:val="24"/>
        </w:rPr>
        <w:t xml:space="preserve"> and non-public broadcasters in relation to authorised political material.</w:t>
      </w:r>
      <w:r>
        <w:rPr>
          <w:rFonts w:ascii="Times New Roman" w:hAnsi="Times New Roman" w:cs="Times New Roman"/>
          <w:szCs w:val="24"/>
        </w:rPr>
        <w:t xml:space="preserve"> The amendments ensure that the </w:t>
      </w:r>
      <w:r w:rsidR="001552FA">
        <w:rPr>
          <w:rFonts w:ascii="Times New Roman" w:hAnsi="Times New Roman" w:cs="Times New Roman"/>
          <w:szCs w:val="24"/>
        </w:rPr>
        <w:t xml:space="preserve">original </w:t>
      </w:r>
      <w:r>
        <w:rPr>
          <w:rFonts w:ascii="Times New Roman" w:hAnsi="Times New Roman" w:cs="Times New Roman"/>
          <w:szCs w:val="24"/>
        </w:rPr>
        <w:t xml:space="preserve">intention of </w:t>
      </w:r>
      <w:r w:rsidR="001552FA">
        <w:rPr>
          <w:rFonts w:ascii="Times New Roman" w:hAnsi="Times New Roman" w:cs="Times New Roman"/>
          <w:szCs w:val="24"/>
        </w:rPr>
        <w:t>section 7 of the</w:t>
      </w:r>
      <w:r>
        <w:rPr>
          <w:rFonts w:ascii="Times New Roman" w:hAnsi="Times New Roman" w:cs="Times New Roman"/>
          <w:szCs w:val="24"/>
        </w:rPr>
        <w:t xml:space="preserve"> FITS Rules is achieved.</w:t>
      </w:r>
    </w:p>
    <w:p w14:paraId="593BBA27" w14:textId="77777777" w:rsidR="005161DA" w:rsidRDefault="005161DA" w:rsidP="005161DA">
      <w:pPr>
        <w:spacing w:afterLines="100" w:after="240"/>
        <w:rPr>
          <w:rFonts w:ascii="Times New Roman" w:hAnsi="Times New Roman" w:cs="Times New Roman"/>
          <w:szCs w:val="20"/>
        </w:rPr>
      </w:pPr>
      <w:r w:rsidRPr="007D698E">
        <w:rPr>
          <w:rFonts w:ascii="Times New Roman" w:eastAsia="Calibri" w:hAnsi="Times New Roman" w:cs="Times New Roman"/>
          <w:b/>
          <w:szCs w:val="24"/>
        </w:rPr>
        <w:t xml:space="preserve">OTHER ISSUES </w:t>
      </w:r>
    </w:p>
    <w:p w14:paraId="593BBA28" w14:textId="77777777" w:rsidR="005161DA" w:rsidRDefault="005161DA" w:rsidP="005161DA">
      <w:pPr>
        <w:spacing w:afterLines="100" w:after="240"/>
        <w:rPr>
          <w:rFonts w:ascii="Times New Roman" w:hAnsi="Times New Roman" w:cs="Times New Roman"/>
          <w:szCs w:val="20"/>
        </w:rPr>
      </w:pPr>
      <w:r w:rsidRPr="007D698E">
        <w:rPr>
          <w:rFonts w:ascii="Times New Roman" w:eastAsia="Calibri" w:hAnsi="Times New Roman" w:cs="Times New Roman"/>
          <w:b/>
          <w:szCs w:val="24"/>
        </w:rPr>
        <w:t xml:space="preserve">More information </w:t>
      </w:r>
    </w:p>
    <w:p w14:paraId="593BBA29" w14:textId="77777777" w:rsidR="005161DA" w:rsidRDefault="005161DA" w:rsidP="005161DA">
      <w:pPr>
        <w:spacing w:afterLines="100" w:after="240"/>
        <w:rPr>
          <w:rFonts w:ascii="Times New Roman" w:hAnsi="Times New Roman" w:cs="Times New Roman"/>
          <w:szCs w:val="20"/>
        </w:rPr>
      </w:pPr>
      <w:r w:rsidRPr="007D698E">
        <w:rPr>
          <w:rFonts w:ascii="Times New Roman" w:eastAsia="Calibri" w:hAnsi="Times New Roman" w:cs="Times New Roman"/>
          <w:szCs w:val="24"/>
        </w:rPr>
        <w:t xml:space="preserve">An explanation of the provisions </w:t>
      </w:r>
      <w:r>
        <w:rPr>
          <w:rFonts w:ascii="Times New Roman" w:eastAsia="Calibri" w:hAnsi="Times New Roman" w:cs="Times New Roman"/>
          <w:szCs w:val="24"/>
        </w:rPr>
        <w:t xml:space="preserve">of the </w:t>
      </w:r>
      <w:r>
        <w:rPr>
          <w:rFonts w:ascii="Times New Roman" w:hAnsi="Times New Roman" w:cs="Times New Roman"/>
          <w:szCs w:val="20"/>
        </w:rPr>
        <w:t xml:space="preserve">Amendment </w:t>
      </w:r>
      <w:r>
        <w:rPr>
          <w:rFonts w:ascii="Times New Roman" w:hAnsi="Times New Roman" w:cs="Times New Roman"/>
          <w:szCs w:val="24"/>
        </w:rPr>
        <w:t xml:space="preserve">Rules </w:t>
      </w:r>
      <w:r w:rsidRPr="007D698E">
        <w:rPr>
          <w:rFonts w:ascii="Times New Roman" w:eastAsia="Calibri" w:hAnsi="Times New Roman" w:cs="Times New Roman"/>
          <w:szCs w:val="24"/>
        </w:rPr>
        <w:t xml:space="preserve">is provided in </w:t>
      </w:r>
      <w:r>
        <w:rPr>
          <w:rFonts w:ascii="Times New Roman" w:eastAsia="Calibri" w:hAnsi="Times New Roman" w:cs="Times New Roman"/>
          <w:szCs w:val="24"/>
          <w:u w:val="single"/>
        </w:rPr>
        <w:t>Attachment A</w:t>
      </w:r>
      <w:r w:rsidRPr="007D698E">
        <w:rPr>
          <w:rFonts w:ascii="Times New Roman" w:eastAsia="Calibri" w:hAnsi="Times New Roman" w:cs="Times New Roman"/>
          <w:szCs w:val="24"/>
        </w:rPr>
        <w:t>.</w:t>
      </w:r>
    </w:p>
    <w:p w14:paraId="593BBA2A" w14:textId="77777777" w:rsidR="005161DA" w:rsidRPr="00BF79BB" w:rsidRDefault="005161DA" w:rsidP="005161DA">
      <w:pPr>
        <w:spacing w:afterLines="100" w:after="240"/>
        <w:rPr>
          <w:rFonts w:ascii="Times New Roman" w:hAnsi="Times New Roman" w:cs="Times New Roman"/>
          <w:b/>
          <w:szCs w:val="24"/>
        </w:rPr>
      </w:pPr>
      <w:r w:rsidRPr="00BF79BB">
        <w:rPr>
          <w:rFonts w:ascii="Times New Roman" w:hAnsi="Times New Roman" w:cs="Times New Roman"/>
          <w:b/>
          <w:szCs w:val="24"/>
        </w:rPr>
        <w:t xml:space="preserve">Regulatory </w:t>
      </w:r>
      <w:r>
        <w:rPr>
          <w:rFonts w:ascii="Times New Roman" w:hAnsi="Times New Roman" w:cs="Times New Roman"/>
          <w:b/>
          <w:szCs w:val="24"/>
        </w:rPr>
        <w:t>i</w:t>
      </w:r>
      <w:r w:rsidRPr="00BF79BB">
        <w:rPr>
          <w:rFonts w:ascii="Times New Roman" w:hAnsi="Times New Roman" w:cs="Times New Roman"/>
          <w:b/>
          <w:szCs w:val="24"/>
        </w:rPr>
        <w:t xml:space="preserve">mpact </w:t>
      </w:r>
      <w:r>
        <w:rPr>
          <w:rFonts w:ascii="Times New Roman" w:hAnsi="Times New Roman" w:cs="Times New Roman"/>
          <w:b/>
          <w:szCs w:val="24"/>
        </w:rPr>
        <w:t>analysis</w:t>
      </w:r>
    </w:p>
    <w:p w14:paraId="593BBA2B" w14:textId="77777777" w:rsidR="005161DA" w:rsidRDefault="005161DA" w:rsidP="005161DA">
      <w:pPr>
        <w:spacing w:afterLines="100" w:after="240"/>
        <w:rPr>
          <w:rFonts w:ascii="Times New Roman" w:hAnsi="Times New Roman" w:cs="Times New Roman"/>
          <w:b/>
          <w:bCs/>
          <w:szCs w:val="24"/>
        </w:rPr>
      </w:pPr>
      <w:r>
        <w:rPr>
          <w:rFonts w:ascii="Times New Roman" w:hAnsi="Times New Roman" w:cs="Times New Roman"/>
          <w:szCs w:val="24"/>
        </w:rPr>
        <w:t xml:space="preserve">The </w:t>
      </w:r>
      <w:r w:rsidRPr="00BF79BB">
        <w:rPr>
          <w:rFonts w:ascii="Times New Roman" w:hAnsi="Times New Roman" w:cs="Times New Roman"/>
          <w:szCs w:val="24"/>
        </w:rPr>
        <w:t>Offic</w:t>
      </w:r>
      <w:r>
        <w:rPr>
          <w:rFonts w:ascii="Times New Roman" w:hAnsi="Times New Roman" w:cs="Times New Roman"/>
          <w:szCs w:val="24"/>
        </w:rPr>
        <w:t xml:space="preserve">e of Best Practice Regulation (OBPR) in the </w:t>
      </w:r>
      <w:r w:rsidRPr="00BF79BB">
        <w:rPr>
          <w:rFonts w:ascii="Times New Roman" w:hAnsi="Times New Roman" w:cs="Times New Roman"/>
          <w:szCs w:val="24"/>
        </w:rPr>
        <w:t>Department of the Prime Minister and Cabinet</w:t>
      </w:r>
      <w:r>
        <w:rPr>
          <w:rFonts w:ascii="Times New Roman" w:hAnsi="Times New Roman" w:cs="Times New Roman"/>
          <w:szCs w:val="24"/>
        </w:rPr>
        <w:t xml:space="preserve"> </w:t>
      </w:r>
      <w:r w:rsidRPr="00BF79BB">
        <w:rPr>
          <w:rFonts w:ascii="Times New Roman" w:hAnsi="Times New Roman" w:cs="Times New Roman"/>
          <w:szCs w:val="24"/>
        </w:rPr>
        <w:t xml:space="preserve">considers </w:t>
      </w:r>
      <w:r>
        <w:rPr>
          <w:rFonts w:ascii="Times New Roman" w:hAnsi="Times New Roman" w:cs="Times New Roman"/>
          <w:szCs w:val="24"/>
        </w:rPr>
        <w:t>this</w:t>
      </w:r>
      <w:r w:rsidRPr="00BF79BB">
        <w:rPr>
          <w:rFonts w:ascii="Times New Roman" w:hAnsi="Times New Roman" w:cs="Times New Roman"/>
          <w:szCs w:val="24"/>
        </w:rPr>
        <w:t xml:space="preserve"> proposal </w:t>
      </w:r>
      <w:r>
        <w:rPr>
          <w:rFonts w:ascii="Times New Roman" w:hAnsi="Times New Roman" w:cs="Times New Roman"/>
          <w:szCs w:val="24"/>
        </w:rPr>
        <w:t>to be machinery in nature and has confirmed that a Reg</w:t>
      </w:r>
      <w:r w:rsidRPr="00BF79BB">
        <w:rPr>
          <w:rFonts w:ascii="Times New Roman" w:hAnsi="Times New Roman" w:cs="Times New Roman"/>
          <w:szCs w:val="24"/>
        </w:rPr>
        <w:t>ulation Impact Statement is not required.</w:t>
      </w:r>
      <w:r>
        <w:rPr>
          <w:rFonts w:ascii="Times New Roman" w:hAnsi="Times New Roman" w:cs="Times New Roman"/>
          <w:szCs w:val="24"/>
        </w:rPr>
        <w:t xml:space="preserve"> The </w:t>
      </w:r>
      <w:r w:rsidRPr="00BF79BB">
        <w:rPr>
          <w:rFonts w:ascii="Times New Roman" w:hAnsi="Times New Roman" w:cs="Times New Roman"/>
          <w:szCs w:val="24"/>
        </w:rPr>
        <w:t xml:space="preserve">OBPR ID is </w:t>
      </w:r>
      <w:r w:rsidRPr="00734AED">
        <w:rPr>
          <w:rFonts w:ascii="Times New Roman" w:hAnsi="Times New Roman" w:cs="Times New Roman"/>
          <w:bCs/>
          <w:szCs w:val="24"/>
        </w:rPr>
        <w:t>24619</w:t>
      </w:r>
      <w:r>
        <w:rPr>
          <w:rFonts w:ascii="Times New Roman" w:hAnsi="Times New Roman" w:cs="Times New Roman"/>
          <w:b/>
          <w:bCs/>
          <w:szCs w:val="24"/>
        </w:rPr>
        <w:t xml:space="preserve">. </w:t>
      </w:r>
    </w:p>
    <w:p w14:paraId="593BBA2C" w14:textId="77777777" w:rsidR="005161DA" w:rsidRDefault="005161DA" w:rsidP="005161DA">
      <w:pPr>
        <w:spacing w:afterLines="100" w:after="240"/>
        <w:rPr>
          <w:rFonts w:ascii="Times New Roman" w:hAnsi="Times New Roman" w:cs="Times New Roman"/>
          <w:b/>
          <w:bCs/>
          <w:szCs w:val="24"/>
        </w:rPr>
      </w:pPr>
      <w:r>
        <w:rPr>
          <w:rFonts w:ascii="Times New Roman" w:hAnsi="Times New Roman" w:cs="Times New Roman"/>
          <w:b/>
          <w:bCs/>
          <w:szCs w:val="24"/>
        </w:rPr>
        <w:t xml:space="preserve">Statement of compatibility with human rights </w:t>
      </w:r>
    </w:p>
    <w:p w14:paraId="593BBA2D" w14:textId="77777777" w:rsidR="005161DA" w:rsidRDefault="005161DA" w:rsidP="005161DA">
      <w:pPr>
        <w:spacing w:afterLines="100" w:after="240"/>
        <w:rPr>
          <w:rFonts w:ascii="Times New Roman" w:hAnsi="Times New Roman" w:cs="Times New Roman"/>
          <w:bCs/>
          <w:szCs w:val="24"/>
        </w:rPr>
      </w:pPr>
      <w:r>
        <w:rPr>
          <w:rFonts w:ascii="Times New Roman" w:hAnsi="Times New Roman" w:cs="Times New Roman"/>
          <w:bCs/>
          <w:szCs w:val="24"/>
        </w:rPr>
        <w:t xml:space="preserve">A statement of compatibility with human rights has been prepared for the Amendment Rules and is provided in </w:t>
      </w:r>
      <w:r w:rsidRPr="00734AED">
        <w:rPr>
          <w:rFonts w:ascii="Times New Roman" w:hAnsi="Times New Roman" w:cs="Times New Roman"/>
          <w:bCs/>
          <w:szCs w:val="24"/>
          <w:u w:val="single"/>
        </w:rPr>
        <w:t xml:space="preserve">Attachment </w:t>
      </w:r>
      <w:r>
        <w:rPr>
          <w:rFonts w:ascii="Times New Roman" w:hAnsi="Times New Roman" w:cs="Times New Roman"/>
          <w:bCs/>
          <w:szCs w:val="24"/>
          <w:u w:val="single"/>
        </w:rPr>
        <w:t>B</w:t>
      </w:r>
      <w:r>
        <w:rPr>
          <w:rFonts w:ascii="Times New Roman" w:hAnsi="Times New Roman" w:cs="Times New Roman"/>
          <w:bCs/>
          <w:szCs w:val="24"/>
        </w:rPr>
        <w:t xml:space="preserve">. </w:t>
      </w:r>
    </w:p>
    <w:p w14:paraId="593BBA2E" w14:textId="77777777" w:rsidR="005161DA" w:rsidRDefault="005161DA" w:rsidP="005161DA">
      <w:pPr>
        <w:spacing w:afterLines="100" w:after="240"/>
        <w:rPr>
          <w:rFonts w:ascii="Times New Roman" w:hAnsi="Times New Roman" w:cs="Times New Roman"/>
          <w:bCs/>
          <w:szCs w:val="24"/>
        </w:rPr>
      </w:pPr>
    </w:p>
    <w:p w14:paraId="593BBA2F" w14:textId="77777777" w:rsidR="005161DA" w:rsidRDefault="005161DA" w:rsidP="005161DA">
      <w:pPr>
        <w:spacing w:afterLines="100" w:after="240"/>
        <w:rPr>
          <w:rFonts w:ascii="Times New Roman" w:hAnsi="Times New Roman" w:cs="Times New Roman"/>
          <w:bCs/>
          <w:szCs w:val="24"/>
        </w:rPr>
      </w:pPr>
    </w:p>
    <w:p w14:paraId="593BBA30" w14:textId="77777777" w:rsidR="005161DA" w:rsidRPr="00734AED" w:rsidRDefault="005161DA" w:rsidP="005161DA">
      <w:pPr>
        <w:spacing w:afterLines="100" w:after="240"/>
        <w:rPr>
          <w:rFonts w:ascii="Times New Roman" w:hAnsi="Times New Roman" w:cs="Times New Roman"/>
          <w:bCs/>
          <w:szCs w:val="24"/>
        </w:rPr>
      </w:pPr>
      <w:r w:rsidRPr="007D698E">
        <w:rPr>
          <w:rFonts w:ascii="Times New Roman" w:eastAsia="Calibri" w:hAnsi="Times New Roman" w:cs="Times New Roman"/>
          <w:b/>
          <w:szCs w:val="24"/>
        </w:rPr>
        <w:lastRenderedPageBreak/>
        <w:t>Matter</w:t>
      </w:r>
      <w:r w:rsidR="007575AB">
        <w:rPr>
          <w:rFonts w:ascii="Times New Roman" w:eastAsia="Calibri" w:hAnsi="Times New Roman" w:cs="Times New Roman"/>
          <w:b/>
          <w:szCs w:val="24"/>
        </w:rPr>
        <w:t>s</w:t>
      </w:r>
      <w:r w:rsidRPr="007D698E">
        <w:rPr>
          <w:rFonts w:ascii="Times New Roman" w:eastAsia="Calibri" w:hAnsi="Times New Roman" w:cs="Times New Roman"/>
          <w:b/>
          <w:szCs w:val="24"/>
        </w:rPr>
        <w:t xml:space="preserve"> incorporated by reference</w:t>
      </w:r>
    </w:p>
    <w:p w14:paraId="593BBA31" w14:textId="77777777" w:rsidR="005161DA" w:rsidRDefault="005161DA" w:rsidP="005161DA">
      <w:pPr>
        <w:spacing w:afterLines="100" w:after="240"/>
        <w:rPr>
          <w:rFonts w:ascii="Times New Roman" w:eastAsia="Calibri" w:hAnsi="Times New Roman" w:cs="Times New Roman"/>
          <w:szCs w:val="24"/>
        </w:rPr>
      </w:pPr>
      <w:r w:rsidRPr="007D698E">
        <w:rPr>
          <w:rFonts w:ascii="Times New Roman" w:eastAsia="Calibri" w:hAnsi="Times New Roman" w:cs="Times New Roman"/>
          <w:szCs w:val="24"/>
        </w:rPr>
        <w:t xml:space="preserve">These </w:t>
      </w:r>
      <w:r>
        <w:rPr>
          <w:rFonts w:ascii="Times New Roman" w:hAnsi="Times New Roman" w:cs="Times New Roman"/>
          <w:szCs w:val="20"/>
        </w:rPr>
        <w:t xml:space="preserve">Amendment </w:t>
      </w:r>
      <w:r>
        <w:rPr>
          <w:rFonts w:ascii="Times New Roman" w:hAnsi="Times New Roman" w:cs="Times New Roman"/>
          <w:szCs w:val="24"/>
        </w:rPr>
        <w:t xml:space="preserve">Rules </w:t>
      </w:r>
      <w:r w:rsidRPr="007D698E">
        <w:rPr>
          <w:rFonts w:ascii="Times New Roman" w:eastAsia="Calibri" w:hAnsi="Times New Roman" w:cs="Times New Roman"/>
          <w:szCs w:val="24"/>
        </w:rPr>
        <w:t xml:space="preserve">do not apply, adopt or incorporate other matters by reference. </w:t>
      </w:r>
    </w:p>
    <w:p w14:paraId="593BBA32" w14:textId="77777777" w:rsidR="005161DA" w:rsidRPr="009F755B" w:rsidRDefault="005161DA" w:rsidP="005161DA">
      <w:pPr>
        <w:spacing w:afterLines="100" w:after="240"/>
        <w:rPr>
          <w:rFonts w:ascii="Times New Roman" w:hAnsi="Times New Roman" w:cs="Times New Roman"/>
          <w:b/>
          <w:szCs w:val="24"/>
        </w:rPr>
      </w:pPr>
      <w:r w:rsidRPr="009F755B">
        <w:rPr>
          <w:rFonts w:ascii="Times New Roman" w:hAnsi="Times New Roman" w:cs="Times New Roman"/>
          <w:b/>
          <w:szCs w:val="24"/>
        </w:rPr>
        <w:t xml:space="preserve">Consultation </w:t>
      </w:r>
    </w:p>
    <w:p w14:paraId="593BBA33" w14:textId="77777777" w:rsidR="005161DA" w:rsidRDefault="005161DA" w:rsidP="005161DA">
      <w:pPr>
        <w:spacing w:afterLines="100" w:after="240"/>
        <w:rPr>
          <w:rFonts w:ascii="Times New Roman" w:hAnsi="Times New Roman" w:cs="Times New Roman"/>
          <w:bCs/>
          <w:szCs w:val="24"/>
        </w:rPr>
      </w:pPr>
      <w:r>
        <w:rPr>
          <w:rFonts w:ascii="Times New Roman" w:hAnsi="Times New Roman" w:cs="Times New Roman"/>
          <w:bCs/>
          <w:szCs w:val="24"/>
        </w:rPr>
        <w:t xml:space="preserve">Before the Amendment Rules were made, the Attorney-General considered the general obligation to consult imposed by section 17 of the </w:t>
      </w:r>
      <w:r>
        <w:rPr>
          <w:rFonts w:ascii="Times New Roman" w:hAnsi="Times New Roman" w:cs="Times New Roman"/>
          <w:bCs/>
          <w:i/>
          <w:szCs w:val="24"/>
        </w:rPr>
        <w:t xml:space="preserve">Legislation Act 2003 </w:t>
      </w:r>
      <w:r>
        <w:rPr>
          <w:rFonts w:ascii="Times New Roman" w:hAnsi="Times New Roman" w:cs="Times New Roman"/>
          <w:bCs/>
          <w:szCs w:val="24"/>
        </w:rPr>
        <w:t xml:space="preserve">(the Legislation Act). The Attorney-General was satisfied that consultation was appropriate and reasonably practicable to be undertaken. </w:t>
      </w:r>
    </w:p>
    <w:p w14:paraId="593BBA34" w14:textId="77777777" w:rsidR="005161DA" w:rsidRDefault="00DB6227" w:rsidP="005161DA">
      <w:pPr>
        <w:spacing w:afterLines="100" w:after="240"/>
        <w:rPr>
          <w:rFonts w:ascii="Times New Roman" w:hAnsi="Times New Roman" w:cs="Times New Roman"/>
          <w:bCs/>
          <w:szCs w:val="24"/>
        </w:rPr>
      </w:pPr>
      <w:r>
        <w:rPr>
          <w:rFonts w:ascii="Times New Roman" w:hAnsi="Times New Roman" w:cs="Times New Roman"/>
          <w:bCs/>
          <w:szCs w:val="24"/>
        </w:rPr>
        <w:t>The</w:t>
      </w:r>
      <w:r w:rsidR="005161DA">
        <w:rPr>
          <w:rFonts w:ascii="Times New Roman" w:hAnsi="Times New Roman" w:cs="Times New Roman"/>
          <w:bCs/>
          <w:szCs w:val="24"/>
        </w:rPr>
        <w:t xml:space="preserve"> Attorney-General’s Department consulted the Department of Communications and the Arts</w:t>
      </w:r>
      <w:r>
        <w:rPr>
          <w:rFonts w:ascii="Times New Roman" w:hAnsi="Times New Roman" w:cs="Times New Roman"/>
          <w:bCs/>
          <w:szCs w:val="24"/>
        </w:rPr>
        <w:t xml:space="preserve"> on the Amendment Rules</w:t>
      </w:r>
      <w:r w:rsidR="005161DA">
        <w:rPr>
          <w:rFonts w:ascii="Times New Roman" w:hAnsi="Times New Roman" w:cs="Times New Roman"/>
          <w:bCs/>
          <w:szCs w:val="24"/>
        </w:rPr>
        <w:t xml:space="preserve">. Feedback provided was incorporated into the </w:t>
      </w:r>
      <w:r>
        <w:rPr>
          <w:rFonts w:ascii="Times New Roman" w:hAnsi="Times New Roman" w:cs="Times New Roman"/>
          <w:bCs/>
          <w:szCs w:val="24"/>
        </w:rPr>
        <w:t>final</w:t>
      </w:r>
      <w:r w:rsidR="005161DA">
        <w:rPr>
          <w:rFonts w:ascii="Times New Roman" w:hAnsi="Times New Roman" w:cs="Times New Roman"/>
          <w:bCs/>
          <w:szCs w:val="24"/>
        </w:rPr>
        <w:t xml:space="preserve"> version.</w:t>
      </w:r>
    </w:p>
    <w:p w14:paraId="593BBA35" w14:textId="77777777" w:rsidR="00DB6227" w:rsidRDefault="00DB6227" w:rsidP="005161DA">
      <w:pPr>
        <w:spacing w:afterLines="100" w:after="240"/>
        <w:rPr>
          <w:rFonts w:ascii="Times New Roman" w:hAnsi="Times New Roman" w:cs="Times New Roman"/>
          <w:bCs/>
          <w:szCs w:val="24"/>
        </w:rPr>
      </w:pPr>
      <w:r>
        <w:rPr>
          <w:rFonts w:ascii="Times New Roman" w:hAnsi="Times New Roman" w:cs="Times New Roman"/>
          <w:bCs/>
          <w:szCs w:val="24"/>
        </w:rPr>
        <w:t>Extensive consultation was undertaken with government and non-government stakeholders in relation to the FITS Rules as part of the implementation of the scheme.</w:t>
      </w:r>
      <w:r w:rsidRPr="00DB6227">
        <w:rPr>
          <w:rFonts w:ascii="Times New Roman" w:hAnsi="Times New Roman" w:cs="Times New Roman"/>
          <w:bCs/>
          <w:szCs w:val="24"/>
        </w:rPr>
        <w:t xml:space="preserve"> </w:t>
      </w:r>
      <w:r>
        <w:rPr>
          <w:rFonts w:ascii="Times New Roman" w:hAnsi="Times New Roman" w:cs="Times New Roman"/>
          <w:bCs/>
          <w:szCs w:val="24"/>
        </w:rPr>
        <w:t>The consultation undertaken is detailed in the Explanatory Statement for the FITS Rules.</w:t>
      </w:r>
    </w:p>
    <w:p w14:paraId="593BBA36" w14:textId="77777777" w:rsidR="005161DA" w:rsidRDefault="005161DA" w:rsidP="005161DA">
      <w:pPr>
        <w:rPr>
          <w:rFonts w:ascii="Times New Roman" w:hAnsi="Times New Roman" w:cs="Times New Roman"/>
          <w:bCs/>
          <w:szCs w:val="24"/>
        </w:rPr>
      </w:pPr>
      <w:r>
        <w:rPr>
          <w:rFonts w:ascii="Times New Roman" w:hAnsi="Times New Roman" w:cs="Times New Roman"/>
          <w:bCs/>
          <w:szCs w:val="24"/>
        </w:rPr>
        <w:br w:type="page"/>
      </w:r>
    </w:p>
    <w:p w14:paraId="593BBA37" w14:textId="77777777" w:rsidR="005161DA" w:rsidRPr="009F755B" w:rsidRDefault="005161DA" w:rsidP="005161DA">
      <w:pPr>
        <w:jc w:val="right"/>
        <w:rPr>
          <w:rFonts w:ascii="Times New Roman" w:hAnsi="Times New Roman" w:cs="Times New Roman"/>
          <w:b/>
          <w:bCs/>
          <w:szCs w:val="24"/>
        </w:rPr>
      </w:pPr>
      <w:r>
        <w:rPr>
          <w:rFonts w:ascii="Times New Roman" w:hAnsi="Times New Roman" w:cs="Times New Roman"/>
          <w:b/>
          <w:bCs/>
          <w:szCs w:val="24"/>
        </w:rPr>
        <w:lastRenderedPageBreak/>
        <w:t>Attachment A</w:t>
      </w:r>
    </w:p>
    <w:p w14:paraId="593BBA38" w14:textId="77777777" w:rsidR="005161DA" w:rsidRPr="007D698E" w:rsidRDefault="005161DA" w:rsidP="005161DA">
      <w:pPr>
        <w:ind w:left="1452" w:hanging="1452"/>
        <w:outlineLvl w:val="1"/>
        <w:rPr>
          <w:rFonts w:ascii="Times New Roman" w:eastAsia="Calibri" w:hAnsi="Times New Roman" w:cs="Times New Roman"/>
          <w:b/>
          <w:szCs w:val="24"/>
        </w:rPr>
      </w:pPr>
      <w:r w:rsidRPr="007D698E">
        <w:rPr>
          <w:rFonts w:ascii="Times New Roman" w:eastAsia="Calibri" w:hAnsi="Times New Roman" w:cs="Times New Roman"/>
          <w:b/>
          <w:szCs w:val="24"/>
        </w:rPr>
        <w:t xml:space="preserve">NOTES ON PROVISIONS </w:t>
      </w:r>
    </w:p>
    <w:p w14:paraId="593BBA39" w14:textId="77777777" w:rsidR="005161DA" w:rsidRDefault="005161DA" w:rsidP="005161DA">
      <w:pPr>
        <w:rPr>
          <w:rFonts w:ascii="Times New Roman" w:eastAsia="Calibri" w:hAnsi="Times New Roman" w:cs="Times New Roman"/>
          <w:b/>
          <w:szCs w:val="24"/>
        </w:rPr>
      </w:pPr>
      <w:r>
        <w:rPr>
          <w:rFonts w:ascii="Times New Roman" w:eastAsia="Calibri" w:hAnsi="Times New Roman" w:cs="Times New Roman"/>
          <w:b/>
          <w:szCs w:val="24"/>
        </w:rPr>
        <w:t>Part 1 – Preliminary</w:t>
      </w:r>
    </w:p>
    <w:p w14:paraId="593BBA3A" w14:textId="77777777" w:rsidR="005161DA" w:rsidRDefault="005161DA" w:rsidP="005161DA">
      <w:pPr>
        <w:rPr>
          <w:rFonts w:ascii="Times New Roman" w:eastAsia="Calibri" w:hAnsi="Times New Roman" w:cs="Times New Roman"/>
          <w:b/>
          <w:szCs w:val="24"/>
        </w:rPr>
      </w:pPr>
      <w:r>
        <w:rPr>
          <w:rFonts w:ascii="Times New Roman" w:eastAsia="Calibri" w:hAnsi="Times New Roman" w:cs="Times New Roman"/>
          <w:b/>
          <w:szCs w:val="24"/>
        </w:rPr>
        <w:t>Section 1 – Name</w:t>
      </w:r>
    </w:p>
    <w:p w14:paraId="593BBA3B" w14:textId="77777777" w:rsidR="005161DA" w:rsidRPr="007B0891" w:rsidRDefault="005161DA" w:rsidP="005161DA">
      <w:pPr>
        <w:pStyle w:val="Default"/>
        <w:spacing w:after="200"/>
      </w:pPr>
      <w:r w:rsidRPr="007B0891">
        <w:t xml:space="preserve">This section provides that the name of </w:t>
      </w:r>
      <w:r>
        <w:t>this instrument</w:t>
      </w:r>
      <w:r w:rsidRPr="007B0891">
        <w:t xml:space="preserve"> is the </w:t>
      </w:r>
      <w:r w:rsidRPr="007B0891">
        <w:rPr>
          <w:i/>
        </w:rPr>
        <w:t>Foreign Influence Transparency Scheme (Disclosure in Comm</w:t>
      </w:r>
      <w:r>
        <w:rPr>
          <w:i/>
        </w:rPr>
        <w:t xml:space="preserve">unications Activity) </w:t>
      </w:r>
      <w:r w:rsidR="00AA57C2">
        <w:rPr>
          <w:i/>
        </w:rPr>
        <w:t xml:space="preserve">Amendment </w:t>
      </w:r>
      <w:r>
        <w:rPr>
          <w:i/>
        </w:rPr>
        <w:t xml:space="preserve">Rules 2018. </w:t>
      </w:r>
      <w:r w:rsidRPr="007B0891">
        <w:t xml:space="preserve"> </w:t>
      </w:r>
    </w:p>
    <w:p w14:paraId="593BBA3C" w14:textId="77777777" w:rsidR="005161DA" w:rsidRPr="007B0891" w:rsidRDefault="005161DA" w:rsidP="005161DA">
      <w:pPr>
        <w:pStyle w:val="Default"/>
        <w:spacing w:after="200"/>
        <w:rPr>
          <w:b/>
        </w:rPr>
      </w:pPr>
      <w:r w:rsidRPr="007B0891">
        <w:rPr>
          <w:b/>
        </w:rPr>
        <w:t xml:space="preserve">Section 2 – Commencement </w:t>
      </w:r>
    </w:p>
    <w:p w14:paraId="593BBA3D" w14:textId="77777777" w:rsidR="005161DA" w:rsidRPr="007B0891" w:rsidRDefault="005161DA" w:rsidP="005161DA">
      <w:pPr>
        <w:pStyle w:val="Default"/>
        <w:spacing w:after="200"/>
        <w:rPr>
          <w:b/>
        </w:rPr>
      </w:pPr>
      <w:r w:rsidRPr="007B0891">
        <w:t xml:space="preserve">This section provides </w:t>
      </w:r>
      <w:r>
        <w:t>for the whole of the</w:t>
      </w:r>
      <w:r w:rsidRPr="007B0891">
        <w:t xml:space="preserve"> </w:t>
      </w:r>
      <w:r w:rsidR="00AA57C2">
        <w:t xml:space="preserve">Amendment </w:t>
      </w:r>
      <w:r>
        <w:t>Rules to</w:t>
      </w:r>
      <w:r w:rsidRPr="007B0891">
        <w:t xml:space="preserve"> commence </w:t>
      </w:r>
      <w:r w:rsidR="00AA57C2">
        <w:t xml:space="preserve">the day after the instrument is registered. </w:t>
      </w:r>
      <w:r w:rsidRPr="007B0891">
        <w:t xml:space="preserve">  </w:t>
      </w:r>
    </w:p>
    <w:p w14:paraId="593BBA3E" w14:textId="77777777" w:rsidR="005161DA" w:rsidRPr="007B0891" w:rsidRDefault="005161DA" w:rsidP="005161DA">
      <w:pPr>
        <w:pStyle w:val="Default"/>
        <w:spacing w:after="200"/>
        <w:rPr>
          <w:b/>
        </w:rPr>
      </w:pPr>
      <w:r w:rsidRPr="007B0891">
        <w:rPr>
          <w:b/>
        </w:rPr>
        <w:t xml:space="preserve">Section 3 – Authority </w:t>
      </w:r>
    </w:p>
    <w:p w14:paraId="593BBA3F" w14:textId="77777777" w:rsidR="005161DA" w:rsidRPr="007B0891" w:rsidRDefault="005161DA" w:rsidP="005161DA">
      <w:pPr>
        <w:pStyle w:val="Default"/>
        <w:spacing w:after="200"/>
      </w:pPr>
      <w:r w:rsidRPr="007B0891">
        <w:t xml:space="preserve">This section provides that the </w:t>
      </w:r>
      <w:r w:rsidR="00AA57C2">
        <w:t xml:space="preserve">Amendment </w:t>
      </w:r>
      <w:r>
        <w:t>Rules</w:t>
      </w:r>
      <w:r w:rsidRPr="007B0891">
        <w:t xml:space="preserve"> are made under the </w:t>
      </w:r>
      <w:r w:rsidRPr="007B0891">
        <w:rPr>
          <w:i/>
        </w:rPr>
        <w:t>Foreign Influence Transparency Scheme Act 2018</w:t>
      </w:r>
      <w:r w:rsidRPr="007B0891">
        <w:t xml:space="preserve">. </w:t>
      </w:r>
    </w:p>
    <w:p w14:paraId="593BBA40" w14:textId="77777777" w:rsidR="005161DA" w:rsidRPr="007B0891" w:rsidRDefault="005161DA" w:rsidP="005161DA">
      <w:pPr>
        <w:pStyle w:val="Default"/>
        <w:spacing w:after="200"/>
        <w:rPr>
          <w:b/>
        </w:rPr>
      </w:pPr>
      <w:r w:rsidRPr="007B0891">
        <w:rPr>
          <w:b/>
        </w:rPr>
        <w:t xml:space="preserve">Section 4 – Definitions </w:t>
      </w:r>
    </w:p>
    <w:p w14:paraId="593BBA41" w14:textId="77777777" w:rsidR="00AA57C2" w:rsidRDefault="00AA57C2" w:rsidP="005161DA">
      <w:pPr>
        <w:pStyle w:val="Default"/>
        <w:spacing w:after="200"/>
      </w:pPr>
      <w: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93BBA42" w14:textId="77777777" w:rsidR="00AA57C2" w:rsidRDefault="00AA57C2" w:rsidP="005161DA">
      <w:pPr>
        <w:pStyle w:val="Default"/>
        <w:spacing w:after="200"/>
        <w:rPr>
          <w:b/>
        </w:rPr>
      </w:pPr>
      <w:r>
        <w:rPr>
          <w:b/>
        </w:rPr>
        <w:t>Schedule 1 – Amendments</w:t>
      </w:r>
    </w:p>
    <w:p w14:paraId="593BBA43" w14:textId="77777777" w:rsidR="005161DA" w:rsidRPr="00327F50" w:rsidRDefault="00327F50" w:rsidP="005161DA">
      <w:pPr>
        <w:pStyle w:val="Default"/>
        <w:spacing w:after="200"/>
      </w:pPr>
      <w:r w:rsidRPr="00327F50">
        <w:t>Schedule 1</w:t>
      </w:r>
      <w:r>
        <w:t xml:space="preserve"> of the Amendment Rules</w:t>
      </w:r>
      <w:r w:rsidRPr="00327F50">
        <w:t xml:space="preserve"> amends the </w:t>
      </w:r>
      <w:r w:rsidR="00AA57C2" w:rsidRPr="00327F50">
        <w:rPr>
          <w:i/>
        </w:rPr>
        <w:t>Foreign Influence Transparency Scheme (Disclosure in Communications Activity) Rules 2018</w:t>
      </w:r>
      <w:r>
        <w:rPr>
          <w:i/>
        </w:rPr>
        <w:t>.</w:t>
      </w:r>
      <w:r w:rsidR="00AA57C2" w:rsidRPr="00327F50">
        <w:t xml:space="preserve"> </w:t>
      </w:r>
    </w:p>
    <w:p w14:paraId="593BBA44" w14:textId="77777777" w:rsidR="00AA57C2" w:rsidRDefault="005161DA" w:rsidP="005161DA">
      <w:pPr>
        <w:pStyle w:val="Default"/>
        <w:spacing w:after="200"/>
        <w:rPr>
          <w:b/>
        </w:rPr>
      </w:pPr>
      <w:r w:rsidRPr="007B0891">
        <w:rPr>
          <w:b/>
        </w:rPr>
        <w:t xml:space="preserve">Section </w:t>
      </w:r>
      <w:r w:rsidR="00AA57C2">
        <w:rPr>
          <w:b/>
        </w:rPr>
        <w:t>1</w:t>
      </w:r>
      <w:r w:rsidRPr="007B0891">
        <w:rPr>
          <w:b/>
        </w:rPr>
        <w:t xml:space="preserve"> –</w:t>
      </w:r>
      <w:r w:rsidR="00AA57C2">
        <w:rPr>
          <w:b/>
        </w:rPr>
        <w:t xml:space="preserve"> At the end of subsection 7(1)</w:t>
      </w:r>
      <w:r w:rsidRPr="007B0891">
        <w:rPr>
          <w:b/>
        </w:rPr>
        <w:t xml:space="preserve"> </w:t>
      </w:r>
    </w:p>
    <w:p w14:paraId="593BBA45" w14:textId="77777777" w:rsidR="00AA57C2" w:rsidRDefault="00AA57C2" w:rsidP="00AA57C2">
      <w:pPr>
        <w:pStyle w:val="Default"/>
        <w:spacing w:after="200"/>
      </w:pPr>
      <w:r>
        <w:t>Section 1 adds the following two paragraphs to the end of subsection</w:t>
      </w:r>
      <w:r w:rsidRPr="00AA57C2">
        <w:t xml:space="preserve"> 7(1) of the</w:t>
      </w:r>
      <w:r>
        <w:rPr>
          <w:i/>
        </w:rPr>
        <w:t xml:space="preserve"> Foreign Influence Transparency Scheme (Disclosure in Communications Activity) Rules 2018</w:t>
      </w:r>
      <w:r>
        <w:t>:</w:t>
      </w:r>
    </w:p>
    <w:p w14:paraId="593BBA46" w14:textId="77777777" w:rsidR="00AA57C2" w:rsidRDefault="00AA57C2" w:rsidP="00AA57C2">
      <w:pPr>
        <w:pStyle w:val="Default"/>
        <w:spacing w:after="200"/>
        <w:ind w:firstLine="720"/>
      </w:pPr>
      <w:r>
        <w:t xml:space="preserve">(d) </w:t>
      </w:r>
      <w:proofErr w:type="gramStart"/>
      <w:r w:rsidRPr="00B90E60">
        <w:t>s</w:t>
      </w:r>
      <w:r>
        <w:t>ubs</w:t>
      </w:r>
      <w:r w:rsidRPr="00B90E60">
        <w:t>ection</w:t>
      </w:r>
      <w:proofErr w:type="gramEnd"/>
      <w:r w:rsidRPr="00B90E60">
        <w:t xml:space="preserve"> 79A</w:t>
      </w:r>
      <w:r>
        <w:t>(2)</w:t>
      </w:r>
      <w:r w:rsidRPr="00B90E60">
        <w:t xml:space="preserve"> of the </w:t>
      </w:r>
      <w:r w:rsidRPr="00B90E60">
        <w:rPr>
          <w:i/>
        </w:rPr>
        <w:t>Australian Broadcasting Corporation Act 1983</w:t>
      </w:r>
      <w:r>
        <w:t>;</w:t>
      </w:r>
    </w:p>
    <w:p w14:paraId="593BBA47" w14:textId="77777777" w:rsidR="00AA57C2" w:rsidRPr="00B90E60" w:rsidRDefault="00AA57C2" w:rsidP="00AA57C2">
      <w:pPr>
        <w:pStyle w:val="Default"/>
        <w:spacing w:after="200"/>
        <w:ind w:firstLine="720"/>
      </w:pPr>
      <w:r>
        <w:t xml:space="preserve">(e) </w:t>
      </w:r>
      <w:proofErr w:type="gramStart"/>
      <w:r>
        <w:t>subsection</w:t>
      </w:r>
      <w:proofErr w:type="gramEnd"/>
      <w:r>
        <w:t xml:space="preserve"> 70A(2) of the </w:t>
      </w:r>
      <w:r w:rsidRPr="00B90E60">
        <w:rPr>
          <w:i/>
        </w:rPr>
        <w:t>Special Broadcasting Service Act 1991</w:t>
      </w:r>
      <w:r>
        <w:t>.</w:t>
      </w:r>
    </w:p>
    <w:p w14:paraId="593BBA48" w14:textId="77777777" w:rsidR="00327F50" w:rsidRPr="00327F50" w:rsidRDefault="00AA57C2" w:rsidP="00327F50">
      <w:pPr>
        <w:pStyle w:val="Default"/>
        <w:spacing w:after="200"/>
      </w:pPr>
      <w:r>
        <w:t xml:space="preserve">This means that the disclosure requirements prescribed by section 7 of the FITS Rules applies if particulars relating to an instance of communications activity in column 1 of an item of the table in subsection 5(1) of the FITS Rules are notified or announced in accordance with subsection 79A(2) of the </w:t>
      </w:r>
      <w:r w:rsidRPr="00B90E60">
        <w:rPr>
          <w:i/>
        </w:rPr>
        <w:t>Australian Broadcasting Corporation Act 1983</w:t>
      </w:r>
      <w:r>
        <w:t xml:space="preserve"> and subsection 70A(2) of the </w:t>
      </w:r>
      <w:r w:rsidRPr="00B90E60">
        <w:rPr>
          <w:i/>
        </w:rPr>
        <w:t>Special Broadcasting Service Act 1991</w:t>
      </w:r>
      <w:r>
        <w:t xml:space="preserve">, as well as the laws already listed </w:t>
      </w:r>
      <w:r w:rsidR="007E0EDB">
        <w:t>at</w:t>
      </w:r>
      <w:r w:rsidR="00327F50">
        <w:t xml:space="preserve"> paragraphs 7(1)(a) to (c) of the FITS Rules.</w:t>
      </w:r>
      <w:r w:rsidR="00327F50">
        <w:rPr>
          <w:b/>
        </w:rPr>
        <w:br w:type="page"/>
      </w:r>
    </w:p>
    <w:p w14:paraId="593BBA49" w14:textId="77777777" w:rsidR="005161DA" w:rsidRPr="00B3537D" w:rsidRDefault="005161DA" w:rsidP="005161DA">
      <w:pPr>
        <w:spacing w:line="276" w:lineRule="auto"/>
        <w:jc w:val="right"/>
      </w:pPr>
      <w:r w:rsidRPr="00B3537D">
        <w:rPr>
          <w:rFonts w:ascii="Times New Roman" w:hAnsi="Times New Roman" w:cs="Times New Roman"/>
          <w:b/>
        </w:rPr>
        <w:lastRenderedPageBreak/>
        <w:t>Attachment B</w:t>
      </w:r>
    </w:p>
    <w:p w14:paraId="593BBA4A" w14:textId="77777777" w:rsidR="005161DA" w:rsidRPr="00681699" w:rsidRDefault="005161DA" w:rsidP="005161DA">
      <w:pPr>
        <w:jc w:val="center"/>
        <w:rPr>
          <w:rFonts w:ascii="Times New Roman" w:hAnsi="Times New Roman" w:cs="Times New Roman"/>
          <w:b/>
          <w:szCs w:val="24"/>
          <w:u w:val="single"/>
        </w:rPr>
      </w:pPr>
      <w:r w:rsidRPr="00681699">
        <w:rPr>
          <w:rFonts w:ascii="Times New Roman" w:hAnsi="Times New Roman" w:cs="Times New Roman"/>
          <w:b/>
          <w:szCs w:val="24"/>
          <w:u w:val="single"/>
        </w:rPr>
        <w:t>Statement of Compatibility with Human Rights</w:t>
      </w:r>
    </w:p>
    <w:p w14:paraId="593BBA4B" w14:textId="77777777" w:rsidR="005161DA" w:rsidRDefault="005161DA" w:rsidP="005161DA">
      <w:pPr>
        <w:pStyle w:val="Default"/>
        <w:spacing w:after="200"/>
        <w:rPr>
          <w:b/>
        </w:rPr>
      </w:pPr>
      <w:r w:rsidRPr="007B0891">
        <w:rPr>
          <w:i/>
        </w:rPr>
        <w:t>Prepared in accordance with Part 3 of the Human Rights (Parliamentary Scrutiny) Act 2011</w:t>
      </w:r>
    </w:p>
    <w:p w14:paraId="593BBA4C" w14:textId="77777777" w:rsidR="005161DA" w:rsidRDefault="005161DA" w:rsidP="005161DA">
      <w:pPr>
        <w:pStyle w:val="Default"/>
        <w:spacing w:after="200"/>
        <w:jc w:val="center"/>
        <w:rPr>
          <w:b/>
        </w:rPr>
      </w:pPr>
      <w:r w:rsidRPr="007B0891">
        <w:rPr>
          <w:b/>
        </w:rPr>
        <w:t xml:space="preserve">Foreign Influence Transparency Scheme (Disclosure in Communications Activity) </w:t>
      </w:r>
      <w:r w:rsidR="00424DFD">
        <w:rPr>
          <w:b/>
        </w:rPr>
        <w:t xml:space="preserve">Amendment </w:t>
      </w:r>
      <w:r w:rsidRPr="007B0891">
        <w:rPr>
          <w:b/>
        </w:rPr>
        <w:t>Rules 2018</w:t>
      </w:r>
    </w:p>
    <w:p w14:paraId="593BBA4D" w14:textId="77777777" w:rsidR="005161DA" w:rsidRPr="003A29C3" w:rsidRDefault="005161DA" w:rsidP="005161DA">
      <w:pPr>
        <w:pStyle w:val="Default"/>
        <w:spacing w:afterLines="100" w:after="240"/>
        <w:rPr>
          <w:szCs w:val="20"/>
        </w:rPr>
      </w:pPr>
      <w:r w:rsidRPr="003A29C3">
        <w:rPr>
          <w:szCs w:val="20"/>
        </w:rPr>
        <w:t xml:space="preserve">The </w:t>
      </w:r>
      <w:r w:rsidR="007E0EDB">
        <w:t xml:space="preserve">Amendment Rules </w:t>
      </w:r>
      <w:r w:rsidRPr="003A29C3">
        <w:rPr>
          <w:szCs w:val="20"/>
        </w:rPr>
        <w:t xml:space="preserve">are compatible with the human rights and freedoms recognised or declared in the international instruments listed in section 3 of the </w:t>
      </w:r>
      <w:r w:rsidRPr="003A29C3">
        <w:rPr>
          <w:i/>
          <w:iCs/>
          <w:szCs w:val="20"/>
        </w:rPr>
        <w:t>Human Rights (Parliamentary Scrutiny) Act 2011</w:t>
      </w:r>
      <w:r w:rsidRPr="003A29C3">
        <w:rPr>
          <w:szCs w:val="20"/>
        </w:rPr>
        <w:t xml:space="preserve">. </w:t>
      </w:r>
    </w:p>
    <w:p w14:paraId="593BBA4E" w14:textId="77777777" w:rsidR="005161DA" w:rsidRPr="00980B5A" w:rsidRDefault="005161DA" w:rsidP="005161DA">
      <w:pPr>
        <w:pStyle w:val="Default"/>
        <w:spacing w:after="200"/>
        <w:rPr>
          <w:szCs w:val="20"/>
        </w:rPr>
      </w:pPr>
      <w:r w:rsidRPr="00980B5A">
        <w:rPr>
          <w:b/>
          <w:szCs w:val="20"/>
        </w:rPr>
        <w:t>Overview of the Rules</w:t>
      </w:r>
    </w:p>
    <w:p w14:paraId="593BBA4F" w14:textId="77777777" w:rsidR="007E0EDB" w:rsidRDefault="007E0EDB" w:rsidP="007E0EDB">
      <w:pPr>
        <w:spacing w:afterLines="100" w:after="240"/>
        <w:rPr>
          <w:rFonts w:ascii="Times New Roman" w:hAnsi="Times New Roman" w:cs="Times New Roman"/>
          <w:szCs w:val="20"/>
        </w:rPr>
      </w:pPr>
      <w:r>
        <w:rPr>
          <w:rFonts w:ascii="Times New Roman" w:hAnsi="Times New Roman" w:cs="Times New Roman"/>
        </w:rPr>
        <w:t xml:space="preserve">The </w:t>
      </w:r>
      <w:r w:rsidRPr="003A29C3">
        <w:rPr>
          <w:rFonts w:ascii="Times New Roman" w:hAnsi="Times New Roman" w:cs="Times New Roman"/>
          <w:i/>
          <w:szCs w:val="20"/>
        </w:rPr>
        <w:t xml:space="preserve">Foreign Influence Transparency Scheme </w:t>
      </w:r>
      <w:r>
        <w:rPr>
          <w:rFonts w:ascii="Times New Roman" w:hAnsi="Times New Roman" w:cs="Times New Roman"/>
          <w:i/>
          <w:szCs w:val="20"/>
        </w:rPr>
        <w:t xml:space="preserve">(Disclosure in Communications Activity) Amendment </w:t>
      </w:r>
      <w:r w:rsidRPr="003A29C3">
        <w:rPr>
          <w:rFonts w:ascii="Times New Roman" w:hAnsi="Times New Roman" w:cs="Times New Roman"/>
          <w:i/>
          <w:szCs w:val="20"/>
        </w:rPr>
        <w:t>Rules</w:t>
      </w:r>
      <w:r w:rsidRPr="003A29C3">
        <w:rPr>
          <w:rFonts w:ascii="Times New Roman" w:hAnsi="Times New Roman" w:cs="Times New Roman"/>
          <w:szCs w:val="20"/>
        </w:rPr>
        <w:t xml:space="preserve"> </w:t>
      </w:r>
      <w:r w:rsidRPr="005161DA">
        <w:rPr>
          <w:rFonts w:ascii="Times New Roman" w:hAnsi="Times New Roman" w:cs="Times New Roman"/>
          <w:i/>
          <w:szCs w:val="20"/>
        </w:rPr>
        <w:t>2018</w:t>
      </w:r>
      <w:r w:rsidRPr="003A29C3">
        <w:rPr>
          <w:rFonts w:ascii="Times New Roman" w:hAnsi="Times New Roman" w:cs="Times New Roman"/>
          <w:szCs w:val="20"/>
        </w:rPr>
        <w:t xml:space="preserve"> (the</w:t>
      </w:r>
      <w:r>
        <w:rPr>
          <w:rFonts w:ascii="Times New Roman" w:hAnsi="Times New Roman" w:cs="Times New Roman"/>
          <w:szCs w:val="20"/>
        </w:rPr>
        <w:t xml:space="preserve"> Amendment</w:t>
      </w:r>
      <w:r w:rsidRPr="003A29C3">
        <w:rPr>
          <w:rFonts w:ascii="Times New Roman" w:hAnsi="Times New Roman" w:cs="Times New Roman"/>
          <w:szCs w:val="20"/>
        </w:rPr>
        <w:t xml:space="preserve"> </w:t>
      </w:r>
      <w:r>
        <w:rPr>
          <w:rFonts w:ascii="Times New Roman" w:hAnsi="Times New Roman" w:cs="Times New Roman"/>
          <w:szCs w:val="20"/>
        </w:rPr>
        <w:t>R</w:t>
      </w:r>
      <w:r w:rsidRPr="003A29C3">
        <w:rPr>
          <w:rFonts w:ascii="Times New Roman" w:hAnsi="Times New Roman" w:cs="Times New Roman"/>
          <w:szCs w:val="20"/>
        </w:rPr>
        <w:t>ules</w:t>
      </w:r>
      <w:r>
        <w:rPr>
          <w:rFonts w:ascii="Times New Roman" w:hAnsi="Times New Roman" w:cs="Times New Roman"/>
          <w:szCs w:val="20"/>
        </w:rPr>
        <w:t xml:space="preserve">) are made under section 71 of the </w:t>
      </w:r>
      <w:r w:rsidRPr="003A29C3">
        <w:rPr>
          <w:rFonts w:ascii="Times New Roman" w:hAnsi="Times New Roman" w:cs="Times New Roman"/>
          <w:i/>
          <w:szCs w:val="20"/>
        </w:rPr>
        <w:t xml:space="preserve">Foreign Influence Transparency Scheme Act 2018 </w:t>
      </w:r>
      <w:r>
        <w:rPr>
          <w:rFonts w:ascii="Times New Roman" w:hAnsi="Times New Roman" w:cs="Times New Roman"/>
          <w:szCs w:val="20"/>
        </w:rPr>
        <w:t>(the Act</w:t>
      </w:r>
      <w:r w:rsidRPr="003A29C3">
        <w:rPr>
          <w:rFonts w:ascii="Times New Roman" w:hAnsi="Times New Roman" w:cs="Times New Roman"/>
          <w:szCs w:val="20"/>
        </w:rPr>
        <w:t>)</w:t>
      </w:r>
      <w:r>
        <w:rPr>
          <w:rFonts w:ascii="Times New Roman" w:hAnsi="Times New Roman" w:cs="Times New Roman"/>
          <w:szCs w:val="20"/>
        </w:rPr>
        <w:t xml:space="preserve">, for the purposes of </w:t>
      </w:r>
      <w:r w:rsidRPr="003A29C3">
        <w:rPr>
          <w:rFonts w:ascii="Times New Roman" w:hAnsi="Times New Roman" w:cs="Times New Roman"/>
          <w:szCs w:val="20"/>
        </w:rPr>
        <w:t xml:space="preserve">section </w:t>
      </w:r>
      <w:r>
        <w:rPr>
          <w:rFonts w:ascii="Times New Roman" w:hAnsi="Times New Roman" w:cs="Times New Roman"/>
          <w:szCs w:val="20"/>
        </w:rPr>
        <w:t>38</w:t>
      </w:r>
      <w:r w:rsidRPr="003A29C3">
        <w:rPr>
          <w:rFonts w:ascii="Times New Roman" w:hAnsi="Times New Roman" w:cs="Times New Roman"/>
          <w:szCs w:val="20"/>
        </w:rPr>
        <w:t xml:space="preserve"> of the Act</w:t>
      </w:r>
      <w:r>
        <w:rPr>
          <w:rFonts w:ascii="Times New Roman" w:hAnsi="Times New Roman" w:cs="Times New Roman"/>
          <w:szCs w:val="20"/>
        </w:rPr>
        <w:t>. The Act establishes the Foreign Influence Transparency Scheme (the scheme). The objective of the scheme is to provide transparency to the public and decision makers about the nature, level and extent of foreign influence on Australia’s governmental and political processes.</w:t>
      </w:r>
    </w:p>
    <w:p w14:paraId="593BBA50" w14:textId="77777777" w:rsidR="007E0EDB" w:rsidRDefault="007E0EDB" w:rsidP="007E0EDB">
      <w:pPr>
        <w:spacing w:afterLines="100" w:after="240"/>
        <w:rPr>
          <w:rFonts w:ascii="Times New Roman" w:hAnsi="Times New Roman" w:cs="Times New Roman"/>
          <w:szCs w:val="20"/>
        </w:rPr>
      </w:pPr>
      <w:r>
        <w:rPr>
          <w:rFonts w:ascii="Times New Roman" w:hAnsi="Times New Roman" w:cs="Times New Roman"/>
          <w:szCs w:val="20"/>
        </w:rPr>
        <w:t>Section 71 of the Act provides that the Minister may, by legislative instrument, make rules prescribing matters that are required or permitted by the Act to be prescribed by the rules, or that are necessary or convenient to be prescribed for carrying out or giving effect to the Act.</w:t>
      </w:r>
    </w:p>
    <w:p w14:paraId="593BBA51" w14:textId="77777777" w:rsidR="007E0EDB" w:rsidRDefault="007E0EDB" w:rsidP="007E0EDB">
      <w:pPr>
        <w:spacing w:afterLines="100" w:after="240"/>
        <w:rPr>
          <w:rFonts w:ascii="Times New Roman" w:hAnsi="Times New Roman" w:cs="Times New Roman"/>
          <w:szCs w:val="24"/>
        </w:rPr>
      </w:pPr>
      <w:r>
        <w:rPr>
          <w:rFonts w:ascii="Times New Roman" w:hAnsi="Times New Roman" w:cs="Times New Roman"/>
          <w:szCs w:val="24"/>
        </w:rPr>
        <w:t xml:space="preserve">Section 38 of the Act </w:t>
      </w:r>
      <w:r w:rsidRPr="006159C5">
        <w:rPr>
          <w:rFonts w:ascii="Times New Roman" w:hAnsi="Times New Roman" w:cs="Times New Roman"/>
          <w:szCs w:val="24"/>
        </w:rPr>
        <w:t xml:space="preserve">requires a person who is registered in relation to communications activities on behalf of a foreign principal to make a disclosure about the foreign principal in accordance with the rules. </w:t>
      </w:r>
    </w:p>
    <w:p w14:paraId="593BBA52" w14:textId="77777777" w:rsidR="007575AB" w:rsidRDefault="007E0EDB" w:rsidP="007575AB">
      <w:pPr>
        <w:spacing w:afterLines="100" w:after="240"/>
        <w:rPr>
          <w:rFonts w:ascii="Times New Roman" w:hAnsi="Times New Roman" w:cs="Times New Roman"/>
          <w:szCs w:val="24"/>
        </w:rPr>
      </w:pPr>
      <w:r>
        <w:rPr>
          <w:rFonts w:ascii="Times New Roman" w:hAnsi="Times New Roman" w:cs="Times New Roman"/>
          <w:szCs w:val="24"/>
        </w:rPr>
        <w:t>Subsection 38(1)</w:t>
      </w:r>
      <w:r w:rsidRPr="006159C5">
        <w:rPr>
          <w:rFonts w:ascii="Times New Roman" w:hAnsi="Times New Roman" w:cs="Times New Roman"/>
          <w:szCs w:val="24"/>
        </w:rPr>
        <w:t xml:space="preserve"> </w:t>
      </w:r>
      <w:r>
        <w:rPr>
          <w:rFonts w:ascii="Times New Roman" w:hAnsi="Times New Roman" w:cs="Times New Roman"/>
          <w:szCs w:val="24"/>
        </w:rPr>
        <w:t>of the Act provides that the disclosure requirement applies if:</w:t>
      </w:r>
    </w:p>
    <w:p w14:paraId="593BBA53" w14:textId="77777777" w:rsidR="007575AB" w:rsidRPr="009F755B" w:rsidRDefault="007575AB" w:rsidP="007575AB">
      <w:pPr>
        <w:pStyle w:val="ListParagraph"/>
        <w:numPr>
          <w:ilvl w:val="0"/>
          <w:numId w:val="31"/>
        </w:numPr>
        <w:spacing w:afterLines="100" w:after="240"/>
        <w:rPr>
          <w:rFonts w:ascii="Times New Roman" w:hAnsi="Times New Roman" w:cs="Times New Roman"/>
          <w:szCs w:val="24"/>
        </w:rPr>
      </w:pPr>
      <w:r w:rsidRPr="009F755B">
        <w:rPr>
          <w:rFonts w:ascii="Times New Roman" w:hAnsi="Times New Roman" w:cs="Times New Roman"/>
          <w:szCs w:val="24"/>
        </w:rPr>
        <w:t>a person is registered under the scheme in relation to a foreign principal; and</w:t>
      </w:r>
    </w:p>
    <w:p w14:paraId="593BBA54" w14:textId="77777777" w:rsidR="007575AB" w:rsidRPr="009F755B" w:rsidRDefault="007575AB" w:rsidP="007575AB">
      <w:pPr>
        <w:pStyle w:val="ListParagraph"/>
        <w:numPr>
          <w:ilvl w:val="0"/>
          <w:numId w:val="31"/>
        </w:numPr>
        <w:spacing w:afterLines="100" w:after="240"/>
        <w:rPr>
          <w:rFonts w:ascii="Times New Roman" w:hAnsi="Times New Roman" w:cs="Times New Roman"/>
          <w:szCs w:val="24"/>
        </w:rPr>
      </w:pPr>
      <w:r w:rsidRPr="009F755B">
        <w:rPr>
          <w:rFonts w:ascii="Times New Roman" w:hAnsi="Times New Roman" w:cs="Times New Roman"/>
          <w:szCs w:val="24"/>
        </w:rPr>
        <w:t>the person undertakes communications activity on behalf of the foreign principal; and</w:t>
      </w:r>
    </w:p>
    <w:p w14:paraId="593BBA55" w14:textId="77777777" w:rsidR="007575AB" w:rsidRPr="00B3537D" w:rsidRDefault="007575AB" w:rsidP="007575AB">
      <w:pPr>
        <w:pStyle w:val="ListParagraph"/>
        <w:numPr>
          <w:ilvl w:val="0"/>
          <w:numId w:val="31"/>
        </w:numPr>
        <w:spacing w:afterLines="100" w:after="240"/>
      </w:pPr>
      <w:proofErr w:type="gramStart"/>
      <w:r w:rsidRPr="009F755B">
        <w:rPr>
          <w:rFonts w:ascii="Times New Roman" w:hAnsi="Times New Roman" w:cs="Times New Roman"/>
          <w:szCs w:val="24"/>
        </w:rPr>
        <w:t>the</w:t>
      </w:r>
      <w:proofErr w:type="gramEnd"/>
      <w:r w:rsidRPr="009F755B">
        <w:rPr>
          <w:rFonts w:ascii="Times New Roman" w:hAnsi="Times New Roman" w:cs="Times New Roman"/>
          <w:szCs w:val="24"/>
        </w:rPr>
        <w:t xml:space="preserve"> communications activity is registrable in relation to the foreign principal within the meaning of section 21 (activity in Australia for the purpose of political or governmental influence).</w:t>
      </w:r>
    </w:p>
    <w:p w14:paraId="593BBA56" w14:textId="77777777" w:rsidR="007E0EDB" w:rsidRPr="006159C5" w:rsidRDefault="007E0EDB" w:rsidP="007E0EDB">
      <w:pPr>
        <w:spacing w:afterLines="100" w:after="240"/>
        <w:rPr>
          <w:rFonts w:ascii="Times New Roman" w:hAnsi="Times New Roman" w:cs="Times New Roman"/>
          <w:szCs w:val="24"/>
        </w:rPr>
      </w:pPr>
      <w:r>
        <w:rPr>
          <w:rFonts w:ascii="Times New Roman" w:hAnsi="Times New Roman" w:cs="Times New Roman"/>
          <w:szCs w:val="24"/>
        </w:rPr>
        <w:t>Subsection 38(2) of the Act provides that the rules may prescribe any or all of the following:</w:t>
      </w:r>
    </w:p>
    <w:p w14:paraId="593BBA57" w14:textId="77777777" w:rsidR="007575AB" w:rsidRDefault="007E0EDB" w:rsidP="007575AB">
      <w:pPr>
        <w:pStyle w:val="ListParagraph"/>
        <w:numPr>
          <w:ilvl w:val="0"/>
          <w:numId w:val="30"/>
        </w:numPr>
        <w:spacing w:afterLines="100" w:after="240"/>
        <w:rPr>
          <w:rFonts w:ascii="Times New Roman" w:hAnsi="Times New Roman" w:cs="Times New Roman"/>
          <w:szCs w:val="24"/>
        </w:rPr>
      </w:pPr>
      <w:r w:rsidRPr="007575AB">
        <w:rPr>
          <w:rFonts w:ascii="Times New Roman" w:hAnsi="Times New Roman" w:cs="Times New Roman"/>
          <w:szCs w:val="24"/>
        </w:rPr>
        <w:t>instances of communications activity;</w:t>
      </w:r>
    </w:p>
    <w:p w14:paraId="593BBA58" w14:textId="77777777" w:rsidR="007575AB" w:rsidRDefault="007E0EDB" w:rsidP="007575AB">
      <w:pPr>
        <w:pStyle w:val="ListParagraph"/>
        <w:numPr>
          <w:ilvl w:val="0"/>
          <w:numId w:val="30"/>
        </w:numPr>
        <w:spacing w:afterLines="100" w:after="240"/>
        <w:rPr>
          <w:rFonts w:ascii="Times New Roman" w:hAnsi="Times New Roman" w:cs="Times New Roman"/>
          <w:szCs w:val="24"/>
        </w:rPr>
      </w:pPr>
      <w:r w:rsidRPr="007575AB">
        <w:rPr>
          <w:rFonts w:ascii="Times New Roman" w:hAnsi="Times New Roman" w:cs="Times New Roman"/>
          <w:szCs w:val="24"/>
        </w:rPr>
        <w:t>when and how disclosures are to be made in relation to instances of communications activity;</w:t>
      </w:r>
    </w:p>
    <w:p w14:paraId="593BBA59" w14:textId="77777777" w:rsidR="007575AB" w:rsidRDefault="007E0EDB" w:rsidP="007575AB">
      <w:pPr>
        <w:pStyle w:val="ListParagraph"/>
        <w:numPr>
          <w:ilvl w:val="0"/>
          <w:numId w:val="30"/>
        </w:numPr>
        <w:spacing w:afterLines="100" w:after="240"/>
        <w:rPr>
          <w:rFonts w:ascii="Times New Roman" w:hAnsi="Times New Roman" w:cs="Times New Roman"/>
          <w:szCs w:val="24"/>
        </w:rPr>
      </w:pPr>
      <w:r w:rsidRPr="007575AB">
        <w:rPr>
          <w:rFonts w:ascii="Times New Roman" w:hAnsi="Times New Roman" w:cs="Times New Roman"/>
          <w:szCs w:val="24"/>
        </w:rPr>
        <w:t>the content, form and manner of disclosures;</w:t>
      </w:r>
    </w:p>
    <w:p w14:paraId="593BBA5A" w14:textId="77777777" w:rsidR="007E0EDB" w:rsidRPr="007575AB" w:rsidRDefault="007E0EDB" w:rsidP="007575AB">
      <w:pPr>
        <w:pStyle w:val="ListParagraph"/>
        <w:numPr>
          <w:ilvl w:val="0"/>
          <w:numId w:val="30"/>
        </w:numPr>
        <w:spacing w:afterLines="100" w:after="240"/>
        <w:rPr>
          <w:rFonts w:ascii="Times New Roman" w:hAnsi="Times New Roman" w:cs="Times New Roman"/>
          <w:szCs w:val="24"/>
        </w:rPr>
      </w:pPr>
      <w:proofErr w:type="gramStart"/>
      <w:r w:rsidRPr="007575AB">
        <w:rPr>
          <w:rFonts w:ascii="Times New Roman" w:hAnsi="Times New Roman" w:cs="Times New Roman"/>
          <w:szCs w:val="24"/>
        </w:rPr>
        <w:t>circumstances</w:t>
      </w:r>
      <w:proofErr w:type="gramEnd"/>
      <w:r w:rsidRPr="007575AB">
        <w:rPr>
          <w:rFonts w:ascii="Times New Roman" w:hAnsi="Times New Roman" w:cs="Times New Roman"/>
          <w:szCs w:val="24"/>
        </w:rPr>
        <w:t xml:space="preserve"> in which a person is exempt from making a disclosure.</w:t>
      </w:r>
    </w:p>
    <w:p w14:paraId="593BBA5B" w14:textId="77777777" w:rsidR="00F15DD3" w:rsidRDefault="007E0EDB" w:rsidP="007E0EDB">
      <w:pPr>
        <w:spacing w:afterLines="100" w:after="240"/>
        <w:rPr>
          <w:rFonts w:ascii="Times New Roman" w:hAnsi="Times New Roman" w:cs="Times New Roman"/>
          <w:szCs w:val="20"/>
        </w:rPr>
      </w:pPr>
      <w:r>
        <w:rPr>
          <w:rFonts w:ascii="Times New Roman" w:hAnsi="Times New Roman" w:cs="Times New Roman"/>
          <w:szCs w:val="20"/>
        </w:rPr>
        <w:t xml:space="preserve">The Amendment Rules make minor amendments to section 7 of the </w:t>
      </w:r>
      <w:r w:rsidRPr="003A29C3">
        <w:rPr>
          <w:rFonts w:ascii="Times New Roman" w:hAnsi="Times New Roman" w:cs="Times New Roman"/>
          <w:i/>
          <w:szCs w:val="20"/>
        </w:rPr>
        <w:t xml:space="preserve">Foreign Influence Transparency Scheme </w:t>
      </w:r>
      <w:r>
        <w:rPr>
          <w:rFonts w:ascii="Times New Roman" w:hAnsi="Times New Roman" w:cs="Times New Roman"/>
          <w:i/>
          <w:szCs w:val="20"/>
        </w:rPr>
        <w:t xml:space="preserve">(Disclosure in Communications Activity) </w:t>
      </w:r>
      <w:r w:rsidRPr="003A29C3">
        <w:rPr>
          <w:rFonts w:ascii="Times New Roman" w:hAnsi="Times New Roman" w:cs="Times New Roman"/>
          <w:i/>
          <w:szCs w:val="20"/>
        </w:rPr>
        <w:t>Rules</w:t>
      </w:r>
      <w:r>
        <w:rPr>
          <w:rFonts w:ascii="Times New Roman" w:hAnsi="Times New Roman" w:cs="Times New Roman"/>
          <w:i/>
          <w:szCs w:val="20"/>
        </w:rPr>
        <w:t xml:space="preserve"> 2018</w:t>
      </w:r>
      <w:r>
        <w:rPr>
          <w:rFonts w:ascii="Times New Roman" w:hAnsi="Times New Roman" w:cs="Times New Roman"/>
          <w:szCs w:val="20"/>
        </w:rPr>
        <w:t xml:space="preserve"> (the FITS Rules), which commenced on 10 December 2018. </w:t>
      </w:r>
      <w:r w:rsidR="00F15DD3">
        <w:rPr>
          <w:rFonts w:ascii="Times New Roman" w:hAnsi="Times New Roman" w:cs="Times New Roman"/>
          <w:szCs w:val="20"/>
        </w:rPr>
        <w:t>The amendments address an oversight in the development of the FITS Rules.</w:t>
      </w:r>
    </w:p>
    <w:p w14:paraId="593BBA5C" w14:textId="77777777" w:rsidR="007E0EDB" w:rsidRDefault="007E0EDB" w:rsidP="007E0EDB">
      <w:pPr>
        <w:spacing w:afterLines="100" w:after="240"/>
        <w:rPr>
          <w:rFonts w:ascii="Times New Roman" w:hAnsi="Times New Roman" w:cs="Times New Roman"/>
          <w:szCs w:val="20"/>
        </w:rPr>
      </w:pPr>
      <w:r>
        <w:rPr>
          <w:rFonts w:ascii="Times New Roman" w:hAnsi="Times New Roman" w:cs="Times New Roman"/>
          <w:szCs w:val="20"/>
        </w:rPr>
        <w:lastRenderedPageBreak/>
        <w:t>The FITS Rules</w:t>
      </w:r>
      <w:r w:rsidRPr="001552FA">
        <w:rPr>
          <w:rFonts w:ascii="Times New Roman" w:hAnsi="Times New Roman" w:cs="Times New Roman"/>
          <w:szCs w:val="20"/>
        </w:rPr>
        <w:t xml:space="preserve"> prescribe the form, manner and content of disclosures to be made by persons registered under the </w:t>
      </w:r>
      <w:r>
        <w:rPr>
          <w:rFonts w:ascii="Times New Roman" w:hAnsi="Times New Roman" w:cs="Times New Roman"/>
          <w:szCs w:val="20"/>
        </w:rPr>
        <w:t xml:space="preserve">scheme </w:t>
      </w:r>
      <w:r w:rsidRPr="001552FA">
        <w:rPr>
          <w:rFonts w:ascii="Times New Roman" w:hAnsi="Times New Roman" w:cs="Times New Roman"/>
          <w:szCs w:val="20"/>
        </w:rPr>
        <w:t>when communicating to the public on behalf of a foreign principal, for the purposes of section 38</w:t>
      </w:r>
      <w:r>
        <w:rPr>
          <w:rFonts w:ascii="Times New Roman" w:hAnsi="Times New Roman" w:cs="Times New Roman"/>
          <w:szCs w:val="20"/>
        </w:rPr>
        <w:t xml:space="preserve"> of the Act. Section 7 of the FITS Rules relates to </w:t>
      </w:r>
      <w:r w:rsidRPr="001552FA">
        <w:rPr>
          <w:rFonts w:ascii="Times New Roman" w:hAnsi="Times New Roman" w:cs="Times New Roman"/>
          <w:szCs w:val="20"/>
        </w:rPr>
        <w:t>the disclosure requirements applying to authorised political material.</w:t>
      </w:r>
    </w:p>
    <w:p w14:paraId="593BBA5D" w14:textId="77777777" w:rsidR="007E0EDB" w:rsidRDefault="007E0EDB" w:rsidP="007E0EDB">
      <w:pPr>
        <w:spacing w:afterLines="100" w:after="240"/>
        <w:rPr>
          <w:rFonts w:ascii="Times New Roman" w:hAnsi="Times New Roman" w:cs="Times New Roman"/>
          <w:szCs w:val="20"/>
          <w:lang w:val="en-US"/>
        </w:rPr>
      </w:pPr>
      <w:r w:rsidRPr="001552FA">
        <w:rPr>
          <w:rFonts w:ascii="Times New Roman" w:hAnsi="Times New Roman" w:cs="Times New Roman"/>
          <w:szCs w:val="20"/>
        </w:rPr>
        <w:t xml:space="preserve">Subsection 7(1) </w:t>
      </w:r>
      <w:r>
        <w:rPr>
          <w:rFonts w:ascii="Times New Roman" w:hAnsi="Times New Roman" w:cs="Times New Roman"/>
          <w:szCs w:val="20"/>
        </w:rPr>
        <w:t xml:space="preserve">of the FITS Rules </w:t>
      </w:r>
      <w:r w:rsidRPr="001552FA">
        <w:rPr>
          <w:rFonts w:ascii="Times New Roman" w:hAnsi="Times New Roman" w:cs="Times New Roman"/>
          <w:szCs w:val="20"/>
        </w:rPr>
        <w:t>provides that for the purposes of paragraphs 38(2</w:t>
      </w:r>
      <w:proofErr w:type="gramStart"/>
      <w:r w:rsidRPr="001552FA">
        <w:rPr>
          <w:rFonts w:ascii="Times New Roman" w:hAnsi="Times New Roman" w:cs="Times New Roman"/>
          <w:szCs w:val="20"/>
        </w:rPr>
        <w:t>)(</w:t>
      </w:r>
      <w:proofErr w:type="gramEnd"/>
      <w:r w:rsidRPr="001552FA">
        <w:rPr>
          <w:rFonts w:ascii="Times New Roman" w:hAnsi="Times New Roman" w:cs="Times New Roman"/>
          <w:szCs w:val="20"/>
        </w:rPr>
        <w:t>b) and (c) of the Act, section 7 applies if particulars relating to an instance of communications activity in column 1 of an item of the table in subsection 5(1) of the Rules are notified or announced in accordance with any of the following laws:</w:t>
      </w:r>
    </w:p>
    <w:p w14:paraId="593BBA5E" w14:textId="77777777" w:rsidR="007E0EDB" w:rsidRPr="001552FA" w:rsidRDefault="007E0EDB" w:rsidP="007E0EDB">
      <w:pPr>
        <w:pStyle w:val="ListParagraph"/>
        <w:numPr>
          <w:ilvl w:val="0"/>
          <w:numId w:val="25"/>
        </w:numPr>
        <w:spacing w:afterLines="100" w:after="240"/>
        <w:rPr>
          <w:rFonts w:ascii="Times New Roman" w:hAnsi="Times New Roman" w:cs="Times New Roman"/>
          <w:szCs w:val="20"/>
          <w:lang w:val="en-US"/>
        </w:rPr>
      </w:pPr>
      <w:r w:rsidRPr="001552FA">
        <w:rPr>
          <w:rFonts w:ascii="Times New Roman" w:hAnsi="Times New Roman" w:cs="Times New Roman"/>
          <w:szCs w:val="20"/>
        </w:rPr>
        <w:t>Part XXA of the</w:t>
      </w:r>
      <w:r w:rsidRPr="001552FA">
        <w:rPr>
          <w:rFonts w:ascii="Times New Roman" w:hAnsi="Times New Roman" w:cs="Times New Roman"/>
          <w:i/>
          <w:iCs/>
          <w:szCs w:val="20"/>
        </w:rPr>
        <w:t xml:space="preserve"> Commonwealth Electoral Act 1918</w:t>
      </w:r>
    </w:p>
    <w:p w14:paraId="593BBA5F" w14:textId="77777777" w:rsidR="007E0EDB" w:rsidRPr="001552FA" w:rsidRDefault="007E0EDB" w:rsidP="007E0EDB">
      <w:pPr>
        <w:pStyle w:val="ListParagraph"/>
        <w:numPr>
          <w:ilvl w:val="0"/>
          <w:numId w:val="25"/>
        </w:numPr>
        <w:spacing w:afterLines="100" w:after="240"/>
        <w:rPr>
          <w:rFonts w:ascii="Times New Roman" w:hAnsi="Times New Roman" w:cs="Times New Roman"/>
          <w:szCs w:val="20"/>
          <w:lang w:val="en-US"/>
        </w:rPr>
      </w:pPr>
      <w:r w:rsidRPr="001552FA">
        <w:rPr>
          <w:rFonts w:ascii="Times New Roman" w:hAnsi="Times New Roman" w:cs="Times New Roman"/>
          <w:szCs w:val="20"/>
        </w:rPr>
        <w:t>Part IX of the</w:t>
      </w:r>
      <w:r w:rsidRPr="001552FA">
        <w:rPr>
          <w:rFonts w:ascii="Times New Roman" w:hAnsi="Times New Roman" w:cs="Times New Roman"/>
          <w:i/>
          <w:iCs/>
          <w:szCs w:val="20"/>
        </w:rPr>
        <w:t xml:space="preserve"> Referendum (Machinery Provisions) Act 1984</w:t>
      </w:r>
      <w:r w:rsidRPr="001552FA">
        <w:rPr>
          <w:rFonts w:ascii="Times New Roman" w:hAnsi="Times New Roman" w:cs="Times New Roman"/>
          <w:szCs w:val="20"/>
        </w:rPr>
        <w:t>, and</w:t>
      </w:r>
    </w:p>
    <w:p w14:paraId="593BBA60" w14:textId="77777777" w:rsidR="007E0EDB" w:rsidRPr="001552FA" w:rsidRDefault="007E0EDB" w:rsidP="007E0EDB">
      <w:pPr>
        <w:pStyle w:val="ListParagraph"/>
        <w:numPr>
          <w:ilvl w:val="0"/>
          <w:numId w:val="25"/>
        </w:numPr>
        <w:spacing w:afterLines="100" w:after="240"/>
        <w:rPr>
          <w:rFonts w:ascii="Times New Roman" w:hAnsi="Times New Roman" w:cs="Times New Roman"/>
          <w:szCs w:val="20"/>
          <w:lang w:val="en-US"/>
        </w:rPr>
      </w:pPr>
      <w:r w:rsidRPr="001552FA">
        <w:rPr>
          <w:rFonts w:ascii="Times New Roman" w:hAnsi="Times New Roman" w:cs="Times New Roman"/>
          <w:szCs w:val="20"/>
        </w:rPr>
        <w:t xml:space="preserve">Subclause 4(2) of Schedule 2 to the </w:t>
      </w:r>
      <w:r w:rsidRPr="001552FA">
        <w:rPr>
          <w:rFonts w:ascii="Times New Roman" w:hAnsi="Times New Roman" w:cs="Times New Roman"/>
          <w:i/>
          <w:iCs/>
          <w:szCs w:val="20"/>
        </w:rPr>
        <w:t>Broadcasting Services Act 1992.</w:t>
      </w:r>
    </w:p>
    <w:p w14:paraId="593BBA61" w14:textId="77777777" w:rsidR="007E0EDB" w:rsidRDefault="007E0EDB" w:rsidP="007E0EDB">
      <w:pPr>
        <w:pStyle w:val="Celltext"/>
        <w:spacing w:after="120"/>
      </w:pPr>
      <w:r>
        <w:t>As explained in the Explanatory Statement for the FITS Rules, section 7 of the FITS Rules</w:t>
      </w:r>
      <w:r w:rsidRPr="001552FA">
        <w:t xml:space="preserve"> address</w:t>
      </w:r>
      <w:r>
        <w:t>es</w:t>
      </w:r>
      <w:r w:rsidRPr="001552FA">
        <w:t xml:space="preserve"> circumstances in which instances of communications activity are subject to the disclosure requirements under the Act and requirements prescribed in any of the above listed laws.</w:t>
      </w:r>
      <w:r>
        <w:t xml:space="preserve"> In these circumstances, an alternative, shorter disclosure requirement than would generally apply is prescribed. The alternative disclosure requirements ensure that the transparency objectives of the scheme are met, while minimising unnecessary duplication between different regulatory regimes. </w:t>
      </w:r>
    </w:p>
    <w:p w14:paraId="593BBA62" w14:textId="77777777" w:rsidR="007E0EDB" w:rsidRPr="001552FA" w:rsidRDefault="007E0EDB" w:rsidP="007E0EDB">
      <w:pPr>
        <w:spacing w:afterLines="100" w:after="240"/>
        <w:rPr>
          <w:rFonts w:ascii="Times New Roman" w:hAnsi="Times New Roman" w:cs="Times New Roman"/>
          <w:szCs w:val="20"/>
          <w:lang w:val="en-US"/>
        </w:rPr>
      </w:pPr>
      <w:r>
        <w:rPr>
          <w:rFonts w:ascii="Times New Roman" w:hAnsi="Times New Roman" w:cs="Times New Roman"/>
          <w:szCs w:val="20"/>
          <w:lang w:val="en-US"/>
        </w:rPr>
        <w:t xml:space="preserve">The Amendment Rules add the following to the list above:  </w:t>
      </w:r>
    </w:p>
    <w:p w14:paraId="593BBA63" w14:textId="77777777" w:rsidR="007E0EDB" w:rsidRDefault="007E0EDB" w:rsidP="007E0EDB">
      <w:pPr>
        <w:pStyle w:val="Default"/>
        <w:numPr>
          <w:ilvl w:val="0"/>
          <w:numId w:val="26"/>
        </w:numPr>
        <w:ind w:left="714" w:hanging="357"/>
        <w:jc w:val="both"/>
      </w:pPr>
      <w:r>
        <w:t>S</w:t>
      </w:r>
      <w:r w:rsidRPr="004A0246">
        <w:t xml:space="preserve">ubsection 79A(2) of the </w:t>
      </w:r>
      <w:r w:rsidRPr="004A0246">
        <w:rPr>
          <w:i/>
        </w:rPr>
        <w:t>Australian Broadcasting Corporation Act 1983</w:t>
      </w:r>
      <w:r>
        <w:t>, and</w:t>
      </w:r>
    </w:p>
    <w:p w14:paraId="593BBA64" w14:textId="77777777" w:rsidR="007E0EDB" w:rsidRDefault="007E0EDB" w:rsidP="007E0EDB">
      <w:pPr>
        <w:pStyle w:val="Default"/>
        <w:numPr>
          <w:ilvl w:val="0"/>
          <w:numId w:val="26"/>
        </w:numPr>
        <w:spacing w:after="200"/>
        <w:jc w:val="both"/>
      </w:pPr>
      <w:r>
        <w:t xml:space="preserve">Subsection </w:t>
      </w:r>
      <w:proofErr w:type="gramStart"/>
      <w:r>
        <w:t>70A(</w:t>
      </w:r>
      <w:proofErr w:type="gramEnd"/>
      <w:r>
        <w:t xml:space="preserve">2) of the </w:t>
      </w:r>
      <w:r w:rsidRPr="00B90E60">
        <w:rPr>
          <w:i/>
        </w:rPr>
        <w:t>Special Broadcasting Service Act 1991</w:t>
      </w:r>
      <w:r>
        <w:t>.</w:t>
      </w:r>
    </w:p>
    <w:p w14:paraId="593BBA65" w14:textId="77777777" w:rsidR="00F15DD3" w:rsidRDefault="007E0EDB" w:rsidP="00F15DD3">
      <w:pPr>
        <w:spacing w:afterLines="100" w:after="240"/>
        <w:rPr>
          <w:rFonts w:ascii="Times New Roman" w:hAnsi="Times New Roman" w:cs="Times New Roman"/>
          <w:szCs w:val="20"/>
        </w:rPr>
      </w:pPr>
      <w:r w:rsidRPr="00327F50">
        <w:rPr>
          <w:rFonts w:ascii="Times New Roman" w:hAnsi="Times New Roman" w:cs="Times New Roman"/>
          <w:szCs w:val="24"/>
        </w:rPr>
        <w:t>The amendments ensure that there is consistency in the disclosure requirements</w:t>
      </w:r>
      <w:r>
        <w:rPr>
          <w:rFonts w:ascii="Times New Roman" w:hAnsi="Times New Roman" w:cs="Times New Roman"/>
          <w:szCs w:val="24"/>
        </w:rPr>
        <w:t xml:space="preserve"> under the Act </w:t>
      </w:r>
      <w:r w:rsidRPr="00327F50">
        <w:rPr>
          <w:rFonts w:ascii="Times New Roman" w:hAnsi="Times New Roman" w:cs="Times New Roman"/>
          <w:szCs w:val="24"/>
        </w:rPr>
        <w:t xml:space="preserve">applying to the </w:t>
      </w:r>
      <w:r>
        <w:rPr>
          <w:rFonts w:ascii="Times New Roman" w:hAnsi="Times New Roman" w:cs="Times New Roman"/>
          <w:szCs w:val="24"/>
        </w:rPr>
        <w:t>Australian Broadcasting Commission (ABC), the Special Broadcasting Service (</w:t>
      </w:r>
      <w:r w:rsidRPr="00327F50">
        <w:rPr>
          <w:rFonts w:ascii="Times New Roman" w:hAnsi="Times New Roman" w:cs="Times New Roman"/>
          <w:szCs w:val="24"/>
        </w:rPr>
        <w:t>SBS</w:t>
      </w:r>
      <w:r>
        <w:rPr>
          <w:rFonts w:ascii="Times New Roman" w:hAnsi="Times New Roman" w:cs="Times New Roman"/>
          <w:szCs w:val="24"/>
        </w:rPr>
        <w:t>)</w:t>
      </w:r>
      <w:r w:rsidRPr="00327F50">
        <w:rPr>
          <w:rFonts w:ascii="Times New Roman" w:hAnsi="Times New Roman" w:cs="Times New Roman"/>
          <w:szCs w:val="24"/>
        </w:rPr>
        <w:t xml:space="preserve"> and non-public broadcasters in relation to authorised political material.</w:t>
      </w:r>
      <w:r>
        <w:rPr>
          <w:rFonts w:ascii="Times New Roman" w:hAnsi="Times New Roman" w:cs="Times New Roman"/>
          <w:szCs w:val="24"/>
        </w:rPr>
        <w:t xml:space="preserve"> The amendments ensure that the original intention of section 7 of the FITS Rules is achieved.</w:t>
      </w:r>
      <w:r w:rsidR="00F15DD3" w:rsidRPr="00F15DD3">
        <w:rPr>
          <w:rFonts w:ascii="Times New Roman" w:hAnsi="Times New Roman" w:cs="Times New Roman"/>
          <w:szCs w:val="20"/>
        </w:rPr>
        <w:t xml:space="preserve"> </w:t>
      </w:r>
    </w:p>
    <w:p w14:paraId="593BBA66" w14:textId="77777777" w:rsidR="005161DA" w:rsidRPr="008265F1" w:rsidRDefault="005161DA" w:rsidP="005161DA">
      <w:pPr>
        <w:pStyle w:val="Default"/>
        <w:spacing w:after="200"/>
        <w:rPr>
          <w:b/>
        </w:rPr>
      </w:pPr>
      <w:r w:rsidRPr="008265F1">
        <w:rPr>
          <w:b/>
        </w:rPr>
        <w:t xml:space="preserve">Human rights implications </w:t>
      </w:r>
    </w:p>
    <w:p w14:paraId="593BBA67" w14:textId="77777777" w:rsidR="005161DA" w:rsidRPr="008265F1" w:rsidRDefault="005161DA" w:rsidP="005161DA">
      <w:pPr>
        <w:pStyle w:val="Default"/>
        <w:spacing w:after="200"/>
      </w:pPr>
      <w:r w:rsidRPr="008265F1">
        <w:t xml:space="preserve">The </w:t>
      </w:r>
      <w:r w:rsidR="003E1F44">
        <w:rPr>
          <w:szCs w:val="20"/>
          <w:lang w:val="en-US"/>
        </w:rPr>
        <w:t xml:space="preserve">Amendment </w:t>
      </w:r>
      <w:r>
        <w:t>Rules</w:t>
      </w:r>
      <w:r w:rsidRPr="005717EC">
        <w:t xml:space="preserve"> </w:t>
      </w:r>
      <w:r w:rsidR="00F15DD3">
        <w:t>engage</w:t>
      </w:r>
      <w:r w:rsidRPr="008265F1">
        <w:t xml:space="preserve"> the following rights as provided for in the International Covenant on Civil and Political Rights (ICCPR): </w:t>
      </w:r>
    </w:p>
    <w:p w14:paraId="593BBA68" w14:textId="77777777" w:rsidR="005161DA" w:rsidRPr="008265F1" w:rsidRDefault="005161DA" w:rsidP="007575AB">
      <w:pPr>
        <w:pStyle w:val="Default"/>
        <w:numPr>
          <w:ilvl w:val="0"/>
          <w:numId w:val="4"/>
        </w:numPr>
        <w:ind w:left="714" w:hanging="357"/>
      </w:pPr>
      <w:r w:rsidRPr="008265F1">
        <w:t xml:space="preserve">the right to opinion and freedom of expression </w:t>
      </w:r>
      <w:r>
        <w:t>a</w:t>
      </w:r>
      <w:r w:rsidRPr="008265F1">
        <w:t>s contained in article 19; and</w:t>
      </w:r>
    </w:p>
    <w:p w14:paraId="593BBA69" w14:textId="77777777" w:rsidR="005161DA" w:rsidRPr="008265F1" w:rsidRDefault="005161DA" w:rsidP="005161DA">
      <w:pPr>
        <w:pStyle w:val="Default"/>
        <w:numPr>
          <w:ilvl w:val="0"/>
          <w:numId w:val="4"/>
        </w:numPr>
        <w:spacing w:after="200"/>
      </w:pPr>
      <w:proofErr w:type="gramStart"/>
      <w:r w:rsidRPr="008265F1">
        <w:t>the</w:t>
      </w:r>
      <w:proofErr w:type="gramEnd"/>
      <w:r w:rsidRPr="008265F1">
        <w:t xml:space="preserve"> right to take part in public affairs and electi</w:t>
      </w:r>
      <w:r w:rsidR="00F15DD3">
        <w:t>ons as contained in article 25.</w:t>
      </w:r>
    </w:p>
    <w:p w14:paraId="593BBA6A" w14:textId="77777777" w:rsidR="005161DA" w:rsidRPr="008265F1" w:rsidRDefault="005161DA" w:rsidP="005161DA">
      <w:pPr>
        <w:pStyle w:val="Default"/>
        <w:spacing w:after="200"/>
        <w:rPr>
          <w:i/>
        </w:rPr>
      </w:pPr>
      <w:r w:rsidRPr="008265F1">
        <w:rPr>
          <w:bCs/>
          <w:i/>
          <w:iCs/>
        </w:rPr>
        <w:t>Right to freedom of expression and the right to take par</w:t>
      </w:r>
      <w:r>
        <w:rPr>
          <w:bCs/>
          <w:i/>
          <w:iCs/>
        </w:rPr>
        <w:t>t</w:t>
      </w:r>
      <w:r w:rsidRPr="008265F1">
        <w:rPr>
          <w:bCs/>
          <w:i/>
          <w:iCs/>
        </w:rPr>
        <w:t xml:space="preserve"> in public affairs (Articles 19 and 25)</w:t>
      </w:r>
    </w:p>
    <w:p w14:paraId="593BBA6B" w14:textId="77777777" w:rsidR="005161DA" w:rsidRDefault="005161DA" w:rsidP="005161DA">
      <w:pPr>
        <w:pStyle w:val="Default"/>
        <w:spacing w:after="200"/>
      </w:pPr>
      <w:r w:rsidRPr="008265F1">
        <w:t>The right to take part in public affairs, as contained in article 25 of the ICCPR, includes the right to “take part in the conduct of public affairs, directly or through freely chosen representatives”. Article 19(1) of the ICCPR provides that everyone should have the right to hold opinions without interference, whereas article 19(2) states that the right to freedom of expres</w:t>
      </w:r>
      <w:r w:rsidR="007575AB">
        <w:t xml:space="preserve">sion contains the right to </w:t>
      </w:r>
      <w:proofErr w:type="gramStart"/>
      <w:r w:rsidR="007575AB">
        <w:t>seek,</w:t>
      </w:r>
      <w:proofErr w:type="gramEnd"/>
      <w:r w:rsidRPr="008265F1">
        <w:t xml:space="preserve"> receive and impart information of all kinds using any type of media. </w:t>
      </w:r>
    </w:p>
    <w:p w14:paraId="593BBA6C" w14:textId="77777777" w:rsidR="007575AB" w:rsidRDefault="001B4CA5" w:rsidP="007575AB">
      <w:pPr>
        <w:pStyle w:val="Default"/>
        <w:spacing w:after="200"/>
      </w:pPr>
      <w:r>
        <w:t>The Amendment Rules promote the right to</w:t>
      </w:r>
      <w:r w:rsidR="005161DA" w:rsidRPr="008265F1">
        <w:t xml:space="preserve"> freedom of expression and the right to participate in public affairs by </w:t>
      </w:r>
      <w:r w:rsidR="007575AB">
        <w:t xml:space="preserve">ensuring there is consistency in the disclosure requirements applying to communications regardless of whether they are undertaken on a public or non-public broadcaster. The Amendment Rules ensure that the disclosure requirements applying for </w:t>
      </w:r>
      <w:r w:rsidR="007575AB">
        <w:lastRenderedPageBreak/>
        <w:t>communications of authorised political matter on the ABC and SBS are not too onerous or duplicative of matters already required to be disclosed under other legislation. The FITS Rules already provide this in relation to non-public broadcasters.</w:t>
      </w:r>
    </w:p>
    <w:p w14:paraId="593BBA6D" w14:textId="77777777" w:rsidR="005161DA" w:rsidRPr="00546DF0" w:rsidRDefault="005161DA" w:rsidP="005161DA">
      <w:pPr>
        <w:pStyle w:val="Default"/>
        <w:spacing w:after="200"/>
        <w:rPr>
          <w:u w:val="single"/>
        </w:rPr>
      </w:pPr>
      <w:r w:rsidRPr="00546DF0">
        <w:rPr>
          <w:u w:val="single"/>
        </w:rPr>
        <w:t>Conclusion</w:t>
      </w:r>
    </w:p>
    <w:p w14:paraId="593BBA6E" w14:textId="77777777" w:rsidR="005161DA" w:rsidRPr="006B43CD" w:rsidRDefault="005161DA" w:rsidP="005161DA">
      <w:pPr>
        <w:pStyle w:val="Default"/>
        <w:spacing w:after="200"/>
        <w:rPr>
          <w:b/>
        </w:rPr>
      </w:pPr>
      <w:r>
        <w:rPr>
          <w:sz w:val="23"/>
          <w:szCs w:val="23"/>
        </w:rPr>
        <w:t xml:space="preserve">The </w:t>
      </w:r>
      <w:r w:rsidR="00BD5FAF">
        <w:rPr>
          <w:sz w:val="23"/>
          <w:szCs w:val="23"/>
        </w:rPr>
        <w:t xml:space="preserve">Amendment </w:t>
      </w:r>
      <w:r>
        <w:rPr>
          <w:sz w:val="23"/>
          <w:szCs w:val="23"/>
        </w:rPr>
        <w:t xml:space="preserve">Rules are compatible with human rights because </w:t>
      </w:r>
      <w:r w:rsidR="007575AB">
        <w:rPr>
          <w:sz w:val="23"/>
          <w:szCs w:val="23"/>
        </w:rPr>
        <w:t>they promote human rights</w:t>
      </w:r>
      <w:r w:rsidRPr="008B6E7A">
        <w:rPr>
          <w:szCs w:val="20"/>
        </w:rPr>
        <w:t>.</w:t>
      </w:r>
    </w:p>
    <w:sectPr w:rsidR="005161DA" w:rsidRPr="006B43CD" w:rsidSect="00580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FF4"/>
    <w:multiLevelType w:val="hybridMultilevel"/>
    <w:tmpl w:val="72E09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A5845"/>
    <w:multiLevelType w:val="hybridMultilevel"/>
    <w:tmpl w:val="325A214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
    <w:nsid w:val="06023791"/>
    <w:multiLevelType w:val="hybridMultilevel"/>
    <w:tmpl w:val="93465C40"/>
    <w:lvl w:ilvl="0" w:tplc="50DA3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8B2163"/>
    <w:multiLevelType w:val="hybridMultilevel"/>
    <w:tmpl w:val="3040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B7740D"/>
    <w:multiLevelType w:val="hybridMultilevel"/>
    <w:tmpl w:val="93465C40"/>
    <w:lvl w:ilvl="0" w:tplc="50DA3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C3708B"/>
    <w:multiLevelType w:val="hybridMultilevel"/>
    <w:tmpl w:val="9E66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E77F8D"/>
    <w:multiLevelType w:val="hybridMultilevel"/>
    <w:tmpl w:val="93465C40"/>
    <w:lvl w:ilvl="0" w:tplc="50DA3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5B22D5"/>
    <w:multiLevelType w:val="hybridMultilevel"/>
    <w:tmpl w:val="F4282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705CD2"/>
    <w:multiLevelType w:val="hybridMultilevel"/>
    <w:tmpl w:val="66BA542E"/>
    <w:lvl w:ilvl="0" w:tplc="7540A506">
      <w:start w:val="1"/>
      <w:numFmt w:val="lowerRoman"/>
      <w:lvlText w:val="(%1)"/>
      <w:lvlJc w:val="right"/>
      <w:pPr>
        <w:ind w:left="216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A170F3"/>
    <w:multiLevelType w:val="hybridMultilevel"/>
    <w:tmpl w:val="E010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3C073E"/>
    <w:multiLevelType w:val="hybridMultilevel"/>
    <w:tmpl w:val="9BCA1036"/>
    <w:lvl w:ilvl="0" w:tplc="3948E404">
      <w:start w:val="1"/>
      <w:numFmt w:val="lowerLetter"/>
      <w:lvlText w:val="(%1)"/>
      <w:lvlJc w:val="left"/>
      <w:pPr>
        <w:ind w:left="1080" w:hanging="360"/>
      </w:pPr>
      <w:rPr>
        <w:rFonts w:hint="default"/>
        <w:b w:val="0"/>
        <w:i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20F4EC5"/>
    <w:multiLevelType w:val="hybridMultilevel"/>
    <w:tmpl w:val="A1FE0F00"/>
    <w:lvl w:ilvl="0" w:tplc="C9928572">
      <w:start w:val="1"/>
      <w:numFmt w:val="lowerLetter"/>
      <w:lvlText w:val="(%1)"/>
      <w:lvlJc w:val="left"/>
      <w:pPr>
        <w:ind w:left="1800" w:hanging="360"/>
      </w:pPr>
      <w:rPr>
        <w:rFonts w:ascii="Times New Roman" w:eastAsiaTheme="minorHAnsi"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282B2CFA"/>
    <w:multiLevelType w:val="hybridMultilevel"/>
    <w:tmpl w:val="785CBD82"/>
    <w:lvl w:ilvl="0" w:tplc="3670EE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EBD54FE"/>
    <w:multiLevelType w:val="hybridMultilevel"/>
    <w:tmpl w:val="93465C40"/>
    <w:lvl w:ilvl="0" w:tplc="50DA33F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FA621D"/>
    <w:multiLevelType w:val="hybridMultilevel"/>
    <w:tmpl w:val="EB388356"/>
    <w:lvl w:ilvl="0" w:tplc="08C49E66">
      <w:start w:val="1"/>
      <w:numFmt w:val="lowerLetter"/>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9553ED2"/>
    <w:multiLevelType w:val="hybridMultilevel"/>
    <w:tmpl w:val="EB388356"/>
    <w:lvl w:ilvl="0" w:tplc="08C49E66">
      <w:start w:val="1"/>
      <w:numFmt w:val="lowerLetter"/>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1E83327"/>
    <w:multiLevelType w:val="hybridMultilevel"/>
    <w:tmpl w:val="4E625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0C4E95"/>
    <w:multiLevelType w:val="hybridMultilevel"/>
    <w:tmpl w:val="04D001DE"/>
    <w:lvl w:ilvl="0" w:tplc="213EC658">
      <w:start w:val="1"/>
      <w:numFmt w:val="lowerRoman"/>
      <w:lvlText w:val="(%1)"/>
      <w:lvlJc w:val="left"/>
      <w:pPr>
        <w:ind w:left="1800" w:hanging="360"/>
      </w:pPr>
      <w:rPr>
        <w:rFonts w:ascii="Times New Roman" w:eastAsiaTheme="minorHAnsi"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4C495017"/>
    <w:multiLevelType w:val="hybridMultilevel"/>
    <w:tmpl w:val="BDC49BFC"/>
    <w:lvl w:ilvl="0" w:tplc="776A92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51253786"/>
    <w:multiLevelType w:val="hybridMultilevel"/>
    <w:tmpl w:val="ED741C9C"/>
    <w:lvl w:ilvl="0" w:tplc="B6D48E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533C7E09"/>
    <w:multiLevelType w:val="hybridMultilevel"/>
    <w:tmpl w:val="9FD40DAE"/>
    <w:lvl w:ilvl="0" w:tplc="4112A574">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8E2313A"/>
    <w:multiLevelType w:val="hybridMultilevel"/>
    <w:tmpl w:val="93465C40"/>
    <w:lvl w:ilvl="0" w:tplc="50DA3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B290540"/>
    <w:multiLevelType w:val="hybridMultilevel"/>
    <w:tmpl w:val="29E6C502"/>
    <w:lvl w:ilvl="0" w:tplc="866EB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BFC16CD"/>
    <w:multiLevelType w:val="hybridMultilevel"/>
    <w:tmpl w:val="DFD465E6"/>
    <w:lvl w:ilvl="0" w:tplc="0C090001">
      <w:start w:val="1"/>
      <w:numFmt w:val="bullet"/>
      <w:lvlText w:val=""/>
      <w:lvlJc w:val="left"/>
      <w:pPr>
        <w:ind w:left="720" w:hanging="360"/>
      </w:pPr>
      <w:rPr>
        <w:rFonts w:ascii="Symbol" w:hAnsi="Symbol" w:hint="default"/>
      </w:rPr>
    </w:lvl>
    <w:lvl w:ilvl="1" w:tplc="B84CDE0A">
      <w:start w:val="1"/>
      <w:numFmt w:val="lowerLetter"/>
      <w:lvlText w:val="(%2)"/>
      <w:lvlJc w:val="left"/>
      <w:pPr>
        <w:ind w:left="1440" w:hanging="360"/>
      </w:pPr>
      <w:rPr>
        <w:rFonts w:ascii="Times New Roman" w:eastAsiaTheme="minorHAnsi" w:hAnsi="Times New Roman" w:cs="Times New Roman"/>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D55243"/>
    <w:multiLevelType w:val="hybridMultilevel"/>
    <w:tmpl w:val="4EA0CA3A"/>
    <w:lvl w:ilvl="0" w:tplc="4008E6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ABD1A55"/>
    <w:multiLevelType w:val="hybridMultilevel"/>
    <w:tmpl w:val="CC44F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AD25026"/>
    <w:multiLevelType w:val="hybridMultilevel"/>
    <w:tmpl w:val="9E360094"/>
    <w:lvl w:ilvl="0" w:tplc="0C090017">
      <w:start w:val="1"/>
      <w:numFmt w:val="lowerLetter"/>
      <w:lvlText w:val="%1)"/>
      <w:lvlJc w:val="left"/>
      <w:pPr>
        <w:ind w:left="1440" w:hanging="360"/>
      </w:pPr>
    </w:lvl>
    <w:lvl w:ilvl="1" w:tplc="7540A506">
      <w:start w:val="1"/>
      <w:numFmt w:val="lowerRoman"/>
      <w:lvlText w:val="(%2)"/>
      <w:lvlJc w:val="right"/>
      <w:pPr>
        <w:ind w:left="2160" w:hanging="360"/>
      </w:pPr>
      <w:rPr>
        <w:rFonts w:ascii="Times New Roman" w:eastAsiaTheme="minorHAnsi" w:hAnsi="Times New Roman" w:cs="Times New Roman"/>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70D31A92"/>
    <w:multiLevelType w:val="hybridMultilevel"/>
    <w:tmpl w:val="BDC49BFC"/>
    <w:lvl w:ilvl="0" w:tplc="776A92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735422CF"/>
    <w:multiLevelType w:val="hybridMultilevel"/>
    <w:tmpl w:val="CC486EA6"/>
    <w:lvl w:ilvl="0" w:tplc="4E2A0A24">
      <w:start w:val="1"/>
      <w:numFmt w:val="lowerLetter"/>
      <w:lvlText w:val="(%1)"/>
      <w:lvlJc w:val="left"/>
      <w:pPr>
        <w:ind w:left="1440" w:hanging="360"/>
      </w:pPr>
      <w:rPr>
        <w:rFonts w:ascii="Times New Roman" w:eastAsiaTheme="minorHAnsi"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75CE2929"/>
    <w:multiLevelType w:val="hybridMultilevel"/>
    <w:tmpl w:val="09DEE32C"/>
    <w:lvl w:ilvl="0" w:tplc="B1105D9A">
      <w:start w:val="1"/>
      <w:numFmt w:val="lowerLetter"/>
      <w:lvlText w:val="(%1)"/>
      <w:lvlJc w:val="left"/>
      <w:pPr>
        <w:ind w:left="1440" w:hanging="360"/>
      </w:pPr>
      <w:rPr>
        <w:rFonts w:ascii="Times New Roman" w:eastAsiaTheme="minorHAnsi"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7CBE609D"/>
    <w:multiLevelType w:val="hybridMultilevel"/>
    <w:tmpl w:val="93465C40"/>
    <w:lvl w:ilvl="0" w:tplc="50DA3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3"/>
  </w:num>
  <w:num w:numId="3">
    <w:abstractNumId w:val="0"/>
  </w:num>
  <w:num w:numId="4">
    <w:abstractNumId w:val="16"/>
  </w:num>
  <w:num w:numId="5">
    <w:abstractNumId w:val="26"/>
  </w:num>
  <w:num w:numId="6">
    <w:abstractNumId w:val="15"/>
  </w:num>
  <w:num w:numId="7">
    <w:abstractNumId w:val="12"/>
  </w:num>
  <w:num w:numId="8">
    <w:abstractNumId w:val="1"/>
  </w:num>
  <w:num w:numId="9">
    <w:abstractNumId w:val="22"/>
  </w:num>
  <w:num w:numId="10">
    <w:abstractNumId w:val="29"/>
  </w:num>
  <w:num w:numId="11">
    <w:abstractNumId w:val="6"/>
  </w:num>
  <w:num w:numId="12">
    <w:abstractNumId w:val="24"/>
  </w:num>
  <w:num w:numId="13">
    <w:abstractNumId w:val="18"/>
  </w:num>
  <w:num w:numId="14">
    <w:abstractNumId w:val="25"/>
  </w:num>
  <w:num w:numId="15">
    <w:abstractNumId w:val="10"/>
  </w:num>
  <w:num w:numId="16">
    <w:abstractNumId w:val="17"/>
  </w:num>
  <w:num w:numId="17">
    <w:abstractNumId w:val="27"/>
  </w:num>
  <w:num w:numId="18">
    <w:abstractNumId w:val="30"/>
  </w:num>
  <w:num w:numId="19">
    <w:abstractNumId w:val="13"/>
  </w:num>
  <w:num w:numId="20">
    <w:abstractNumId w:val="8"/>
  </w:num>
  <w:num w:numId="21">
    <w:abstractNumId w:val="5"/>
  </w:num>
  <w:num w:numId="22">
    <w:abstractNumId w:val="4"/>
  </w:num>
  <w:num w:numId="23">
    <w:abstractNumId w:val="21"/>
  </w:num>
  <w:num w:numId="24">
    <w:abstractNumId w:val="2"/>
  </w:num>
  <w:num w:numId="25">
    <w:abstractNumId w:val="3"/>
  </w:num>
  <w:num w:numId="26">
    <w:abstractNumId w:val="9"/>
  </w:num>
  <w:num w:numId="27">
    <w:abstractNumId w:val="7"/>
  </w:num>
  <w:num w:numId="28">
    <w:abstractNumId w:val="28"/>
  </w:num>
  <w:num w:numId="29">
    <w:abstractNumId w:val="11"/>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F3"/>
    <w:rsid w:val="001552FA"/>
    <w:rsid w:val="001B4CA5"/>
    <w:rsid w:val="00327F50"/>
    <w:rsid w:val="003A3DF3"/>
    <w:rsid w:val="003E1F44"/>
    <w:rsid w:val="00424DFD"/>
    <w:rsid w:val="004538B4"/>
    <w:rsid w:val="005161DA"/>
    <w:rsid w:val="007575AB"/>
    <w:rsid w:val="007E0EDB"/>
    <w:rsid w:val="00927DDF"/>
    <w:rsid w:val="00AA57C2"/>
    <w:rsid w:val="00BD5FAF"/>
    <w:rsid w:val="00DB6227"/>
    <w:rsid w:val="00F15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DA"/>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1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5161DA"/>
    <w:pPr>
      <w:spacing w:before="180" w:after="0"/>
      <w:ind w:left="1134"/>
    </w:pPr>
    <w:rPr>
      <w:rFonts w:ascii="Times New Roman" w:eastAsia="Times New Roman" w:hAnsi="Times New Roman" w:cs="Times New Roman"/>
      <w:sz w:val="22"/>
      <w:szCs w:val="20"/>
      <w:lang w:eastAsia="en-AU"/>
    </w:rPr>
  </w:style>
  <w:style w:type="paragraph" w:customStyle="1" w:styleId="paragraphsub">
    <w:name w:val="paragraph(sub)"/>
    <w:aliases w:val="aa"/>
    <w:basedOn w:val="Normal"/>
    <w:rsid w:val="005161DA"/>
    <w:pPr>
      <w:tabs>
        <w:tab w:val="right" w:pos="1985"/>
      </w:tabs>
      <w:spacing w:before="40" w:after="0"/>
      <w:ind w:left="2098" w:hanging="2098"/>
    </w:pPr>
    <w:rPr>
      <w:rFonts w:ascii="Times New Roman" w:eastAsia="Times New Roman" w:hAnsi="Times New Roman" w:cs="Times New Roman"/>
      <w:sz w:val="22"/>
      <w:szCs w:val="20"/>
      <w:lang w:eastAsia="en-AU"/>
    </w:rPr>
  </w:style>
  <w:style w:type="paragraph" w:customStyle="1" w:styleId="paragraph">
    <w:name w:val="paragraph"/>
    <w:aliases w:val="a"/>
    <w:basedOn w:val="Normal"/>
    <w:rsid w:val="005161DA"/>
    <w:pPr>
      <w:tabs>
        <w:tab w:val="right" w:pos="1531"/>
      </w:tabs>
      <w:spacing w:before="40" w:after="0"/>
      <w:ind w:left="1644" w:hanging="1644"/>
    </w:pPr>
    <w:rPr>
      <w:rFonts w:ascii="Times New Roman" w:eastAsia="Times New Roman" w:hAnsi="Times New Roman" w:cs="Times New Roman"/>
      <w:sz w:val="22"/>
      <w:szCs w:val="20"/>
      <w:lang w:eastAsia="en-AU"/>
    </w:rPr>
  </w:style>
  <w:style w:type="paragraph" w:customStyle="1" w:styleId="subsection2">
    <w:name w:val="subsection2"/>
    <w:aliases w:val="ss2"/>
    <w:basedOn w:val="Normal"/>
    <w:next w:val="Normal"/>
    <w:rsid w:val="005161DA"/>
    <w:pPr>
      <w:spacing w:before="40" w:after="0"/>
      <w:ind w:left="1134"/>
    </w:pPr>
    <w:rPr>
      <w:rFonts w:ascii="Times New Roman" w:eastAsia="Times New Roman" w:hAnsi="Times New Roman" w:cs="Times New Roman"/>
      <w:sz w:val="22"/>
      <w:szCs w:val="20"/>
      <w:lang w:eastAsia="en-AU"/>
    </w:rPr>
  </w:style>
  <w:style w:type="paragraph" w:styleId="ListParagraph">
    <w:name w:val="List Paragraph"/>
    <w:basedOn w:val="Normal"/>
    <w:uiPriority w:val="34"/>
    <w:qFormat/>
    <w:rsid w:val="005161DA"/>
    <w:pPr>
      <w:ind w:left="720"/>
      <w:contextualSpacing/>
    </w:pPr>
  </w:style>
  <w:style w:type="paragraph" w:customStyle="1" w:styleId="Celltext">
    <w:name w:val="Cell text"/>
    <w:basedOn w:val="Normal"/>
    <w:rsid w:val="00DB6227"/>
    <w:pPr>
      <w:spacing w:before="120" w:after="0"/>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DA"/>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1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5161DA"/>
    <w:pPr>
      <w:spacing w:before="180" w:after="0"/>
      <w:ind w:left="1134"/>
    </w:pPr>
    <w:rPr>
      <w:rFonts w:ascii="Times New Roman" w:eastAsia="Times New Roman" w:hAnsi="Times New Roman" w:cs="Times New Roman"/>
      <w:sz w:val="22"/>
      <w:szCs w:val="20"/>
      <w:lang w:eastAsia="en-AU"/>
    </w:rPr>
  </w:style>
  <w:style w:type="paragraph" w:customStyle="1" w:styleId="paragraphsub">
    <w:name w:val="paragraph(sub)"/>
    <w:aliases w:val="aa"/>
    <w:basedOn w:val="Normal"/>
    <w:rsid w:val="005161DA"/>
    <w:pPr>
      <w:tabs>
        <w:tab w:val="right" w:pos="1985"/>
      </w:tabs>
      <w:spacing w:before="40" w:after="0"/>
      <w:ind w:left="2098" w:hanging="2098"/>
    </w:pPr>
    <w:rPr>
      <w:rFonts w:ascii="Times New Roman" w:eastAsia="Times New Roman" w:hAnsi="Times New Roman" w:cs="Times New Roman"/>
      <w:sz w:val="22"/>
      <w:szCs w:val="20"/>
      <w:lang w:eastAsia="en-AU"/>
    </w:rPr>
  </w:style>
  <w:style w:type="paragraph" w:customStyle="1" w:styleId="paragraph">
    <w:name w:val="paragraph"/>
    <w:aliases w:val="a"/>
    <w:basedOn w:val="Normal"/>
    <w:rsid w:val="005161DA"/>
    <w:pPr>
      <w:tabs>
        <w:tab w:val="right" w:pos="1531"/>
      </w:tabs>
      <w:spacing w:before="40" w:after="0"/>
      <w:ind w:left="1644" w:hanging="1644"/>
    </w:pPr>
    <w:rPr>
      <w:rFonts w:ascii="Times New Roman" w:eastAsia="Times New Roman" w:hAnsi="Times New Roman" w:cs="Times New Roman"/>
      <w:sz w:val="22"/>
      <w:szCs w:val="20"/>
      <w:lang w:eastAsia="en-AU"/>
    </w:rPr>
  </w:style>
  <w:style w:type="paragraph" w:customStyle="1" w:styleId="subsection2">
    <w:name w:val="subsection2"/>
    <w:aliases w:val="ss2"/>
    <w:basedOn w:val="Normal"/>
    <w:next w:val="Normal"/>
    <w:rsid w:val="005161DA"/>
    <w:pPr>
      <w:spacing w:before="40" w:after="0"/>
      <w:ind w:left="1134"/>
    </w:pPr>
    <w:rPr>
      <w:rFonts w:ascii="Times New Roman" w:eastAsia="Times New Roman" w:hAnsi="Times New Roman" w:cs="Times New Roman"/>
      <w:sz w:val="22"/>
      <w:szCs w:val="20"/>
      <w:lang w:eastAsia="en-AU"/>
    </w:rPr>
  </w:style>
  <w:style w:type="paragraph" w:styleId="ListParagraph">
    <w:name w:val="List Paragraph"/>
    <w:basedOn w:val="Normal"/>
    <w:uiPriority w:val="34"/>
    <w:qFormat/>
    <w:rsid w:val="005161DA"/>
    <w:pPr>
      <w:ind w:left="720"/>
      <w:contextualSpacing/>
    </w:pPr>
  </w:style>
  <w:style w:type="paragraph" w:customStyle="1" w:styleId="Celltext">
    <w:name w:val="Cell text"/>
    <w:basedOn w:val="Normal"/>
    <w:rsid w:val="00DB6227"/>
    <w:pPr>
      <w:spacing w:before="120" w:after="0"/>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4329">
      <w:bodyDiv w:val="1"/>
      <w:marLeft w:val="0"/>
      <w:marRight w:val="0"/>
      <w:marTop w:val="0"/>
      <w:marBottom w:val="0"/>
      <w:divBdr>
        <w:top w:val="none" w:sz="0" w:space="0" w:color="auto"/>
        <w:left w:val="none" w:sz="0" w:space="0" w:color="auto"/>
        <w:bottom w:val="none" w:sz="0" w:space="0" w:color="auto"/>
        <w:right w:val="none" w:sz="0" w:space="0" w:color="auto"/>
      </w:divBdr>
      <w:divsChild>
        <w:div w:id="1437940133">
          <w:marLeft w:val="0"/>
          <w:marRight w:val="0"/>
          <w:marTop w:val="0"/>
          <w:marBottom w:val="0"/>
          <w:divBdr>
            <w:top w:val="none" w:sz="0" w:space="0" w:color="auto"/>
            <w:left w:val="none" w:sz="0" w:space="0" w:color="auto"/>
            <w:bottom w:val="none" w:sz="0" w:space="0" w:color="auto"/>
            <w:right w:val="none" w:sz="0" w:space="0" w:color="auto"/>
          </w:divBdr>
          <w:divsChild>
            <w:div w:id="330521822">
              <w:marLeft w:val="0"/>
              <w:marRight w:val="0"/>
              <w:marTop w:val="0"/>
              <w:marBottom w:val="0"/>
              <w:divBdr>
                <w:top w:val="none" w:sz="0" w:space="0" w:color="auto"/>
                <w:left w:val="none" w:sz="0" w:space="0" w:color="auto"/>
                <w:bottom w:val="none" w:sz="0" w:space="0" w:color="auto"/>
                <w:right w:val="none" w:sz="0" w:space="0" w:color="auto"/>
              </w:divBdr>
              <w:divsChild>
                <w:div w:id="793446891">
                  <w:marLeft w:val="0"/>
                  <w:marRight w:val="0"/>
                  <w:marTop w:val="0"/>
                  <w:marBottom w:val="0"/>
                  <w:divBdr>
                    <w:top w:val="none" w:sz="0" w:space="0" w:color="auto"/>
                    <w:left w:val="none" w:sz="0" w:space="0" w:color="auto"/>
                    <w:bottom w:val="none" w:sz="0" w:space="0" w:color="auto"/>
                    <w:right w:val="none" w:sz="0" w:space="0" w:color="auto"/>
                  </w:divBdr>
                  <w:divsChild>
                    <w:div w:id="289165789">
                      <w:marLeft w:val="0"/>
                      <w:marRight w:val="0"/>
                      <w:marTop w:val="0"/>
                      <w:marBottom w:val="0"/>
                      <w:divBdr>
                        <w:top w:val="none" w:sz="0" w:space="0" w:color="auto"/>
                        <w:left w:val="none" w:sz="0" w:space="0" w:color="auto"/>
                        <w:bottom w:val="none" w:sz="0" w:space="0" w:color="auto"/>
                        <w:right w:val="none" w:sz="0" w:space="0" w:color="auto"/>
                      </w:divBdr>
                      <w:divsChild>
                        <w:div w:id="1598294471">
                          <w:marLeft w:val="0"/>
                          <w:marRight w:val="0"/>
                          <w:marTop w:val="0"/>
                          <w:marBottom w:val="0"/>
                          <w:divBdr>
                            <w:top w:val="none" w:sz="0" w:space="0" w:color="auto"/>
                            <w:left w:val="none" w:sz="0" w:space="0" w:color="auto"/>
                            <w:bottom w:val="none" w:sz="0" w:space="0" w:color="auto"/>
                            <w:right w:val="none" w:sz="0" w:space="0" w:color="auto"/>
                          </w:divBdr>
                          <w:divsChild>
                            <w:div w:id="1628467584">
                              <w:marLeft w:val="0"/>
                              <w:marRight w:val="0"/>
                              <w:marTop w:val="0"/>
                              <w:marBottom w:val="0"/>
                              <w:divBdr>
                                <w:top w:val="none" w:sz="0" w:space="0" w:color="auto"/>
                                <w:left w:val="none" w:sz="0" w:space="0" w:color="auto"/>
                                <w:bottom w:val="none" w:sz="0" w:space="0" w:color="auto"/>
                                <w:right w:val="none" w:sz="0" w:space="0" w:color="auto"/>
                              </w:divBdr>
                              <w:divsChild>
                                <w:div w:id="1009676749">
                                  <w:marLeft w:val="0"/>
                                  <w:marRight w:val="0"/>
                                  <w:marTop w:val="0"/>
                                  <w:marBottom w:val="0"/>
                                  <w:divBdr>
                                    <w:top w:val="none" w:sz="0" w:space="0" w:color="auto"/>
                                    <w:left w:val="none" w:sz="0" w:space="0" w:color="auto"/>
                                    <w:bottom w:val="none" w:sz="0" w:space="0" w:color="auto"/>
                                    <w:right w:val="none" w:sz="0" w:space="0" w:color="auto"/>
                                  </w:divBdr>
                                  <w:divsChild>
                                    <w:div w:id="207305373">
                                      <w:marLeft w:val="0"/>
                                      <w:marRight w:val="0"/>
                                      <w:marTop w:val="0"/>
                                      <w:marBottom w:val="0"/>
                                      <w:divBdr>
                                        <w:top w:val="none" w:sz="0" w:space="0" w:color="auto"/>
                                        <w:left w:val="none" w:sz="0" w:space="0" w:color="auto"/>
                                        <w:bottom w:val="none" w:sz="0" w:space="0" w:color="auto"/>
                                        <w:right w:val="none" w:sz="0" w:space="0" w:color="auto"/>
                                      </w:divBdr>
                                      <w:divsChild>
                                        <w:div w:id="1254707299">
                                          <w:marLeft w:val="0"/>
                                          <w:marRight w:val="0"/>
                                          <w:marTop w:val="0"/>
                                          <w:marBottom w:val="0"/>
                                          <w:divBdr>
                                            <w:top w:val="none" w:sz="0" w:space="0" w:color="auto"/>
                                            <w:left w:val="none" w:sz="0" w:space="0" w:color="auto"/>
                                            <w:bottom w:val="none" w:sz="0" w:space="0" w:color="auto"/>
                                            <w:right w:val="none" w:sz="0" w:space="0" w:color="auto"/>
                                          </w:divBdr>
                                          <w:divsChild>
                                            <w:div w:id="1518278069">
                                              <w:marLeft w:val="0"/>
                                              <w:marRight w:val="0"/>
                                              <w:marTop w:val="0"/>
                                              <w:marBottom w:val="0"/>
                                              <w:divBdr>
                                                <w:top w:val="none" w:sz="0" w:space="0" w:color="auto"/>
                                                <w:left w:val="none" w:sz="0" w:space="0" w:color="auto"/>
                                                <w:bottom w:val="none" w:sz="0" w:space="0" w:color="auto"/>
                                                <w:right w:val="none" w:sz="0" w:space="0" w:color="auto"/>
                                              </w:divBdr>
                                              <w:divsChild>
                                                <w:div w:id="989754015">
                                                  <w:marLeft w:val="0"/>
                                                  <w:marRight w:val="0"/>
                                                  <w:marTop w:val="0"/>
                                                  <w:marBottom w:val="0"/>
                                                  <w:divBdr>
                                                    <w:top w:val="none" w:sz="0" w:space="0" w:color="auto"/>
                                                    <w:left w:val="none" w:sz="0" w:space="0" w:color="auto"/>
                                                    <w:bottom w:val="none" w:sz="0" w:space="0" w:color="auto"/>
                                                    <w:right w:val="none" w:sz="0" w:space="0" w:color="auto"/>
                                                  </w:divBdr>
                                                  <w:divsChild>
                                                    <w:div w:id="1769039607">
                                                      <w:marLeft w:val="0"/>
                                                      <w:marRight w:val="0"/>
                                                      <w:marTop w:val="0"/>
                                                      <w:marBottom w:val="0"/>
                                                      <w:divBdr>
                                                        <w:top w:val="none" w:sz="0" w:space="0" w:color="auto"/>
                                                        <w:left w:val="none" w:sz="0" w:space="0" w:color="auto"/>
                                                        <w:bottom w:val="none" w:sz="0" w:space="0" w:color="auto"/>
                                                        <w:right w:val="none" w:sz="0" w:space="0" w:color="auto"/>
                                                      </w:divBdr>
                                                      <w:divsChild>
                                                        <w:div w:id="9221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482570">
      <w:bodyDiv w:val="1"/>
      <w:marLeft w:val="0"/>
      <w:marRight w:val="0"/>
      <w:marTop w:val="0"/>
      <w:marBottom w:val="0"/>
      <w:divBdr>
        <w:top w:val="none" w:sz="0" w:space="0" w:color="auto"/>
        <w:left w:val="none" w:sz="0" w:space="0" w:color="auto"/>
        <w:bottom w:val="none" w:sz="0" w:space="0" w:color="auto"/>
        <w:right w:val="none" w:sz="0" w:space="0" w:color="auto"/>
      </w:divBdr>
      <w:divsChild>
        <w:div w:id="735473540">
          <w:marLeft w:val="0"/>
          <w:marRight w:val="0"/>
          <w:marTop w:val="0"/>
          <w:marBottom w:val="0"/>
          <w:divBdr>
            <w:top w:val="none" w:sz="0" w:space="0" w:color="auto"/>
            <w:left w:val="none" w:sz="0" w:space="0" w:color="auto"/>
            <w:bottom w:val="none" w:sz="0" w:space="0" w:color="auto"/>
            <w:right w:val="none" w:sz="0" w:space="0" w:color="auto"/>
          </w:divBdr>
          <w:divsChild>
            <w:div w:id="251134817">
              <w:marLeft w:val="0"/>
              <w:marRight w:val="0"/>
              <w:marTop w:val="0"/>
              <w:marBottom w:val="0"/>
              <w:divBdr>
                <w:top w:val="none" w:sz="0" w:space="0" w:color="auto"/>
                <w:left w:val="none" w:sz="0" w:space="0" w:color="auto"/>
                <w:bottom w:val="none" w:sz="0" w:space="0" w:color="auto"/>
                <w:right w:val="none" w:sz="0" w:space="0" w:color="auto"/>
              </w:divBdr>
              <w:divsChild>
                <w:div w:id="2004235615">
                  <w:marLeft w:val="0"/>
                  <w:marRight w:val="0"/>
                  <w:marTop w:val="0"/>
                  <w:marBottom w:val="0"/>
                  <w:divBdr>
                    <w:top w:val="none" w:sz="0" w:space="0" w:color="auto"/>
                    <w:left w:val="none" w:sz="0" w:space="0" w:color="auto"/>
                    <w:bottom w:val="none" w:sz="0" w:space="0" w:color="auto"/>
                    <w:right w:val="none" w:sz="0" w:space="0" w:color="auto"/>
                  </w:divBdr>
                  <w:divsChild>
                    <w:div w:id="135073683">
                      <w:marLeft w:val="0"/>
                      <w:marRight w:val="0"/>
                      <w:marTop w:val="0"/>
                      <w:marBottom w:val="0"/>
                      <w:divBdr>
                        <w:top w:val="none" w:sz="0" w:space="0" w:color="auto"/>
                        <w:left w:val="none" w:sz="0" w:space="0" w:color="auto"/>
                        <w:bottom w:val="none" w:sz="0" w:space="0" w:color="auto"/>
                        <w:right w:val="none" w:sz="0" w:space="0" w:color="auto"/>
                      </w:divBdr>
                      <w:divsChild>
                        <w:div w:id="463890980">
                          <w:marLeft w:val="0"/>
                          <w:marRight w:val="0"/>
                          <w:marTop w:val="0"/>
                          <w:marBottom w:val="0"/>
                          <w:divBdr>
                            <w:top w:val="none" w:sz="0" w:space="0" w:color="auto"/>
                            <w:left w:val="none" w:sz="0" w:space="0" w:color="auto"/>
                            <w:bottom w:val="none" w:sz="0" w:space="0" w:color="auto"/>
                            <w:right w:val="none" w:sz="0" w:space="0" w:color="auto"/>
                          </w:divBdr>
                          <w:divsChild>
                            <w:div w:id="1753772124">
                              <w:marLeft w:val="0"/>
                              <w:marRight w:val="0"/>
                              <w:marTop w:val="0"/>
                              <w:marBottom w:val="0"/>
                              <w:divBdr>
                                <w:top w:val="none" w:sz="0" w:space="0" w:color="auto"/>
                                <w:left w:val="none" w:sz="0" w:space="0" w:color="auto"/>
                                <w:bottom w:val="none" w:sz="0" w:space="0" w:color="auto"/>
                                <w:right w:val="none" w:sz="0" w:space="0" w:color="auto"/>
                              </w:divBdr>
                              <w:divsChild>
                                <w:div w:id="783883545">
                                  <w:marLeft w:val="0"/>
                                  <w:marRight w:val="0"/>
                                  <w:marTop w:val="0"/>
                                  <w:marBottom w:val="0"/>
                                  <w:divBdr>
                                    <w:top w:val="none" w:sz="0" w:space="0" w:color="auto"/>
                                    <w:left w:val="none" w:sz="0" w:space="0" w:color="auto"/>
                                    <w:bottom w:val="none" w:sz="0" w:space="0" w:color="auto"/>
                                    <w:right w:val="none" w:sz="0" w:space="0" w:color="auto"/>
                                  </w:divBdr>
                                  <w:divsChild>
                                    <w:div w:id="1530298285">
                                      <w:marLeft w:val="0"/>
                                      <w:marRight w:val="0"/>
                                      <w:marTop w:val="0"/>
                                      <w:marBottom w:val="0"/>
                                      <w:divBdr>
                                        <w:top w:val="none" w:sz="0" w:space="0" w:color="auto"/>
                                        <w:left w:val="none" w:sz="0" w:space="0" w:color="auto"/>
                                        <w:bottom w:val="none" w:sz="0" w:space="0" w:color="auto"/>
                                        <w:right w:val="none" w:sz="0" w:space="0" w:color="auto"/>
                                      </w:divBdr>
                                      <w:divsChild>
                                        <w:div w:id="356278888">
                                          <w:marLeft w:val="0"/>
                                          <w:marRight w:val="0"/>
                                          <w:marTop w:val="0"/>
                                          <w:marBottom w:val="0"/>
                                          <w:divBdr>
                                            <w:top w:val="none" w:sz="0" w:space="0" w:color="auto"/>
                                            <w:left w:val="none" w:sz="0" w:space="0" w:color="auto"/>
                                            <w:bottom w:val="none" w:sz="0" w:space="0" w:color="auto"/>
                                            <w:right w:val="none" w:sz="0" w:space="0" w:color="auto"/>
                                          </w:divBdr>
                                          <w:divsChild>
                                            <w:div w:id="205994812">
                                              <w:marLeft w:val="0"/>
                                              <w:marRight w:val="0"/>
                                              <w:marTop w:val="0"/>
                                              <w:marBottom w:val="0"/>
                                              <w:divBdr>
                                                <w:top w:val="none" w:sz="0" w:space="0" w:color="auto"/>
                                                <w:left w:val="none" w:sz="0" w:space="0" w:color="auto"/>
                                                <w:bottom w:val="none" w:sz="0" w:space="0" w:color="auto"/>
                                                <w:right w:val="none" w:sz="0" w:space="0" w:color="auto"/>
                                              </w:divBdr>
                                              <w:divsChild>
                                                <w:div w:id="1445267383">
                                                  <w:marLeft w:val="0"/>
                                                  <w:marRight w:val="0"/>
                                                  <w:marTop w:val="0"/>
                                                  <w:marBottom w:val="0"/>
                                                  <w:divBdr>
                                                    <w:top w:val="none" w:sz="0" w:space="0" w:color="auto"/>
                                                    <w:left w:val="none" w:sz="0" w:space="0" w:color="auto"/>
                                                    <w:bottom w:val="none" w:sz="0" w:space="0" w:color="auto"/>
                                                    <w:right w:val="none" w:sz="0" w:space="0" w:color="auto"/>
                                                  </w:divBdr>
                                                  <w:divsChild>
                                                    <w:div w:id="244612537">
                                                      <w:marLeft w:val="0"/>
                                                      <w:marRight w:val="0"/>
                                                      <w:marTop w:val="0"/>
                                                      <w:marBottom w:val="0"/>
                                                      <w:divBdr>
                                                        <w:top w:val="none" w:sz="0" w:space="0" w:color="auto"/>
                                                        <w:left w:val="none" w:sz="0" w:space="0" w:color="auto"/>
                                                        <w:bottom w:val="none" w:sz="0" w:space="0" w:color="auto"/>
                                                        <w:right w:val="none" w:sz="0" w:space="0" w:color="auto"/>
                                                      </w:divBdr>
                                                      <w:divsChild>
                                                        <w:div w:id="16820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B9AD2-8A9A-4E1C-8754-F1BBD0586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70410-3A7F-4CE7-8B64-8665FF558CC5}">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857246AA-2D11-4C74-9E6C-87E493071B5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5CD3696-5E19-4812-9C68-97EB2E2B0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2046</Words>
  <Characters>11664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neelyf</dc:creator>
  <cp:lastModifiedBy>maybec</cp:lastModifiedBy>
  <cp:revision>2</cp:revision>
  <dcterms:created xsi:type="dcterms:W3CDTF">2018-12-20T23:48:00Z</dcterms:created>
  <dcterms:modified xsi:type="dcterms:W3CDTF">2018-12-20T23:48:00Z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0x010100266966F133664895A6EE3632470D45F50050ED32FAF0D7164E9991FFDF9BA6BC28</vt:lpwstr>
  </property>
</Properties>
</file>