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30" w:rsidRPr="00AA6D3C" w:rsidRDefault="006C4A30" w:rsidP="006C4A30">
      <w:pPr>
        <w:pStyle w:val="ttCrest"/>
        <w:rPr>
          <w:sz w:val="19"/>
        </w:rPr>
      </w:pPr>
      <w:bookmarkStart w:id="0" w:name="_Ref434580895"/>
      <w:r w:rsidRPr="00AA6D3C">
        <w:rPr>
          <w:noProof/>
          <w:lang w:eastAsia="en-AU"/>
        </w:rPr>
        <w:drawing>
          <wp:inline distT="0" distB="0" distL="0" distR="0" wp14:anchorId="1EB00DE6" wp14:editId="1EB00DE7">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bookmarkEnd w:id="0"/>
    </w:p>
    <w:p w:rsidR="00F81A21" w:rsidRPr="00AA6D3C" w:rsidRDefault="00C50E11" w:rsidP="00F81A21">
      <w:pPr>
        <w:pStyle w:val="ShortT"/>
      </w:pPr>
      <w:r>
        <w:t xml:space="preserve">Water </w:t>
      </w:r>
      <w:r w:rsidR="00765C79">
        <w:t>(</w:t>
      </w:r>
      <w:r w:rsidR="009E7024">
        <w:t>SDL Adjustments</w:t>
      </w:r>
      <w:r w:rsidR="00765C79">
        <w:t>)</w:t>
      </w:r>
      <w:r w:rsidR="00EC474D">
        <w:t xml:space="preserve"> </w:t>
      </w:r>
      <w:r w:rsidR="00361D26">
        <w:t>Notice</w:t>
      </w:r>
      <w:r w:rsidR="00FB09C1">
        <w:t xml:space="preserve"> 2017</w:t>
      </w:r>
    </w:p>
    <w:p w:rsidR="00F81A21" w:rsidRPr="00AA6D3C" w:rsidRDefault="00765C79" w:rsidP="00F81A21">
      <w:pPr>
        <w:pStyle w:val="SignCoverPageStart"/>
        <w:rPr>
          <w:szCs w:val="22"/>
        </w:rPr>
      </w:pPr>
      <w:r>
        <w:rPr>
          <w:szCs w:val="22"/>
        </w:rPr>
        <w:t xml:space="preserve">The Murray Darling Basin Authority makes </w:t>
      </w:r>
      <w:r w:rsidR="00B86DEA">
        <w:rPr>
          <w:szCs w:val="22"/>
        </w:rPr>
        <w:t>the following notice</w:t>
      </w:r>
      <w:r w:rsidR="00EC474D" w:rsidRPr="00765C79">
        <w:t>.</w:t>
      </w:r>
    </w:p>
    <w:p w:rsidR="00F81A21" w:rsidRPr="00AA6D3C" w:rsidRDefault="00F81A21" w:rsidP="00F81A21">
      <w:pPr>
        <w:keepNext/>
        <w:spacing w:before="300" w:line="240" w:lineRule="atLeast"/>
        <w:ind w:right="397"/>
        <w:jc w:val="both"/>
        <w:rPr>
          <w:szCs w:val="22"/>
        </w:rPr>
      </w:pPr>
      <w:r w:rsidRPr="00AA6D3C">
        <w:rPr>
          <w:szCs w:val="22"/>
        </w:rPr>
        <w:t>Dated</w:t>
      </w:r>
      <w:r w:rsidRPr="00AA6D3C">
        <w:rPr>
          <w:szCs w:val="22"/>
        </w:rPr>
        <w:tab/>
      </w:r>
      <w:bookmarkStart w:id="1" w:name="BKCheck15B_1"/>
      <w:bookmarkEnd w:id="1"/>
      <w:r w:rsidR="00BA2F18">
        <w:rPr>
          <w:szCs w:val="22"/>
        </w:rPr>
        <w:t xml:space="preserve">6 December </w:t>
      </w:r>
      <w:r w:rsidR="001C642F">
        <w:rPr>
          <w:szCs w:val="22"/>
        </w:rPr>
        <w:t>2017</w:t>
      </w:r>
      <w:bookmarkStart w:id="2" w:name="_GoBack"/>
      <w:bookmarkEnd w:id="2"/>
    </w:p>
    <w:p w:rsidR="00944B52" w:rsidRDefault="00944B52" w:rsidP="00944B52">
      <w:pPr>
        <w:keepNext/>
        <w:tabs>
          <w:tab w:val="left" w:pos="3402"/>
        </w:tabs>
        <w:ind w:right="397"/>
        <w:rPr>
          <w:szCs w:val="22"/>
        </w:rPr>
      </w:pPr>
    </w:p>
    <w:p w:rsidR="00587AD1" w:rsidRDefault="00587AD1" w:rsidP="00944B52">
      <w:pPr>
        <w:keepNext/>
        <w:tabs>
          <w:tab w:val="left" w:pos="3402"/>
        </w:tabs>
        <w:ind w:right="397"/>
        <w:rPr>
          <w:szCs w:val="22"/>
        </w:rPr>
      </w:pPr>
    </w:p>
    <w:p w:rsidR="00587AD1" w:rsidRDefault="00587AD1" w:rsidP="00944B52">
      <w:pPr>
        <w:keepNext/>
        <w:tabs>
          <w:tab w:val="left" w:pos="3402"/>
        </w:tabs>
        <w:ind w:right="397"/>
        <w:rPr>
          <w:szCs w:val="22"/>
        </w:rPr>
      </w:pPr>
    </w:p>
    <w:p w:rsidR="00587AD1" w:rsidRDefault="00587AD1" w:rsidP="00944B52">
      <w:pPr>
        <w:keepNext/>
        <w:tabs>
          <w:tab w:val="left" w:pos="3402"/>
        </w:tabs>
        <w:ind w:right="397"/>
        <w:rPr>
          <w:szCs w:val="22"/>
        </w:rPr>
      </w:pPr>
    </w:p>
    <w:p w:rsidR="00587AD1" w:rsidRDefault="00587AD1" w:rsidP="00944B52">
      <w:pPr>
        <w:keepNext/>
        <w:tabs>
          <w:tab w:val="left" w:pos="3402"/>
        </w:tabs>
        <w:ind w:right="397"/>
        <w:rPr>
          <w:szCs w:val="22"/>
        </w:rPr>
      </w:pPr>
    </w:p>
    <w:p w:rsidR="00206EC9" w:rsidRPr="00D05A79" w:rsidRDefault="00206EC9" w:rsidP="00206EC9">
      <w:pPr>
        <w:pStyle w:val="nDrafterComment"/>
        <w:rPr>
          <w:color w:val="auto"/>
        </w:rPr>
      </w:pPr>
    </w:p>
    <w:p w:rsidR="00F81A21" w:rsidRPr="00D05A79" w:rsidRDefault="00F81A21" w:rsidP="00944B52">
      <w:pPr>
        <w:pStyle w:val="SignCoverPageEnd"/>
        <w:rPr>
          <w:b/>
          <w:szCs w:val="22"/>
        </w:rPr>
      </w:pPr>
    </w:p>
    <w:p w:rsidR="00F47AAB" w:rsidRPr="00AA6D3C" w:rsidRDefault="00F47AAB">
      <w:pPr>
        <w:spacing w:line="240" w:lineRule="auto"/>
      </w:pPr>
    </w:p>
    <w:p w:rsidR="00F81A21" w:rsidRPr="00AA6D3C" w:rsidRDefault="00F81A21" w:rsidP="00F81A21"/>
    <w:p w:rsidR="00F81A21" w:rsidRPr="00AA6D3C" w:rsidRDefault="00F81A21" w:rsidP="00F81A21">
      <w:pPr>
        <w:pStyle w:val="Header"/>
      </w:pPr>
      <w:r w:rsidRPr="00AA6D3C">
        <w:rPr>
          <w:rStyle w:val="CharChapNo"/>
        </w:rPr>
        <w:t xml:space="preserve"> </w:t>
      </w:r>
      <w:r w:rsidRPr="00AA6D3C">
        <w:rPr>
          <w:rStyle w:val="CharChapText"/>
        </w:rPr>
        <w:t xml:space="preserve"> </w:t>
      </w:r>
    </w:p>
    <w:p w:rsidR="00F47AAB" w:rsidRPr="00AA6D3C" w:rsidRDefault="00F47AAB" w:rsidP="00AD6371">
      <w:pPr>
        <w:pageBreakBefore/>
        <w:rPr>
          <w:sz w:val="36"/>
        </w:rPr>
      </w:pPr>
      <w:r w:rsidRPr="00AA6D3C">
        <w:rPr>
          <w:sz w:val="36"/>
        </w:rPr>
        <w:lastRenderedPageBreak/>
        <w:t>Contents</w:t>
      </w:r>
    </w:p>
    <w:bookmarkStart w:id="3" w:name="BKCheck15B_2"/>
    <w:bookmarkEnd w:id="3"/>
    <w:p w:rsidR="00917726" w:rsidRDefault="006E0D77">
      <w:pPr>
        <w:pStyle w:val="TOC5"/>
        <w:rPr>
          <w:rFonts w:asciiTheme="minorHAnsi" w:eastAsiaTheme="minorEastAsia" w:hAnsiTheme="minorHAnsi" w:cstheme="minorBidi"/>
          <w:noProof/>
          <w:kern w:val="0"/>
          <w:sz w:val="22"/>
          <w:szCs w:val="22"/>
        </w:rPr>
      </w:pPr>
      <w:r w:rsidRPr="00AA6D3C">
        <w:rPr>
          <w:b/>
        </w:rPr>
        <w:fldChar w:fldCharType="begin"/>
      </w:r>
      <w:r w:rsidRPr="00AA6D3C">
        <w:instrText xml:space="preserve"> TOC \o1-9 </w:instrText>
      </w:r>
      <w:r w:rsidRPr="00AA6D3C">
        <w:rPr>
          <w:b/>
        </w:rPr>
        <w:fldChar w:fldCharType="separate"/>
      </w:r>
      <w:r w:rsidR="00917726">
        <w:rPr>
          <w:noProof/>
        </w:rPr>
        <w:t>1  Name</w:t>
      </w:r>
      <w:r w:rsidR="00917726">
        <w:rPr>
          <w:noProof/>
        </w:rPr>
        <w:tab/>
      </w:r>
      <w:r w:rsidR="00917726">
        <w:rPr>
          <w:noProof/>
        </w:rPr>
        <w:fldChar w:fldCharType="begin"/>
      </w:r>
      <w:r w:rsidR="00917726">
        <w:rPr>
          <w:noProof/>
        </w:rPr>
        <w:instrText xml:space="preserve"> PAGEREF _Toc499810578 \h </w:instrText>
      </w:r>
      <w:r w:rsidR="00917726">
        <w:rPr>
          <w:noProof/>
        </w:rPr>
      </w:r>
      <w:r w:rsidR="00917726">
        <w:rPr>
          <w:noProof/>
        </w:rPr>
        <w:fldChar w:fldCharType="separate"/>
      </w:r>
      <w:r w:rsidR="00C62231">
        <w:rPr>
          <w:noProof/>
        </w:rPr>
        <w:t>3</w:t>
      </w:r>
      <w:r w:rsidR="00917726">
        <w:rPr>
          <w:noProof/>
        </w:rPr>
        <w:fldChar w:fldCharType="end"/>
      </w:r>
    </w:p>
    <w:p w:rsidR="00917726" w:rsidRDefault="00917726">
      <w:pPr>
        <w:pStyle w:val="TOC5"/>
        <w:rPr>
          <w:rFonts w:asciiTheme="minorHAnsi" w:eastAsiaTheme="minorEastAsia" w:hAnsiTheme="minorHAnsi" w:cstheme="minorBidi"/>
          <w:noProof/>
          <w:kern w:val="0"/>
          <w:sz w:val="22"/>
          <w:szCs w:val="22"/>
        </w:rPr>
      </w:pPr>
      <w:r>
        <w:rPr>
          <w:noProof/>
        </w:rPr>
        <w:t>2  Authority</w:t>
      </w:r>
      <w:r>
        <w:rPr>
          <w:noProof/>
        </w:rPr>
        <w:tab/>
      </w:r>
      <w:r>
        <w:rPr>
          <w:noProof/>
        </w:rPr>
        <w:fldChar w:fldCharType="begin"/>
      </w:r>
      <w:r>
        <w:rPr>
          <w:noProof/>
        </w:rPr>
        <w:instrText xml:space="preserve"> PAGEREF _Toc499810579 \h </w:instrText>
      </w:r>
      <w:r>
        <w:rPr>
          <w:noProof/>
        </w:rPr>
      </w:r>
      <w:r>
        <w:rPr>
          <w:noProof/>
        </w:rPr>
        <w:fldChar w:fldCharType="separate"/>
      </w:r>
      <w:r w:rsidR="00C62231">
        <w:rPr>
          <w:noProof/>
        </w:rPr>
        <w:t>3</w:t>
      </w:r>
      <w:r>
        <w:rPr>
          <w:noProof/>
        </w:rPr>
        <w:fldChar w:fldCharType="end"/>
      </w:r>
    </w:p>
    <w:p w:rsidR="00917726" w:rsidRDefault="00917726">
      <w:pPr>
        <w:pStyle w:val="TOC5"/>
        <w:rPr>
          <w:rFonts w:asciiTheme="minorHAnsi" w:eastAsiaTheme="minorEastAsia" w:hAnsiTheme="minorHAnsi" w:cstheme="minorBidi"/>
          <w:noProof/>
          <w:kern w:val="0"/>
          <w:sz w:val="22"/>
          <w:szCs w:val="22"/>
        </w:rPr>
      </w:pPr>
      <w:r>
        <w:rPr>
          <w:noProof/>
        </w:rPr>
        <w:t>3  Interpretation</w:t>
      </w:r>
      <w:r>
        <w:rPr>
          <w:noProof/>
        </w:rPr>
        <w:tab/>
      </w:r>
      <w:r>
        <w:rPr>
          <w:noProof/>
        </w:rPr>
        <w:fldChar w:fldCharType="begin"/>
      </w:r>
      <w:r>
        <w:rPr>
          <w:noProof/>
        </w:rPr>
        <w:instrText xml:space="preserve"> PAGEREF _Toc499810580 \h </w:instrText>
      </w:r>
      <w:r>
        <w:rPr>
          <w:noProof/>
        </w:rPr>
      </w:r>
      <w:r>
        <w:rPr>
          <w:noProof/>
        </w:rPr>
        <w:fldChar w:fldCharType="separate"/>
      </w:r>
      <w:r w:rsidR="00C62231">
        <w:rPr>
          <w:noProof/>
        </w:rPr>
        <w:t>3</w:t>
      </w:r>
      <w:r>
        <w:rPr>
          <w:noProof/>
        </w:rPr>
        <w:fldChar w:fldCharType="end"/>
      </w:r>
    </w:p>
    <w:p w:rsidR="00917726" w:rsidRDefault="00917726">
      <w:pPr>
        <w:pStyle w:val="TOC5"/>
        <w:rPr>
          <w:rFonts w:asciiTheme="minorHAnsi" w:eastAsiaTheme="minorEastAsia" w:hAnsiTheme="minorHAnsi" w:cstheme="minorBidi"/>
          <w:noProof/>
          <w:kern w:val="0"/>
          <w:sz w:val="22"/>
          <w:szCs w:val="22"/>
        </w:rPr>
      </w:pPr>
      <w:r>
        <w:rPr>
          <w:noProof/>
        </w:rPr>
        <w:t>4  Background</w:t>
      </w:r>
      <w:r>
        <w:rPr>
          <w:noProof/>
        </w:rPr>
        <w:tab/>
      </w:r>
      <w:r>
        <w:rPr>
          <w:noProof/>
        </w:rPr>
        <w:fldChar w:fldCharType="begin"/>
      </w:r>
      <w:r>
        <w:rPr>
          <w:noProof/>
        </w:rPr>
        <w:instrText xml:space="preserve"> PAGEREF _Toc499810581 \h </w:instrText>
      </w:r>
      <w:r>
        <w:rPr>
          <w:noProof/>
        </w:rPr>
      </w:r>
      <w:r>
        <w:rPr>
          <w:noProof/>
        </w:rPr>
        <w:fldChar w:fldCharType="separate"/>
      </w:r>
      <w:r w:rsidR="00C62231">
        <w:rPr>
          <w:noProof/>
        </w:rPr>
        <w:t>3</w:t>
      </w:r>
      <w:r>
        <w:rPr>
          <w:noProof/>
        </w:rPr>
        <w:fldChar w:fldCharType="end"/>
      </w:r>
    </w:p>
    <w:p w:rsidR="00917726" w:rsidRDefault="00917726">
      <w:pPr>
        <w:pStyle w:val="TOC5"/>
        <w:rPr>
          <w:rFonts w:asciiTheme="minorHAnsi" w:eastAsiaTheme="minorEastAsia" w:hAnsiTheme="minorHAnsi" w:cstheme="minorBidi"/>
          <w:noProof/>
          <w:kern w:val="0"/>
          <w:sz w:val="22"/>
          <w:szCs w:val="22"/>
        </w:rPr>
      </w:pPr>
      <w:r>
        <w:rPr>
          <w:noProof/>
        </w:rPr>
        <w:t>5  Information required by section 23B of the Water Act</w:t>
      </w:r>
      <w:r>
        <w:rPr>
          <w:noProof/>
        </w:rPr>
        <w:tab/>
      </w:r>
      <w:r>
        <w:rPr>
          <w:noProof/>
        </w:rPr>
        <w:fldChar w:fldCharType="begin"/>
      </w:r>
      <w:r>
        <w:rPr>
          <w:noProof/>
        </w:rPr>
        <w:instrText xml:space="preserve"> PAGEREF _Toc499810582 \h </w:instrText>
      </w:r>
      <w:r>
        <w:rPr>
          <w:noProof/>
        </w:rPr>
      </w:r>
      <w:r>
        <w:rPr>
          <w:noProof/>
        </w:rPr>
        <w:fldChar w:fldCharType="separate"/>
      </w:r>
      <w:r w:rsidR="00C62231">
        <w:rPr>
          <w:noProof/>
        </w:rPr>
        <w:t>4</w:t>
      </w:r>
      <w:r>
        <w:rPr>
          <w:noProof/>
        </w:rPr>
        <w:fldChar w:fldCharType="end"/>
      </w:r>
    </w:p>
    <w:p w:rsidR="00917726" w:rsidRDefault="00917726">
      <w:pPr>
        <w:pStyle w:val="TOC5"/>
        <w:rPr>
          <w:rFonts w:asciiTheme="minorHAnsi" w:eastAsiaTheme="minorEastAsia" w:hAnsiTheme="minorHAnsi" w:cstheme="minorBidi"/>
          <w:noProof/>
          <w:kern w:val="0"/>
          <w:sz w:val="22"/>
          <w:szCs w:val="22"/>
        </w:rPr>
      </w:pPr>
      <w:r>
        <w:rPr>
          <w:noProof/>
        </w:rPr>
        <w:t>6  Illustrative example of proposed SDL adjustments</w:t>
      </w:r>
      <w:r>
        <w:rPr>
          <w:noProof/>
        </w:rPr>
        <w:tab/>
      </w:r>
      <w:r>
        <w:rPr>
          <w:noProof/>
        </w:rPr>
        <w:fldChar w:fldCharType="begin"/>
      </w:r>
      <w:r>
        <w:rPr>
          <w:noProof/>
        </w:rPr>
        <w:instrText xml:space="preserve"> PAGEREF _Toc499810583 \h </w:instrText>
      </w:r>
      <w:r>
        <w:rPr>
          <w:noProof/>
        </w:rPr>
      </w:r>
      <w:r>
        <w:rPr>
          <w:noProof/>
        </w:rPr>
        <w:fldChar w:fldCharType="separate"/>
      </w:r>
      <w:r w:rsidR="00C62231">
        <w:rPr>
          <w:noProof/>
        </w:rPr>
        <w:t>5</w:t>
      </w:r>
      <w:r>
        <w:rPr>
          <w:noProof/>
        </w:rPr>
        <w:fldChar w:fldCharType="end"/>
      </w:r>
    </w:p>
    <w:p w:rsidR="00917726" w:rsidRDefault="00917726">
      <w:pPr>
        <w:pStyle w:val="TOC1"/>
        <w:rPr>
          <w:rFonts w:asciiTheme="minorHAnsi" w:eastAsiaTheme="minorEastAsia" w:hAnsiTheme="minorHAnsi" w:cstheme="minorBidi"/>
          <w:b w:val="0"/>
          <w:noProof/>
          <w:kern w:val="0"/>
          <w:sz w:val="22"/>
          <w:szCs w:val="22"/>
        </w:rPr>
      </w:pPr>
      <w:r>
        <w:rPr>
          <w:noProof/>
        </w:rPr>
        <w:t>Schedule 1 —SDLs at reference time and apportioned supply contributions for surface water SDL resource units</w:t>
      </w:r>
      <w:r>
        <w:rPr>
          <w:noProof/>
        </w:rPr>
        <w:tab/>
      </w:r>
      <w:r>
        <w:rPr>
          <w:noProof/>
        </w:rPr>
        <w:fldChar w:fldCharType="begin"/>
      </w:r>
      <w:r>
        <w:rPr>
          <w:noProof/>
        </w:rPr>
        <w:instrText xml:space="preserve"> PAGEREF _Toc499810584 \h </w:instrText>
      </w:r>
      <w:r>
        <w:rPr>
          <w:noProof/>
        </w:rPr>
      </w:r>
      <w:r>
        <w:rPr>
          <w:noProof/>
        </w:rPr>
        <w:fldChar w:fldCharType="separate"/>
      </w:r>
      <w:r w:rsidR="00C62231">
        <w:rPr>
          <w:noProof/>
        </w:rPr>
        <w:t>6</w:t>
      </w:r>
      <w:r>
        <w:rPr>
          <w:noProof/>
        </w:rPr>
        <w:fldChar w:fldCharType="end"/>
      </w:r>
    </w:p>
    <w:p w:rsidR="00917726" w:rsidRDefault="00917726">
      <w:pPr>
        <w:pStyle w:val="TOC1"/>
        <w:rPr>
          <w:rFonts w:asciiTheme="minorHAnsi" w:eastAsiaTheme="minorEastAsia" w:hAnsiTheme="minorHAnsi" w:cstheme="minorBidi"/>
          <w:b w:val="0"/>
          <w:noProof/>
          <w:kern w:val="0"/>
          <w:sz w:val="22"/>
          <w:szCs w:val="22"/>
        </w:rPr>
      </w:pPr>
      <w:r>
        <w:rPr>
          <w:noProof/>
        </w:rPr>
        <w:t>Schedule 2 —Calculation of proposed SDL adjustments</w:t>
      </w:r>
      <w:r>
        <w:rPr>
          <w:noProof/>
        </w:rPr>
        <w:tab/>
      </w:r>
      <w:r>
        <w:rPr>
          <w:noProof/>
        </w:rPr>
        <w:fldChar w:fldCharType="begin"/>
      </w:r>
      <w:r>
        <w:rPr>
          <w:noProof/>
        </w:rPr>
        <w:instrText xml:space="preserve"> PAGEREF _Toc499810585 \h </w:instrText>
      </w:r>
      <w:r>
        <w:rPr>
          <w:noProof/>
        </w:rPr>
      </w:r>
      <w:r>
        <w:rPr>
          <w:noProof/>
        </w:rPr>
        <w:fldChar w:fldCharType="separate"/>
      </w:r>
      <w:r w:rsidR="00C62231">
        <w:rPr>
          <w:noProof/>
        </w:rPr>
        <w:t>7</w:t>
      </w:r>
      <w:r>
        <w:rPr>
          <w:noProof/>
        </w:rPr>
        <w:fldChar w:fldCharType="end"/>
      </w:r>
    </w:p>
    <w:p w:rsidR="00917726" w:rsidRDefault="00917726">
      <w:pPr>
        <w:pStyle w:val="TOC2"/>
        <w:rPr>
          <w:rFonts w:asciiTheme="minorHAnsi" w:eastAsiaTheme="minorEastAsia" w:hAnsiTheme="minorHAnsi" w:cstheme="minorBidi"/>
          <w:b w:val="0"/>
          <w:noProof/>
          <w:kern w:val="0"/>
          <w:sz w:val="22"/>
          <w:szCs w:val="22"/>
        </w:rPr>
      </w:pPr>
      <w:r>
        <w:rPr>
          <w:noProof/>
        </w:rPr>
        <w:t>Part 1 —Preliminary</w:t>
      </w:r>
      <w:r>
        <w:rPr>
          <w:noProof/>
        </w:rPr>
        <w:tab/>
      </w:r>
      <w:r>
        <w:rPr>
          <w:noProof/>
        </w:rPr>
        <w:fldChar w:fldCharType="begin"/>
      </w:r>
      <w:r>
        <w:rPr>
          <w:noProof/>
        </w:rPr>
        <w:instrText xml:space="preserve"> PAGEREF _Toc499810586 \h </w:instrText>
      </w:r>
      <w:r>
        <w:rPr>
          <w:noProof/>
        </w:rPr>
      </w:r>
      <w:r>
        <w:rPr>
          <w:noProof/>
        </w:rPr>
        <w:fldChar w:fldCharType="separate"/>
      </w:r>
      <w:r w:rsidR="00C62231">
        <w:rPr>
          <w:noProof/>
        </w:rPr>
        <w:t>7</w:t>
      </w:r>
      <w:r>
        <w:rPr>
          <w:noProof/>
        </w:rPr>
        <w:fldChar w:fldCharType="end"/>
      </w:r>
    </w:p>
    <w:p w:rsidR="00917726" w:rsidRDefault="00917726">
      <w:pPr>
        <w:pStyle w:val="TOC5"/>
        <w:rPr>
          <w:rFonts w:asciiTheme="minorHAnsi" w:eastAsiaTheme="minorEastAsia" w:hAnsiTheme="minorHAnsi" w:cstheme="minorBidi"/>
          <w:noProof/>
          <w:kern w:val="0"/>
          <w:sz w:val="22"/>
          <w:szCs w:val="22"/>
        </w:rPr>
      </w:pPr>
      <w:r>
        <w:rPr>
          <w:noProof/>
        </w:rPr>
        <w:t>1  Purpose of Schedule</w:t>
      </w:r>
      <w:r>
        <w:rPr>
          <w:noProof/>
        </w:rPr>
        <w:tab/>
      </w:r>
      <w:r>
        <w:rPr>
          <w:noProof/>
        </w:rPr>
        <w:fldChar w:fldCharType="begin"/>
      </w:r>
      <w:r>
        <w:rPr>
          <w:noProof/>
        </w:rPr>
        <w:instrText xml:space="preserve"> PAGEREF _Toc499810587 \h </w:instrText>
      </w:r>
      <w:r>
        <w:rPr>
          <w:noProof/>
        </w:rPr>
      </w:r>
      <w:r>
        <w:rPr>
          <w:noProof/>
        </w:rPr>
        <w:fldChar w:fldCharType="separate"/>
      </w:r>
      <w:r w:rsidR="00C62231">
        <w:rPr>
          <w:noProof/>
        </w:rPr>
        <w:t>7</w:t>
      </w:r>
      <w:r>
        <w:rPr>
          <w:noProof/>
        </w:rPr>
        <w:fldChar w:fldCharType="end"/>
      </w:r>
    </w:p>
    <w:p w:rsidR="00917726" w:rsidRDefault="00917726">
      <w:pPr>
        <w:pStyle w:val="TOC5"/>
        <w:rPr>
          <w:rFonts w:asciiTheme="minorHAnsi" w:eastAsiaTheme="minorEastAsia" w:hAnsiTheme="minorHAnsi" w:cstheme="minorBidi"/>
          <w:noProof/>
          <w:kern w:val="0"/>
          <w:sz w:val="22"/>
          <w:szCs w:val="22"/>
        </w:rPr>
      </w:pPr>
      <w:r>
        <w:rPr>
          <w:noProof/>
        </w:rPr>
        <w:t>2  Simplified outline of this Schedule</w:t>
      </w:r>
      <w:r>
        <w:rPr>
          <w:noProof/>
        </w:rPr>
        <w:tab/>
      </w:r>
      <w:r>
        <w:rPr>
          <w:noProof/>
        </w:rPr>
        <w:fldChar w:fldCharType="begin"/>
      </w:r>
      <w:r>
        <w:rPr>
          <w:noProof/>
        </w:rPr>
        <w:instrText xml:space="preserve"> PAGEREF _Toc499810588 \h </w:instrText>
      </w:r>
      <w:r>
        <w:rPr>
          <w:noProof/>
        </w:rPr>
      </w:r>
      <w:r>
        <w:rPr>
          <w:noProof/>
        </w:rPr>
        <w:fldChar w:fldCharType="separate"/>
      </w:r>
      <w:r w:rsidR="00C62231">
        <w:rPr>
          <w:noProof/>
        </w:rPr>
        <w:t>7</w:t>
      </w:r>
      <w:r>
        <w:rPr>
          <w:noProof/>
        </w:rPr>
        <w:fldChar w:fldCharType="end"/>
      </w:r>
    </w:p>
    <w:p w:rsidR="00917726" w:rsidRDefault="00917726">
      <w:pPr>
        <w:pStyle w:val="TOC5"/>
        <w:rPr>
          <w:rFonts w:asciiTheme="minorHAnsi" w:eastAsiaTheme="minorEastAsia" w:hAnsiTheme="minorHAnsi" w:cstheme="minorBidi"/>
          <w:noProof/>
          <w:kern w:val="0"/>
          <w:sz w:val="22"/>
          <w:szCs w:val="22"/>
        </w:rPr>
      </w:pPr>
      <w:r>
        <w:rPr>
          <w:noProof/>
        </w:rPr>
        <w:t>3  Interpretation</w:t>
      </w:r>
      <w:r>
        <w:rPr>
          <w:noProof/>
        </w:rPr>
        <w:tab/>
      </w:r>
      <w:r>
        <w:rPr>
          <w:noProof/>
        </w:rPr>
        <w:fldChar w:fldCharType="begin"/>
      </w:r>
      <w:r>
        <w:rPr>
          <w:noProof/>
        </w:rPr>
        <w:instrText xml:space="preserve"> PAGEREF _Toc499810589 \h </w:instrText>
      </w:r>
      <w:r>
        <w:rPr>
          <w:noProof/>
        </w:rPr>
      </w:r>
      <w:r>
        <w:rPr>
          <w:noProof/>
        </w:rPr>
        <w:fldChar w:fldCharType="separate"/>
      </w:r>
      <w:r w:rsidR="00C62231">
        <w:rPr>
          <w:noProof/>
        </w:rPr>
        <w:t>8</w:t>
      </w:r>
      <w:r>
        <w:rPr>
          <w:noProof/>
        </w:rPr>
        <w:fldChar w:fldCharType="end"/>
      </w:r>
    </w:p>
    <w:p w:rsidR="00917726" w:rsidRDefault="00917726">
      <w:pPr>
        <w:pStyle w:val="TOC2"/>
        <w:rPr>
          <w:rFonts w:asciiTheme="minorHAnsi" w:eastAsiaTheme="minorEastAsia" w:hAnsiTheme="minorHAnsi" w:cstheme="minorBidi"/>
          <w:b w:val="0"/>
          <w:noProof/>
          <w:kern w:val="0"/>
          <w:sz w:val="22"/>
          <w:szCs w:val="22"/>
        </w:rPr>
      </w:pPr>
      <w:r>
        <w:rPr>
          <w:noProof/>
        </w:rPr>
        <w:lastRenderedPageBreak/>
        <w:t>Part 2 —Calculation of SDL adjustment amount</w:t>
      </w:r>
      <w:r>
        <w:rPr>
          <w:noProof/>
        </w:rPr>
        <w:tab/>
      </w:r>
      <w:r>
        <w:rPr>
          <w:noProof/>
        </w:rPr>
        <w:fldChar w:fldCharType="begin"/>
      </w:r>
      <w:r>
        <w:rPr>
          <w:noProof/>
        </w:rPr>
        <w:instrText xml:space="preserve"> PAGEREF _Toc499810590 \h </w:instrText>
      </w:r>
      <w:r>
        <w:rPr>
          <w:noProof/>
        </w:rPr>
      </w:r>
      <w:r>
        <w:rPr>
          <w:noProof/>
        </w:rPr>
        <w:fldChar w:fldCharType="separate"/>
      </w:r>
      <w:r w:rsidR="00C62231">
        <w:rPr>
          <w:noProof/>
        </w:rPr>
        <w:t>8</w:t>
      </w:r>
      <w:r>
        <w:rPr>
          <w:noProof/>
        </w:rPr>
        <w:fldChar w:fldCharType="end"/>
      </w:r>
    </w:p>
    <w:p w:rsidR="00917726" w:rsidRDefault="00917726">
      <w:pPr>
        <w:pStyle w:val="TOC5"/>
        <w:rPr>
          <w:rFonts w:asciiTheme="minorHAnsi" w:eastAsiaTheme="minorEastAsia" w:hAnsiTheme="minorHAnsi" w:cstheme="minorBidi"/>
          <w:noProof/>
          <w:kern w:val="0"/>
          <w:sz w:val="22"/>
          <w:szCs w:val="22"/>
        </w:rPr>
      </w:pPr>
      <w:r>
        <w:rPr>
          <w:noProof/>
        </w:rPr>
        <w:t>4  Net effect of the total supply contribution and the total efficiency contribution</w:t>
      </w:r>
      <w:r>
        <w:rPr>
          <w:noProof/>
        </w:rPr>
        <w:tab/>
      </w:r>
      <w:r>
        <w:rPr>
          <w:noProof/>
        </w:rPr>
        <w:fldChar w:fldCharType="begin"/>
      </w:r>
      <w:r>
        <w:rPr>
          <w:noProof/>
        </w:rPr>
        <w:instrText xml:space="preserve"> PAGEREF _Toc499810591 \h </w:instrText>
      </w:r>
      <w:r>
        <w:rPr>
          <w:noProof/>
        </w:rPr>
      </w:r>
      <w:r>
        <w:rPr>
          <w:noProof/>
        </w:rPr>
        <w:fldChar w:fldCharType="separate"/>
      </w:r>
      <w:r w:rsidR="00C62231">
        <w:rPr>
          <w:noProof/>
        </w:rPr>
        <w:t>8</w:t>
      </w:r>
      <w:r>
        <w:rPr>
          <w:noProof/>
        </w:rPr>
        <w:fldChar w:fldCharType="end"/>
      </w:r>
    </w:p>
    <w:p w:rsidR="00917726" w:rsidRDefault="00917726">
      <w:pPr>
        <w:pStyle w:val="TOC5"/>
        <w:rPr>
          <w:rFonts w:asciiTheme="minorHAnsi" w:eastAsiaTheme="minorEastAsia" w:hAnsiTheme="minorHAnsi" w:cstheme="minorBidi"/>
          <w:noProof/>
          <w:kern w:val="0"/>
          <w:sz w:val="22"/>
          <w:szCs w:val="22"/>
        </w:rPr>
      </w:pPr>
      <w:r>
        <w:rPr>
          <w:noProof/>
        </w:rPr>
        <w:t>5  Calculation of SDL adjustment amounts—net effect greater than 543 GL per year</w:t>
      </w:r>
      <w:r>
        <w:rPr>
          <w:noProof/>
        </w:rPr>
        <w:tab/>
      </w:r>
      <w:r>
        <w:rPr>
          <w:noProof/>
        </w:rPr>
        <w:fldChar w:fldCharType="begin"/>
      </w:r>
      <w:r>
        <w:rPr>
          <w:noProof/>
        </w:rPr>
        <w:instrText xml:space="preserve"> PAGEREF _Toc499810592 \h </w:instrText>
      </w:r>
      <w:r>
        <w:rPr>
          <w:noProof/>
        </w:rPr>
      </w:r>
      <w:r>
        <w:rPr>
          <w:noProof/>
        </w:rPr>
        <w:fldChar w:fldCharType="separate"/>
      </w:r>
      <w:r w:rsidR="00C62231">
        <w:rPr>
          <w:noProof/>
        </w:rPr>
        <w:t>9</w:t>
      </w:r>
      <w:r>
        <w:rPr>
          <w:noProof/>
        </w:rPr>
        <w:fldChar w:fldCharType="end"/>
      </w:r>
    </w:p>
    <w:p w:rsidR="00917726" w:rsidRDefault="00917726">
      <w:pPr>
        <w:pStyle w:val="TOC5"/>
        <w:rPr>
          <w:rFonts w:asciiTheme="minorHAnsi" w:eastAsiaTheme="minorEastAsia" w:hAnsiTheme="minorHAnsi" w:cstheme="minorBidi"/>
          <w:noProof/>
          <w:kern w:val="0"/>
          <w:sz w:val="22"/>
          <w:szCs w:val="22"/>
        </w:rPr>
      </w:pPr>
      <w:r>
        <w:rPr>
          <w:noProof/>
        </w:rPr>
        <w:t>6  Calculation of SDL adjustment amounts—net effect less than or equal to 543 GL per year</w:t>
      </w:r>
      <w:r>
        <w:rPr>
          <w:noProof/>
        </w:rPr>
        <w:tab/>
      </w:r>
      <w:r>
        <w:rPr>
          <w:noProof/>
        </w:rPr>
        <w:fldChar w:fldCharType="begin"/>
      </w:r>
      <w:r>
        <w:rPr>
          <w:noProof/>
        </w:rPr>
        <w:instrText xml:space="preserve"> PAGEREF _Toc499810593 \h </w:instrText>
      </w:r>
      <w:r>
        <w:rPr>
          <w:noProof/>
        </w:rPr>
      </w:r>
      <w:r>
        <w:rPr>
          <w:noProof/>
        </w:rPr>
        <w:fldChar w:fldCharType="separate"/>
      </w:r>
      <w:r w:rsidR="00C62231">
        <w:rPr>
          <w:noProof/>
        </w:rPr>
        <w:t>10</w:t>
      </w:r>
      <w:r>
        <w:rPr>
          <w:noProof/>
        </w:rPr>
        <w:fldChar w:fldCharType="end"/>
      </w:r>
    </w:p>
    <w:p w:rsidR="00917726" w:rsidRDefault="00917726">
      <w:pPr>
        <w:pStyle w:val="TOC1"/>
        <w:rPr>
          <w:rFonts w:asciiTheme="minorHAnsi" w:eastAsiaTheme="minorEastAsia" w:hAnsiTheme="minorHAnsi" w:cstheme="minorBidi"/>
          <w:b w:val="0"/>
          <w:noProof/>
          <w:kern w:val="0"/>
          <w:sz w:val="22"/>
          <w:szCs w:val="22"/>
        </w:rPr>
      </w:pPr>
      <w:r>
        <w:rPr>
          <w:noProof/>
        </w:rPr>
        <w:t>Schedule 3 —Calculation of other amounts</w:t>
      </w:r>
      <w:r>
        <w:rPr>
          <w:noProof/>
        </w:rPr>
        <w:tab/>
      </w:r>
      <w:r>
        <w:rPr>
          <w:noProof/>
        </w:rPr>
        <w:fldChar w:fldCharType="begin"/>
      </w:r>
      <w:r>
        <w:rPr>
          <w:noProof/>
        </w:rPr>
        <w:instrText xml:space="preserve"> PAGEREF _Toc499810594 \h </w:instrText>
      </w:r>
      <w:r>
        <w:rPr>
          <w:noProof/>
        </w:rPr>
      </w:r>
      <w:r>
        <w:rPr>
          <w:noProof/>
        </w:rPr>
        <w:fldChar w:fldCharType="separate"/>
      </w:r>
      <w:r w:rsidR="00C62231">
        <w:rPr>
          <w:noProof/>
        </w:rPr>
        <w:t>11</w:t>
      </w:r>
      <w:r>
        <w:rPr>
          <w:noProof/>
        </w:rPr>
        <w:fldChar w:fldCharType="end"/>
      </w:r>
    </w:p>
    <w:p w:rsidR="00917726" w:rsidRDefault="00917726">
      <w:pPr>
        <w:pStyle w:val="TOC5"/>
        <w:rPr>
          <w:rFonts w:asciiTheme="minorHAnsi" w:eastAsiaTheme="minorEastAsia" w:hAnsiTheme="minorHAnsi" w:cstheme="minorBidi"/>
          <w:noProof/>
          <w:kern w:val="0"/>
          <w:sz w:val="22"/>
          <w:szCs w:val="22"/>
        </w:rPr>
      </w:pPr>
      <w:r>
        <w:rPr>
          <w:noProof/>
        </w:rPr>
        <w:t>1  Calculation of percentage difference for paragraph 5(2)(c) of this notice</w:t>
      </w:r>
      <w:r>
        <w:rPr>
          <w:noProof/>
        </w:rPr>
        <w:tab/>
      </w:r>
      <w:r>
        <w:rPr>
          <w:noProof/>
        </w:rPr>
        <w:fldChar w:fldCharType="begin"/>
      </w:r>
      <w:r>
        <w:rPr>
          <w:noProof/>
        </w:rPr>
        <w:instrText xml:space="preserve"> PAGEREF _Toc499810595 \h </w:instrText>
      </w:r>
      <w:r>
        <w:rPr>
          <w:noProof/>
        </w:rPr>
      </w:r>
      <w:r>
        <w:rPr>
          <w:noProof/>
        </w:rPr>
        <w:fldChar w:fldCharType="separate"/>
      </w:r>
      <w:r w:rsidR="00C62231">
        <w:rPr>
          <w:noProof/>
        </w:rPr>
        <w:t>11</w:t>
      </w:r>
      <w:r>
        <w:rPr>
          <w:noProof/>
        </w:rPr>
        <w:fldChar w:fldCharType="end"/>
      </w:r>
    </w:p>
    <w:p w:rsidR="00917726" w:rsidRDefault="00917726">
      <w:pPr>
        <w:pStyle w:val="TOC5"/>
        <w:rPr>
          <w:rFonts w:asciiTheme="minorHAnsi" w:eastAsiaTheme="minorEastAsia" w:hAnsiTheme="minorHAnsi" w:cstheme="minorBidi"/>
          <w:noProof/>
          <w:kern w:val="0"/>
          <w:sz w:val="22"/>
          <w:szCs w:val="22"/>
        </w:rPr>
      </w:pPr>
      <w:r>
        <w:rPr>
          <w:noProof/>
        </w:rPr>
        <w:t>2  Calculation of total Basin adjustment percentage for paragraph 5(3)(b) of this notice</w:t>
      </w:r>
      <w:r>
        <w:rPr>
          <w:noProof/>
        </w:rPr>
        <w:tab/>
      </w:r>
      <w:r>
        <w:rPr>
          <w:noProof/>
        </w:rPr>
        <w:fldChar w:fldCharType="begin"/>
      </w:r>
      <w:r>
        <w:rPr>
          <w:noProof/>
        </w:rPr>
        <w:instrText xml:space="preserve"> PAGEREF _Toc499810596 \h </w:instrText>
      </w:r>
      <w:r>
        <w:rPr>
          <w:noProof/>
        </w:rPr>
      </w:r>
      <w:r>
        <w:rPr>
          <w:noProof/>
        </w:rPr>
        <w:fldChar w:fldCharType="separate"/>
      </w:r>
      <w:r w:rsidR="00C62231">
        <w:rPr>
          <w:noProof/>
        </w:rPr>
        <w:t>11</w:t>
      </w:r>
      <w:r>
        <w:rPr>
          <w:noProof/>
        </w:rPr>
        <w:fldChar w:fldCharType="end"/>
      </w:r>
    </w:p>
    <w:p w:rsidR="00917726" w:rsidRDefault="00917726">
      <w:pPr>
        <w:pStyle w:val="TOC1"/>
        <w:rPr>
          <w:rFonts w:asciiTheme="minorHAnsi" w:eastAsiaTheme="minorEastAsia" w:hAnsiTheme="minorHAnsi" w:cstheme="minorBidi"/>
          <w:b w:val="0"/>
          <w:noProof/>
          <w:kern w:val="0"/>
          <w:sz w:val="22"/>
          <w:szCs w:val="22"/>
        </w:rPr>
      </w:pPr>
      <w:r>
        <w:rPr>
          <w:noProof/>
        </w:rPr>
        <w:t>Schedule 4 —Outline of material</w:t>
      </w:r>
      <w:r>
        <w:rPr>
          <w:noProof/>
        </w:rPr>
        <w:tab/>
      </w:r>
      <w:r>
        <w:rPr>
          <w:noProof/>
        </w:rPr>
        <w:fldChar w:fldCharType="begin"/>
      </w:r>
      <w:r>
        <w:rPr>
          <w:noProof/>
        </w:rPr>
        <w:instrText xml:space="preserve"> PAGEREF _Toc499810597 \h </w:instrText>
      </w:r>
      <w:r>
        <w:rPr>
          <w:noProof/>
        </w:rPr>
      </w:r>
      <w:r>
        <w:rPr>
          <w:noProof/>
        </w:rPr>
        <w:fldChar w:fldCharType="separate"/>
      </w:r>
      <w:r w:rsidR="00C62231">
        <w:rPr>
          <w:noProof/>
        </w:rPr>
        <w:t>12</w:t>
      </w:r>
      <w:r>
        <w:rPr>
          <w:noProof/>
        </w:rPr>
        <w:fldChar w:fldCharType="end"/>
      </w:r>
    </w:p>
    <w:p w:rsidR="00917726" w:rsidRDefault="00917726">
      <w:pPr>
        <w:pStyle w:val="TOC1"/>
        <w:rPr>
          <w:rFonts w:asciiTheme="minorHAnsi" w:eastAsiaTheme="minorEastAsia" w:hAnsiTheme="minorHAnsi" w:cstheme="minorBidi"/>
          <w:b w:val="0"/>
          <w:noProof/>
          <w:kern w:val="0"/>
          <w:sz w:val="22"/>
          <w:szCs w:val="22"/>
        </w:rPr>
      </w:pPr>
      <w:r>
        <w:rPr>
          <w:noProof/>
        </w:rPr>
        <w:t>Schedule 5 —Illustrative example of proposed SDL adjustments</w:t>
      </w:r>
      <w:r>
        <w:rPr>
          <w:noProof/>
        </w:rPr>
        <w:tab/>
      </w:r>
      <w:r>
        <w:rPr>
          <w:noProof/>
        </w:rPr>
        <w:fldChar w:fldCharType="begin"/>
      </w:r>
      <w:r>
        <w:rPr>
          <w:noProof/>
        </w:rPr>
        <w:instrText xml:space="preserve"> PAGEREF _Toc499810598 \h </w:instrText>
      </w:r>
      <w:r>
        <w:rPr>
          <w:noProof/>
        </w:rPr>
      </w:r>
      <w:r>
        <w:rPr>
          <w:noProof/>
        </w:rPr>
        <w:fldChar w:fldCharType="separate"/>
      </w:r>
      <w:r w:rsidR="00C62231">
        <w:rPr>
          <w:noProof/>
        </w:rPr>
        <w:t>14</w:t>
      </w:r>
      <w:r>
        <w:rPr>
          <w:noProof/>
        </w:rPr>
        <w:fldChar w:fldCharType="end"/>
      </w:r>
    </w:p>
    <w:p w:rsidR="00B82BF2" w:rsidRDefault="006E0D77" w:rsidP="00281E63">
      <w:pPr>
        <w:pStyle w:val="h5Section"/>
      </w:pPr>
      <w:r w:rsidRPr="00AA6D3C">
        <w:fldChar w:fldCharType="end"/>
      </w:r>
      <w:bookmarkStart w:id="4" w:name="_Toc405889305"/>
      <w:bookmarkStart w:id="5" w:name="_Toc423463481"/>
      <w:bookmarkStart w:id="6" w:name="_Toc444766534"/>
    </w:p>
    <w:p w:rsidR="00B82BF2" w:rsidRDefault="00B82BF2" w:rsidP="00281E63">
      <w:pPr>
        <w:pStyle w:val="h5Section"/>
        <w:sectPr w:rsidR="00B82BF2" w:rsidSect="00AA2D97">
          <w:footerReference w:type="default" r:id="rId13"/>
          <w:footerReference w:type="first" r:id="rId14"/>
          <w:pgSz w:w="11906" w:h="16838"/>
          <w:pgMar w:top="1440" w:right="1440" w:bottom="1440" w:left="1440" w:header="709" w:footer="709" w:gutter="0"/>
          <w:cols w:space="708"/>
          <w:titlePg/>
          <w:docGrid w:linePitch="360"/>
        </w:sectPr>
      </w:pPr>
    </w:p>
    <w:p w:rsidR="00281E63" w:rsidRPr="002A0313" w:rsidRDefault="00E4496E" w:rsidP="00281E63">
      <w:pPr>
        <w:pStyle w:val="h5Section"/>
      </w:pPr>
      <w:bookmarkStart w:id="7" w:name="_Toc488934053"/>
      <w:bookmarkStart w:id="8" w:name="_Toc499810578"/>
      <w:r>
        <w:lastRenderedPageBreak/>
        <w:t>1</w:t>
      </w:r>
      <w:r w:rsidR="00281E63">
        <w:t xml:space="preserve">  </w:t>
      </w:r>
      <w:r w:rsidR="00281E63" w:rsidRPr="002A0313">
        <w:t>Name</w:t>
      </w:r>
      <w:bookmarkEnd w:id="7"/>
      <w:bookmarkEnd w:id="8"/>
    </w:p>
    <w:p w:rsidR="00EC474D" w:rsidRDefault="00C96C95" w:rsidP="00C96C95">
      <w:pPr>
        <w:pStyle w:val="tMain"/>
      </w:pPr>
      <w:r>
        <w:tab/>
      </w:r>
      <w:r>
        <w:tab/>
      </w:r>
      <w:r w:rsidR="00EC474D" w:rsidRPr="00632F5C">
        <w:t xml:space="preserve">This </w:t>
      </w:r>
      <w:r w:rsidR="006B062A">
        <w:t>notice</w:t>
      </w:r>
      <w:r w:rsidR="006B062A" w:rsidRPr="00632F5C">
        <w:t xml:space="preserve"> </w:t>
      </w:r>
      <w:r w:rsidR="00EC474D" w:rsidRPr="00632F5C">
        <w:t>is the</w:t>
      </w:r>
      <w:r w:rsidR="00EC474D">
        <w:t xml:space="preserve"> </w:t>
      </w:r>
      <w:r w:rsidR="002E2C36">
        <w:rPr>
          <w:i/>
          <w:noProof/>
        </w:rPr>
        <w:t>Water (SDL Adjustments) Notice 2017</w:t>
      </w:r>
      <w:r w:rsidR="00EC474D">
        <w:t>.</w:t>
      </w:r>
    </w:p>
    <w:p w:rsidR="00281E63" w:rsidRPr="002A0313" w:rsidRDefault="00E4496E" w:rsidP="00281E63">
      <w:pPr>
        <w:pStyle w:val="h5Section"/>
      </w:pPr>
      <w:bookmarkStart w:id="9" w:name="_Toc405889307"/>
      <w:bookmarkStart w:id="10" w:name="_Toc488934055"/>
      <w:bookmarkStart w:id="11" w:name="_Toc499810579"/>
      <w:r>
        <w:t>2</w:t>
      </w:r>
      <w:r w:rsidR="00281E63">
        <w:t xml:space="preserve">  </w:t>
      </w:r>
      <w:r w:rsidR="00281E63" w:rsidRPr="002A0313">
        <w:t>Authority</w:t>
      </w:r>
      <w:bookmarkEnd w:id="9"/>
      <w:bookmarkEnd w:id="10"/>
      <w:bookmarkEnd w:id="11"/>
    </w:p>
    <w:p w:rsidR="00C96C95" w:rsidRDefault="00C96C95" w:rsidP="00C96C95">
      <w:pPr>
        <w:pStyle w:val="tMain"/>
      </w:pPr>
      <w:r>
        <w:tab/>
      </w:r>
      <w:r>
        <w:tab/>
        <w:t xml:space="preserve">This </w:t>
      </w:r>
      <w:r w:rsidR="006B062A">
        <w:t>notice</w:t>
      </w:r>
      <w:r>
        <w:t xml:space="preserve"> is made under section 23B of the </w:t>
      </w:r>
      <w:r>
        <w:rPr>
          <w:i/>
        </w:rPr>
        <w:t>Water Act 2007</w:t>
      </w:r>
      <w:r>
        <w:t>.</w:t>
      </w:r>
    </w:p>
    <w:p w:rsidR="00113450" w:rsidRDefault="00113450" w:rsidP="00113450">
      <w:pPr>
        <w:pStyle w:val="nMain"/>
      </w:pPr>
      <w:r>
        <w:t>Note:</w:t>
      </w:r>
      <w:r>
        <w:tab/>
        <w:t>This notice is not a legislative instrument. See paragraph 23B(7)(b) of the Water Act.</w:t>
      </w:r>
    </w:p>
    <w:p w:rsidR="00D62F6B" w:rsidRDefault="00E4496E" w:rsidP="00D62F6B">
      <w:pPr>
        <w:pStyle w:val="h5Section"/>
      </w:pPr>
      <w:bookmarkStart w:id="12" w:name="_Toc499810580"/>
      <w:r>
        <w:t>3</w:t>
      </w:r>
      <w:r w:rsidR="00D62F6B">
        <w:t xml:space="preserve">  Interpretation</w:t>
      </w:r>
      <w:bookmarkEnd w:id="12"/>
    </w:p>
    <w:p w:rsidR="00120A61" w:rsidRPr="00120A61" w:rsidRDefault="00120A61" w:rsidP="00120A61">
      <w:pPr>
        <w:pStyle w:val="tMain"/>
      </w:pPr>
      <w:r>
        <w:tab/>
      </w:r>
      <w:r>
        <w:tab/>
        <w:t>In this notice:</w:t>
      </w:r>
    </w:p>
    <w:p w:rsidR="00533D1C" w:rsidRDefault="00533D1C" w:rsidP="00D62F6B">
      <w:pPr>
        <w:pStyle w:val="tDefn"/>
      </w:pPr>
      <w:r>
        <w:rPr>
          <w:b/>
          <w:i/>
        </w:rPr>
        <w:t xml:space="preserve">Authority </w:t>
      </w:r>
      <w:r>
        <w:t>means the Murray</w:t>
      </w:r>
      <w:r>
        <w:noBreakHyphen/>
        <w:t>Darling Basin Authority within the meaning of the Water Act.</w:t>
      </w:r>
    </w:p>
    <w:p w:rsidR="00D62F6B" w:rsidRDefault="00D62F6B" w:rsidP="00D62F6B">
      <w:pPr>
        <w:pStyle w:val="tDefn"/>
      </w:pPr>
      <w:r w:rsidRPr="00D62F6B">
        <w:rPr>
          <w:b/>
          <w:i/>
        </w:rPr>
        <w:t>Basin Plan</w:t>
      </w:r>
      <w:r>
        <w:t xml:space="preserve"> means the </w:t>
      </w:r>
      <w:r w:rsidRPr="00D62F6B">
        <w:rPr>
          <w:i/>
        </w:rPr>
        <w:t>Basin Plan 2012</w:t>
      </w:r>
      <w:r>
        <w:t>.</w:t>
      </w:r>
    </w:p>
    <w:p w:rsidR="006359EE" w:rsidRDefault="006359EE" w:rsidP="006359EE">
      <w:pPr>
        <w:pStyle w:val="tDefn"/>
      </w:pPr>
      <w:r w:rsidRPr="00D05A79">
        <w:rPr>
          <w:b/>
          <w:i/>
        </w:rPr>
        <w:t>proposed Basin limit</w:t>
      </w:r>
      <w:r w:rsidRPr="00D05A79">
        <w:t xml:space="preserve"> has the same meaning as in subsection 23A(5) of the Water Act.</w:t>
      </w:r>
    </w:p>
    <w:p w:rsidR="00AD034D" w:rsidRPr="00D05A79" w:rsidRDefault="00AD034D" w:rsidP="00AD034D">
      <w:pPr>
        <w:pStyle w:val="nMain"/>
      </w:pPr>
      <w:r>
        <w:t>Note:</w:t>
      </w:r>
      <w:r>
        <w:tab/>
        <w:t>See also paragraph </w:t>
      </w:r>
      <w:r w:rsidR="002E2C36">
        <w:t>5(3)(a)</w:t>
      </w:r>
      <w:r>
        <w:t xml:space="preserve"> of this notice.</w:t>
      </w:r>
    </w:p>
    <w:p w:rsidR="00120A61" w:rsidRDefault="00120A61" w:rsidP="00120A61">
      <w:pPr>
        <w:pStyle w:val="tDefn"/>
      </w:pPr>
      <w:r w:rsidRPr="00454EDD">
        <w:rPr>
          <w:b/>
          <w:i/>
        </w:rPr>
        <w:t>reference time</w:t>
      </w:r>
      <w:r>
        <w:t xml:space="preserve"> is the time the Basin Plan first took effect, that is, 24 November 2012.</w:t>
      </w:r>
    </w:p>
    <w:p w:rsidR="006359EE" w:rsidRDefault="006359EE" w:rsidP="006359EE">
      <w:pPr>
        <w:pStyle w:val="tDefn"/>
      </w:pPr>
      <w:r w:rsidRPr="00D05A79">
        <w:rPr>
          <w:b/>
          <w:i/>
        </w:rPr>
        <w:lastRenderedPageBreak/>
        <w:t>total Basin adjustment percentage</w:t>
      </w:r>
      <w:r w:rsidRPr="00D05A79">
        <w:t xml:space="preserve"> has the same meaning as in subsection 23A(5) of the Water Act.</w:t>
      </w:r>
    </w:p>
    <w:p w:rsidR="00A36F6F" w:rsidRPr="00D05A79" w:rsidRDefault="00A36F6F" w:rsidP="00A36F6F">
      <w:pPr>
        <w:pStyle w:val="nMain"/>
      </w:pPr>
      <w:r>
        <w:t>Note:</w:t>
      </w:r>
      <w:r>
        <w:tab/>
        <w:t>See also paragraph </w:t>
      </w:r>
      <w:r w:rsidR="002E2C36">
        <w:t>5(3)(b)</w:t>
      </w:r>
      <w:r>
        <w:t xml:space="preserve"> of this notice.</w:t>
      </w:r>
    </w:p>
    <w:p w:rsidR="00D62F6B" w:rsidRDefault="00D62F6B" w:rsidP="00D62F6B">
      <w:pPr>
        <w:pStyle w:val="tDefn"/>
      </w:pPr>
      <w:r>
        <w:rPr>
          <w:b/>
          <w:i/>
        </w:rPr>
        <w:t xml:space="preserve">SDL </w:t>
      </w:r>
      <w:r>
        <w:t>means long</w:t>
      </w:r>
      <w:r>
        <w:noBreakHyphen/>
        <w:t>term average sustainable diversion limit.</w:t>
      </w:r>
    </w:p>
    <w:p w:rsidR="00361D26" w:rsidRDefault="00361D26" w:rsidP="00361D26">
      <w:pPr>
        <w:pStyle w:val="tDefn"/>
      </w:pPr>
      <w:r>
        <w:rPr>
          <w:b/>
          <w:i/>
        </w:rPr>
        <w:t xml:space="preserve">Water Act </w:t>
      </w:r>
      <w:r>
        <w:t xml:space="preserve">means the </w:t>
      </w:r>
      <w:r w:rsidRPr="00D62F6B">
        <w:rPr>
          <w:i/>
        </w:rPr>
        <w:t>Water Act 2007</w:t>
      </w:r>
      <w:r>
        <w:t>.</w:t>
      </w:r>
    </w:p>
    <w:p w:rsidR="00EC21C9" w:rsidRDefault="00E4496E" w:rsidP="00206EC9">
      <w:pPr>
        <w:pStyle w:val="h5Section"/>
      </w:pPr>
      <w:bookmarkStart w:id="13" w:name="_Toc499810581"/>
      <w:r>
        <w:t>4</w:t>
      </w:r>
      <w:r w:rsidR="00206EC9">
        <w:t xml:space="preserve">  Background</w:t>
      </w:r>
      <w:bookmarkEnd w:id="13"/>
    </w:p>
    <w:p w:rsidR="00206EC9" w:rsidRDefault="00EC21C9" w:rsidP="00EC21C9">
      <w:pPr>
        <w:pStyle w:val="h6Subsec"/>
      </w:pPr>
      <w:r>
        <w:t>T</w:t>
      </w:r>
      <w:r w:rsidR="00206EC9">
        <w:t>he Basin Plan</w:t>
      </w:r>
    </w:p>
    <w:p w:rsidR="00206EC9" w:rsidRDefault="00206EC9" w:rsidP="00206EC9">
      <w:pPr>
        <w:pStyle w:val="tMain"/>
      </w:pPr>
      <w:r>
        <w:tab/>
      </w:r>
      <w:r w:rsidR="00E4496E">
        <w:t>(1)</w:t>
      </w:r>
      <w:r>
        <w:tab/>
        <w:t>The Basin Plan is</w:t>
      </w:r>
      <w:r w:rsidR="00317A94">
        <w:t xml:space="preserve"> a legislative instrument</w:t>
      </w:r>
      <w:r>
        <w:t xml:space="preserve"> made under Part 2 of the Water Act. The Basin Plan provides for the integrated management of the </w:t>
      </w:r>
      <w:r w:rsidR="00693074">
        <w:t>“</w:t>
      </w:r>
      <w:r>
        <w:t>Basin water resources</w:t>
      </w:r>
      <w:r w:rsidR="00693074">
        <w:t>”</w:t>
      </w:r>
      <w:r w:rsidR="00B27808">
        <w:t>, which are, b</w:t>
      </w:r>
      <w:r>
        <w:t>roadly speaking, the water resources within, or beneath, the Murray</w:t>
      </w:r>
      <w:r>
        <w:noBreakHyphen/>
        <w:t>Darling Basin.</w:t>
      </w:r>
    </w:p>
    <w:p w:rsidR="00C26863" w:rsidRDefault="00206EC9" w:rsidP="00C26863">
      <w:pPr>
        <w:pStyle w:val="tMain"/>
        <w:rPr>
          <w:rFonts w:eastAsia="Calibri"/>
          <w:lang w:eastAsia="en-US"/>
        </w:rPr>
      </w:pPr>
      <w:r>
        <w:tab/>
      </w:r>
      <w:r w:rsidR="00E4496E">
        <w:t>(2)</w:t>
      </w:r>
      <w:r>
        <w:tab/>
      </w:r>
      <w:r w:rsidR="00317A94">
        <w:t xml:space="preserve">Among other things, the Basin Plan </w:t>
      </w:r>
      <w:r>
        <w:t xml:space="preserve">specifies </w:t>
      </w:r>
      <w:r w:rsidR="00613E21">
        <w:t>“</w:t>
      </w:r>
      <w:r>
        <w:t>water resource plan areas</w:t>
      </w:r>
      <w:r w:rsidR="00613E21">
        <w:t>”</w:t>
      </w:r>
      <w:r>
        <w:t>, each of which contains part of the Basin water resources.</w:t>
      </w:r>
      <w:r w:rsidR="00C26863">
        <w:t xml:space="preserve"> </w:t>
      </w:r>
      <w:r w:rsidR="00B30D93">
        <w:t>E</w:t>
      </w:r>
      <w:r w:rsidR="00C26863">
        <w:t xml:space="preserve">ach water resource plan area </w:t>
      </w:r>
      <w:r w:rsidR="00B30D93">
        <w:t xml:space="preserve">consists of </w:t>
      </w:r>
      <w:r w:rsidR="00C26863">
        <w:t>one or more “SDL resource units”. Each SDL resource unit is either:</w:t>
      </w:r>
    </w:p>
    <w:p w:rsidR="00C26863" w:rsidRDefault="00C26863" w:rsidP="00C26863">
      <w:pPr>
        <w:pStyle w:val="tPara"/>
      </w:pPr>
      <w:r>
        <w:tab/>
      </w:r>
      <w:r w:rsidR="00E4496E">
        <w:t>(a)</w:t>
      </w:r>
      <w:r>
        <w:tab/>
        <w:t>a surface water SDL resource unit, identified in section 6.02 of the Basin Plan; or</w:t>
      </w:r>
    </w:p>
    <w:p w:rsidR="00C26863" w:rsidRDefault="00C26863" w:rsidP="00C26863">
      <w:pPr>
        <w:pStyle w:val="tPara"/>
      </w:pPr>
      <w:r>
        <w:tab/>
      </w:r>
      <w:r w:rsidR="00E4496E">
        <w:t>(b)</w:t>
      </w:r>
      <w:r>
        <w:tab/>
        <w:t>a groundwater SDL resource unit, identified in section 6.03 of the Basin Plan.</w:t>
      </w:r>
    </w:p>
    <w:p w:rsidR="00206EC9" w:rsidRDefault="00206EC9" w:rsidP="00EC21C9">
      <w:pPr>
        <w:pStyle w:val="h6Subsec"/>
      </w:pPr>
      <w:r>
        <w:lastRenderedPageBreak/>
        <w:t>Long</w:t>
      </w:r>
      <w:r>
        <w:noBreakHyphen/>
        <w:t xml:space="preserve">term average sustainable diversion </w:t>
      </w:r>
      <w:r w:rsidRPr="008803B7">
        <w:t>limits</w:t>
      </w:r>
      <w:r>
        <w:t xml:space="preserve"> (SDLs)</w:t>
      </w:r>
    </w:p>
    <w:p w:rsidR="003820C4" w:rsidRDefault="003820C4" w:rsidP="003820C4">
      <w:pPr>
        <w:pStyle w:val="tMain"/>
        <w:rPr>
          <w:rFonts w:eastAsia="Calibri"/>
          <w:lang w:eastAsia="en-US"/>
        </w:rPr>
      </w:pPr>
      <w:r>
        <w:tab/>
      </w:r>
      <w:r w:rsidR="00E4496E">
        <w:t>(3)</w:t>
      </w:r>
      <w:r>
        <w:tab/>
        <w:t>The Basin Plan also specifies the “long</w:t>
      </w:r>
      <w:r>
        <w:noBreakHyphen/>
        <w:t>term average sustainable diversion limits”, or “SDLs”, for:</w:t>
      </w:r>
    </w:p>
    <w:p w:rsidR="003820C4" w:rsidRDefault="003820C4" w:rsidP="003820C4">
      <w:pPr>
        <w:pStyle w:val="tPara"/>
      </w:pPr>
      <w:r>
        <w:tab/>
      </w:r>
      <w:r w:rsidR="00E4496E">
        <w:t>(a)</w:t>
      </w:r>
      <w:r>
        <w:tab/>
        <w:t>the Basin water resources as a whole</w:t>
      </w:r>
      <w:r w:rsidR="00F744C7" w:rsidRPr="00D05A79">
        <w:t xml:space="preserve">—see </w:t>
      </w:r>
      <w:r>
        <w:t>subsection 6.04(2) of the Basin Plan; and</w:t>
      </w:r>
    </w:p>
    <w:p w:rsidR="00F744C7" w:rsidRPr="00D05A79" w:rsidRDefault="003820C4" w:rsidP="003820C4">
      <w:pPr>
        <w:pStyle w:val="tPara"/>
      </w:pPr>
      <w:r>
        <w:tab/>
      </w:r>
      <w:r w:rsidR="00E4496E">
        <w:t>(b)</w:t>
      </w:r>
      <w:r w:rsidR="00F744C7">
        <w:tab/>
        <w:t>each SDL resource unit</w:t>
      </w:r>
      <w:r w:rsidR="00F744C7" w:rsidRPr="00D05A79">
        <w:t>—see:</w:t>
      </w:r>
    </w:p>
    <w:p w:rsidR="00F744C7" w:rsidRDefault="00F744C7" w:rsidP="00F744C7">
      <w:pPr>
        <w:pStyle w:val="tSubpara"/>
      </w:pPr>
      <w:r>
        <w:tab/>
      </w:r>
      <w:r w:rsidR="00E4496E">
        <w:t>(i)</w:t>
      </w:r>
      <w:r w:rsidRPr="00D05A79">
        <w:tab/>
      </w:r>
      <w:r>
        <w:t>subsection</w:t>
      </w:r>
      <w:r w:rsidR="003820C4">
        <w:t xml:space="preserve"> 6.04(3) </w:t>
      </w:r>
      <w:r w:rsidRPr="00D05A79">
        <w:t xml:space="preserve">of the Basin Plan for surface water SDL resource units; </w:t>
      </w:r>
      <w:r w:rsidR="003820C4">
        <w:t xml:space="preserve">and </w:t>
      </w:r>
    </w:p>
    <w:p w:rsidR="003820C4" w:rsidRDefault="00F744C7" w:rsidP="00F744C7">
      <w:pPr>
        <w:pStyle w:val="tSubpara"/>
      </w:pPr>
      <w:r>
        <w:tab/>
      </w:r>
      <w:r w:rsidR="00E4496E">
        <w:t>(ii)</w:t>
      </w:r>
      <w:r w:rsidRPr="00D05A79">
        <w:tab/>
        <w:t>subsection 6.04</w:t>
      </w:r>
      <w:r w:rsidR="003820C4">
        <w:t>(4) of the Basin Plan</w:t>
      </w:r>
      <w:r w:rsidR="000103F2" w:rsidRPr="00D05A79">
        <w:t xml:space="preserve"> for ground</w:t>
      </w:r>
      <w:r w:rsidRPr="00D05A79">
        <w:t>water SDL resource units</w:t>
      </w:r>
      <w:r w:rsidR="003820C4">
        <w:t>.</w:t>
      </w:r>
    </w:p>
    <w:p w:rsidR="00206EC9" w:rsidRDefault="003820C4" w:rsidP="003820C4">
      <w:pPr>
        <w:pStyle w:val="tMain"/>
      </w:pPr>
      <w:r>
        <w:tab/>
      </w:r>
      <w:r w:rsidR="00E4496E">
        <w:t>(4)</w:t>
      </w:r>
      <w:r>
        <w:tab/>
        <w:t xml:space="preserve">The SDLs are the maximum long-term annual average quantities of water that can be taken, on a sustainable basis, from the relevant </w:t>
      </w:r>
      <w:r w:rsidR="00127BC3" w:rsidRPr="00D05A79">
        <w:t xml:space="preserve">water </w:t>
      </w:r>
      <w:r>
        <w:t xml:space="preserve">resources. </w:t>
      </w:r>
      <w:r w:rsidR="00206EC9">
        <w:t xml:space="preserve">In accordance with paragraph 23(2)(b) of the Water Act, SDLs have been specified </w:t>
      </w:r>
      <w:r w:rsidR="00FB2B51">
        <w:t xml:space="preserve">in the Basin Plan </w:t>
      </w:r>
      <w:r w:rsidR="00206EC9">
        <w:t>as a formula that may be used to calculate a quantity of water per year.</w:t>
      </w:r>
    </w:p>
    <w:p w:rsidR="00206EC9" w:rsidRDefault="00206EC9" w:rsidP="00EC21C9">
      <w:pPr>
        <w:pStyle w:val="h6Subsec"/>
      </w:pPr>
      <w:r>
        <w:t>Adjustments to long</w:t>
      </w:r>
      <w:r>
        <w:noBreakHyphen/>
        <w:t xml:space="preserve">term average sustainable diversion </w:t>
      </w:r>
      <w:r w:rsidRPr="008803B7">
        <w:t>limits</w:t>
      </w:r>
    </w:p>
    <w:p w:rsidR="00206EC9" w:rsidRDefault="00206EC9" w:rsidP="00206EC9">
      <w:pPr>
        <w:pStyle w:val="tMain"/>
      </w:pPr>
      <w:r>
        <w:tab/>
      </w:r>
      <w:r w:rsidR="00E4496E">
        <w:t>(5)</w:t>
      </w:r>
      <w:r>
        <w:tab/>
        <w:t xml:space="preserve">In accordance with subsection 23A(1) of the Water Act, </w:t>
      </w:r>
      <w:r w:rsidR="00E775A9">
        <w:t xml:space="preserve">Part 2 of </w:t>
      </w:r>
      <w:r>
        <w:t xml:space="preserve">Chapter 7 of the Basin Plan provides for the </w:t>
      </w:r>
      <w:r w:rsidR="00533D1C">
        <w:t>Authority</w:t>
      </w:r>
      <w:r>
        <w:t xml:space="preserve"> to propose:</w:t>
      </w:r>
    </w:p>
    <w:p w:rsidR="00206EC9" w:rsidRDefault="00206EC9" w:rsidP="00206EC9">
      <w:pPr>
        <w:pStyle w:val="tPara"/>
      </w:pPr>
      <w:r>
        <w:tab/>
      </w:r>
      <w:r w:rsidR="00E4496E">
        <w:t>(a)</w:t>
      </w:r>
      <w:r>
        <w:tab/>
        <w:t>an adjustment of the SDLs for</w:t>
      </w:r>
      <w:r w:rsidR="00131D14">
        <w:t xml:space="preserve"> one or more </w:t>
      </w:r>
      <w:r>
        <w:t>surface water SDL resource units; and</w:t>
      </w:r>
    </w:p>
    <w:p w:rsidR="00131D14" w:rsidRDefault="00206EC9" w:rsidP="00206EC9">
      <w:pPr>
        <w:pStyle w:val="tPara"/>
      </w:pPr>
      <w:r>
        <w:lastRenderedPageBreak/>
        <w:tab/>
      </w:r>
      <w:r w:rsidR="00E4496E">
        <w:t>(b)</w:t>
      </w:r>
      <w:r>
        <w:tab/>
        <w:t>as a result of such adjustments, an adjustment of the SDL for the Basin water resources as a whole</w:t>
      </w:r>
      <w:r w:rsidR="00131D14">
        <w:t>;</w:t>
      </w:r>
    </w:p>
    <w:p w:rsidR="00206EC9" w:rsidRDefault="00131D14" w:rsidP="00131D14">
      <w:pPr>
        <w:pStyle w:val="tMain"/>
        <w:spacing w:before="40"/>
      </w:pPr>
      <w:r>
        <w:tab/>
      </w:r>
      <w:r>
        <w:tab/>
      </w:r>
      <w:r w:rsidR="00206EC9">
        <w:t>by an amount determined by the Authority.</w:t>
      </w:r>
    </w:p>
    <w:p w:rsidR="00A908F1" w:rsidRDefault="00206EC9" w:rsidP="00206EC9">
      <w:pPr>
        <w:pStyle w:val="tMain"/>
      </w:pPr>
      <w:r>
        <w:tab/>
      </w:r>
      <w:r w:rsidR="00E4496E">
        <w:t>(6)</w:t>
      </w:r>
      <w:r>
        <w:tab/>
        <w:t xml:space="preserve">In accordance with paragraph 23A(2)(a) of the Water Act, </w:t>
      </w:r>
      <w:r w:rsidR="00A30FB9">
        <w:t xml:space="preserve">section 7.17 of </w:t>
      </w:r>
      <w:r>
        <w:t>the Basin Plan also includes criteria for determining</w:t>
      </w:r>
      <w:r w:rsidR="00A908F1">
        <w:t>:</w:t>
      </w:r>
    </w:p>
    <w:p w:rsidR="00A908F1" w:rsidRDefault="00A908F1" w:rsidP="00A908F1">
      <w:pPr>
        <w:pStyle w:val="tPara"/>
      </w:pPr>
      <w:r>
        <w:tab/>
      </w:r>
      <w:r w:rsidR="00E4496E">
        <w:t>(a)</w:t>
      </w:r>
      <w:r>
        <w:tab/>
      </w:r>
      <w:r w:rsidR="00206EC9">
        <w:t xml:space="preserve">whether the Authority should propose </w:t>
      </w:r>
      <w:r w:rsidR="00836D2A">
        <w:t xml:space="preserve">such </w:t>
      </w:r>
      <w:r w:rsidR="00206EC9">
        <w:t>an adjustment</w:t>
      </w:r>
      <w:r>
        <w:t>; and</w:t>
      </w:r>
    </w:p>
    <w:p w:rsidR="00206EC9" w:rsidRDefault="00A908F1" w:rsidP="00836D2A">
      <w:pPr>
        <w:pStyle w:val="tPara"/>
      </w:pPr>
      <w:r>
        <w:tab/>
      </w:r>
      <w:r w:rsidR="00E4496E">
        <w:t>(b)</w:t>
      </w:r>
      <w:r>
        <w:tab/>
      </w:r>
      <w:r w:rsidR="00206EC9">
        <w:t xml:space="preserve">the amount of </w:t>
      </w:r>
      <w:r w:rsidR="00836D2A">
        <w:t xml:space="preserve">such </w:t>
      </w:r>
      <w:r w:rsidR="00206EC9">
        <w:t>an adjustment.</w:t>
      </w:r>
    </w:p>
    <w:p w:rsidR="002972E1" w:rsidRDefault="002972E1" w:rsidP="002972E1">
      <w:pPr>
        <w:pStyle w:val="tMain"/>
      </w:pPr>
      <w:r>
        <w:tab/>
      </w:r>
      <w:r w:rsidR="00E4496E">
        <w:t>(7)</w:t>
      </w:r>
      <w:r>
        <w:tab/>
        <w:t>S</w:t>
      </w:r>
      <w:r w:rsidR="00925155">
        <w:t>ubs</w:t>
      </w:r>
      <w:r>
        <w:t xml:space="preserve">ection 7.20(4) of the Basin Plan requires the proposed adjustments to </w:t>
      </w:r>
      <w:r w:rsidR="00A33943">
        <w:t>be in the form of a formula as a function of time</w:t>
      </w:r>
      <w:r w:rsidR="00242CF6">
        <w:t xml:space="preserve"> that depends on the factors specified in that subsection</w:t>
      </w:r>
      <w:r w:rsidR="006E59F9">
        <w:t>.</w:t>
      </w:r>
    </w:p>
    <w:p w:rsidR="003B2A4D" w:rsidRDefault="00E4496E" w:rsidP="003B2A4D">
      <w:pPr>
        <w:pStyle w:val="h5Section"/>
      </w:pPr>
      <w:bookmarkStart w:id="14" w:name="_Toc499810582"/>
      <w:r>
        <w:t>5</w:t>
      </w:r>
      <w:r w:rsidR="003B2A4D">
        <w:t xml:space="preserve">  Information required by section 23B of the Water Act</w:t>
      </w:r>
      <w:bookmarkEnd w:id="14"/>
    </w:p>
    <w:p w:rsidR="00606AD8" w:rsidRDefault="00C90DFB" w:rsidP="00C90DFB">
      <w:pPr>
        <w:pStyle w:val="tMain"/>
      </w:pPr>
      <w:r>
        <w:tab/>
      </w:r>
      <w:r w:rsidR="00E4496E">
        <w:t>(1)</w:t>
      </w:r>
      <w:r>
        <w:tab/>
      </w:r>
      <w:r w:rsidR="004045D8">
        <w:t>The Authority has proposed one or more adjustments of the SDLs for each</w:t>
      </w:r>
      <w:r w:rsidR="00242CF6">
        <w:t xml:space="preserve"> surface water</w:t>
      </w:r>
      <w:r w:rsidR="004045D8">
        <w:t xml:space="preserve"> </w:t>
      </w:r>
      <w:r>
        <w:t xml:space="preserve">SDL </w:t>
      </w:r>
      <w:r w:rsidR="004045D8">
        <w:t>resource unit</w:t>
      </w:r>
      <w:r>
        <w:t>.</w:t>
      </w:r>
    </w:p>
    <w:p w:rsidR="00C90DFB" w:rsidRDefault="003B2A4D" w:rsidP="003B2A4D">
      <w:pPr>
        <w:pStyle w:val="tMain"/>
      </w:pPr>
      <w:r>
        <w:tab/>
      </w:r>
      <w:r w:rsidR="00E4496E">
        <w:t>(2)</w:t>
      </w:r>
      <w:r>
        <w:tab/>
        <w:t xml:space="preserve">For </w:t>
      </w:r>
      <w:r w:rsidR="00C90DFB">
        <w:t>subsection</w:t>
      </w:r>
      <w:r>
        <w:t> 23B(2) of the Water Act</w:t>
      </w:r>
      <w:r w:rsidR="00EC5838">
        <w:t xml:space="preserve">, for each </w:t>
      </w:r>
      <w:r w:rsidR="00242CF6">
        <w:t xml:space="preserve">surface water </w:t>
      </w:r>
      <w:r w:rsidR="00EC5838">
        <w:t>SDL resource unit</w:t>
      </w:r>
      <w:r w:rsidR="00C90DFB">
        <w:t>:</w:t>
      </w:r>
    </w:p>
    <w:p w:rsidR="003B2A4D" w:rsidRDefault="00C90DFB" w:rsidP="00C90DFB">
      <w:pPr>
        <w:pStyle w:val="tPara"/>
      </w:pPr>
      <w:r>
        <w:lastRenderedPageBreak/>
        <w:tab/>
      </w:r>
      <w:r w:rsidR="00E4496E">
        <w:t>(a)</w:t>
      </w:r>
      <w:r>
        <w:tab/>
        <w:t xml:space="preserve">the </w:t>
      </w:r>
      <w:r w:rsidR="00D62EFC">
        <w:t>SDL</w:t>
      </w:r>
      <w:r>
        <w:t xml:space="preserve"> that applied at the reference time is the amount </w:t>
      </w:r>
      <w:r w:rsidR="00EC5838">
        <w:t xml:space="preserve">given by column 2 of </w:t>
      </w:r>
      <w:r>
        <w:t xml:space="preserve">the table to </w:t>
      </w:r>
      <w:r w:rsidR="002E2C36">
        <w:t>Schedule 1</w:t>
      </w:r>
      <w:r w:rsidR="00754EFD" w:rsidRPr="00754EFD">
        <w:t xml:space="preserve"> </w:t>
      </w:r>
      <w:r w:rsidR="00754EFD">
        <w:t>to this notice</w:t>
      </w:r>
      <w:r>
        <w:t>; and</w:t>
      </w:r>
    </w:p>
    <w:p w:rsidR="00CA7288" w:rsidRDefault="00C90DFB" w:rsidP="00C90DFB">
      <w:pPr>
        <w:pStyle w:val="tPara"/>
      </w:pPr>
      <w:r>
        <w:tab/>
      </w:r>
      <w:r w:rsidR="00E4496E">
        <w:t>(b)</w:t>
      </w:r>
      <w:r>
        <w:tab/>
        <w:t xml:space="preserve">the proposed plan area limit is the </w:t>
      </w:r>
      <w:r w:rsidR="00CA7288">
        <w:t>sum of:</w:t>
      </w:r>
    </w:p>
    <w:p w:rsidR="00CA7288" w:rsidRDefault="00CA7288" w:rsidP="00CA7288">
      <w:pPr>
        <w:pStyle w:val="tSubpara"/>
      </w:pPr>
      <w:r>
        <w:tab/>
      </w:r>
      <w:r w:rsidR="00E4496E">
        <w:t>(i)</w:t>
      </w:r>
      <w:r>
        <w:tab/>
        <w:t>the SDL that applied at the reference time; and</w:t>
      </w:r>
    </w:p>
    <w:p w:rsidR="00C90DFB" w:rsidRDefault="00CA7288" w:rsidP="00CA7288">
      <w:pPr>
        <w:pStyle w:val="tSubpara"/>
      </w:pPr>
      <w:r>
        <w:tab/>
      </w:r>
      <w:r w:rsidR="00E4496E">
        <w:t>(ii)</w:t>
      </w:r>
      <w:r>
        <w:tab/>
        <w:t xml:space="preserve">the </w:t>
      </w:r>
      <w:r w:rsidR="003A6791">
        <w:t xml:space="preserve">SDL adjustment </w:t>
      </w:r>
      <w:r w:rsidR="00C90DFB">
        <w:t xml:space="preserve">amount given by </w:t>
      </w:r>
      <w:r w:rsidR="009E7024">
        <w:t xml:space="preserve">section </w:t>
      </w:r>
      <w:r w:rsidR="002E2C36">
        <w:t>5</w:t>
      </w:r>
      <w:r w:rsidR="009E7024">
        <w:t xml:space="preserve"> </w:t>
      </w:r>
      <w:r w:rsidR="00A734D9">
        <w:t>or section </w:t>
      </w:r>
      <w:r w:rsidR="002E2C36">
        <w:t>6</w:t>
      </w:r>
      <w:r w:rsidR="00A734D9">
        <w:t xml:space="preserve"> </w:t>
      </w:r>
      <w:r w:rsidR="009E7024">
        <w:t xml:space="preserve">of </w:t>
      </w:r>
      <w:r w:rsidR="002E2C36">
        <w:t>Schedule 2</w:t>
      </w:r>
      <w:r w:rsidR="00754EFD">
        <w:t xml:space="preserve"> to this notice</w:t>
      </w:r>
      <w:r w:rsidR="009E7024">
        <w:t>, as appropriate</w:t>
      </w:r>
      <w:r w:rsidR="00C466D0">
        <w:t>, for the unit</w:t>
      </w:r>
      <w:r w:rsidR="00C90DFB">
        <w:t>; and</w:t>
      </w:r>
    </w:p>
    <w:p w:rsidR="00C90DFB" w:rsidRDefault="00C90DFB" w:rsidP="00C90DFB">
      <w:pPr>
        <w:pStyle w:val="tPara"/>
      </w:pPr>
      <w:r>
        <w:tab/>
      </w:r>
      <w:r w:rsidR="00E4496E">
        <w:t>(c)</w:t>
      </w:r>
      <w:r>
        <w:tab/>
        <w:t xml:space="preserve">the amount of the difference between the limits referred to in paragraphs </w:t>
      </w:r>
      <w:r w:rsidR="002E2C36">
        <w:t>(a)</w:t>
      </w:r>
      <w:r>
        <w:t xml:space="preserve"> and </w:t>
      </w:r>
      <w:r w:rsidR="002E2C36">
        <w:t>(b)</w:t>
      </w:r>
      <w:r>
        <w:t>, expressed as a percentage of the amount of the limit referred to in paragraph </w:t>
      </w:r>
      <w:r w:rsidR="002E2C36">
        <w:t>(a)</w:t>
      </w:r>
      <w:r>
        <w:t xml:space="preserve">, is the </w:t>
      </w:r>
      <w:r w:rsidR="005B777F" w:rsidRPr="00D05A79">
        <w:t>percentage difference</w:t>
      </w:r>
      <w:r>
        <w:t xml:space="preserve"> </w:t>
      </w:r>
      <w:r w:rsidR="00C427AB">
        <w:t xml:space="preserve">calculated in accordance with </w:t>
      </w:r>
      <w:r w:rsidR="00EC5838">
        <w:t>section </w:t>
      </w:r>
      <w:r w:rsidR="002E2C36">
        <w:t>1</w:t>
      </w:r>
      <w:r w:rsidR="00240E82">
        <w:t xml:space="preserve"> of </w:t>
      </w:r>
      <w:r w:rsidR="002E2C36">
        <w:t>Schedule 3</w:t>
      </w:r>
      <w:r w:rsidR="00EC5838">
        <w:t xml:space="preserve"> </w:t>
      </w:r>
      <w:r w:rsidR="00754EFD">
        <w:t>to this notice</w:t>
      </w:r>
      <w:r>
        <w:t>; and</w:t>
      </w:r>
    </w:p>
    <w:p w:rsidR="00C90DFB" w:rsidRDefault="00C90DFB" w:rsidP="00C90DFB">
      <w:pPr>
        <w:pStyle w:val="tPara"/>
      </w:pPr>
      <w:r>
        <w:tab/>
      </w:r>
      <w:r w:rsidR="00E4496E">
        <w:t>(d)</w:t>
      </w:r>
      <w:r>
        <w:tab/>
        <w:t>an outline of the material on which the Authority based its decision in determining that the criteria referred to in paragraph 23A(2)(a) of the Water Act</w:t>
      </w:r>
      <w:r w:rsidR="0005128C">
        <w:t xml:space="preserve"> (see subsection </w:t>
      </w:r>
      <w:r w:rsidR="002E2C36">
        <w:t>4(6)</w:t>
      </w:r>
      <w:r w:rsidR="00B413EF">
        <w:t xml:space="preserve"> </w:t>
      </w:r>
      <w:r w:rsidR="00B413EF" w:rsidRPr="00D24FA0">
        <w:t>of this notice</w:t>
      </w:r>
      <w:r w:rsidR="0005128C">
        <w:t>)</w:t>
      </w:r>
      <w:r>
        <w:t xml:space="preserve"> had been met in relation to the adjustment and the amount of the adjustment is set out in </w:t>
      </w:r>
      <w:r w:rsidR="002E2C36">
        <w:t>Schedule 4</w:t>
      </w:r>
      <w:r w:rsidR="00754EFD" w:rsidRPr="00754EFD">
        <w:t xml:space="preserve"> </w:t>
      </w:r>
      <w:r w:rsidR="00754EFD">
        <w:t>to this notice</w:t>
      </w:r>
      <w:r>
        <w:t>.</w:t>
      </w:r>
    </w:p>
    <w:p w:rsidR="005C103C" w:rsidRDefault="005C103C" w:rsidP="002D7248">
      <w:pPr>
        <w:pStyle w:val="nMain"/>
      </w:pPr>
      <w:r>
        <w:t>Note</w:t>
      </w:r>
      <w:r w:rsidR="00D95355">
        <w:t xml:space="preserve"> 1</w:t>
      </w:r>
      <w:r>
        <w:t>:</w:t>
      </w:r>
      <w:r>
        <w:tab/>
      </w:r>
      <w:r w:rsidR="00A70709">
        <w:t>C</w:t>
      </w:r>
      <w:r w:rsidRPr="005C103C">
        <w:t xml:space="preserve">onsistently with paragraph 23(2)(b) of the Water Act and subsection 7.20(4) of the Basin Plan, </w:t>
      </w:r>
      <w:r w:rsidR="00A70709">
        <w:t xml:space="preserve">the </w:t>
      </w:r>
      <w:r w:rsidR="00235030">
        <w:t xml:space="preserve">amounts </w:t>
      </w:r>
      <w:r w:rsidR="00A70709">
        <w:t>referred to in paragraph</w:t>
      </w:r>
      <w:r w:rsidR="00235030">
        <w:t xml:space="preserve">s </w:t>
      </w:r>
      <w:r w:rsidR="002E2C36">
        <w:t>(b)</w:t>
      </w:r>
      <w:r w:rsidR="00A70709">
        <w:t xml:space="preserve"> and </w:t>
      </w:r>
      <w:r w:rsidR="002E2C36">
        <w:t>(c)</w:t>
      </w:r>
      <w:r w:rsidRPr="005C103C">
        <w:t xml:space="preserve"> are expressed as formula</w:t>
      </w:r>
      <w:r w:rsidR="009C09B1">
        <w:t>e</w:t>
      </w:r>
      <w:r w:rsidRPr="005C103C">
        <w:t>.</w:t>
      </w:r>
    </w:p>
    <w:p w:rsidR="002D7248" w:rsidRDefault="00AC7A05" w:rsidP="002D7248">
      <w:pPr>
        <w:pStyle w:val="nMain"/>
      </w:pPr>
      <w:r w:rsidRPr="00D05A79">
        <w:lastRenderedPageBreak/>
        <w:t xml:space="preserve">Note </w:t>
      </w:r>
      <w:r w:rsidR="00D95355" w:rsidRPr="0090647C">
        <w:t>2</w:t>
      </w:r>
      <w:r w:rsidRPr="00D05A79">
        <w:t>:</w:t>
      </w:r>
      <w:r w:rsidRPr="00D05A79">
        <w:tab/>
      </w:r>
      <w:r w:rsidR="001E101C">
        <w:t>The Minister has not</w:t>
      </w:r>
      <w:r w:rsidR="00CB7281" w:rsidRPr="00D05A79">
        <w:t>, under subsection 23B(6) of the Water Act,</w:t>
      </w:r>
      <w:r w:rsidR="001E101C">
        <w:t xml:space="preserve"> previously adopted any adjustments of the SDLs for any SDL resource unit since the reference time, and so paragraph 23B(2)(d) of the Water Act is not relevant.</w:t>
      </w:r>
    </w:p>
    <w:p w:rsidR="002D7248" w:rsidRDefault="002D7248" w:rsidP="002D7248">
      <w:pPr>
        <w:pStyle w:val="tMain"/>
      </w:pPr>
      <w:r>
        <w:tab/>
      </w:r>
      <w:r w:rsidR="00E4496E">
        <w:t>(3)</w:t>
      </w:r>
      <w:r>
        <w:tab/>
        <w:t xml:space="preserve">For subsection </w:t>
      </w:r>
      <w:r w:rsidR="00873A82">
        <w:t>23B(3) of the Water Act:</w:t>
      </w:r>
    </w:p>
    <w:p w:rsidR="00926CA5" w:rsidRDefault="00873A82" w:rsidP="00873A82">
      <w:pPr>
        <w:pStyle w:val="tPara"/>
      </w:pPr>
      <w:r>
        <w:tab/>
      </w:r>
      <w:r w:rsidR="00E4496E">
        <w:t>(a)</w:t>
      </w:r>
      <w:r>
        <w:tab/>
        <w:t>the proposed Basin limit that is proposed as a result of the proposed adjustments referred to in subsection </w:t>
      </w:r>
      <w:r w:rsidR="002E2C36">
        <w:t>(1)</w:t>
      </w:r>
      <w:r>
        <w:t xml:space="preserve"> is </w:t>
      </w:r>
      <w:r w:rsidR="001F09F6">
        <w:t>equal to the sum of</w:t>
      </w:r>
      <w:r w:rsidR="00926CA5">
        <w:t>:</w:t>
      </w:r>
    </w:p>
    <w:p w:rsidR="00873A82" w:rsidRDefault="00926CA5" w:rsidP="00926CA5">
      <w:pPr>
        <w:pStyle w:val="tSubpara"/>
      </w:pPr>
      <w:r>
        <w:tab/>
      </w:r>
      <w:r w:rsidR="00E4496E">
        <w:t>(i)</w:t>
      </w:r>
      <w:r>
        <w:tab/>
      </w:r>
      <w:r w:rsidR="001F09F6">
        <w:t>the</w:t>
      </w:r>
      <w:r w:rsidR="00BD64D1">
        <w:t xml:space="preserve"> proposed plan area limits as referred to in paragraph </w:t>
      </w:r>
      <w:r w:rsidR="002E2C36">
        <w:t>(2)(b)</w:t>
      </w:r>
      <w:r w:rsidR="00BD64D1" w:rsidRPr="00BD64D1">
        <w:t xml:space="preserve"> for all </w:t>
      </w:r>
      <w:r>
        <w:t xml:space="preserve">surface </w:t>
      </w:r>
      <w:r w:rsidR="00716372" w:rsidRPr="00D05A79">
        <w:t xml:space="preserve">water </w:t>
      </w:r>
      <w:r w:rsidR="00BD64D1" w:rsidRPr="00BD64D1">
        <w:t>SDL resource units</w:t>
      </w:r>
      <w:r w:rsidR="00873A82">
        <w:t>; and</w:t>
      </w:r>
    </w:p>
    <w:p w:rsidR="00807007" w:rsidRDefault="00926CA5" w:rsidP="00807007">
      <w:pPr>
        <w:pStyle w:val="tSubpara"/>
      </w:pPr>
      <w:r>
        <w:tab/>
      </w:r>
      <w:r w:rsidR="00E4496E">
        <w:t>(ii)</w:t>
      </w:r>
      <w:r>
        <w:tab/>
        <w:t>the SDLs for each groundwater SDL resource unit</w:t>
      </w:r>
      <w:r w:rsidR="00807007">
        <w:t xml:space="preserve"> as at the date the Basin Plan first took effect; and</w:t>
      </w:r>
    </w:p>
    <w:p w:rsidR="00807007" w:rsidRDefault="00807007" w:rsidP="00807007">
      <w:pPr>
        <w:pStyle w:val="nSubpara"/>
      </w:pPr>
      <w:r>
        <w:tab/>
        <w:t>Note:</w:t>
      </w:r>
      <w:r>
        <w:tab/>
        <w:t>The Basin Plan first took effect on 24 November 2012.</w:t>
      </w:r>
    </w:p>
    <w:p w:rsidR="00873A82" w:rsidRDefault="00873A82" w:rsidP="00873A82">
      <w:pPr>
        <w:pStyle w:val="tPara"/>
      </w:pPr>
      <w:r>
        <w:tab/>
      </w:r>
      <w:r w:rsidR="00E4496E">
        <w:t>(b)</w:t>
      </w:r>
      <w:r>
        <w:tab/>
        <w:t xml:space="preserve">the total Basin adjustment percentage is </w:t>
      </w:r>
      <w:r w:rsidR="00F13C69">
        <w:t>the amount calculated in accordance with section </w:t>
      </w:r>
      <w:r w:rsidR="002E2C36">
        <w:t>2</w:t>
      </w:r>
      <w:r w:rsidR="00F13C69">
        <w:t xml:space="preserve"> of </w:t>
      </w:r>
      <w:r w:rsidR="002E2C36">
        <w:t>Schedule 3</w:t>
      </w:r>
      <w:r w:rsidR="00754EFD" w:rsidRPr="00754EFD">
        <w:t xml:space="preserve"> </w:t>
      </w:r>
      <w:r w:rsidR="00754EFD">
        <w:t>to this notice</w:t>
      </w:r>
      <w:r>
        <w:t>; and</w:t>
      </w:r>
    </w:p>
    <w:p w:rsidR="00873A82" w:rsidRDefault="00873A82" w:rsidP="00873A82">
      <w:pPr>
        <w:pStyle w:val="tPara"/>
      </w:pPr>
      <w:r>
        <w:tab/>
      </w:r>
      <w:r w:rsidR="00E4496E">
        <w:t>(c)</w:t>
      </w:r>
      <w:r>
        <w:tab/>
        <w:t xml:space="preserve">an outline of the material on which the Authority based its decision in determining that the criteria referred to in paragraph 23A(2)(a) of the Water Act </w:t>
      </w:r>
      <w:r w:rsidR="00AD2BC1">
        <w:t>(see subsection </w:t>
      </w:r>
      <w:r w:rsidR="002E2C36">
        <w:t>4(6)</w:t>
      </w:r>
      <w:r w:rsidR="00B413EF" w:rsidRPr="00393B7C">
        <w:t xml:space="preserve"> </w:t>
      </w:r>
      <w:r w:rsidR="00B413EF" w:rsidRPr="00D24FA0">
        <w:t>of this notice</w:t>
      </w:r>
      <w:r w:rsidR="00AD2BC1">
        <w:t xml:space="preserve">) </w:t>
      </w:r>
      <w:r>
        <w:t xml:space="preserve">had been met in relation to the adjustment, and the amount of the adjustment, of the SDL for the Basin water resources is set out in </w:t>
      </w:r>
      <w:r w:rsidR="002E2C36">
        <w:t>Schedule 4</w:t>
      </w:r>
      <w:r w:rsidR="00754EFD" w:rsidRPr="00754EFD">
        <w:t xml:space="preserve"> </w:t>
      </w:r>
      <w:r w:rsidR="00754EFD">
        <w:t>to this notice</w:t>
      </w:r>
      <w:r>
        <w:t>.</w:t>
      </w:r>
    </w:p>
    <w:p w:rsidR="001B037C" w:rsidRDefault="001B037C" w:rsidP="001B037C">
      <w:pPr>
        <w:pStyle w:val="nMain"/>
      </w:pPr>
      <w:r>
        <w:lastRenderedPageBreak/>
        <w:t>Note:</w:t>
      </w:r>
      <w:r>
        <w:tab/>
        <w:t>C</w:t>
      </w:r>
      <w:r w:rsidRPr="005C103C">
        <w:t xml:space="preserve">onsistently with paragraph 23(2)(b) of the Water Act and subsection 7.20(4) of the Basin Plan, </w:t>
      </w:r>
      <w:r>
        <w:t xml:space="preserve">the amounts referred to in paragraphs </w:t>
      </w:r>
      <w:r w:rsidR="002E2C36">
        <w:t>(a)</w:t>
      </w:r>
      <w:r w:rsidR="00E55626">
        <w:t xml:space="preserve"> and </w:t>
      </w:r>
      <w:r w:rsidR="002E2C36">
        <w:t>(b)</w:t>
      </w:r>
      <w:r w:rsidRPr="005C103C">
        <w:t xml:space="preserve"> are expressed as formula</w:t>
      </w:r>
      <w:r w:rsidR="0048622E">
        <w:t>e</w:t>
      </w:r>
      <w:r w:rsidRPr="005C103C">
        <w:t>.</w:t>
      </w:r>
    </w:p>
    <w:p w:rsidR="00305BA0" w:rsidRPr="00D05A79" w:rsidRDefault="00E4496E" w:rsidP="00305BA0">
      <w:pPr>
        <w:pStyle w:val="h5Section"/>
      </w:pPr>
      <w:bookmarkStart w:id="15" w:name="_Toc499810583"/>
      <w:r>
        <w:t>6</w:t>
      </w:r>
      <w:r w:rsidR="00305BA0" w:rsidRPr="00D05A79">
        <w:t xml:space="preserve">  </w:t>
      </w:r>
      <w:r w:rsidR="00B51D2A" w:rsidRPr="00D05A79">
        <w:t>Illustrati</w:t>
      </w:r>
      <w:r w:rsidR="009C589D" w:rsidRPr="00D05A79">
        <w:t xml:space="preserve">ve example of </w:t>
      </w:r>
      <w:r w:rsidR="00850C89" w:rsidRPr="00D05A79">
        <w:t>proposed SDL adjustments</w:t>
      </w:r>
      <w:bookmarkEnd w:id="15"/>
    </w:p>
    <w:p w:rsidR="00305BA0" w:rsidRPr="00D05A79" w:rsidRDefault="00305BA0" w:rsidP="00305BA0">
      <w:pPr>
        <w:pStyle w:val="tMain"/>
      </w:pPr>
      <w:r w:rsidRPr="00D05A79">
        <w:tab/>
      </w:r>
      <w:r w:rsidRPr="00D05A79">
        <w:tab/>
      </w:r>
      <w:r w:rsidR="005B5AC3" w:rsidRPr="00D05A79">
        <w:t xml:space="preserve">To illustrate the effect of the proposed </w:t>
      </w:r>
      <w:r w:rsidR="00BE3BBD" w:rsidRPr="00D05A79">
        <w:t xml:space="preserve">SDL </w:t>
      </w:r>
      <w:r w:rsidR="005B5AC3" w:rsidRPr="00D05A79">
        <w:t xml:space="preserve">adjustments, </w:t>
      </w:r>
      <w:r w:rsidR="002E2C36">
        <w:t>Schedule 5</w:t>
      </w:r>
      <w:r w:rsidRPr="00D05A79">
        <w:t xml:space="preserve"> </w:t>
      </w:r>
      <w:r w:rsidR="00754EFD" w:rsidRPr="00D05A79">
        <w:t xml:space="preserve">to this notice </w:t>
      </w:r>
      <w:r w:rsidRPr="00D05A79">
        <w:t xml:space="preserve">sets out </w:t>
      </w:r>
      <w:r w:rsidR="009C589D" w:rsidRPr="00D05A79">
        <w:t>an illustrative example of how the proposed SDL adjustments might</w:t>
      </w:r>
      <w:r w:rsidR="00C075CF" w:rsidRPr="00D05A79">
        <w:t xml:space="preserve"> be expected to</w:t>
      </w:r>
      <w:r w:rsidR="009C589D" w:rsidRPr="00D05A79">
        <w:t xml:space="preserve"> operate in the </w:t>
      </w:r>
      <w:r w:rsidR="009E2023" w:rsidRPr="00D05A79">
        <w:t>hypothetical</w:t>
      </w:r>
      <w:r w:rsidR="00850C89" w:rsidRPr="00D05A79">
        <w:t xml:space="preserve"> </w:t>
      </w:r>
      <w:r w:rsidR="009C589D" w:rsidRPr="00D05A79">
        <w:t>scenario outlined in that Schedule.</w:t>
      </w:r>
    </w:p>
    <w:p w:rsidR="001577D4" w:rsidRDefault="001577D4" w:rsidP="00305BA0">
      <w:pPr>
        <w:pStyle w:val="tMain"/>
      </w:pPr>
    </w:p>
    <w:p w:rsidR="001577D4" w:rsidRDefault="001577D4" w:rsidP="00305BA0">
      <w:pPr>
        <w:pStyle w:val="tMain"/>
        <w:sectPr w:rsidR="001577D4" w:rsidSect="00AA2D97">
          <w:headerReference w:type="default" r:id="rId15"/>
          <w:pgSz w:w="11906" w:h="16838"/>
          <w:pgMar w:top="1440" w:right="1440" w:bottom="1440" w:left="1440" w:header="709" w:footer="709" w:gutter="0"/>
          <w:cols w:space="708"/>
          <w:titlePg/>
          <w:docGrid w:linePitch="360"/>
        </w:sectPr>
      </w:pPr>
    </w:p>
    <w:p w:rsidR="003B2A4D" w:rsidRDefault="00E4496E" w:rsidP="003B2A4D">
      <w:pPr>
        <w:pStyle w:val="h1Chap"/>
      </w:pPr>
      <w:bookmarkStart w:id="16" w:name="_Toc495929172"/>
      <w:bookmarkStart w:id="17" w:name="_Toc499810584"/>
      <w:bookmarkEnd w:id="4"/>
      <w:bookmarkEnd w:id="5"/>
      <w:bookmarkEnd w:id="6"/>
      <w:r>
        <w:lastRenderedPageBreak/>
        <w:t>Schedule 1</w:t>
      </w:r>
      <w:r w:rsidR="003B2A4D" w:rsidRPr="00C92564">
        <w:t>—</w:t>
      </w:r>
      <w:bookmarkEnd w:id="16"/>
      <w:r w:rsidR="00F63DFF">
        <w:t xml:space="preserve">SDLs at reference time and apportioned supply contributions for </w:t>
      </w:r>
      <w:r w:rsidR="00242CF6">
        <w:t xml:space="preserve">surface water </w:t>
      </w:r>
      <w:r w:rsidR="00F63DFF">
        <w:t>SDL resource unit</w:t>
      </w:r>
      <w:r w:rsidR="00242CF6">
        <w:t>s</w:t>
      </w:r>
      <w:bookmarkEnd w:id="17"/>
    </w:p>
    <w:p w:rsidR="005B5AC3" w:rsidRDefault="005B5AC3" w:rsidP="005B5AC3">
      <w:pPr>
        <w:pStyle w:val="ntoHeading"/>
      </w:pPr>
      <w:r>
        <w:t>Note</w:t>
      </w:r>
      <w:r w:rsidR="009A53E5">
        <w:t xml:space="preserve"> </w:t>
      </w:r>
      <w:r w:rsidR="009A53E5" w:rsidRPr="00D05A79">
        <w:t>1</w:t>
      </w:r>
      <w:r>
        <w:t>:</w:t>
      </w:r>
      <w:r>
        <w:tab/>
        <w:t>See paragraph </w:t>
      </w:r>
      <w:r w:rsidR="002E2C36">
        <w:t>5(2)(a)</w:t>
      </w:r>
      <w:r>
        <w:t xml:space="preserve"> of this notice, paragraph (a) of the definition of “apportioned supply contribution” in </w:t>
      </w:r>
      <w:r w:rsidR="008C369C">
        <w:t>section </w:t>
      </w:r>
      <w:r w:rsidR="002E2C36">
        <w:t>3</w:t>
      </w:r>
      <w:r w:rsidR="008C369C">
        <w:t xml:space="preserve"> of </w:t>
      </w:r>
      <w:r w:rsidR="002E2C36">
        <w:t>Schedule 2</w:t>
      </w:r>
      <w:r w:rsidR="008C369C">
        <w:t xml:space="preserve"> to this notice, and the definition of “SDL at reference time” in section </w:t>
      </w:r>
      <w:r w:rsidR="002E2C36">
        <w:t>1</w:t>
      </w:r>
      <w:r w:rsidR="008C369C">
        <w:t xml:space="preserve"> of </w:t>
      </w:r>
      <w:r w:rsidR="002E2C36">
        <w:t>Schedule 3</w:t>
      </w:r>
      <w:r w:rsidR="008C369C">
        <w:t xml:space="preserve"> to this notice.</w:t>
      </w:r>
    </w:p>
    <w:p w:rsidR="009F6FCE" w:rsidRDefault="009F6FCE" w:rsidP="00B47E71">
      <w:pPr>
        <w:pStyle w:val="ntoHeading"/>
        <w:spacing w:after="120"/>
      </w:pPr>
      <w:r w:rsidRPr="00D05A79">
        <w:t>Note 2:</w:t>
      </w:r>
      <w:r w:rsidRPr="00D05A79">
        <w:tab/>
      </w:r>
      <w:r w:rsidR="00681160" w:rsidRPr="00D05A79">
        <w:t xml:space="preserve">The SDL at reference time amounts are calculated in accordance with </w:t>
      </w:r>
      <w:r w:rsidR="00814372" w:rsidRPr="00D05A79">
        <w:t xml:space="preserve">the default distribution of shared reduction amounts as set out in </w:t>
      </w:r>
      <w:r w:rsidR="00681160" w:rsidRPr="00D05A79">
        <w:t>subsection 6.05(4) of the Basin P</w:t>
      </w:r>
      <w:r w:rsidR="00814372" w:rsidRPr="00D05A79">
        <w:t>lan.</w:t>
      </w:r>
    </w:p>
    <w:p w:rsidR="002E2C36" w:rsidRPr="00A65B93" w:rsidRDefault="002E2C36" w:rsidP="00B47E71">
      <w:pPr>
        <w:pStyle w:val="ntoHeading"/>
        <w:spacing w:after="120"/>
      </w:pPr>
      <w:r w:rsidRPr="00A65B93">
        <w:t>Note 3:</w:t>
      </w:r>
      <w:r w:rsidRPr="00A65B93">
        <w:tab/>
        <w:t xml:space="preserve">Apportioned supply contributions were </w:t>
      </w:r>
      <w:r w:rsidR="00C12F21">
        <w:t xml:space="preserve">determined </w:t>
      </w:r>
      <w:r w:rsidRPr="00A65B93">
        <w:t xml:space="preserve">applying re-allocation adjustment requests that were made by South Australia in relation to the </w:t>
      </w:r>
      <w:r w:rsidRPr="00A65B93">
        <w:rPr>
          <w:rFonts w:eastAsia="Calibri"/>
        </w:rPr>
        <w:t>South Australian Murray (SS11) and Eastern Mount Lofty Ranges (SS13) SDL resource units.</w:t>
      </w:r>
    </w:p>
    <w:tbl>
      <w:tblPr>
        <w:tblStyle w:val="TableGrid"/>
        <w:tblW w:w="7655" w:type="dxa"/>
        <w:tblLayout w:type="fixed"/>
        <w:tblLook w:val="04A0" w:firstRow="1" w:lastRow="0" w:firstColumn="1" w:lastColumn="0" w:noHBand="0" w:noVBand="1"/>
      </w:tblPr>
      <w:tblGrid>
        <w:gridCol w:w="481"/>
        <w:gridCol w:w="4339"/>
        <w:gridCol w:w="1417"/>
        <w:gridCol w:w="1418"/>
      </w:tblGrid>
      <w:tr w:rsidR="005102DB" w:rsidTr="009B2148">
        <w:trPr>
          <w:tblHeader/>
        </w:trPr>
        <w:tc>
          <w:tcPr>
            <w:tcW w:w="481" w:type="dxa"/>
            <w:tcBorders>
              <w:top w:val="single" w:sz="18" w:space="0" w:color="auto"/>
              <w:left w:val="nil"/>
              <w:bottom w:val="single" w:sz="2" w:space="0" w:color="auto"/>
              <w:right w:val="nil"/>
            </w:tcBorders>
          </w:tcPr>
          <w:p w:rsidR="005102DB" w:rsidRPr="00685F84" w:rsidRDefault="005102DB" w:rsidP="00686FE3">
            <w:pPr>
              <w:pStyle w:val="TableHeading"/>
            </w:pPr>
          </w:p>
        </w:tc>
        <w:tc>
          <w:tcPr>
            <w:tcW w:w="4339" w:type="dxa"/>
            <w:tcBorders>
              <w:top w:val="single" w:sz="18" w:space="0" w:color="auto"/>
              <w:left w:val="nil"/>
              <w:bottom w:val="single" w:sz="2" w:space="0" w:color="auto"/>
              <w:right w:val="nil"/>
            </w:tcBorders>
          </w:tcPr>
          <w:p w:rsidR="005102DB" w:rsidRPr="00685F84" w:rsidRDefault="005102DB" w:rsidP="00BA73E5">
            <w:pPr>
              <w:pStyle w:val="TableHeading"/>
            </w:pPr>
            <w:r w:rsidRPr="00685F84">
              <w:t>Column 1</w:t>
            </w:r>
          </w:p>
        </w:tc>
        <w:tc>
          <w:tcPr>
            <w:tcW w:w="1417" w:type="dxa"/>
            <w:tcBorders>
              <w:top w:val="single" w:sz="18" w:space="0" w:color="auto"/>
              <w:left w:val="nil"/>
              <w:bottom w:val="single" w:sz="2" w:space="0" w:color="auto"/>
              <w:right w:val="nil"/>
            </w:tcBorders>
          </w:tcPr>
          <w:p w:rsidR="005102DB" w:rsidRPr="00685F84" w:rsidRDefault="005102DB" w:rsidP="00BA73E5">
            <w:pPr>
              <w:pStyle w:val="TableHeading"/>
            </w:pPr>
            <w:r w:rsidRPr="00685F84">
              <w:t xml:space="preserve">Column </w:t>
            </w:r>
            <w:r w:rsidR="002A6FB7" w:rsidRPr="00685F84">
              <w:t>2</w:t>
            </w:r>
          </w:p>
        </w:tc>
        <w:tc>
          <w:tcPr>
            <w:tcW w:w="1418" w:type="dxa"/>
            <w:tcBorders>
              <w:top w:val="single" w:sz="18" w:space="0" w:color="auto"/>
              <w:left w:val="nil"/>
              <w:bottom w:val="single" w:sz="2" w:space="0" w:color="auto"/>
              <w:right w:val="nil"/>
            </w:tcBorders>
          </w:tcPr>
          <w:p w:rsidR="005102DB" w:rsidRPr="00685F84" w:rsidRDefault="005102DB" w:rsidP="00BA73E5">
            <w:pPr>
              <w:pStyle w:val="TableHeading"/>
            </w:pPr>
            <w:r w:rsidRPr="00685F84">
              <w:t xml:space="preserve">Column </w:t>
            </w:r>
            <w:r w:rsidR="002A6FB7" w:rsidRPr="00685F84">
              <w:t>3</w:t>
            </w:r>
          </w:p>
        </w:tc>
      </w:tr>
      <w:tr w:rsidR="005102DB" w:rsidTr="009B2148">
        <w:trPr>
          <w:tblHeader/>
        </w:trPr>
        <w:tc>
          <w:tcPr>
            <w:tcW w:w="481" w:type="dxa"/>
            <w:tcBorders>
              <w:top w:val="single" w:sz="2" w:space="0" w:color="auto"/>
              <w:left w:val="nil"/>
              <w:bottom w:val="single" w:sz="18" w:space="0" w:color="auto"/>
              <w:right w:val="nil"/>
            </w:tcBorders>
          </w:tcPr>
          <w:p w:rsidR="005102DB" w:rsidRPr="00685F84" w:rsidRDefault="005102DB" w:rsidP="00EC5838">
            <w:pPr>
              <w:pStyle w:val="TableHeading"/>
            </w:pPr>
          </w:p>
        </w:tc>
        <w:tc>
          <w:tcPr>
            <w:tcW w:w="4339" w:type="dxa"/>
            <w:tcBorders>
              <w:top w:val="single" w:sz="2" w:space="0" w:color="auto"/>
              <w:left w:val="nil"/>
              <w:bottom w:val="single" w:sz="18" w:space="0" w:color="auto"/>
              <w:right w:val="nil"/>
            </w:tcBorders>
          </w:tcPr>
          <w:p w:rsidR="005102DB" w:rsidRPr="00685F84" w:rsidRDefault="005102DB" w:rsidP="00BA73E5">
            <w:pPr>
              <w:pStyle w:val="TableHeading"/>
            </w:pPr>
            <w:r w:rsidRPr="00685F84">
              <w:t>Surface water SDL resource unit (code)</w:t>
            </w:r>
          </w:p>
        </w:tc>
        <w:tc>
          <w:tcPr>
            <w:tcW w:w="1417" w:type="dxa"/>
            <w:tcBorders>
              <w:top w:val="single" w:sz="2" w:space="0" w:color="auto"/>
              <w:left w:val="nil"/>
              <w:bottom w:val="single" w:sz="18" w:space="0" w:color="auto"/>
              <w:right w:val="nil"/>
            </w:tcBorders>
          </w:tcPr>
          <w:p w:rsidR="005102DB" w:rsidRPr="0090647C" w:rsidRDefault="005102DB" w:rsidP="00BA73E5">
            <w:pPr>
              <w:pStyle w:val="TableHeading"/>
            </w:pPr>
            <w:r w:rsidRPr="0090647C">
              <w:t>SDL at reference time</w:t>
            </w:r>
            <w:r w:rsidR="003726FF" w:rsidRPr="0090647C">
              <w:t xml:space="preserve"> (GL/y)</w:t>
            </w:r>
          </w:p>
        </w:tc>
        <w:tc>
          <w:tcPr>
            <w:tcW w:w="1418" w:type="dxa"/>
            <w:tcBorders>
              <w:top w:val="single" w:sz="2" w:space="0" w:color="auto"/>
              <w:left w:val="nil"/>
              <w:bottom w:val="single" w:sz="18" w:space="0" w:color="auto"/>
              <w:right w:val="nil"/>
            </w:tcBorders>
          </w:tcPr>
          <w:p w:rsidR="005102DB" w:rsidRPr="0090647C" w:rsidRDefault="00242CF6" w:rsidP="00BA73E5">
            <w:pPr>
              <w:pStyle w:val="TableHeading"/>
            </w:pPr>
            <w:r w:rsidRPr="0090647C">
              <w:t>Apportioned supply contribution</w:t>
            </w:r>
            <w:r w:rsidR="003726FF" w:rsidRPr="0090647C">
              <w:t xml:space="preserve"> (GL/y)</w:t>
            </w:r>
          </w:p>
        </w:tc>
      </w:tr>
      <w:tr w:rsidR="005102DB" w:rsidRPr="001A4214" w:rsidTr="00465A6E">
        <w:trPr>
          <w:trHeight w:val="300"/>
        </w:trPr>
        <w:tc>
          <w:tcPr>
            <w:tcW w:w="481" w:type="dxa"/>
            <w:tcBorders>
              <w:top w:val="single" w:sz="18" w:space="0" w:color="auto"/>
              <w:left w:val="nil"/>
              <w:bottom w:val="single" w:sz="2" w:space="0" w:color="auto"/>
              <w:right w:val="nil"/>
            </w:tcBorders>
          </w:tcPr>
          <w:p w:rsidR="005102DB" w:rsidRPr="00685F84" w:rsidRDefault="005102DB" w:rsidP="00EC5838">
            <w:pPr>
              <w:pStyle w:val="Tabletext"/>
            </w:pPr>
            <w:r w:rsidRPr="00685F84">
              <w:t>1</w:t>
            </w:r>
          </w:p>
        </w:tc>
        <w:tc>
          <w:tcPr>
            <w:tcW w:w="4339" w:type="dxa"/>
            <w:tcBorders>
              <w:top w:val="single" w:sz="18" w:space="0" w:color="auto"/>
              <w:left w:val="nil"/>
              <w:bottom w:val="single" w:sz="2" w:space="0" w:color="auto"/>
              <w:right w:val="nil"/>
            </w:tcBorders>
          </w:tcPr>
          <w:p w:rsidR="005102DB" w:rsidRPr="00685F84" w:rsidRDefault="005102DB" w:rsidP="00EC5838">
            <w:pPr>
              <w:pStyle w:val="Tabletext"/>
            </w:pPr>
            <w:r w:rsidRPr="00685F84">
              <w:t>Paroo (SS29)</w:t>
            </w:r>
          </w:p>
        </w:tc>
        <w:tc>
          <w:tcPr>
            <w:tcW w:w="1417" w:type="dxa"/>
            <w:tcBorders>
              <w:top w:val="single" w:sz="18" w:space="0" w:color="auto"/>
              <w:left w:val="nil"/>
              <w:bottom w:val="single" w:sz="2" w:space="0" w:color="auto"/>
              <w:right w:val="nil"/>
            </w:tcBorders>
          </w:tcPr>
          <w:p w:rsidR="005102DB" w:rsidRPr="00685F84" w:rsidRDefault="009E2023" w:rsidP="00465A6E">
            <w:pPr>
              <w:pStyle w:val="Tabletext"/>
            </w:pPr>
            <w:r w:rsidRPr="00685F84">
              <w:t>9.9</w:t>
            </w:r>
          </w:p>
        </w:tc>
        <w:tc>
          <w:tcPr>
            <w:tcW w:w="1418" w:type="dxa"/>
            <w:tcBorders>
              <w:top w:val="single" w:sz="18" w:space="0" w:color="auto"/>
              <w:left w:val="nil"/>
              <w:bottom w:val="single" w:sz="2" w:space="0" w:color="auto"/>
              <w:right w:val="nil"/>
            </w:tcBorders>
          </w:tcPr>
          <w:p w:rsidR="005102DB" w:rsidRPr="00685F84" w:rsidRDefault="005102DB" w:rsidP="00465A6E">
            <w:pPr>
              <w:pStyle w:val="Tabletext"/>
            </w:pPr>
            <w:r w:rsidRPr="00685F84">
              <w:t>–</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 xml:space="preserve">2 </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Warrego (SS28)</w:t>
            </w:r>
          </w:p>
        </w:tc>
        <w:tc>
          <w:tcPr>
            <w:tcW w:w="1417" w:type="dxa"/>
            <w:tcBorders>
              <w:top w:val="single" w:sz="2" w:space="0" w:color="auto"/>
              <w:left w:val="nil"/>
              <w:bottom w:val="single" w:sz="2" w:space="0" w:color="auto"/>
              <w:right w:val="nil"/>
            </w:tcBorders>
          </w:tcPr>
          <w:p w:rsidR="005102DB" w:rsidRPr="00685F84" w:rsidRDefault="009E2023" w:rsidP="00465A6E">
            <w:pPr>
              <w:pStyle w:val="Tabletext"/>
            </w:pPr>
            <w:r w:rsidRPr="00685F84">
              <w:t>117.2</w:t>
            </w:r>
          </w:p>
        </w:tc>
        <w:tc>
          <w:tcPr>
            <w:tcW w:w="1418" w:type="dxa"/>
            <w:tcBorders>
              <w:top w:val="single" w:sz="2" w:space="0" w:color="auto"/>
              <w:left w:val="nil"/>
              <w:bottom w:val="single" w:sz="2" w:space="0" w:color="auto"/>
              <w:right w:val="nil"/>
            </w:tcBorders>
          </w:tcPr>
          <w:p w:rsidR="005102DB" w:rsidRPr="00685F84" w:rsidRDefault="005102DB" w:rsidP="00465A6E">
            <w:pPr>
              <w:pStyle w:val="Tabletext"/>
            </w:pPr>
            <w:r w:rsidRPr="00685F84">
              <w:t>–</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3</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Nebine (SS27)</w:t>
            </w:r>
          </w:p>
        </w:tc>
        <w:tc>
          <w:tcPr>
            <w:tcW w:w="1417" w:type="dxa"/>
            <w:tcBorders>
              <w:top w:val="single" w:sz="2" w:space="0" w:color="auto"/>
              <w:left w:val="nil"/>
              <w:bottom w:val="single" w:sz="2" w:space="0" w:color="auto"/>
              <w:right w:val="nil"/>
            </w:tcBorders>
          </w:tcPr>
          <w:p w:rsidR="005102DB" w:rsidRPr="00685F84" w:rsidRDefault="009E2023" w:rsidP="00465A6E">
            <w:pPr>
              <w:pStyle w:val="Tabletext"/>
            </w:pPr>
            <w:r w:rsidRPr="00685F84">
              <w:t>29.9</w:t>
            </w:r>
          </w:p>
        </w:tc>
        <w:tc>
          <w:tcPr>
            <w:tcW w:w="1418" w:type="dxa"/>
            <w:tcBorders>
              <w:top w:val="single" w:sz="2" w:space="0" w:color="auto"/>
              <w:left w:val="nil"/>
              <w:bottom w:val="single" w:sz="2" w:space="0" w:color="auto"/>
              <w:right w:val="nil"/>
            </w:tcBorders>
          </w:tcPr>
          <w:p w:rsidR="005102DB" w:rsidRPr="00685F84" w:rsidRDefault="005102DB" w:rsidP="00465A6E">
            <w:pPr>
              <w:pStyle w:val="Tabletext"/>
            </w:pPr>
            <w:r w:rsidRPr="00685F84">
              <w:t>–</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4</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Condamine-Balonne (SS26)</w:t>
            </w:r>
          </w:p>
        </w:tc>
        <w:tc>
          <w:tcPr>
            <w:tcW w:w="1417" w:type="dxa"/>
            <w:tcBorders>
              <w:top w:val="single" w:sz="2" w:space="0" w:color="auto"/>
              <w:left w:val="nil"/>
              <w:bottom w:val="single" w:sz="2" w:space="0" w:color="auto"/>
              <w:right w:val="nil"/>
            </w:tcBorders>
          </w:tcPr>
          <w:p w:rsidR="005102DB" w:rsidRPr="00685F84" w:rsidRDefault="009E2023" w:rsidP="00465A6E">
            <w:pPr>
              <w:pStyle w:val="Tabletext"/>
            </w:pPr>
            <w:r w:rsidRPr="00685F84">
              <w:t>838.1</w:t>
            </w:r>
          </w:p>
        </w:tc>
        <w:tc>
          <w:tcPr>
            <w:tcW w:w="1418" w:type="dxa"/>
            <w:tcBorders>
              <w:top w:val="single" w:sz="2" w:space="0" w:color="auto"/>
              <w:left w:val="nil"/>
              <w:bottom w:val="single" w:sz="2" w:space="0" w:color="auto"/>
              <w:right w:val="nil"/>
            </w:tcBorders>
          </w:tcPr>
          <w:p w:rsidR="005102DB" w:rsidRPr="00685F84" w:rsidRDefault="005102DB" w:rsidP="00465A6E">
            <w:pPr>
              <w:pStyle w:val="Tabletext"/>
            </w:pPr>
            <w:r w:rsidRPr="00685F84">
              <w:t>–</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5</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Moonie (SS25)</w:t>
            </w:r>
          </w:p>
        </w:tc>
        <w:tc>
          <w:tcPr>
            <w:tcW w:w="1417" w:type="dxa"/>
            <w:tcBorders>
              <w:top w:val="single" w:sz="2" w:space="0" w:color="auto"/>
              <w:left w:val="nil"/>
              <w:bottom w:val="single" w:sz="2" w:space="0" w:color="auto"/>
              <w:right w:val="nil"/>
            </w:tcBorders>
          </w:tcPr>
          <w:p w:rsidR="005102DB" w:rsidRPr="00685F84" w:rsidRDefault="009E2023" w:rsidP="00465A6E">
            <w:pPr>
              <w:pStyle w:val="Tabletext"/>
            </w:pPr>
            <w:r w:rsidRPr="00685F84">
              <w:t>82.3</w:t>
            </w:r>
          </w:p>
        </w:tc>
        <w:tc>
          <w:tcPr>
            <w:tcW w:w="1418" w:type="dxa"/>
            <w:tcBorders>
              <w:top w:val="single" w:sz="2" w:space="0" w:color="auto"/>
              <w:left w:val="nil"/>
              <w:bottom w:val="single" w:sz="2" w:space="0" w:color="auto"/>
              <w:right w:val="nil"/>
            </w:tcBorders>
          </w:tcPr>
          <w:p w:rsidR="005102DB" w:rsidRPr="00685F84" w:rsidRDefault="005102DB" w:rsidP="00465A6E">
            <w:pPr>
              <w:pStyle w:val="Tabletext"/>
            </w:pPr>
            <w:r w:rsidRPr="00685F84">
              <w:t>–</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6</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Queensland Border Rivers (SS24)</w:t>
            </w:r>
          </w:p>
        </w:tc>
        <w:tc>
          <w:tcPr>
            <w:tcW w:w="1417" w:type="dxa"/>
            <w:tcBorders>
              <w:top w:val="single" w:sz="2" w:space="0" w:color="auto"/>
              <w:left w:val="nil"/>
              <w:bottom w:val="single" w:sz="2" w:space="0" w:color="auto"/>
              <w:right w:val="nil"/>
            </w:tcBorders>
          </w:tcPr>
          <w:p w:rsidR="005102DB" w:rsidRPr="00685F84" w:rsidRDefault="009E2023" w:rsidP="00465A6E">
            <w:pPr>
              <w:pStyle w:val="Tabletext"/>
            </w:pPr>
            <w:r w:rsidRPr="00685F84">
              <w:t>298.5</w:t>
            </w:r>
          </w:p>
        </w:tc>
        <w:tc>
          <w:tcPr>
            <w:tcW w:w="1418" w:type="dxa"/>
            <w:tcBorders>
              <w:top w:val="single" w:sz="2" w:space="0" w:color="auto"/>
              <w:left w:val="nil"/>
              <w:bottom w:val="single" w:sz="2" w:space="0" w:color="auto"/>
              <w:right w:val="nil"/>
            </w:tcBorders>
          </w:tcPr>
          <w:p w:rsidR="005102DB" w:rsidRPr="00685F84" w:rsidRDefault="005102DB" w:rsidP="00465A6E">
            <w:pPr>
              <w:pStyle w:val="Tabletext"/>
            </w:pPr>
            <w:r w:rsidRPr="00685F84">
              <w:t>–</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7</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Intersecting Streams (SS17)</w:t>
            </w:r>
          </w:p>
        </w:tc>
        <w:tc>
          <w:tcPr>
            <w:tcW w:w="1417" w:type="dxa"/>
            <w:tcBorders>
              <w:top w:val="single" w:sz="2" w:space="0" w:color="auto"/>
              <w:left w:val="nil"/>
              <w:bottom w:val="single" w:sz="2" w:space="0" w:color="auto"/>
              <w:right w:val="nil"/>
            </w:tcBorders>
          </w:tcPr>
          <w:p w:rsidR="005102DB" w:rsidRPr="00685F84" w:rsidRDefault="009E2023" w:rsidP="00465A6E">
            <w:pPr>
              <w:pStyle w:val="Tabletext"/>
            </w:pPr>
            <w:r w:rsidRPr="00685F84">
              <w:t>113.8</w:t>
            </w:r>
          </w:p>
        </w:tc>
        <w:tc>
          <w:tcPr>
            <w:tcW w:w="1418" w:type="dxa"/>
            <w:tcBorders>
              <w:top w:val="single" w:sz="2" w:space="0" w:color="auto"/>
              <w:left w:val="nil"/>
              <w:bottom w:val="single" w:sz="2" w:space="0" w:color="auto"/>
              <w:right w:val="nil"/>
            </w:tcBorders>
          </w:tcPr>
          <w:p w:rsidR="005102DB" w:rsidRPr="00685F84" w:rsidRDefault="005102DB" w:rsidP="00465A6E">
            <w:pPr>
              <w:pStyle w:val="Tabletext"/>
            </w:pPr>
            <w:r w:rsidRPr="00685F84">
              <w:t>–</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8</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Barwon-Darling Watercourse (SS19)</w:t>
            </w:r>
          </w:p>
        </w:tc>
        <w:tc>
          <w:tcPr>
            <w:tcW w:w="1417" w:type="dxa"/>
            <w:tcBorders>
              <w:top w:val="single" w:sz="2" w:space="0" w:color="auto"/>
              <w:left w:val="nil"/>
              <w:bottom w:val="single" w:sz="2" w:space="0" w:color="auto"/>
              <w:right w:val="nil"/>
            </w:tcBorders>
          </w:tcPr>
          <w:p w:rsidR="005102DB" w:rsidRPr="00685F84" w:rsidRDefault="009E2023" w:rsidP="00465A6E">
            <w:pPr>
              <w:pStyle w:val="Tabletext"/>
            </w:pPr>
            <w:r w:rsidRPr="00685F84">
              <w:t>180.9</w:t>
            </w:r>
          </w:p>
        </w:tc>
        <w:tc>
          <w:tcPr>
            <w:tcW w:w="1418" w:type="dxa"/>
            <w:tcBorders>
              <w:top w:val="single" w:sz="2" w:space="0" w:color="auto"/>
              <w:left w:val="nil"/>
              <w:bottom w:val="single" w:sz="2" w:space="0" w:color="auto"/>
              <w:right w:val="nil"/>
            </w:tcBorders>
          </w:tcPr>
          <w:p w:rsidR="005102DB" w:rsidRPr="00685F84" w:rsidRDefault="005102DB" w:rsidP="00465A6E">
            <w:pPr>
              <w:pStyle w:val="Tabletext"/>
            </w:pPr>
            <w:r w:rsidRPr="00685F84">
              <w:t>–</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9</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NSW Border Rivers (SS23)</w:t>
            </w:r>
          </w:p>
        </w:tc>
        <w:tc>
          <w:tcPr>
            <w:tcW w:w="1417" w:type="dxa"/>
            <w:tcBorders>
              <w:top w:val="single" w:sz="2" w:space="0" w:color="auto"/>
              <w:left w:val="nil"/>
              <w:bottom w:val="single" w:sz="2" w:space="0" w:color="auto"/>
              <w:right w:val="nil"/>
            </w:tcBorders>
          </w:tcPr>
          <w:p w:rsidR="005102DB" w:rsidRPr="00685F84" w:rsidRDefault="009E2023" w:rsidP="00465A6E">
            <w:pPr>
              <w:pStyle w:val="Tabletext"/>
            </w:pPr>
            <w:r w:rsidRPr="00685F84">
              <w:t>283.9</w:t>
            </w:r>
          </w:p>
        </w:tc>
        <w:tc>
          <w:tcPr>
            <w:tcW w:w="1418" w:type="dxa"/>
            <w:tcBorders>
              <w:top w:val="single" w:sz="2" w:space="0" w:color="auto"/>
              <w:left w:val="nil"/>
              <w:bottom w:val="single" w:sz="2" w:space="0" w:color="auto"/>
              <w:right w:val="nil"/>
            </w:tcBorders>
          </w:tcPr>
          <w:p w:rsidR="005102DB" w:rsidRPr="00685F84" w:rsidRDefault="005102DB" w:rsidP="00465A6E">
            <w:pPr>
              <w:pStyle w:val="Tabletext"/>
            </w:pPr>
            <w:r w:rsidRPr="00685F84">
              <w:t>–</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10</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Gwydir (SS22)</w:t>
            </w:r>
          </w:p>
        </w:tc>
        <w:tc>
          <w:tcPr>
            <w:tcW w:w="1417" w:type="dxa"/>
            <w:tcBorders>
              <w:top w:val="single" w:sz="2" w:space="0" w:color="auto"/>
              <w:left w:val="nil"/>
              <w:bottom w:val="single" w:sz="2" w:space="0" w:color="auto"/>
              <w:right w:val="nil"/>
            </w:tcBorders>
          </w:tcPr>
          <w:p w:rsidR="005102DB" w:rsidRPr="00685F84" w:rsidRDefault="009E2023" w:rsidP="00465A6E">
            <w:pPr>
              <w:pStyle w:val="Tabletext"/>
            </w:pPr>
            <w:r w:rsidRPr="00685F84">
              <w:t>389.9</w:t>
            </w:r>
          </w:p>
        </w:tc>
        <w:tc>
          <w:tcPr>
            <w:tcW w:w="1418" w:type="dxa"/>
            <w:tcBorders>
              <w:top w:val="single" w:sz="2" w:space="0" w:color="auto"/>
              <w:left w:val="nil"/>
              <w:bottom w:val="single" w:sz="2" w:space="0" w:color="auto"/>
              <w:right w:val="nil"/>
            </w:tcBorders>
          </w:tcPr>
          <w:p w:rsidR="005102DB" w:rsidRPr="00685F84" w:rsidRDefault="005102DB" w:rsidP="00465A6E">
            <w:pPr>
              <w:pStyle w:val="Tabletext"/>
            </w:pPr>
            <w:r w:rsidRPr="00685F84">
              <w:t>–</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11</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Namoi (SS21)</w:t>
            </w:r>
          </w:p>
        </w:tc>
        <w:tc>
          <w:tcPr>
            <w:tcW w:w="1417" w:type="dxa"/>
            <w:tcBorders>
              <w:top w:val="single" w:sz="2" w:space="0" w:color="auto"/>
              <w:left w:val="nil"/>
              <w:bottom w:val="single" w:sz="2" w:space="0" w:color="auto"/>
              <w:right w:val="nil"/>
            </w:tcBorders>
          </w:tcPr>
          <w:p w:rsidR="005102DB" w:rsidRPr="00685F84" w:rsidRDefault="009E2023" w:rsidP="001C2E72">
            <w:pPr>
              <w:pStyle w:val="Tabletext"/>
            </w:pPr>
            <w:r w:rsidRPr="00685F84">
              <w:t>479.</w:t>
            </w:r>
            <w:r w:rsidR="001C2E72">
              <w:t>0</w:t>
            </w:r>
          </w:p>
        </w:tc>
        <w:tc>
          <w:tcPr>
            <w:tcW w:w="1418" w:type="dxa"/>
            <w:tcBorders>
              <w:top w:val="single" w:sz="2" w:space="0" w:color="auto"/>
              <w:left w:val="nil"/>
              <w:bottom w:val="single" w:sz="2" w:space="0" w:color="auto"/>
              <w:right w:val="nil"/>
            </w:tcBorders>
          </w:tcPr>
          <w:p w:rsidR="005102DB" w:rsidRPr="00685F84" w:rsidRDefault="005102DB" w:rsidP="00465A6E">
            <w:pPr>
              <w:pStyle w:val="Tabletext"/>
            </w:pPr>
            <w:r w:rsidRPr="00685F84">
              <w:t>–</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lastRenderedPageBreak/>
              <w:t>12</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Macquarie-Castlereagh (SS20)</w:t>
            </w:r>
          </w:p>
        </w:tc>
        <w:tc>
          <w:tcPr>
            <w:tcW w:w="1417" w:type="dxa"/>
            <w:tcBorders>
              <w:top w:val="single" w:sz="2" w:space="0" w:color="auto"/>
              <w:left w:val="nil"/>
              <w:bottom w:val="single" w:sz="2" w:space="0" w:color="auto"/>
              <w:right w:val="nil"/>
            </w:tcBorders>
          </w:tcPr>
          <w:p w:rsidR="005102DB" w:rsidRPr="00685F84" w:rsidRDefault="009E2023" w:rsidP="00465A6E">
            <w:pPr>
              <w:pStyle w:val="Tabletext"/>
            </w:pPr>
            <w:r w:rsidRPr="00685F84">
              <w:t>645.4</w:t>
            </w:r>
          </w:p>
        </w:tc>
        <w:tc>
          <w:tcPr>
            <w:tcW w:w="1418" w:type="dxa"/>
            <w:tcBorders>
              <w:top w:val="single" w:sz="2" w:space="0" w:color="auto"/>
              <w:left w:val="nil"/>
              <w:bottom w:val="single" w:sz="2" w:space="0" w:color="auto"/>
              <w:right w:val="nil"/>
            </w:tcBorders>
          </w:tcPr>
          <w:p w:rsidR="005102DB" w:rsidRPr="00685F84" w:rsidRDefault="005102DB" w:rsidP="00465A6E">
            <w:pPr>
              <w:pStyle w:val="Tabletext"/>
            </w:pPr>
            <w:r w:rsidRPr="00685F84">
              <w:t>–</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13</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Lachlan (SS16)</w:t>
            </w:r>
          </w:p>
        </w:tc>
        <w:tc>
          <w:tcPr>
            <w:tcW w:w="1417" w:type="dxa"/>
            <w:tcBorders>
              <w:top w:val="single" w:sz="2" w:space="0" w:color="auto"/>
              <w:left w:val="nil"/>
              <w:bottom w:val="single" w:sz="2" w:space="0" w:color="auto"/>
              <w:right w:val="nil"/>
            </w:tcBorders>
          </w:tcPr>
          <w:p w:rsidR="005102DB" w:rsidRPr="00685F84" w:rsidRDefault="009E2023" w:rsidP="00465A6E">
            <w:pPr>
              <w:pStyle w:val="Tabletext"/>
            </w:pPr>
            <w:r w:rsidRPr="00685F84">
              <w:t>570.4</w:t>
            </w:r>
          </w:p>
        </w:tc>
        <w:tc>
          <w:tcPr>
            <w:tcW w:w="1418" w:type="dxa"/>
            <w:tcBorders>
              <w:top w:val="single" w:sz="2" w:space="0" w:color="auto"/>
              <w:left w:val="nil"/>
              <w:bottom w:val="single" w:sz="2" w:space="0" w:color="auto"/>
              <w:right w:val="nil"/>
            </w:tcBorders>
          </w:tcPr>
          <w:p w:rsidR="005102DB" w:rsidRPr="00685F84" w:rsidRDefault="00C6270D" w:rsidP="00465A6E">
            <w:pPr>
              <w:pStyle w:val="Tabletext"/>
            </w:pPr>
            <w:r>
              <w:t>0.0</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14</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Murrumbidgee (SS15)</w:t>
            </w:r>
          </w:p>
        </w:tc>
        <w:tc>
          <w:tcPr>
            <w:tcW w:w="1417" w:type="dxa"/>
            <w:tcBorders>
              <w:top w:val="single" w:sz="2" w:space="0" w:color="auto"/>
              <w:left w:val="nil"/>
              <w:bottom w:val="single" w:sz="2" w:space="0" w:color="auto"/>
              <w:right w:val="nil"/>
            </w:tcBorders>
          </w:tcPr>
          <w:p w:rsidR="005102DB" w:rsidRPr="00685F84" w:rsidRDefault="005102DB" w:rsidP="00B01CC5">
            <w:pPr>
              <w:pStyle w:val="Tabletext"/>
            </w:pPr>
            <w:r w:rsidRPr="00685F84">
              <w:t>1</w:t>
            </w:r>
            <w:r w:rsidR="007D73FF">
              <w:t>,</w:t>
            </w:r>
            <w:r w:rsidRPr="00685F84">
              <w:t>938.1</w:t>
            </w:r>
          </w:p>
        </w:tc>
        <w:tc>
          <w:tcPr>
            <w:tcW w:w="1418" w:type="dxa"/>
            <w:tcBorders>
              <w:top w:val="single" w:sz="2" w:space="0" w:color="auto"/>
              <w:left w:val="nil"/>
              <w:bottom w:val="single" w:sz="2" w:space="0" w:color="auto"/>
              <w:right w:val="nil"/>
            </w:tcBorders>
          </w:tcPr>
          <w:p w:rsidR="005102DB" w:rsidRPr="00685F84" w:rsidRDefault="005102DB" w:rsidP="00B01CC5">
            <w:pPr>
              <w:pStyle w:val="Tabletext"/>
            </w:pPr>
            <w:r w:rsidRPr="00685F84">
              <w:t>162.0</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15</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New South Wales Murray (SS14)</w:t>
            </w:r>
          </w:p>
        </w:tc>
        <w:tc>
          <w:tcPr>
            <w:tcW w:w="1417" w:type="dxa"/>
            <w:tcBorders>
              <w:top w:val="single" w:sz="2" w:space="0" w:color="auto"/>
              <w:left w:val="nil"/>
              <w:bottom w:val="single" w:sz="2" w:space="0" w:color="auto"/>
              <w:right w:val="nil"/>
            </w:tcBorders>
          </w:tcPr>
          <w:p w:rsidR="005102DB" w:rsidRPr="00685F84" w:rsidRDefault="005102DB" w:rsidP="00B01CC5">
            <w:pPr>
              <w:pStyle w:val="Tabletext"/>
            </w:pPr>
            <w:r w:rsidRPr="00685F84">
              <w:t>1</w:t>
            </w:r>
            <w:r w:rsidR="007D73FF">
              <w:t>,</w:t>
            </w:r>
            <w:r w:rsidRPr="00685F84">
              <w:t>341.7</w:t>
            </w:r>
          </w:p>
        </w:tc>
        <w:tc>
          <w:tcPr>
            <w:tcW w:w="1418" w:type="dxa"/>
            <w:tcBorders>
              <w:top w:val="single" w:sz="2" w:space="0" w:color="auto"/>
              <w:left w:val="nil"/>
              <w:bottom w:val="single" w:sz="2" w:space="0" w:color="auto"/>
              <w:right w:val="nil"/>
            </w:tcBorders>
          </w:tcPr>
          <w:p w:rsidR="005102DB" w:rsidRPr="00685F84" w:rsidRDefault="005102DB" w:rsidP="00B01CC5">
            <w:pPr>
              <w:pStyle w:val="Tabletext"/>
            </w:pPr>
            <w:r w:rsidRPr="00685F84">
              <w:t>124.8</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16</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Lower Darling (SS18)</w:t>
            </w:r>
          </w:p>
        </w:tc>
        <w:tc>
          <w:tcPr>
            <w:tcW w:w="1417" w:type="dxa"/>
            <w:tcBorders>
              <w:top w:val="single" w:sz="2" w:space="0" w:color="auto"/>
              <w:left w:val="nil"/>
              <w:bottom w:val="single" w:sz="2" w:space="0" w:color="auto"/>
              <w:right w:val="nil"/>
            </w:tcBorders>
          </w:tcPr>
          <w:p w:rsidR="005102DB" w:rsidRPr="00685F84" w:rsidRDefault="005102DB" w:rsidP="00B01CC5">
            <w:pPr>
              <w:pStyle w:val="Tabletext"/>
            </w:pPr>
            <w:r w:rsidRPr="00685F84">
              <w:t>45.5</w:t>
            </w:r>
          </w:p>
        </w:tc>
        <w:tc>
          <w:tcPr>
            <w:tcW w:w="1418" w:type="dxa"/>
            <w:tcBorders>
              <w:top w:val="single" w:sz="2" w:space="0" w:color="auto"/>
              <w:left w:val="nil"/>
              <w:bottom w:val="single" w:sz="2" w:space="0" w:color="auto"/>
              <w:right w:val="nil"/>
            </w:tcBorders>
          </w:tcPr>
          <w:p w:rsidR="005102DB" w:rsidRPr="00685F84" w:rsidRDefault="005102DB" w:rsidP="00B01CC5">
            <w:pPr>
              <w:pStyle w:val="Tabletext"/>
            </w:pPr>
            <w:r w:rsidRPr="00685F84">
              <w:t>0.0</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17</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Victorian Murray (SS2)</w:t>
            </w:r>
          </w:p>
        </w:tc>
        <w:tc>
          <w:tcPr>
            <w:tcW w:w="1417" w:type="dxa"/>
            <w:tcBorders>
              <w:top w:val="single" w:sz="2" w:space="0" w:color="auto"/>
              <w:left w:val="nil"/>
              <w:bottom w:val="single" w:sz="2" w:space="0" w:color="auto"/>
              <w:right w:val="nil"/>
            </w:tcBorders>
          </w:tcPr>
          <w:p w:rsidR="005102DB" w:rsidRPr="00685F84" w:rsidRDefault="005102DB" w:rsidP="00B01CC5">
            <w:pPr>
              <w:pStyle w:val="Tabletext"/>
            </w:pPr>
            <w:r w:rsidRPr="00685F84">
              <w:t>1</w:t>
            </w:r>
            <w:r w:rsidR="007D73FF">
              <w:t>,</w:t>
            </w:r>
            <w:r w:rsidRPr="00685F84">
              <w:t>251.7</w:t>
            </w:r>
          </w:p>
        </w:tc>
        <w:tc>
          <w:tcPr>
            <w:tcW w:w="1418" w:type="dxa"/>
            <w:tcBorders>
              <w:top w:val="single" w:sz="2" w:space="0" w:color="auto"/>
              <w:left w:val="nil"/>
              <w:bottom w:val="single" w:sz="2" w:space="0" w:color="auto"/>
              <w:right w:val="nil"/>
            </w:tcBorders>
          </w:tcPr>
          <w:p w:rsidR="005102DB" w:rsidRPr="00685F84" w:rsidRDefault="005102DB" w:rsidP="00B01CC5">
            <w:pPr>
              <w:pStyle w:val="Tabletext"/>
            </w:pPr>
            <w:r w:rsidRPr="00685F84">
              <w:t>72.8</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18</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Kiewa (SS3)</w:t>
            </w:r>
          </w:p>
        </w:tc>
        <w:tc>
          <w:tcPr>
            <w:tcW w:w="1417" w:type="dxa"/>
            <w:tcBorders>
              <w:top w:val="single" w:sz="2" w:space="0" w:color="auto"/>
              <w:left w:val="nil"/>
              <w:bottom w:val="single" w:sz="2" w:space="0" w:color="auto"/>
              <w:right w:val="nil"/>
            </w:tcBorders>
          </w:tcPr>
          <w:p w:rsidR="005102DB" w:rsidRPr="00685F84" w:rsidRDefault="005102DB" w:rsidP="00B01CC5">
            <w:pPr>
              <w:pStyle w:val="Tabletext"/>
            </w:pPr>
            <w:r w:rsidRPr="00685F84">
              <w:t>23.3</w:t>
            </w:r>
          </w:p>
        </w:tc>
        <w:tc>
          <w:tcPr>
            <w:tcW w:w="1418" w:type="dxa"/>
            <w:tcBorders>
              <w:top w:val="single" w:sz="2" w:space="0" w:color="auto"/>
              <w:left w:val="nil"/>
              <w:bottom w:val="single" w:sz="2" w:space="0" w:color="auto"/>
              <w:right w:val="nil"/>
            </w:tcBorders>
          </w:tcPr>
          <w:p w:rsidR="005102DB" w:rsidRPr="00685F84" w:rsidRDefault="005102DB" w:rsidP="00B01CC5">
            <w:pPr>
              <w:pStyle w:val="Tabletext"/>
            </w:pPr>
            <w:r w:rsidRPr="00685F84">
              <w:t>1.3</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19</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Ovens (SS4)</w:t>
            </w:r>
          </w:p>
        </w:tc>
        <w:tc>
          <w:tcPr>
            <w:tcW w:w="1417" w:type="dxa"/>
            <w:tcBorders>
              <w:top w:val="single" w:sz="2" w:space="0" w:color="auto"/>
              <w:left w:val="nil"/>
              <w:bottom w:val="single" w:sz="2" w:space="0" w:color="auto"/>
              <w:right w:val="nil"/>
            </w:tcBorders>
          </w:tcPr>
          <w:p w:rsidR="005102DB" w:rsidRPr="00685F84" w:rsidRDefault="005102DB" w:rsidP="00B01CC5">
            <w:pPr>
              <w:pStyle w:val="Tabletext"/>
            </w:pPr>
            <w:r w:rsidRPr="00685F84">
              <w:t>80.3</w:t>
            </w:r>
          </w:p>
        </w:tc>
        <w:tc>
          <w:tcPr>
            <w:tcW w:w="1418" w:type="dxa"/>
            <w:tcBorders>
              <w:top w:val="single" w:sz="2" w:space="0" w:color="auto"/>
              <w:left w:val="nil"/>
              <w:bottom w:val="single" w:sz="2" w:space="0" w:color="auto"/>
              <w:right w:val="nil"/>
            </w:tcBorders>
          </w:tcPr>
          <w:p w:rsidR="005102DB" w:rsidRPr="00685F84" w:rsidRDefault="005102DB" w:rsidP="00B01CC5">
            <w:pPr>
              <w:pStyle w:val="Tabletext"/>
            </w:pPr>
            <w:r w:rsidRPr="00685F84">
              <w:t>3.0</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20</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Goulburn (SS6)</w:t>
            </w:r>
          </w:p>
        </w:tc>
        <w:tc>
          <w:tcPr>
            <w:tcW w:w="1417" w:type="dxa"/>
            <w:tcBorders>
              <w:top w:val="single" w:sz="2" w:space="0" w:color="auto"/>
              <w:left w:val="nil"/>
              <w:bottom w:val="single" w:sz="2" w:space="0" w:color="auto"/>
              <w:right w:val="nil"/>
            </w:tcBorders>
          </w:tcPr>
          <w:p w:rsidR="005102DB" w:rsidRPr="00685F84" w:rsidRDefault="005102DB" w:rsidP="00B01CC5">
            <w:pPr>
              <w:pStyle w:val="Tabletext"/>
            </w:pPr>
            <w:r w:rsidRPr="00685F84">
              <w:t>1</w:t>
            </w:r>
            <w:r w:rsidR="007D73FF">
              <w:t>,</w:t>
            </w:r>
            <w:r w:rsidRPr="00685F84">
              <w:t>153.0</w:t>
            </w:r>
          </w:p>
        </w:tc>
        <w:tc>
          <w:tcPr>
            <w:tcW w:w="1418" w:type="dxa"/>
            <w:tcBorders>
              <w:top w:val="single" w:sz="2" w:space="0" w:color="auto"/>
              <w:left w:val="nil"/>
              <w:bottom w:val="single" w:sz="2" w:space="0" w:color="auto"/>
              <w:right w:val="nil"/>
            </w:tcBorders>
          </w:tcPr>
          <w:p w:rsidR="005102DB" w:rsidRPr="00685F84" w:rsidRDefault="005102DB" w:rsidP="00B01CC5">
            <w:pPr>
              <w:pStyle w:val="Tabletext"/>
            </w:pPr>
            <w:r w:rsidRPr="00685F84">
              <w:t>174.5</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21</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Broken (SS5)</w:t>
            </w:r>
          </w:p>
        </w:tc>
        <w:tc>
          <w:tcPr>
            <w:tcW w:w="1417" w:type="dxa"/>
            <w:tcBorders>
              <w:top w:val="single" w:sz="2" w:space="0" w:color="auto"/>
              <w:left w:val="nil"/>
              <w:bottom w:val="single" w:sz="2" w:space="0" w:color="auto"/>
              <w:right w:val="nil"/>
            </w:tcBorders>
          </w:tcPr>
          <w:p w:rsidR="005102DB" w:rsidRPr="00685F84" w:rsidRDefault="005102DB" w:rsidP="00B01CC5">
            <w:pPr>
              <w:pStyle w:val="Tabletext"/>
            </w:pPr>
            <w:r w:rsidRPr="00685F84">
              <w:t>54.6</w:t>
            </w:r>
          </w:p>
        </w:tc>
        <w:tc>
          <w:tcPr>
            <w:tcW w:w="1418" w:type="dxa"/>
            <w:tcBorders>
              <w:top w:val="single" w:sz="2" w:space="0" w:color="auto"/>
              <w:left w:val="nil"/>
              <w:bottom w:val="single" w:sz="2" w:space="0" w:color="auto"/>
              <w:right w:val="nil"/>
            </w:tcBorders>
          </w:tcPr>
          <w:p w:rsidR="005102DB" w:rsidRPr="00685F84" w:rsidRDefault="005102DB" w:rsidP="00B01CC5">
            <w:pPr>
              <w:pStyle w:val="Tabletext"/>
            </w:pPr>
            <w:r w:rsidRPr="00685F84">
              <w:t>1.1</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22</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Campaspe (SS7)</w:t>
            </w:r>
          </w:p>
        </w:tc>
        <w:tc>
          <w:tcPr>
            <w:tcW w:w="1417" w:type="dxa"/>
            <w:tcBorders>
              <w:top w:val="single" w:sz="2" w:space="0" w:color="auto"/>
              <w:left w:val="nil"/>
              <w:bottom w:val="single" w:sz="2" w:space="0" w:color="auto"/>
              <w:right w:val="nil"/>
            </w:tcBorders>
          </w:tcPr>
          <w:p w:rsidR="005102DB" w:rsidRPr="00685F84" w:rsidRDefault="005102DB" w:rsidP="00B01CC5">
            <w:pPr>
              <w:pStyle w:val="Tabletext"/>
            </w:pPr>
            <w:r w:rsidRPr="00685F84">
              <w:t>120.9</w:t>
            </w:r>
          </w:p>
        </w:tc>
        <w:tc>
          <w:tcPr>
            <w:tcW w:w="1418" w:type="dxa"/>
            <w:tcBorders>
              <w:top w:val="single" w:sz="2" w:space="0" w:color="auto"/>
              <w:left w:val="nil"/>
              <w:bottom w:val="single" w:sz="2" w:space="0" w:color="auto"/>
              <w:right w:val="nil"/>
            </w:tcBorders>
          </w:tcPr>
          <w:p w:rsidR="005102DB" w:rsidRPr="00685F84" w:rsidRDefault="005102DB" w:rsidP="00B01CC5">
            <w:pPr>
              <w:pStyle w:val="Tabletext"/>
            </w:pPr>
            <w:r w:rsidRPr="00685F84">
              <w:t>2.6</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23</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Loddon (SS8)</w:t>
            </w:r>
          </w:p>
        </w:tc>
        <w:tc>
          <w:tcPr>
            <w:tcW w:w="1417" w:type="dxa"/>
            <w:tcBorders>
              <w:top w:val="single" w:sz="2" w:space="0" w:color="auto"/>
              <w:left w:val="nil"/>
              <w:bottom w:val="single" w:sz="2" w:space="0" w:color="auto"/>
              <w:right w:val="nil"/>
            </w:tcBorders>
          </w:tcPr>
          <w:p w:rsidR="005102DB" w:rsidRPr="00685F84" w:rsidRDefault="005102DB" w:rsidP="00B01CC5">
            <w:pPr>
              <w:pStyle w:val="Tabletext"/>
            </w:pPr>
            <w:r w:rsidRPr="00685F84">
              <w:t>155.8</w:t>
            </w:r>
          </w:p>
        </w:tc>
        <w:tc>
          <w:tcPr>
            <w:tcW w:w="1418" w:type="dxa"/>
            <w:tcBorders>
              <w:top w:val="single" w:sz="2" w:space="0" w:color="auto"/>
              <w:left w:val="nil"/>
              <w:bottom w:val="single" w:sz="2" w:space="0" w:color="auto"/>
              <w:right w:val="nil"/>
            </w:tcBorders>
          </w:tcPr>
          <w:p w:rsidR="005102DB" w:rsidRPr="00685F84" w:rsidRDefault="005102DB" w:rsidP="00B01CC5">
            <w:pPr>
              <w:pStyle w:val="Tabletext"/>
            </w:pPr>
            <w:r w:rsidRPr="00685F84">
              <w:t>10.9</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24</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Wimmera-Mallee (surface water) (SS9)</w:t>
            </w:r>
          </w:p>
        </w:tc>
        <w:tc>
          <w:tcPr>
            <w:tcW w:w="1417" w:type="dxa"/>
            <w:tcBorders>
              <w:top w:val="single" w:sz="2" w:space="0" w:color="auto"/>
              <w:left w:val="nil"/>
              <w:bottom w:val="single" w:sz="2" w:space="0" w:color="auto"/>
              <w:right w:val="nil"/>
            </w:tcBorders>
          </w:tcPr>
          <w:p w:rsidR="005102DB" w:rsidRPr="00685F84" w:rsidRDefault="009E2023" w:rsidP="00465A6E">
            <w:pPr>
              <w:pStyle w:val="Tabletext"/>
            </w:pPr>
            <w:r w:rsidRPr="00685F84">
              <w:t>105.5</w:t>
            </w:r>
          </w:p>
        </w:tc>
        <w:tc>
          <w:tcPr>
            <w:tcW w:w="1418" w:type="dxa"/>
            <w:tcBorders>
              <w:top w:val="single" w:sz="2" w:space="0" w:color="auto"/>
              <w:left w:val="nil"/>
              <w:bottom w:val="single" w:sz="2" w:space="0" w:color="auto"/>
              <w:right w:val="nil"/>
            </w:tcBorders>
          </w:tcPr>
          <w:p w:rsidR="005102DB" w:rsidRPr="00685F84" w:rsidRDefault="005102DB" w:rsidP="00465A6E">
            <w:pPr>
              <w:pStyle w:val="Tabletext"/>
            </w:pPr>
            <w:r w:rsidRPr="00685F84">
              <w:t>0.0</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25</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South Australian Murray (SS11)</w:t>
            </w:r>
          </w:p>
        </w:tc>
        <w:tc>
          <w:tcPr>
            <w:tcW w:w="1417" w:type="dxa"/>
            <w:tcBorders>
              <w:top w:val="single" w:sz="2" w:space="0" w:color="auto"/>
              <w:left w:val="nil"/>
              <w:bottom w:val="single" w:sz="2" w:space="0" w:color="auto"/>
              <w:right w:val="nil"/>
            </w:tcBorders>
          </w:tcPr>
          <w:p w:rsidR="005102DB" w:rsidRPr="00685F84" w:rsidRDefault="005102DB" w:rsidP="00B01CC5">
            <w:pPr>
              <w:pStyle w:val="Tabletext"/>
            </w:pPr>
            <w:r w:rsidRPr="00685F84">
              <w:t>483.1</w:t>
            </w:r>
          </w:p>
        </w:tc>
        <w:tc>
          <w:tcPr>
            <w:tcW w:w="1418" w:type="dxa"/>
            <w:tcBorders>
              <w:top w:val="single" w:sz="2" w:space="0" w:color="auto"/>
              <w:left w:val="nil"/>
              <w:bottom w:val="single" w:sz="2" w:space="0" w:color="auto"/>
              <w:right w:val="nil"/>
            </w:tcBorders>
          </w:tcPr>
          <w:p w:rsidR="005102DB" w:rsidRPr="00685F84" w:rsidRDefault="005102DB" w:rsidP="00B01CC5">
            <w:pPr>
              <w:pStyle w:val="Tabletext"/>
            </w:pPr>
            <w:r w:rsidRPr="00685F84">
              <w:t>52.0</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26</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South Australian Non-Prescribed Areas (SS10)</w:t>
            </w:r>
          </w:p>
        </w:tc>
        <w:tc>
          <w:tcPr>
            <w:tcW w:w="1417" w:type="dxa"/>
            <w:tcBorders>
              <w:top w:val="single" w:sz="2" w:space="0" w:color="auto"/>
              <w:left w:val="nil"/>
              <w:bottom w:val="single" w:sz="2" w:space="0" w:color="auto"/>
              <w:right w:val="nil"/>
            </w:tcBorders>
          </w:tcPr>
          <w:p w:rsidR="005102DB" w:rsidRPr="00685F84" w:rsidRDefault="009E2023" w:rsidP="00465A6E">
            <w:pPr>
              <w:pStyle w:val="Tabletext"/>
            </w:pPr>
            <w:r w:rsidRPr="00685F84">
              <w:t>3.5</w:t>
            </w:r>
          </w:p>
        </w:tc>
        <w:tc>
          <w:tcPr>
            <w:tcW w:w="1418" w:type="dxa"/>
            <w:tcBorders>
              <w:top w:val="single" w:sz="2" w:space="0" w:color="auto"/>
              <w:left w:val="nil"/>
              <w:bottom w:val="single" w:sz="2" w:space="0" w:color="auto"/>
              <w:right w:val="nil"/>
            </w:tcBorders>
          </w:tcPr>
          <w:p w:rsidR="005102DB" w:rsidRPr="00685F84" w:rsidRDefault="005102DB" w:rsidP="00465A6E">
            <w:pPr>
              <w:pStyle w:val="Tabletext"/>
            </w:pPr>
            <w:r w:rsidRPr="00685F84">
              <w:t>0.0</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27</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Eastern Mount Lofty Ranges (SS13)</w:t>
            </w:r>
          </w:p>
        </w:tc>
        <w:tc>
          <w:tcPr>
            <w:tcW w:w="1417" w:type="dxa"/>
            <w:tcBorders>
              <w:top w:val="single" w:sz="2" w:space="0" w:color="auto"/>
              <w:left w:val="nil"/>
              <w:bottom w:val="single" w:sz="2" w:space="0" w:color="auto"/>
              <w:right w:val="nil"/>
            </w:tcBorders>
          </w:tcPr>
          <w:p w:rsidR="005102DB" w:rsidRPr="00685F84" w:rsidRDefault="005102DB" w:rsidP="00B01CC5">
            <w:pPr>
              <w:pStyle w:val="Tabletext"/>
            </w:pPr>
            <w:r w:rsidRPr="00685F84">
              <w:t>26.4</w:t>
            </w:r>
          </w:p>
        </w:tc>
        <w:tc>
          <w:tcPr>
            <w:tcW w:w="1418" w:type="dxa"/>
            <w:tcBorders>
              <w:top w:val="single" w:sz="2" w:space="0" w:color="auto"/>
              <w:left w:val="nil"/>
              <w:bottom w:val="single" w:sz="2" w:space="0" w:color="auto"/>
              <w:right w:val="nil"/>
            </w:tcBorders>
          </w:tcPr>
          <w:p w:rsidR="005102DB" w:rsidRPr="00685F84" w:rsidRDefault="005102DB" w:rsidP="00B01CC5">
            <w:pPr>
              <w:pStyle w:val="Tabletext"/>
            </w:pPr>
            <w:r w:rsidRPr="00685F84">
              <w:t>0.0</w:t>
            </w:r>
          </w:p>
        </w:tc>
      </w:tr>
      <w:tr w:rsidR="005102DB" w:rsidRPr="001A4214" w:rsidTr="00465A6E">
        <w:trPr>
          <w:trHeight w:val="300"/>
        </w:trPr>
        <w:tc>
          <w:tcPr>
            <w:tcW w:w="481" w:type="dxa"/>
            <w:tcBorders>
              <w:top w:val="single" w:sz="2" w:space="0" w:color="auto"/>
              <w:left w:val="nil"/>
              <w:bottom w:val="single" w:sz="2" w:space="0" w:color="auto"/>
              <w:right w:val="nil"/>
            </w:tcBorders>
          </w:tcPr>
          <w:p w:rsidR="005102DB" w:rsidRPr="00685F84" w:rsidRDefault="005102DB" w:rsidP="00EC5838">
            <w:pPr>
              <w:pStyle w:val="Tabletext"/>
            </w:pPr>
            <w:r w:rsidRPr="00685F84">
              <w:t>28</w:t>
            </w:r>
          </w:p>
        </w:tc>
        <w:tc>
          <w:tcPr>
            <w:tcW w:w="4339" w:type="dxa"/>
            <w:tcBorders>
              <w:top w:val="single" w:sz="2" w:space="0" w:color="auto"/>
              <w:left w:val="nil"/>
              <w:bottom w:val="single" w:sz="2" w:space="0" w:color="auto"/>
              <w:right w:val="nil"/>
            </w:tcBorders>
          </w:tcPr>
          <w:p w:rsidR="005102DB" w:rsidRPr="00685F84" w:rsidRDefault="005102DB" w:rsidP="00EC5838">
            <w:pPr>
              <w:pStyle w:val="Tabletext"/>
            </w:pPr>
            <w:r w:rsidRPr="00685F84">
              <w:t>Marne-Saunders (SS12)</w:t>
            </w:r>
          </w:p>
        </w:tc>
        <w:tc>
          <w:tcPr>
            <w:tcW w:w="1417" w:type="dxa"/>
            <w:tcBorders>
              <w:top w:val="single" w:sz="2" w:space="0" w:color="auto"/>
              <w:left w:val="nil"/>
              <w:bottom w:val="single" w:sz="2" w:space="0" w:color="auto"/>
              <w:right w:val="nil"/>
            </w:tcBorders>
          </w:tcPr>
          <w:p w:rsidR="005102DB" w:rsidRPr="00685F84" w:rsidRDefault="009E2023" w:rsidP="00465A6E">
            <w:pPr>
              <w:pStyle w:val="Tabletext"/>
            </w:pPr>
            <w:r w:rsidRPr="00685F84">
              <w:t>2.9</w:t>
            </w:r>
          </w:p>
        </w:tc>
        <w:tc>
          <w:tcPr>
            <w:tcW w:w="1418" w:type="dxa"/>
            <w:tcBorders>
              <w:top w:val="single" w:sz="2" w:space="0" w:color="auto"/>
              <w:left w:val="nil"/>
              <w:bottom w:val="single" w:sz="2" w:space="0" w:color="auto"/>
              <w:right w:val="nil"/>
            </w:tcBorders>
          </w:tcPr>
          <w:p w:rsidR="005102DB" w:rsidRPr="00685F84" w:rsidRDefault="005102DB" w:rsidP="00465A6E">
            <w:pPr>
              <w:pStyle w:val="Tabletext"/>
            </w:pPr>
            <w:r w:rsidRPr="00685F84">
              <w:t>0.0</w:t>
            </w:r>
          </w:p>
        </w:tc>
      </w:tr>
      <w:tr w:rsidR="005102DB" w:rsidRPr="001A4214" w:rsidTr="00465A6E">
        <w:trPr>
          <w:trHeight w:val="300"/>
        </w:trPr>
        <w:tc>
          <w:tcPr>
            <w:tcW w:w="481" w:type="dxa"/>
            <w:tcBorders>
              <w:top w:val="single" w:sz="2" w:space="0" w:color="auto"/>
              <w:left w:val="nil"/>
              <w:bottom w:val="single" w:sz="18" w:space="0" w:color="auto"/>
              <w:right w:val="nil"/>
            </w:tcBorders>
          </w:tcPr>
          <w:p w:rsidR="005102DB" w:rsidRPr="00685F84" w:rsidRDefault="005102DB" w:rsidP="00EC5838">
            <w:pPr>
              <w:pStyle w:val="Tabletext"/>
            </w:pPr>
            <w:r w:rsidRPr="00685F84">
              <w:t>29</w:t>
            </w:r>
          </w:p>
        </w:tc>
        <w:tc>
          <w:tcPr>
            <w:tcW w:w="4339" w:type="dxa"/>
            <w:tcBorders>
              <w:top w:val="single" w:sz="2" w:space="0" w:color="auto"/>
              <w:left w:val="nil"/>
              <w:bottom w:val="single" w:sz="18" w:space="0" w:color="auto"/>
              <w:right w:val="nil"/>
            </w:tcBorders>
          </w:tcPr>
          <w:p w:rsidR="005102DB" w:rsidRPr="00685F84" w:rsidRDefault="005102DB" w:rsidP="00EC5838">
            <w:pPr>
              <w:pStyle w:val="Tabletext"/>
            </w:pPr>
            <w:r w:rsidRPr="00685F84">
              <w:t>Australian Capital Territory (surface water) (SS1)</w:t>
            </w:r>
          </w:p>
        </w:tc>
        <w:tc>
          <w:tcPr>
            <w:tcW w:w="1417" w:type="dxa"/>
            <w:tcBorders>
              <w:top w:val="single" w:sz="2" w:space="0" w:color="auto"/>
              <w:left w:val="nil"/>
              <w:bottom w:val="single" w:sz="18" w:space="0" w:color="auto"/>
              <w:right w:val="nil"/>
            </w:tcBorders>
          </w:tcPr>
          <w:p w:rsidR="005102DB" w:rsidRPr="00685F84" w:rsidRDefault="005102DB" w:rsidP="00B01CC5">
            <w:pPr>
              <w:pStyle w:val="Tabletext"/>
            </w:pPr>
            <w:r w:rsidRPr="00685F84">
              <w:t>47.6</w:t>
            </w:r>
          </w:p>
        </w:tc>
        <w:tc>
          <w:tcPr>
            <w:tcW w:w="1418" w:type="dxa"/>
            <w:tcBorders>
              <w:top w:val="single" w:sz="2" w:space="0" w:color="auto"/>
              <w:left w:val="nil"/>
              <w:bottom w:val="single" w:sz="18" w:space="0" w:color="auto"/>
              <w:right w:val="nil"/>
            </w:tcBorders>
          </w:tcPr>
          <w:p w:rsidR="005102DB" w:rsidRPr="00685F84" w:rsidRDefault="005102DB" w:rsidP="00B01CC5">
            <w:pPr>
              <w:pStyle w:val="Tabletext"/>
            </w:pPr>
            <w:r w:rsidRPr="00685F84">
              <w:t>0.0</w:t>
            </w:r>
          </w:p>
        </w:tc>
      </w:tr>
    </w:tbl>
    <w:p w:rsidR="00005882" w:rsidRDefault="00005882" w:rsidP="003B2A4D">
      <w:pPr>
        <w:rPr>
          <w:lang w:eastAsia="en-AU"/>
        </w:rPr>
        <w:sectPr w:rsidR="00005882" w:rsidSect="00D24C23">
          <w:headerReference w:type="default" r:id="rId16"/>
          <w:headerReference w:type="first" r:id="rId17"/>
          <w:type w:val="continuous"/>
          <w:pgSz w:w="11906" w:h="16838"/>
          <w:pgMar w:top="1440" w:right="1440" w:bottom="1440" w:left="1440" w:header="709" w:footer="709" w:gutter="0"/>
          <w:cols w:space="708"/>
          <w:docGrid w:linePitch="360"/>
        </w:sectPr>
      </w:pPr>
    </w:p>
    <w:p w:rsidR="00BE36F3" w:rsidRDefault="00E4496E" w:rsidP="00BE36F3">
      <w:pPr>
        <w:pStyle w:val="h1Chap"/>
      </w:pPr>
      <w:bookmarkStart w:id="18" w:name="_Toc499810585"/>
      <w:r>
        <w:lastRenderedPageBreak/>
        <w:t>Schedule 2</w:t>
      </w:r>
      <w:r w:rsidR="00BE36F3" w:rsidRPr="00C92564">
        <w:t>—</w:t>
      </w:r>
      <w:r w:rsidR="00BE36F3">
        <w:t>Calculation of proposed SDL adjustments</w:t>
      </w:r>
      <w:bookmarkEnd w:id="18"/>
    </w:p>
    <w:p w:rsidR="002C50E0" w:rsidRDefault="002C50E0" w:rsidP="002C50E0">
      <w:pPr>
        <w:pStyle w:val="ntoHeading"/>
      </w:pPr>
      <w:r>
        <w:t>Note:</w:t>
      </w:r>
      <w:r>
        <w:tab/>
        <w:t>See paragraph </w:t>
      </w:r>
      <w:r w:rsidR="002E2C36">
        <w:t>5(2)(b)</w:t>
      </w:r>
      <w:r>
        <w:t xml:space="preserve"> of this notice.</w:t>
      </w:r>
    </w:p>
    <w:p w:rsidR="00BE36F3" w:rsidRDefault="00E4496E" w:rsidP="00263421">
      <w:pPr>
        <w:pStyle w:val="h2Part"/>
        <w:pageBreakBefore w:val="0"/>
      </w:pPr>
      <w:bookmarkStart w:id="19" w:name="_Toc499810586"/>
      <w:r>
        <w:t>Part 1</w:t>
      </w:r>
      <w:r w:rsidR="00263421">
        <w:t>—Preliminary</w:t>
      </w:r>
      <w:bookmarkEnd w:id="19"/>
    </w:p>
    <w:p w:rsidR="00BE36F3" w:rsidRDefault="00E4496E" w:rsidP="00BE36F3">
      <w:pPr>
        <w:pStyle w:val="h5Section"/>
      </w:pPr>
      <w:bookmarkStart w:id="20" w:name="_Toc499810587"/>
      <w:bookmarkStart w:id="21" w:name="_Toc491442929"/>
      <w:r>
        <w:t>1</w:t>
      </w:r>
      <w:r w:rsidR="00BE36F3">
        <w:t xml:space="preserve">  Purpose of Schedule</w:t>
      </w:r>
      <w:bookmarkEnd w:id="20"/>
    </w:p>
    <w:p w:rsidR="001F09F6" w:rsidRPr="00BE36F3" w:rsidRDefault="00BE36F3" w:rsidP="00C07877">
      <w:pPr>
        <w:pStyle w:val="tMain"/>
      </w:pPr>
      <w:r>
        <w:tab/>
      </w:r>
      <w:r>
        <w:tab/>
        <w:t xml:space="preserve">This Schedule </w:t>
      </w:r>
      <w:r w:rsidR="001F09F6">
        <w:t xml:space="preserve">sets out how the amount </w:t>
      </w:r>
      <w:r w:rsidR="00C07877">
        <w:t>referred to in paragraph </w:t>
      </w:r>
      <w:r w:rsidR="002E2C36">
        <w:t>5(2)(b)</w:t>
      </w:r>
      <w:r w:rsidR="00C07877">
        <w:t xml:space="preserve"> of this notice </w:t>
      </w:r>
      <w:r w:rsidR="00B13A0B">
        <w:t>is</w:t>
      </w:r>
      <w:r w:rsidR="00C07877">
        <w:t xml:space="preserve"> calculated.</w:t>
      </w:r>
    </w:p>
    <w:p w:rsidR="00BE36F3" w:rsidRDefault="00E4496E" w:rsidP="00BE36F3">
      <w:pPr>
        <w:pStyle w:val="h5Section"/>
      </w:pPr>
      <w:bookmarkStart w:id="22" w:name="_Toc499810588"/>
      <w:r>
        <w:t>2</w:t>
      </w:r>
      <w:r w:rsidR="00BE36F3">
        <w:t xml:space="preserve">  Simplified outline of this </w:t>
      </w:r>
      <w:bookmarkEnd w:id="21"/>
      <w:r w:rsidR="00BE36F3">
        <w:t>Schedule</w:t>
      </w:r>
      <w:bookmarkEnd w:id="22"/>
    </w:p>
    <w:p w:rsidR="00BE36F3" w:rsidRDefault="00BE36F3" w:rsidP="00BE36F3">
      <w:pPr>
        <w:pStyle w:val="SOText"/>
      </w:pPr>
      <w:r>
        <w:t xml:space="preserve">This Schedule sets out how to calculate the SDL adjustment amount of each </w:t>
      </w:r>
      <w:r w:rsidR="00575BDF" w:rsidRPr="00D05A79">
        <w:t xml:space="preserve">surface water </w:t>
      </w:r>
      <w:r>
        <w:t xml:space="preserve">SDL resource unit for each water accounting period. The SDL adjustment amount is used to calculate the long term average sustainable diversion limit of each </w:t>
      </w:r>
      <w:r w:rsidR="00575BDF" w:rsidRPr="00D05A79">
        <w:t xml:space="preserve">surface water </w:t>
      </w:r>
      <w:r>
        <w:t>SDL resource unit.</w:t>
      </w:r>
    </w:p>
    <w:p w:rsidR="00BE36F3" w:rsidRPr="00F05993" w:rsidRDefault="00BE36F3" w:rsidP="00BE36F3">
      <w:pPr>
        <w:pStyle w:val="SOText"/>
      </w:pPr>
      <w:r w:rsidRPr="00F05993">
        <w:t>The SDL adjustment amount is expected to vary between water accounting periods, as:</w:t>
      </w:r>
    </w:p>
    <w:p w:rsidR="00BE36F3" w:rsidRPr="00F05993" w:rsidRDefault="00BE36F3" w:rsidP="00BE36F3">
      <w:pPr>
        <w:pStyle w:val="SOBullet"/>
        <w:spacing w:before="120"/>
      </w:pPr>
      <w:r w:rsidRPr="00F05993">
        <w:t>●</w:t>
      </w:r>
      <w:r w:rsidRPr="00F05993">
        <w:tab/>
        <w:t xml:space="preserve">water access entitlements are progressively acquired in conjunction with, or to take advantage of the water savings achieved by, notified efficiency measures. Such acquisitions will </w:t>
      </w:r>
      <w:r w:rsidR="003657AD" w:rsidRPr="00D05A79">
        <w:t>be</w:t>
      </w:r>
      <w:r w:rsidRPr="00F05993">
        <w:t xml:space="preserve"> efficiency </w:t>
      </w:r>
      <w:r w:rsidRPr="00F05993">
        <w:lastRenderedPageBreak/>
        <w:t xml:space="preserve">entitlements in different </w:t>
      </w:r>
      <w:r w:rsidR="00575BDF" w:rsidRPr="00D05A79">
        <w:t xml:space="preserve">surface water </w:t>
      </w:r>
      <w:r w:rsidRPr="00F05993">
        <w:t>SDL resource units, increasing the efficiency contributions in affected units; and</w:t>
      </w:r>
    </w:p>
    <w:p w:rsidR="00BE36F3" w:rsidRPr="00F05993" w:rsidRDefault="00BE36F3" w:rsidP="00BE36F3">
      <w:pPr>
        <w:pStyle w:val="SOBullet"/>
        <w:spacing w:before="120"/>
      </w:pPr>
      <w:r w:rsidRPr="00F05993">
        <w:t>●</w:t>
      </w:r>
      <w:r w:rsidRPr="00F05993">
        <w:tab/>
      </w:r>
      <w:r w:rsidR="003657AD" w:rsidRPr="00D05A79">
        <w:t xml:space="preserve">the overall limitation on the size of adjustment amounts under </w:t>
      </w:r>
      <w:r w:rsidR="003657AD" w:rsidRPr="00F05993">
        <w:t xml:space="preserve">section 7.19 </w:t>
      </w:r>
      <w:r w:rsidR="003657AD" w:rsidRPr="00D05A79">
        <w:t>operates, if applicable</w:t>
      </w:r>
      <w:r w:rsidR="000D1083" w:rsidRPr="00D05A79">
        <w:t>,</w:t>
      </w:r>
      <w:r w:rsidR="003657AD" w:rsidRPr="00D05A79">
        <w:t xml:space="preserve"> </w:t>
      </w:r>
      <w:r w:rsidR="003657AD" w:rsidRPr="009E44AC">
        <w:rPr>
          <w:color w:val="000000" w:themeColor="text1"/>
        </w:rPr>
        <w:t>in relation to a particular water accounting period</w:t>
      </w:r>
      <w:r w:rsidR="003657AD" w:rsidRPr="00F05993">
        <w:t>.</w:t>
      </w:r>
    </w:p>
    <w:p w:rsidR="007D73FF" w:rsidRDefault="00D439CC" w:rsidP="00D439CC">
      <w:pPr>
        <w:pStyle w:val="SOText"/>
        <w:rPr>
          <w:color w:val="000000" w:themeColor="text1"/>
          <w:szCs w:val="22"/>
          <w:shd w:val="clear" w:color="auto" w:fill="FFFFFF"/>
        </w:rPr>
      </w:pPr>
      <w:r w:rsidRPr="00F05993">
        <w:t xml:space="preserve">Section 7.19 </w:t>
      </w:r>
      <w:r>
        <w:t xml:space="preserve">of the Basin Plan </w:t>
      </w:r>
      <w:r w:rsidRPr="00F05993">
        <w:t>applies</w:t>
      </w:r>
      <w:r w:rsidRPr="00F05993">
        <w:rPr>
          <w:szCs w:val="22"/>
          <w:shd w:val="clear" w:color="auto" w:fill="FFFFFF"/>
        </w:rPr>
        <w:t xml:space="preserve"> if,</w:t>
      </w:r>
      <w:r w:rsidRPr="009E44AC">
        <w:rPr>
          <w:color w:val="000000" w:themeColor="text1"/>
        </w:rPr>
        <w:t xml:space="preserve"> </w:t>
      </w:r>
      <w:r w:rsidRPr="00F05993">
        <w:t>at a particular time</w:t>
      </w:r>
      <w:r w:rsidRPr="009E44AC">
        <w:rPr>
          <w:color w:val="000000" w:themeColor="text1"/>
        </w:rPr>
        <w:t>,</w:t>
      </w:r>
      <w:r w:rsidRPr="00F05993">
        <w:rPr>
          <w:szCs w:val="22"/>
          <w:shd w:val="clear" w:color="auto" w:fill="FFFFFF"/>
        </w:rPr>
        <w:t xml:space="preserve"> the net effect of the total supply contribution and the total efficiency contribution (referred to in this Schedule as the “net effect”)</w:t>
      </w:r>
      <w:r w:rsidRPr="00F05993">
        <w:t xml:space="preserve"> </w:t>
      </w:r>
      <w:r w:rsidRPr="00F05993">
        <w:rPr>
          <w:szCs w:val="22"/>
          <w:shd w:val="clear" w:color="auto" w:fill="FFFFFF"/>
        </w:rPr>
        <w:t>represents an increase or a decrease of more than</w:t>
      </w:r>
      <w:r>
        <w:rPr>
          <w:szCs w:val="22"/>
          <w:shd w:val="clear" w:color="auto" w:fill="FFFFFF"/>
        </w:rPr>
        <w:t xml:space="preserve"> </w:t>
      </w:r>
      <w:r w:rsidRPr="009E44AC">
        <w:rPr>
          <w:color w:val="000000" w:themeColor="text1"/>
          <w:szCs w:val="22"/>
          <w:shd w:val="clear" w:color="auto" w:fill="FFFFFF"/>
        </w:rPr>
        <w:t xml:space="preserve">5% of the total surface water SDL for the Basin water resources as it stood at the reference time. The total surface water SDL for the Basin water resources as it stood at the reference time is equal to </w:t>
      </w:r>
      <w:r w:rsidRPr="00D05A79">
        <w:rPr>
          <w:szCs w:val="22"/>
          <w:shd w:val="clear" w:color="auto" w:fill="FFFFFF"/>
        </w:rPr>
        <w:t xml:space="preserve">10,873 </w:t>
      </w:r>
      <w:r w:rsidRPr="009E44AC">
        <w:rPr>
          <w:color w:val="000000" w:themeColor="text1"/>
          <w:szCs w:val="22"/>
          <w:shd w:val="clear" w:color="auto" w:fill="FFFFFF"/>
        </w:rPr>
        <w:t>GL per year, and 5% of that amount is equal to</w:t>
      </w:r>
      <w:r w:rsidRPr="00F05993">
        <w:rPr>
          <w:szCs w:val="22"/>
          <w:shd w:val="clear" w:color="auto" w:fill="FFFFFF"/>
        </w:rPr>
        <w:t xml:space="preserve"> </w:t>
      </w:r>
      <w:r w:rsidRPr="00D05A79">
        <w:rPr>
          <w:szCs w:val="22"/>
          <w:shd w:val="clear" w:color="auto" w:fill="FFFFFF"/>
        </w:rPr>
        <w:t>543</w:t>
      </w:r>
      <w:r>
        <w:rPr>
          <w:color w:val="000000" w:themeColor="text1"/>
        </w:rPr>
        <w:t xml:space="preserve"> </w:t>
      </w:r>
      <w:r w:rsidRPr="009E44AC">
        <w:rPr>
          <w:color w:val="000000" w:themeColor="text1"/>
        </w:rPr>
        <w:t>GL per year</w:t>
      </w:r>
      <w:r>
        <w:t xml:space="preserve"> </w:t>
      </w:r>
      <w:r w:rsidRPr="009E44AC">
        <w:rPr>
          <w:color w:val="000000" w:themeColor="text1"/>
        </w:rPr>
        <w:t xml:space="preserve">(when rounded </w:t>
      </w:r>
      <w:r w:rsidRPr="00D05A79">
        <w:t>down</w:t>
      </w:r>
      <w:r w:rsidRPr="009E44AC">
        <w:rPr>
          <w:color w:val="000000" w:themeColor="text1"/>
        </w:rPr>
        <w:t>)</w:t>
      </w:r>
      <w:r>
        <w:t>.</w:t>
      </w:r>
    </w:p>
    <w:p w:rsidR="00D439CC" w:rsidRPr="00D05A79" w:rsidRDefault="00D439CC" w:rsidP="00D439CC">
      <w:pPr>
        <w:pStyle w:val="SOText"/>
        <w:rPr>
          <w:szCs w:val="22"/>
          <w:shd w:val="clear" w:color="auto" w:fill="FFFFFF"/>
        </w:rPr>
      </w:pPr>
      <w:r w:rsidRPr="009E44AC">
        <w:rPr>
          <w:color w:val="000000" w:themeColor="text1"/>
          <w:szCs w:val="22"/>
          <w:shd w:val="clear" w:color="auto" w:fill="FFFFFF"/>
        </w:rPr>
        <w:t xml:space="preserve">On the basis of the supply measures and efficiency measures that were notified to the Authority by 30 June 2017, the net effect will not </w:t>
      </w:r>
      <w:r>
        <w:rPr>
          <w:color w:val="000000" w:themeColor="text1"/>
          <w:szCs w:val="22"/>
          <w:shd w:val="clear" w:color="auto" w:fill="FFFFFF"/>
        </w:rPr>
        <w:t xml:space="preserve">represent a decrease of </w:t>
      </w:r>
      <w:r w:rsidRPr="009E44AC">
        <w:rPr>
          <w:color w:val="000000" w:themeColor="text1"/>
          <w:szCs w:val="22"/>
          <w:shd w:val="clear" w:color="auto" w:fill="FFFFFF"/>
        </w:rPr>
        <w:t>more than 5% of this amount.</w:t>
      </w:r>
      <w:r>
        <w:rPr>
          <w:color w:val="000000" w:themeColor="text1"/>
          <w:szCs w:val="22"/>
          <w:shd w:val="clear" w:color="auto" w:fill="FFFFFF"/>
        </w:rPr>
        <w:t xml:space="preserve"> </w:t>
      </w:r>
      <w:r w:rsidRPr="00D05A79">
        <w:rPr>
          <w:szCs w:val="22"/>
          <w:shd w:val="clear" w:color="auto" w:fill="FFFFFF"/>
        </w:rPr>
        <w:t>Accordingly, the formula set out in this Schedule provides for a reduction only of the supply contribution</w:t>
      </w:r>
      <w:r w:rsidR="00226824">
        <w:rPr>
          <w:szCs w:val="22"/>
          <w:shd w:val="clear" w:color="auto" w:fill="FFFFFF"/>
        </w:rPr>
        <w:t xml:space="preserve"> for affected units</w:t>
      </w:r>
      <w:r w:rsidRPr="00D05A79">
        <w:rPr>
          <w:szCs w:val="22"/>
          <w:shd w:val="clear" w:color="auto" w:fill="FFFFFF"/>
        </w:rPr>
        <w:t>, and not of the efficiency contribution</w:t>
      </w:r>
      <w:r w:rsidR="00226824">
        <w:rPr>
          <w:szCs w:val="22"/>
          <w:shd w:val="clear" w:color="auto" w:fill="FFFFFF"/>
        </w:rPr>
        <w:t>s</w:t>
      </w:r>
      <w:r w:rsidRPr="00D05A79">
        <w:rPr>
          <w:szCs w:val="22"/>
          <w:shd w:val="clear" w:color="auto" w:fill="FFFFFF"/>
        </w:rPr>
        <w:t>.</w:t>
      </w:r>
    </w:p>
    <w:p w:rsidR="00BE36F3" w:rsidRPr="00F05993" w:rsidRDefault="00BE36F3" w:rsidP="00BE36F3">
      <w:pPr>
        <w:pStyle w:val="SOText"/>
      </w:pPr>
      <w:r w:rsidRPr="00F05993">
        <w:lastRenderedPageBreak/>
        <w:t>As efficiency contributions are expected to vary over time, the net effect is also expected to vary. Section </w:t>
      </w:r>
      <w:r w:rsidR="002E2C36">
        <w:t>4</w:t>
      </w:r>
      <w:r w:rsidRPr="00F05993">
        <w:t xml:space="preserve"> </w:t>
      </w:r>
      <w:r w:rsidR="00A739CE">
        <w:t xml:space="preserve">of this Schedule </w:t>
      </w:r>
      <w:r w:rsidRPr="00F05993">
        <w:t>sets out how to assess the magnitude of the net effect.</w:t>
      </w:r>
    </w:p>
    <w:p w:rsidR="007D73FF" w:rsidRPr="00DD63B3" w:rsidRDefault="007D73FF" w:rsidP="00F13165">
      <w:pPr>
        <w:pStyle w:val="SOText"/>
        <w:keepNext/>
        <w:rPr>
          <w:b/>
        </w:rPr>
      </w:pPr>
      <w:r>
        <w:rPr>
          <w:b/>
        </w:rPr>
        <w:t>Net effect greater than 543 GL per year</w:t>
      </w:r>
    </w:p>
    <w:p w:rsidR="003657AD" w:rsidRPr="00F05993" w:rsidRDefault="003657AD" w:rsidP="003657AD">
      <w:pPr>
        <w:pStyle w:val="SOText"/>
      </w:pPr>
      <w:r w:rsidRPr="00D05A79">
        <w:t xml:space="preserve">For water accounting periods for which </w:t>
      </w:r>
      <w:r w:rsidRPr="00F05993">
        <w:t xml:space="preserve">the net effect exceeds </w:t>
      </w:r>
      <w:r w:rsidRPr="00D05A79">
        <w:rPr>
          <w:szCs w:val="22"/>
          <w:shd w:val="clear" w:color="auto" w:fill="FFFFFF"/>
        </w:rPr>
        <w:t>543</w:t>
      </w:r>
      <w:r>
        <w:rPr>
          <w:color w:val="000000" w:themeColor="text1"/>
        </w:rPr>
        <w:t xml:space="preserve"> </w:t>
      </w:r>
      <w:r w:rsidRPr="00F05993">
        <w:t>GL per year, SDL adjustment amounts are calculated in accordance with section </w:t>
      </w:r>
      <w:r w:rsidR="002E2C36">
        <w:t>5</w:t>
      </w:r>
      <w:r>
        <w:t xml:space="preserve"> </w:t>
      </w:r>
      <w:r w:rsidRPr="00D05A79">
        <w:t>of this Schedule</w:t>
      </w:r>
      <w:r w:rsidRPr="00F05993">
        <w:t>.</w:t>
      </w:r>
      <w:r w:rsidR="00D439CC" w:rsidRPr="00D05A79">
        <w:t xml:space="preserve"> For such water accounting periods, </w:t>
      </w:r>
      <w:r w:rsidR="00D439CC" w:rsidRPr="00F05993">
        <w:t>the formula additionally reflects the operation of the overall limit on adjustments in section 7.19</w:t>
      </w:r>
      <w:r w:rsidR="00D439CC">
        <w:t xml:space="preserve"> </w:t>
      </w:r>
      <w:r w:rsidR="00D439CC" w:rsidRPr="00D05A79">
        <w:t>of the Basin Plan</w:t>
      </w:r>
      <w:r w:rsidR="00D439CC" w:rsidRPr="00F05993">
        <w:t>.</w:t>
      </w:r>
    </w:p>
    <w:p w:rsidR="007D73FF" w:rsidRPr="00DD63B3" w:rsidRDefault="007D73FF" w:rsidP="00F13165">
      <w:pPr>
        <w:pStyle w:val="SOText"/>
        <w:keepNext/>
        <w:rPr>
          <w:b/>
        </w:rPr>
      </w:pPr>
      <w:r>
        <w:rPr>
          <w:b/>
        </w:rPr>
        <w:t>Net effect no greater than 543 GL per year</w:t>
      </w:r>
    </w:p>
    <w:p w:rsidR="003657AD" w:rsidRPr="00D05A79" w:rsidRDefault="003657AD" w:rsidP="003657AD">
      <w:pPr>
        <w:pStyle w:val="SOText"/>
      </w:pPr>
      <w:r w:rsidRPr="00F05993">
        <w:t xml:space="preserve">If, however, for a particular water accounting period, the net effect does not exceed </w:t>
      </w:r>
      <w:r w:rsidRPr="00D05A79">
        <w:rPr>
          <w:szCs w:val="22"/>
          <w:shd w:val="clear" w:color="auto" w:fill="FFFFFF"/>
        </w:rPr>
        <w:t>543</w:t>
      </w:r>
      <w:r>
        <w:rPr>
          <w:color w:val="000000" w:themeColor="text1"/>
        </w:rPr>
        <w:t> </w:t>
      </w:r>
      <w:r w:rsidRPr="00F05993">
        <w:t xml:space="preserve">GL per year, the SDL adjustment amount for each </w:t>
      </w:r>
      <w:r w:rsidRPr="00D05A79">
        <w:t xml:space="preserve">surface water </w:t>
      </w:r>
      <w:r w:rsidRPr="00F05993">
        <w:t xml:space="preserve">SDL resource unit is </w:t>
      </w:r>
      <w:r w:rsidRPr="00D05A79">
        <w:t xml:space="preserve">instead </w:t>
      </w:r>
      <w:r w:rsidRPr="00F05993">
        <w:t>calculated in accordance with section </w:t>
      </w:r>
      <w:r w:rsidR="002E2C36">
        <w:t>6</w:t>
      </w:r>
      <w:r>
        <w:t xml:space="preserve"> </w:t>
      </w:r>
      <w:r w:rsidRPr="00D05A79">
        <w:t>of this Schedule.</w:t>
      </w:r>
    </w:p>
    <w:p w:rsidR="003657AD" w:rsidRDefault="003657AD" w:rsidP="003657AD">
      <w:pPr>
        <w:pStyle w:val="SOText"/>
      </w:pPr>
      <w:r w:rsidRPr="00F05993">
        <w:t>In</w:t>
      </w:r>
      <w:r>
        <w:t xml:space="preserve"> </w:t>
      </w:r>
      <w:r w:rsidRPr="00D05A79">
        <w:t>both cases, in</w:t>
      </w:r>
      <w:r w:rsidRPr="00F05993">
        <w:t xml:space="preserve"> accordance with paragraph 7.20(4)(b)</w:t>
      </w:r>
      <w:r>
        <w:t xml:space="preserve"> </w:t>
      </w:r>
      <w:r w:rsidRPr="00D05A79">
        <w:t>of the Basin Plan</w:t>
      </w:r>
      <w:r w:rsidRPr="00F05993">
        <w:t xml:space="preserve">, </w:t>
      </w:r>
      <w:r w:rsidRPr="00D05A79">
        <w:t xml:space="preserve">the adjustments are </w:t>
      </w:r>
      <w:r w:rsidRPr="00F05993">
        <w:t xml:space="preserve">expressed in the form of a formula as a function of time, changing at specified times (namely, at the </w:t>
      </w:r>
      <w:r w:rsidR="002B75A8">
        <w:lastRenderedPageBreak/>
        <w:t>beginning</w:t>
      </w:r>
      <w:r w:rsidR="00D439CC" w:rsidRPr="00D05A79">
        <w:t xml:space="preserve"> </w:t>
      </w:r>
      <w:r w:rsidRPr="00F05993">
        <w:t>of each water accounting period), that reflects the changes up until 30 June 2024 of the relevant efficiency contributions.</w:t>
      </w:r>
    </w:p>
    <w:p w:rsidR="00BE36F3" w:rsidRPr="00A07CEB" w:rsidRDefault="00E4496E" w:rsidP="00BE36F3">
      <w:pPr>
        <w:pStyle w:val="h5Section"/>
      </w:pPr>
      <w:bookmarkStart w:id="23" w:name="_Toc499810589"/>
      <w:r>
        <w:t>3</w:t>
      </w:r>
      <w:r w:rsidR="00BE36F3" w:rsidRPr="00A07CEB">
        <w:t xml:space="preserve">  Interpretation</w:t>
      </w:r>
      <w:bookmarkEnd w:id="23"/>
    </w:p>
    <w:p w:rsidR="00BE36F3" w:rsidRDefault="00BE36F3" w:rsidP="00BE36F3">
      <w:pPr>
        <w:pStyle w:val="tMain"/>
      </w:pPr>
      <w:r>
        <w:tab/>
      </w:r>
      <w:r>
        <w:tab/>
      </w:r>
      <w:r w:rsidRPr="00A07CEB">
        <w:t xml:space="preserve">In this </w:t>
      </w:r>
      <w:r w:rsidR="00CF2CA6">
        <w:t>Schedule</w:t>
      </w:r>
      <w:r w:rsidRPr="00A07CEB">
        <w:t>:</w:t>
      </w:r>
    </w:p>
    <w:p w:rsidR="00BE36F3" w:rsidRDefault="00BE36F3" w:rsidP="00BE36F3">
      <w:pPr>
        <w:pStyle w:val="tDefn"/>
      </w:pPr>
      <w:r>
        <w:rPr>
          <w:b/>
          <w:i/>
        </w:rPr>
        <w:t>apportioned supply contribution</w:t>
      </w:r>
      <w:r>
        <w:t xml:space="preserve">, for a particular </w:t>
      </w:r>
      <w:r w:rsidR="00BB5757" w:rsidRPr="00D05A79">
        <w:t xml:space="preserve">surface water </w:t>
      </w:r>
      <w:r>
        <w:t>SDL resource unit, means:</w:t>
      </w:r>
    </w:p>
    <w:p w:rsidR="00BE36F3" w:rsidRDefault="00BE36F3" w:rsidP="00BE36F3">
      <w:pPr>
        <w:pStyle w:val="tPara"/>
      </w:pPr>
      <w:r>
        <w:tab/>
        <w:t>(a)</w:t>
      </w:r>
      <w:r>
        <w:tab/>
        <w:t>for a</w:t>
      </w:r>
      <w:r w:rsidR="00BB5757">
        <w:t xml:space="preserve"> </w:t>
      </w:r>
      <w:r w:rsidR="00BB5757" w:rsidRPr="00D05A79">
        <w:t>surface water</w:t>
      </w:r>
      <w:r>
        <w:t xml:space="preserve"> SDL resource unit </w:t>
      </w:r>
      <w:r w:rsidR="0000425E">
        <w:t xml:space="preserve">for which an amount is listed as the apportioned supply contribution in </w:t>
      </w:r>
      <w:r>
        <w:t xml:space="preserve">the table to </w:t>
      </w:r>
      <w:r w:rsidR="002E2C36">
        <w:t>Schedule 1</w:t>
      </w:r>
      <w:r w:rsidR="00754EFD">
        <w:t xml:space="preserve"> to this notice</w:t>
      </w:r>
      <w:r>
        <w:t>—</w:t>
      </w:r>
      <w:r w:rsidR="0000425E">
        <w:t xml:space="preserve">that </w:t>
      </w:r>
      <w:r>
        <w:t>amount, in GL per year; and</w:t>
      </w:r>
    </w:p>
    <w:p w:rsidR="00BE36F3" w:rsidRDefault="00BE36F3" w:rsidP="00BE36F3">
      <w:pPr>
        <w:pStyle w:val="tPara"/>
      </w:pPr>
      <w:r>
        <w:tab/>
        <w:t>(b)</w:t>
      </w:r>
      <w:r>
        <w:tab/>
        <w:t>otherwise—zero.</w:t>
      </w:r>
    </w:p>
    <w:p w:rsidR="00BE36F3" w:rsidRDefault="00BE36F3" w:rsidP="00BE36F3">
      <w:pPr>
        <w:pStyle w:val="nMain"/>
      </w:pPr>
      <w:r>
        <w:t>Note 1:</w:t>
      </w:r>
      <w:r>
        <w:tab/>
        <w:t>The apport</w:t>
      </w:r>
      <w:r w:rsidR="00BB5757">
        <w:t xml:space="preserve">ioned supply contribution for a </w:t>
      </w:r>
      <w:r w:rsidR="00BB5757" w:rsidRPr="00D05A79">
        <w:t>surface water</w:t>
      </w:r>
      <w:r>
        <w:t xml:space="preserve"> SDL resource unit is the amount of the total supply contribution, worked out in accordance with sections 7.15 and 7.17 of the Basin Plan, that was apportioned to the </w:t>
      </w:r>
      <w:r w:rsidR="00BB5757" w:rsidRPr="00D05A79">
        <w:t xml:space="preserve">surface water </w:t>
      </w:r>
      <w:r>
        <w:t>SDL resource unit in accordance with section 7.18</w:t>
      </w:r>
      <w:r w:rsidRPr="0004563C">
        <w:t xml:space="preserve"> </w:t>
      </w:r>
      <w:r>
        <w:t>of the Basin Plan, disregarding the effect (if any) of section 7.19</w:t>
      </w:r>
      <w:r w:rsidRPr="0004563C">
        <w:t xml:space="preserve"> </w:t>
      </w:r>
      <w:r>
        <w:t>of the Basin Plan.</w:t>
      </w:r>
    </w:p>
    <w:p w:rsidR="00BE36F3" w:rsidRDefault="00BE36F3" w:rsidP="00BE36F3">
      <w:pPr>
        <w:pStyle w:val="nMain"/>
        <w:spacing w:after="120"/>
      </w:pPr>
      <w:r>
        <w:t>Note 2:</w:t>
      </w:r>
      <w:r>
        <w:tab/>
        <w:t xml:space="preserve">The apportioned supply contribution for each </w:t>
      </w:r>
      <w:r w:rsidR="00BB5757" w:rsidRPr="00D05A79">
        <w:t xml:space="preserve">surface water </w:t>
      </w:r>
      <w:r>
        <w:t>SDL resource unit is the same for each water accounting period.</w:t>
      </w:r>
    </w:p>
    <w:p w:rsidR="002C2061" w:rsidRPr="00D05A79" w:rsidRDefault="002C2061" w:rsidP="002C2061">
      <w:pPr>
        <w:pStyle w:val="tDefn"/>
      </w:pPr>
      <w:r w:rsidRPr="00A44699">
        <w:rPr>
          <w:b/>
          <w:i/>
        </w:rPr>
        <w:lastRenderedPageBreak/>
        <w:t>current efficiency contribution</w:t>
      </w:r>
      <w:r w:rsidRPr="00A44699">
        <w:t xml:space="preserve">, for a particular </w:t>
      </w:r>
      <w:r w:rsidRPr="00D05A79">
        <w:t>surface water</w:t>
      </w:r>
      <w:r w:rsidRPr="00A44699">
        <w:t xml:space="preserve"> SDL resource unit and for a particular water accounting period, means</w:t>
      </w:r>
      <w:r>
        <w:t xml:space="preserve"> </w:t>
      </w:r>
      <w:r w:rsidRPr="00D05A79">
        <w:t xml:space="preserve">the unit’s efficiency contribution (within the meaning of subsection 7.16(1) of the Basin Plan) as at the end of the </w:t>
      </w:r>
      <w:r w:rsidR="00DD2AFF" w:rsidRPr="00542447">
        <w:t xml:space="preserve">first day of the </w:t>
      </w:r>
      <w:r w:rsidR="000D1083" w:rsidRPr="00D05A79">
        <w:t xml:space="preserve">water accounting period, </w:t>
      </w:r>
      <w:r w:rsidRPr="00D05A79">
        <w:t>disregarding any efficiency entitlement that might be registered on the register maintained under section 7.13 of th</w:t>
      </w:r>
      <w:r w:rsidR="000D1083" w:rsidRPr="00D05A79">
        <w:t>e Basin Plan after 30 June 2024</w:t>
      </w:r>
      <w:r w:rsidRPr="00D05A79">
        <w:t>.</w:t>
      </w:r>
    </w:p>
    <w:p w:rsidR="00BE36F3" w:rsidRDefault="00BE36F3" w:rsidP="00BE36F3">
      <w:pPr>
        <w:pStyle w:val="nMain"/>
      </w:pPr>
      <w:r>
        <w:t>Note:</w:t>
      </w:r>
      <w:r>
        <w:tab/>
        <w:t xml:space="preserve">The </w:t>
      </w:r>
      <w:r w:rsidRPr="009E44AC">
        <w:rPr>
          <w:color w:val="000000" w:themeColor="text1"/>
        </w:rPr>
        <w:t>current</w:t>
      </w:r>
      <w:r>
        <w:t xml:space="preserve"> efficiency contribution for a</w:t>
      </w:r>
      <w:r w:rsidR="00E931A5" w:rsidRPr="00D05A79">
        <w:t xml:space="preserve"> surface water</w:t>
      </w:r>
      <w:r>
        <w:t xml:space="preserve"> SDL resource unit might </w:t>
      </w:r>
      <w:r w:rsidRPr="009E44AC">
        <w:rPr>
          <w:color w:val="000000" w:themeColor="text1"/>
        </w:rPr>
        <w:t>vary</w:t>
      </w:r>
      <w:r>
        <w:t xml:space="preserve"> between water accounting periods</w:t>
      </w:r>
      <w:r w:rsidRPr="009E44AC">
        <w:rPr>
          <w:color w:val="000000" w:themeColor="text1"/>
        </w:rPr>
        <w:t xml:space="preserve">, as </w:t>
      </w:r>
      <w:r w:rsidR="00DD2AFF" w:rsidRPr="00542447">
        <w:t xml:space="preserve">relevant </w:t>
      </w:r>
      <w:r w:rsidRPr="009E44AC">
        <w:rPr>
          <w:color w:val="000000" w:themeColor="text1"/>
        </w:rPr>
        <w:t>water access entitlements</w:t>
      </w:r>
      <w:r w:rsidR="00DD2AFF">
        <w:rPr>
          <w:color w:val="000000" w:themeColor="text1"/>
        </w:rPr>
        <w:t xml:space="preserve"> </w:t>
      </w:r>
      <w:r w:rsidR="00DD2AFF" w:rsidRPr="00542447">
        <w:t>are acquired</w:t>
      </w:r>
      <w:r>
        <w:t>.</w:t>
      </w:r>
    </w:p>
    <w:p w:rsidR="00BE36F3" w:rsidRDefault="00BE36F3" w:rsidP="00BE36F3">
      <w:pPr>
        <w:pStyle w:val="tDefn"/>
      </w:pPr>
      <w:r>
        <w:rPr>
          <w:b/>
          <w:i/>
        </w:rPr>
        <w:t>net effect</w:t>
      </w:r>
      <w:r>
        <w:t>, for a particular water accounting period, has the meaning given by subsection </w:t>
      </w:r>
      <w:r w:rsidR="002E2C36">
        <w:t>4(2)</w:t>
      </w:r>
      <w:r w:rsidR="00A739CE">
        <w:t xml:space="preserve"> of this Schedule</w:t>
      </w:r>
      <w:r>
        <w:t>.</w:t>
      </w:r>
    </w:p>
    <w:p w:rsidR="00BE36F3" w:rsidRPr="00B04E85" w:rsidRDefault="00BE36F3" w:rsidP="00BE36F3">
      <w:pPr>
        <w:pStyle w:val="nMain"/>
      </w:pPr>
      <w:r>
        <w:t>Note 1:</w:t>
      </w:r>
      <w:r>
        <w:tab/>
        <w:t xml:space="preserve">The net effect is </w:t>
      </w:r>
      <w:r w:rsidRPr="00B04E85">
        <w:t xml:space="preserve">the difference between the total supply contribution and the total efficiency contribution for the water accounting period </w:t>
      </w:r>
      <w:r w:rsidRPr="00B04E85">
        <w:rPr>
          <w:szCs w:val="22"/>
          <w:shd w:val="clear" w:color="auto" w:fill="FFFFFF"/>
        </w:rPr>
        <w:t>under sections 7.15 to 7.17</w:t>
      </w:r>
      <w:r w:rsidRPr="0004563C">
        <w:t xml:space="preserve"> </w:t>
      </w:r>
      <w:r>
        <w:t>of the Basin Plan</w:t>
      </w:r>
      <w:r w:rsidRPr="00B04E85">
        <w:t>.</w:t>
      </w:r>
    </w:p>
    <w:p w:rsidR="00BE36F3" w:rsidRDefault="00BE36F3" w:rsidP="00BE36F3">
      <w:pPr>
        <w:pStyle w:val="nMain"/>
      </w:pPr>
      <w:r>
        <w:t>Note 2:</w:t>
      </w:r>
      <w:r>
        <w:tab/>
        <w:t xml:space="preserve">The net effect might </w:t>
      </w:r>
      <w:r w:rsidRPr="009E44AC">
        <w:rPr>
          <w:color w:val="000000" w:themeColor="text1"/>
        </w:rPr>
        <w:t>vary</w:t>
      </w:r>
      <w:r>
        <w:t xml:space="preserve"> between water accounting periods </w:t>
      </w:r>
      <w:r w:rsidRPr="009E44AC">
        <w:rPr>
          <w:color w:val="000000" w:themeColor="text1"/>
        </w:rPr>
        <w:t>as the total efficiency contribution changes with time</w:t>
      </w:r>
      <w:r>
        <w:t>.</w:t>
      </w:r>
    </w:p>
    <w:p w:rsidR="00F77AEA" w:rsidRDefault="00F77AEA" w:rsidP="00F77AEA">
      <w:pPr>
        <w:pStyle w:val="tDefn"/>
      </w:pPr>
      <w:r>
        <w:rPr>
          <w:b/>
          <w:i/>
        </w:rPr>
        <w:t>total current efficiency contribution</w:t>
      </w:r>
      <w:r w:rsidRPr="007A6197">
        <w:t>, for the water accounting period,</w:t>
      </w:r>
      <w:r>
        <w:rPr>
          <w:b/>
          <w:i/>
        </w:rPr>
        <w:t xml:space="preserve"> </w:t>
      </w:r>
      <w:r>
        <w:t xml:space="preserve">is equal to the sum of the current efficiency contributions of all </w:t>
      </w:r>
      <w:r w:rsidR="00D01DC1" w:rsidRPr="00542447">
        <w:t xml:space="preserve">surface water </w:t>
      </w:r>
      <w:r>
        <w:t>SDL resource units.</w:t>
      </w:r>
    </w:p>
    <w:p w:rsidR="00BE36F3" w:rsidRDefault="00E4496E" w:rsidP="00BE36F3">
      <w:pPr>
        <w:pStyle w:val="h2Part"/>
        <w:pageBreakBefore w:val="0"/>
      </w:pPr>
      <w:bookmarkStart w:id="24" w:name="_Toc499810590"/>
      <w:r>
        <w:lastRenderedPageBreak/>
        <w:t>Part 2</w:t>
      </w:r>
      <w:r w:rsidR="00BE36F3">
        <w:t>—Calculation of SDL adjustment amount</w:t>
      </w:r>
      <w:bookmarkEnd w:id="24"/>
    </w:p>
    <w:p w:rsidR="00BE36F3" w:rsidRDefault="00E4496E" w:rsidP="00BE36F3">
      <w:pPr>
        <w:pStyle w:val="h5Section"/>
      </w:pPr>
      <w:bookmarkStart w:id="25" w:name="_Toc499810591"/>
      <w:r>
        <w:t>4</w:t>
      </w:r>
      <w:r w:rsidR="00BE36F3">
        <w:t xml:space="preserve">  Net effect </w:t>
      </w:r>
      <w:r w:rsidR="00BE36F3" w:rsidRPr="00BB7E9D">
        <w:t>of the total supply contribution and the total efficiency contribution</w:t>
      </w:r>
      <w:bookmarkEnd w:id="25"/>
    </w:p>
    <w:p w:rsidR="00BE36F3" w:rsidRDefault="00BE36F3" w:rsidP="00BE36F3">
      <w:pPr>
        <w:pStyle w:val="tMain"/>
      </w:pPr>
      <w:r>
        <w:tab/>
      </w:r>
      <w:r w:rsidR="00E4496E">
        <w:t>(1)</w:t>
      </w:r>
      <w:r>
        <w:tab/>
        <w:t xml:space="preserve">The calculation of the SDL adjustment for each </w:t>
      </w:r>
      <w:r w:rsidR="00203F60" w:rsidRPr="00D05A79">
        <w:t xml:space="preserve">surface water </w:t>
      </w:r>
      <w:r>
        <w:t>SDL resource unit in a water accounting period depends on whether the net effect for that water accounting period would represent an increase of more than 5% of the total surface water SDL for the Basin water resources as it stood at the reference time.</w:t>
      </w:r>
    </w:p>
    <w:p w:rsidR="00BE36F3" w:rsidRDefault="00BE36F3" w:rsidP="00BE36F3">
      <w:pPr>
        <w:pStyle w:val="nMain"/>
      </w:pPr>
      <w:r>
        <w:t>Note:</w:t>
      </w:r>
      <w:r>
        <w:tab/>
        <w:t xml:space="preserve">The total surface water SDL for the Basin water resources as it stood at the reference time is 10,873 GL per year, and 5% of that amount is </w:t>
      </w:r>
      <w:r w:rsidRPr="00D05A79">
        <w:t>54</w:t>
      </w:r>
      <w:r w:rsidR="00E518B9" w:rsidRPr="00D05A79">
        <w:t>3</w:t>
      </w:r>
      <w:r>
        <w:t> </w:t>
      </w:r>
      <w:r w:rsidRPr="00327D52">
        <w:t>GL per year</w:t>
      </w:r>
      <w:r>
        <w:t xml:space="preserve"> </w:t>
      </w:r>
      <w:r w:rsidRPr="009E44AC">
        <w:rPr>
          <w:color w:val="000000" w:themeColor="text1"/>
        </w:rPr>
        <w:t xml:space="preserve">(when rounded </w:t>
      </w:r>
      <w:r w:rsidR="00E518B9" w:rsidRPr="00D05A79">
        <w:t>down</w:t>
      </w:r>
      <w:r w:rsidRPr="009E44AC">
        <w:rPr>
          <w:color w:val="000000" w:themeColor="text1"/>
        </w:rPr>
        <w:t>)</w:t>
      </w:r>
      <w:r>
        <w:t>.</w:t>
      </w:r>
    </w:p>
    <w:p w:rsidR="00BE36F3" w:rsidRDefault="00BE36F3" w:rsidP="00BE36F3">
      <w:pPr>
        <w:pStyle w:val="tMain"/>
      </w:pPr>
      <w:r>
        <w:tab/>
      </w:r>
      <w:r w:rsidR="00E4496E">
        <w:t>(2)</w:t>
      </w:r>
      <w:r>
        <w:tab/>
        <w:t xml:space="preserve">For a particular water accounting period, the </w:t>
      </w:r>
      <w:r w:rsidRPr="00FE661F">
        <w:rPr>
          <w:b/>
          <w:i/>
        </w:rPr>
        <w:t>net effect</w:t>
      </w:r>
      <w:r>
        <w:t>, in GL per year, is calculated in accordance with the following formula:</w:t>
      </w:r>
    </w:p>
    <w:p w:rsidR="00BE36F3" w:rsidRDefault="00BE36F3" w:rsidP="00BE36F3">
      <w:pPr>
        <w:pStyle w:val="tMain"/>
      </w:pPr>
    </w:p>
    <w:p w:rsidR="00BE36F3" w:rsidRPr="00F905B2" w:rsidRDefault="00BA2F18" w:rsidP="00BE36F3">
      <w:pPr>
        <w:pStyle w:val="tMain"/>
      </w:pPr>
      <m:oMathPara>
        <m:oMathParaPr>
          <m:jc m:val="left"/>
        </m:oMathParaPr>
        <m:oMath>
          <m:d>
            <m:dPr>
              <m:ctrlPr>
                <w:rPr>
                  <w:rFonts w:ascii="Cambria Math" w:hAnsi="Cambria Math"/>
                  <w:i/>
                </w:rPr>
              </m:ctrlPr>
            </m:dPr>
            <m:e>
              <m:r>
                <m:rPr>
                  <m:nor/>
                </m:rPr>
                <w:rPr>
                  <w:rFonts w:ascii="Cambria Math" w:hAnsi="Cambria Math"/>
                </w:rPr>
                <m:t>net effect</m:t>
              </m:r>
            </m:e>
          </m:d>
          <m:r>
            <w:rPr>
              <w:rFonts w:ascii="Cambria Math" w:hAnsi="Cambria Math"/>
            </w:rPr>
            <m:t>=</m:t>
          </m:r>
          <m:r>
            <w:rPr>
              <w:rFonts w:ascii="Cambria Math" w:hAnsi="Cambria Math"/>
              <w:color w:val="000000" w:themeColor="text1"/>
            </w:rPr>
            <m:t>605</m:t>
          </m:r>
          <m:r>
            <w:rPr>
              <w:rFonts w:ascii="Cambria Math" w:hAnsi="Cambria Math"/>
            </w:rPr>
            <m:t>-</m:t>
          </m:r>
          <m:d>
            <m:dPr>
              <m:ctrlPr>
                <w:rPr>
                  <w:rFonts w:ascii="Cambria Math" w:hAnsi="Cambria Math"/>
                  <w:i/>
                </w:rPr>
              </m:ctrlPr>
            </m:dPr>
            <m:e>
              <m:r>
                <m:rPr>
                  <m:nor/>
                </m:rPr>
                <w:rPr>
                  <w:rFonts w:ascii="Cambria Math" w:hAnsi="Cambria Math"/>
                </w:rPr>
                <m:t>total current efficiency contribution</m:t>
              </m:r>
            </m:e>
          </m:d>
        </m:oMath>
      </m:oMathPara>
    </w:p>
    <w:p w:rsidR="00BE36F3" w:rsidRDefault="00BE36F3" w:rsidP="00BE36F3">
      <w:pPr>
        <w:pStyle w:val="tMain"/>
      </w:pPr>
    </w:p>
    <w:p w:rsidR="00BE36F3" w:rsidRDefault="00BE36F3" w:rsidP="00BE36F3">
      <w:pPr>
        <w:pStyle w:val="tMain"/>
      </w:pPr>
      <w:r>
        <w:lastRenderedPageBreak/>
        <w:tab/>
      </w:r>
      <w:r>
        <w:tab/>
        <w:t>where:</w:t>
      </w:r>
    </w:p>
    <w:p w:rsidR="00BE36F3" w:rsidRDefault="00BE36F3" w:rsidP="00F77AEA">
      <w:pPr>
        <w:pStyle w:val="tDefn"/>
      </w:pPr>
      <w:r>
        <w:rPr>
          <w:b/>
          <w:i/>
        </w:rPr>
        <w:t>total current efficiency contribution</w:t>
      </w:r>
      <w:r w:rsidR="00F77AEA">
        <w:t xml:space="preserve"> has the meaning given by </w:t>
      </w:r>
      <w:r>
        <w:t>section </w:t>
      </w:r>
      <w:r w:rsidR="002E2C36">
        <w:t>3</w:t>
      </w:r>
      <w:r w:rsidR="00603A7B">
        <w:t xml:space="preserve"> of this Schedule</w:t>
      </w:r>
      <w:r>
        <w:t>.</w:t>
      </w:r>
    </w:p>
    <w:p w:rsidR="00BE36F3" w:rsidRPr="009E44AC" w:rsidRDefault="00BE36F3" w:rsidP="00BE36F3">
      <w:pPr>
        <w:pStyle w:val="nMain"/>
        <w:rPr>
          <w:color w:val="000000" w:themeColor="text1"/>
        </w:rPr>
      </w:pPr>
      <w:r>
        <w:t>Note:</w:t>
      </w:r>
      <w:r>
        <w:tab/>
      </w:r>
      <w:r w:rsidRPr="009E44AC">
        <w:rPr>
          <w:color w:val="000000" w:themeColor="text1"/>
        </w:rPr>
        <w:t>The amount 605 GL per year is the total supply contribution.</w:t>
      </w:r>
    </w:p>
    <w:p w:rsidR="00BE36F3" w:rsidRDefault="00E4496E" w:rsidP="00BE36F3">
      <w:pPr>
        <w:pStyle w:val="h5Section"/>
      </w:pPr>
      <w:bookmarkStart w:id="26" w:name="_Toc499810592"/>
      <w:r>
        <w:t>5</w:t>
      </w:r>
      <w:r w:rsidR="00BE36F3">
        <w:t xml:space="preserve">  Calculation of SDL adjustment amounts—net effect greater than </w:t>
      </w:r>
      <w:r w:rsidR="00B53A04" w:rsidRPr="00D05A79">
        <w:t>543</w:t>
      </w:r>
      <w:r w:rsidR="00BE36F3" w:rsidRPr="00327D52">
        <w:t xml:space="preserve"> GL per year</w:t>
      </w:r>
      <w:bookmarkEnd w:id="26"/>
    </w:p>
    <w:p w:rsidR="00BE36F3" w:rsidRDefault="00BE36F3" w:rsidP="00BE36F3">
      <w:pPr>
        <w:pStyle w:val="tMain"/>
      </w:pPr>
      <w:r>
        <w:tab/>
      </w:r>
      <w:r w:rsidR="00E4496E">
        <w:t>(1)</w:t>
      </w:r>
      <w:r>
        <w:tab/>
        <w:t xml:space="preserve">This section applies if, for the water accounting period, the net effect is greater than </w:t>
      </w:r>
      <w:r w:rsidR="00B53A04" w:rsidRPr="00D05A79">
        <w:t>543</w:t>
      </w:r>
      <w:r>
        <w:t> </w:t>
      </w:r>
      <w:r w:rsidRPr="00327D52">
        <w:t>GL per year</w:t>
      </w:r>
      <w:r>
        <w:t>.</w:t>
      </w:r>
    </w:p>
    <w:p w:rsidR="00CF235E" w:rsidRPr="00393B7C" w:rsidRDefault="00CF235E" w:rsidP="00CF235E">
      <w:pPr>
        <w:pStyle w:val="nMain"/>
      </w:pPr>
      <w:r w:rsidRPr="00393B7C">
        <w:t>Note:</w:t>
      </w:r>
      <w:r w:rsidRPr="00393B7C">
        <w:tab/>
        <w:t>The net effect will be greater than 543 GL per year only if the total current efficiency contribution is less than 62 GL per year.</w:t>
      </w:r>
    </w:p>
    <w:p w:rsidR="00BE36F3" w:rsidRDefault="00BE36F3" w:rsidP="00BE36F3">
      <w:pPr>
        <w:pStyle w:val="tMain"/>
      </w:pPr>
      <w:r>
        <w:tab/>
      </w:r>
      <w:r w:rsidR="00E4496E">
        <w:t>(2)</w:t>
      </w:r>
      <w:r>
        <w:tab/>
        <w:t xml:space="preserve">The </w:t>
      </w:r>
      <w:r w:rsidRPr="00557CC6">
        <w:rPr>
          <w:b/>
          <w:i/>
        </w:rPr>
        <w:t>SDL adjustment amount</w:t>
      </w:r>
      <w:r>
        <w:t xml:space="preserve"> for a particular </w:t>
      </w:r>
      <w:r w:rsidR="00603A7B" w:rsidRPr="00D05A79">
        <w:t xml:space="preserve">surface water </w:t>
      </w:r>
      <w:r>
        <w:t>SDL resource unit for the water accounting period, in GL per year, is calculated in accordance with the following formula:</w:t>
      </w:r>
    </w:p>
    <w:p w:rsidR="00BE36F3" w:rsidRDefault="00BE36F3" w:rsidP="00BE36F3">
      <w:pPr>
        <w:pStyle w:val="tMain"/>
      </w:pPr>
    </w:p>
    <w:p w:rsidR="00BE36F3" w:rsidRPr="00F905B2" w:rsidRDefault="00BA2F18" w:rsidP="00BE36F3">
      <w:pPr>
        <w:pStyle w:val="tMain"/>
      </w:pPr>
      <m:oMathPara>
        <m:oMathParaPr>
          <m:jc m:val="left"/>
        </m:oMathParaPr>
        <m:oMath>
          <m:d>
            <m:dPr>
              <m:ctrlPr>
                <w:rPr>
                  <w:rFonts w:ascii="Cambria Math" w:hAnsi="Cambria Math"/>
                  <w:i/>
                </w:rPr>
              </m:ctrlPr>
            </m:dPr>
            <m:e>
              <m:eqArr>
                <m:eqArrPr>
                  <m:ctrlPr>
                    <w:rPr>
                      <w:rFonts w:ascii="Cambria Math" w:hAnsi="Cambria Math"/>
                    </w:rPr>
                  </m:ctrlPr>
                </m:eqArrPr>
                <m:e>
                  <m:r>
                    <m:rPr>
                      <m:nor/>
                    </m:rPr>
                    <w:rPr>
                      <w:rFonts w:ascii="Cambria Math" w:hAnsi="Cambria Math"/>
                    </w:rPr>
                    <m:t>SDL adjustment</m:t>
                  </m:r>
                </m:e>
                <m:e>
                  <m:r>
                    <m:rPr>
                      <m:nor/>
                    </m:rPr>
                    <w:rPr>
                      <w:rFonts w:ascii="Cambria Math" w:hAnsi="Cambria Math"/>
                    </w:rPr>
                    <m:t>amount</m:t>
                  </m:r>
                </m:e>
              </m:eqArr>
            </m:e>
          </m:d>
          <m:r>
            <w:rPr>
              <w:rFonts w:ascii="Cambria Math" w:hAnsi="Cambria Math"/>
            </w:rPr>
            <m:t>=</m:t>
          </m:r>
          <m:d>
            <m:dPr>
              <m:ctrlPr>
                <w:rPr>
                  <w:rFonts w:ascii="Cambria Math" w:hAnsi="Cambria Math"/>
                  <w:i/>
                </w:rPr>
              </m:ctrlPr>
            </m:dPr>
            <m:e>
              <m:eqArr>
                <m:eqArrPr>
                  <m:ctrlPr>
                    <w:rPr>
                      <w:rFonts w:ascii="Cambria Math" w:hAnsi="Cambria Math"/>
                    </w:rPr>
                  </m:ctrlPr>
                </m:eqArrPr>
                <m:e>
                  <m:r>
                    <m:rPr>
                      <m:nor/>
                    </m:rPr>
                    <w:rPr>
                      <w:rFonts w:ascii="Cambria Math" w:hAnsi="Cambria Math"/>
                    </w:rPr>
                    <m:t>reduced supply</m:t>
                  </m:r>
                </m:e>
                <m:e>
                  <m:r>
                    <m:rPr>
                      <m:nor/>
                    </m:rPr>
                    <w:rPr>
                      <w:rFonts w:ascii="Cambria Math" w:hAnsi="Cambria Math"/>
                    </w:rPr>
                    <m:t>contribution</m:t>
                  </m:r>
                </m:e>
              </m:eqArr>
            </m:e>
          </m:d>
          <m:r>
            <w:rPr>
              <w:rFonts w:ascii="Cambria Math" w:hAnsi="Cambria Math"/>
            </w:rPr>
            <m:t>-</m:t>
          </m:r>
          <m:d>
            <m:dPr>
              <m:ctrlPr>
                <w:rPr>
                  <w:rFonts w:ascii="Cambria Math" w:hAnsi="Cambria Math"/>
                  <w:i/>
                </w:rPr>
              </m:ctrlPr>
            </m:dPr>
            <m:e>
              <m:eqArr>
                <m:eqArrPr>
                  <m:ctrlPr>
                    <w:rPr>
                      <w:rFonts w:ascii="Cambria Math" w:hAnsi="Cambria Math"/>
                    </w:rPr>
                  </m:ctrlPr>
                </m:eqArrPr>
                <m:e>
                  <m:r>
                    <m:rPr>
                      <m:nor/>
                    </m:rPr>
                    <w:rPr>
                      <w:rFonts w:ascii="Cambria Math" w:hAnsi="Cambria Math"/>
                    </w:rPr>
                    <m:t>current efficiency</m:t>
                  </m:r>
                </m:e>
                <m:e>
                  <m:r>
                    <m:rPr>
                      <m:nor/>
                    </m:rPr>
                    <w:rPr>
                      <w:rFonts w:ascii="Cambria Math" w:hAnsi="Cambria Math"/>
                    </w:rPr>
                    <m:t>contribution</m:t>
                  </m:r>
                </m:e>
              </m:eqArr>
            </m:e>
          </m:d>
        </m:oMath>
      </m:oMathPara>
    </w:p>
    <w:p w:rsidR="00BE36F3" w:rsidRDefault="00BE36F3" w:rsidP="00BE36F3">
      <w:pPr>
        <w:pStyle w:val="tMain"/>
      </w:pPr>
    </w:p>
    <w:p w:rsidR="00BE36F3" w:rsidRDefault="00BE36F3" w:rsidP="00BE36F3">
      <w:pPr>
        <w:pStyle w:val="tMain"/>
      </w:pPr>
      <w:r>
        <w:tab/>
      </w:r>
      <w:r>
        <w:tab/>
        <w:t>where:</w:t>
      </w:r>
    </w:p>
    <w:p w:rsidR="00BE36F3" w:rsidRPr="006A4DC8" w:rsidRDefault="00BE36F3" w:rsidP="00BE36F3">
      <w:pPr>
        <w:pStyle w:val="tDefn"/>
      </w:pPr>
      <w:r>
        <w:rPr>
          <w:b/>
          <w:i/>
        </w:rPr>
        <w:t>reduced supply contribution</w:t>
      </w:r>
      <w:r>
        <w:t xml:space="preserve">, for the </w:t>
      </w:r>
      <w:r w:rsidR="00603A7B" w:rsidRPr="00D05A79">
        <w:t xml:space="preserve">surface water </w:t>
      </w:r>
      <w:r>
        <w:t xml:space="preserve">SDL resource unit and the water accounting period, </w:t>
      </w:r>
      <w:r w:rsidRPr="006A4DC8">
        <w:t xml:space="preserve">means the amount calculated in accordance with </w:t>
      </w:r>
      <w:r w:rsidR="008A17E9" w:rsidRPr="00D05A79">
        <w:t>sub</w:t>
      </w:r>
      <w:r w:rsidRPr="006A4DC8">
        <w:t>section </w:t>
      </w:r>
      <w:r w:rsidR="002E2C36">
        <w:t>(3)</w:t>
      </w:r>
      <w:r w:rsidRPr="006A4DC8">
        <w:t>.</w:t>
      </w:r>
    </w:p>
    <w:p w:rsidR="00BE36F3" w:rsidRPr="006A4DC8" w:rsidRDefault="00BE36F3" w:rsidP="00BE36F3">
      <w:pPr>
        <w:pStyle w:val="tDefn"/>
      </w:pPr>
      <w:r w:rsidRPr="006A4DC8">
        <w:rPr>
          <w:b/>
          <w:i/>
        </w:rPr>
        <w:t>current efficiency contribution</w:t>
      </w:r>
      <w:r w:rsidRPr="006A4DC8">
        <w:t xml:space="preserve">, for the </w:t>
      </w:r>
      <w:r w:rsidR="00603A7B" w:rsidRPr="00D05A79">
        <w:t xml:space="preserve">surface water </w:t>
      </w:r>
      <w:r w:rsidRPr="006A4DC8">
        <w:t>SDL resource unit and the water accounting period, has the meaning given</w:t>
      </w:r>
      <w:r w:rsidR="00F77AEA">
        <w:t xml:space="preserve"> by </w:t>
      </w:r>
      <w:r w:rsidRPr="006A4DC8">
        <w:t>section </w:t>
      </w:r>
      <w:r w:rsidR="002E2C36">
        <w:t>3</w:t>
      </w:r>
      <w:r w:rsidR="008967D3">
        <w:t xml:space="preserve"> </w:t>
      </w:r>
      <w:r w:rsidR="008967D3" w:rsidRPr="00D05A79">
        <w:t>of this Schedule</w:t>
      </w:r>
      <w:r w:rsidRPr="006A4DC8">
        <w:t>.</w:t>
      </w:r>
    </w:p>
    <w:p w:rsidR="00BE36F3" w:rsidRDefault="00BE36F3" w:rsidP="00BE36F3">
      <w:pPr>
        <w:pStyle w:val="tMain"/>
      </w:pPr>
      <w:r>
        <w:tab/>
      </w:r>
      <w:r w:rsidR="00E4496E">
        <w:t>(3)</w:t>
      </w:r>
      <w:r>
        <w:tab/>
      </w:r>
      <w:r w:rsidRPr="006A4DC8">
        <w:t>For subsection </w:t>
      </w:r>
      <w:r w:rsidR="002E2C36">
        <w:t>(2)</w:t>
      </w:r>
      <w:r w:rsidRPr="006A4DC8">
        <w:t xml:space="preserve">, the </w:t>
      </w:r>
      <w:r w:rsidR="00603A7B" w:rsidRPr="00D05A79">
        <w:t xml:space="preserve">surface water </w:t>
      </w:r>
      <w:r>
        <w:t xml:space="preserve">SDL resource unit’s </w:t>
      </w:r>
      <w:r w:rsidRPr="006B1CE8">
        <w:rPr>
          <w:b/>
          <w:i/>
        </w:rPr>
        <w:t>reduced supply contribution</w:t>
      </w:r>
      <w:r>
        <w:t xml:space="preserve"> for the water accounting period is calculated in accordance with the following formula:</w:t>
      </w:r>
    </w:p>
    <w:p w:rsidR="00BE36F3" w:rsidRDefault="00BE36F3" w:rsidP="00BE36F3">
      <w:pPr>
        <w:pStyle w:val="tMain"/>
      </w:pPr>
    </w:p>
    <w:p w:rsidR="00BE36F3" w:rsidRPr="00873FBF" w:rsidRDefault="00BA2F18" w:rsidP="00BE36F3">
      <w:pPr>
        <w:pStyle w:val="tMain"/>
      </w:pPr>
      <m:oMathPara>
        <m:oMathParaPr>
          <m:jc m:val="left"/>
        </m:oMathParaPr>
        <m:oMath>
          <m:d>
            <m:dPr>
              <m:ctrlPr>
                <w:rPr>
                  <w:rFonts w:ascii="Cambria Math" w:hAnsi="Cambria Math"/>
                </w:rPr>
              </m:ctrlPr>
            </m:dPr>
            <m:e>
              <m:eqArr>
                <m:eqArrPr>
                  <m:ctrlPr>
                    <w:rPr>
                      <w:rFonts w:ascii="Cambria Math" w:hAnsi="Cambria Math"/>
                    </w:rPr>
                  </m:ctrlPr>
                </m:eqArrPr>
                <m:e>
                  <m:r>
                    <m:rPr>
                      <m:nor/>
                    </m:rPr>
                    <w:rPr>
                      <w:rFonts w:ascii="Cambria Math" w:hAnsi="Cambria Math"/>
                    </w:rPr>
                    <m:t>reduced supply</m:t>
                  </m:r>
                </m:e>
                <m:e>
                  <m:r>
                    <m:rPr>
                      <m:nor/>
                    </m:rPr>
                    <w:rPr>
                      <w:rFonts w:ascii="Cambria Math" w:hAnsi="Cambria Math"/>
                    </w:rPr>
                    <m:t>contribution</m:t>
                  </m:r>
                </m:e>
              </m:eqArr>
            </m:e>
          </m:d>
          <m:r>
            <m:rPr>
              <m:nor/>
            </m:rPr>
            <w:rPr>
              <w:rFonts w:ascii="Cambria Math" w:hAnsi="Cambria Math"/>
            </w:rPr>
            <m:t>=</m:t>
          </m:r>
          <m:d>
            <m:dPr>
              <m:ctrlPr>
                <w:rPr>
                  <w:rFonts w:ascii="Cambria Math" w:hAnsi="Cambria Math"/>
                </w:rPr>
              </m:ctrlPr>
            </m:dPr>
            <m:e>
              <m:eqArr>
                <m:eqArrPr>
                  <m:ctrlPr>
                    <w:rPr>
                      <w:rFonts w:ascii="Cambria Math" w:hAnsi="Cambria Math"/>
                    </w:rPr>
                  </m:ctrlPr>
                </m:eqArrPr>
                <m:e>
                  <m:r>
                    <m:rPr>
                      <m:nor/>
                    </m:rPr>
                    <w:rPr>
                      <w:rFonts w:ascii="Cambria Math" w:hAnsi="Cambria Math"/>
                    </w:rPr>
                    <m:t>apportioned supply</m:t>
                  </m:r>
                </m:e>
                <m:e>
                  <m:r>
                    <m:rPr>
                      <m:nor/>
                    </m:rPr>
                    <w:rPr>
                      <w:rFonts w:ascii="Cambria Math" w:hAnsi="Cambria Math"/>
                    </w:rPr>
                    <m:t>contribution</m:t>
                  </m:r>
                </m:e>
              </m:eqArr>
            </m:e>
          </m:d>
          <m:r>
            <w:rPr>
              <w:rFonts w:ascii="Cambria Math" w:hAnsi="Cambria Math"/>
            </w:rPr>
            <m:t>×</m:t>
          </m:r>
          <m:d>
            <m:dPr>
              <m:ctrlPr>
                <w:rPr>
                  <w:rFonts w:ascii="Cambria Math" w:hAnsi="Cambria Math"/>
                  <w:i/>
                </w:rPr>
              </m:ctrlPr>
            </m:dPr>
            <m:e>
              <m:f>
                <m:fPr>
                  <m:ctrlPr>
                    <w:rPr>
                      <w:rFonts w:ascii="Cambria Math" w:hAnsi="Cambria Math"/>
                    </w:rPr>
                  </m:ctrlPr>
                </m:fPr>
                <m:num>
                  <m:d>
                    <m:dPr>
                      <m:ctrlPr>
                        <w:rPr>
                          <w:rFonts w:ascii="Cambria Math" w:hAnsi="Cambria Math"/>
                          <w:i/>
                        </w:rPr>
                      </m:ctrlPr>
                    </m:dPr>
                    <m:e>
                      <m:eqArr>
                        <m:eqArrPr>
                          <m:ctrlPr>
                            <w:rPr>
                              <w:rFonts w:ascii="Cambria Math" w:hAnsi="Cambria Math"/>
                            </w:rPr>
                          </m:ctrlPr>
                        </m:eqArrPr>
                        <m:e>
                          <m:r>
                            <m:rPr>
                              <m:nor/>
                            </m:rPr>
                            <w:rPr>
                              <w:rFonts w:ascii="Cambria Math" w:hAnsi="Cambria Math"/>
                            </w:rPr>
                            <m:t>total current</m:t>
                          </m:r>
                        </m:e>
                        <m:e>
                          <m:r>
                            <m:rPr>
                              <m:nor/>
                            </m:rPr>
                            <w:rPr>
                              <w:rFonts w:ascii="Cambria Math" w:hAnsi="Cambria Math"/>
                            </w:rPr>
                            <m:t>efficiency contribution</m:t>
                          </m:r>
                        </m:e>
                      </m:eqArr>
                    </m:e>
                  </m:d>
                  <m:r>
                    <w:rPr>
                      <w:rFonts w:ascii="Cambria Math" w:hAnsi="Cambria Math"/>
                    </w:rPr>
                    <m:t>+</m:t>
                  </m:r>
                  <m:r>
                    <m:rPr>
                      <m:sty m:val="p"/>
                    </m:rPr>
                    <w:rPr>
                      <w:rFonts w:ascii="Cambria Math" w:hAnsi="Cambria Math"/>
                      <w:szCs w:val="22"/>
                      <w:shd w:val="clear" w:color="auto" w:fill="FFFFFF"/>
                    </w:rPr>
                    <m:t>543</m:t>
                  </m:r>
                </m:num>
                <m:den>
                  <m:r>
                    <w:rPr>
                      <w:rFonts w:ascii="Cambria Math" w:hAnsi="Cambria Math"/>
                    </w:rPr>
                    <m:t>605</m:t>
                  </m:r>
                </m:den>
              </m:f>
            </m:e>
          </m:d>
        </m:oMath>
      </m:oMathPara>
    </w:p>
    <w:p w:rsidR="00BE36F3" w:rsidRDefault="00BE36F3" w:rsidP="00BE36F3">
      <w:pPr>
        <w:pStyle w:val="tMain"/>
      </w:pPr>
    </w:p>
    <w:p w:rsidR="00BE36F3" w:rsidRDefault="00BE36F3" w:rsidP="00BE36F3">
      <w:pPr>
        <w:pStyle w:val="tMain"/>
      </w:pPr>
      <w:r>
        <w:tab/>
      </w:r>
      <w:r>
        <w:tab/>
        <w:t>where:</w:t>
      </w:r>
    </w:p>
    <w:p w:rsidR="00BE36F3" w:rsidRDefault="00BE36F3" w:rsidP="00BE36F3">
      <w:pPr>
        <w:pStyle w:val="tDefn"/>
      </w:pPr>
      <w:r>
        <w:rPr>
          <w:b/>
          <w:i/>
        </w:rPr>
        <w:t>apportioned supply contribution</w:t>
      </w:r>
      <w:r>
        <w:t xml:space="preserve">, for the </w:t>
      </w:r>
      <w:r w:rsidR="00603A7B" w:rsidRPr="00D05A79">
        <w:t xml:space="preserve">surface water </w:t>
      </w:r>
      <w:r>
        <w:t xml:space="preserve">SDL resource </w:t>
      </w:r>
      <w:r w:rsidR="002C50E0">
        <w:t xml:space="preserve">unit, has the meaning given </w:t>
      </w:r>
      <w:r w:rsidR="00F77AEA">
        <w:t>by</w:t>
      </w:r>
      <w:r w:rsidR="002C50E0">
        <w:t xml:space="preserve"> s</w:t>
      </w:r>
      <w:r>
        <w:t>ection </w:t>
      </w:r>
      <w:r w:rsidR="002E2C36">
        <w:t>3</w:t>
      </w:r>
      <w:r w:rsidR="008967D3">
        <w:t xml:space="preserve"> </w:t>
      </w:r>
      <w:r w:rsidR="008967D3" w:rsidRPr="00D05A79">
        <w:t>of this Schedule</w:t>
      </w:r>
      <w:r>
        <w:t>.</w:t>
      </w:r>
    </w:p>
    <w:p w:rsidR="00944DE8" w:rsidRPr="00D05A79" w:rsidRDefault="00944DE8" w:rsidP="00944DE8">
      <w:pPr>
        <w:pStyle w:val="tDefn"/>
        <w:rPr>
          <w:bCs/>
          <w:iCs/>
          <w:u w:val="single"/>
        </w:rPr>
      </w:pPr>
      <w:r w:rsidRPr="00D05A79">
        <w:rPr>
          <w:b/>
          <w:bCs/>
          <w:i/>
          <w:iCs/>
        </w:rPr>
        <w:t xml:space="preserve">total current efficiency contribution </w:t>
      </w:r>
      <w:r w:rsidRPr="00D05A79">
        <w:rPr>
          <w:bCs/>
          <w:iCs/>
        </w:rPr>
        <w:t>has the same meaning as in subsection </w:t>
      </w:r>
      <w:r w:rsidR="002E2C36">
        <w:rPr>
          <w:bCs/>
          <w:iCs/>
        </w:rPr>
        <w:t>4(2)</w:t>
      </w:r>
      <w:r w:rsidR="008967D3" w:rsidRPr="00D05A79">
        <w:rPr>
          <w:bCs/>
          <w:iCs/>
        </w:rPr>
        <w:t xml:space="preserve"> </w:t>
      </w:r>
      <w:r w:rsidR="008967D3" w:rsidRPr="00D05A79">
        <w:t>of this Schedule</w:t>
      </w:r>
      <w:r w:rsidRPr="00D05A79">
        <w:rPr>
          <w:bCs/>
          <w:iCs/>
        </w:rPr>
        <w:t>.</w:t>
      </w:r>
    </w:p>
    <w:p w:rsidR="00BE36F3" w:rsidRPr="009E44AC" w:rsidRDefault="00BE36F3" w:rsidP="00BE36F3">
      <w:pPr>
        <w:pStyle w:val="nMain"/>
        <w:rPr>
          <w:color w:val="000000" w:themeColor="text1"/>
        </w:rPr>
      </w:pPr>
      <w:r w:rsidRPr="009E44AC">
        <w:rPr>
          <w:color w:val="000000" w:themeColor="text1"/>
        </w:rPr>
        <w:lastRenderedPageBreak/>
        <w:t xml:space="preserve">Note </w:t>
      </w:r>
      <w:r w:rsidR="00840B4B" w:rsidRPr="00D05A79">
        <w:t>1</w:t>
      </w:r>
      <w:r w:rsidRPr="009E44AC">
        <w:rPr>
          <w:color w:val="000000" w:themeColor="text1"/>
        </w:rPr>
        <w:t>:</w:t>
      </w:r>
      <w:r w:rsidRPr="009E44AC">
        <w:rPr>
          <w:color w:val="000000" w:themeColor="text1"/>
        </w:rPr>
        <w:tab/>
        <w:t xml:space="preserve">The amount </w:t>
      </w:r>
      <w:r w:rsidR="00840B4B" w:rsidRPr="00D05A79">
        <w:t>543</w:t>
      </w:r>
      <w:r w:rsidRPr="009E44AC">
        <w:rPr>
          <w:color w:val="000000" w:themeColor="text1"/>
        </w:rPr>
        <w:t xml:space="preserve"> GL per year is equal to 5% of the total surface water SDL for the Basin water resources as it stood at the reference time (that amount being 10,873 GL per year) (when rounded </w:t>
      </w:r>
      <w:r w:rsidR="00840B4B" w:rsidRPr="00D05A79">
        <w:t>down</w:t>
      </w:r>
      <w:r w:rsidRPr="009E44AC">
        <w:rPr>
          <w:color w:val="000000" w:themeColor="text1"/>
        </w:rPr>
        <w:t>).</w:t>
      </w:r>
    </w:p>
    <w:p w:rsidR="00BE36F3" w:rsidRDefault="00BE36F3" w:rsidP="00BE36F3">
      <w:pPr>
        <w:pStyle w:val="nMain"/>
        <w:rPr>
          <w:color w:val="000000" w:themeColor="text1"/>
        </w:rPr>
      </w:pPr>
      <w:r w:rsidRPr="009E44AC">
        <w:rPr>
          <w:color w:val="000000" w:themeColor="text1"/>
        </w:rPr>
        <w:t>Note 3:</w:t>
      </w:r>
      <w:r w:rsidRPr="009E44AC">
        <w:rPr>
          <w:color w:val="000000" w:themeColor="text1"/>
        </w:rPr>
        <w:tab/>
        <w:t>The amount 605 GL per year is the total supply contribution.</w:t>
      </w:r>
    </w:p>
    <w:p w:rsidR="00B53A04" w:rsidRDefault="00E4496E" w:rsidP="00B53A04">
      <w:pPr>
        <w:pStyle w:val="h5Section"/>
      </w:pPr>
      <w:bookmarkStart w:id="27" w:name="_Toc499810593"/>
      <w:r>
        <w:t>6</w:t>
      </w:r>
      <w:r w:rsidR="00B53A04">
        <w:t xml:space="preserve">  Calculation of SDL adjustment amounts—net effect less than or equal to </w:t>
      </w:r>
      <w:r w:rsidR="00840B4B" w:rsidRPr="00D05A79">
        <w:t>543</w:t>
      </w:r>
      <w:r w:rsidR="00B53A04" w:rsidRPr="00327D52">
        <w:t xml:space="preserve"> GL per year</w:t>
      </w:r>
      <w:bookmarkEnd w:id="27"/>
    </w:p>
    <w:p w:rsidR="00B53A04" w:rsidRDefault="00B53A04" w:rsidP="00B53A04">
      <w:pPr>
        <w:pStyle w:val="tMain"/>
      </w:pPr>
      <w:r>
        <w:tab/>
      </w:r>
      <w:r w:rsidR="00E4496E">
        <w:t>(1)</w:t>
      </w:r>
      <w:r>
        <w:tab/>
        <w:t xml:space="preserve">This section applies if, for the water accounting period, the net effect is less than or equal to </w:t>
      </w:r>
      <w:r w:rsidR="00840B4B" w:rsidRPr="00D05A79">
        <w:t>543</w:t>
      </w:r>
      <w:r w:rsidRPr="009E44AC">
        <w:rPr>
          <w:b/>
          <w:color w:val="000000" w:themeColor="text1"/>
        </w:rPr>
        <w:t xml:space="preserve"> </w:t>
      </w:r>
      <w:r w:rsidRPr="00327D52">
        <w:t>GL per year</w:t>
      </w:r>
      <w:r>
        <w:t>.</w:t>
      </w:r>
    </w:p>
    <w:p w:rsidR="00B53A04" w:rsidRDefault="00B53A04" w:rsidP="00B53A04">
      <w:pPr>
        <w:pStyle w:val="tMain"/>
      </w:pPr>
      <w:r>
        <w:tab/>
      </w:r>
      <w:r w:rsidR="00E4496E">
        <w:t>(2)</w:t>
      </w:r>
      <w:r>
        <w:tab/>
        <w:t xml:space="preserve">The </w:t>
      </w:r>
      <w:r w:rsidRPr="00557CC6">
        <w:rPr>
          <w:b/>
          <w:i/>
        </w:rPr>
        <w:t>SDL adjustment amount</w:t>
      </w:r>
      <w:r>
        <w:t xml:space="preserve"> for a particular </w:t>
      </w:r>
      <w:r w:rsidRPr="00D05A79">
        <w:t xml:space="preserve">surface water </w:t>
      </w:r>
      <w:r>
        <w:t>SDL resource unit for the water accounting period, in GL per year, is calculated in accordance with the following formula:</w:t>
      </w:r>
    </w:p>
    <w:p w:rsidR="00B53A04" w:rsidRDefault="00B53A04" w:rsidP="00B53A04">
      <w:pPr>
        <w:pStyle w:val="tMain"/>
      </w:pPr>
    </w:p>
    <w:p w:rsidR="00B53A04" w:rsidRPr="00F905B2" w:rsidRDefault="00BA2F18" w:rsidP="00B53A04">
      <w:pPr>
        <w:pStyle w:val="tMain"/>
      </w:pPr>
      <m:oMathPara>
        <m:oMathParaPr>
          <m:jc m:val="left"/>
        </m:oMathParaPr>
        <m:oMath>
          <m:d>
            <m:dPr>
              <m:ctrlPr>
                <w:rPr>
                  <w:rFonts w:ascii="Cambria Math" w:hAnsi="Cambria Math"/>
                  <w:i/>
                </w:rPr>
              </m:ctrlPr>
            </m:dPr>
            <m:e>
              <m:eqArr>
                <m:eqArrPr>
                  <m:ctrlPr>
                    <w:rPr>
                      <w:rFonts w:ascii="Cambria Math" w:hAnsi="Cambria Math"/>
                    </w:rPr>
                  </m:ctrlPr>
                </m:eqArrPr>
                <m:e>
                  <m:r>
                    <m:rPr>
                      <m:nor/>
                    </m:rPr>
                    <w:rPr>
                      <w:rFonts w:ascii="Cambria Math" w:hAnsi="Cambria Math"/>
                    </w:rPr>
                    <m:t>SDL adjustment</m:t>
                  </m:r>
                </m:e>
                <m:e>
                  <m:r>
                    <m:rPr>
                      <m:nor/>
                    </m:rPr>
                    <w:rPr>
                      <w:rFonts w:ascii="Cambria Math" w:hAnsi="Cambria Math"/>
                    </w:rPr>
                    <m:t>amount</m:t>
                  </m:r>
                </m:e>
              </m:eqArr>
            </m:e>
          </m:d>
          <m:r>
            <w:rPr>
              <w:rFonts w:ascii="Cambria Math" w:hAnsi="Cambria Math"/>
            </w:rPr>
            <m:t>=</m:t>
          </m:r>
          <m:d>
            <m:dPr>
              <m:ctrlPr>
                <w:rPr>
                  <w:rFonts w:ascii="Cambria Math" w:hAnsi="Cambria Math"/>
                  <w:i/>
                </w:rPr>
              </m:ctrlPr>
            </m:dPr>
            <m:e>
              <m:eqArr>
                <m:eqArrPr>
                  <m:ctrlPr>
                    <w:rPr>
                      <w:rFonts w:ascii="Cambria Math" w:hAnsi="Cambria Math"/>
                    </w:rPr>
                  </m:ctrlPr>
                </m:eqArrPr>
                <m:e>
                  <m:r>
                    <m:rPr>
                      <m:nor/>
                    </m:rPr>
                    <w:rPr>
                      <w:rFonts w:ascii="Cambria Math" w:hAnsi="Cambria Math"/>
                    </w:rPr>
                    <m:t>apportioned supply</m:t>
                  </m:r>
                </m:e>
                <m:e>
                  <m:r>
                    <m:rPr>
                      <m:nor/>
                    </m:rPr>
                    <w:rPr>
                      <w:rFonts w:ascii="Cambria Math" w:hAnsi="Cambria Math"/>
                    </w:rPr>
                    <m:t>contribution</m:t>
                  </m:r>
                </m:e>
              </m:eqArr>
            </m:e>
          </m:d>
          <m:r>
            <w:rPr>
              <w:rFonts w:ascii="Cambria Math" w:hAnsi="Cambria Math"/>
            </w:rPr>
            <m:t>-</m:t>
          </m:r>
          <m:d>
            <m:dPr>
              <m:ctrlPr>
                <w:rPr>
                  <w:rFonts w:ascii="Cambria Math" w:hAnsi="Cambria Math"/>
                  <w:i/>
                </w:rPr>
              </m:ctrlPr>
            </m:dPr>
            <m:e>
              <m:eqArr>
                <m:eqArrPr>
                  <m:ctrlPr>
                    <w:rPr>
                      <w:rFonts w:ascii="Cambria Math" w:hAnsi="Cambria Math"/>
                    </w:rPr>
                  </m:ctrlPr>
                </m:eqArrPr>
                <m:e>
                  <m:r>
                    <m:rPr>
                      <m:nor/>
                    </m:rPr>
                    <w:rPr>
                      <w:rFonts w:ascii="Cambria Math" w:hAnsi="Cambria Math"/>
                    </w:rPr>
                    <m:t>current efficiency</m:t>
                  </m:r>
                </m:e>
                <m:e>
                  <m:r>
                    <m:rPr>
                      <m:nor/>
                    </m:rPr>
                    <w:rPr>
                      <w:rFonts w:ascii="Cambria Math" w:hAnsi="Cambria Math"/>
                    </w:rPr>
                    <m:t>contribution</m:t>
                  </m:r>
                </m:e>
              </m:eqArr>
            </m:e>
          </m:d>
        </m:oMath>
      </m:oMathPara>
    </w:p>
    <w:p w:rsidR="00B53A04" w:rsidRDefault="00B53A04" w:rsidP="00B53A04">
      <w:pPr>
        <w:pStyle w:val="tMain"/>
      </w:pPr>
    </w:p>
    <w:p w:rsidR="00B53A04" w:rsidRDefault="00B53A04" w:rsidP="00B53A04">
      <w:pPr>
        <w:pStyle w:val="tMain"/>
      </w:pPr>
      <w:r>
        <w:lastRenderedPageBreak/>
        <w:tab/>
      </w:r>
      <w:r>
        <w:tab/>
        <w:t>where:</w:t>
      </w:r>
    </w:p>
    <w:p w:rsidR="00B53A04" w:rsidRDefault="00B53A04" w:rsidP="00B53A04">
      <w:pPr>
        <w:pStyle w:val="tDefn"/>
      </w:pPr>
      <w:r>
        <w:rPr>
          <w:b/>
          <w:i/>
        </w:rPr>
        <w:t>apportioned supply contribution</w:t>
      </w:r>
      <w:r>
        <w:t xml:space="preserve">, for the </w:t>
      </w:r>
      <w:r w:rsidRPr="00D05A79">
        <w:t xml:space="preserve">surface water </w:t>
      </w:r>
      <w:r>
        <w:t xml:space="preserve">SDL resource unit, has the meaning given </w:t>
      </w:r>
      <w:r w:rsidR="00F77AEA">
        <w:t>by</w:t>
      </w:r>
      <w:r>
        <w:t xml:space="preserve"> section </w:t>
      </w:r>
      <w:r w:rsidR="002E2C36">
        <w:t>3</w:t>
      </w:r>
      <w:r w:rsidR="00581C40" w:rsidRPr="00581C40">
        <w:t xml:space="preserve"> </w:t>
      </w:r>
      <w:r w:rsidR="00581C40" w:rsidRPr="00D05A79">
        <w:t>of this Schedule</w:t>
      </w:r>
      <w:r>
        <w:t>.</w:t>
      </w:r>
    </w:p>
    <w:p w:rsidR="00B53A04" w:rsidRDefault="00B53A04" w:rsidP="00B53A04">
      <w:pPr>
        <w:pStyle w:val="tDefn"/>
      </w:pPr>
      <w:r>
        <w:rPr>
          <w:b/>
          <w:i/>
        </w:rPr>
        <w:t>current efficiency contribution</w:t>
      </w:r>
      <w:r>
        <w:t xml:space="preserve">, for the </w:t>
      </w:r>
      <w:r w:rsidRPr="00D05A79">
        <w:t xml:space="preserve">surface water </w:t>
      </w:r>
      <w:r>
        <w:t xml:space="preserve">SDL resource unit and the </w:t>
      </w:r>
      <w:r w:rsidRPr="0066736C">
        <w:t>water accounting period,</w:t>
      </w:r>
      <w:r>
        <w:rPr>
          <w:b/>
          <w:i/>
        </w:rPr>
        <w:t xml:space="preserve"> </w:t>
      </w:r>
      <w:r>
        <w:t xml:space="preserve">has the meaning given </w:t>
      </w:r>
      <w:r w:rsidR="00F77AEA">
        <w:t>by</w:t>
      </w:r>
      <w:r>
        <w:t xml:space="preserve"> section </w:t>
      </w:r>
      <w:r w:rsidR="002E2C36">
        <w:t>3</w:t>
      </w:r>
      <w:r>
        <w:t xml:space="preserve"> of this Schedule.</w:t>
      </w:r>
    </w:p>
    <w:p w:rsidR="00005882" w:rsidRDefault="00005882" w:rsidP="00BE36F3">
      <w:pPr>
        <w:pStyle w:val="nMain"/>
        <w:rPr>
          <w:color w:val="000000" w:themeColor="text1"/>
        </w:rPr>
        <w:sectPr w:rsidR="00005882" w:rsidSect="00D24C23">
          <w:headerReference w:type="default" r:id="rId18"/>
          <w:type w:val="continuous"/>
          <w:pgSz w:w="11906" w:h="16838"/>
          <w:pgMar w:top="1440" w:right="1440" w:bottom="1440" w:left="1440" w:header="709" w:footer="709" w:gutter="0"/>
          <w:cols w:space="708"/>
          <w:docGrid w:linePitch="360"/>
        </w:sectPr>
      </w:pPr>
    </w:p>
    <w:p w:rsidR="00B53A04" w:rsidRDefault="00B53A04" w:rsidP="00BE36F3">
      <w:pPr>
        <w:pStyle w:val="nMain"/>
        <w:rPr>
          <w:color w:val="000000" w:themeColor="text1"/>
        </w:rPr>
      </w:pPr>
    </w:p>
    <w:p w:rsidR="00EC5838" w:rsidRDefault="00E4496E" w:rsidP="00240E82">
      <w:pPr>
        <w:pStyle w:val="h1Chap"/>
      </w:pPr>
      <w:bookmarkStart w:id="28" w:name="_Toc499810594"/>
      <w:r>
        <w:lastRenderedPageBreak/>
        <w:t>Schedule 3</w:t>
      </w:r>
      <w:r w:rsidR="00240E82" w:rsidRPr="00C92564">
        <w:t>—</w:t>
      </w:r>
      <w:r w:rsidR="00240E82">
        <w:t xml:space="preserve">Calculation of </w:t>
      </w:r>
      <w:r w:rsidR="00EC5838">
        <w:t>other amounts</w:t>
      </w:r>
      <w:bookmarkEnd w:id="28"/>
    </w:p>
    <w:p w:rsidR="00B13A0B" w:rsidRPr="00BE36F3" w:rsidRDefault="002C50E0" w:rsidP="002C50E0">
      <w:pPr>
        <w:pStyle w:val="ntoHeading"/>
      </w:pPr>
      <w:r>
        <w:t>Note:</w:t>
      </w:r>
      <w:r>
        <w:tab/>
        <w:t xml:space="preserve">See </w:t>
      </w:r>
      <w:r w:rsidR="00B13A0B">
        <w:t>paragraphs </w:t>
      </w:r>
      <w:r w:rsidR="002E2C36">
        <w:t>5(2)(c)</w:t>
      </w:r>
      <w:r w:rsidR="00B13A0B">
        <w:t xml:space="preserve"> and </w:t>
      </w:r>
      <w:r w:rsidR="002E2C36">
        <w:t>(3)(b)</w:t>
      </w:r>
      <w:r w:rsidR="00B13A0B">
        <w:t xml:space="preserve"> of this notice.</w:t>
      </w:r>
    </w:p>
    <w:p w:rsidR="00EC5838" w:rsidRPr="00EC5838" w:rsidRDefault="00E4496E" w:rsidP="00EC5838">
      <w:pPr>
        <w:pStyle w:val="h5Section"/>
      </w:pPr>
      <w:bookmarkStart w:id="29" w:name="_Toc499810595"/>
      <w:r>
        <w:t>1</w:t>
      </w:r>
      <w:r w:rsidR="00EC5838">
        <w:t xml:space="preserve">  </w:t>
      </w:r>
      <w:r w:rsidR="00686FE3">
        <w:t xml:space="preserve">Calculation of percentage </w:t>
      </w:r>
      <w:r w:rsidR="001C6F4E">
        <w:t xml:space="preserve">difference </w:t>
      </w:r>
      <w:r w:rsidR="00686FE3">
        <w:t>for paragraph </w:t>
      </w:r>
      <w:r w:rsidR="002E2C36">
        <w:t>5(2)(c)</w:t>
      </w:r>
      <w:r w:rsidR="00686FE3">
        <w:t xml:space="preserve"> of this notice</w:t>
      </w:r>
      <w:bookmarkEnd w:id="29"/>
    </w:p>
    <w:p w:rsidR="00BE36F3" w:rsidRDefault="00EC5838" w:rsidP="00EC5838">
      <w:pPr>
        <w:pStyle w:val="tMain"/>
      </w:pPr>
      <w:r>
        <w:tab/>
      </w:r>
      <w:r>
        <w:tab/>
        <w:t>For paragraph </w:t>
      </w:r>
      <w:r w:rsidR="002E2C36">
        <w:t>5(2)(c)</w:t>
      </w:r>
      <w:r>
        <w:t xml:space="preserve"> of this notice, </w:t>
      </w:r>
      <w:r w:rsidR="00FC328D">
        <w:t xml:space="preserve">the amount (the </w:t>
      </w:r>
      <w:r w:rsidR="00FC328D">
        <w:rPr>
          <w:b/>
          <w:i/>
        </w:rPr>
        <w:t xml:space="preserve">percentage </w:t>
      </w:r>
      <w:r w:rsidR="00FC328D" w:rsidRPr="00FC328D">
        <w:rPr>
          <w:b/>
          <w:i/>
        </w:rPr>
        <w:t>difference</w:t>
      </w:r>
      <w:r w:rsidR="00FC328D">
        <w:t xml:space="preserve">) </w:t>
      </w:r>
      <w:r w:rsidR="00C05565">
        <w:t xml:space="preserve">for a particular surface water SDL resource unit </w:t>
      </w:r>
      <w:r w:rsidR="00FC328D" w:rsidRPr="00FC328D">
        <w:t>is</w:t>
      </w:r>
      <w:r w:rsidR="00FC328D">
        <w:t xml:space="preserve"> given by the following formula:</w:t>
      </w:r>
    </w:p>
    <w:p w:rsidR="00EF3B2A" w:rsidRDefault="00EF3B2A" w:rsidP="00EC5838">
      <w:pPr>
        <w:pStyle w:val="tMain"/>
      </w:pPr>
    </w:p>
    <w:p w:rsidR="00686FE3" w:rsidRPr="00873FBF" w:rsidRDefault="00BA2F18" w:rsidP="00686FE3">
      <w:pPr>
        <w:pStyle w:val="tMain"/>
      </w:pPr>
      <m:oMathPara>
        <m:oMathParaPr>
          <m:jc m:val="left"/>
        </m:oMathParaPr>
        <m:oMath>
          <m:d>
            <m:dPr>
              <m:ctrlPr>
                <w:rPr>
                  <w:rFonts w:ascii="Cambria Math" w:hAnsi="Cambria Math"/>
                </w:rPr>
              </m:ctrlPr>
            </m:dPr>
            <m:e>
              <m:eqArr>
                <m:eqArrPr>
                  <m:ctrlPr>
                    <w:rPr>
                      <w:rFonts w:ascii="Cambria Math" w:hAnsi="Cambria Math"/>
                    </w:rPr>
                  </m:ctrlPr>
                </m:eqArrPr>
                <m:e>
                  <m:r>
                    <m:rPr>
                      <m:nor/>
                    </m:rPr>
                    <w:rPr>
                      <w:rFonts w:ascii="Cambria Math" w:hAnsi="Cambria Math"/>
                    </w:rPr>
                    <m:t>percentage</m:t>
                  </m:r>
                </m:e>
                <m:e>
                  <m:r>
                    <m:rPr>
                      <m:nor/>
                    </m:rPr>
                    <w:rPr>
                      <w:rFonts w:ascii="Cambria Math" w:hAnsi="Cambria Math"/>
                    </w:rPr>
                    <m:t>difference</m:t>
                  </m:r>
                </m:e>
              </m:eqArr>
            </m:e>
          </m:d>
          <m:r>
            <m:rPr>
              <m:nor/>
            </m:rPr>
            <w:rPr>
              <w:rFonts w:ascii="Cambria Math" w:hAnsi="Cambria Math"/>
            </w:rPr>
            <m:t>=</m:t>
          </m:r>
          <m:f>
            <m:fPr>
              <m:ctrlPr>
                <w:rPr>
                  <w:rFonts w:ascii="Cambria Math" w:hAnsi="Cambria Math"/>
                  <w:i/>
                </w:rPr>
              </m:ctrlPr>
            </m:fPr>
            <m:num>
              <m:d>
                <m:dPr>
                  <m:ctrlPr>
                    <w:rPr>
                      <w:rFonts w:ascii="Cambria Math" w:hAnsi="Cambria Math"/>
                      <w:i/>
                    </w:rPr>
                  </m:ctrlPr>
                </m:dPr>
                <m:e>
                  <m:r>
                    <m:rPr>
                      <m:nor/>
                    </m:rPr>
                    <w:rPr>
                      <w:rFonts w:ascii="Cambria Math" w:hAnsi="Cambria Math"/>
                    </w:rPr>
                    <m:t>proposed plan area limit</m:t>
                  </m:r>
                </m:e>
              </m:d>
              <m:r>
                <w:rPr>
                  <w:rFonts w:ascii="Cambria Math" w:hAnsi="Cambria Math"/>
                </w:rPr>
                <m:t>-</m:t>
              </m:r>
              <m:d>
                <m:dPr>
                  <m:ctrlPr>
                    <w:rPr>
                      <w:rFonts w:ascii="Cambria Math" w:hAnsi="Cambria Math"/>
                      <w:i/>
                    </w:rPr>
                  </m:ctrlPr>
                </m:dPr>
                <m:e>
                  <m:r>
                    <m:rPr>
                      <m:nor/>
                    </m:rPr>
                    <w:rPr>
                      <w:rFonts w:ascii="Cambria Math" w:hAnsi="Cambria Math"/>
                    </w:rPr>
                    <m:t>SDL at reference time</m:t>
                  </m:r>
                </m:e>
              </m:d>
            </m:num>
            <m:den>
              <m:d>
                <m:dPr>
                  <m:ctrlPr>
                    <w:rPr>
                      <w:rFonts w:ascii="Cambria Math" w:hAnsi="Cambria Math"/>
                      <w:i/>
                    </w:rPr>
                  </m:ctrlPr>
                </m:dPr>
                <m:e>
                  <m:r>
                    <m:rPr>
                      <m:nor/>
                    </m:rPr>
                    <w:rPr>
                      <w:rFonts w:ascii="Cambria Math" w:hAnsi="Cambria Math"/>
                    </w:rPr>
                    <m:t>SDL at reference time</m:t>
                  </m:r>
                </m:e>
              </m:d>
            </m:den>
          </m:f>
          <m:r>
            <w:rPr>
              <w:rFonts w:ascii="Cambria Math" w:hAnsi="Cambria Math"/>
            </w:rPr>
            <m:t>×100</m:t>
          </m:r>
        </m:oMath>
      </m:oMathPara>
    </w:p>
    <w:p w:rsidR="00686FE3" w:rsidRDefault="00686FE3" w:rsidP="00EC5838">
      <w:pPr>
        <w:pStyle w:val="tMain"/>
      </w:pPr>
    </w:p>
    <w:p w:rsidR="00EF3B2A" w:rsidRDefault="00EF3B2A" w:rsidP="00EF3B2A">
      <w:pPr>
        <w:pStyle w:val="tMain"/>
      </w:pPr>
      <w:r>
        <w:tab/>
      </w:r>
      <w:r>
        <w:tab/>
        <w:t>where:</w:t>
      </w:r>
    </w:p>
    <w:p w:rsidR="00EF3B2A" w:rsidRDefault="00EF3B2A" w:rsidP="00EF3B2A">
      <w:pPr>
        <w:pStyle w:val="tDefn"/>
      </w:pPr>
      <w:r>
        <w:rPr>
          <w:b/>
          <w:i/>
        </w:rPr>
        <w:lastRenderedPageBreak/>
        <w:t>proposed plan area limit</w:t>
      </w:r>
      <w:r>
        <w:t xml:space="preserve">, for the </w:t>
      </w:r>
      <w:r w:rsidR="00C05565">
        <w:t xml:space="preserve">surface water </w:t>
      </w:r>
      <w:r>
        <w:t xml:space="preserve">SDL resource unit, </w:t>
      </w:r>
      <w:r w:rsidR="00C01334">
        <w:t xml:space="preserve">is the amount given by </w:t>
      </w:r>
      <w:r w:rsidR="0013278E">
        <w:t>paragraph </w:t>
      </w:r>
      <w:r w:rsidR="002E2C36">
        <w:t>5(2)(b)</w:t>
      </w:r>
      <w:r w:rsidR="0013278E">
        <w:t xml:space="preserve"> of this notice</w:t>
      </w:r>
      <w:r w:rsidR="00C01334">
        <w:t>.</w:t>
      </w:r>
    </w:p>
    <w:p w:rsidR="00EF3B2A" w:rsidRDefault="00EF3B2A" w:rsidP="00EF3B2A">
      <w:pPr>
        <w:pStyle w:val="tDefn"/>
      </w:pPr>
      <w:r>
        <w:rPr>
          <w:b/>
          <w:i/>
        </w:rPr>
        <w:t>SDL at reference time</w:t>
      </w:r>
      <w:r>
        <w:t>, for the</w:t>
      </w:r>
      <w:r w:rsidR="00C05565">
        <w:t xml:space="preserve"> surface water</w:t>
      </w:r>
      <w:r>
        <w:t xml:space="preserve"> SDL </w:t>
      </w:r>
      <w:r w:rsidR="00C01334">
        <w:t xml:space="preserve">resource unit, is the amount given by column 2 of the table to </w:t>
      </w:r>
      <w:r w:rsidR="002E2C36">
        <w:t>Schedule 1</w:t>
      </w:r>
      <w:r w:rsidR="00754EFD" w:rsidRPr="00754EFD">
        <w:t xml:space="preserve"> </w:t>
      </w:r>
      <w:r w:rsidR="00754EFD">
        <w:t>to this notice</w:t>
      </w:r>
      <w:r w:rsidR="00C01334">
        <w:t>.</w:t>
      </w:r>
    </w:p>
    <w:p w:rsidR="00C427AB" w:rsidRPr="00EF3B2A" w:rsidRDefault="00E4496E" w:rsidP="00C427AB">
      <w:pPr>
        <w:pStyle w:val="h5Section"/>
      </w:pPr>
      <w:bookmarkStart w:id="30" w:name="_Toc499810596"/>
      <w:r>
        <w:t>2</w:t>
      </w:r>
      <w:r w:rsidR="00C427AB">
        <w:t xml:space="preserve">  Calculation of total Basin adjustment percentage for paragraph </w:t>
      </w:r>
      <w:r w:rsidR="002E2C36">
        <w:t>5(3)(b)</w:t>
      </w:r>
      <w:r w:rsidR="0019726E">
        <w:t xml:space="preserve"> of this notice</w:t>
      </w:r>
      <w:bookmarkEnd w:id="30"/>
    </w:p>
    <w:p w:rsidR="0019726E" w:rsidRDefault="0019726E" w:rsidP="0019726E">
      <w:pPr>
        <w:pStyle w:val="tMain"/>
      </w:pPr>
      <w:r>
        <w:tab/>
      </w:r>
      <w:r>
        <w:tab/>
        <w:t>For paragraph </w:t>
      </w:r>
      <w:r w:rsidR="002E2C36">
        <w:t>5(3)(b)</w:t>
      </w:r>
      <w:r>
        <w:t xml:space="preserve"> of this notice, the </w:t>
      </w:r>
      <w:r w:rsidRPr="00EC21C9">
        <w:t>total Basin adjustment percentage</w:t>
      </w:r>
      <w:r>
        <w:rPr>
          <w:b/>
          <w:i/>
        </w:rPr>
        <w:t xml:space="preserve"> </w:t>
      </w:r>
      <w:r w:rsidRPr="00FC328D">
        <w:t>is</w:t>
      </w:r>
      <w:r>
        <w:t xml:space="preserve"> given by the following formula:</w:t>
      </w:r>
    </w:p>
    <w:p w:rsidR="0019726E" w:rsidRPr="0019726E" w:rsidRDefault="0019726E" w:rsidP="0019726E">
      <w:pPr>
        <w:pStyle w:val="tMain"/>
      </w:pPr>
    </w:p>
    <w:p w:rsidR="004257AC" w:rsidRPr="00873FBF" w:rsidRDefault="00BA2F18" w:rsidP="004257AC">
      <w:pPr>
        <w:pStyle w:val="tMain"/>
      </w:pPr>
      <m:oMathPara>
        <m:oMathParaPr>
          <m:jc m:val="left"/>
        </m:oMathParaPr>
        <m:oMath>
          <m:d>
            <m:dPr>
              <m:ctrlPr>
                <w:rPr>
                  <w:rFonts w:ascii="Cambria Math" w:hAnsi="Cambria Math"/>
                </w:rPr>
              </m:ctrlPr>
            </m:dPr>
            <m:e>
              <m:eqArr>
                <m:eqArrPr>
                  <m:ctrlPr>
                    <w:rPr>
                      <w:rFonts w:ascii="Cambria Math" w:hAnsi="Cambria Math"/>
                    </w:rPr>
                  </m:ctrlPr>
                </m:eqArrPr>
                <m:e>
                  <m:r>
                    <m:rPr>
                      <m:nor/>
                    </m:rPr>
                    <w:rPr>
                      <w:rFonts w:ascii="Cambria Math" w:hAnsi="Cambria Math"/>
                    </w:rPr>
                    <m:t>total Basin</m:t>
                  </m:r>
                </m:e>
                <m:e>
                  <m:r>
                    <m:rPr>
                      <m:nor/>
                    </m:rPr>
                    <w:rPr>
                      <w:rFonts w:ascii="Cambria Math" w:hAnsi="Cambria Math"/>
                    </w:rPr>
                    <m:t>adjustment</m:t>
                  </m:r>
                  <m:ctrlPr>
                    <w:rPr>
                      <w:rFonts w:ascii="Cambria Math" w:eastAsia="Cambria Math" w:hAnsi="Cambria Math" w:cs="Cambria Math"/>
                    </w:rPr>
                  </m:ctrlPr>
                </m:e>
                <m:e>
                  <m:r>
                    <m:rPr>
                      <m:nor/>
                    </m:rPr>
                    <w:rPr>
                      <w:rFonts w:ascii="Cambria Math" w:hAnsi="Cambria Math"/>
                    </w:rPr>
                    <m:t>percentage</m:t>
                  </m:r>
                </m:e>
              </m:eqArr>
            </m:e>
          </m:d>
          <m:r>
            <m:rPr>
              <m:nor/>
            </m:rPr>
            <w:rPr>
              <w:rFonts w:ascii="Cambria Math" w:hAnsi="Cambria Math"/>
            </w:rPr>
            <m:t>=</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m:rPr>
                          <m:nor/>
                        </m:rPr>
                        <w:rPr>
                          <w:rFonts w:ascii="Cambria Math" w:hAnsi="Cambria Math"/>
                        </w:rPr>
                        <m:t>proposed Basin limit</m:t>
                      </m:r>
                    </m:e>
                  </m:d>
                  <m:r>
                    <w:rPr>
                      <w:rFonts w:ascii="Cambria Math" w:hAnsi="Cambria Math"/>
                    </w:rPr>
                    <m:t>-</m:t>
                  </m:r>
                  <m:r>
                    <m:rPr>
                      <m:sty m:val="p"/>
                    </m:rPr>
                    <w:rPr>
                      <w:rFonts w:ascii="Cambria Math" w:hAnsi="Cambria Math"/>
                    </w:rPr>
                    <m:t xml:space="preserve">(Basin reference limit) </m:t>
                  </m:r>
                </m:num>
                <m:den>
                  <m:r>
                    <m:rPr>
                      <m:sty m:val="p"/>
                    </m:rPr>
                    <w:rPr>
                      <w:rFonts w:ascii="Cambria Math" w:hAnsi="Cambria Math"/>
                    </w:rPr>
                    <m:t>(Basin reference limit)</m:t>
                  </m:r>
                </m:den>
              </m:f>
            </m:e>
          </m:d>
          <m:r>
            <w:rPr>
              <w:rFonts w:ascii="Cambria Math" w:hAnsi="Cambria Math"/>
            </w:rPr>
            <m:t>×100</m:t>
          </m:r>
        </m:oMath>
      </m:oMathPara>
    </w:p>
    <w:p w:rsidR="004257AC" w:rsidRDefault="004257AC" w:rsidP="00C427AB">
      <w:pPr>
        <w:pStyle w:val="tMain"/>
      </w:pPr>
    </w:p>
    <w:p w:rsidR="00EC21C9" w:rsidRDefault="00EC21C9" w:rsidP="00EC21C9">
      <w:pPr>
        <w:pStyle w:val="tMain"/>
      </w:pPr>
      <w:r>
        <w:tab/>
      </w:r>
      <w:r>
        <w:tab/>
        <w:t>where:</w:t>
      </w:r>
    </w:p>
    <w:p w:rsidR="00EC21C9" w:rsidRDefault="00EC21C9" w:rsidP="00EC21C9">
      <w:pPr>
        <w:pStyle w:val="tDefn"/>
      </w:pPr>
      <w:r>
        <w:rPr>
          <w:b/>
          <w:i/>
        </w:rPr>
        <w:t>proposed Basin limit</w:t>
      </w:r>
      <w:r>
        <w:t xml:space="preserve"> </w:t>
      </w:r>
      <w:r w:rsidR="004257AC">
        <w:t xml:space="preserve">is the amount calculated in accordance with </w:t>
      </w:r>
      <w:r w:rsidR="0022617D">
        <w:t>paragraph </w:t>
      </w:r>
      <w:r w:rsidR="002E2C36">
        <w:t>5(3)(a)</w:t>
      </w:r>
      <w:r w:rsidR="0022617D">
        <w:t xml:space="preserve"> </w:t>
      </w:r>
      <w:r w:rsidR="004257AC">
        <w:t xml:space="preserve">of this </w:t>
      </w:r>
      <w:r w:rsidR="0022617D">
        <w:t>notice</w:t>
      </w:r>
      <w:r>
        <w:t>.</w:t>
      </w:r>
    </w:p>
    <w:p w:rsidR="00196EE2" w:rsidRPr="00196EE2" w:rsidRDefault="00196EE2" w:rsidP="00EC21C9">
      <w:pPr>
        <w:pStyle w:val="tDefn"/>
      </w:pPr>
      <w:r>
        <w:rPr>
          <w:b/>
          <w:i/>
        </w:rPr>
        <w:t xml:space="preserve">Basin reference limit </w:t>
      </w:r>
      <w:r>
        <w:t>has the same meaning as in the Water Act.</w:t>
      </w:r>
    </w:p>
    <w:p w:rsidR="00FC328D" w:rsidRDefault="004257AC" w:rsidP="001F3661">
      <w:pPr>
        <w:pStyle w:val="nMain"/>
      </w:pPr>
      <w:r>
        <w:t>Note</w:t>
      </w:r>
      <w:r w:rsidR="00661FF3">
        <w:t xml:space="preserve"> </w:t>
      </w:r>
      <w:r w:rsidR="00661FF3" w:rsidRPr="00D05A79">
        <w:t>1</w:t>
      </w:r>
      <w:r>
        <w:t>:</w:t>
      </w:r>
      <w:r>
        <w:tab/>
        <w:t xml:space="preserve">The </w:t>
      </w:r>
      <w:r w:rsidR="00196EE2">
        <w:t xml:space="preserve">Basin reference limit is the SDL for the Basin water resources </w:t>
      </w:r>
      <w:r w:rsidR="00BF471B" w:rsidRPr="00D05A79">
        <w:t xml:space="preserve">(including both surface water and groundwater) </w:t>
      </w:r>
      <w:r w:rsidR="00196EE2">
        <w:t>that applied at the reference time.</w:t>
      </w:r>
      <w:r w:rsidR="000A5756">
        <w:t xml:space="preserve"> The Authority estimates the Basin reference limit to be 14,207 GL per year.</w:t>
      </w:r>
    </w:p>
    <w:p w:rsidR="00661FF3" w:rsidRDefault="00661FF3" w:rsidP="001F3661">
      <w:pPr>
        <w:pStyle w:val="nMain"/>
      </w:pPr>
      <w:r w:rsidRPr="00D05A79">
        <w:t>Note 2:</w:t>
      </w:r>
      <w:r w:rsidRPr="00D05A79">
        <w:tab/>
      </w:r>
      <w:r w:rsidR="00CF7146" w:rsidRPr="00D05A79">
        <w:t xml:space="preserve">The total Basin adjustment percentage </w:t>
      </w:r>
      <w:r w:rsidR="00E45374" w:rsidRPr="00D05A79">
        <w:t xml:space="preserve">is based on </w:t>
      </w:r>
      <w:r w:rsidR="00CF7146" w:rsidRPr="00D05A79">
        <w:t>the adjusted SDLs for the Basin water resources, including both surface water and groundwater.</w:t>
      </w:r>
      <w:r w:rsidR="004A1212" w:rsidRPr="00D05A79">
        <w:t xml:space="preserve"> It differs from the percentage that is calculated in accordance with section 7.19 of the Basin Plan, which take</w:t>
      </w:r>
      <w:r w:rsidR="00C1449D">
        <w:t>s account only of surface water.</w:t>
      </w:r>
    </w:p>
    <w:p w:rsidR="00C1449D" w:rsidRPr="00C1449D" w:rsidRDefault="00C1449D" w:rsidP="00C1449D">
      <w:pPr>
        <w:pStyle w:val="nMain"/>
      </w:pPr>
      <w:r w:rsidRPr="00C1449D">
        <w:t>Note 3:</w:t>
      </w:r>
      <w:r w:rsidRPr="00C1449D">
        <w:tab/>
        <w:t xml:space="preserve">Section 7.19 of the Basin Plan operates to ensure that the </w:t>
      </w:r>
      <w:r w:rsidR="00E10D6C">
        <w:t>total Basin adjustment percentage is no more than 5%.</w:t>
      </w:r>
    </w:p>
    <w:p w:rsidR="00C1449D" w:rsidRDefault="00C1449D" w:rsidP="001F3661">
      <w:pPr>
        <w:pStyle w:val="nMain"/>
        <w:sectPr w:rsidR="00C1449D" w:rsidSect="00D24C23">
          <w:headerReference w:type="default" r:id="rId19"/>
          <w:type w:val="continuous"/>
          <w:pgSz w:w="11906" w:h="16838"/>
          <w:pgMar w:top="1440" w:right="1440" w:bottom="1440" w:left="1440" w:header="709" w:footer="709" w:gutter="0"/>
          <w:cols w:space="708"/>
          <w:docGrid w:linePitch="360"/>
        </w:sectPr>
      </w:pPr>
    </w:p>
    <w:p w:rsidR="00005882" w:rsidRPr="00D05A79" w:rsidRDefault="00005882" w:rsidP="001F3661">
      <w:pPr>
        <w:pStyle w:val="nMain"/>
      </w:pPr>
    </w:p>
    <w:p w:rsidR="00C90DFB" w:rsidRDefault="00E4496E" w:rsidP="00C90DFB">
      <w:pPr>
        <w:pStyle w:val="h1Chap"/>
      </w:pPr>
      <w:bookmarkStart w:id="31" w:name="_Toc499810597"/>
      <w:r>
        <w:lastRenderedPageBreak/>
        <w:t>Schedule 4</w:t>
      </w:r>
      <w:r w:rsidR="00C90DFB" w:rsidRPr="00C92564">
        <w:t>—</w:t>
      </w:r>
      <w:r w:rsidR="00C90DFB">
        <w:t>Outline of material</w:t>
      </w:r>
      <w:bookmarkEnd w:id="31"/>
    </w:p>
    <w:p w:rsidR="00677005" w:rsidRDefault="00581FE7" w:rsidP="005704F6">
      <w:pPr>
        <w:pStyle w:val="ntoHeading"/>
        <w:spacing w:after="120"/>
      </w:pPr>
      <w:r>
        <w:t>Note:</w:t>
      </w:r>
      <w:r>
        <w:tab/>
        <w:t>See paragraphs </w:t>
      </w:r>
      <w:r w:rsidR="002E2C36">
        <w:t>5(2)(d)</w:t>
      </w:r>
      <w:r>
        <w:t xml:space="preserve"> and </w:t>
      </w:r>
      <w:r w:rsidR="002E2C36">
        <w:t>(3)(c)</w:t>
      </w:r>
      <w:r>
        <w:t xml:space="preserve"> of this notice.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
        <w:gridCol w:w="2287"/>
        <w:gridCol w:w="6378"/>
      </w:tblGrid>
      <w:tr w:rsidR="009D109B" w:rsidTr="009D109B">
        <w:trPr>
          <w:tblHeader/>
        </w:trPr>
        <w:tc>
          <w:tcPr>
            <w:tcW w:w="200" w:type="pct"/>
            <w:tcBorders>
              <w:top w:val="single" w:sz="18" w:space="0" w:color="auto"/>
              <w:bottom w:val="single" w:sz="18" w:space="0" w:color="auto"/>
            </w:tcBorders>
          </w:tcPr>
          <w:p w:rsidR="009D109B" w:rsidRDefault="009D109B" w:rsidP="00AD2BC1">
            <w:pPr>
              <w:pStyle w:val="TableHeading"/>
            </w:pPr>
          </w:p>
        </w:tc>
        <w:tc>
          <w:tcPr>
            <w:tcW w:w="1267" w:type="pct"/>
            <w:tcBorders>
              <w:top w:val="single" w:sz="18" w:space="0" w:color="auto"/>
              <w:bottom w:val="single" w:sz="18" w:space="0" w:color="auto"/>
            </w:tcBorders>
          </w:tcPr>
          <w:p w:rsidR="009D109B" w:rsidRDefault="009D109B" w:rsidP="00AD2BC1">
            <w:pPr>
              <w:pStyle w:val="TableHeading"/>
            </w:pPr>
            <w:r>
              <w:t>Material</w:t>
            </w:r>
          </w:p>
        </w:tc>
        <w:tc>
          <w:tcPr>
            <w:tcW w:w="3533" w:type="pct"/>
            <w:tcBorders>
              <w:top w:val="single" w:sz="18" w:space="0" w:color="auto"/>
              <w:bottom w:val="single" w:sz="18" w:space="0" w:color="auto"/>
            </w:tcBorders>
          </w:tcPr>
          <w:p w:rsidR="009D109B" w:rsidRDefault="009D109B" w:rsidP="00AD2BC1">
            <w:pPr>
              <w:pStyle w:val="TableHeading"/>
            </w:pPr>
            <w:r>
              <w:t>Outline of material</w:t>
            </w:r>
          </w:p>
        </w:tc>
      </w:tr>
      <w:tr w:rsidR="009D109B" w:rsidTr="009D109B">
        <w:tc>
          <w:tcPr>
            <w:tcW w:w="200" w:type="pct"/>
            <w:tcBorders>
              <w:top w:val="single" w:sz="18" w:space="0" w:color="auto"/>
              <w:bottom w:val="single" w:sz="2" w:space="0" w:color="auto"/>
            </w:tcBorders>
          </w:tcPr>
          <w:p w:rsidR="009D109B" w:rsidRPr="009D109B" w:rsidRDefault="009D109B" w:rsidP="008D17B4">
            <w:pPr>
              <w:pStyle w:val="Tabletext"/>
            </w:pPr>
            <w:r w:rsidRPr="009D109B">
              <w:t>1</w:t>
            </w:r>
          </w:p>
        </w:tc>
        <w:tc>
          <w:tcPr>
            <w:tcW w:w="1267" w:type="pct"/>
            <w:tcBorders>
              <w:top w:val="single" w:sz="18" w:space="0" w:color="auto"/>
              <w:bottom w:val="single" w:sz="2" w:space="0" w:color="auto"/>
            </w:tcBorders>
          </w:tcPr>
          <w:p w:rsidR="009D109B" w:rsidRDefault="009D109B" w:rsidP="008D17B4">
            <w:pPr>
              <w:pStyle w:val="Tabletext"/>
            </w:pPr>
            <w:r w:rsidRPr="008D17B4">
              <w:rPr>
                <w:i/>
              </w:rPr>
              <w:t>Benchmark conditions of development for assessment of the SDL supply contribution</w:t>
            </w:r>
            <w:r>
              <w:t>, Murray</w:t>
            </w:r>
            <w:r>
              <w:noBreakHyphen/>
              <w:t>Darling Basin Authority, October 2017</w:t>
            </w:r>
          </w:p>
        </w:tc>
        <w:tc>
          <w:tcPr>
            <w:tcW w:w="3533" w:type="pct"/>
            <w:tcBorders>
              <w:top w:val="single" w:sz="18" w:space="0" w:color="auto"/>
              <w:bottom w:val="single" w:sz="2" w:space="0" w:color="auto"/>
            </w:tcBorders>
          </w:tcPr>
          <w:p w:rsidR="009D109B" w:rsidRDefault="009D109B" w:rsidP="008D17B4">
            <w:pPr>
              <w:pStyle w:val="Tabletext"/>
            </w:pPr>
            <w:r>
              <w:t xml:space="preserve">The </w:t>
            </w:r>
            <w:r w:rsidRPr="008D17B4">
              <w:rPr>
                <w:i/>
              </w:rPr>
              <w:t>Benchmark conditions of development for assessment of the SDL supply contribution</w:t>
            </w:r>
            <w:r>
              <w:t xml:space="preserve"> </w:t>
            </w:r>
            <w:r w:rsidRPr="009C3D34">
              <w:t>outlines a model of a fully implemented Basin Plan. The report describes how changes were included into the Basin Plan Benchmark scenario to produce the Sustainable Diversion Limit Benchmark scenario. This represents the implementation of the Basin Plan to achieve 2</w:t>
            </w:r>
            <w:r>
              <w:t>,</w:t>
            </w:r>
            <w:r w:rsidRPr="009C3D34">
              <w:t>750 GL of water recovery for the environment. This model was agreed to by all Basin governments.</w:t>
            </w:r>
          </w:p>
          <w:p w:rsidR="009D109B" w:rsidRDefault="009D109B" w:rsidP="008D17B4">
            <w:pPr>
              <w:pStyle w:val="Tabletext"/>
            </w:pPr>
          </w:p>
        </w:tc>
      </w:tr>
      <w:tr w:rsidR="009D109B" w:rsidTr="009D109B">
        <w:tc>
          <w:tcPr>
            <w:tcW w:w="200" w:type="pct"/>
            <w:tcBorders>
              <w:top w:val="single" w:sz="2" w:space="0" w:color="auto"/>
              <w:bottom w:val="single" w:sz="2" w:space="0" w:color="auto"/>
            </w:tcBorders>
          </w:tcPr>
          <w:p w:rsidR="009D109B" w:rsidRPr="009D109B" w:rsidRDefault="009D109B" w:rsidP="008D17B4">
            <w:pPr>
              <w:pStyle w:val="Tabletext"/>
            </w:pPr>
            <w:r w:rsidRPr="009D109B">
              <w:t>2</w:t>
            </w:r>
          </w:p>
        </w:tc>
        <w:tc>
          <w:tcPr>
            <w:tcW w:w="1267" w:type="pct"/>
            <w:tcBorders>
              <w:top w:val="single" w:sz="2" w:space="0" w:color="auto"/>
              <w:bottom w:val="single" w:sz="2" w:space="0" w:color="auto"/>
            </w:tcBorders>
          </w:tcPr>
          <w:p w:rsidR="009D109B" w:rsidRDefault="009D109B" w:rsidP="008D17B4">
            <w:pPr>
              <w:pStyle w:val="Tabletext"/>
            </w:pPr>
            <w:r w:rsidRPr="009C3D34">
              <w:rPr>
                <w:i/>
              </w:rPr>
              <w:t>Modelling assessment to determine SDL Adjustment Volume</w:t>
            </w:r>
            <w:r>
              <w:t>, Murray</w:t>
            </w:r>
            <w:r>
              <w:noBreakHyphen/>
              <w:t>Darling Basin Authority, October 2017</w:t>
            </w:r>
          </w:p>
        </w:tc>
        <w:tc>
          <w:tcPr>
            <w:tcW w:w="3533" w:type="pct"/>
            <w:tcBorders>
              <w:top w:val="single" w:sz="2" w:space="0" w:color="auto"/>
              <w:bottom w:val="single" w:sz="2" w:space="0" w:color="auto"/>
            </w:tcBorders>
          </w:tcPr>
          <w:p w:rsidR="009D109B" w:rsidRDefault="009D109B" w:rsidP="009D2532">
            <w:pPr>
              <w:pStyle w:val="Tabletext"/>
            </w:pPr>
            <w:r w:rsidRPr="00431210">
              <w:t xml:space="preserve">The </w:t>
            </w:r>
            <w:r w:rsidRPr="009D2532">
              <w:rPr>
                <w:i/>
              </w:rPr>
              <w:t>Modelling assessment to determine SDL Adjustment Volume</w:t>
            </w:r>
            <w:r>
              <w:t xml:space="preserve"> </w:t>
            </w:r>
            <w:r w:rsidRPr="00431210">
              <w:t>describes the implementation of the supply measures package in the modelling framework. The report explains how the model represents and assesses the supply measures to achieve maximum supply contribution. The report lists the results of three equivalence tests (ecological elements score tests, limits of change in environmental outcomes, and reliability of supply targets) to compare environmental outcomes and reliability of the Sustainable Diversion Limit Adjustment scenario to the Sustainable Diversion Limit Benchmark scenario.</w:t>
            </w:r>
          </w:p>
          <w:p w:rsidR="009D109B" w:rsidRDefault="009D109B" w:rsidP="009D2532">
            <w:pPr>
              <w:pStyle w:val="Tabletext"/>
            </w:pPr>
          </w:p>
        </w:tc>
      </w:tr>
      <w:tr w:rsidR="009D109B" w:rsidTr="009D109B">
        <w:tc>
          <w:tcPr>
            <w:tcW w:w="200" w:type="pct"/>
            <w:tcBorders>
              <w:top w:val="single" w:sz="2" w:space="0" w:color="auto"/>
              <w:bottom w:val="single" w:sz="2" w:space="0" w:color="auto"/>
            </w:tcBorders>
          </w:tcPr>
          <w:p w:rsidR="009D109B" w:rsidRPr="009D109B" w:rsidRDefault="009D109B" w:rsidP="006216BA">
            <w:pPr>
              <w:pStyle w:val="Tabletext"/>
              <w:rPr>
                <w:bCs/>
              </w:rPr>
            </w:pPr>
            <w:r w:rsidRPr="009D109B">
              <w:rPr>
                <w:bCs/>
              </w:rPr>
              <w:t>3</w:t>
            </w:r>
          </w:p>
        </w:tc>
        <w:tc>
          <w:tcPr>
            <w:tcW w:w="1267" w:type="pct"/>
            <w:tcBorders>
              <w:top w:val="single" w:sz="2" w:space="0" w:color="auto"/>
              <w:bottom w:val="single" w:sz="2" w:space="0" w:color="auto"/>
            </w:tcBorders>
          </w:tcPr>
          <w:p w:rsidR="009D109B" w:rsidRPr="009D2532" w:rsidRDefault="009D109B" w:rsidP="006216BA">
            <w:pPr>
              <w:pStyle w:val="Tabletext"/>
            </w:pPr>
            <w:r w:rsidRPr="009D2532">
              <w:rPr>
                <w:bCs/>
                <w:i/>
              </w:rPr>
              <w:t>Independent Review of Hydrologic Modelling for SDL Adjustment</w:t>
            </w:r>
            <w:r>
              <w:rPr>
                <w:bCs/>
              </w:rPr>
              <w:t xml:space="preserve">, Bewsher Consulting Pty Ltd, </w:t>
            </w:r>
            <w:r w:rsidRPr="009D2532">
              <w:rPr>
                <w:bCs/>
              </w:rPr>
              <w:t>September</w:t>
            </w:r>
            <w:r>
              <w:rPr>
                <w:bCs/>
              </w:rPr>
              <w:t xml:space="preserve"> 2017</w:t>
            </w:r>
          </w:p>
        </w:tc>
        <w:tc>
          <w:tcPr>
            <w:tcW w:w="3533" w:type="pct"/>
            <w:tcBorders>
              <w:top w:val="single" w:sz="2" w:space="0" w:color="auto"/>
              <w:bottom w:val="single" w:sz="2" w:space="0" w:color="auto"/>
            </w:tcBorders>
          </w:tcPr>
          <w:p w:rsidR="009D109B" w:rsidRDefault="009D109B" w:rsidP="008D17B4">
            <w:pPr>
              <w:pStyle w:val="Tabletext"/>
            </w:pPr>
            <w:r w:rsidRPr="009D2532">
              <w:t xml:space="preserve">The </w:t>
            </w:r>
            <w:r w:rsidRPr="009D2532">
              <w:rPr>
                <w:bCs/>
                <w:i/>
              </w:rPr>
              <w:t>Independent Review of Hydrologic Modelling for SDL Adjustment</w:t>
            </w:r>
            <w:r w:rsidRPr="009D2532">
              <w:t xml:space="preserve"> details the findings of the independent review of the Sustainable Diversion Limit Benchmark and Adjustment scenarios. It gives a detailed evaluation of the modelling framework, outlining the methodology and criteria used to assess the Sustainable Diversion Limit Benchmark and Adjustment scenarios. The independent audit lists a number of suggested improvements to ensure the modelling framework is an appropriate representation of the system and remains fit for purpose.</w:t>
            </w:r>
          </w:p>
          <w:p w:rsidR="009D109B" w:rsidRDefault="009D109B" w:rsidP="008D17B4">
            <w:pPr>
              <w:pStyle w:val="Tabletext"/>
            </w:pPr>
          </w:p>
        </w:tc>
      </w:tr>
      <w:tr w:rsidR="009D109B" w:rsidTr="009D109B">
        <w:tc>
          <w:tcPr>
            <w:tcW w:w="200" w:type="pct"/>
            <w:tcBorders>
              <w:top w:val="single" w:sz="2" w:space="0" w:color="auto"/>
              <w:bottom w:val="single" w:sz="2" w:space="0" w:color="auto"/>
            </w:tcBorders>
          </w:tcPr>
          <w:p w:rsidR="009D109B" w:rsidRPr="009D109B" w:rsidRDefault="009D109B" w:rsidP="008D17B4">
            <w:pPr>
              <w:pStyle w:val="Tabletext"/>
            </w:pPr>
            <w:r w:rsidRPr="009D109B">
              <w:t>4</w:t>
            </w:r>
          </w:p>
        </w:tc>
        <w:tc>
          <w:tcPr>
            <w:tcW w:w="1267" w:type="pct"/>
            <w:tcBorders>
              <w:top w:val="single" w:sz="2" w:space="0" w:color="auto"/>
              <w:bottom w:val="single" w:sz="2" w:space="0" w:color="auto"/>
            </w:tcBorders>
          </w:tcPr>
          <w:p w:rsidR="009D109B" w:rsidRPr="006216BA" w:rsidRDefault="009D109B" w:rsidP="008D17B4">
            <w:pPr>
              <w:pStyle w:val="Tabletext"/>
            </w:pPr>
            <w:r w:rsidRPr="009D2532">
              <w:rPr>
                <w:i/>
              </w:rPr>
              <w:t>Independent Expert Panel Murray–Darling Basin Plan SDL Limits of Change Review</w:t>
            </w:r>
            <w:r>
              <w:t xml:space="preserve">, Davies </w:t>
            </w:r>
            <w:r>
              <w:rPr>
                <w:i/>
              </w:rPr>
              <w:t>et al</w:t>
            </w:r>
            <w:r>
              <w:t>., September 2017</w:t>
            </w:r>
          </w:p>
        </w:tc>
        <w:tc>
          <w:tcPr>
            <w:tcW w:w="3533" w:type="pct"/>
            <w:tcBorders>
              <w:top w:val="single" w:sz="2" w:space="0" w:color="auto"/>
              <w:bottom w:val="single" w:sz="2" w:space="0" w:color="auto"/>
            </w:tcBorders>
          </w:tcPr>
          <w:p w:rsidR="009D109B" w:rsidRDefault="009D109B" w:rsidP="008D17B4">
            <w:pPr>
              <w:pStyle w:val="Tabletext"/>
            </w:pPr>
            <w:r w:rsidRPr="009D2532">
              <w:t>Prior to the Sustainable Diversion Limit adjustment determination, early MDBA modelling indicated the potential for a number of limits of change rules to breach. The MDBA commissioned an expert review panel to undertake an independent ecological analysis of the potential breaches likely to occur across several possible Sustainable Diversion Limit adjustment model runs. This report outlines the independent expert panel</w:t>
            </w:r>
            <w:r>
              <w:t>’</w:t>
            </w:r>
            <w:r w:rsidRPr="009D2532">
              <w:t>s assessment.</w:t>
            </w:r>
          </w:p>
          <w:p w:rsidR="009D109B" w:rsidRDefault="009D109B" w:rsidP="008D17B4">
            <w:pPr>
              <w:pStyle w:val="Tabletext"/>
            </w:pPr>
          </w:p>
        </w:tc>
      </w:tr>
      <w:tr w:rsidR="009D109B" w:rsidTr="001F2F8D">
        <w:tc>
          <w:tcPr>
            <w:tcW w:w="200" w:type="pct"/>
            <w:tcBorders>
              <w:top w:val="single" w:sz="2" w:space="0" w:color="auto"/>
              <w:bottom w:val="single" w:sz="2" w:space="0" w:color="auto"/>
            </w:tcBorders>
          </w:tcPr>
          <w:p w:rsidR="009D109B" w:rsidRPr="009D109B" w:rsidRDefault="009D109B" w:rsidP="008D17B4">
            <w:pPr>
              <w:pStyle w:val="Tabletext"/>
            </w:pPr>
            <w:r w:rsidRPr="009D109B">
              <w:t>5</w:t>
            </w:r>
          </w:p>
        </w:tc>
        <w:tc>
          <w:tcPr>
            <w:tcW w:w="1267" w:type="pct"/>
            <w:tcBorders>
              <w:top w:val="single" w:sz="2" w:space="0" w:color="auto"/>
              <w:bottom w:val="single" w:sz="2" w:space="0" w:color="auto"/>
            </w:tcBorders>
          </w:tcPr>
          <w:p w:rsidR="009D109B" w:rsidRPr="009D2532" w:rsidRDefault="009D109B" w:rsidP="008D17B4">
            <w:pPr>
              <w:pStyle w:val="Tabletext"/>
              <w:rPr>
                <w:i/>
              </w:rPr>
            </w:pPr>
            <w:r w:rsidRPr="009D2532">
              <w:rPr>
                <w:i/>
              </w:rPr>
              <w:t>Advice from the Basin Officials Committee</w:t>
            </w:r>
          </w:p>
        </w:tc>
        <w:tc>
          <w:tcPr>
            <w:tcW w:w="3533" w:type="pct"/>
            <w:tcBorders>
              <w:top w:val="single" w:sz="2" w:space="0" w:color="auto"/>
              <w:bottom w:val="single" w:sz="2" w:space="0" w:color="auto"/>
            </w:tcBorders>
          </w:tcPr>
          <w:p w:rsidR="009D109B" w:rsidRDefault="009D109B" w:rsidP="008D17B4">
            <w:pPr>
              <w:pStyle w:val="Tabletext"/>
            </w:pPr>
            <w:r w:rsidRPr="009D2532">
              <w:t>The Basin Officials Committee has reviewed the draft determination and provided its advice to the MDBA on the proposed adjustment to Sustainable Diversion Limits. This includes advice from the New South Wales, Victorian and South Australian governments.</w:t>
            </w:r>
          </w:p>
          <w:p w:rsidR="00CA5296" w:rsidRDefault="00CA5296" w:rsidP="008D17B4">
            <w:pPr>
              <w:pStyle w:val="Tabletext"/>
            </w:pPr>
          </w:p>
        </w:tc>
      </w:tr>
      <w:tr w:rsidR="001F2F8D" w:rsidTr="00A2369B">
        <w:tc>
          <w:tcPr>
            <w:tcW w:w="200" w:type="pct"/>
            <w:tcBorders>
              <w:top w:val="single" w:sz="2" w:space="0" w:color="auto"/>
              <w:bottom w:val="single" w:sz="2" w:space="0" w:color="auto"/>
            </w:tcBorders>
          </w:tcPr>
          <w:p w:rsidR="001F2F8D" w:rsidRPr="00542447" w:rsidRDefault="001F2F8D" w:rsidP="001F2F8D">
            <w:pPr>
              <w:pStyle w:val="Tabletext"/>
            </w:pPr>
            <w:r w:rsidRPr="00542447">
              <w:t>6</w:t>
            </w:r>
          </w:p>
        </w:tc>
        <w:tc>
          <w:tcPr>
            <w:tcW w:w="1267" w:type="pct"/>
            <w:tcBorders>
              <w:top w:val="single" w:sz="2" w:space="0" w:color="auto"/>
              <w:bottom w:val="single" w:sz="2" w:space="0" w:color="auto"/>
            </w:tcBorders>
          </w:tcPr>
          <w:p w:rsidR="001F2F8D" w:rsidRPr="00542447" w:rsidRDefault="001F2F8D" w:rsidP="001F2F8D">
            <w:pPr>
              <w:pStyle w:val="Tabletext"/>
              <w:rPr>
                <w:i/>
              </w:rPr>
            </w:pPr>
            <w:r w:rsidRPr="00542447">
              <w:rPr>
                <w:i/>
              </w:rPr>
              <w:t>Summary of Public Feedback: Sustainable Diversion Limit Adjustment Mechanism – Draft Determination</w:t>
            </w:r>
          </w:p>
          <w:p w:rsidR="001F2F8D" w:rsidRPr="00542447" w:rsidRDefault="001F2F8D" w:rsidP="001F2F8D">
            <w:pPr>
              <w:pStyle w:val="Tabletext"/>
              <w:rPr>
                <w:rFonts w:ascii="Arial" w:eastAsiaTheme="minorHAnsi" w:hAnsi="Arial" w:cs="Arial"/>
                <w:i/>
                <w:iCs/>
              </w:rPr>
            </w:pPr>
          </w:p>
        </w:tc>
        <w:tc>
          <w:tcPr>
            <w:tcW w:w="3533" w:type="pct"/>
            <w:tcBorders>
              <w:top w:val="single" w:sz="2" w:space="0" w:color="auto"/>
              <w:bottom w:val="single" w:sz="2" w:space="0" w:color="auto"/>
            </w:tcBorders>
          </w:tcPr>
          <w:p w:rsidR="001F2F8D" w:rsidRPr="00542447" w:rsidRDefault="001F2F8D" w:rsidP="001F2F8D">
            <w:pPr>
              <w:pStyle w:val="Tabletext"/>
              <w:rPr>
                <w:rFonts w:ascii="Arial" w:hAnsi="Arial" w:cs="Arial"/>
              </w:rPr>
            </w:pPr>
            <w:r w:rsidRPr="00542447">
              <w:t xml:space="preserve">The </w:t>
            </w:r>
            <w:r w:rsidRPr="00542447">
              <w:rPr>
                <w:i/>
              </w:rPr>
              <w:t>Summary of Public Feedback: Sustainable Diversion Limit Adjustment Mechanism Draft Determination</w:t>
            </w:r>
            <w:r w:rsidRPr="00542447">
              <w:t xml:space="preserve"> outlines the key themes and issues raised in the public submissions period held between 3 October and 3 November 2017 for the SDL adjustment mechanism draft determination.</w:t>
            </w:r>
          </w:p>
        </w:tc>
      </w:tr>
      <w:tr w:rsidR="00A2369B" w:rsidTr="00A2369B">
        <w:tc>
          <w:tcPr>
            <w:tcW w:w="200" w:type="pct"/>
            <w:tcBorders>
              <w:top w:val="single" w:sz="2" w:space="0" w:color="auto"/>
              <w:bottom w:val="single" w:sz="2" w:space="0" w:color="auto"/>
            </w:tcBorders>
          </w:tcPr>
          <w:p w:rsidR="00A2369B" w:rsidRPr="00542447" w:rsidRDefault="00A2369B" w:rsidP="001F2F8D">
            <w:pPr>
              <w:pStyle w:val="Tabletext"/>
            </w:pPr>
            <w:r w:rsidRPr="00542447">
              <w:t>7</w:t>
            </w:r>
          </w:p>
        </w:tc>
        <w:tc>
          <w:tcPr>
            <w:tcW w:w="1267" w:type="pct"/>
            <w:tcBorders>
              <w:top w:val="single" w:sz="2" w:space="0" w:color="auto"/>
              <w:bottom w:val="single" w:sz="2" w:space="0" w:color="auto"/>
            </w:tcBorders>
          </w:tcPr>
          <w:p w:rsidR="00A2369B" w:rsidRPr="00542447" w:rsidRDefault="00395FBE" w:rsidP="00395FBE">
            <w:pPr>
              <w:pStyle w:val="Tabletext"/>
              <w:rPr>
                <w:i/>
              </w:rPr>
            </w:pPr>
            <w:r w:rsidRPr="00395FBE">
              <w:rPr>
                <w:i/>
              </w:rPr>
              <w:t>Project listed on the register of measures on the MDBA website</w:t>
            </w:r>
            <w:r w:rsidR="00A2369B" w:rsidRPr="00542447">
              <w:rPr>
                <w:i/>
              </w:rPr>
              <w:t xml:space="preserve"> </w:t>
            </w:r>
            <w:r>
              <w:rPr>
                <w:i/>
              </w:rPr>
              <w:t>–</w:t>
            </w:r>
            <w:r w:rsidR="00A2369B" w:rsidRPr="00542447">
              <w:rPr>
                <w:i/>
              </w:rPr>
              <w:t xml:space="preserve"> On Farm Irrigation Efficiency and Other Water Use Efficiencies</w:t>
            </w:r>
          </w:p>
        </w:tc>
        <w:tc>
          <w:tcPr>
            <w:tcW w:w="3533" w:type="pct"/>
            <w:tcBorders>
              <w:top w:val="single" w:sz="2" w:space="0" w:color="auto"/>
              <w:bottom w:val="single" w:sz="2" w:space="0" w:color="auto"/>
            </w:tcBorders>
          </w:tcPr>
          <w:p w:rsidR="00A2369B" w:rsidRPr="00542447" w:rsidRDefault="00A2369B" w:rsidP="001F2F8D">
            <w:pPr>
              <w:pStyle w:val="Tabletext"/>
            </w:pPr>
            <w:r w:rsidRPr="00542447">
              <w:t xml:space="preserve">The </w:t>
            </w:r>
            <w:r w:rsidR="00395FBE">
              <w:t>p</w:t>
            </w:r>
            <w:r w:rsidR="00395FBE" w:rsidRPr="00395FBE">
              <w:t xml:space="preserve">roject </w:t>
            </w:r>
            <w:r w:rsidR="00FA3ADD">
              <w:t xml:space="preserve">as </w:t>
            </w:r>
            <w:r w:rsidR="00395FBE" w:rsidRPr="00395FBE">
              <w:t xml:space="preserve">listed on the register of measures on the </w:t>
            </w:r>
            <w:r w:rsidR="00395FBE">
              <w:t xml:space="preserve">Authority’s </w:t>
            </w:r>
            <w:r w:rsidR="00395FBE" w:rsidRPr="00395FBE">
              <w:t xml:space="preserve">website </w:t>
            </w:r>
            <w:r w:rsidRPr="00542447">
              <w:t>includes details of works that could be undertaken on farm and/or off farm with the participation of consumptive water users.  The aim of these works is to decrease the quantity of water required for one or more consumptive uses in a set of surface water SDL resource units, compared with the quantity required under the benchmark conditions of development. The water savings from these efficiency works can then be transferred to the Commonwealth, forming part of the Commonwealth environmental water holdings.</w:t>
            </w:r>
          </w:p>
          <w:p w:rsidR="00A2369B" w:rsidRPr="00542447" w:rsidRDefault="00A2369B" w:rsidP="001F2F8D">
            <w:pPr>
              <w:pStyle w:val="Tabletext"/>
            </w:pPr>
          </w:p>
        </w:tc>
      </w:tr>
      <w:tr w:rsidR="00A2369B" w:rsidTr="009D109B">
        <w:tc>
          <w:tcPr>
            <w:tcW w:w="200" w:type="pct"/>
            <w:tcBorders>
              <w:top w:val="single" w:sz="2" w:space="0" w:color="auto"/>
              <w:bottom w:val="single" w:sz="18" w:space="0" w:color="auto"/>
            </w:tcBorders>
          </w:tcPr>
          <w:p w:rsidR="00A2369B" w:rsidRPr="00542447" w:rsidRDefault="00A2369B" w:rsidP="001F2F8D">
            <w:pPr>
              <w:pStyle w:val="Tabletext"/>
            </w:pPr>
            <w:r w:rsidRPr="00542447">
              <w:t>8</w:t>
            </w:r>
          </w:p>
        </w:tc>
        <w:tc>
          <w:tcPr>
            <w:tcW w:w="1267" w:type="pct"/>
            <w:tcBorders>
              <w:top w:val="single" w:sz="2" w:space="0" w:color="auto"/>
              <w:bottom w:val="single" w:sz="18" w:space="0" w:color="auto"/>
            </w:tcBorders>
          </w:tcPr>
          <w:p w:rsidR="00A2369B" w:rsidRPr="00542447" w:rsidRDefault="00395FBE" w:rsidP="00395FBE">
            <w:pPr>
              <w:pStyle w:val="Tabletext"/>
              <w:rPr>
                <w:i/>
              </w:rPr>
            </w:pPr>
            <w:r w:rsidRPr="00395FBE">
              <w:rPr>
                <w:i/>
              </w:rPr>
              <w:t>Project listed on the register of measures on the MDBA website</w:t>
            </w:r>
            <w:r w:rsidRPr="00542447">
              <w:rPr>
                <w:i/>
              </w:rPr>
              <w:t xml:space="preserve"> </w:t>
            </w:r>
            <w:r>
              <w:rPr>
                <w:i/>
              </w:rPr>
              <w:t>–</w:t>
            </w:r>
            <w:r w:rsidR="00A2369B" w:rsidRPr="00542447">
              <w:rPr>
                <w:i/>
              </w:rPr>
              <w:t xml:space="preserve"> Urban or Industrial and Mining areas water efficiency</w:t>
            </w:r>
          </w:p>
        </w:tc>
        <w:tc>
          <w:tcPr>
            <w:tcW w:w="3533" w:type="pct"/>
            <w:tcBorders>
              <w:top w:val="single" w:sz="2" w:space="0" w:color="auto"/>
              <w:bottom w:val="single" w:sz="18" w:space="0" w:color="auto"/>
            </w:tcBorders>
          </w:tcPr>
          <w:p w:rsidR="00A2369B" w:rsidRPr="00542447" w:rsidRDefault="00A2369B" w:rsidP="001F2F8D">
            <w:pPr>
              <w:pStyle w:val="Tabletext"/>
            </w:pPr>
            <w:r w:rsidRPr="00542447">
              <w:t xml:space="preserve">The </w:t>
            </w:r>
            <w:r w:rsidR="00395FBE">
              <w:t>p</w:t>
            </w:r>
            <w:r w:rsidR="00395FBE" w:rsidRPr="00395FBE">
              <w:t>roject</w:t>
            </w:r>
            <w:r w:rsidR="00FA3ADD">
              <w:t xml:space="preserve"> as</w:t>
            </w:r>
            <w:r w:rsidR="00395FBE" w:rsidRPr="00395FBE">
              <w:t xml:space="preserve"> listed on the register of measures on the </w:t>
            </w:r>
            <w:r w:rsidR="00395FBE">
              <w:t xml:space="preserve">Authority’s </w:t>
            </w:r>
            <w:r w:rsidR="00395FBE" w:rsidRPr="00395FBE">
              <w:t xml:space="preserve">website </w:t>
            </w:r>
            <w:r w:rsidR="00FA3ADD">
              <w:t xml:space="preserve">includes </w:t>
            </w:r>
            <w:r w:rsidRPr="00542447">
              <w:t xml:space="preserve">details of works that may be undertaken in urban or industrial and mining areas with the participation of consumptive water users. The aim of these works is to decrease the quantity of water required for one or more consumptive uses in a set of surface water SDL resource units, compared with the </w:t>
            </w:r>
            <w:r w:rsidRPr="00542447">
              <w:lastRenderedPageBreak/>
              <w:t>quantity required under the benchmark conditions of development. The water savings from these efficiency works can then be transferred to the Commonwealth, forming part of the Commonwealth environmental water holdings.</w:t>
            </w:r>
          </w:p>
          <w:p w:rsidR="00A2369B" w:rsidRPr="00542447" w:rsidRDefault="00A2369B" w:rsidP="001F2F8D">
            <w:pPr>
              <w:pStyle w:val="Tabletext"/>
            </w:pPr>
          </w:p>
        </w:tc>
      </w:tr>
    </w:tbl>
    <w:p w:rsidR="00AD2BC1" w:rsidRDefault="00AD2BC1" w:rsidP="007A5825">
      <w:pPr>
        <w:pStyle w:val="tMain"/>
      </w:pPr>
    </w:p>
    <w:p w:rsidR="007A5825" w:rsidRDefault="00075DCA" w:rsidP="00075DCA">
      <w:pPr>
        <w:pStyle w:val="ntoHeading"/>
      </w:pPr>
      <w:r>
        <w:t>Note:</w:t>
      </w:r>
      <w:r>
        <w:tab/>
      </w:r>
      <w:r w:rsidR="006B062A">
        <w:t>Th</w:t>
      </w:r>
      <w:r w:rsidR="005704F6">
        <w:t>is material</w:t>
      </w:r>
      <w:r w:rsidR="006B062A">
        <w:t xml:space="preserve"> </w:t>
      </w:r>
      <w:r w:rsidR="001F2F8D" w:rsidRPr="00542447">
        <w:t xml:space="preserve">referred to in items 1 to </w:t>
      </w:r>
      <w:r w:rsidR="00B445DA">
        <w:t>8</w:t>
      </w:r>
      <w:r w:rsidR="001F2F8D" w:rsidRPr="00542447">
        <w:t xml:space="preserve"> </w:t>
      </w:r>
      <w:r w:rsidR="006B062A">
        <w:t xml:space="preserve">may be accessed through the Authority’s website, </w:t>
      </w:r>
      <w:r w:rsidR="001F2F8D" w:rsidRPr="001F2F8D">
        <w:t>https://www.mdba.gov.au</w:t>
      </w:r>
      <w:r w:rsidR="006B062A">
        <w:t>.</w:t>
      </w:r>
    </w:p>
    <w:p w:rsidR="00D42A22" w:rsidRPr="007A5825" w:rsidRDefault="00D42A22" w:rsidP="00075DCA">
      <w:pPr>
        <w:pStyle w:val="ntoHeading"/>
      </w:pPr>
    </w:p>
    <w:p w:rsidR="00D42A22" w:rsidRDefault="00D42A22" w:rsidP="00DC2895">
      <w:pPr>
        <w:pStyle w:val="tPara"/>
        <w:sectPr w:rsidR="00D42A22" w:rsidSect="00D24C23">
          <w:headerReference w:type="default" r:id="rId20"/>
          <w:type w:val="continuous"/>
          <w:pgSz w:w="11906" w:h="16838"/>
          <w:pgMar w:top="1440" w:right="1440" w:bottom="1440" w:left="1440" w:header="709" w:footer="709" w:gutter="0"/>
          <w:cols w:space="708"/>
          <w:docGrid w:linePitch="360"/>
        </w:sectPr>
      </w:pPr>
    </w:p>
    <w:p w:rsidR="00305BA0" w:rsidRDefault="00E4496E" w:rsidP="00305BA0">
      <w:pPr>
        <w:pStyle w:val="h1Chap"/>
      </w:pPr>
      <w:bookmarkStart w:id="32" w:name="_Toc499810598"/>
      <w:r>
        <w:lastRenderedPageBreak/>
        <w:t>Schedule 5</w:t>
      </w:r>
      <w:r w:rsidR="00305BA0" w:rsidRPr="00C92564">
        <w:t>—</w:t>
      </w:r>
      <w:r w:rsidR="003332C5">
        <w:t xml:space="preserve">Illustrative example of </w:t>
      </w:r>
      <w:r w:rsidR="001577D4" w:rsidRPr="003332C5">
        <w:t>p</w:t>
      </w:r>
      <w:r w:rsidR="001F26FE" w:rsidRPr="003332C5">
        <w:t>roposed SDL adjustments</w:t>
      </w:r>
      <w:bookmarkEnd w:id="32"/>
    </w:p>
    <w:p w:rsidR="00F70F01" w:rsidRPr="00F70F01" w:rsidRDefault="00F70F01" w:rsidP="00F70F01">
      <w:pPr>
        <w:pStyle w:val="ntoHeading"/>
      </w:pPr>
      <w:r>
        <w:t>Note:</w:t>
      </w:r>
      <w:r>
        <w:tab/>
        <w:t>See section </w:t>
      </w:r>
      <w:r w:rsidR="002E2C36">
        <w:t>6</w:t>
      </w:r>
      <w:r>
        <w:t xml:space="preserve"> of this notice.</w:t>
      </w:r>
    </w:p>
    <w:p w:rsidR="005D308D" w:rsidRDefault="002A6FB7" w:rsidP="002A6FB7">
      <w:pPr>
        <w:pStyle w:val="tMain"/>
      </w:pPr>
      <w:r>
        <w:tab/>
      </w:r>
      <w:r>
        <w:tab/>
        <w:t>For section </w:t>
      </w:r>
      <w:r w:rsidR="002E2C36">
        <w:t>6</w:t>
      </w:r>
      <w:r>
        <w:t xml:space="preserve"> of this notice, </w:t>
      </w:r>
      <w:r w:rsidR="00FB61A4">
        <w:t xml:space="preserve">this Schedule </w:t>
      </w:r>
      <w:r>
        <w:t xml:space="preserve">sets out </w:t>
      </w:r>
      <w:r w:rsidR="00627AAB">
        <w:t xml:space="preserve">an illustrative example of how the </w:t>
      </w:r>
      <w:r w:rsidR="00B022B9">
        <w:t xml:space="preserve">proposed SDL adjustments </w:t>
      </w:r>
      <w:r w:rsidR="00627AAB">
        <w:t>would apply based on efficiency contributions as at 1 July 2017, as if the SDL</w:t>
      </w:r>
      <w:r w:rsidR="005B596D">
        <w:t>s</w:t>
      </w:r>
      <w:r w:rsidR="00627AAB">
        <w:t xml:space="preserve"> were to apply from that date.</w:t>
      </w:r>
    </w:p>
    <w:p w:rsidR="00CD40F9" w:rsidRPr="00542447" w:rsidRDefault="005D308D" w:rsidP="002A6FB7">
      <w:pPr>
        <w:pStyle w:val="tMain"/>
        <w:rPr>
          <w:b/>
        </w:rPr>
      </w:pPr>
      <w:r w:rsidRPr="00D05A79">
        <w:tab/>
      </w:r>
      <w:r w:rsidRPr="00D05A79">
        <w:tab/>
      </w:r>
      <w:r w:rsidR="00627AAB" w:rsidRPr="00D05A79">
        <w:rPr>
          <w:b/>
        </w:rPr>
        <w:t>These figures represent an illustrative example</w:t>
      </w:r>
      <w:r w:rsidR="009E5732">
        <w:rPr>
          <w:b/>
        </w:rPr>
        <w:t xml:space="preserve"> </w:t>
      </w:r>
      <w:r w:rsidR="009E5732" w:rsidRPr="00542447">
        <w:rPr>
          <w:b/>
        </w:rPr>
        <w:t>of the proposed SDL adjustment amounts</w:t>
      </w:r>
      <w:r w:rsidRPr="00542447">
        <w:rPr>
          <w:b/>
        </w:rPr>
        <w:t xml:space="preserve"> only.</w:t>
      </w:r>
    </w:p>
    <w:p w:rsidR="00456732" w:rsidRPr="00542447" w:rsidRDefault="00CD40F9" w:rsidP="002A6FB7">
      <w:pPr>
        <w:pStyle w:val="tMain"/>
      </w:pPr>
      <w:r w:rsidRPr="00542447">
        <w:rPr>
          <w:b/>
        </w:rPr>
        <w:tab/>
      </w:r>
      <w:r w:rsidRPr="00542447">
        <w:rPr>
          <w:b/>
        </w:rPr>
        <w:tab/>
      </w:r>
      <w:r w:rsidR="001F2F8D" w:rsidRPr="00542447">
        <w:t>Actual SDL adjustment</w:t>
      </w:r>
      <w:r w:rsidR="009E5732" w:rsidRPr="00542447">
        <w:t xml:space="preserve"> amount</w:t>
      </w:r>
      <w:r w:rsidR="001F2F8D" w:rsidRPr="00542447">
        <w:t xml:space="preserve">s are expected to differ from these figures, primarily as a result of </w:t>
      </w:r>
      <w:r w:rsidR="009E5732" w:rsidRPr="00542447">
        <w:t xml:space="preserve">the acquisition of relevant water access entitlements giving rise to </w:t>
      </w:r>
      <w:r w:rsidR="001F2F8D" w:rsidRPr="00542447">
        <w:t>efficiency contributions</w:t>
      </w:r>
      <w:r w:rsidR="009E5732" w:rsidRPr="00542447">
        <w:t xml:space="preserve"> in one or more surface water SDL resource units</w:t>
      </w:r>
      <w:r w:rsidR="00816FE0" w:rsidRPr="00542447">
        <w:t>, and of re-allocation adjustment requests under section 6.05 of the Basin Plan</w:t>
      </w:r>
      <w:r w:rsidR="001F2F8D" w:rsidRPr="00542447">
        <w:t>.</w:t>
      </w:r>
    </w:p>
    <w:p w:rsidR="00B022B9" w:rsidRPr="00D05A79" w:rsidRDefault="00456732" w:rsidP="002A6FB7">
      <w:pPr>
        <w:pStyle w:val="tMain"/>
        <w:rPr>
          <w:i/>
        </w:rPr>
      </w:pPr>
      <w:r w:rsidRPr="00D05A79">
        <w:tab/>
      </w:r>
      <w:r w:rsidRPr="00D05A79">
        <w:tab/>
      </w:r>
      <w:r w:rsidR="005D308D" w:rsidRPr="00D05A79">
        <w:t>The</w:t>
      </w:r>
      <w:r w:rsidR="00627AAB" w:rsidRPr="00D05A79">
        <w:t xml:space="preserve"> actual SDL adjustments will be governed by the amendments to the Basin Plan made by the </w:t>
      </w:r>
      <w:r w:rsidR="005D308D" w:rsidRPr="00D05A79">
        <w:rPr>
          <w:i/>
        </w:rPr>
        <w:t>Basin Plan Amendment (SDL Adjustments) Instrument 2017</w:t>
      </w:r>
      <w:r w:rsidR="005D308D" w:rsidRPr="00D05A79">
        <w:t>.</w:t>
      </w:r>
    </w:p>
    <w:p w:rsidR="00B01CC5" w:rsidRPr="00D05A79" w:rsidRDefault="002A6FB7" w:rsidP="003332C5">
      <w:pPr>
        <w:pStyle w:val="tMain"/>
      </w:pPr>
      <w:r w:rsidRPr="00D05A79">
        <w:lastRenderedPageBreak/>
        <w:tab/>
      </w:r>
      <w:r w:rsidRPr="00D05A79">
        <w:tab/>
        <w:t xml:space="preserve">In </w:t>
      </w:r>
      <w:r w:rsidR="003332C5" w:rsidRPr="00D05A79">
        <w:t xml:space="preserve">this illustrative example, </w:t>
      </w:r>
      <w:r w:rsidR="00B01CC5" w:rsidRPr="00D05A79">
        <w:t>the net effect of the total supply contribution and the total efficiency contribution would be 605 GL per year, greater than 54</w:t>
      </w:r>
      <w:r w:rsidR="003332C5" w:rsidRPr="00D05A79">
        <w:t>3</w:t>
      </w:r>
      <w:r w:rsidR="00B01CC5" w:rsidRPr="00D05A79">
        <w:t xml:space="preserve"> GL per year. Accordingly, SDL adjustment amounts would be calculated in accordance with section </w:t>
      </w:r>
      <w:r w:rsidR="002E2C36">
        <w:t>5</w:t>
      </w:r>
      <w:r w:rsidR="00B01CC5" w:rsidRPr="00D05A79">
        <w:t xml:space="preserve"> of </w:t>
      </w:r>
      <w:r w:rsidR="002E2C36">
        <w:t>Schedule 2</w:t>
      </w:r>
      <w:r w:rsidR="00B01CC5" w:rsidRPr="00D05A79">
        <w:t xml:space="preserve"> to this notice</w:t>
      </w:r>
      <w:r w:rsidR="003332C5" w:rsidRPr="00D05A79">
        <w:t>.</w:t>
      </w:r>
    </w:p>
    <w:p w:rsidR="003332C5" w:rsidRDefault="003332C5" w:rsidP="003332C5">
      <w:pPr>
        <w:pStyle w:val="tMain"/>
      </w:pPr>
      <w:r>
        <w:tab/>
      </w:r>
      <w:r>
        <w:tab/>
        <w:t>In the example, for each surface water SDL resource unit:</w:t>
      </w:r>
    </w:p>
    <w:p w:rsidR="00B01CC5" w:rsidRDefault="00B01CC5" w:rsidP="00B01CC5">
      <w:pPr>
        <w:pStyle w:val="tPara"/>
      </w:pPr>
      <w:r>
        <w:tab/>
      </w:r>
      <w:r w:rsidR="00E4496E">
        <w:t>(a)</w:t>
      </w:r>
      <w:r>
        <w:tab/>
        <w:t xml:space="preserve">the proposed plan area limit would be the amount indicated in column </w:t>
      </w:r>
      <w:r w:rsidR="00F83080" w:rsidRPr="0090647C">
        <w:t>5</w:t>
      </w:r>
      <w:r>
        <w:t xml:space="preserve"> to the table below; and</w:t>
      </w:r>
    </w:p>
    <w:p w:rsidR="00B43A0F" w:rsidRDefault="00B43A0F" w:rsidP="00B43A0F">
      <w:pPr>
        <w:pStyle w:val="tPara"/>
      </w:pPr>
      <w:r>
        <w:tab/>
      </w:r>
      <w:r w:rsidR="00E4496E">
        <w:t>(b)</w:t>
      </w:r>
      <w:r>
        <w:tab/>
        <w:t xml:space="preserve">the percentage change </w:t>
      </w:r>
      <w:r w:rsidR="009A7C0D">
        <w:t xml:space="preserve">to the </w:t>
      </w:r>
      <w:r>
        <w:t>unit’s SDL would be the amount indicated in column</w:t>
      </w:r>
      <w:r w:rsidR="00F83080">
        <w:t> </w:t>
      </w:r>
      <w:r w:rsidR="00F83080" w:rsidRPr="0090647C">
        <w:t>6</w:t>
      </w:r>
      <w:r>
        <w:t xml:space="preserve"> of the table below</w:t>
      </w:r>
      <w:r w:rsidR="009A7C0D">
        <w:t>.</w:t>
      </w:r>
    </w:p>
    <w:p w:rsidR="009A7C0D" w:rsidRDefault="009A7C0D" w:rsidP="009A7C0D">
      <w:pPr>
        <w:pStyle w:val="tMain"/>
      </w:pPr>
      <w:r>
        <w:tab/>
      </w:r>
      <w:r>
        <w:tab/>
        <w:t xml:space="preserve">The </w:t>
      </w:r>
      <w:r w:rsidR="002A6FB7">
        <w:t xml:space="preserve">proposed Basin limit would be </w:t>
      </w:r>
      <w:r w:rsidR="00C1449D">
        <w:t>14,750</w:t>
      </w:r>
      <w:r w:rsidR="004257AC">
        <w:t xml:space="preserve"> </w:t>
      </w:r>
      <w:r w:rsidR="00B43A0F">
        <w:t>GL</w:t>
      </w:r>
      <w:r w:rsidR="004257AC">
        <w:t xml:space="preserve"> per year</w:t>
      </w:r>
      <w:r>
        <w:t>.</w:t>
      </w:r>
    </w:p>
    <w:p w:rsidR="00C1449D" w:rsidRDefault="009A7C0D" w:rsidP="009A7C0D">
      <w:pPr>
        <w:pStyle w:val="tMain"/>
      </w:pPr>
      <w:r>
        <w:tab/>
      </w:r>
      <w:r>
        <w:tab/>
        <w:t>T</w:t>
      </w:r>
      <w:r w:rsidR="002A6FB7">
        <w:t xml:space="preserve">he </w:t>
      </w:r>
      <w:r w:rsidR="005B596D">
        <w:t xml:space="preserve">Basin reference limit is 14,207 GL per year, and so the </w:t>
      </w:r>
      <w:r w:rsidR="002A6FB7">
        <w:t xml:space="preserve">total Basin adjustment percentage would be </w:t>
      </w:r>
      <w:r w:rsidR="00C1449D">
        <w:t>equal to (14,750 – 14,207)</w:t>
      </w:r>
      <w:r w:rsidR="00852B80">
        <w:t xml:space="preserve"> </w:t>
      </w:r>
      <w:r w:rsidR="00C1449D">
        <w:sym w:font="Symbol" w:char="F0B4"/>
      </w:r>
      <w:r w:rsidR="00852B80">
        <w:t xml:space="preserve"> </w:t>
      </w:r>
      <w:r w:rsidR="00C1449D">
        <w:t>100</w:t>
      </w:r>
      <w:r w:rsidR="00852B80">
        <w:t xml:space="preserve"> </w:t>
      </w:r>
      <w:r w:rsidR="00C1449D">
        <w:sym w:font="Symbol" w:char="F0B8"/>
      </w:r>
      <w:r w:rsidR="00852B80">
        <w:t xml:space="preserve"> </w:t>
      </w:r>
      <w:r w:rsidR="00C1449D">
        <w:t xml:space="preserve">14,207, which is </w:t>
      </w:r>
      <w:r w:rsidR="005B596D">
        <w:t xml:space="preserve">approximately 3.8%, </w:t>
      </w:r>
      <w:r w:rsidR="00C1449D">
        <w:t xml:space="preserve">less than </w:t>
      </w:r>
      <w:r w:rsidR="00852B80">
        <w:t>5</w:t>
      </w:r>
      <w:r w:rsidR="00C1449D">
        <w:t>%.</w:t>
      </w:r>
    </w:p>
    <w:p w:rsidR="00667793" w:rsidRDefault="00667793" w:rsidP="00BE11FA">
      <w:pPr>
        <w:pStyle w:val="tMain"/>
        <w:ind w:left="0" w:firstLine="0"/>
        <w:sectPr w:rsidR="00667793" w:rsidSect="00667793">
          <w:headerReference w:type="default" r:id="rId21"/>
          <w:pgSz w:w="11906" w:h="16838"/>
          <w:pgMar w:top="1440" w:right="1440" w:bottom="1440" w:left="1440" w:header="709" w:footer="709" w:gutter="0"/>
          <w:cols w:space="708"/>
          <w:docGrid w:linePitch="360"/>
        </w:sectPr>
      </w:pPr>
    </w:p>
    <w:tbl>
      <w:tblPr>
        <w:tblW w:w="0" w:type="auto"/>
        <w:tblInd w:w="10" w:type="dxa"/>
        <w:tblLayout w:type="fixed"/>
        <w:tblLook w:val="04A0" w:firstRow="1" w:lastRow="0" w:firstColumn="1" w:lastColumn="0" w:noHBand="0" w:noVBand="1"/>
      </w:tblPr>
      <w:tblGrid>
        <w:gridCol w:w="4210"/>
        <w:gridCol w:w="1934"/>
        <w:gridCol w:w="1934"/>
        <w:gridCol w:w="1935"/>
        <w:gridCol w:w="1934"/>
        <w:gridCol w:w="1935"/>
      </w:tblGrid>
      <w:tr w:rsidR="00D95355" w:rsidRPr="00D42A22" w:rsidTr="00D95355">
        <w:trPr>
          <w:trHeight w:val="412"/>
          <w:tblHeader/>
        </w:trPr>
        <w:tc>
          <w:tcPr>
            <w:tcW w:w="4210" w:type="dxa"/>
            <w:tcBorders>
              <w:top w:val="single" w:sz="18" w:space="0" w:color="auto"/>
              <w:bottom w:val="single" w:sz="2" w:space="0" w:color="auto"/>
            </w:tcBorders>
            <w:shd w:val="clear" w:color="auto" w:fill="auto"/>
          </w:tcPr>
          <w:p w:rsidR="00D95355" w:rsidRPr="00E05A72" w:rsidRDefault="00D95355" w:rsidP="005B596D">
            <w:pPr>
              <w:pStyle w:val="TableHeading"/>
              <w:jc w:val="center"/>
              <w:rPr>
                <w:rFonts w:eastAsia="Calibri"/>
              </w:rPr>
            </w:pPr>
            <w:r>
              <w:rPr>
                <w:rFonts w:eastAsia="Calibri"/>
              </w:rPr>
              <w:lastRenderedPageBreak/>
              <w:t>Column 1</w:t>
            </w:r>
          </w:p>
        </w:tc>
        <w:tc>
          <w:tcPr>
            <w:tcW w:w="1934" w:type="dxa"/>
            <w:tcBorders>
              <w:top w:val="single" w:sz="18" w:space="0" w:color="auto"/>
              <w:bottom w:val="single" w:sz="2" w:space="0" w:color="auto"/>
            </w:tcBorders>
            <w:shd w:val="clear" w:color="auto" w:fill="auto"/>
          </w:tcPr>
          <w:p w:rsidR="00D95355" w:rsidRPr="00E05A72" w:rsidRDefault="00D95355" w:rsidP="005B596D">
            <w:pPr>
              <w:pStyle w:val="TableHeading"/>
              <w:jc w:val="center"/>
              <w:rPr>
                <w:rFonts w:eastAsia="Calibri"/>
              </w:rPr>
            </w:pPr>
            <w:r>
              <w:rPr>
                <w:rFonts w:eastAsia="Calibri"/>
              </w:rPr>
              <w:t>Column 2</w:t>
            </w:r>
          </w:p>
        </w:tc>
        <w:tc>
          <w:tcPr>
            <w:tcW w:w="1934" w:type="dxa"/>
            <w:tcBorders>
              <w:top w:val="single" w:sz="18" w:space="0" w:color="auto"/>
              <w:bottom w:val="single" w:sz="2" w:space="0" w:color="auto"/>
            </w:tcBorders>
            <w:shd w:val="clear" w:color="auto" w:fill="auto"/>
            <w:noWrap/>
          </w:tcPr>
          <w:p w:rsidR="00D95355" w:rsidRPr="00542447" w:rsidRDefault="00D95355" w:rsidP="00D95355">
            <w:pPr>
              <w:pStyle w:val="TableHeading"/>
              <w:jc w:val="center"/>
              <w:rPr>
                <w:rFonts w:eastAsia="Calibri"/>
              </w:rPr>
            </w:pPr>
            <w:r w:rsidRPr="00542447">
              <w:rPr>
                <w:rFonts w:eastAsia="Calibri"/>
              </w:rPr>
              <w:t>Column 3</w:t>
            </w:r>
          </w:p>
        </w:tc>
        <w:tc>
          <w:tcPr>
            <w:tcW w:w="1935" w:type="dxa"/>
            <w:tcBorders>
              <w:top w:val="single" w:sz="18" w:space="0" w:color="auto"/>
              <w:bottom w:val="single" w:sz="2" w:space="0" w:color="auto"/>
            </w:tcBorders>
            <w:shd w:val="clear" w:color="auto" w:fill="auto"/>
          </w:tcPr>
          <w:p w:rsidR="00D95355" w:rsidRPr="00542447" w:rsidRDefault="00D95355" w:rsidP="00D95355">
            <w:pPr>
              <w:pStyle w:val="TableHeading"/>
              <w:jc w:val="center"/>
              <w:rPr>
                <w:rFonts w:eastAsia="Calibri"/>
              </w:rPr>
            </w:pPr>
            <w:r w:rsidRPr="00542447">
              <w:rPr>
                <w:rFonts w:eastAsia="Calibri"/>
              </w:rPr>
              <w:t>Column 4</w:t>
            </w:r>
          </w:p>
        </w:tc>
        <w:tc>
          <w:tcPr>
            <w:tcW w:w="1934" w:type="dxa"/>
            <w:tcBorders>
              <w:top w:val="single" w:sz="18" w:space="0" w:color="auto"/>
              <w:bottom w:val="single" w:sz="2" w:space="0" w:color="auto"/>
            </w:tcBorders>
            <w:shd w:val="clear" w:color="auto" w:fill="auto"/>
          </w:tcPr>
          <w:p w:rsidR="00D95355" w:rsidRPr="00542447" w:rsidRDefault="00D95355" w:rsidP="00D95355">
            <w:pPr>
              <w:pStyle w:val="TableHeading"/>
              <w:jc w:val="center"/>
              <w:rPr>
                <w:rFonts w:eastAsia="Calibri"/>
              </w:rPr>
            </w:pPr>
            <w:r w:rsidRPr="00542447">
              <w:rPr>
                <w:rFonts w:eastAsia="Calibri"/>
              </w:rPr>
              <w:t>Column 5</w:t>
            </w:r>
          </w:p>
        </w:tc>
        <w:tc>
          <w:tcPr>
            <w:tcW w:w="1935" w:type="dxa"/>
            <w:tcBorders>
              <w:top w:val="single" w:sz="18" w:space="0" w:color="auto"/>
              <w:bottom w:val="single" w:sz="2" w:space="0" w:color="auto"/>
            </w:tcBorders>
            <w:shd w:val="clear" w:color="auto" w:fill="auto"/>
          </w:tcPr>
          <w:p w:rsidR="00D95355" w:rsidRPr="00542447" w:rsidRDefault="00D95355" w:rsidP="00D95355">
            <w:pPr>
              <w:pStyle w:val="TableHeading"/>
              <w:jc w:val="center"/>
              <w:rPr>
                <w:rFonts w:eastAsia="Calibri"/>
              </w:rPr>
            </w:pPr>
            <w:r w:rsidRPr="00542447">
              <w:rPr>
                <w:rFonts w:eastAsia="Calibri"/>
              </w:rPr>
              <w:t>Column 6</w:t>
            </w:r>
          </w:p>
        </w:tc>
      </w:tr>
      <w:tr w:rsidR="00D95355" w:rsidRPr="00E05A72" w:rsidTr="00D95355">
        <w:trPr>
          <w:trHeight w:val="1519"/>
          <w:tblHeader/>
        </w:trPr>
        <w:tc>
          <w:tcPr>
            <w:tcW w:w="4210" w:type="dxa"/>
            <w:tcBorders>
              <w:top w:val="single" w:sz="2" w:space="0" w:color="auto"/>
              <w:bottom w:val="single" w:sz="18" w:space="0" w:color="auto"/>
            </w:tcBorders>
            <w:shd w:val="clear" w:color="auto" w:fill="auto"/>
            <w:hideMark/>
          </w:tcPr>
          <w:p w:rsidR="00D95355" w:rsidRPr="00E05A72" w:rsidRDefault="00D95355" w:rsidP="00031A5A">
            <w:pPr>
              <w:pStyle w:val="TableHeading"/>
              <w:rPr>
                <w:rFonts w:eastAsia="Calibri"/>
              </w:rPr>
            </w:pPr>
            <w:r w:rsidRPr="00E05A72">
              <w:rPr>
                <w:rFonts w:eastAsia="Calibri"/>
              </w:rPr>
              <w:t>Surface water SDL resource unit</w:t>
            </w:r>
          </w:p>
        </w:tc>
        <w:tc>
          <w:tcPr>
            <w:tcW w:w="1934" w:type="dxa"/>
            <w:tcBorders>
              <w:top w:val="single" w:sz="2" w:space="0" w:color="auto"/>
              <w:bottom w:val="single" w:sz="18" w:space="0" w:color="auto"/>
            </w:tcBorders>
            <w:shd w:val="clear" w:color="auto" w:fill="auto"/>
            <w:hideMark/>
          </w:tcPr>
          <w:p w:rsidR="00D95355" w:rsidRPr="00E05A72" w:rsidRDefault="00D95355" w:rsidP="005B596D">
            <w:pPr>
              <w:pStyle w:val="TableHeading"/>
              <w:jc w:val="center"/>
              <w:rPr>
                <w:rFonts w:eastAsia="Calibri"/>
              </w:rPr>
            </w:pPr>
            <w:r w:rsidRPr="00E05A72">
              <w:rPr>
                <w:rFonts w:eastAsia="Calibri"/>
              </w:rPr>
              <w:t>SDL</w:t>
            </w:r>
            <w:r>
              <w:rPr>
                <w:rFonts w:eastAsia="Calibri"/>
              </w:rPr>
              <w:t xml:space="preserve"> that applied at the reference time</w:t>
            </w:r>
            <w:r w:rsidRPr="00E05A72">
              <w:rPr>
                <w:rFonts w:eastAsia="Calibri"/>
              </w:rPr>
              <w:t xml:space="preserve"> </w:t>
            </w:r>
            <w:r w:rsidRPr="00E05A72">
              <w:rPr>
                <w:rFonts w:eastAsia="Calibri"/>
              </w:rPr>
              <w:br/>
              <w:t>(GL/yr)</w:t>
            </w:r>
          </w:p>
        </w:tc>
        <w:tc>
          <w:tcPr>
            <w:tcW w:w="1934" w:type="dxa"/>
            <w:tcBorders>
              <w:top w:val="single" w:sz="2" w:space="0" w:color="auto"/>
              <w:bottom w:val="single" w:sz="18" w:space="0" w:color="auto"/>
            </w:tcBorders>
            <w:shd w:val="clear" w:color="auto" w:fill="auto"/>
            <w:noWrap/>
            <w:hideMark/>
          </w:tcPr>
          <w:p w:rsidR="00D95355" w:rsidRPr="00542447" w:rsidRDefault="00D95355" w:rsidP="005B596D">
            <w:pPr>
              <w:pStyle w:val="TableHeading"/>
              <w:jc w:val="center"/>
              <w:rPr>
                <w:rFonts w:eastAsia="Calibri"/>
              </w:rPr>
            </w:pPr>
            <w:r w:rsidRPr="00542447">
              <w:rPr>
                <w:rFonts w:eastAsia="Calibri"/>
              </w:rPr>
              <w:t>Apportioned supply contribution</w:t>
            </w:r>
            <w:r w:rsidR="00FF0E8D" w:rsidRPr="00542447">
              <w:rPr>
                <w:rFonts w:eastAsia="Calibri"/>
                <w:vertAlign w:val="superscript"/>
              </w:rPr>
              <w:t>1</w:t>
            </w:r>
            <w:r w:rsidRPr="00542447">
              <w:rPr>
                <w:rFonts w:eastAsia="Calibri"/>
              </w:rPr>
              <w:t xml:space="preserve"> </w:t>
            </w:r>
            <w:r w:rsidRPr="00542447">
              <w:rPr>
                <w:rFonts w:eastAsia="Calibri"/>
              </w:rPr>
              <w:br/>
              <w:t>(GL/yr)</w:t>
            </w:r>
          </w:p>
        </w:tc>
        <w:tc>
          <w:tcPr>
            <w:tcW w:w="1935" w:type="dxa"/>
            <w:tcBorders>
              <w:top w:val="single" w:sz="2" w:space="0" w:color="auto"/>
              <w:bottom w:val="single" w:sz="18" w:space="0" w:color="auto"/>
            </w:tcBorders>
            <w:shd w:val="clear" w:color="auto" w:fill="auto"/>
            <w:hideMark/>
          </w:tcPr>
          <w:p w:rsidR="00D95355" w:rsidRPr="00542447" w:rsidRDefault="00D95355" w:rsidP="005B596D">
            <w:pPr>
              <w:pStyle w:val="TableHeading"/>
              <w:jc w:val="center"/>
              <w:rPr>
                <w:rFonts w:eastAsia="Calibri"/>
              </w:rPr>
            </w:pPr>
            <w:r w:rsidRPr="00542447">
              <w:rPr>
                <w:rFonts w:eastAsia="Calibri"/>
              </w:rPr>
              <w:t>Reduced supply contribution</w:t>
            </w:r>
            <w:r w:rsidRPr="00542447">
              <w:rPr>
                <w:rFonts w:eastAsia="Calibri"/>
                <w:vertAlign w:val="superscript"/>
              </w:rPr>
              <w:t>2</w:t>
            </w:r>
            <w:r w:rsidRPr="00542447">
              <w:rPr>
                <w:rFonts w:eastAsia="Calibri"/>
              </w:rPr>
              <w:br/>
              <w:t>(GL/yr)</w:t>
            </w:r>
          </w:p>
        </w:tc>
        <w:tc>
          <w:tcPr>
            <w:tcW w:w="1934" w:type="dxa"/>
            <w:tcBorders>
              <w:top w:val="single" w:sz="2" w:space="0" w:color="auto"/>
              <w:bottom w:val="single" w:sz="18" w:space="0" w:color="auto"/>
            </w:tcBorders>
            <w:shd w:val="clear" w:color="auto" w:fill="auto"/>
            <w:hideMark/>
          </w:tcPr>
          <w:p w:rsidR="00D95355" w:rsidRPr="00542447" w:rsidRDefault="00D95355" w:rsidP="005B596D">
            <w:pPr>
              <w:pStyle w:val="TableHeading"/>
              <w:jc w:val="center"/>
              <w:rPr>
                <w:rFonts w:eastAsia="Calibri"/>
              </w:rPr>
            </w:pPr>
            <w:r w:rsidRPr="00542447">
              <w:rPr>
                <w:rFonts w:eastAsia="Calibri"/>
              </w:rPr>
              <w:t>Proposed plan area limit</w:t>
            </w:r>
            <w:r w:rsidRPr="00542447">
              <w:rPr>
                <w:rFonts w:eastAsia="Calibri"/>
                <w:vertAlign w:val="superscript"/>
              </w:rPr>
              <w:t>3</w:t>
            </w:r>
            <w:r w:rsidRPr="00542447">
              <w:rPr>
                <w:rFonts w:eastAsia="Calibri"/>
              </w:rPr>
              <w:br/>
              <w:t>(GL/yr)</w:t>
            </w:r>
          </w:p>
        </w:tc>
        <w:tc>
          <w:tcPr>
            <w:tcW w:w="1935" w:type="dxa"/>
            <w:tcBorders>
              <w:top w:val="single" w:sz="2" w:space="0" w:color="auto"/>
              <w:bottom w:val="single" w:sz="18" w:space="0" w:color="auto"/>
            </w:tcBorders>
            <w:shd w:val="clear" w:color="auto" w:fill="auto"/>
            <w:hideMark/>
          </w:tcPr>
          <w:p w:rsidR="00D95355" w:rsidRPr="00542447" w:rsidRDefault="00D95355" w:rsidP="00D95355">
            <w:pPr>
              <w:pStyle w:val="TableHeading"/>
              <w:jc w:val="center"/>
              <w:rPr>
                <w:rFonts w:eastAsia="Calibri"/>
              </w:rPr>
            </w:pPr>
            <w:r w:rsidRPr="00542447">
              <w:t>Amount of the difference between the limits referred to in columns 2 and 5, expressed as a percentage of the amount of the limit referred to in column 2</w:t>
            </w:r>
          </w:p>
        </w:tc>
      </w:tr>
      <w:tr w:rsidR="00D95355" w:rsidRPr="00E05A72" w:rsidTr="00D95355">
        <w:trPr>
          <w:trHeight w:val="300"/>
        </w:trPr>
        <w:tc>
          <w:tcPr>
            <w:tcW w:w="4210" w:type="dxa"/>
            <w:tcBorders>
              <w:top w:val="single" w:sz="18" w:space="0" w:color="auto"/>
            </w:tcBorders>
            <w:shd w:val="clear" w:color="auto" w:fill="auto"/>
            <w:noWrap/>
            <w:hideMark/>
          </w:tcPr>
          <w:p w:rsidR="00D95355" w:rsidRDefault="00D95355" w:rsidP="00031A5A">
            <w:pPr>
              <w:pStyle w:val="TableHeading"/>
              <w:rPr>
                <w:rFonts w:eastAsia="Calibri"/>
                <w:i/>
              </w:rPr>
            </w:pPr>
          </w:p>
          <w:p w:rsidR="00D95355" w:rsidRPr="00E05A72" w:rsidRDefault="00D95355" w:rsidP="00031A5A">
            <w:pPr>
              <w:pStyle w:val="TableHeading"/>
              <w:rPr>
                <w:rFonts w:eastAsia="Calibri"/>
                <w:i/>
              </w:rPr>
            </w:pPr>
            <w:r w:rsidRPr="007F187B">
              <w:rPr>
                <w:rFonts w:eastAsia="Calibri"/>
                <w:i/>
              </w:rPr>
              <w:t>Queensland</w:t>
            </w:r>
          </w:p>
        </w:tc>
        <w:tc>
          <w:tcPr>
            <w:tcW w:w="1934" w:type="dxa"/>
            <w:tcBorders>
              <w:top w:val="single" w:sz="18" w:space="0" w:color="auto"/>
            </w:tcBorders>
            <w:shd w:val="clear" w:color="auto" w:fill="auto"/>
            <w:noWrap/>
            <w:hideMark/>
          </w:tcPr>
          <w:p w:rsidR="00D95355" w:rsidRPr="00E05A72" w:rsidRDefault="00D95355" w:rsidP="005B596D">
            <w:pPr>
              <w:pStyle w:val="Tabletext"/>
              <w:jc w:val="center"/>
              <w:rPr>
                <w:rFonts w:eastAsia="Calibri"/>
              </w:rPr>
            </w:pPr>
          </w:p>
        </w:tc>
        <w:tc>
          <w:tcPr>
            <w:tcW w:w="1934" w:type="dxa"/>
            <w:tcBorders>
              <w:top w:val="single" w:sz="18" w:space="0" w:color="auto"/>
            </w:tcBorders>
            <w:shd w:val="clear" w:color="auto" w:fill="auto"/>
            <w:noWrap/>
          </w:tcPr>
          <w:p w:rsidR="00D95355" w:rsidRPr="00E05A72" w:rsidRDefault="00D95355" w:rsidP="005B596D">
            <w:pPr>
              <w:pStyle w:val="Tabletext"/>
              <w:jc w:val="center"/>
              <w:rPr>
                <w:rFonts w:eastAsia="Calibri"/>
              </w:rPr>
            </w:pPr>
          </w:p>
        </w:tc>
        <w:tc>
          <w:tcPr>
            <w:tcW w:w="1935" w:type="dxa"/>
            <w:tcBorders>
              <w:top w:val="single" w:sz="18" w:space="0" w:color="auto"/>
            </w:tcBorders>
            <w:shd w:val="clear" w:color="auto" w:fill="auto"/>
            <w:noWrap/>
            <w:hideMark/>
          </w:tcPr>
          <w:p w:rsidR="00D95355" w:rsidRPr="00E05A72" w:rsidRDefault="00D95355" w:rsidP="005B596D">
            <w:pPr>
              <w:pStyle w:val="Tabletext"/>
              <w:jc w:val="center"/>
              <w:rPr>
                <w:rFonts w:eastAsia="Calibri"/>
              </w:rPr>
            </w:pPr>
          </w:p>
        </w:tc>
        <w:tc>
          <w:tcPr>
            <w:tcW w:w="1934" w:type="dxa"/>
            <w:tcBorders>
              <w:top w:val="single" w:sz="18" w:space="0" w:color="auto"/>
            </w:tcBorders>
            <w:shd w:val="clear" w:color="auto" w:fill="auto"/>
            <w:noWrap/>
            <w:hideMark/>
          </w:tcPr>
          <w:p w:rsidR="00D95355" w:rsidRPr="00E05A72" w:rsidRDefault="00D95355" w:rsidP="005B596D">
            <w:pPr>
              <w:pStyle w:val="Tabletext"/>
              <w:jc w:val="center"/>
              <w:rPr>
                <w:rFonts w:eastAsia="Calibri"/>
              </w:rPr>
            </w:pPr>
          </w:p>
        </w:tc>
        <w:tc>
          <w:tcPr>
            <w:tcW w:w="1935" w:type="dxa"/>
            <w:tcBorders>
              <w:top w:val="single" w:sz="18" w:space="0" w:color="auto"/>
            </w:tcBorders>
            <w:shd w:val="clear" w:color="auto" w:fill="auto"/>
            <w:noWrap/>
            <w:hideMark/>
          </w:tcPr>
          <w:p w:rsidR="00D95355" w:rsidRPr="00E05A72" w:rsidRDefault="00D95355" w:rsidP="005B596D">
            <w:pPr>
              <w:pStyle w:val="Tabletext"/>
              <w:jc w:val="center"/>
              <w:rPr>
                <w:rFonts w:eastAsia="Calibri"/>
              </w:rPr>
            </w:pP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Paroo</w:t>
            </w:r>
            <w:r>
              <w:rPr>
                <w:rFonts w:eastAsia="Calibri"/>
              </w:rPr>
              <w:t xml:space="preserve"> (</w:t>
            </w:r>
            <w:r w:rsidRPr="00E05A72">
              <w:rPr>
                <w:rFonts w:eastAsia="Calibri"/>
              </w:rPr>
              <w:t>SS29</w:t>
            </w:r>
            <w:r>
              <w:rPr>
                <w:rFonts w:eastAsia="Calibri"/>
              </w:rPr>
              <w:t>)</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9.9</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9.9</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0.0%</w:t>
            </w: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 xml:space="preserve">Warrego </w:t>
            </w:r>
            <w:r>
              <w:rPr>
                <w:rFonts w:eastAsia="Calibri"/>
              </w:rPr>
              <w:t>(</w:t>
            </w:r>
            <w:r w:rsidRPr="00E05A72">
              <w:rPr>
                <w:rFonts w:eastAsia="Calibri"/>
              </w:rPr>
              <w:t>SS28</w:t>
            </w:r>
            <w:r>
              <w:rPr>
                <w:rFonts w:eastAsia="Calibri"/>
              </w:rPr>
              <w:t>)</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117.2</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117.2</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0.0%</w:t>
            </w: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Nebine</w:t>
            </w:r>
            <w:r>
              <w:rPr>
                <w:rFonts w:eastAsia="Calibri"/>
              </w:rPr>
              <w:t xml:space="preserve"> (SS27)</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29.9</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29.9</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0.0%</w:t>
            </w: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Condamine-Balonne</w:t>
            </w:r>
            <w:r>
              <w:rPr>
                <w:rFonts w:eastAsia="Calibri"/>
              </w:rPr>
              <w:t xml:space="preserve"> (SS26)</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838.1</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838.1</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0.0%</w:t>
            </w: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Moonie</w:t>
            </w:r>
            <w:r>
              <w:rPr>
                <w:rFonts w:eastAsia="Calibri"/>
              </w:rPr>
              <w:t xml:space="preserve"> (SS25)</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82.3</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82.3</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0.0%</w:t>
            </w:r>
          </w:p>
        </w:tc>
      </w:tr>
      <w:tr w:rsidR="00D95355" w:rsidRPr="00E05A72" w:rsidTr="00D95355">
        <w:trPr>
          <w:trHeight w:val="300"/>
        </w:trPr>
        <w:tc>
          <w:tcPr>
            <w:tcW w:w="4210" w:type="dxa"/>
            <w:shd w:val="clear" w:color="auto" w:fill="auto"/>
            <w:noWrap/>
            <w:hideMark/>
          </w:tcPr>
          <w:p w:rsidR="00D95355" w:rsidRDefault="00D95355" w:rsidP="00031A5A">
            <w:pPr>
              <w:pStyle w:val="Tabletext"/>
              <w:rPr>
                <w:rFonts w:eastAsia="Calibri"/>
              </w:rPr>
            </w:pPr>
            <w:r w:rsidRPr="00E05A72">
              <w:rPr>
                <w:rFonts w:eastAsia="Calibri"/>
              </w:rPr>
              <w:t>Queensland Border Rivers</w:t>
            </w:r>
            <w:r>
              <w:rPr>
                <w:rFonts w:eastAsia="Calibri"/>
              </w:rPr>
              <w:t xml:space="preserve"> (SS24)</w:t>
            </w:r>
          </w:p>
          <w:p w:rsidR="00D95355" w:rsidRPr="00E05A72" w:rsidRDefault="00D95355" w:rsidP="00031A5A">
            <w:pPr>
              <w:pStyle w:val="Tabletext"/>
              <w:rPr>
                <w:rFonts w:eastAsia="Calibri"/>
              </w:rPr>
            </w:pP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298.5</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298.5</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0.0%</w:t>
            </w:r>
          </w:p>
        </w:tc>
      </w:tr>
      <w:tr w:rsidR="00D95355" w:rsidRPr="00E05A72" w:rsidTr="00D95355">
        <w:trPr>
          <w:trHeight w:val="300"/>
        </w:trPr>
        <w:tc>
          <w:tcPr>
            <w:tcW w:w="4210" w:type="dxa"/>
            <w:shd w:val="clear" w:color="auto" w:fill="D9D9D9" w:themeFill="background1" w:themeFillShade="D9"/>
            <w:noWrap/>
            <w:hideMark/>
          </w:tcPr>
          <w:p w:rsidR="00D95355" w:rsidRPr="00E05A72" w:rsidRDefault="00D95355" w:rsidP="00031A5A">
            <w:pPr>
              <w:pStyle w:val="Tabletext"/>
              <w:rPr>
                <w:rFonts w:eastAsia="Calibri"/>
              </w:rPr>
            </w:pPr>
            <w:r w:rsidRPr="00E05A72">
              <w:rPr>
                <w:rFonts w:eastAsia="Calibri"/>
              </w:rPr>
              <w:t>Queensland - total</w:t>
            </w:r>
          </w:p>
        </w:tc>
        <w:tc>
          <w:tcPr>
            <w:tcW w:w="1934"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1,375.9</w:t>
            </w:r>
          </w:p>
        </w:tc>
        <w:tc>
          <w:tcPr>
            <w:tcW w:w="1934"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w:t>
            </w:r>
          </w:p>
        </w:tc>
        <w:tc>
          <w:tcPr>
            <w:tcW w:w="1935"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w:t>
            </w:r>
          </w:p>
        </w:tc>
        <w:tc>
          <w:tcPr>
            <w:tcW w:w="1934"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1,375.9</w:t>
            </w:r>
          </w:p>
        </w:tc>
        <w:tc>
          <w:tcPr>
            <w:tcW w:w="1935"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0.0%</w:t>
            </w:r>
          </w:p>
        </w:tc>
      </w:tr>
      <w:tr w:rsidR="00D95355" w:rsidRPr="00E05A72" w:rsidTr="00D95355">
        <w:trPr>
          <w:trHeight w:val="300"/>
        </w:trPr>
        <w:tc>
          <w:tcPr>
            <w:tcW w:w="4210" w:type="dxa"/>
            <w:shd w:val="clear" w:color="auto" w:fill="auto"/>
            <w:noWrap/>
            <w:hideMark/>
          </w:tcPr>
          <w:p w:rsidR="00D95355" w:rsidRDefault="00D95355" w:rsidP="00031A5A">
            <w:pPr>
              <w:pStyle w:val="TableHeading"/>
              <w:rPr>
                <w:rFonts w:eastAsia="Calibri"/>
              </w:rPr>
            </w:pPr>
          </w:p>
          <w:p w:rsidR="00D95355" w:rsidRPr="00E05A72" w:rsidRDefault="00D95355" w:rsidP="00031A5A">
            <w:pPr>
              <w:pStyle w:val="TableHeading"/>
              <w:rPr>
                <w:rFonts w:eastAsia="Calibri"/>
                <w:i/>
              </w:rPr>
            </w:pPr>
            <w:r w:rsidRPr="00E05A72">
              <w:rPr>
                <w:rFonts w:eastAsia="Calibri"/>
                <w:i/>
              </w:rPr>
              <w:t>N</w:t>
            </w:r>
            <w:r w:rsidRPr="007F187B">
              <w:rPr>
                <w:rFonts w:eastAsia="Calibri"/>
                <w:i/>
              </w:rPr>
              <w:t xml:space="preserve">ew </w:t>
            </w:r>
            <w:r w:rsidRPr="00E05A72">
              <w:rPr>
                <w:rFonts w:eastAsia="Calibri"/>
                <w:i/>
              </w:rPr>
              <w:t>S</w:t>
            </w:r>
            <w:r w:rsidRPr="007F187B">
              <w:rPr>
                <w:rFonts w:eastAsia="Calibri"/>
                <w:i/>
              </w:rPr>
              <w:t xml:space="preserve">outh </w:t>
            </w:r>
            <w:r w:rsidRPr="00E05A72">
              <w:rPr>
                <w:rFonts w:eastAsia="Calibri"/>
                <w:i/>
              </w:rPr>
              <w:t>W</w:t>
            </w:r>
            <w:r w:rsidRPr="007F187B">
              <w:rPr>
                <w:rFonts w:eastAsia="Calibri"/>
                <w:i/>
              </w:rPr>
              <w:t>ales</w:t>
            </w:r>
          </w:p>
        </w:tc>
        <w:tc>
          <w:tcPr>
            <w:tcW w:w="1934" w:type="dxa"/>
            <w:shd w:val="clear" w:color="auto" w:fill="auto"/>
            <w:noWrap/>
            <w:hideMark/>
          </w:tcPr>
          <w:p w:rsidR="00D95355" w:rsidRPr="00E05A72" w:rsidRDefault="00D95355" w:rsidP="005B596D">
            <w:pPr>
              <w:pStyle w:val="Tabletext"/>
              <w:jc w:val="center"/>
              <w:rPr>
                <w:rFonts w:eastAsia="Calibri"/>
              </w:rPr>
            </w:pPr>
          </w:p>
        </w:tc>
        <w:tc>
          <w:tcPr>
            <w:tcW w:w="1934" w:type="dxa"/>
            <w:shd w:val="clear" w:color="auto" w:fill="auto"/>
            <w:noWrap/>
          </w:tcPr>
          <w:p w:rsidR="00D95355" w:rsidRPr="00E05A72" w:rsidRDefault="00D95355" w:rsidP="005B596D">
            <w:pPr>
              <w:pStyle w:val="Tabletext"/>
              <w:jc w:val="center"/>
              <w:rPr>
                <w:rFonts w:eastAsia="Calibri"/>
              </w:rPr>
            </w:pPr>
          </w:p>
        </w:tc>
        <w:tc>
          <w:tcPr>
            <w:tcW w:w="1935" w:type="dxa"/>
            <w:shd w:val="clear" w:color="auto" w:fill="auto"/>
            <w:noWrap/>
          </w:tcPr>
          <w:p w:rsidR="00D95355" w:rsidRPr="00E05A72" w:rsidRDefault="00D95355" w:rsidP="005B596D">
            <w:pPr>
              <w:pStyle w:val="Tabletext"/>
              <w:jc w:val="center"/>
              <w:rPr>
                <w:rFonts w:eastAsia="Calibri"/>
              </w:rPr>
            </w:pPr>
          </w:p>
        </w:tc>
        <w:tc>
          <w:tcPr>
            <w:tcW w:w="1934" w:type="dxa"/>
            <w:shd w:val="clear" w:color="auto" w:fill="auto"/>
            <w:noWrap/>
          </w:tcPr>
          <w:p w:rsidR="00D95355" w:rsidRPr="00E05A72" w:rsidRDefault="00D95355" w:rsidP="005B596D">
            <w:pPr>
              <w:pStyle w:val="Tabletext"/>
              <w:jc w:val="center"/>
              <w:rPr>
                <w:rFonts w:eastAsia="Calibri"/>
              </w:rPr>
            </w:pPr>
          </w:p>
        </w:tc>
        <w:tc>
          <w:tcPr>
            <w:tcW w:w="1935" w:type="dxa"/>
            <w:shd w:val="clear" w:color="auto" w:fill="auto"/>
            <w:noWrap/>
            <w:hideMark/>
          </w:tcPr>
          <w:p w:rsidR="00D95355" w:rsidRPr="00E05A72" w:rsidRDefault="00D95355" w:rsidP="005B596D">
            <w:pPr>
              <w:pStyle w:val="Tabletext"/>
              <w:jc w:val="center"/>
              <w:rPr>
                <w:rFonts w:eastAsia="Calibri"/>
              </w:rPr>
            </w:pP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NSW Border Rivers</w:t>
            </w:r>
            <w:r>
              <w:rPr>
                <w:rFonts w:eastAsia="Calibri"/>
              </w:rPr>
              <w:t xml:space="preserve"> (SS23)</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283.9</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283.9</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0.0%</w:t>
            </w: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Barwon-Darling Watercourse</w:t>
            </w:r>
            <w:r>
              <w:rPr>
                <w:rFonts w:eastAsia="Calibri"/>
              </w:rPr>
              <w:t xml:space="preserve"> (SS19)</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180.9</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180.9</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0.0%</w:t>
            </w: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Intersecting Streams</w:t>
            </w:r>
            <w:r>
              <w:rPr>
                <w:rFonts w:eastAsia="Calibri"/>
              </w:rPr>
              <w:t xml:space="preserve"> (SS17)</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113.8</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113.8</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0.0%</w:t>
            </w: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Gwydir</w:t>
            </w:r>
            <w:r>
              <w:rPr>
                <w:rFonts w:eastAsia="Calibri"/>
              </w:rPr>
              <w:t xml:space="preserve"> (SS22)</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389.9</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389.9</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0.0%</w:t>
            </w: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Namoi</w:t>
            </w:r>
            <w:r>
              <w:rPr>
                <w:rFonts w:eastAsia="Calibri"/>
              </w:rPr>
              <w:t xml:space="preserve"> (SS21)</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479.0</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479.0</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0.0%</w:t>
            </w: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Macquarie-Castlereagh</w:t>
            </w:r>
            <w:r>
              <w:rPr>
                <w:rFonts w:eastAsia="Calibri"/>
              </w:rPr>
              <w:t xml:space="preserve"> (SS20)</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645.4</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645.4</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0.0%</w:t>
            </w: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Lachlan</w:t>
            </w:r>
            <w:r>
              <w:rPr>
                <w:rFonts w:eastAsia="Calibri"/>
              </w:rPr>
              <w:t xml:space="preserve"> (SS16)</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570.4</w:t>
            </w:r>
          </w:p>
        </w:tc>
        <w:tc>
          <w:tcPr>
            <w:tcW w:w="1934" w:type="dxa"/>
            <w:shd w:val="clear" w:color="auto" w:fill="auto"/>
            <w:noWrap/>
            <w:hideMark/>
          </w:tcPr>
          <w:p w:rsidR="00D95355" w:rsidRPr="00E05A72" w:rsidRDefault="00D95355" w:rsidP="005B596D">
            <w:pPr>
              <w:pStyle w:val="Tabletext"/>
              <w:jc w:val="center"/>
              <w:rPr>
                <w:rFonts w:eastAsia="Calibri"/>
              </w:rPr>
            </w:pPr>
            <w:r>
              <w:rPr>
                <w:rFonts w:eastAsia="Calibri"/>
              </w:rPr>
              <w:t>0.0</w:t>
            </w:r>
          </w:p>
        </w:tc>
        <w:tc>
          <w:tcPr>
            <w:tcW w:w="1935" w:type="dxa"/>
            <w:shd w:val="clear" w:color="auto" w:fill="auto"/>
            <w:noWrap/>
            <w:hideMark/>
          </w:tcPr>
          <w:p w:rsidR="00D95355" w:rsidRPr="00E05A72" w:rsidRDefault="00D95355" w:rsidP="005B596D">
            <w:pPr>
              <w:pStyle w:val="Tabletext"/>
              <w:jc w:val="center"/>
              <w:rPr>
                <w:rFonts w:eastAsia="Calibri"/>
              </w:rPr>
            </w:pPr>
            <w:r>
              <w:rPr>
                <w:rFonts w:eastAsia="Calibri"/>
              </w:rPr>
              <w:t>0.0</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570.4</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0.0%</w:t>
            </w: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Murrumbidgee</w:t>
            </w:r>
            <w:r>
              <w:rPr>
                <w:rFonts w:eastAsia="Calibri"/>
              </w:rPr>
              <w:t xml:space="preserve"> (SS15)</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1,938.1</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162.0</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145.4</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2,083.5</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7.5%</w:t>
            </w: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Lower Darling</w:t>
            </w:r>
            <w:r>
              <w:rPr>
                <w:rFonts w:eastAsia="Calibri"/>
              </w:rPr>
              <w:t xml:space="preserve"> (SS18)</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45.5</w:t>
            </w:r>
          </w:p>
        </w:tc>
        <w:tc>
          <w:tcPr>
            <w:tcW w:w="1934" w:type="dxa"/>
            <w:shd w:val="clear" w:color="auto" w:fill="auto"/>
            <w:noWrap/>
            <w:hideMark/>
          </w:tcPr>
          <w:p w:rsidR="00D95355" w:rsidRPr="00E05A72" w:rsidRDefault="00D95355" w:rsidP="005B596D">
            <w:pPr>
              <w:pStyle w:val="Tabletext"/>
              <w:jc w:val="center"/>
              <w:rPr>
                <w:rFonts w:eastAsia="Calibri"/>
              </w:rPr>
            </w:pPr>
            <w:r>
              <w:rPr>
                <w:rFonts w:eastAsia="Calibri"/>
              </w:rPr>
              <w:t>0.0</w:t>
            </w:r>
          </w:p>
        </w:tc>
        <w:tc>
          <w:tcPr>
            <w:tcW w:w="1935" w:type="dxa"/>
            <w:shd w:val="clear" w:color="auto" w:fill="auto"/>
            <w:noWrap/>
            <w:hideMark/>
          </w:tcPr>
          <w:p w:rsidR="00D95355" w:rsidRPr="00E05A72" w:rsidRDefault="00D95355" w:rsidP="005B596D">
            <w:pPr>
              <w:pStyle w:val="Tabletext"/>
              <w:jc w:val="center"/>
              <w:rPr>
                <w:rFonts w:eastAsia="Calibri"/>
              </w:rPr>
            </w:pPr>
            <w:r>
              <w:rPr>
                <w:rFonts w:eastAsia="Calibri"/>
              </w:rPr>
              <w:t>0.0</w:t>
            </w:r>
          </w:p>
        </w:tc>
        <w:tc>
          <w:tcPr>
            <w:tcW w:w="1934" w:type="dxa"/>
            <w:shd w:val="clear" w:color="auto" w:fill="auto"/>
            <w:noWrap/>
            <w:hideMark/>
          </w:tcPr>
          <w:p w:rsidR="00D95355" w:rsidRPr="00E05A72" w:rsidRDefault="00D95355" w:rsidP="005B596D">
            <w:pPr>
              <w:pStyle w:val="Tabletext"/>
              <w:jc w:val="center"/>
              <w:rPr>
                <w:rFonts w:eastAsia="Calibri"/>
              </w:rPr>
            </w:pPr>
            <w:r>
              <w:rPr>
                <w:rFonts w:eastAsia="Calibri"/>
              </w:rPr>
              <w:t>45.5</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0.0%</w:t>
            </w:r>
          </w:p>
        </w:tc>
      </w:tr>
      <w:tr w:rsidR="00D95355" w:rsidRPr="00E05A72" w:rsidTr="00D95355">
        <w:trPr>
          <w:trHeight w:val="300"/>
        </w:trPr>
        <w:tc>
          <w:tcPr>
            <w:tcW w:w="4210" w:type="dxa"/>
            <w:shd w:val="clear" w:color="auto" w:fill="auto"/>
            <w:noWrap/>
            <w:hideMark/>
          </w:tcPr>
          <w:p w:rsidR="00D95355" w:rsidRDefault="00D95355" w:rsidP="00031A5A">
            <w:pPr>
              <w:pStyle w:val="Tabletext"/>
              <w:rPr>
                <w:rFonts w:eastAsia="Calibri"/>
              </w:rPr>
            </w:pPr>
            <w:r w:rsidRPr="00E05A72">
              <w:rPr>
                <w:rFonts w:eastAsia="Calibri"/>
              </w:rPr>
              <w:t>New South Wales Murray</w:t>
            </w:r>
            <w:r>
              <w:rPr>
                <w:rFonts w:eastAsia="Calibri"/>
              </w:rPr>
              <w:t xml:space="preserve"> (SS14)</w:t>
            </w:r>
          </w:p>
          <w:p w:rsidR="00D95355" w:rsidRPr="00E05A72" w:rsidRDefault="00D95355" w:rsidP="00031A5A">
            <w:pPr>
              <w:pStyle w:val="Tabletext"/>
              <w:rPr>
                <w:rFonts w:eastAsia="Calibri"/>
              </w:rPr>
            </w:pP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1,341.7</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124.8</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112.0</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1,453.7</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8.3%</w:t>
            </w:r>
          </w:p>
        </w:tc>
      </w:tr>
      <w:tr w:rsidR="00D95355" w:rsidRPr="00E05A72" w:rsidTr="00D95355">
        <w:trPr>
          <w:trHeight w:val="300"/>
        </w:trPr>
        <w:tc>
          <w:tcPr>
            <w:tcW w:w="4210" w:type="dxa"/>
            <w:shd w:val="clear" w:color="auto" w:fill="D9D9D9" w:themeFill="background1" w:themeFillShade="D9"/>
            <w:noWrap/>
            <w:hideMark/>
          </w:tcPr>
          <w:p w:rsidR="00D95355" w:rsidRPr="00E05A72" w:rsidRDefault="00D95355" w:rsidP="00031A5A">
            <w:pPr>
              <w:pStyle w:val="Tabletext"/>
              <w:rPr>
                <w:rFonts w:eastAsia="Calibri"/>
              </w:rPr>
            </w:pPr>
            <w:r w:rsidRPr="00E05A72">
              <w:rPr>
                <w:rFonts w:eastAsia="Calibri"/>
              </w:rPr>
              <w:t xml:space="preserve">NSW </w:t>
            </w:r>
            <w:r>
              <w:rPr>
                <w:rFonts w:eastAsia="Calibri"/>
              </w:rPr>
              <w:t>–</w:t>
            </w:r>
            <w:r w:rsidRPr="00E05A72">
              <w:rPr>
                <w:rFonts w:eastAsia="Calibri"/>
              </w:rPr>
              <w:t xml:space="preserve"> total</w:t>
            </w:r>
          </w:p>
        </w:tc>
        <w:tc>
          <w:tcPr>
            <w:tcW w:w="1934"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5,988.6</w:t>
            </w:r>
          </w:p>
        </w:tc>
        <w:tc>
          <w:tcPr>
            <w:tcW w:w="1934"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286.8</w:t>
            </w:r>
          </w:p>
        </w:tc>
        <w:tc>
          <w:tcPr>
            <w:tcW w:w="1935"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257.4</w:t>
            </w:r>
          </w:p>
        </w:tc>
        <w:tc>
          <w:tcPr>
            <w:tcW w:w="1934"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6,246.0</w:t>
            </w:r>
          </w:p>
        </w:tc>
        <w:tc>
          <w:tcPr>
            <w:tcW w:w="1935"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4.3%</w:t>
            </w:r>
          </w:p>
        </w:tc>
      </w:tr>
      <w:tr w:rsidR="00D95355" w:rsidRPr="00E05A72" w:rsidTr="00D95355">
        <w:trPr>
          <w:trHeight w:val="300"/>
        </w:trPr>
        <w:tc>
          <w:tcPr>
            <w:tcW w:w="4210" w:type="dxa"/>
            <w:shd w:val="clear" w:color="auto" w:fill="auto"/>
            <w:noWrap/>
            <w:hideMark/>
          </w:tcPr>
          <w:p w:rsidR="00D95355" w:rsidRDefault="00D95355" w:rsidP="00031A5A">
            <w:pPr>
              <w:pStyle w:val="TableHeading"/>
              <w:rPr>
                <w:rFonts w:eastAsia="Calibri"/>
              </w:rPr>
            </w:pPr>
          </w:p>
          <w:p w:rsidR="00D95355" w:rsidRPr="00E05A72" w:rsidRDefault="00D95355" w:rsidP="00031A5A">
            <w:pPr>
              <w:pStyle w:val="TableHeading"/>
              <w:rPr>
                <w:rFonts w:eastAsia="Calibri"/>
                <w:i/>
              </w:rPr>
            </w:pPr>
            <w:r w:rsidRPr="007F187B">
              <w:rPr>
                <w:rFonts w:eastAsia="Calibri"/>
                <w:i/>
              </w:rPr>
              <w:t>Victoria</w:t>
            </w:r>
          </w:p>
        </w:tc>
        <w:tc>
          <w:tcPr>
            <w:tcW w:w="1934" w:type="dxa"/>
            <w:shd w:val="clear" w:color="auto" w:fill="auto"/>
            <w:noWrap/>
          </w:tcPr>
          <w:p w:rsidR="00D95355" w:rsidRPr="00E05A72" w:rsidRDefault="00D95355" w:rsidP="005B596D">
            <w:pPr>
              <w:pStyle w:val="Tabletext"/>
              <w:jc w:val="center"/>
              <w:rPr>
                <w:rFonts w:eastAsia="Calibri"/>
              </w:rPr>
            </w:pPr>
          </w:p>
        </w:tc>
        <w:tc>
          <w:tcPr>
            <w:tcW w:w="1934" w:type="dxa"/>
            <w:shd w:val="clear" w:color="auto" w:fill="auto"/>
            <w:noWrap/>
            <w:hideMark/>
          </w:tcPr>
          <w:p w:rsidR="00D95355" w:rsidRPr="00E05A72" w:rsidRDefault="00D95355" w:rsidP="005B596D">
            <w:pPr>
              <w:pStyle w:val="Tabletext"/>
              <w:jc w:val="center"/>
              <w:rPr>
                <w:rFonts w:eastAsia="Calibri"/>
              </w:rPr>
            </w:pPr>
          </w:p>
        </w:tc>
        <w:tc>
          <w:tcPr>
            <w:tcW w:w="1935" w:type="dxa"/>
            <w:shd w:val="clear" w:color="auto" w:fill="auto"/>
            <w:noWrap/>
            <w:hideMark/>
          </w:tcPr>
          <w:p w:rsidR="00D95355" w:rsidRPr="00E05A72" w:rsidRDefault="00D95355" w:rsidP="005B596D">
            <w:pPr>
              <w:pStyle w:val="Tabletext"/>
              <w:jc w:val="center"/>
              <w:rPr>
                <w:rFonts w:eastAsia="Calibri"/>
              </w:rPr>
            </w:pPr>
          </w:p>
        </w:tc>
        <w:tc>
          <w:tcPr>
            <w:tcW w:w="1934" w:type="dxa"/>
            <w:shd w:val="clear" w:color="auto" w:fill="auto"/>
            <w:noWrap/>
            <w:hideMark/>
          </w:tcPr>
          <w:p w:rsidR="00D95355" w:rsidRPr="00E05A72" w:rsidRDefault="00D95355" w:rsidP="005B596D">
            <w:pPr>
              <w:pStyle w:val="Tabletext"/>
              <w:jc w:val="center"/>
              <w:rPr>
                <w:rFonts w:eastAsia="Calibri"/>
              </w:rPr>
            </w:pPr>
          </w:p>
        </w:tc>
        <w:tc>
          <w:tcPr>
            <w:tcW w:w="1935" w:type="dxa"/>
            <w:shd w:val="clear" w:color="auto" w:fill="auto"/>
            <w:noWrap/>
            <w:hideMark/>
          </w:tcPr>
          <w:p w:rsidR="00D95355" w:rsidRPr="00E05A72" w:rsidRDefault="00D95355" w:rsidP="005B596D">
            <w:pPr>
              <w:pStyle w:val="Tabletext"/>
              <w:jc w:val="center"/>
              <w:rPr>
                <w:rFonts w:eastAsia="Calibri"/>
              </w:rPr>
            </w:pP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lastRenderedPageBreak/>
              <w:t>Kiewa</w:t>
            </w:r>
            <w:r>
              <w:rPr>
                <w:rFonts w:eastAsia="Calibri"/>
              </w:rPr>
              <w:t xml:space="preserve"> (SS3)</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23.3</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1.3</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w:t>
            </w:r>
            <w:r>
              <w:rPr>
                <w:rFonts w:eastAsia="Calibri"/>
              </w:rPr>
              <w:t>2</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24.</w:t>
            </w:r>
            <w:r>
              <w:rPr>
                <w:rFonts w:eastAsia="Calibri"/>
              </w:rPr>
              <w:t>5</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5.0%</w:t>
            </w: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Ovens</w:t>
            </w:r>
            <w:r>
              <w:rPr>
                <w:rFonts w:eastAsia="Calibri"/>
              </w:rPr>
              <w:t xml:space="preserve"> (SS4)</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80.3</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3.0</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2.</w:t>
            </w:r>
            <w:r>
              <w:rPr>
                <w:rFonts w:eastAsia="Calibri"/>
              </w:rPr>
              <w:t>7</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8</w:t>
            </w:r>
            <w:r>
              <w:rPr>
                <w:rFonts w:eastAsia="Calibri"/>
              </w:rPr>
              <w:t>3.0</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3.</w:t>
            </w:r>
            <w:r>
              <w:rPr>
                <w:rFonts w:eastAsia="Calibri"/>
              </w:rPr>
              <w:t>4</w:t>
            </w:r>
            <w:r w:rsidRPr="00E05A72">
              <w:rPr>
                <w:rFonts w:eastAsia="Calibri"/>
              </w:rPr>
              <w:t>%</w:t>
            </w: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Broken</w:t>
            </w:r>
            <w:r>
              <w:rPr>
                <w:rFonts w:eastAsia="Calibri"/>
              </w:rPr>
              <w:t xml:space="preserve"> (SS5)</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54.6</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1.1</w:t>
            </w:r>
          </w:p>
        </w:tc>
        <w:tc>
          <w:tcPr>
            <w:tcW w:w="1935" w:type="dxa"/>
            <w:shd w:val="clear" w:color="auto" w:fill="auto"/>
            <w:noWrap/>
            <w:hideMark/>
          </w:tcPr>
          <w:p w:rsidR="00D95355" w:rsidRPr="00E05A72" w:rsidRDefault="00D95355" w:rsidP="005B596D">
            <w:pPr>
              <w:pStyle w:val="Tabletext"/>
              <w:jc w:val="center"/>
              <w:rPr>
                <w:rFonts w:eastAsia="Calibri"/>
              </w:rPr>
            </w:pPr>
            <w:r>
              <w:rPr>
                <w:rFonts w:eastAsia="Calibri"/>
              </w:rPr>
              <w:t>1.0</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55.</w:t>
            </w:r>
            <w:r>
              <w:rPr>
                <w:rFonts w:eastAsia="Calibri"/>
              </w:rPr>
              <w:t>6</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1.8%</w:t>
            </w: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Goulburn</w:t>
            </w:r>
            <w:r>
              <w:rPr>
                <w:rFonts w:eastAsia="Calibri"/>
              </w:rPr>
              <w:t xml:space="preserve"> (SS6)</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1,153.0</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174.5</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156.6</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1,309.6</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13.</w:t>
            </w:r>
            <w:r>
              <w:rPr>
                <w:rFonts w:eastAsia="Calibri"/>
              </w:rPr>
              <w:t>6</w:t>
            </w:r>
            <w:r w:rsidRPr="00E05A72">
              <w:rPr>
                <w:rFonts w:eastAsia="Calibri"/>
              </w:rPr>
              <w:t>%</w:t>
            </w: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Campaspe</w:t>
            </w:r>
            <w:r>
              <w:rPr>
                <w:rFonts w:eastAsia="Calibri"/>
              </w:rPr>
              <w:t xml:space="preserve"> (SS7)</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120.9</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2.6</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2.3</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123.2</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1.9%</w:t>
            </w: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Loddon</w:t>
            </w:r>
            <w:r>
              <w:rPr>
                <w:rFonts w:eastAsia="Calibri"/>
              </w:rPr>
              <w:t xml:space="preserve"> (SS8)</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155.8</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10.9</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9.</w:t>
            </w:r>
            <w:r>
              <w:rPr>
                <w:rFonts w:eastAsia="Calibri"/>
              </w:rPr>
              <w:t>8</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165.</w:t>
            </w:r>
            <w:r>
              <w:rPr>
                <w:rFonts w:eastAsia="Calibri"/>
              </w:rPr>
              <w:t>6</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6.</w:t>
            </w:r>
            <w:r>
              <w:rPr>
                <w:rFonts w:eastAsia="Calibri"/>
              </w:rPr>
              <w:t>3</w:t>
            </w:r>
            <w:r w:rsidRPr="00E05A72">
              <w:rPr>
                <w:rFonts w:eastAsia="Calibri"/>
              </w:rPr>
              <w:t>%</w:t>
            </w: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Victorian Murray</w:t>
            </w:r>
            <w:r>
              <w:rPr>
                <w:rFonts w:eastAsia="Calibri"/>
              </w:rPr>
              <w:t xml:space="preserve"> (SS2)</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1,251.7</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72.8</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65.3</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1,317.0</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5.2%</w:t>
            </w:r>
          </w:p>
        </w:tc>
      </w:tr>
      <w:tr w:rsidR="00D95355" w:rsidRPr="00E05A72" w:rsidTr="00D95355">
        <w:trPr>
          <w:trHeight w:val="300"/>
        </w:trPr>
        <w:tc>
          <w:tcPr>
            <w:tcW w:w="4210" w:type="dxa"/>
            <w:shd w:val="clear" w:color="auto" w:fill="auto"/>
            <w:noWrap/>
            <w:hideMark/>
          </w:tcPr>
          <w:p w:rsidR="00D95355" w:rsidRDefault="00D95355" w:rsidP="00031A5A">
            <w:pPr>
              <w:pStyle w:val="Tabletext"/>
              <w:rPr>
                <w:rFonts w:eastAsia="Calibri"/>
              </w:rPr>
            </w:pPr>
            <w:r w:rsidRPr="00E05A72">
              <w:rPr>
                <w:rFonts w:eastAsia="Calibri"/>
              </w:rPr>
              <w:t>Wimmera-Mallee (surface water)</w:t>
            </w:r>
            <w:r>
              <w:rPr>
                <w:rFonts w:eastAsia="Calibri"/>
              </w:rPr>
              <w:t xml:space="preserve"> (SS1)</w:t>
            </w:r>
          </w:p>
          <w:p w:rsidR="00D95355" w:rsidRPr="00E05A72" w:rsidRDefault="00D95355" w:rsidP="00031A5A">
            <w:pPr>
              <w:pStyle w:val="Tabletext"/>
              <w:rPr>
                <w:rFonts w:eastAsia="Calibri"/>
              </w:rPr>
            </w:pP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105.5</w:t>
            </w:r>
          </w:p>
        </w:tc>
        <w:tc>
          <w:tcPr>
            <w:tcW w:w="1934" w:type="dxa"/>
            <w:shd w:val="clear" w:color="auto" w:fill="auto"/>
            <w:noWrap/>
            <w:hideMark/>
          </w:tcPr>
          <w:p w:rsidR="00D95355" w:rsidRPr="00E05A72" w:rsidRDefault="00D95355" w:rsidP="005B596D">
            <w:pPr>
              <w:pStyle w:val="Tabletext"/>
              <w:jc w:val="center"/>
              <w:rPr>
                <w:rFonts w:eastAsia="Calibri"/>
              </w:rPr>
            </w:pPr>
            <w:r>
              <w:rPr>
                <w:rFonts w:eastAsia="Calibri"/>
              </w:rPr>
              <w:t>0.0</w:t>
            </w:r>
          </w:p>
        </w:tc>
        <w:tc>
          <w:tcPr>
            <w:tcW w:w="1935" w:type="dxa"/>
            <w:shd w:val="clear" w:color="auto" w:fill="auto"/>
            <w:noWrap/>
            <w:hideMark/>
          </w:tcPr>
          <w:p w:rsidR="00D95355" w:rsidRPr="00E05A72" w:rsidRDefault="00D95355" w:rsidP="005B596D">
            <w:pPr>
              <w:pStyle w:val="Tabletext"/>
              <w:jc w:val="center"/>
              <w:rPr>
                <w:rFonts w:eastAsia="Calibri"/>
              </w:rPr>
            </w:pPr>
            <w:r>
              <w:rPr>
                <w:rFonts w:eastAsia="Calibri"/>
              </w:rPr>
              <w:t>0.0</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105.5</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0.0%</w:t>
            </w:r>
          </w:p>
        </w:tc>
      </w:tr>
      <w:tr w:rsidR="00D95355" w:rsidRPr="00E05A72" w:rsidTr="00D95355">
        <w:trPr>
          <w:trHeight w:val="300"/>
        </w:trPr>
        <w:tc>
          <w:tcPr>
            <w:tcW w:w="4210" w:type="dxa"/>
            <w:shd w:val="clear" w:color="auto" w:fill="D9D9D9" w:themeFill="background1" w:themeFillShade="D9"/>
            <w:noWrap/>
            <w:hideMark/>
          </w:tcPr>
          <w:p w:rsidR="00D95355" w:rsidRPr="00E05A72" w:rsidRDefault="00D95355" w:rsidP="00031A5A">
            <w:pPr>
              <w:pStyle w:val="Tabletext"/>
              <w:rPr>
                <w:rFonts w:eastAsia="Calibri"/>
              </w:rPr>
            </w:pPr>
            <w:r w:rsidRPr="00E05A72">
              <w:rPr>
                <w:rFonts w:eastAsia="Calibri"/>
              </w:rPr>
              <w:t xml:space="preserve">Victoria </w:t>
            </w:r>
            <w:r>
              <w:rPr>
                <w:rFonts w:eastAsia="Calibri"/>
              </w:rPr>
              <w:t>–</w:t>
            </w:r>
            <w:r w:rsidRPr="00E05A72">
              <w:rPr>
                <w:rFonts w:eastAsia="Calibri"/>
              </w:rPr>
              <w:t xml:space="preserve"> total</w:t>
            </w:r>
          </w:p>
        </w:tc>
        <w:tc>
          <w:tcPr>
            <w:tcW w:w="1934"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2,945.1</w:t>
            </w:r>
          </w:p>
        </w:tc>
        <w:tc>
          <w:tcPr>
            <w:tcW w:w="1934"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266.2</w:t>
            </w:r>
          </w:p>
        </w:tc>
        <w:tc>
          <w:tcPr>
            <w:tcW w:w="1935"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238.9</w:t>
            </w:r>
          </w:p>
        </w:tc>
        <w:tc>
          <w:tcPr>
            <w:tcW w:w="1934"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3,184.0</w:t>
            </w:r>
          </w:p>
        </w:tc>
        <w:tc>
          <w:tcPr>
            <w:tcW w:w="1935"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8.1%</w:t>
            </w:r>
          </w:p>
        </w:tc>
      </w:tr>
      <w:tr w:rsidR="00D95355" w:rsidRPr="00E05A72" w:rsidTr="00D95355">
        <w:trPr>
          <w:trHeight w:val="300"/>
        </w:trPr>
        <w:tc>
          <w:tcPr>
            <w:tcW w:w="4210" w:type="dxa"/>
            <w:shd w:val="clear" w:color="auto" w:fill="auto"/>
            <w:noWrap/>
            <w:hideMark/>
          </w:tcPr>
          <w:p w:rsidR="00D95355" w:rsidRDefault="00D95355" w:rsidP="00031A5A">
            <w:pPr>
              <w:pStyle w:val="TableHeading"/>
              <w:rPr>
                <w:rFonts w:eastAsia="Calibri"/>
              </w:rPr>
            </w:pPr>
          </w:p>
          <w:p w:rsidR="00D95355" w:rsidRPr="00E05A72" w:rsidRDefault="00D95355" w:rsidP="00031A5A">
            <w:pPr>
              <w:pStyle w:val="TableHeading"/>
              <w:rPr>
                <w:rFonts w:eastAsia="Calibri"/>
                <w:i/>
              </w:rPr>
            </w:pPr>
            <w:r w:rsidRPr="00E05A72">
              <w:rPr>
                <w:rFonts w:eastAsia="Calibri"/>
                <w:i/>
              </w:rPr>
              <w:t>South Australia</w:t>
            </w:r>
          </w:p>
        </w:tc>
        <w:tc>
          <w:tcPr>
            <w:tcW w:w="1934" w:type="dxa"/>
            <w:shd w:val="clear" w:color="auto" w:fill="auto"/>
            <w:noWrap/>
            <w:hideMark/>
          </w:tcPr>
          <w:p w:rsidR="00D95355" w:rsidRPr="00E05A72" w:rsidRDefault="00D95355" w:rsidP="005B596D">
            <w:pPr>
              <w:pStyle w:val="Tabletext"/>
              <w:jc w:val="center"/>
              <w:rPr>
                <w:rFonts w:eastAsia="Calibri"/>
              </w:rPr>
            </w:pPr>
          </w:p>
        </w:tc>
        <w:tc>
          <w:tcPr>
            <w:tcW w:w="1934" w:type="dxa"/>
            <w:shd w:val="clear" w:color="auto" w:fill="auto"/>
            <w:noWrap/>
            <w:hideMark/>
          </w:tcPr>
          <w:p w:rsidR="00D95355" w:rsidRPr="00E05A72" w:rsidRDefault="00D95355" w:rsidP="005B596D">
            <w:pPr>
              <w:pStyle w:val="Tabletext"/>
              <w:jc w:val="center"/>
              <w:rPr>
                <w:rFonts w:eastAsia="Calibri"/>
              </w:rPr>
            </w:pPr>
          </w:p>
        </w:tc>
        <w:tc>
          <w:tcPr>
            <w:tcW w:w="1935" w:type="dxa"/>
            <w:shd w:val="clear" w:color="auto" w:fill="auto"/>
            <w:noWrap/>
            <w:hideMark/>
          </w:tcPr>
          <w:p w:rsidR="00D95355" w:rsidRPr="00E05A72" w:rsidRDefault="00D95355" w:rsidP="005B596D">
            <w:pPr>
              <w:pStyle w:val="Tabletext"/>
              <w:jc w:val="center"/>
              <w:rPr>
                <w:rFonts w:eastAsia="Calibri"/>
              </w:rPr>
            </w:pPr>
          </w:p>
        </w:tc>
        <w:tc>
          <w:tcPr>
            <w:tcW w:w="1934" w:type="dxa"/>
            <w:shd w:val="clear" w:color="auto" w:fill="auto"/>
            <w:noWrap/>
            <w:hideMark/>
          </w:tcPr>
          <w:p w:rsidR="00D95355" w:rsidRPr="00E05A72" w:rsidRDefault="00D95355" w:rsidP="005B596D">
            <w:pPr>
              <w:pStyle w:val="Tabletext"/>
              <w:jc w:val="center"/>
              <w:rPr>
                <w:rFonts w:eastAsia="Calibri"/>
              </w:rPr>
            </w:pPr>
          </w:p>
        </w:tc>
        <w:tc>
          <w:tcPr>
            <w:tcW w:w="1935" w:type="dxa"/>
            <w:shd w:val="clear" w:color="auto" w:fill="auto"/>
            <w:noWrap/>
            <w:hideMark/>
          </w:tcPr>
          <w:p w:rsidR="00D95355" w:rsidRPr="00E05A72" w:rsidRDefault="00D95355" w:rsidP="005B596D">
            <w:pPr>
              <w:pStyle w:val="Tabletext"/>
              <w:jc w:val="center"/>
              <w:rPr>
                <w:rFonts w:eastAsia="Calibri"/>
              </w:rPr>
            </w:pP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Eastern Mount Lofty Ranges</w:t>
            </w:r>
            <w:r>
              <w:rPr>
                <w:rFonts w:eastAsia="Calibri"/>
              </w:rPr>
              <w:t xml:space="preserve"> (SS13)</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26.4</w:t>
            </w:r>
          </w:p>
        </w:tc>
        <w:tc>
          <w:tcPr>
            <w:tcW w:w="1934" w:type="dxa"/>
            <w:shd w:val="clear" w:color="auto" w:fill="auto"/>
            <w:noWrap/>
            <w:hideMark/>
          </w:tcPr>
          <w:p w:rsidR="00D95355" w:rsidRPr="00E05A72" w:rsidRDefault="00D95355" w:rsidP="005B596D">
            <w:pPr>
              <w:pStyle w:val="Tabletext"/>
              <w:jc w:val="center"/>
              <w:rPr>
                <w:rFonts w:eastAsia="Calibri"/>
              </w:rPr>
            </w:pPr>
            <w:r>
              <w:rPr>
                <w:rFonts w:eastAsia="Calibri"/>
              </w:rPr>
              <w:t>0.0</w:t>
            </w:r>
          </w:p>
        </w:tc>
        <w:tc>
          <w:tcPr>
            <w:tcW w:w="1935" w:type="dxa"/>
            <w:shd w:val="clear" w:color="auto" w:fill="auto"/>
            <w:noWrap/>
            <w:hideMark/>
          </w:tcPr>
          <w:p w:rsidR="00D95355" w:rsidRPr="00E05A72" w:rsidRDefault="00D95355" w:rsidP="005B596D">
            <w:pPr>
              <w:pStyle w:val="Tabletext"/>
              <w:jc w:val="center"/>
              <w:rPr>
                <w:rFonts w:eastAsia="Calibri"/>
              </w:rPr>
            </w:pPr>
            <w:r>
              <w:rPr>
                <w:rFonts w:eastAsia="Calibri"/>
              </w:rPr>
              <w:t>0.0</w:t>
            </w:r>
          </w:p>
        </w:tc>
        <w:tc>
          <w:tcPr>
            <w:tcW w:w="1934" w:type="dxa"/>
            <w:shd w:val="clear" w:color="auto" w:fill="auto"/>
            <w:noWrap/>
            <w:hideMark/>
          </w:tcPr>
          <w:p w:rsidR="00D95355" w:rsidRPr="00542447" w:rsidRDefault="00542447" w:rsidP="00542447">
            <w:pPr>
              <w:pStyle w:val="Tabletext"/>
              <w:jc w:val="center"/>
              <w:rPr>
                <w:rFonts w:eastAsia="Calibri"/>
              </w:rPr>
            </w:pPr>
            <w:r w:rsidRPr="00542447">
              <w:rPr>
                <w:rFonts w:eastAsia="Calibri"/>
              </w:rPr>
              <w:t>26.4</w:t>
            </w:r>
          </w:p>
        </w:tc>
        <w:tc>
          <w:tcPr>
            <w:tcW w:w="1935" w:type="dxa"/>
            <w:shd w:val="clear" w:color="auto" w:fill="auto"/>
            <w:noWrap/>
            <w:hideMark/>
          </w:tcPr>
          <w:p w:rsidR="00D95355" w:rsidRPr="00542447" w:rsidRDefault="00D95355" w:rsidP="00542447">
            <w:pPr>
              <w:pStyle w:val="Tabletext"/>
              <w:jc w:val="center"/>
              <w:rPr>
                <w:rFonts w:eastAsia="Calibri"/>
              </w:rPr>
            </w:pPr>
            <w:r w:rsidRPr="00542447">
              <w:rPr>
                <w:rFonts w:eastAsia="Calibri"/>
              </w:rPr>
              <w:t>0.0%</w:t>
            </w: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South Australian Murray</w:t>
            </w:r>
            <w:r>
              <w:rPr>
                <w:rFonts w:eastAsia="Calibri"/>
              </w:rPr>
              <w:t xml:space="preserve"> (SS11)</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483.1</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52.0</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46.</w:t>
            </w:r>
            <w:r>
              <w:rPr>
                <w:rFonts w:eastAsia="Calibri"/>
              </w:rPr>
              <w:t>7</w:t>
            </w:r>
          </w:p>
        </w:tc>
        <w:tc>
          <w:tcPr>
            <w:tcW w:w="1934" w:type="dxa"/>
            <w:shd w:val="clear" w:color="auto" w:fill="auto"/>
            <w:noWrap/>
            <w:hideMark/>
          </w:tcPr>
          <w:p w:rsidR="00D95355" w:rsidRPr="00542447" w:rsidRDefault="00D95355" w:rsidP="00542447">
            <w:pPr>
              <w:pStyle w:val="Tabletext"/>
              <w:jc w:val="center"/>
              <w:rPr>
                <w:rFonts w:eastAsia="Calibri"/>
              </w:rPr>
            </w:pPr>
            <w:r w:rsidRPr="00542447">
              <w:rPr>
                <w:rFonts w:eastAsia="Calibri"/>
              </w:rPr>
              <w:t>529.8</w:t>
            </w:r>
          </w:p>
        </w:tc>
        <w:tc>
          <w:tcPr>
            <w:tcW w:w="1935" w:type="dxa"/>
            <w:shd w:val="clear" w:color="auto" w:fill="auto"/>
            <w:noWrap/>
            <w:hideMark/>
          </w:tcPr>
          <w:p w:rsidR="00D95355" w:rsidRPr="00542447" w:rsidRDefault="00D95355" w:rsidP="00542447">
            <w:pPr>
              <w:pStyle w:val="Tabletext"/>
              <w:jc w:val="center"/>
              <w:rPr>
                <w:rFonts w:eastAsia="Calibri"/>
              </w:rPr>
            </w:pPr>
            <w:r w:rsidRPr="00542447">
              <w:rPr>
                <w:rFonts w:eastAsia="Calibri"/>
              </w:rPr>
              <w:t>9.7%</w:t>
            </w: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South Australian Non-Prescribed Areas</w:t>
            </w:r>
            <w:r>
              <w:rPr>
                <w:rFonts w:eastAsia="Calibri"/>
              </w:rPr>
              <w:t xml:space="preserve"> (SS10)</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3.5</w:t>
            </w:r>
          </w:p>
        </w:tc>
        <w:tc>
          <w:tcPr>
            <w:tcW w:w="1934" w:type="dxa"/>
            <w:shd w:val="clear" w:color="auto" w:fill="auto"/>
            <w:noWrap/>
            <w:hideMark/>
          </w:tcPr>
          <w:p w:rsidR="00D95355" w:rsidRPr="00E05A72" w:rsidRDefault="00D95355" w:rsidP="005B596D">
            <w:pPr>
              <w:pStyle w:val="Tabletext"/>
              <w:jc w:val="center"/>
              <w:rPr>
                <w:rFonts w:eastAsia="Calibri"/>
              </w:rPr>
            </w:pPr>
            <w:r>
              <w:rPr>
                <w:rFonts w:eastAsia="Calibri"/>
              </w:rPr>
              <w:t>0.0</w:t>
            </w:r>
          </w:p>
        </w:tc>
        <w:tc>
          <w:tcPr>
            <w:tcW w:w="1935" w:type="dxa"/>
            <w:shd w:val="clear" w:color="auto" w:fill="auto"/>
            <w:noWrap/>
            <w:hideMark/>
          </w:tcPr>
          <w:p w:rsidR="00D95355" w:rsidRPr="00E05A72" w:rsidRDefault="00D95355" w:rsidP="005B596D">
            <w:pPr>
              <w:pStyle w:val="Tabletext"/>
              <w:jc w:val="center"/>
              <w:rPr>
                <w:rFonts w:eastAsia="Calibri"/>
              </w:rPr>
            </w:pPr>
            <w:r>
              <w:rPr>
                <w:rFonts w:eastAsia="Calibri"/>
              </w:rPr>
              <w:t>0.0</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3.5</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0.0%</w:t>
            </w:r>
          </w:p>
        </w:tc>
      </w:tr>
      <w:tr w:rsidR="00D95355" w:rsidRPr="00E05A72" w:rsidTr="00D95355">
        <w:trPr>
          <w:trHeight w:val="300"/>
        </w:trPr>
        <w:tc>
          <w:tcPr>
            <w:tcW w:w="4210" w:type="dxa"/>
            <w:shd w:val="clear" w:color="auto" w:fill="auto"/>
            <w:noWrap/>
            <w:hideMark/>
          </w:tcPr>
          <w:p w:rsidR="00D95355" w:rsidRDefault="00D95355" w:rsidP="00031A5A">
            <w:pPr>
              <w:pStyle w:val="Tabletext"/>
              <w:rPr>
                <w:rFonts w:eastAsia="Calibri"/>
              </w:rPr>
            </w:pPr>
            <w:r w:rsidRPr="00E05A72">
              <w:rPr>
                <w:rFonts w:eastAsia="Calibri"/>
              </w:rPr>
              <w:t>Marne-Saunders</w:t>
            </w:r>
            <w:r>
              <w:rPr>
                <w:rFonts w:eastAsia="Calibri"/>
              </w:rPr>
              <w:t xml:space="preserve"> (SS12)</w:t>
            </w:r>
          </w:p>
          <w:p w:rsidR="00D95355" w:rsidRPr="00E05A72" w:rsidRDefault="00D95355" w:rsidP="00031A5A">
            <w:pPr>
              <w:pStyle w:val="Tabletext"/>
              <w:rPr>
                <w:rFonts w:eastAsia="Calibri"/>
              </w:rPr>
            </w:pP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2.9</w:t>
            </w:r>
          </w:p>
        </w:tc>
        <w:tc>
          <w:tcPr>
            <w:tcW w:w="1934" w:type="dxa"/>
            <w:shd w:val="clear" w:color="auto" w:fill="auto"/>
            <w:noWrap/>
            <w:hideMark/>
          </w:tcPr>
          <w:p w:rsidR="00D95355" w:rsidRPr="00E05A72" w:rsidRDefault="00D95355" w:rsidP="005B596D">
            <w:pPr>
              <w:pStyle w:val="Tabletext"/>
              <w:jc w:val="center"/>
              <w:rPr>
                <w:rFonts w:eastAsia="Calibri"/>
              </w:rPr>
            </w:pPr>
            <w:r>
              <w:rPr>
                <w:rFonts w:eastAsia="Calibri"/>
              </w:rPr>
              <w:t>0.0</w:t>
            </w:r>
          </w:p>
        </w:tc>
        <w:tc>
          <w:tcPr>
            <w:tcW w:w="1935" w:type="dxa"/>
            <w:shd w:val="clear" w:color="auto" w:fill="auto"/>
            <w:noWrap/>
            <w:hideMark/>
          </w:tcPr>
          <w:p w:rsidR="00D95355" w:rsidRPr="00E05A72" w:rsidRDefault="00D95355" w:rsidP="005B596D">
            <w:pPr>
              <w:pStyle w:val="Tabletext"/>
              <w:jc w:val="center"/>
              <w:rPr>
                <w:rFonts w:eastAsia="Calibri"/>
              </w:rPr>
            </w:pPr>
            <w:r>
              <w:rPr>
                <w:rFonts w:eastAsia="Calibri"/>
              </w:rPr>
              <w:t>0.0</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2.9</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0.0%</w:t>
            </w:r>
          </w:p>
        </w:tc>
      </w:tr>
      <w:tr w:rsidR="00D95355" w:rsidRPr="00E05A72" w:rsidTr="00D95355">
        <w:trPr>
          <w:trHeight w:val="300"/>
        </w:trPr>
        <w:tc>
          <w:tcPr>
            <w:tcW w:w="4210" w:type="dxa"/>
            <w:shd w:val="clear" w:color="auto" w:fill="D9D9D9" w:themeFill="background1" w:themeFillShade="D9"/>
            <w:noWrap/>
            <w:hideMark/>
          </w:tcPr>
          <w:p w:rsidR="00D95355" w:rsidRPr="00E05A72" w:rsidRDefault="00D95355" w:rsidP="00031A5A">
            <w:pPr>
              <w:pStyle w:val="Tabletext"/>
              <w:rPr>
                <w:rFonts w:eastAsia="Calibri"/>
              </w:rPr>
            </w:pPr>
            <w:r w:rsidRPr="00E05A72">
              <w:rPr>
                <w:rFonts w:eastAsia="Calibri"/>
              </w:rPr>
              <w:t>South Australia - total</w:t>
            </w:r>
          </w:p>
        </w:tc>
        <w:tc>
          <w:tcPr>
            <w:tcW w:w="1934"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515.9</w:t>
            </w:r>
          </w:p>
        </w:tc>
        <w:tc>
          <w:tcPr>
            <w:tcW w:w="1934"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52.0</w:t>
            </w:r>
          </w:p>
        </w:tc>
        <w:tc>
          <w:tcPr>
            <w:tcW w:w="1935"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46.</w:t>
            </w:r>
            <w:r>
              <w:rPr>
                <w:rFonts w:eastAsia="Calibri"/>
              </w:rPr>
              <w:t>7</w:t>
            </w:r>
          </w:p>
        </w:tc>
        <w:tc>
          <w:tcPr>
            <w:tcW w:w="1934"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562.</w:t>
            </w:r>
            <w:r>
              <w:rPr>
                <w:rFonts w:eastAsia="Calibri"/>
              </w:rPr>
              <w:t>6</w:t>
            </w:r>
          </w:p>
        </w:tc>
        <w:tc>
          <w:tcPr>
            <w:tcW w:w="1935"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9.0%</w:t>
            </w:r>
          </w:p>
        </w:tc>
      </w:tr>
      <w:tr w:rsidR="00D95355" w:rsidRPr="00E05A72" w:rsidTr="00D95355">
        <w:trPr>
          <w:trHeight w:val="300"/>
        </w:trPr>
        <w:tc>
          <w:tcPr>
            <w:tcW w:w="4210" w:type="dxa"/>
            <w:shd w:val="clear" w:color="auto" w:fill="auto"/>
            <w:noWrap/>
            <w:hideMark/>
          </w:tcPr>
          <w:p w:rsidR="00D95355" w:rsidRDefault="00D95355" w:rsidP="00031A5A">
            <w:pPr>
              <w:pStyle w:val="TableHeading"/>
              <w:rPr>
                <w:rFonts w:eastAsia="Calibri"/>
              </w:rPr>
            </w:pPr>
          </w:p>
          <w:p w:rsidR="00D95355" w:rsidRPr="00E05A72" w:rsidRDefault="00D95355" w:rsidP="00031A5A">
            <w:pPr>
              <w:pStyle w:val="TableHeading"/>
              <w:rPr>
                <w:rFonts w:eastAsia="Calibri"/>
                <w:i/>
              </w:rPr>
            </w:pPr>
            <w:r w:rsidRPr="007F187B">
              <w:rPr>
                <w:rFonts w:eastAsia="Calibri"/>
                <w:i/>
              </w:rPr>
              <w:t>ACT</w:t>
            </w:r>
          </w:p>
        </w:tc>
        <w:tc>
          <w:tcPr>
            <w:tcW w:w="1934" w:type="dxa"/>
            <w:shd w:val="clear" w:color="auto" w:fill="auto"/>
            <w:noWrap/>
            <w:hideMark/>
          </w:tcPr>
          <w:p w:rsidR="00D95355" w:rsidRPr="00E05A72" w:rsidRDefault="00D95355" w:rsidP="005B596D">
            <w:pPr>
              <w:pStyle w:val="Tabletext"/>
              <w:jc w:val="center"/>
              <w:rPr>
                <w:rFonts w:eastAsia="Calibri"/>
              </w:rPr>
            </w:pPr>
          </w:p>
        </w:tc>
        <w:tc>
          <w:tcPr>
            <w:tcW w:w="1934" w:type="dxa"/>
            <w:shd w:val="clear" w:color="auto" w:fill="auto"/>
            <w:noWrap/>
            <w:hideMark/>
          </w:tcPr>
          <w:p w:rsidR="00D95355" w:rsidRPr="00E05A72" w:rsidRDefault="00D95355" w:rsidP="005B596D">
            <w:pPr>
              <w:pStyle w:val="Tabletext"/>
              <w:jc w:val="center"/>
              <w:rPr>
                <w:rFonts w:eastAsia="Calibri"/>
              </w:rPr>
            </w:pPr>
          </w:p>
        </w:tc>
        <w:tc>
          <w:tcPr>
            <w:tcW w:w="1935" w:type="dxa"/>
            <w:shd w:val="clear" w:color="auto" w:fill="auto"/>
            <w:noWrap/>
            <w:hideMark/>
          </w:tcPr>
          <w:p w:rsidR="00D95355" w:rsidRPr="00E05A72" w:rsidRDefault="00D95355" w:rsidP="005B596D">
            <w:pPr>
              <w:pStyle w:val="Tabletext"/>
              <w:jc w:val="center"/>
              <w:rPr>
                <w:rFonts w:eastAsia="Calibri"/>
              </w:rPr>
            </w:pPr>
          </w:p>
        </w:tc>
        <w:tc>
          <w:tcPr>
            <w:tcW w:w="1934" w:type="dxa"/>
            <w:shd w:val="clear" w:color="auto" w:fill="auto"/>
            <w:noWrap/>
            <w:hideMark/>
          </w:tcPr>
          <w:p w:rsidR="00D95355" w:rsidRPr="00E05A72" w:rsidRDefault="00D95355" w:rsidP="005B596D">
            <w:pPr>
              <w:pStyle w:val="Tabletext"/>
              <w:jc w:val="center"/>
              <w:rPr>
                <w:rFonts w:eastAsia="Calibri"/>
              </w:rPr>
            </w:pPr>
          </w:p>
        </w:tc>
        <w:tc>
          <w:tcPr>
            <w:tcW w:w="1935" w:type="dxa"/>
            <w:shd w:val="clear" w:color="auto" w:fill="auto"/>
            <w:noWrap/>
            <w:hideMark/>
          </w:tcPr>
          <w:p w:rsidR="00D95355" w:rsidRPr="00E05A72" w:rsidRDefault="00D95355" w:rsidP="005B596D">
            <w:pPr>
              <w:pStyle w:val="Tabletext"/>
              <w:jc w:val="center"/>
              <w:rPr>
                <w:rFonts w:eastAsia="Calibri"/>
              </w:rPr>
            </w:pP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r w:rsidRPr="00E05A72">
              <w:rPr>
                <w:rFonts w:eastAsia="Calibri"/>
              </w:rPr>
              <w:t>Australian Capital Territory (surface water)</w:t>
            </w:r>
            <w:r>
              <w:rPr>
                <w:rFonts w:eastAsia="Calibri"/>
              </w:rPr>
              <w:t xml:space="preserve"> (SS1)</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47.6</w:t>
            </w:r>
          </w:p>
        </w:tc>
        <w:tc>
          <w:tcPr>
            <w:tcW w:w="1934" w:type="dxa"/>
            <w:shd w:val="clear" w:color="auto" w:fill="auto"/>
            <w:noWrap/>
            <w:hideMark/>
          </w:tcPr>
          <w:p w:rsidR="00D95355" w:rsidRPr="00E05A72" w:rsidRDefault="00D95355" w:rsidP="005B596D">
            <w:pPr>
              <w:pStyle w:val="Tabletext"/>
              <w:jc w:val="center"/>
              <w:rPr>
                <w:rFonts w:eastAsia="Calibri"/>
              </w:rPr>
            </w:pPr>
            <w:r>
              <w:rPr>
                <w:rFonts w:eastAsia="Calibri"/>
              </w:rPr>
              <w:t>0.0</w:t>
            </w:r>
          </w:p>
        </w:tc>
        <w:tc>
          <w:tcPr>
            <w:tcW w:w="1935" w:type="dxa"/>
            <w:shd w:val="clear" w:color="auto" w:fill="auto"/>
            <w:noWrap/>
            <w:hideMark/>
          </w:tcPr>
          <w:p w:rsidR="00D95355" w:rsidRPr="00E05A72" w:rsidRDefault="00D95355" w:rsidP="005B596D">
            <w:pPr>
              <w:pStyle w:val="Tabletext"/>
              <w:jc w:val="center"/>
              <w:rPr>
                <w:rFonts w:eastAsia="Calibri"/>
              </w:rPr>
            </w:pPr>
            <w:r>
              <w:rPr>
                <w:rFonts w:eastAsia="Calibri"/>
              </w:rPr>
              <w:t>0.0</w:t>
            </w:r>
          </w:p>
        </w:tc>
        <w:tc>
          <w:tcPr>
            <w:tcW w:w="1934"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47.6</w:t>
            </w:r>
          </w:p>
        </w:tc>
        <w:tc>
          <w:tcPr>
            <w:tcW w:w="1935" w:type="dxa"/>
            <w:shd w:val="clear" w:color="auto" w:fill="auto"/>
            <w:noWrap/>
            <w:hideMark/>
          </w:tcPr>
          <w:p w:rsidR="00D95355" w:rsidRPr="00E05A72" w:rsidRDefault="00D95355" w:rsidP="005B596D">
            <w:pPr>
              <w:pStyle w:val="Tabletext"/>
              <w:jc w:val="center"/>
              <w:rPr>
                <w:rFonts w:eastAsia="Calibri"/>
              </w:rPr>
            </w:pPr>
            <w:r w:rsidRPr="00E05A72">
              <w:rPr>
                <w:rFonts w:eastAsia="Calibri"/>
              </w:rPr>
              <w:t>0.0%</w:t>
            </w:r>
          </w:p>
        </w:tc>
      </w:tr>
      <w:tr w:rsidR="00D95355" w:rsidRPr="00E05A72" w:rsidTr="00D95355">
        <w:trPr>
          <w:trHeight w:val="300"/>
        </w:trPr>
        <w:tc>
          <w:tcPr>
            <w:tcW w:w="4210" w:type="dxa"/>
            <w:shd w:val="clear" w:color="auto" w:fill="D9D9D9" w:themeFill="background1" w:themeFillShade="D9"/>
            <w:noWrap/>
            <w:hideMark/>
          </w:tcPr>
          <w:p w:rsidR="00D95355" w:rsidRPr="00E05A72" w:rsidRDefault="00D95355" w:rsidP="00031A5A">
            <w:pPr>
              <w:pStyle w:val="Tabletext"/>
              <w:rPr>
                <w:rFonts w:eastAsia="Calibri"/>
              </w:rPr>
            </w:pPr>
            <w:r w:rsidRPr="00E05A72">
              <w:rPr>
                <w:rFonts w:eastAsia="Calibri"/>
              </w:rPr>
              <w:t>ACT - total</w:t>
            </w:r>
          </w:p>
        </w:tc>
        <w:tc>
          <w:tcPr>
            <w:tcW w:w="1934"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47.6</w:t>
            </w:r>
          </w:p>
        </w:tc>
        <w:tc>
          <w:tcPr>
            <w:tcW w:w="1934" w:type="dxa"/>
            <w:shd w:val="clear" w:color="auto" w:fill="D9D9D9" w:themeFill="background1" w:themeFillShade="D9"/>
            <w:noWrap/>
            <w:hideMark/>
          </w:tcPr>
          <w:p w:rsidR="00D95355" w:rsidRPr="00E05A72" w:rsidRDefault="00D95355" w:rsidP="005B596D">
            <w:pPr>
              <w:pStyle w:val="Tabletext"/>
              <w:jc w:val="center"/>
              <w:rPr>
                <w:rFonts w:eastAsia="Calibri"/>
              </w:rPr>
            </w:pPr>
            <w:r>
              <w:rPr>
                <w:rFonts w:eastAsia="Calibri"/>
              </w:rPr>
              <w:t>0.0</w:t>
            </w:r>
          </w:p>
        </w:tc>
        <w:tc>
          <w:tcPr>
            <w:tcW w:w="1935" w:type="dxa"/>
            <w:shd w:val="clear" w:color="auto" w:fill="D9D9D9" w:themeFill="background1" w:themeFillShade="D9"/>
            <w:noWrap/>
            <w:hideMark/>
          </w:tcPr>
          <w:p w:rsidR="00D95355" w:rsidRPr="00E05A72" w:rsidRDefault="00D95355" w:rsidP="005B596D">
            <w:pPr>
              <w:pStyle w:val="Tabletext"/>
              <w:jc w:val="center"/>
              <w:rPr>
                <w:rFonts w:eastAsia="Calibri"/>
              </w:rPr>
            </w:pPr>
            <w:r>
              <w:rPr>
                <w:rFonts w:eastAsia="Calibri"/>
              </w:rPr>
              <w:t>0.0</w:t>
            </w:r>
          </w:p>
        </w:tc>
        <w:tc>
          <w:tcPr>
            <w:tcW w:w="1934"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47.6</w:t>
            </w:r>
          </w:p>
        </w:tc>
        <w:tc>
          <w:tcPr>
            <w:tcW w:w="1935" w:type="dxa"/>
            <w:shd w:val="clear" w:color="auto" w:fill="D9D9D9" w:themeFill="background1" w:themeFillShade="D9"/>
            <w:noWrap/>
            <w:hideMark/>
          </w:tcPr>
          <w:p w:rsidR="00D95355" w:rsidRPr="00E05A72" w:rsidRDefault="00D95355" w:rsidP="005B596D">
            <w:pPr>
              <w:pStyle w:val="Tabletext"/>
              <w:jc w:val="center"/>
              <w:rPr>
                <w:rFonts w:eastAsia="Calibri"/>
              </w:rPr>
            </w:pPr>
            <w:r w:rsidRPr="00E05A72">
              <w:rPr>
                <w:rFonts w:eastAsia="Calibri"/>
              </w:rPr>
              <w:t>0.0%</w:t>
            </w:r>
          </w:p>
        </w:tc>
      </w:tr>
      <w:tr w:rsidR="00D95355" w:rsidRPr="00E05A72" w:rsidTr="00D95355">
        <w:trPr>
          <w:trHeight w:val="300"/>
        </w:trPr>
        <w:tc>
          <w:tcPr>
            <w:tcW w:w="4210" w:type="dxa"/>
            <w:shd w:val="clear" w:color="auto" w:fill="auto"/>
            <w:noWrap/>
            <w:hideMark/>
          </w:tcPr>
          <w:p w:rsidR="00D95355" w:rsidRPr="00E05A72" w:rsidRDefault="00D95355" w:rsidP="00031A5A">
            <w:pPr>
              <w:pStyle w:val="Tabletext"/>
              <w:rPr>
                <w:rFonts w:eastAsia="Calibri"/>
              </w:rPr>
            </w:pPr>
          </w:p>
        </w:tc>
        <w:tc>
          <w:tcPr>
            <w:tcW w:w="1934" w:type="dxa"/>
            <w:shd w:val="clear" w:color="auto" w:fill="auto"/>
            <w:noWrap/>
          </w:tcPr>
          <w:p w:rsidR="00D95355" w:rsidRPr="00E05A72" w:rsidRDefault="00D95355" w:rsidP="005B596D">
            <w:pPr>
              <w:pStyle w:val="Tabletext"/>
              <w:jc w:val="center"/>
              <w:rPr>
                <w:rFonts w:eastAsia="Calibri"/>
              </w:rPr>
            </w:pPr>
          </w:p>
        </w:tc>
        <w:tc>
          <w:tcPr>
            <w:tcW w:w="1934" w:type="dxa"/>
            <w:shd w:val="clear" w:color="auto" w:fill="auto"/>
            <w:noWrap/>
          </w:tcPr>
          <w:p w:rsidR="00D95355" w:rsidRPr="00E05A72" w:rsidRDefault="00D95355" w:rsidP="005B596D">
            <w:pPr>
              <w:pStyle w:val="Tabletext"/>
              <w:jc w:val="center"/>
              <w:rPr>
                <w:rFonts w:eastAsia="Calibri"/>
              </w:rPr>
            </w:pPr>
          </w:p>
        </w:tc>
        <w:tc>
          <w:tcPr>
            <w:tcW w:w="1935" w:type="dxa"/>
            <w:shd w:val="clear" w:color="auto" w:fill="auto"/>
            <w:noWrap/>
            <w:hideMark/>
          </w:tcPr>
          <w:p w:rsidR="00D95355" w:rsidRPr="00E05A72" w:rsidRDefault="00D95355" w:rsidP="005B596D">
            <w:pPr>
              <w:pStyle w:val="Tabletext"/>
              <w:jc w:val="center"/>
              <w:rPr>
                <w:rFonts w:eastAsia="Calibri"/>
              </w:rPr>
            </w:pPr>
          </w:p>
        </w:tc>
        <w:tc>
          <w:tcPr>
            <w:tcW w:w="1934" w:type="dxa"/>
            <w:shd w:val="clear" w:color="auto" w:fill="auto"/>
            <w:noWrap/>
            <w:hideMark/>
          </w:tcPr>
          <w:p w:rsidR="00D95355" w:rsidRPr="00E05A72" w:rsidRDefault="00D95355" w:rsidP="005B596D">
            <w:pPr>
              <w:pStyle w:val="Tabletext"/>
              <w:jc w:val="center"/>
              <w:rPr>
                <w:rFonts w:eastAsia="Calibri"/>
              </w:rPr>
            </w:pPr>
          </w:p>
        </w:tc>
        <w:tc>
          <w:tcPr>
            <w:tcW w:w="1935" w:type="dxa"/>
            <w:shd w:val="clear" w:color="auto" w:fill="auto"/>
            <w:noWrap/>
            <w:hideMark/>
          </w:tcPr>
          <w:p w:rsidR="00D95355" w:rsidRPr="00E05A72" w:rsidRDefault="00D95355" w:rsidP="005B596D">
            <w:pPr>
              <w:pStyle w:val="Tabletext"/>
              <w:jc w:val="center"/>
              <w:rPr>
                <w:rFonts w:eastAsia="Calibri"/>
              </w:rPr>
            </w:pPr>
          </w:p>
        </w:tc>
      </w:tr>
      <w:tr w:rsidR="00D95355" w:rsidRPr="00E05A72" w:rsidTr="00D95355">
        <w:trPr>
          <w:trHeight w:val="315"/>
        </w:trPr>
        <w:tc>
          <w:tcPr>
            <w:tcW w:w="4210" w:type="dxa"/>
            <w:tcBorders>
              <w:bottom w:val="single" w:sz="18" w:space="0" w:color="auto"/>
            </w:tcBorders>
            <w:shd w:val="clear" w:color="auto" w:fill="auto"/>
            <w:noWrap/>
            <w:hideMark/>
          </w:tcPr>
          <w:p w:rsidR="00D95355" w:rsidRPr="00E05A72" w:rsidRDefault="00D95355" w:rsidP="00031A5A">
            <w:pPr>
              <w:pStyle w:val="Tabletext"/>
              <w:rPr>
                <w:rFonts w:eastAsia="Calibri"/>
              </w:rPr>
            </w:pPr>
            <w:r w:rsidRPr="00E05A72">
              <w:rPr>
                <w:rFonts w:eastAsia="Calibri"/>
              </w:rPr>
              <w:t>Total</w:t>
            </w:r>
          </w:p>
        </w:tc>
        <w:tc>
          <w:tcPr>
            <w:tcW w:w="1934" w:type="dxa"/>
            <w:tcBorders>
              <w:bottom w:val="single" w:sz="18" w:space="0" w:color="auto"/>
            </w:tcBorders>
            <w:shd w:val="clear" w:color="auto" w:fill="auto"/>
            <w:noWrap/>
            <w:hideMark/>
          </w:tcPr>
          <w:p w:rsidR="00D95355" w:rsidRPr="00E05A72" w:rsidRDefault="00D95355" w:rsidP="005B596D">
            <w:pPr>
              <w:pStyle w:val="Tabletext"/>
              <w:jc w:val="center"/>
              <w:rPr>
                <w:rFonts w:eastAsia="Calibri"/>
              </w:rPr>
            </w:pPr>
            <w:r w:rsidRPr="00E05A72">
              <w:rPr>
                <w:rFonts w:eastAsia="Calibri"/>
              </w:rPr>
              <w:t>10,873</w:t>
            </w:r>
          </w:p>
        </w:tc>
        <w:tc>
          <w:tcPr>
            <w:tcW w:w="1934" w:type="dxa"/>
            <w:tcBorders>
              <w:bottom w:val="single" w:sz="18" w:space="0" w:color="auto"/>
            </w:tcBorders>
            <w:shd w:val="clear" w:color="auto" w:fill="auto"/>
            <w:noWrap/>
            <w:hideMark/>
          </w:tcPr>
          <w:p w:rsidR="00D95355" w:rsidRPr="00E05A72" w:rsidRDefault="00D95355" w:rsidP="005B596D">
            <w:pPr>
              <w:pStyle w:val="Tabletext"/>
              <w:jc w:val="center"/>
              <w:rPr>
                <w:rFonts w:eastAsia="Calibri"/>
              </w:rPr>
            </w:pPr>
            <w:r w:rsidRPr="00E05A72">
              <w:rPr>
                <w:rFonts w:eastAsia="Calibri"/>
              </w:rPr>
              <w:t>605</w:t>
            </w:r>
          </w:p>
        </w:tc>
        <w:tc>
          <w:tcPr>
            <w:tcW w:w="1935" w:type="dxa"/>
            <w:tcBorders>
              <w:bottom w:val="single" w:sz="18" w:space="0" w:color="auto"/>
            </w:tcBorders>
            <w:shd w:val="clear" w:color="auto" w:fill="auto"/>
            <w:noWrap/>
            <w:hideMark/>
          </w:tcPr>
          <w:p w:rsidR="00D95355" w:rsidRPr="00E05A72" w:rsidRDefault="00D95355" w:rsidP="005B596D">
            <w:pPr>
              <w:pStyle w:val="Tabletext"/>
              <w:jc w:val="center"/>
              <w:rPr>
                <w:rFonts w:eastAsia="Calibri"/>
              </w:rPr>
            </w:pPr>
            <w:r w:rsidRPr="00E05A72">
              <w:rPr>
                <w:rFonts w:eastAsia="Calibri"/>
              </w:rPr>
              <w:t>543</w:t>
            </w:r>
          </w:p>
        </w:tc>
        <w:tc>
          <w:tcPr>
            <w:tcW w:w="1934" w:type="dxa"/>
            <w:tcBorders>
              <w:bottom w:val="single" w:sz="18" w:space="0" w:color="auto"/>
            </w:tcBorders>
            <w:shd w:val="clear" w:color="auto" w:fill="auto"/>
            <w:noWrap/>
            <w:hideMark/>
          </w:tcPr>
          <w:p w:rsidR="00D95355" w:rsidRPr="00E05A72" w:rsidRDefault="00D95355" w:rsidP="005B596D">
            <w:pPr>
              <w:pStyle w:val="Tabletext"/>
              <w:jc w:val="center"/>
              <w:rPr>
                <w:rFonts w:eastAsia="Calibri"/>
              </w:rPr>
            </w:pPr>
            <w:r w:rsidRPr="00E05A72">
              <w:rPr>
                <w:rFonts w:eastAsia="Calibri"/>
              </w:rPr>
              <w:t>11,416</w:t>
            </w:r>
          </w:p>
        </w:tc>
        <w:tc>
          <w:tcPr>
            <w:tcW w:w="1935" w:type="dxa"/>
            <w:tcBorders>
              <w:bottom w:val="single" w:sz="18" w:space="0" w:color="auto"/>
            </w:tcBorders>
            <w:shd w:val="clear" w:color="auto" w:fill="auto"/>
            <w:noWrap/>
            <w:hideMark/>
          </w:tcPr>
          <w:p w:rsidR="00D95355" w:rsidRPr="00E05A72" w:rsidRDefault="00D95355" w:rsidP="00C92D6E">
            <w:pPr>
              <w:pStyle w:val="Tabletext"/>
              <w:jc w:val="center"/>
              <w:rPr>
                <w:rFonts w:eastAsia="Calibri"/>
              </w:rPr>
            </w:pPr>
            <w:r>
              <w:rPr>
                <w:rFonts w:eastAsia="Calibri"/>
              </w:rPr>
              <w:t>5</w:t>
            </w:r>
            <w:r w:rsidRPr="00E05A72">
              <w:rPr>
                <w:rFonts w:eastAsia="Calibri"/>
              </w:rPr>
              <w:t>%</w:t>
            </w:r>
          </w:p>
        </w:tc>
      </w:tr>
    </w:tbl>
    <w:p w:rsidR="00E05A72" w:rsidRDefault="00E05A72" w:rsidP="003B2A4D">
      <w:pPr>
        <w:rPr>
          <w:lang w:eastAsia="en-AU"/>
        </w:rPr>
      </w:pPr>
    </w:p>
    <w:p w:rsidR="00305BA0" w:rsidRDefault="00305BA0" w:rsidP="003B2A4D">
      <w:pPr>
        <w:rPr>
          <w:lang w:eastAsia="en-AU"/>
        </w:rPr>
      </w:pPr>
    </w:p>
    <w:p w:rsidR="00E05A72" w:rsidRDefault="00031A5A" w:rsidP="00031A5A">
      <w:pPr>
        <w:pStyle w:val="ntoHeading"/>
      </w:pPr>
      <w:r>
        <w:t>Notes:</w:t>
      </w:r>
      <w:r>
        <w:tab/>
      </w:r>
    </w:p>
    <w:p w:rsidR="00263D8D" w:rsidRPr="00542447" w:rsidRDefault="00263D8D" w:rsidP="00263D8D">
      <w:pPr>
        <w:pStyle w:val="ntoHeading"/>
      </w:pPr>
      <w:r>
        <w:t>1</w:t>
      </w:r>
      <w:r w:rsidRPr="00542447">
        <w:tab/>
      </w:r>
      <w:r w:rsidR="00FF0E8D" w:rsidRPr="00542447">
        <w:t xml:space="preserve">Apportioned supply contributions </w:t>
      </w:r>
      <w:r w:rsidR="00622896">
        <w:t xml:space="preserve">were determined </w:t>
      </w:r>
      <w:r w:rsidR="00FF0E8D" w:rsidRPr="00542447">
        <w:t xml:space="preserve">applying re-allocation adjustment requests that were made by South Australia in relation to the </w:t>
      </w:r>
      <w:r w:rsidR="00FF0E8D" w:rsidRPr="00542447">
        <w:rPr>
          <w:rFonts w:eastAsia="Calibri"/>
        </w:rPr>
        <w:t>South Australian Murray (SS11) and Eastern Mount Lofty Ranges (SS13) SDL resource units.</w:t>
      </w:r>
    </w:p>
    <w:p w:rsidR="00263D8D" w:rsidRPr="00542447" w:rsidRDefault="00031A5A" w:rsidP="00263D8D">
      <w:pPr>
        <w:pStyle w:val="ntoHeading"/>
      </w:pPr>
      <w:r w:rsidRPr="00542447">
        <w:t>2</w:t>
      </w:r>
      <w:r w:rsidR="00263D8D" w:rsidRPr="00542447">
        <w:tab/>
      </w:r>
      <w:r w:rsidR="00032762" w:rsidRPr="00542447">
        <w:t xml:space="preserve">The Authority’s estimate of the total efficiency contribution that could be achieved is 450 GL. Noting that the efficiency contribution is only considered when an entitlement has been registered as being available, this example has been prepared using zero efficiency entitlements for illustrative purposes only. Therefore, the reduced supply contribution would operate to limit the increase </w:t>
      </w:r>
      <w:r w:rsidRPr="00542447">
        <w:t xml:space="preserve">to </w:t>
      </w:r>
      <w:r w:rsidR="00032762" w:rsidRPr="00542447">
        <w:t>the SDL to the maximum allowable of 5% or 543 GL/yr.</w:t>
      </w:r>
    </w:p>
    <w:p w:rsidR="00263D8D" w:rsidRPr="00542447" w:rsidRDefault="00031A5A" w:rsidP="00263D8D">
      <w:pPr>
        <w:pStyle w:val="ntoHeading"/>
      </w:pPr>
      <w:r w:rsidRPr="00542447">
        <w:t>3</w:t>
      </w:r>
      <w:r w:rsidR="00263D8D" w:rsidRPr="00542447">
        <w:tab/>
      </w:r>
      <w:r w:rsidR="00032762" w:rsidRPr="00542447">
        <w:t>The proposed plan area limit may vary from this as efficiency contributions result in efficiency entitlements becoming available. When these become available, it will alter the proposed SDL shown in this table.</w:t>
      </w:r>
      <w:r w:rsidR="00DD2AFF" w:rsidRPr="00542447">
        <w:t xml:space="preserve"> The proposed plan area limit also does not take account of other adjustments that might be made after the reference time, such as re</w:t>
      </w:r>
      <w:r w:rsidR="00DD2AFF" w:rsidRPr="00542447">
        <w:noBreakHyphen/>
        <w:t xml:space="preserve">allocation adjustment requests </w:t>
      </w:r>
      <w:r w:rsidR="00FF0E8D" w:rsidRPr="00542447">
        <w:t xml:space="preserve">that might be made </w:t>
      </w:r>
      <w:r w:rsidR="00DD2AFF" w:rsidRPr="00542447">
        <w:t>under subsection 6.05(5) of the Basin Plan.</w:t>
      </w:r>
    </w:p>
    <w:p w:rsidR="00263D8D" w:rsidRDefault="00263D8D" w:rsidP="00263D8D">
      <w:pPr>
        <w:pStyle w:val="ntoHeading"/>
      </w:pPr>
    </w:p>
    <w:sectPr w:rsidR="00263D8D" w:rsidSect="0066779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6B4" w:rsidRDefault="008C36B4">
      <w:r>
        <w:separator/>
      </w:r>
    </w:p>
  </w:endnote>
  <w:endnote w:type="continuationSeparator" w:id="0">
    <w:p w:rsidR="008C36B4" w:rsidRDefault="008C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E3" w:rsidRDefault="003238E3" w:rsidP="00032BF9">
    <w:pPr>
      <w:pStyle w:val="Footer"/>
      <w:pBdr>
        <w:top w:val="single" w:sz="4" w:space="1" w:color="auto"/>
      </w:pBdr>
      <w:jc w:val="right"/>
    </w:pPr>
  </w:p>
  <w:p w:rsidR="003238E3" w:rsidRDefault="003238E3" w:rsidP="00032BF9">
    <w:pPr>
      <w:pStyle w:val="Footer"/>
      <w:pBdr>
        <w:top w:val="single" w:sz="4" w:space="1" w:color="auto"/>
      </w:pBdr>
      <w:jc w:val="right"/>
    </w:pPr>
    <w:r w:rsidRPr="00DA24F9">
      <w:tab/>
    </w:r>
    <w:r w:rsidRPr="00032BF9">
      <w:rPr>
        <w:i/>
      </w:rPr>
      <w:fldChar w:fldCharType="begin"/>
    </w:r>
    <w:r w:rsidRPr="00032BF9">
      <w:rPr>
        <w:i/>
      </w:rPr>
      <w:instrText xml:space="preserve"> STYLEREF  ShortT  \* MERGEFORMAT </w:instrText>
    </w:r>
    <w:r w:rsidRPr="00032BF9">
      <w:rPr>
        <w:i/>
      </w:rPr>
      <w:fldChar w:fldCharType="separate"/>
    </w:r>
    <w:r w:rsidR="00BA2F18" w:rsidRPr="00BA2F18">
      <w:rPr>
        <w:bCs/>
        <w:i/>
        <w:noProof/>
        <w:lang w:val="en-US"/>
      </w:rPr>
      <w:t>Water (SDL Adjustments) Notice</w:t>
    </w:r>
    <w:r w:rsidR="00BA2F18">
      <w:rPr>
        <w:i/>
        <w:noProof/>
      </w:rPr>
      <w:t xml:space="preserve"> 2017</w:t>
    </w:r>
    <w:r w:rsidRPr="00032BF9">
      <w:rPr>
        <w:i/>
        <w:noProof/>
      </w:rPr>
      <w:fldChar w:fldCharType="end"/>
    </w:r>
    <w:r w:rsidRPr="00DA24F9">
      <w:rPr>
        <w:noProof/>
      </w:rPr>
      <w:tab/>
    </w:r>
    <w:r>
      <w:fldChar w:fldCharType="begin"/>
    </w:r>
    <w:r>
      <w:instrText xml:space="preserve"> PAGE   \* MERGEFORMAT </w:instrText>
    </w:r>
    <w:r>
      <w:fldChar w:fldCharType="separate"/>
    </w:r>
    <w:r w:rsidR="00BA2F18">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E3" w:rsidRDefault="003238E3" w:rsidP="001577D4">
    <w:pPr>
      <w:pStyle w:val="Footer"/>
      <w:pBdr>
        <w:top w:val="single" w:sz="4" w:space="1" w:color="auto"/>
      </w:pBdr>
      <w:jc w:val="right"/>
    </w:pPr>
  </w:p>
  <w:p w:rsidR="003238E3" w:rsidRDefault="003238E3" w:rsidP="00FB2B51">
    <w:pPr>
      <w:pStyle w:val="Footer"/>
      <w:pBdr>
        <w:top w:val="single" w:sz="4" w:space="1" w:color="auto"/>
      </w:pBdr>
      <w:jc w:val="center"/>
    </w:pPr>
    <w:r>
      <w:rPr>
        <w:i/>
      </w:rPr>
      <w:tab/>
    </w:r>
    <w:r w:rsidRPr="00032BF9">
      <w:rPr>
        <w:i/>
      </w:rPr>
      <w:fldChar w:fldCharType="begin"/>
    </w:r>
    <w:r w:rsidRPr="00032BF9">
      <w:rPr>
        <w:i/>
      </w:rPr>
      <w:instrText xml:space="preserve"> STYLEREF  ShortT  \* MERGEFORMAT </w:instrText>
    </w:r>
    <w:r w:rsidRPr="00032BF9">
      <w:rPr>
        <w:i/>
      </w:rPr>
      <w:fldChar w:fldCharType="separate"/>
    </w:r>
    <w:r w:rsidR="00BA2F18" w:rsidRPr="00BA2F18">
      <w:rPr>
        <w:bCs/>
        <w:i/>
        <w:noProof/>
        <w:lang w:val="en-US"/>
      </w:rPr>
      <w:t>Water (SDL Adjustments) Notice</w:t>
    </w:r>
    <w:r w:rsidR="00BA2F18">
      <w:rPr>
        <w:i/>
        <w:noProof/>
      </w:rPr>
      <w:t xml:space="preserve"> 2017</w:t>
    </w:r>
    <w:r w:rsidRPr="00032BF9">
      <w:rPr>
        <w:i/>
        <w:noProof/>
      </w:rPr>
      <w:fldChar w:fldCharType="end"/>
    </w:r>
    <w:r w:rsidRPr="00DA24F9">
      <w:rPr>
        <w:noProof/>
      </w:rPr>
      <w:tab/>
    </w:r>
    <w:r>
      <w:fldChar w:fldCharType="begin"/>
    </w:r>
    <w:r>
      <w:instrText xml:space="preserve"> PAGE   \* MERGEFORMAT </w:instrText>
    </w:r>
    <w:r>
      <w:fldChar w:fldCharType="separate"/>
    </w:r>
    <w:r w:rsidR="00BA2F1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6B4" w:rsidRDefault="008C36B4">
      <w:r>
        <w:separator/>
      </w:r>
    </w:p>
  </w:footnote>
  <w:footnote w:type="continuationSeparator" w:id="0">
    <w:p w:rsidR="008C36B4" w:rsidRDefault="008C3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E3" w:rsidRPr="00D24C23" w:rsidRDefault="003238E3" w:rsidP="00D24C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E3" w:rsidRDefault="003238E3" w:rsidP="00D24C23">
    <w:pPr>
      <w:pStyle w:val="Header"/>
      <w:pBdr>
        <w:bottom w:val="single" w:sz="4" w:space="1" w:color="auto"/>
      </w:pBdr>
      <w:ind w:left="0" w:right="0"/>
      <w:jc w:val="right"/>
    </w:pPr>
    <w:r>
      <w:rPr>
        <w:noProof/>
      </w:rPr>
      <w:t>Schedule 1—</w:t>
    </w:r>
    <w:r w:rsidRPr="00005882">
      <w:t xml:space="preserve"> </w:t>
    </w:r>
    <w:r>
      <w:t>SDLs at reference time and apportioned supply contributions for surface water SDL resource units</w:t>
    </w:r>
  </w:p>
  <w:p w:rsidR="003238E3" w:rsidRPr="00D24C23" w:rsidRDefault="003238E3" w:rsidP="00D24C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E3" w:rsidRDefault="008C36B4" w:rsidP="001577D4">
    <w:pPr>
      <w:pStyle w:val="Header"/>
      <w:pBdr>
        <w:bottom w:val="single" w:sz="4" w:space="1" w:color="auto"/>
      </w:pBdr>
      <w:ind w:left="0" w:right="0"/>
      <w:jc w:val="right"/>
    </w:pPr>
    <w:fldSimple w:instr=" STYLEREF  &quot;h1_Chap,ActHead 1&quot; \n  \* MERGEFORMAT ">
      <w:r w:rsidR="00C62231">
        <w:rPr>
          <w:noProof/>
        </w:rPr>
        <w:t>0</w:t>
      </w:r>
    </w:fldSimple>
    <w:fldSimple w:instr=" STYLEREF  &quot;h1_Chap,ActHead 1&quot;  \* MERGEFORMAT ">
      <w:r w:rsidR="00C62231">
        <w:rPr>
          <w:noProof/>
        </w:rPr>
        <w:t>Schedule 1—SDLs at reference time and apportioned supply contributions for surface water SDL resource units</w:t>
      </w:r>
    </w:fldSimple>
  </w:p>
  <w:p w:rsidR="003238E3" w:rsidRDefault="003238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E3" w:rsidRDefault="003238E3" w:rsidP="00D24C23">
    <w:pPr>
      <w:pStyle w:val="Header"/>
      <w:pBdr>
        <w:bottom w:val="single" w:sz="4" w:space="1" w:color="auto"/>
      </w:pBdr>
      <w:ind w:left="0" w:right="0"/>
      <w:jc w:val="right"/>
    </w:pPr>
    <w:r>
      <w:rPr>
        <w:noProof/>
      </w:rPr>
      <w:t>Schedule 2—Calculation of proposed SDL adjustments</w:t>
    </w:r>
  </w:p>
  <w:p w:rsidR="003238E3" w:rsidRPr="00D24C23" w:rsidRDefault="003238E3" w:rsidP="00D24C2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E3" w:rsidRDefault="003238E3" w:rsidP="00D24C23">
    <w:pPr>
      <w:pStyle w:val="Header"/>
      <w:pBdr>
        <w:bottom w:val="single" w:sz="4" w:space="1" w:color="auto"/>
      </w:pBdr>
      <w:ind w:left="0" w:right="0"/>
      <w:jc w:val="right"/>
    </w:pPr>
    <w:r>
      <w:rPr>
        <w:noProof/>
      </w:rPr>
      <w:t>Schedule 3—Calculation of other amounts</w:t>
    </w:r>
  </w:p>
  <w:p w:rsidR="003238E3" w:rsidRPr="00D24C23" w:rsidRDefault="003238E3" w:rsidP="00D24C2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E3" w:rsidRDefault="003238E3" w:rsidP="00D24C23">
    <w:pPr>
      <w:pStyle w:val="Header"/>
      <w:pBdr>
        <w:bottom w:val="single" w:sz="4" w:space="1" w:color="auto"/>
      </w:pBdr>
      <w:ind w:left="0" w:right="0"/>
      <w:jc w:val="right"/>
    </w:pPr>
    <w:r>
      <w:rPr>
        <w:noProof/>
      </w:rPr>
      <w:t>Schedule 4—</w:t>
    </w:r>
    <w:r w:rsidRPr="00005882">
      <w:rPr>
        <w:noProof/>
      </w:rPr>
      <w:t xml:space="preserve"> </w:t>
    </w:r>
    <w:r>
      <w:rPr>
        <w:noProof/>
      </w:rPr>
      <w:t>Outline of material</w:t>
    </w:r>
  </w:p>
  <w:p w:rsidR="003238E3" w:rsidRPr="00D24C23" w:rsidRDefault="003238E3" w:rsidP="00D24C2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E3" w:rsidRDefault="003238E3" w:rsidP="00D24C23">
    <w:pPr>
      <w:pStyle w:val="Header"/>
      <w:pBdr>
        <w:bottom w:val="single" w:sz="4" w:space="1" w:color="auto"/>
      </w:pBdr>
      <w:ind w:left="0" w:right="0"/>
      <w:jc w:val="right"/>
    </w:pPr>
    <w:r>
      <w:rPr>
        <w:noProof/>
      </w:rPr>
      <w:t>Schedule 5—</w:t>
    </w:r>
    <w:r w:rsidRPr="00005882">
      <w:rPr>
        <w:noProof/>
      </w:rPr>
      <w:t xml:space="preserve"> </w:t>
    </w:r>
    <w:r>
      <w:rPr>
        <w:noProof/>
      </w:rPr>
      <w:t>Illustrative example of proposed SDL adjustments</w:t>
    </w:r>
  </w:p>
  <w:p w:rsidR="003238E3" w:rsidRPr="00D24C23" w:rsidRDefault="003238E3" w:rsidP="00D24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3" w15:restartNumberingAfterBreak="0">
    <w:nsid w:val="110356EE"/>
    <w:multiLevelType w:val="hybridMultilevel"/>
    <w:tmpl w:val="641E5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C03931"/>
    <w:multiLevelType w:val="hybridMultilevel"/>
    <w:tmpl w:val="74649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7C96109"/>
    <w:multiLevelType w:val="hybridMultilevel"/>
    <w:tmpl w:val="E4342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2CB0E84"/>
    <w:multiLevelType w:val="hybridMultilevel"/>
    <w:tmpl w:val="20DAB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9257E6E"/>
    <w:multiLevelType w:val="hybridMultilevel"/>
    <w:tmpl w:val="2BAEF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EED395C"/>
    <w:multiLevelType w:val="hybridMultilevel"/>
    <w:tmpl w:val="6AF4A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6"/>
  </w:num>
  <w:num w:numId="5">
    <w:abstractNumId w:val="5"/>
  </w:num>
  <w:num w:numId="6">
    <w:abstractNumId w:val="12"/>
  </w:num>
  <w:num w:numId="7">
    <w:abstractNumId w:val="18"/>
  </w:num>
  <w:num w:numId="8">
    <w:abstractNumId w:val="15"/>
  </w:num>
  <w:num w:numId="9">
    <w:abstractNumId w:val="11"/>
  </w:num>
  <w:num w:numId="10">
    <w:abstractNumId w:val="19"/>
  </w:num>
  <w:num w:numId="11">
    <w:abstractNumId w:val="3"/>
  </w:num>
  <w:num w:numId="12">
    <w:abstractNumId w:val="4"/>
  </w:num>
  <w:num w:numId="13">
    <w:abstractNumId w:val="6"/>
  </w:num>
  <w:num w:numId="1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EB"/>
    <w:rsid w:val="00000AA3"/>
    <w:rsid w:val="00000AF6"/>
    <w:rsid w:val="0000119E"/>
    <w:rsid w:val="00001306"/>
    <w:rsid w:val="00002024"/>
    <w:rsid w:val="00003511"/>
    <w:rsid w:val="000039D7"/>
    <w:rsid w:val="0000425E"/>
    <w:rsid w:val="00005704"/>
    <w:rsid w:val="00005882"/>
    <w:rsid w:val="00005EE7"/>
    <w:rsid w:val="00006BCC"/>
    <w:rsid w:val="00006E3F"/>
    <w:rsid w:val="000070DF"/>
    <w:rsid w:val="0000737B"/>
    <w:rsid w:val="0000771B"/>
    <w:rsid w:val="0001034B"/>
    <w:rsid w:val="000103AE"/>
    <w:rsid w:val="000103F2"/>
    <w:rsid w:val="00010FA1"/>
    <w:rsid w:val="0001129A"/>
    <w:rsid w:val="00011857"/>
    <w:rsid w:val="00011972"/>
    <w:rsid w:val="00012088"/>
    <w:rsid w:val="000129D3"/>
    <w:rsid w:val="00012A96"/>
    <w:rsid w:val="00012B72"/>
    <w:rsid w:val="00012EA1"/>
    <w:rsid w:val="00012EC0"/>
    <w:rsid w:val="00013EC2"/>
    <w:rsid w:val="00014257"/>
    <w:rsid w:val="00014770"/>
    <w:rsid w:val="000148A0"/>
    <w:rsid w:val="000153F7"/>
    <w:rsid w:val="00016A9C"/>
    <w:rsid w:val="00016E41"/>
    <w:rsid w:val="00017823"/>
    <w:rsid w:val="000179F2"/>
    <w:rsid w:val="00020888"/>
    <w:rsid w:val="00021311"/>
    <w:rsid w:val="0002143B"/>
    <w:rsid w:val="00021B09"/>
    <w:rsid w:val="00022B9C"/>
    <w:rsid w:val="0002300A"/>
    <w:rsid w:val="000232BF"/>
    <w:rsid w:val="0002384A"/>
    <w:rsid w:val="000248C7"/>
    <w:rsid w:val="00025470"/>
    <w:rsid w:val="000258A0"/>
    <w:rsid w:val="000258B9"/>
    <w:rsid w:val="000259DD"/>
    <w:rsid w:val="000266BF"/>
    <w:rsid w:val="0002696E"/>
    <w:rsid w:val="00030155"/>
    <w:rsid w:val="000301DE"/>
    <w:rsid w:val="000302C0"/>
    <w:rsid w:val="00030FFB"/>
    <w:rsid w:val="00031189"/>
    <w:rsid w:val="00031663"/>
    <w:rsid w:val="0003172F"/>
    <w:rsid w:val="00031A5A"/>
    <w:rsid w:val="00031C81"/>
    <w:rsid w:val="00031F2E"/>
    <w:rsid w:val="000320F2"/>
    <w:rsid w:val="00032762"/>
    <w:rsid w:val="00032BF9"/>
    <w:rsid w:val="00032D52"/>
    <w:rsid w:val="0003322D"/>
    <w:rsid w:val="00033B42"/>
    <w:rsid w:val="00033DBB"/>
    <w:rsid w:val="0003432F"/>
    <w:rsid w:val="000349DE"/>
    <w:rsid w:val="00034C58"/>
    <w:rsid w:val="0003522A"/>
    <w:rsid w:val="00035506"/>
    <w:rsid w:val="000363BF"/>
    <w:rsid w:val="00036984"/>
    <w:rsid w:val="00036C5A"/>
    <w:rsid w:val="00036CA6"/>
    <w:rsid w:val="00037231"/>
    <w:rsid w:val="000374A3"/>
    <w:rsid w:val="0003757F"/>
    <w:rsid w:val="0003764D"/>
    <w:rsid w:val="00037C78"/>
    <w:rsid w:val="000409D5"/>
    <w:rsid w:val="00041037"/>
    <w:rsid w:val="00041B8B"/>
    <w:rsid w:val="00041E62"/>
    <w:rsid w:val="00041FB6"/>
    <w:rsid w:val="000423E3"/>
    <w:rsid w:val="000427F9"/>
    <w:rsid w:val="00043379"/>
    <w:rsid w:val="00043659"/>
    <w:rsid w:val="0004373B"/>
    <w:rsid w:val="00043949"/>
    <w:rsid w:val="00043A40"/>
    <w:rsid w:val="00043E10"/>
    <w:rsid w:val="00044481"/>
    <w:rsid w:val="0004479F"/>
    <w:rsid w:val="00044D8C"/>
    <w:rsid w:val="00044FD4"/>
    <w:rsid w:val="0004504C"/>
    <w:rsid w:val="000453D0"/>
    <w:rsid w:val="0004563C"/>
    <w:rsid w:val="00045666"/>
    <w:rsid w:val="00045A0B"/>
    <w:rsid w:val="00046216"/>
    <w:rsid w:val="000466A8"/>
    <w:rsid w:val="00046950"/>
    <w:rsid w:val="00050664"/>
    <w:rsid w:val="000507D1"/>
    <w:rsid w:val="00050DE4"/>
    <w:rsid w:val="0005128C"/>
    <w:rsid w:val="00051826"/>
    <w:rsid w:val="0005192F"/>
    <w:rsid w:val="00051EA8"/>
    <w:rsid w:val="0005267B"/>
    <w:rsid w:val="00052837"/>
    <w:rsid w:val="00053594"/>
    <w:rsid w:val="00053827"/>
    <w:rsid w:val="0005423E"/>
    <w:rsid w:val="00054631"/>
    <w:rsid w:val="000546C6"/>
    <w:rsid w:val="00055A11"/>
    <w:rsid w:val="00055DCD"/>
    <w:rsid w:val="00056020"/>
    <w:rsid w:val="00057371"/>
    <w:rsid w:val="00057DAD"/>
    <w:rsid w:val="00060112"/>
    <w:rsid w:val="000601DE"/>
    <w:rsid w:val="00060287"/>
    <w:rsid w:val="00060411"/>
    <w:rsid w:val="0006100E"/>
    <w:rsid w:val="00061033"/>
    <w:rsid w:val="00062E12"/>
    <w:rsid w:val="00063441"/>
    <w:rsid w:val="00063C97"/>
    <w:rsid w:val="0006445F"/>
    <w:rsid w:val="00064A67"/>
    <w:rsid w:val="00064DEB"/>
    <w:rsid w:val="00064F0B"/>
    <w:rsid w:val="00064F51"/>
    <w:rsid w:val="0006538D"/>
    <w:rsid w:val="000656C0"/>
    <w:rsid w:val="00065AFC"/>
    <w:rsid w:val="000662C7"/>
    <w:rsid w:val="00066A91"/>
    <w:rsid w:val="00066B1E"/>
    <w:rsid w:val="00066B2C"/>
    <w:rsid w:val="00066FC5"/>
    <w:rsid w:val="000670F5"/>
    <w:rsid w:val="00067264"/>
    <w:rsid w:val="0007054D"/>
    <w:rsid w:val="00070FFE"/>
    <w:rsid w:val="00071A5F"/>
    <w:rsid w:val="00071D20"/>
    <w:rsid w:val="00071F78"/>
    <w:rsid w:val="000726DF"/>
    <w:rsid w:val="00072A2F"/>
    <w:rsid w:val="000731B2"/>
    <w:rsid w:val="00073CDA"/>
    <w:rsid w:val="000743B9"/>
    <w:rsid w:val="000743C4"/>
    <w:rsid w:val="00074AB4"/>
    <w:rsid w:val="000754F0"/>
    <w:rsid w:val="00075671"/>
    <w:rsid w:val="00075DCA"/>
    <w:rsid w:val="00075EFC"/>
    <w:rsid w:val="000764BA"/>
    <w:rsid w:val="00076755"/>
    <w:rsid w:val="000769EB"/>
    <w:rsid w:val="000779A0"/>
    <w:rsid w:val="00077B2E"/>
    <w:rsid w:val="00077F68"/>
    <w:rsid w:val="000806DC"/>
    <w:rsid w:val="00080B24"/>
    <w:rsid w:val="00080D29"/>
    <w:rsid w:val="00080ED3"/>
    <w:rsid w:val="00081251"/>
    <w:rsid w:val="000813F8"/>
    <w:rsid w:val="000816E6"/>
    <w:rsid w:val="00081733"/>
    <w:rsid w:val="000819C2"/>
    <w:rsid w:val="00082064"/>
    <w:rsid w:val="00082BCD"/>
    <w:rsid w:val="00083F3F"/>
    <w:rsid w:val="000842BC"/>
    <w:rsid w:val="0008440C"/>
    <w:rsid w:val="00084518"/>
    <w:rsid w:val="0008482A"/>
    <w:rsid w:val="000850F4"/>
    <w:rsid w:val="0008571B"/>
    <w:rsid w:val="000860FD"/>
    <w:rsid w:val="000862A9"/>
    <w:rsid w:val="00086957"/>
    <w:rsid w:val="0008700B"/>
    <w:rsid w:val="000877C1"/>
    <w:rsid w:val="00090D8B"/>
    <w:rsid w:val="000914C1"/>
    <w:rsid w:val="000923FF"/>
    <w:rsid w:val="00092A7B"/>
    <w:rsid w:val="00093144"/>
    <w:rsid w:val="00093C51"/>
    <w:rsid w:val="0009522F"/>
    <w:rsid w:val="000956A8"/>
    <w:rsid w:val="000958F3"/>
    <w:rsid w:val="00095DC2"/>
    <w:rsid w:val="0009614D"/>
    <w:rsid w:val="0009618D"/>
    <w:rsid w:val="000967FA"/>
    <w:rsid w:val="00097203"/>
    <w:rsid w:val="000974E1"/>
    <w:rsid w:val="000978C5"/>
    <w:rsid w:val="000A03AD"/>
    <w:rsid w:val="000A0BD0"/>
    <w:rsid w:val="000A0C7D"/>
    <w:rsid w:val="000A19EA"/>
    <w:rsid w:val="000A1B51"/>
    <w:rsid w:val="000A22B6"/>
    <w:rsid w:val="000A22D7"/>
    <w:rsid w:val="000A25C2"/>
    <w:rsid w:val="000A3085"/>
    <w:rsid w:val="000A363F"/>
    <w:rsid w:val="000A429A"/>
    <w:rsid w:val="000A4314"/>
    <w:rsid w:val="000A4814"/>
    <w:rsid w:val="000A4A2C"/>
    <w:rsid w:val="000A4C63"/>
    <w:rsid w:val="000A5380"/>
    <w:rsid w:val="000A5756"/>
    <w:rsid w:val="000A5DBB"/>
    <w:rsid w:val="000A5E30"/>
    <w:rsid w:val="000A6DB8"/>
    <w:rsid w:val="000A70C0"/>
    <w:rsid w:val="000A71D4"/>
    <w:rsid w:val="000A77EA"/>
    <w:rsid w:val="000A7903"/>
    <w:rsid w:val="000A7DDC"/>
    <w:rsid w:val="000B042A"/>
    <w:rsid w:val="000B0F36"/>
    <w:rsid w:val="000B1157"/>
    <w:rsid w:val="000B177D"/>
    <w:rsid w:val="000B2B15"/>
    <w:rsid w:val="000B44F4"/>
    <w:rsid w:val="000B4DA5"/>
    <w:rsid w:val="000B557E"/>
    <w:rsid w:val="000B5DCB"/>
    <w:rsid w:val="000B6C31"/>
    <w:rsid w:val="000B709F"/>
    <w:rsid w:val="000B75FE"/>
    <w:rsid w:val="000C06FD"/>
    <w:rsid w:val="000C07F0"/>
    <w:rsid w:val="000C097C"/>
    <w:rsid w:val="000C121E"/>
    <w:rsid w:val="000C14BB"/>
    <w:rsid w:val="000C1E61"/>
    <w:rsid w:val="000C20C4"/>
    <w:rsid w:val="000C2287"/>
    <w:rsid w:val="000C2440"/>
    <w:rsid w:val="000C2DB3"/>
    <w:rsid w:val="000C3152"/>
    <w:rsid w:val="000C393C"/>
    <w:rsid w:val="000C3A00"/>
    <w:rsid w:val="000C3C60"/>
    <w:rsid w:val="000C3D94"/>
    <w:rsid w:val="000C4D18"/>
    <w:rsid w:val="000C5119"/>
    <w:rsid w:val="000C5499"/>
    <w:rsid w:val="000C568C"/>
    <w:rsid w:val="000C61CF"/>
    <w:rsid w:val="000C6FDF"/>
    <w:rsid w:val="000C70ED"/>
    <w:rsid w:val="000C7D8B"/>
    <w:rsid w:val="000D04B3"/>
    <w:rsid w:val="000D0868"/>
    <w:rsid w:val="000D1083"/>
    <w:rsid w:val="000D1290"/>
    <w:rsid w:val="000D2135"/>
    <w:rsid w:val="000D2731"/>
    <w:rsid w:val="000D2968"/>
    <w:rsid w:val="000D2D22"/>
    <w:rsid w:val="000D2FFA"/>
    <w:rsid w:val="000D40E2"/>
    <w:rsid w:val="000D472F"/>
    <w:rsid w:val="000D4E2A"/>
    <w:rsid w:val="000D4ECC"/>
    <w:rsid w:val="000D5008"/>
    <w:rsid w:val="000D5420"/>
    <w:rsid w:val="000D57E2"/>
    <w:rsid w:val="000D5F02"/>
    <w:rsid w:val="000D628D"/>
    <w:rsid w:val="000D62A1"/>
    <w:rsid w:val="000D62C0"/>
    <w:rsid w:val="000D7205"/>
    <w:rsid w:val="000D736A"/>
    <w:rsid w:val="000D7653"/>
    <w:rsid w:val="000D7BEF"/>
    <w:rsid w:val="000E056F"/>
    <w:rsid w:val="000E0928"/>
    <w:rsid w:val="000E11C3"/>
    <w:rsid w:val="000E2406"/>
    <w:rsid w:val="000E2823"/>
    <w:rsid w:val="000E2AF3"/>
    <w:rsid w:val="000E2E9E"/>
    <w:rsid w:val="000E341D"/>
    <w:rsid w:val="000E35EC"/>
    <w:rsid w:val="000E4D39"/>
    <w:rsid w:val="000E550A"/>
    <w:rsid w:val="000E562D"/>
    <w:rsid w:val="000E593A"/>
    <w:rsid w:val="000E6EB4"/>
    <w:rsid w:val="000E750C"/>
    <w:rsid w:val="000E7549"/>
    <w:rsid w:val="000F0319"/>
    <w:rsid w:val="000F058A"/>
    <w:rsid w:val="000F081D"/>
    <w:rsid w:val="000F0998"/>
    <w:rsid w:val="000F101F"/>
    <w:rsid w:val="000F184D"/>
    <w:rsid w:val="000F1C6A"/>
    <w:rsid w:val="000F1FDF"/>
    <w:rsid w:val="000F24B8"/>
    <w:rsid w:val="000F2EBE"/>
    <w:rsid w:val="000F31F8"/>
    <w:rsid w:val="000F37C8"/>
    <w:rsid w:val="000F39FE"/>
    <w:rsid w:val="000F43B3"/>
    <w:rsid w:val="000F517F"/>
    <w:rsid w:val="000F5A33"/>
    <w:rsid w:val="000F61CD"/>
    <w:rsid w:val="000F66DF"/>
    <w:rsid w:val="000F7224"/>
    <w:rsid w:val="000F7351"/>
    <w:rsid w:val="000F7515"/>
    <w:rsid w:val="000F77E1"/>
    <w:rsid w:val="001008C4"/>
    <w:rsid w:val="00102896"/>
    <w:rsid w:val="00102D23"/>
    <w:rsid w:val="00102D4E"/>
    <w:rsid w:val="00102F1B"/>
    <w:rsid w:val="00103022"/>
    <w:rsid w:val="00103508"/>
    <w:rsid w:val="00103865"/>
    <w:rsid w:val="001038B8"/>
    <w:rsid w:val="001043D3"/>
    <w:rsid w:val="00104ECB"/>
    <w:rsid w:val="0010653D"/>
    <w:rsid w:val="00106902"/>
    <w:rsid w:val="00107825"/>
    <w:rsid w:val="00107E81"/>
    <w:rsid w:val="001104D5"/>
    <w:rsid w:val="00110976"/>
    <w:rsid w:val="00110C65"/>
    <w:rsid w:val="00110CAC"/>
    <w:rsid w:val="001132D7"/>
    <w:rsid w:val="0011343D"/>
    <w:rsid w:val="00113450"/>
    <w:rsid w:val="00114006"/>
    <w:rsid w:val="001146A2"/>
    <w:rsid w:val="00114B5C"/>
    <w:rsid w:val="00114E78"/>
    <w:rsid w:val="00115596"/>
    <w:rsid w:val="0011614F"/>
    <w:rsid w:val="00117981"/>
    <w:rsid w:val="00117D4F"/>
    <w:rsid w:val="00117DE7"/>
    <w:rsid w:val="00120735"/>
    <w:rsid w:val="00120A61"/>
    <w:rsid w:val="00121964"/>
    <w:rsid w:val="00121A23"/>
    <w:rsid w:val="0012281C"/>
    <w:rsid w:val="00122F07"/>
    <w:rsid w:val="00123118"/>
    <w:rsid w:val="00124045"/>
    <w:rsid w:val="00124559"/>
    <w:rsid w:val="001245D0"/>
    <w:rsid w:val="00124A54"/>
    <w:rsid w:val="00125F8F"/>
    <w:rsid w:val="00127874"/>
    <w:rsid w:val="00127BC3"/>
    <w:rsid w:val="001300B0"/>
    <w:rsid w:val="00130695"/>
    <w:rsid w:val="00130735"/>
    <w:rsid w:val="00130B08"/>
    <w:rsid w:val="00130B27"/>
    <w:rsid w:val="0013192D"/>
    <w:rsid w:val="00131D14"/>
    <w:rsid w:val="0013249D"/>
    <w:rsid w:val="0013278E"/>
    <w:rsid w:val="00132C8A"/>
    <w:rsid w:val="00133052"/>
    <w:rsid w:val="001335EB"/>
    <w:rsid w:val="001336F3"/>
    <w:rsid w:val="00133E5A"/>
    <w:rsid w:val="00133EF5"/>
    <w:rsid w:val="00134111"/>
    <w:rsid w:val="001341EF"/>
    <w:rsid w:val="00134786"/>
    <w:rsid w:val="00135289"/>
    <w:rsid w:val="0013591C"/>
    <w:rsid w:val="00135F46"/>
    <w:rsid w:val="0013644C"/>
    <w:rsid w:val="001369B9"/>
    <w:rsid w:val="00136BA9"/>
    <w:rsid w:val="00137A06"/>
    <w:rsid w:val="00137F8E"/>
    <w:rsid w:val="001407F6"/>
    <w:rsid w:val="00140AFA"/>
    <w:rsid w:val="00140EBC"/>
    <w:rsid w:val="00141313"/>
    <w:rsid w:val="0014174D"/>
    <w:rsid w:val="00142AF5"/>
    <w:rsid w:val="00142EC4"/>
    <w:rsid w:val="00142F5D"/>
    <w:rsid w:val="001437BC"/>
    <w:rsid w:val="0014387D"/>
    <w:rsid w:val="001439A1"/>
    <w:rsid w:val="001443B4"/>
    <w:rsid w:val="00144917"/>
    <w:rsid w:val="00144E82"/>
    <w:rsid w:val="00145702"/>
    <w:rsid w:val="00146C71"/>
    <w:rsid w:val="00146F15"/>
    <w:rsid w:val="001473DE"/>
    <w:rsid w:val="00147404"/>
    <w:rsid w:val="00147422"/>
    <w:rsid w:val="001476F6"/>
    <w:rsid w:val="00147FED"/>
    <w:rsid w:val="00150CE8"/>
    <w:rsid w:val="0015254E"/>
    <w:rsid w:val="0015261C"/>
    <w:rsid w:val="001532D6"/>
    <w:rsid w:val="00153744"/>
    <w:rsid w:val="00153CFB"/>
    <w:rsid w:val="00154AA1"/>
    <w:rsid w:val="00154DE1"/>
    <w:rsid w:val="001556A6"/>
    <w:rsid w:val="0015681B"/>
    <w:rsid w:val="00156AC8"/>
    <w:rsid w:val="001572F8"/>
    <w:rsid w:val="001577D4"/>
    <w:rsid w:val="00157919"/>
    <w:rsid w:val="00157C2D"/>
    <w:rsid w:val="00160032"/>
    <w:rsid w:val="001607C9"/>
    <w:rsid w:val="00161138"/>
    <w:rsid w:val="00161386"/>
    <w:rsid w:val="001615BB"/>
    <w:rsid w:val="00161B01"/>
    <w:rsid w:val="00164956"/>
    <w:rsid w:val="0016508C"/>
    <w:rsid w:val="00165145"/>
    <w:rsid w:val="0016575C"/>
    <w:rsid w:val="001663C1"/>
    <w:rsid w:val="00166538"/>
    <w:rsid w:val="00167093"/>
    <w:rsid w:val="001674F6"/>
    <w:rsid w:val="00170286"/>
    <w:rsid w:val="00170675"/>
    <w:rsid w:val="00170FC8"/>
    <w:rsid w:val="00171379"/>
    <w:rsid w:val="001716D4"/>
    <w:rsid w:val="0017199D"/>
    <w:rsid w:val="00171DB9"/>
    <w:rsid w:val="00171F73"/>
    <w:rsid w:val="00172839"/>
    <w:rsid w:val="00173DC6"/>
    <w:rsid w:val="00174847"/>
    <w:rsid w:val="00174E99"/>
    <w:rsid w:val="0017505D"/>
    <w:rsid w:val="00175943"/>
    <w:rsid w:val="00175CD3"/>
    <w:rsid w:val="00176198"/>
    <w:rsid w:val="001767EB"/>
    <w:rsid w:val="00176D10"/>
    <w:rsid w:val="001775AA"/>
    <w:rsid w:val="001776B2"/>
    <w:rsid w:val="001804C0"/>
    <w:rsid w:val="001806D9"/>
    <w:rsid w:val="001809C5"/>
    <w:rsid w:val="00180F57"/>
    <w:rsid w:val="001815E2"/>
    <w:rsid w:val="00182896"/>
    <w:rsid w:val="00182E3C"/>
    <w:rsid w:val="00182E6C"/>
    <w:rsid w:val="00183FE4"/>
    <w:rsid w:val="00184268"/>
    <w:rsid w:val="00184B5E"/>
    <w:rsid w:val="00185318"/>
    <w:rsid w:val="0018670D"/>
    <w:rsid w:val="0018742B"/>
    <w:rsid w:val="00187DBF"/>
    <w:rsid w:val="00190AB5"/>
    <w:rsid w:val="0019118E"/>
    <w:rsid w:val="00191464"/>
    <w:rsid w:val="00191BE3"/>
    <w:rsid w:val="0019234B"/>
    <w:rsid w:val="00192712"/>
    <w:rsid w:val="00192840"/>
    <w:rsid w:val="00193AF9"/>
    <w:rsid w:val="00194039"/>
    <w:rsid w:val="001940F0"/>
    <w:rsid w:val="0019432E"/>
    <w:rsid w:val="00195069"/>
    <w:rsid w:val="001952E2"/>
    <w:rsid w:val="001959AC"/>
    <w:rsid w:val="00195BAC"/>
    <w:rsid w:val="00195DE0"/>
    <w:rsid w:val="001966CF"/>
    <w:rsid w:val="001968C7"/>
    <w:rsid w:val="00196A2C"/>
    <w:rsid w:val="00196CBA"/>
    <w:rsid w:val="00196DA5"/>
    <w:rsid w:val="00196EE2"/>
    <w:rsid w:val="0019726E"/>
    <w:rsid w:val="001979DC"/>
    <w:rsid w:val="00197AFC"/>
    <w:rsid w:val="00197FDA"/>
    <w:rsid w:val="001A15AC"/>
    <w:rsid w:val="001A1E0D"/>
    <w:rsid w:val="001A270D"/>
    <w:rsid w:val="001A2A69"/>
    <w:rsid w:val="001A2D26"/>
    <w:rsid w:val="001A31F0"/>
    <w:rsid w:val="001A3473"/>
    <w:rsid w:val="001A3D70"/>
    <w:rsid w:val="001A41E1"/>
    <w:rsid w:val="001A4A33"/>
    <w:rsid w:val="001A4A4C"/>
    <w:rsid w:val="001A562A"/>
    <w:rsid w:val="001A5AB0"/>
    <w:rsid w:val="001A5CB2"/>
    <w:rsid w:val="001A5D24"/>
    <w:rsid w:val="001A6086"/>
    <w:rsid w:val="001A63E8"/>
    <w:rsid w:val="001A6760"/>
    <w:rsid w:val="001A67A2"/>
    <w:rsid w:val="001A6F10"/>
    <w:rsid w:val="001A75E3"/>
    <w:rsid w:val="001B037C"/>
    <w:rsid w:val="001B0571"/>
    <w:rsid w:val="001B0B41"/>
    <w:rsid w:val="001B1196"/>
    <w:rsid w:val="001B27B1"/>
    <w:rsid w:val="001B2B32"/>
    <w:rsid w:val="001B2D3E"/>
    <w:rsid w:val="001B2D72"/>
    <w:rsid w:val="001B2DC3"/>
    <w:rsid w:val="001B2F8B"/>
    <w:rsid w:val="001B3052"/>
    <w:rsid w:val="001B3359"/>
    <w:rsid w:val="001B3594"/>
    <w:rsid w:val="001B3977"/>
    <w:rsid w:val="001B3A03"/>
    <w:rsid w:val="001B3D62"/>
    <w:rsid w:val="001B4173"/>
    <w:rsid w:val="001B5B3D"/>
    <w:rsid w:val="001B6342"/>
    <w:rsid w:val="001B644D"/>
    <w:rsid w:val="001B7250"/>
    <w:rsid w:val="001B73E3"/>
    <w:rsid w:val="001B7C15"/>
    <w:rsid w:val="001C0768"/>
    <w:rsid w:val="001C0C7F"/>
    <w:rsid w:val="001C184C"/>
    <w:rsid w:val="001C1A73"/>
    <w:rsid w:val="001C21AF"/>
    <w:rsid w:val="001C21CB"/>
    <w:rsid w:val="001C2305"/>
    <w:rsid w:val="001C2E72"/>
    <w:rsid w:val="001C3392"/>
    <w:rsid w:val="001C3788"/>
    <w:rsid w:val="001C489F"/>
    <w:rsid w:val="001C4E00"/>
    <w:rsid w:val="001C4FCD"/>
    <w:rsid w:val="001C54FA"/>
    <w:rsid w:val="001C575C"/>
    <w:rsid w:val="001C631A"/>
    <w:rsid w:val="001C642F"/>
    <w:rsid w:val="001C6AD2"/>
    <w:rsid w:val="001C6F4E"/>
    <w:rsid w:val="001C73F7"/>
    <w:rsid w:val="001C76DF"/>
    <w:rsid w:val="001C7C68"/>
    <w:rsid w:val="001D07AE"/>
    <w:rsid w:val="001D0A5D"/>
    <w:rsid w:val="001D1F4E"/>
    <w:rsid w:val="001D248A"/>
    <w:rsid w:val="001D2BF6"/>
    <w:rsid w:val="001D2C25"/>
    <w:rsid w:val="001D2F10"/>
    <w:rsid w:val="001D34B9"/>
    <w:rsid w:val="001D38A4"/>
    <w:rsid w:val="001D3CF2"/>
    <w:rsid w:val="001D488C"/>
    <w:rsid w:val="001D52E2"/>
    <w:rsid w:val="001D5E7C"/>
    <w:rsid w:val="001D7DD9"/>
    <w:rsid w:val="001D7EBF"/>
    <w:rsid w:val="001E0305"/>
    <w:rsid w:val="001E0528"/>
    <w:rsid w:val="001E0960"/>
    <w:rsid w:val="001E0968"/>
    <w:rsid w:val="001E101C"/>
    <w:rsid w:val="001E11EE"/>
    <w:rsid w:val="001E1B02"/>
    <w:rsid w:val="001E204F"/>
    <w:rsid w:val="001E2CEE"/>
    <w:rsid w:val="001E30BC"/>
    <w:rsid w:val="001E3368"/>
    <w:rsid w:val="001E38DF"/>
    <w:rsid w:val="001E3F33"/>
    <w:rsid w:val="001E42A9"/>
    <w:rsid w:val="001E4824"/>
    <w:rsid w:val="001E4B18"/>
    <w:rsid w:val="001E637E"/>
    <w:rsid w:val="001E647F"/>
    <w:rsid w:val="001E6B25"/>
    <w:rsid w:val="001E6E6A"/>
    <w:rsid w:val="001E6F77"/>
    <w:rsid w:val="001F044A"/>
    <w:rsid w:val="001F0684"/>
    <w:rsid w:val="001F09D9"/>
    <w:rsid w:val="001F09F6"/>
    <w:rsid w:val="001F0C8C"/>
    <w:rsid w:val="001F1C33"/>
    <w:rsid w:val="001F26FE"/>
    <w:rsid w:val="001F2A78"/>
    <w:rsid w:val="001F2DF3"/>
    <w:rsid w:val="001F2F8D"/>
    <w:rsid w:val="001F3661"/>
    <w:rsid w:val="001F373E"/>
    <w:rsid w:val="001F4338"/>
    <w:rsid w:val="001F43D4"/>
    <w:rsid w:val="001F50EC"/>
    <w:rsid w:val="001F5232"/>
    <w:rsid w:val="001F5AF2"/>
    <w:rsid w:val="001F5EE6"/>
    <w:rsid w:val="001F722C"/>
    <w:rsid w:val="001F78AE"/>
    <w:rsid w:val="00200525"/>
    <w:rsid w:val="0020067A"/>
    <w:rsid w:val="0020088C"/>
    <w:rsid w:val="00201539"/>
    <w:rsid w:val="00201A33"/>
    <w:rsid w:val="00201E6E"/>
    <w:rsid w:val="00202462"/>
    <w:rsid w:val="00202531"/>
    <w:rsid w:val="002030C6"/>
    <w:rsid w:val="00203355"/>
    <w:rsid w:val="00203F60"/>
    <w:rsid w:val="00204052"/>
    <w:rsid w:val="0020416D"/>
    <w:rsid w:val="002044EA"/>
    <w:rsid w:val="0020493C"/>
    <w:rsid w:val="00204A33"/>
    <w:rsid w:val="002052B0"/>
    <w:rsid w:val="002052D8"/>
    <w:rsid w:val="00205B2F"/>
    <w:rsid w:val="00205D7E"/>
    <w:rsid w:val="00206528"/>
    <w:rsid w:val="00206E71"/>
    <w:rsid w:val="00206EC9"/>
    <w:rsid w:val="002070DF"/>
    <w:rsid w:val="00207528"/>
    <w:rsid w:val="0021019F"/>
    <w:rsid w:val="00210227"/>
    <w:rsid w:val="0021026C"/>
    <w:rsid w:val="00210328"/>
    <w:rsid w:val="002104D7"/>
    <w:rsid w:val="00210C28"/>
    <w:rsid w:val="0021129D"/>
    <w:rsid w:val="0021133E"/>
    <w:rsid w:val="0021145F"/>
    <w:rsid w:val="00212133"/>
    <w:rsid w:val="002124B4"/>
    <w:rsid w:val="002129C0"/>
    <w:rsid w:val="00213788"/>
    <w:rsid w:val="002146BA"/>
    <w:rsid w:val="00214B7A"/>
    <w:rsid w:val="00214D04"/>
    <w:rsid w:val="0021521A"/>
    <w:rsid w:val="002152A4"/>
    <w:rsid w:val="00216BE9"/>
    <w:rsid w:val="0021764C"/>
    <w:rsid w:val="00217A90"/>
    <w:rsid w:val="00217C89"/>
    <w:rsid w:val="00217D35"/>
    <w:rsid w:val="00217EB9"/>
    <w:rsid w:val="0022038B"/>
    <w:rsid w:val="002204CC"/>
    <w:rsid w:val="00220F1C"/>
    <w:rsid w:val="00221332"/>
    <w:rsid w:val="00221DC3"/>
    <w:rsid w:val="00221F62"/>
    <w:rsid w:val="002221BC"/>
    <w:rsid w:val="00223283"/>
    <w:rsid w:val="00223A01"/>
    <w:rsid w:val="00224F11"/>
    <w:rsid w:val="002254AD"/>
    <w:rsid w:val="00225D68"/>
    <w:rsid w:val="0022617D"/>
    <w:rsid w:val="0022621E"/>
    <w:rsid w:val="00226304"/>
    <w:rsid w:val="002264B0"/>
    <w:rsid w:val="00226824"/>
    <w:rsid w:val="00226BFB"/>
    <w:rsid w:val="00226F47"/>
    <w:rsid w:val="002274CF"/>
    <w:rsid w:val="002309B3"/>
    <w:rsid w:val="00230FB6"/>
    <w:rsid w:val="002311F1"/>
    <w:rsid w:val="00231B1B"/>
    <w:rsid w:val="00231D89"/>
    <w:rsid w:val="00231F77"/>
    <w:rsid w:val="00232329"/>
    <w:rsid w:val="00232458"/>
    <w:rsid w:val="00232992"/>
    <w:rsid w:val="002334A7"/>
    <w:rsid w:val="00233667"/>
    <w:rsid w:val="0023377D"/>
    <w:rsid w:val="00233814"/>
    <w:rsid w:val="00233A18"/>
    <w:rsid w:val="00233BC0"/>
    <w:rsid w:val="00234173"/>
    <w:rsid w:val="00234B7C"/>
    <w:rsid w:val="00234F79"/>
    <w:rsid w:val="00235030"/>
    <w:rsid w:val="002352DA"/>
    <w:rsid w:val="00235E1E"/>
    <w:rsid w:val="00236199"/>
    <w:rsid w:val="00237063"/>
    <w:rsid w:val="00237715"/>
    <w:rsid w:val="00237E66"/>
    <w:rsid w:val="00240A27"/>
    <w:rsid w:val="00240D58"/>
    <w:rsid w:val="00240E82"/>
    <w:rsid w:val="00240E9E"/>
    <w:rsid w:val="00240FF8"/>
    <w:rsid w:val="0024112E"/>
    <w:rsid w:val="00241320"/>
    <w:rsid w:val="0024141F"/>
    <w:rsid w:val="0024155A"/>
    <w:rsid w:val="002415C3"/>
    <w:rsid w:val="00241798"/>
    <w:rsid w:val="0024256A"/>
    <w:rsid w:val="00242CF6"/>
    <w:rsid w:val="002432A9"/>
    <w:rsid w:val="002434FD"/>
    <w:rsid w:val="00243924"/>
    <w:rsid w:val="002448F1"/>
    <w:rsid w:val="002449B5"/>
    <w:rsid w:val="00244A17"/>
    <w:rsid w:val="00244B5A"/>
    <w:rsid w:val="00244BF6"/>
    <w:rsid w:val="00244DCD"/>
    <w:rsid w:val="00245766"/>
    <w:rsid w:val="002460A6"/>
    <w:rsid w:val="00246A83"/>
    <w:rsid w:val="00246C4C"/>
    <w:rsid w:val="0024723D"/>
    <w:rsid w:val="002472BC"/>
    <w:rsid w:val="00250494"/>
    <w:rsid w:val="00250F5E"/>
    <w:rsid w:val="002516F9"/>
    <w:rsid w:val="0025380A"/>
    <w:rsid w:val="00253C39"/>
    <w:rsid w:val="00254316"/>
    <w:rsid w:val="00254817"/>
    <w:rsid w:val="00255070"/>
    <w:rsid w:val="00256688"/>
    <w:rsid w:val="00256971"/>
    <w:rsid w:val="0025708A"/>
    <w:rsid w:val="00257151"/>
    <w:rsid w:val="00257896"/>
    <w:rsid w:val="00260431"/>
    <w:rsid w:val="00260CFB"/>
    <w:rsid w:val="00260D0F"/>
    <w:rsid w:val="00260DB1"/>
    <w:rsid w:val="00261774"/>
    <w:rsid w:val="002621CB"/>
    <w:rsid w:val="0026259D"/>
    <w:rsid w:val="00262E2F"/>
    <w:rsid w:val="00263421"/>
    <w:rsid w:val="002635E0"/>
    <w:rsid w:val="002638E4"/>
    <w:rsid w:val="00263D8D"/>
    <w:rsid w:val="0026443F"/>
    <w:rsid w:val="002646BE"/>
    <w:rsid w:val="002649CA"/>
    <w:rsid w:val="00264D29"/>
    <w:rsid w:val="00264DE9"/>
    <w:rsid w:val="00265192"/>
    <w:rsid w:val="002655C9"/>
    <w:rsid w:val="002655D6"/>
    <w:rsid w:val="00265691"/>
    <w:rsid w:val="00265878"/>
    <w:rsid w:val="00265C65"/>
    <w:rsid w:val="00265D49"/>
    <w:rsid w:val="00266DC8"/>
    <w:rsid w:val="00266F02"/>
    <w:rsid w:val="00267581"/>
    <w:rsid w:val="002675CC"/>
    <w:rsid w:val="002678EB"/>
    <w:rsid w:val="00270650"/>
    <w:rsid w:val="00270D65"/>
    <w:rsid w:val="00271241"/>
    <w:rsid w:val="0027198B"/>
    <w:rsid w:val="00272542"/>
    <w:rsid w:val="00272B9A"/>
    <w:rsid w:val="00273D30"/>
    <w:rsid w:val="0027450A"/>
    <w:rsid w:val="00274E2B"/>
    <w:rsid w:val="00275102"/>
    <w:rsid w:val="00275AAA"/>
    <w:rsid w:val="002760E9"/>
    <w:rsid w:val="00280950"/>
    <w:rsid w:val="00280B8E"/>
    <w:rsid w:val="00281844"/>
    <w:rsid w:val="002819E0"/>
    <w:rsid w:val="00281E63"/>
    <w:rsid w:val="002831E2"/>
    <w:rsid w:val="002832F4"/>
    <w:rsid w:val="00283352"/>
    <w:rsid w:val="00283782"/>
    <w:rsid w:val="00283D24"/>
    <w:rsid w:val="002841E2"/>
    <w:rsid w:val="002842D1"/>
    <w:rsid w:val="00284F7F"/>
    <w:rsid w:val="0028502C"/>
    <w:rsid w:val="00285E23"/>
    <w:rsid w:val="00287EBA"/>
    <w:rsid w:val="00290FDE"/>
    <w:rsid w:val="00291724"/>
    <w:rsid w:val="00292261"/>
    <w:rsid w:val="00293143"/>
    <w:rsid w:val="00293320"/>
    <w:rsid w:val="00294058"/>
    <w:rsid w:val="00294245"/>
    <w:rsid w:val="00294555"/>
    <w:rsid w:val="00294DE8"/>
    <w:rsid w:val="00296C33"/>
    <w:rsid w:val="00296D6F"/>
    <w:rsid w:val="002972E1"/>
    <w:rsid w:val="002974D9"/>
    <w:rsid w:val="00297D8B"/>
    <w:rsid w:val="002A0596"/>
    <w:rsid w:val="002A16FC"/>
    <w:rsid w:val="002A18C9"/>
    <w:rsid w:val="002A27F3"/>
    <w:rsid w:val="002A318B"/>
    <w:rsid w:val="002A3283"/>
    <w:rsid w:val="002A3558"/>
    <w:rsid w:val="002A3D52"/>
    <w:rsid w:val="002A4017"/>
    <w:rsid w:val="002A456A"/>
    <w:rsid w:val="002A509C"/>
    <w:rsid w:val="002A5322"/>
    <w:rsid w:val="002A61CE"/>
    <w:rsid w:val="002A6287"/>
    <w:rsid w:val="002A6992"/>
    <w:rsid w:val="002A6FB7"/>
    <w:rsid w:val="002A7496"/>
    <w:rsid w:val="002A7537"/>
    <w:rsid w:val="002A7E6F"/>
    <w:rsid w:val="002B048E"/>
    <w:rsid w:val="002B0BD6"/>
    <w:rsid w:val="002B0EAC"/>
    <w:rsid w:val="002B19B6"/>
    <w:rsid w:val="002B1ECA"/>
    <w:rsid w:val="002B2285"/>
    <w:rsid w:val="002B31CD"/>
    <w:rsid w:val="002B3521"/>
    <w:rsid w:val="002B4127"/>
    <w:rsid w:val="002B490C"/>
    <w:rsid w:val="002B4FB9"/>
    <w:rsid w:val="002B500D"/>
    <w:rsid w:val="002B540E"/>
    <w:rsid w:val="002B558A"/>
    <w:rsid w:val="002B68D8"/>
    <w:rsid w:val="002B6BDA"/>
    <w:rsid w:val="002B734C"/>
    <w:rsid w:val="002B75A8"/>
    <w:rsid w:val="002B7FAE"/>
    <w:rsid w:val="002C0166"/>
    <w:rsid w:val="002C01BE"/>
    <w:rsid w:val="002C01CB"/>
    <w:rsid w:val="002C04B4"/>
    <w:rsid w:val="002C0D41"/>
    <w:rsid w:val="002C1826"/>
    <w:rsid w:val="002C19BC"/>
    <w:rsid w:val="002C2061"/>
    <w:rsid w:val="002C20ED"/>
    <w:rsid w:val="002C2958"/>
    <w:rsid w:val="002C30C7"/>
    <w:rsid w:val="002C3465"/>
    <w:rsid w:val="002C35BC"/>
    <w:rsid w:val="002C4701"/>
    <w:rsid w:val="002C498A"/>
    <w:rsid w:val="002C4A03"/>
    <w:rsid w:val="002C4B1F"/>
    <w:rsid w:val="002C50E0"/>
    <w:rsid w:val="002C534E"/>
    <w:rsid w:val="002C5C17"/>
    <w:rsid w:val="002C5F7E"/>
    <w:rsid w:val="002C6E85"/>
    <w:rsid w:val="002C76DB"/>
    <w:rsid w:val="002C7A59"/>
    <w:rsid w:val="002C7D12"/>
    <w:rsid w:val="002C7FA3"/>
    <w:rsid w:val="002D0378"/>
    <w:rsid w:val="002D118F"/>
    <w:rsid w:val="002D28D0"/>
    <w:rsid w:val="002D31C6"/>
    <w:rsid w:val="002D33F7"/>
    <w:rsid w:val="002D3E5C"/>
    <w:rsid w:val="002D4131"/>
    <w:rsid w:val="002D44F8"/>
    <w:rsid w:val="002D4500"/>
    <w:rsid w:val="002D5072"/>
    <w:rsid w:val="002D56D7"/>
    <w:rsid w:val="002D603E"/>
    <w:rsid w:val="002D694A"/>
    <w:rsid w:val="002D7248"/>
    <w:rsid w:val="002E00DA"/>
    <w:rsid w:val="002E06FC"/>
    <w:rsid w:val="002E2287"/>
    <w:rsid w:val="002E2453"/>
    <w:rsid w:val="002E24D8"/>
    <w:rsid w:val="002E2AB6"/>
    <w:rsid w:val="002E2C36"/>
    <w:rsid w:val="002E2E64"/>
    <w:rsid w:val="002E39E0"/>
    <w:rsid w:val="002E3F11"/>
    <w:rsid w:val="002E4E00"/>
    <w:rsid w:val="002E5395"/>
    <w:rsid w:val="002E5996"/>
    <w:rsid w:val="002E7868"/>
    <w:rsid w:val="002E7EE0"/>
    <w:rsid w:val="002F0AA7"/>
    <w:rsid w:val="002F0C47"/>
    <w:rsid w:val="002F1BC0"/>
    <w:rsid w:val="002F201A"/>
    <w:rsid w:val="002F2149"/>
    <w:rsid w:val="002F2426"/>
    <w:rsid w:val="002F242B"/>
    <w:rsid w:val="002F29B6"/>
    <w:rsid w:val="002F2C74"/>
    <w:rsid w:val="002F36A1"/>
    <w:rsid w:val="002F36BC"/>
    <w:rsid w:val="002F3709"/>
    <w:rsid w:val="002F41C9"/>
    <w:rsid w:val="002F48A9"/>
    <w:rsid w:val="002F4A68"/>
    <w:rsid w:val="002F5627"/>
    <w:rsid w:val="002F5A8A"/>
    <w:rsid w:val="002F6062"/>
    <w:rsid w:val="002F6519"/>
    <w:rsid w:val="002F664A"/>
    <w:rsid w:val="002F6E0E"/>
    <w:rsid w:val="002F7611"/>
    <w:rsid w:val="002F7882"/>
    <w:rsid w:val="002F78BD"/>
    <w:rsid w:val="002F7AB3"/>
    <w:rsid w:val="0030046C"/>
    <w:rsid w:val="00300FC3"/>
    <w:rsid w:val="00301367"/>
    <w:rsid w:val="00301782"/>
    <w:rsid w:val="00301C0F"/>
    <w:rsid w:val="00301C22"/>
    <w:rsid w:val="003039C3"/>
    <w:rsid w:val="00303DA1"/>
    <w:rsid w:val="003043F0"/>
    <w:rsid w:val="0030469E"/>
    <w:rsid w:val="00304F19"/>
    <w:rsid w:val="00305BA0"/>
    <w:rsid w:val="00306DE4"/>
    <w:rsid w:val="00306EFA"/>
    <w:rsid w:val="00307169"/>
    <w:rsid w:val="0031028E"/>
    <w:rsid w:val="003105F9"/>
    <w:rsid w:val="0031117B"/>
    <w:rsid w:val="00312356"/>
    <w:rsid w:val="003127F8"/>
    <w:rsid w:val="003128F2"/>
    <w:rsid w:val="0031347F"/>
    <w:rsid w:val="0031373D"/>
    <w:rsid w:val="00313B31"/>
    <w:rsid w:val="00314609"/>
    <w:rsid w:val="003162FB"/>
    <w:rsid w:val="0031649A"/>
    <w:rsid w:val="00316CA2"/>
    <w:rsid w:val="0031700A"/>
    <w:rsid w:val="003171EB"/>
    <w:rsid w:val="00317A94"/>
    <w:rsid w:val="0032002D"/>
    <w:rsid w:val="00320C26"/>
    <w:rsid w:val="0032123D"/>
    <w:rsid w:val="00321884"/>
    <w:rsid w:val="00321C0C"/>
    <w:rsid w:val="00321D18"/>
    <w:rsid w:val="00322CCD"/>
    <w:rsid w:val="003232D0"/>
    <w:rsid w:val="003236A3"/>
    <w:rsid w:val="003238E3"/>
    <w:rsid w:val="00323A75"/>
    <w:rsid w:val="00323ABD"/>
    <w:rsid w:val="00323B09"/>
    <w:rsid w:val="00324D38"/>
    <w:rsid w:val="00324D8C"/>
    <w:rsid w:val="0032508E"/>
    <w:rsid w:val="003251B9"/>
    <w:rsid w:val="003257CA"/>
    <w:rsid w:val="0032598E"/>
    <w:rsid w:val="00325BF8"/>
    <w:rsid w:val="00325C05"/>
    <w:rsid w:val="0032655C"/>
    <w:rsid w:val="00326A13"/>
    <w:rsid w:val="00326A16"/>
    <w:rsid w:val="00327822"/>
    <w:rsid w:val="00327925"/>
    <w:rsid w:val="00327A9B"/>
    <w:rsid w:val="0033133E"/>
    <w:rsid w:val="00331757"/>
    <w:rsid w:val="00331E29"/>
    <w:rsid w:val="0033258A"/>
    <w:rsid w:val="00332ABE"/>
    <w:rsid w:val="00332C68"/>
    <w:rsid w:val="003332C5"/>
    <w:rsid w:val="00333A4F"/>
    <w:rsid w:val="00333F2B"/>
    <w:rsid w:val="003345AA"/>
    <w:rsid w:val="00334637"/>
    <w:rsid w:val="00334DCC"/>
    <w:rsid w:val="00335520"/>
    <w:rsid w:val="00335540"/>
    <w:rsid w:val="00335FEB"/>
    <w:rsid w:val="0033679C"/>
    <w:rsid w:val="003404E7"/>
    <w:rsid w:val="00340AA4"/>
    <w:rsid w:val="00340CC3"/>
    <w:rsid w:val="00340F5F"/>
    <w:rsid w:val="00341688"/>
    <w:rsid w:val="00341951"/>
    <w:rsid w:val="00342732"/>
    <w:rsid w:val="003429FB"/>
    <w:rsid w:val="00345088"/>
    <w:rsid w:val="003453BF"/>
    <w:rsid w:val="00345C77"/>
    <w:rsid w:val="00346954"/>
    <w:rsid w:val="0034760F"/>
    <w:rsid w:val="0034782A"/>
    <w:rsid w:val="00347C69"/>
    <w:rsid w:val="00347FC1"/>
    <w:rsid w:val="00350078"/>
    <w:rsid w:val="003502F5"/>
    <w:rsid w:val="003503C4"/>
    <w:rsid w:val="0035061E"/>
    <w:rsid w:val="003508F2"/>
    <w:rsid w:val="00351418"/>
    <w:rsid w:val="00351426"/>
    <w:rsid w:val="0035155A"/>
    <w:rsid w:val="0035186D"/>
    <w:rsid w:val="00351F2A"/>
    <w:rsid w:val="00352B83"/>
    <w:rsid w:val="003533B9"/>
    <w:rsid w:val="00354512"/>
    <w:rsid w:val="00354E4F"/>
    <w:rsid w:val="00355B42"/>
    <w:rsid w:val="0035602A"/>
    <w:rsid w:val="00356B92"/>
    <w:rsid w:val="003573CC"/>
    <w:rsid w:val="00357D0B"/>
    <w:rsid w:val="00357D24"/>
    <w:rsid w:val="00361A7E"/>
    <w:rsid w:val="00361D26"/>
    <w:rsid w:val="00362027"/>
    <w:rsid w:val="003622C7"/>
    <w:rsid w:val="003633B6"/>
    <w:rsid w:val="003644F0"/>
    <w:rsid w:val="00364922"/>
    <w:rsid w:val="003649AB"/>
    <w:rsid w:val="00364F25"/>
    <w:rsid w:val="003657AD"/>
    <w:rsid w:val="00365A7B"/>
    <w:rsid w:val="003660E6"/>
    <w:rsid w:val="003665CD"/>
    <w:rsid w:val="00366B1E"/>
    <w:rsid w:val="003675D6"/>
    <w:rsid w:val="00370362"/>
    <w:rsid w:val="003708BF"/>
    <w:rsid w:val="00370B8A"/>
    <w:rsid w:val="00371247"/>
    <w:rsid w:val="00371447"/>
    <w:rsid w:val="003716DD"/>
    <w:rsid w:val="00371B07"/>
    <w:rsid w:val="00371CB8"/>
    <w:rsid w:val="00371E2D"/>
    <w:rsid w:val="00372474"/>
    <w:rsid w:val="0037267D"/>
    <w:rsid w:val="003726FF"/>
    <w:rsid w:val="00373A44"/>
    <w:rsid w:val="00373E1F"/>
    <w:rsid w:val="00373E9E"/>
    <w:rsid w:val="003744E0"/>
    <w:rsid w:val="0037509D"/>
    <w:rsid w:val="003779F3"/>
    <w:rsid w:val="00377A1D"/>
    <w:rsid w:val="00377DAC"/>
    <w:rsid w:val="0038012B"/>
    <w:rsid w:val="00380888"/>
    <w:rsid w:val="00380FB2"/>
    <w:rsid w:val="00381F6D"/>
    <w:rsid w:val="003820C4"/>
    <w:rsid w:val="00382276"/>
    <w:rsid w:val="003824E4"/>
    <w:rsid w:val="00383292"/>
    <w:rsid w:val="00383381"/>
    <w:rsid w:val="0038350B"/>
    <w:rsid w:val="00383949"/>
    <w:rsid w:val="00384B2C"/>
    <w:rsid w:val="00385B78"/>
    <w:rsid w:val="00385DE1"/>
    <w:rsid w:val="00386681"/>
    <w:rsid w:val="00387D1A"/>
    <w:rsid w:val="0039016F"/>
    <w:rsid w:val="00390A97"/>
    <w:rsid w:val="00390B03"/>
    <w:rsid w:val="00390C5B"/>
    <w:rsid w:val="00390F5E"/>
    <w:rsid w:val="00391E37"/>
    <w:rsid w:val="0039221C"/>
    <w:rsid w:val="00392AB9"/>
    <w:rsid w:val="00392DF3"/>
    <w:rsid w:val="00393483"/>
    <w:rsid w:val="003939A2"/>
    <w:rsid w:val="00393A78"/>
    <w:rsid w:val="00393B7C"/>
    <w:rsid w:val="00394808"/>
    <w:rsid w:val="00394B82"/>
    <w:rsid w:val="00394C78"/>
    <w:rsid w:val="00395A33"/>
    <w:rsid w:val="00395BC4"/>
    <w:rsid w:val="00395C3D"/>
    <w:rsid w:val="00395E2E"/>
    <w:rsid w:val="00395F34"/>
    <w:rsid w:val="00395FBE"/>
    <w:rsid w:val="003970DB"/>
    <w:rsid w:val="0039749E"/>
    <w:rsid w:val="003A080E"/>
    <w:rsid w:val="003A098F"/>
    <w:rsid w:val="003A1268"/>
    <w:rsid w:val="003A1C0D"/>
    <w:rsid w:val="003A2FE2"/>
    <w:rsid w:val="003A34AE"/>
    <w:rsid w:val="003A3BE5"/>
    <w:rsid w:val="003A499D"/>
    <w:rsid w:val="003A4B4D"/>
    <w:rsid w:val="003A4CFF"/>
    <w:rsid w:val="003A4D2D"/>
    <w:rsid w:val="003A4D30"/>
    <w:rsid w:val="003A5564"/>
    <w:rsid w:val="003A5D9E"/>
    <w:rsid w:val="003A6158"/>
    <w:rsid w:val="003A644D"/>
    <w:rsid w:val="003A6791"/>
    <w:rsid w:val="003A69FD"/>
    <w:rsid w:val="003A6BEB"/>
    <w:rsid w:val="003A7151"/>
    <w:rsid w:val="003A72A8"/>
    <w:rsid w:val="003B0B74"/>
    <w:rsid w:val="003B114C"/>
    <w:rsid w:val="003B23A6"/>
    <w:rsid w:val="003B2A4D"/>
    <w:rsid w:val="003B379E"/>
    <w:rsid w:val="003B3DB9"/>
    <w:rsid w:val="003B4472"/>
    <w:rsid w:val="003B4E23"/>
    <w:rsid w:val="003B57A0"/>
    <w:rsid w:val="003B58CC"/>
    <w:rsid w:val="003B5948"/>
    <w:rsid w:val="003B59BF"/>
    <w:rsid w:val="003B5A6D"/>
    <w:rsid w:val="003B5CFE"/>
    <w:rsid w:val="003B7386"/>
    <w:rsid w:val="003B7543"/>
    <w:rsid w:val="003B777A"/>
    <w:rsid w:val="003C0C01"/>
    <w:rsid w:val="003C1BAA"/>
    <w:rsid w:val="003C1D89"/>
    <w:rsid w:val="003C1E61"/>
    <w:rsid w:val="003C2892"/>
    <w:rsid w:val="003C2D81"/>
    <w:rsid w:val="003C32EE"/>
    <w:rsid w:val="003C343F"/>
    <w:rsid w:val="003C3B3B"/>
    <w:rsid w:val="003C44CC"/>
    <w:rsid w:val="003C452F"/>
    <w:rsid w:val="003C49DF"/>
    <w:rsid w:val="003C4BBB"/>
    <w:rsid w:val="003C4DA9"/>
    <w:rsid w:val="003C4F45"/>
    <w:rsid w:val="003C5605"/>
    <w:rsid w:val="003C59AB"/>
    <w:rsid w:val="003C5C3E"/>
    <w:rsid w:val="003C5D9F"/>
    <w:rsid w:val="003C72E0"/>
    <w:rsid w:val="003C7504"/>
    <w:rsid w:val="003C79FB"/>
    <w:rsid w:val="003C7FAB"/>
    <w:rsid w:val="003D00FD"/>
    <w:rsid w:val="003D06D4"/>
    <w:rsid w:val="003D1111"/>
    <w:rsid w:val="003D1421"/>
    <w:rsid w:val="003D14D2"/>
    <w:rsid w:val="003D1DEE"/>
    <w:rsid w:val="003D1FE2"/>
    <w:rsid w:val="003D2685"/>
    <w:rsid w:val="003D2C7F"/>
    <w:rsid w:val="003D2D57"/>
    <w:rsid w:val="003D35A1"/>
    <w:rsid w:val="003D3A87"/>
    <w:rsid w:val="003D4503"/>
    <w:rsid w:val="003D4824"/>
    <w:rsid w:val="003D4896"/>
    <w:rsid w:val="003D59F5"/>
    <w:rsid w:val="003D5C25"/>
    <w:rsid w:val="003D5C93"/>
    <w:rsid w:val="003D5CBE"/>
    <w:rsid w:val="003D64AA"/>
    <w:rsid w:val="003D686F"/>
    <w:rsid w:val="003D6CEE"/>
    <w:rsid w:val="003D7158"/>
    <w:rsid w:val="003D7AC5"/>
    <w:rsid w:val="003D7C75"/>
    <w:rsid w:val="003D7E7D"/>
    <w:rsid w:val="003E0184"/>
    <w:rsid w:val="003E05CC"/>
    <w:rsid w:val="003E069A"/>
    <w:rsid w:val="003E070B"/>
    <w:rsid w:val="003E0AF3"/>
    <w:rsid w:val="003E1765"/>
    <w:rsid w:val="003E1E1E"/>
    <w:rsid w:val="003E2526"/>
    <w:rsid w:val="003E2728"/>
    <w:rsid w:val="003E284A"/>
    <w:rsid w:val="003E2BE9"/>
    <w:rsid w:val="003E2DCB"/>
    <w:rsid w:val="003E3108"/>
    <w:rsid w:val="003E336E"/>
    <w:rsid w:val="003E352A"/>
    <w:rsid w:val="003E3573"/>
    <w:rsid w:val="003E43B9"/>
    <w:rsid w:val="003E492F"/>
    <w:rsid w:val="003E49CC"/>
    <w:rsid w:val="003E4E39"/>
    <w:rsid w:val="003E529B"/>
    <w:rsid w:val="003E58E2"/>
    <w:rsid w:val="003E5ECB"/>
    <w:rsid w:val="003E625F"/>
    <w:rsid w:val="003E6434"/>
    <w:rsid w:val="003E6641"/>
    <w:rsid w:val="003E68D7"/>
    <w:rsid w:val="003E6A1B"/>
    <w:rsid w:val="003E7BF9"/>
    <w:rsid w:val="003F002A"/>
    <w:rsid w:val="003F0746"/>
    <w:rsid w:val="003F0994"/>
    <w:rsid w:val="003F21D0"/>
    <w:rsid w:val="003F22E7"/>
    <w:rsid w:val="003F24FA"/>
    <w:rsid w:val="003F277D"/>
    <w:rsid w:val="003F3269"/>
    <w:rsid w:val="003F4045"/>
    <w:rsid w:val="003F4459"/>
    <w:rsid w:val="003F4C47"/>
    <w:rsid w:val="003F58A1"/>
    <w:rsid w:val="003F6083"/>
    <w:rsid w:val="003F61C0"/>
    <w:rsid w:val="003F67BF"/>
    <w:rsid w:val="003F6A43"/>
    <w:rsid w:val="003F6FFF"/>
    <w:rsid w:val="003F71E6"/>
    <w:rsid w:val="003F7EF1"/>
    <w:rsid w:val="00400666"/>
    <w:rsid w:val="00400B8D"/>
    <w:rsid w:val="00400D18"/>
    <w:rsid w:val="0040186F"/>
    <w:rsid w:val="00402812"/>
    <w:rsid w:val="0040281A"/>
    <w:rsid w:val="00402AD3"/>
    <w:rsid w:val="00402E87"/>
    <w:rsid w:val="0040322E"/>
    <w:rsid w:val="004040B2"/>
    <w:rsid w:val="004045D8"/>
    <w:rsid w:val="00404E41"/>
    <w:rsid w:val="00405ED8"/>
    <w:rsid w:val="00405F11"/>
    <w:rsid w:val="0040665C"/>
    <w:rsid w:val="00406C4A"/>
    <w:rsid w:val="00406DBF"/>
    <w:rsid w:val="004077A2"/>
    <w:rsid w:val="00407A73"/>
    <w:rsid w:val="00407D0F"/>
    <w:rsid w:val="00410826"/>
    <w:rsid w:val="00411281"/>
    <w:rsid w:val="004114FF"/>
    <w:rsid w:val="00411633"/>
    <w:rsid w:val="00411853"/>
    <w:rsid w:val="00412EE5"/>
    <w:rsid w:val="00412F1F"/>
    <w:rsid w:val="00413CFA"/>
    <w:rsid w:val="00413EFE"/>
    <w:rsid w:val="00414169"/>
    <w:rsid w:val="004150A9"/>
    <w:rsid w:val="004154EF"/>
    <w:rsid w:val="00416635"/>
    <w:rsid w:val="0041720F"/>
    <w:rsid w:val="004176BC"/>
    <w:rsid w:val="00417A14"/>
    <w:rsid w:val="004206B4"/>
    <w:rsid w:val="00420897"/>
    <w:rsid w:val="004209C2"/>
    <w:rsid w:val="00421335"/>
    <w:rsid w:val="004213D3"/>
    <w:rsid w:val="0042267C"/>
    <w:rsid w:val="004226E3"/>
    <w:rsid w:val="004230A8"/>
    <w:rsid w:val="004233B2"/>
    <w:rsid w:val="00423B4F"/>
    <w:rsid w:val="00423DA5"/>
    <w:rsid w:val="0042425D"/>
    <w:rsid w:val="00424345"/>
    <w:rsid w:val="00424417"/>
    <w:rsid w:val="004245FB"/>
    <w:rsid w:val="00424632"/>
    <w:rsid w:val="0042514B"/>
    <w:rsid w:val="0042544D"/>
    <w:rsid w:val="00425462"/>
    <w:rsid w:val="004257AC"/>
    <w:rsid w:val="00425B7E"/>
    <w:rsid w:val="00426ED5"/>
    <w:rsid w:val="00426FC3"/>
    <w:rsid w:val="00427033"/>
    <w:rsid w:val="004271EC"/>
    <w:rsid w:val="00427650"/>
    <w:rsid w:val="004276CB"/>
    <w:rsid w:val="0043018F"/>
    <w:rsid w:val="00430542"/>
    <w:rsid w:val="00430D5F"/>
    <w:rsid w:val="00430FFE"/>
    <w:rsid w:val="00431080"/>
    <w:rsid w:val="00431210"/>
    <w:rsid w:val="0043143D"/>
    <w:rsid w:val="004323EA"/>
    <w:rsid w:val="004327A6"/>
    <w:rsid w:val="00432AF2"/>
    <w:rsid w:val="00432E0C"/>
    <w:rsid w:val="0043358E"/>
    <w:rsid w:val="00433AE2"/>
    <w:rsid w:val="00435726"/>
    <w:rsid w:val="00435DA0"/>
    <w:rsid w:val="00436098"/>
    <w:rsid w:val="00436219"/>
    <w:rsid w:val="0043651C"/>
    <w:rsid w:val="00436838"/>
    <w:rsid w:val="00436C5C"/>
    <w:rsid w:val="00437F7F"/>
    <w:rsid w:val="00440910"/>
    <w:rsid w:val="00441379"/>
    <w:rsid w:val="004421F8"/>
    <w:rsid w:val="00442227"/>
    <w:rsid w:val="00442831"/>
    <w:rsid w:val="004428F7"/>
    <w:rsid w:val="00442D45"/>
    <w:rsid w:val="00442E44"/>
    <w:rsid w:val="00442E66"/>
    <w:rsid w:val="00443463"/>
    <w:rsid w:val="004437C4"/>
    <w:rsid w:val="0044426A"/>
    <w:rsid w:val="004443EF"/>
    <w:rsid w:val="00444507"/>
    <w:rsid w:val="00444584"/>
    <w:rsid w:val="00444A4B"/>
    <w:rsid w:val="0044548C"/>
    <w:rsid w:val="004455D0"/>
    <w:rsid w:val="00446340"/>
    <w:rsid w:val="00446B24"/>
    <w:rsid w:val="004473BF"/>
    <w:rsid w:val="004473EF"/>
    <w:rsid w:val="00447A8E"/>
    <w:rsid w:val="004501C6"/>
    <w:rsid w:val="004501D6"/>
    <w:rsid w:val="004502E0"/>
    <w:rsid w:val="004503EC"/>
    <w:rsid w:val="00450773"/>
    <w:rsid w:val="004510A4"/>
    <w:rsid w:val="00451554"/>
    <w:rsid w:val="004520D7"/>
    <w:rsid w:val="00452134"/>
    <w:rsid w:val="00452C13"/>
    <w:rsid w:val="004535F7"/>
    <w:rsid w:val="00453E24"/>
    <w:rsid w:val="00454B83"/>
    <w:rsid w:val="0045522C"/>
    <w:rsid w:val="0045527C"/>
    <w:rsid w:val="00456732"/>
    <w:rsid w:val="004569C6"/>
    <w:rsid w:val="00457ACC"/>
    <w:rsid w:val="00457CFA"/>
    <w:rsid w:val="00457F54"/>
    <w:rsid w:val="00460902"/>
    <w:rsid w:val="00460B74"/>
    <w:rsid w:val="00460E6D"/>
    <w:rsid w:val="0046151F"/>
    <w:rsid w:val="00462005"/>
    <w:rsid w:val="00462013"/>
    <w:rsid w:val="00462A8C"/>
    <w:rsid w:val="00463E97"/>
    <w:rsid w:val="004651A8"/>
    <w:rsid w:val="00465A6E"/>
    <w:rsid w:val="00465E0E"/>
    <w:rsid w:val="004660DA"/>
    <w:rsid w:val="00466323"/>
    <w:rsid w:val="00466923"/>
    <w:rsid w:val="00466E42"/>
    <w:rsid w:val="00466E90"/>
    <w:rsid w:val="0046772A"/>
    <w:rsid w:val="00467F11"/>
    <w:rsid w:val="00470B9C"/>
    <w:rsid w:val="00470C93"/>
    <w:rsid w:val="00471BA6"/>
    <w:rsid w:val="00472219"/>
    <w:rsid w:val="00472386"/>
    <w:rsid w:val="00472400"/>
    <w:rsid w:val="00472863"/>
    <w:rsid w:val="00472DF0"/>
    <w:rsid w:val="00473485"/>
    <w:rsid w:val="004734E4"/>
    <w:rsid w:val="00473E01"/>
    <w:rsid w:val="00474C3E"/>
    <w:rsid w:val="00475B64"/>
    <w:rsid w:val="00475CF2"/>
    <w:rsid w:val="00476141"/>
    <w:rsid w:val="00476C74"/>
    <w:rsid w:val="00476D86"/>
    <w:rsid w:val="00477BB5"/>
    <w:rsid w:val="004803D4"/>
    <w:rsid w:val="00480B36"/>
    <w:rsid w:val="00480D08"/>
    <w:rsid w:val="00480D86"/>
    <w:rsid w:val="004812F8"/>
    <w:rsid w:val="00481B01"/>
    <w:rsid w:val="00482C1C"/>
    <w:rsid w:val="00483414"/>
    <w:rsid w:val="00483450"/>
    <w:rsid w:val="00484F05"/>
    <w:rsid w:val="00485355"/>
    <w:rsid w:val="004855CF"/>
    <w:rsid w:val="00485B58"/>
    <w:rsid w:val="00485CD4"/>
    <w:rsid w:val="0048622E"/>
    <w:rsid w:val="00486527"/>
    <w:rsid w:val="00486A76"/>
    <w:rsid w:val="00487580"/>
    <w:rsid w:val="004875AE"/>
    <w:rsid w:val="00487688"/>
    <w:rsid w:val="00487B34"/>
    <w:rsid w:val="004909AE"/>
    <w:rsid w:val="00490A65"/>
    <w:rsid w:val="00491433"/>
    <w:rsid w:val="00491532"/>
    <w:rsid w:val="00491DA1"/>
    <w:rsid w:val="0049210E"/>
    <w:rsid w:val="004921C3"/>
    <w:rsid w:val="00492780"/>
    <w:rsid w:val="00492ACD"/>
    <w:rsid w:val="00492DCB"/>
    <w:rsid w:val="0049366E"/>
    <w:rsid w:val="004938A3"/>
    <w:rsid w:val="00493F2A"/>
    <w:rsid w:val="004948A9"/>
    <w:rsid w:val="00495907"/>
    <w:rsid w:val="004971E4"/>
    <w:rsid w:val="004974D3"/>
    <w:rsid w:val="004977BA"/>
    <w:rsid w:val="0049787F"/>
    <w:rsid w:val="00497A74"/>
    <w:rsid w:val="00497E5B"/>
    <w:rsid w:val="004A021A"/>
    <w:rsid w:val="004A1212"/>
    <w:rsid w:val="004A1856"/>
    <w:rsid w:val="004A1C56"/>
    <w:rsid w:val="004A20A4"/>
    <w:rsid w:val="004A20BA"/>
    <w:rsid w:val="004A2350"/>
    <w:rsid w:val="004A24B9"/>
    <w:rsid w:val="004A37E5"/>
    <w:rsid w:val="004A45A5"/>
    <w:rsid w:val="004A47F9"/>
    <w:rsid w:val="004A4B8B"/>
    <w:rsid w:val="004A53A1"/>
    <w:rsid w:val="004A54F3"/>
    <w:rsid w:val="004A660B"/>
    <w:rsid w:val="004A6BB4"/>
    <w:rsid w:val="004A718D"/>
    <w:rsid w:val="004A74BC"/>
    <w:rsid w:val="004A79AA"/>
    <w:rsid w:val="004B0491"/>
    <w:rsid w:val="004B04B3"/>
    <w:rsid w:val="004B1156"/>
    <w:rsid w:val="004B13C7"/>
    <w:rsid w:val="004B1715"/>
    <w:rsid w:val="004B198D"/>
    <w:rsid w:val="004B1B8E"/>
    <w:rsid w:val="004B1D9A"/>
    <w:rsid w:val="004B20AA"/>
    <w:rsid w:val="004B2598"/>
    <w:rsid w:val="004B4110"/>
    <w:rsid w:val="004B4EA7"/>
    <w:rsid w:val="004B52A8"/>
    <w:rsid w:val="004B5469"/>
    <w:rsid w:val="004B5752"/>
    <w:rsid w:val="004B5B4A"/>
    <w:rsid w:val="004B644E"/>
    <w:rsid w:val="004B7AC3"/>
    <w:rsid w:val="004B7C22"/>
    <w:rsid w:val="004C1309"/>
    <w:rsid w:val="004C144E"/>
    <w:rsid w:val="004C19C3"/>
    <w:rsid w:val="004C1A87"/>
    <w:rsid w:val="004C1B81"/>
    <w:rsid w:val="004C1C66"/>
    <w:rsid w:val="004C23B8"/>
    <w:rsid w:val="004C2E30"/>
    <w:rsid w:val="004C37FC"/>
    <w:rsid w:val="004C4D93"/>
    <w:rsid w:val="004C4E38"/>
    <w:rsid w:val="004C4E3A"/>
    <w:rsid w:val="004C5546"/>
    <w:rsid w:val="004C5AFE"/>
    <w:rsid w:val="004C6902"/>
    <w:rsid w:val="004C6D96"/>
    <w:rsid w:val="004C6FFA"/>
    <w:rsid w:val="004C7189"/>
    <w:rsid w:val="004C796C"/>
    <w:rsid w:val="004D12DE"/>
    <w:rsid w:val="004D191C"/>
    <w:rsid w:val="004D1AE0"/>
    <w:rsid w:val="004D1BAE"/>
    <w:rsid w:val="004D21FB"/>
    <w:rsid w:val="004D256F"/>
    <w:rsid w:val="004D32CE"/>
    <w:rsid w:val="004D331A"/>
    <w:rsid w:val="004D4135"/>
    <w:rsid w:val="004D4738"/>
    <w:rsid w:val="004D4A42"/>
    <w:rsid w:val="004D6CC3"/>
    <w:rsid w:val="004E0A66"/>
    <w:rsid w:val="004E1067"/>
    <w:rsid w:val="004E1A3D"/>
    <w:rsid w:val="004E1B0A"/>
    <w:rsid w:val="004E2155"/>
    <w:rsid w:val="004E286B"/>
    <w:rsid w:val="004E2ECE"/>
    <w:rsid w:val="004E3529"/>
    <w:rsid w:val="004E4E91"/>
    <w:rsid w:val="004E51A9"/>
    <w:rsid w:val="004E557A"/>
    <w:rsid w:val="004E5709"/>
    <w:rsid w:val="004E5A4B"/>
    <w:rsid w:val="004E646F"/>
    <w:rsid w:val="004E7A63"/>
    <w:rsid w:val="004F0122"/>
    <w:rsid w:val="004F0381"/>
    <w:rsid w:val="004F0E34"/>
    <w:rsid w:val="004F0F6E"/>
    <w:rsid w:val="004F1180"/>
    <w:rsid w:val="004F17F7"/>
    <w:rsid w:val="004F197B"/>
    <w:rsid w:val="004F1A6F"/>
    <w:rsid w:val="004F28FE"/>
    <w:rsid w:val="004F2FAE"/>
    <w:rsid w:val="004F4476"/>
    <w:rsid w:val="004F470F"/>
    <w:rsid w:val="004F4B6B"/>
    <w:rsid w:val="004F4CBF"/>
    <w:rsid w:val="004F4E84"/>
    <w:rsid w:val="004F5362"/>
    <w:rsid w:val="004F5F26"/>
    <w:rsid w:val="004F6005"/>
    <w:rsid w:val="004F68D4"/>
    <w:rsid w:val="004F68EA"/>
    <w:rsid w:val="00500012"/>
    <w:rsid w:val="0050089A"/>
    <w:rsid w:val="005009D3"/>
    <w:rsid w:val="005012AB"/>
    <w:rsid w:val="00501C12"/>
    <w:rsid w:val="00501E76"/>
    <w:rsid w:val="0050201F"/>
    <w:rsid w:val="005028CE"/>
    <w:rsid w:val="00502DD0"/>
    <w:rsid w:val="00503858"/>
    <w:rsid w:val="00503E44"/>
    <w:rsid w:val="0050437C"/>
    <w:rsid w:val="005044D1"/>
    <w:rsid w:val="00504A69"/>
    <w:rsid w:val="00504D97"/>
    <w:rsid w:val="00504F3E"/>
    <w:rsid w:val="00505FCA"/>
    <w:rsid w:val="005061A4"/>
    <w:rsid w:val="0050656A"/>
    <w:rsid w:val="00506620"/>
    <w:rsid w:val="00506931"/>
    <w:rsid w:val="00506C88"/>
    <w:rsid w:val="00507791"/>
    <w:rsid w:val="005102DB"/>
    <w:rsid w:val="0051081A"/>
    <w:rsid w:val="00510980"/>
    <w:rsid w:val="00511EAF"/>
    <w:rsid w:val="005126DF"/>
    <w:rsid w:val="0051392E"/>
    <w:rsid w:val="00514461"/>
    <w:rsid w:val="00514C24"/>
    <w:rsid w:val="00514E8D"/>
    <w:rsid w:val="00515477"/>
    <w:rsid w:val="005161A6"/>
    <w:rsid w:val="005164A8"/>
    <w:rsid w:val="00516B5F"/>
    <w:rsid w:val="00517D47"/>
    <w:rsid w:val="00517E97"/>
    <w:rsid w:val="0052132D"/>
    <w:rsid w:val="00521933"/>
    <w:rsid w:val="005220B2"/>
    <w:rsid w:val="005227D7"/>
    <w:rsid w:val="005232A2"/>
    <w:rsid w:val="00523773"/>
    <w:rsid w:val="0052447B"/>
    <w:rsid w:val="00524D54"/>
    <w:rsid w:val="005253C8"/>
    <w:rsid w:val="00526804"/>
    <w:rsid w:val="005268A5"/>
    <w:rsid w:val="00526CC3"/>
    <w:rsid w:val="005276E4"/>
    <w:rsid w:val="005303ED"/>
    <w:rsid w:val="00530DDD"/>
    <w:rsid w:val="00531C0C"/>
    <w:rsid w:val="00532D74"/>
    <w:rsid w:val="00533B5E"/>
    <w:rsid w:val="00533D1C"/>
    <w:rsid w:val="00533F61"/>
    <w:rsid w:val="005340E2"/>
    <w:rsid w:val="0053523A"/>
    <w:rsid w:val="005352DD"/>
    <w:rsid w:val="00535764"/>
    <w:rsid w:val="0053585B"/>
    <w:rsid w:val="00535BB0"/>
    <w:rsid w:val="00535D1B"/>
    <w:rsid w:val="00536518"/>
    <w:rsid w:val="00536642"/>
    <w:rsid w:val="00536929"/>
    <w:rsid w:val="00536A8F"/>
    <w:rsid w:val="00537462"/>
    <w:rsid w:val="005375B8"/>
    <w:rsid w:val="00537B4E"/>
    <w:rsid w:val="00537CBD"/>
    <w:rsid w:val="00537FBD"/>
    <w:rsid w:val="00540434"/>
    <w:rsid w:val="00540465"/>
    <w:rsid w:val="005406DE"/>
    <w:rsid w:val="00541C47"/>
    <w:rsid w:val="00541E0A"/>
    <w:rsid w:val="00542447"/>
    <w:rsid w:val="00542492"/>
    <w:rsid w:val="00543998"/>
    <w:rsid w:val="00543C41"/>
    <w:rsid w:val="00544DB3"/>
    <w:rsid w:val="00545074"/>
    <w:rsid w:val="00545DB5"/>
    <w:rsid w:val="005461F7"/>
    <w:rsid w:val="00546526"/>
    <w:rsid w:val="00546E88"/>
    <w:rsid w:val="0054760B"/>
    <w:rsid w:val="005477EC"/>
    <w:rsid w:val="00547D1A"/>
    <w:rsid w:val="00547E30"/>
    <w:rsid w:val="00547F5F"/>
    <w:rsid w:val="005512D6"/>
    <w:rsid w:val="00551B2B"/>
    <w:rsid w:val="00551E24"/>
    <w:rsid w:val="005529F3"/>
    <w:rsid w:val="0055370A"/>
    <w:rsid w:val="005544AD"/>
    <w:rsid w:val="00554B06"/>
    <w:rsid w:val="0055533D"/>
    <w:rsid w:val="0055561B"/>
    <w:rsid w:val="005556A2"/>
    <w:rsid w:val="00555793"/>
    <w:rsid w:val="00556081"/>
    <w:rsid w:val="005565AB"/>
    <w:rsid w:val="00556A30"/>
    <w:rsid w:val="00556E8C"/>
    <w:rsid w:val="00557515"/>
    <w:rsid w:val="00557A2B"/>
    <w:rsid w:val="00557CC6"/>
    <w:rsid w:val="00557E9E"/>
    <w:rsid w:val="0056023A"/>
    <w:rsid w:val="00560613"/>
    <w:rsid w:val="00560E41"/>
    <w:rsid w:val="00560EE8"/>
    <w:rsid w:val="00561B7B"/>
    <w:rsid w:val="00562634"/>
    <w:rsid w:val="0056277F"/>
    <w:rsid w:val="0056388A"/>
    <w:rsid w:val="005653E1"/>
    <w:rsid w:val="00565831"/>
    <w:rsid w:val="0056606C"/>
    <w:rsid w:val="005660F2"/>
    <w:rsid w:val="00566454"/>
    <w:rsid w:val="00566AA3"/>
    <w:rsid w:val="0056706F"/>
    <w:rsid w:val="005670C0"/>
    <w:rsid w:val="00567F58"/>
    <w:rsid w:val="00570218"/>
    <w:rsid w:val="005704F6"/>
    <w:rsid w:val="00570590"/>
    <w:rsid w:val="00571ACA"/>
    <w:rsid w:val="00571EBC"/>
    <w:rsid w:val="00571F14"/>
    <w:rsid w:val="00572837"/>
    <w:rsid w:val="005741B7"/>
    <w:rsid w:val="00574452"/>
    <w:rsid w:val="00574D2B"/>
    <w:rsid w:val="005759CF"/>
    <w:rsid w:val="00575BDF"/>
    <w:rsid w:val="00575FFC"/>
    <w:rsid w:val="00576DF8"/>
    <w:rsid w:val="00577A3E"/>
    <w:rsid w:val="00580055"/>
    <w:rsid w:val="0058034C"/>
    <w:rsid w:val="00580578"/>
    <w:rsid w:val="005808C2"/>
    <w:rsid w:val="00580912"/>
    <w:rsid w:val="00580CC7"/>
    <w:rsid w:val="00581B0B"/>
    <w:rsid w:val="00581C40"/>
    <w:rsid w:val="00581FE7"/>
    <w:rsid w:val="005822B9"/>
    <w:rsid w:val="00582858"/>
    <w:rsid w:val="00582C28"/>
    <w:rsid w:val="00583629"/>
    <w:rsid w:val="005838C8"/>
    <w:rsid w:val="00583B15"/>
    <w:rsid w:val="005847CD"/>
    <w:rsid w:val="00584F3F"/>
    <w:rsid w:val="00585248"/>
    <w:rsid w:val="0058653A"/>
    <w:rsid w:val="00586C23"/>
    <w:rsid w:val="00587AD1"/>
    <w:rsid w:val="0059043A"/>
    <w:rsid w:val="00590B31"/>
    <w:rsid w:val="00590C7C"/>
    <w:rsid w:val="00592607"/>
    <w:rsid w:val="005926A1"/>
    <w:rsid w:val="00592715"/>
    <w:rsid w:val="00592B86"/>
    <w:rsid w:val="00592C11"/>
    <w:rsid w:val="00592D82"/>
    <w:rsid w:val="00593854"/>
    <w:rsid w:val="00593A8A"/>
    <w:rsid w:val="0059402E"/>
    <w:rsid w:val="00594061"/>
    <w:rsid w:val="00594437"/>
    <w:rsid w:val="00594537"/>
    <w:rsid w:val="00594A32"/>
    <w:rsid w:val="005951CB"/>
    <w:rsid w:val="00595849"/>
    <w:rsid w:val="00597444"/>
    <w:rsid w:val="005976B2"/>
    <w:rsid w:val="00597D00"/>
    <w:rsid w:val="005A01B8"/>
    <w:rsid w:val="005A0240"/>
    <w:rsid w:val="005A0814"/>
    <w:rsid w:val="005A2066"/>
    <w:rsid w:val="005A2C30"/>
    <w:rsid w:val="005A388C"/>
    <w:rsid w:val="005A422E"/>
    <w:rsid w:val="005A4795"/>
    <w:rsid w:val="005A48F7"/>
    <w:rsid w:val="005A60FC"/>
    <w:rsid w:val="005A6284"/>
    <w:rsid w:val="005A69E8"/>
    <w:rsid w:val="005A6EA9"/>
    <w:rsid w:val="005A6FF1"/>
    <w:rsid w:val="005B07E9"/>
    <w:rsid w:val="005B0E90"/>
    <w:rsid w:val="005B1AB8"/>
    <w:rsid w:val="005B1B77"/>
    <w:rsid w:val="005B1F37"/>
    <w:rsid w:val="005B2927"/>
    <w:rsid w:val="005B29AD"/>
    <w:rsid w:val="005B3CC5"/>
    <w:rsid w:val="005B42FE"/>
    <w:rsid w:val="005B4DFD"/>
    <w:rsid w:val="005B5048"/>
    <w:rsid w:val="005B52E3"/>
    <w:rsid w:val="005B5536"/>
    <w:rsid w:val="005B596D"/>
    <w:rsid w:val="005B5AC3"/>
    <w:rsid w:val="005B5EB0"/>
    <w:rsid w:val="005B6129"/>
    <w:rsid w:val="005B63B2"/>
    <w:rsid w:val="005B6820"/>
    <w:rsid w:val="005B6BCF"/>
    <w:rsid w:val="005B6EA9"/>
    <w:rsid w:val="005B7033"/>
    <w:rsid w:val="005B7681"/>
    <w:rsid w:val="005B777F"/>
    <w:rsid w:val="005B78B3"/>
    <w:rsid w:val="005B7BBB"/>
    <w:rsid w:val="005C103C"/>
    <w:rsid w:val="005C10D4"/>
    <w:rsid w:val="005C1370"/>
    <w:rsid w:val="005C1D0D"/>
    <w:rsid w:val="005C1FA4"/>
    <w:rsid w:val="005C2FFA"/>
    <w:rsid w:val="005C321B"/>
    <w:rsid w:val="005C3DB4"/>
    <w:rsid w:val="005C3DF7"/>
    <w:rsid w:val="005C470B"/>
    <w:rsid w:val="005C4A28"/>
    <w:rsid w:val="005C4AF2"/>
    <w:rsid w:val="005C5BBE"/>
    <w:rsid w:val="005C761A"/>
    <w:rsid w:val="005C7C4D"/>
    <w:rsid w:val="005C7EC2"/>
    <w:rsid w:val="005D1AB3"/>
    <w:rsid w:val="005D1FCA"/>
    <w:rsid w:val="005D3005"/>
    <w:rsid w:val="005D308D"/>
    <w:rsid w:val="005D33B5"/>
    <w:rsid w:val="005D3739"/>
    <w:rsid w:val="005D38F8"/>
    <w:rsid w:val="005D4919"/>
    <w:rsid w:val="005D4CA5"/>
    <w:rsid w:val="005D5786"/>
    <w:rsid w:val="005D5CDE"/>
    <w:rsid w:val="005D5E77"/>
    <w:rsid w:val="005D6B05"/>
    <w:rsid w:val="005D7C25"/>
    <w:rsid w:val="005D7D8B"/>
    <w:rsid w:val="005D7E75"/>
    <w:rsid w:val="005E017E"/>
    <w:rsid w:val="005E0889"/>
    <w:rsid w:val="005E0910"/>
    <w:rsid w:val="005E1C57"/>
    <w:rsid w:val="005E2B93"/>
    <w:rsid w:val="005E32D7"/>
    <w:rsid w:val="005E4601"/>
    <w:rsid w:val="005E4824"/>
    <w:rsid w:val="005E4B92"/>
    <w:rsid w:val="005E50AF"/>
    <w:rsid w:val="005E5BD2"/>
    <w:rsid w:val="005E736A"/>
    <w:rsid w:val="005E7FCC"/>
    <w:rsid w:val="005F076C"/>
    <w:rsid w:val="005F1A70"/>
    <w:rsid w:val="005F1A9F"/>
    <w:rsid w:val="005F1DF4"/>
    <w:rsid w:val="005F253E"/>
    <w:rsid w:val="005F27EF"/>
    <w:rsid w:val="005F3166"/>
    <w:rsid w:val="005F3299"/>
    <w:rsid w:val="005F3A0C"/>
    <w:rsid w:val="005F3F53"/>
    <w:rsid w:val="005F42C8"/>
    <w:rsid w:val="005F4395"/>
    <w:rsid w:val="005F4981"/>
    <w:rsid w:val="005F52A1"/>
    <w:rsid w:val="005F5861"/>
    <w:rsid w:val="005F60DB"/>
    <w:rsid w:val="005F6AC8"/>
    <w:rsid w:val="005F6E7D"/>
    <w:rsid w:val="005F7723"/>
    <w:rsid w:val="005F7935"/>
    <w:rsid w:val="005F79C9"/>
    <w:rsid w:val="005F7F82"/>
    <w:rsid w:val="006006CF"/>
    <w:rsid w:val="00600ECC"/>
    <w:rsid w:val="00602287"/>
    <w:rsid w:val="0060287A"/>
    <w:rsid w:val="00602E88"/>
    <w:rsid w:val="00602F2E"/>
    <w:rsid w:val="00603A7B"/>
    <w:rsid w:val="00604002"/>
    <w:rsid w:val="006040E4"/>
    <w:rsid w:val="00604125"/>
    <w:rsid w:val="006046AE"/>
    <w:rsid w:val="006059E1"/>
    <w:rsid w:val="00605ADC"/>
    <w:rsid w:val="006067C5"/>
    <w:rsid w:val="00606AD8"/>
    <w:rsid w:val="00606ADD"/>
    <w:rsid w:val="00606F86"/>
    <w:rsid w:val="00607890"/>
    <w:rsid w:val="00607C52"/>
    <w:rsid w:val="006102C6"/>
    <w:rsid w:val="006102ED"/>
    <w:rsid w:val="00610DA3"/>
    <w:rsid w:val="006122E1"/>
    <w:rsid w:val="00612386"/>
    <w:rsid w:val="00612679"/>
    <w:rsid w:val="006127FE"/>
    <w:rsid w:val="00612C29"/>
    <w:rsid w:val="0061322F"/>
    <w:rsid w:val="00613351"/>
    <w:rsid w:val="00613410"/>
    <w:rsid w:val="00613C39"/>
    <w:rsid w:val="00613E21"/>
    <w:rsid w:val="006147BE"/>
    <w:rsid w:val="00614F77"/>
    <w:rsid w:val="00615DAF"/>
    <w:rsid w:val="00615F36"/>
    <w:rsid w:val="006161F8"/>
    <w:rsid w:val="0061630A"/>
    <w:rsid w:val="00616491"/>
    <w:rsid w:val="00616AA8"/>
    <w:rsid w:val="00616F61"/>
    <w:rsid w:val="0061746B"/>
    <w:rsid w:val="00617F00"/>
    <w:rsid w:val="00620CD8"/>
    <w:rsid w:val="006216BA"/>
    <w:rsid w:val="00622886"/>
    <w:rsid w:val="00622896"/>
    <w:rsid w:val="00622CD0"/>
    <w:rsid w:val="00623E97"/>
    <w:rsid w:val="00623FA5"/>
    <w:rsid w:val="0062413F"/>
    <w:rsid w:val="0062440A"/>
    <w:rsid w:val="00624835"/>
    <w:rsid w:val="00624912"/>
    <w:rsid w:val="0062512C"/>
    <w:rsid w:val="006258DA"/>
    <w:rsid w:val="00625E71"/>
    <w:rsid w:val="006262A9"/>
    <w:rsid w:val="00626666"/>
    <w:rsid w:val="0062698D"/>
    <w:rsid w:val="00626AB9"/>
    <w:rsid w:val="00626FC8"/>
    <w:rsid w:val="00627275"/>
    <w:rsid w:val="00627AAB"/>
    <w:rsid w:val="00627BDB"/>
    <w:rsid w:val="00627F3F"/>
    <w:rsid w:val="00630005"/>
    <w:rsid w:val="00630DFF"/>
    <w:rsid w:val="00631190"/>
    <w:rsid w:val="006314E9"/>
    <w:rsid w:val="00631654"/>
    <w:rsid w:val="00632214"/>
    <w:rsid w:val="006329E2"/>
    <w:rsid w:val="00632DAD"/>
    <w:rsid w:val="006335E3"/>
    <w:rsid w:val="00634309"/>
    <w:rsid w:val="0063445A"/>
    <w:rsid w:val="006359EE"/>
    <w:rsid w:val="0063622A"/>
    <w:rsid w:val="00636FED"/>
    <w:rsid w:val="006376CC"/>
    <w:rsid w:val="00637C84"/>
    <w:rsid w:val="00640284"/>
    <w:rsid w:val="00640B0E"/>
    <w:rsid w:val="00641007"/>
    <w:rsid w:val="006413DE"/>
    <w:rsid w:val="00641D4B"/>
    <w:rsid w:val="00641E36"/>
    <w:rsid w:val="0064208A"/>
    <w:rsid w:val="00642695"/>
    <w:rsid w:val="00642C1E"/>
    <w:rsid w:val="00642FDE"/>
    <w:rsid w:val="006430E3"/>
    <w:rsid w:val="006439AD"/>
    <w:rsid w:val="006440B2"/>
    <w:rsid w:val="00644785"/>
    <w:rsid w:val="006448E4"/>
    <w:rsid w:val="00644FA5"/>
    <w:rsid w:val="0064512E"/>
    <w:rsid w:val="006452A4"/>
    <w:rsid w:val="0064609E"/>
    <w:rsid w:val="0064647A"/>
    <w:rsid w:val="0064667D"/>
    <w:rsid w:val="00646AB9"/>
    <w:rsid w:val="00646D73"/>
    <w:rsid w:val="006479E5"/>
    <w:rsid w:val="006509B5"/>
    <w:rsid w:val="0065130D"/>
    <w:rsid w:val="0065163E"/>
    <w:rsid w:val="0065168A"/>
    <w:rsid w:val="00652603"/>
    <w:rsid w:val="0065288F"/>
    <w:rsid w:val="00652BBE"/>
    <w:rsid w:val="00653640"/>
    <w:rsid w:val="00654019"/>
    <w:rsid w:val="0065413D"/>
    <w:rsid w:val="006546CD"/>
    <w:rsid w:val="0065499C"/>
    <w:rsid w:val="00654F53"/>
    <w:rsid w:val="00655677"/>
    <w:rsid w:val="00655858"/>
    <w:rsid w:val="00656E62"/>
    <w:rsid w:val="0065738C"/>
    <w:rsid w:val="006574AB"/>
    <w:rsid w:val="006575FB"/>
    <w:rsid w:val="00657D51"/>
    <w:rsid w:val="006602A0"/>
    <w:rsid w:val="006603BC"/>
    <w:rsid w:val="00661FF3"/>
    <w:rsid w:val="00662612"/>
    <w:rsid w:val="0066277B"/>
    <w:rsid w:val="00662B72"/>
    <w:rsid w:val="006633B0"/>
    <w:rsid w:val="00663ADA"/>
    <w:rsid w:val="00663C28"/>
    <w:rsid w:val="006641B4"/>
    <w:rsid w:val="00665056"/>
    <w:rsid w:val="00665778"/>
    <w:rsid w:val="00665AEC"/>
    <w:rsid w:val="00666AB2"/>
    <w:rsid w:val="0066733F"/>
    <w:rsid w:val="00667788"/>
    <w:rsid w:val="00667793"/>
    <w:rsid w:val="00670415"/>
    <w:rsid w:val="00670576"/>
    <w:rsid w:val="00670DDA"/>
    <w:rsid w:val="006738A8"/>
    <w:rsid w:val="00673F2A"/>
    <w:rsid w:val="006740DA"/>
    <w:rsid w:val="00674FE1"/>
    <w:rsid w:val="00675213"/>
    <w:rsid w:val="0067575A"/>
    <w:rsid w:val="00676099"/>
    <w:rsid w:val="0067688E"/>
    <w:rsid w:val="00677005"/>
    <w:rsid w:val="006775C7"/>
    <w:rsid w:val="00680587"/>
    <w:rsid w:val="00680AFD"/>
    <w:rsid w:val="00680CD2"/>
    <w:rsid w:val="00680CE9"/>
    <w:rsid w:val="006810CE"/>
    <w:rsid w:val="00681160"/>
    <w:rsid w:val="00681BA8"/>
    <w:rsid w:val="00681D33"/>
    <w:rsid w:val="0068239C"/>
    <w:rsid w:val="0068275E"/>
    <w:rsid w:val="006829B7"/>
    <w:rsid w:val="00682EF2"/>
    <w:rsid w:val="00683228"/>
    <w:rsid w:val="00683622"/>
    <w:rsid w:val="00683985"/>
    <w:rsid w:val="00683D47"/>
    <w:rsid w:val="0068442B"/>
    <w:rsid w:val="006847E7"/>
    <w:rsid w:val="00685BAB"/>
    <w:rsid w:val="00685DC9"/>
    <w:rsid w:val="00685F84"/>
    <w:rsid w:val="00686A5D"/>
    <w:rsid w:val="00686B37"/>
    <w:rsid w:val="00686FE3"/>
    <w:rsid w:val="0068728C"/>
    <w:rsid w:val="00687C46"/>
    <w:rsid w:val="00690CF9"/>
    <w:rsid w:val="006912F8"/>
    <w:rsid w:val="00691697"/>
    <w:rsid w:val="00691720"/>
    <w:rsid w:val="00692417"/>
    <w:rsid w:val="00692892"/>
    <w:rsid w:val="00692BC6"/>
    <w:rsid w:val="00693074"/>
    <w:rsid w:val="00693659"/>
    <w:rsid w:val="006941F7"/>
    <w:rsid w:val="006948D4"/>
    <w:rsid w:val="00694AC3"/>
    <w:rsid w:val="006950AD"/>
    <w:rsid w:val="00695C5F"/>
    <w:rsid w:val="00695DFE"/>
    <w:rsid w:val="00695F06"/>
    <w:rsid w:val="006961BC"/>
    <w:rsid w:val="006974F8"/>
    <w:rsid w:val="006A07F7"/>
    <w:rsid w:val="006A0E83"/>
    <w:rsid w:val="006A1354"/>
    <w:rsid w:val="006A1924"/>
    <w:rsid w:val="006A1F21"/>
    <w:rsid w:val="006A37A5"/>
    <w:rsid w:val="006A3F8A"/>
    <w:rsid w:val="006A4078"/>
    <w:rsid w:val="006A44B5"/>
    <w:rsid w:val="006A45FF"/>
    <w:rsid w:val="006A5032"/>
    <w:rsid w:val="006A5B25"/>
    <w:rsid w:val="006A63FA"/>
    <w:rsid w:val="006A6C56"/>
    <w:rsid w:val="006B062A"/>
    <w:rsid w:val="006B14EE"/>
    <w:rsid w:val="006B15C8"/>
    <w:rsid w:val="006B17DB"/>
    <w:rsid w:val="006B1C55"/>
    <w:rsid w:val="006B1C87"/>
    <w:rsid w:val="006B238B"/>
    <w:rsid w:val="006B24FF"/>
    <w:rsid w:val="006B2863"/>
    <w:rsid w:val="006B2AA4"/>
    <w:rsid w:val="006B31F0"/>
    <w:rsid w:val="006B3AE0"/>
    <w:rsid w:val="006B404D"/>
    <w:rsid w:val="006B4769"/>
    <w:rsid w:val="006B49BE"/>
    <w:rsid w:val="006B5A1E"/>
    <w:rsid w:val="006B7B2E"/>
    <w:rsid w:val="006B7D8C"/>
    <w:rsid w:val="006C030F"/>
    <w:rsid w:val="006C1176"/>
    <w:rsid w:val="006C1EA8"/>
    <w:rsid w:val="006C2611"/>
    <w:rsid w:val="006C2838"/>
    <w:rsid w:val="006C28FF"/>
    <w:rsid w:val="006C2984"/>
    <w:rsid w:val="006C2E53"/>
    <w:rsid w:val="006C4072"/>
    <w:rsid w:val="006C43F0"/>
    <w:rsid w:val="006C4A30"/>
    <w:rsid w:val="006C4D24"/>
    <w:rsid w:val="006C50BF"/>
    <w:rsid w:val="006C53DB"/>
    <w:rsid w:val="006C710B"/>
    <w:rsid w:val="006C7992"/>
    <w:rsid w:val="006C7EEA"/>
    <w:rsid w:val="006C7F2F"/>
    <w:rsid w:val="006D001F"/>
    <w:rsid w:val="006D0A68"/>
    <w:rsid w:val="006D1FAD"/>
    <w:rsid w:val="006D24DF"/>
    <w:rsid w:val="006D315F"/>
    <w:rsid w:val="006D43E7"/>
    <w:rsid w:val="006D44FC"/>
    <w:rsid w:val="006D4834"/>
    <w:rsid w:val="006D4DCF"/>
    <w:rsid w:val="006D5010"/>
    <w:rsid w:val="006D5693"/>
    <w:rsid w:val="006D6000"/>
    <w:rsid w:val="006D6DE0"/>
    <w:rsid w:val="006D7021"/>
    <w:rsid w:val="006D7371"/>
    <w:rsid w:val="006D7611"/>
    <w:rsid w:val="006E00BA"/>
    <w:rsid w:val="006E03B5"/>
    <w:rsid w:val="006E0D33"/>
    <w:rsid w:val="006E0D77"/>
    <w:rsid w:val="006E0EEC"/>
    <w:rsid w:val="006E12A9"/>
    <w:rsid w:val="006E16F0"/>
    <w:rsid w:val="006E1755"/>
    <w:rsid w:val="006E18B7"/>
    <w:rsid w:val="006E2406"/>
    <w:rsid w:val="006E297B"/>
    <w:rsid w:val="006E2E76"/>
    <w:rsid w:val="006E59F9"/>
    <w:rsid w:val="006E5AAB"/>
    <w:rsid w:val="006E63E2"/>
    <w:rsid w:val="006E7D78"/>
    <w:rsid w:val="006F05FC"/>
    <w:rsid w:val="006F166C"/>
    <w:rsid w:val="006F1BB4"/>
    <w:rsid w:val="006F1F74"/>
    <w:rsid w:val="006F20F5"/>
    <w:rsid w:val="006F335D"/>
    <w:rsid w:val="006F36E2"/>
    <w:rsid w:val="006F39FC"/>
    <w:rsid w:val="006F3F93"/>
    <w:rsid w:val="006F3F95"/>
    <w:rsid w:val="006F4B37"/>
    <w:rsid w:val="006F4CAD"/>
    <w:rsid w:val="006F59B9"/>
    <w:rsid w:val="006F5DB2"/>
    <w:rsid w:val="006F676D"/>
    <w:rsid w:val="006F6CBF"/>
    <w:rsid w:val="006F7592"/>
    <w:rsid w:val="006F759A"/>
    <w:rsid w:val="006F7EF6"/>
    <w:rsid w:val="00700043"/>
    <w:rsid w:val="00700C4B"/>
    <w:rsid w:val="007010FF"/>
    <w:rsid w:val="00701361"/>
    <w:rsid w:val="007017E3"/>
    <w:rsid w:val="00701FD7"/>
    <w:rsid w:val="007025A3"/>
    <w:rsid w:val="00702A64"/>
    <w:rsid w:val="00702BB9"/>
    <w:rsid w:val="00702DB9"/>
    <w:rsid w:val="007042B4"/>
    <w:rsid w:val="00704417"/>
    <w:rsid w:val="00704704"/>
    <w:rsid w:val="00704F50"/>
    <w:rsid w:val="00704F76"/>
    <w:rsid w:val="00705492"/>
    <w:rsid w:val="00705548"/>
    <w:rsid w:val="00705751"/>
    <w:rsid w:val="00705A91"/>
    <w:rsid w:val="00706091"/>
    <w:rsid w:val="00706166"/>
    <w:rsid w:val="007062FE"/>
    <w:rsid w:val="007072C0"/>
    <w:rsid w:val="00707957"/>
    <w:rsid w:val="00710368"/>
    <w:rsid w:val="007103A6"/>
    <w:rsid w:val="0071133E"/>
    <w:rsid w:val="00711C68"/>
    <w:rsid w:val="00711DAC"/>
    <w:rsid w:val="007120BB"/>
    <w:rsid w:val="00712103"/>
    <w:rsid w:val="00713BF2"/>
    <w:rsid w:val="0071445B"/>
    <w:rsid w:val="00715083"/>
    <w:rsid w:val="00716372"/>
    <w:rsid w:val="007178FF"/>
    <w:rsid w:val="00717BA0"/>
    <w:rsid w:val="00720B8F"/>
    <w:rsid w:val="00720E9A"/>
    <w:rsid w:val="00722E06"/>
    <w:rsid w:val="00723850"/>
    <w:rsid w:val="00723940"/>
    <w:rsid w:val="00723BCD"/>
    <w:rsid w:val="0072459D"/>
    <w:rsid w:val="007245B1"/>
    <w:rsid w:val="007249E6"/>
    <w:rsid w:val="00724C87"/>
    <w:rsid w:val="00724E4C"/>
    <w:rsid w:val="00725359"/>
    <w:rsid w:val="00725968"/>
    <w:rsid w:val="0072656B"/>
    <w:rsid w:val="00726745"/>
    <w:rsid w:val="00726B22"/>
    <w:rsid w:val="0072734A"/>
    <w:rsid w:val="00727563"/>
    <w:rsid w:val="007275FE"/>
    <w:rsid w:val="00727DA2"/>
    <w:rsid w:val="0073065D"/>
    <w:rsid w:val="00730A10"/>
    <w:rsid w:val="00730DC0"/>
    <w:rsid w:val="00731A41"/>
    <w:rsid w:val="0073298A"/>
    <w:rsid w:val="007330A3"/>
    <w:rsid w:val="007332F2"/>
    <w:rsid w:val="00733826"/>
    <w:rsid w:val="007345B0"/>
    <w:rsid w:val="00734CD3"/>
    <w:rsid w:val="007351F3"/>
    <w:rsid w:val="0073547D"/>
    <w:rsid w:val="00736AFA"/>
    <w:rsid w:val="00736F58"/>
    <w:rsid w:val="00737741"/>
    <w:rsid w:val="00737B21"/>
    <w:rsid w:val="00740234"/>
    <w:rsid w:val="00740312"/>
    <w:rsid w:val="00740843"/>
    <w:rsid w:val="00740D58"/>
    <w:rsid w:val="00741738"/>
    <w:rsid w:val="0074213A"/>
    <w:rsid w:val="007435E8"/>
    <w:rsid w:val="00743EC5"/>
    <w:rsid w:val="00744B4C"/>
    <w:rsid w:val="00746558"/>
    <w:rsid w:val="007467CE"/>
    <w:rsid w:val="00746DC8"/>
    <w:rsid w:val="007472EC"/>
    <w:rsid w:val="0074741B"/>
    <w:rsid w:val="00747AD3"/>
    <w:rsid w:val="00750F03"/>
    <w:rsid w:val="007518B6"/>
    <w:rsid w:val="00751E81"/>
    <w:rsid w:val="00751FB5"/>
    <w:rsid w:val="00752085"/>
    <w:rsid w:val="00753663"/>
    <w:rsid w:val="0075381D"/>
    <w:rsid w:val="007538B5"/>
    <w:rsid w:val="0075391C"/>
    <w:rsid w:val="00753CC5"/>
    <w:rsid w:val="0075451A"/>
    <w:rsid w:val="00754549"/>
    <w:rsid w:val="00754E6A"/>
    <w:rsid w:val="00754EFD"/>
    <w:rsid w:val="007551B7"/>
    <w:rsid w:val="007557A9"/>
    <w:rsid w:val="007558F0"/>
    <w:rsid w:val="007559AD"/>
    <w:rsid w:val="00755C6B"/>
    <w:rsid w:val="00755DE4"/>
    <w:rsid w:val="0075616B"/>
    <w:rsid w:val="007564D5"/>
    <w:rsid w:val="0075697C"/>
    <w:rsid w:val="007579E3"/>
    <w:rsid w:val="00757BFF"/>
    <w:rsid w:val="00757CD2"/>
    <w:rsid w:val="00760015"/>
    <w:rsid w:val="00760ABF"/>
    <w:rsid w:val="00760D5C"/>
    <w:rsid w:val="00762EB7"/>
    <w:rsid w:val="00763A2E"/>
    <w:rsid w:val="00763D22"/>
    <w:rsid w:val="00765C79"/>
    <w:rsid w:val="00765EA3"/>
    <w:rsid w:val="0076616F"/>
    <w:rsid w:val="007661CD"/>
    <w:rsid w:val="00766B52"/>
    <w:rsid w:val="00767EF2"/>
    <w:rsid w:val="00767F90"/>
    <w:rsid w:val="007701BF"/>
    <w:rsid w:val="00770AB1"/>
    <w:rsid w:val="00770C67"/>
    <w:rsid w:val="0077116C"/>
    <w:rsid w:val="007714B5"/>
    <w:rsid w:val="00772033"/>
    <w:rsid w:val="007722E9"/>
    <w:rsid w:val="0077304F"/>
    <w:rsid w:val="0077308C"/>
    <w:rsid w:val="00773632"/>
    <w:rsid w:val="00773A77"/>
    <w:rsid w:val="00774099"/>
    <w:rsid w:val="00774156"/>
    <w:rsid w:val="007741ED"/>
    <w:rsid w:val="00775C14"/>
    <w:rsid w:val="00776076"/>
    <w:rsid w:val="007760FD"/>
    <w:rsid w:val="00777BB6"/>
    <w:rsid w:val="007802D2"/>
    <w:rsid w:val="00780C61"/>
    <w:rsid w:val="00781962"/>
    <w:rsid w:val="00784005"/>
    <w:rsid w:val="0078516F"/>
    <w:rsid w:val="007851BA"/>
    <w:rsid w:val="00785326"/>
    <w:rsid w:val="00785341"/>
    <w:rsid w:val="007856AE"/>
    <w:rsid w:val="007856B2"/>
    <w:rsid w:val="00785C27"/>
    <w:rsid w:val="00786FE6"/>
    <w:rsid w:val="0078770E"/>
    <w:rsid w:val="00791072"/>
    <w:rsid w:val="00791A56"/>
    <w:rsid w:val="00791ED4"/>
    <w:rsid w:val="00792000"/>
    <w:rsid w:val="00792751"/>
    <w:rsid w:val="00792AB5"/>
    <w:rsid w:val="007933D7"/>
    <w:rsid w:val="0079346C"/>
    <w:rsid w:val="007934F1"/>
    <w:rsid w:val="00794E0A"/>
    <w:rsid w:val="007955FF"/>
    <w:rsid w:val="007956DF"/>
    <w:rsid w:val="007957B1"/>
    <w:rsid w:val="007963EC"/>
    <w:rsid w:val="00796A40"/>
    <w:rsid w:val="00796FEA"/>
    <w:rsid w:val="00796FF7"/>
    <w:rsid w:val="00797355"/>
    <w:rsid w:val="007A0125"/>
    <w:rsid w:val="007A04BF"/>
    <w:rsid w:val="007A0959"/>
    <w:rsid w:val="007A1445"/>
    <w:rsid w:val="007A15D9"/>
    <w:rsid w:val="007A1EF9"/>
    <w:rsid w:val="007A230B"/>
    <w:rsid w:val="007A2B63"/>
    <w:rsid w:val="007A337B"/>
    <w:rsid w:val="007A380A"/>
    <w:rsid w:val="007A3F0B"/>
    <w:rsid w:val="007A4C5E"/>
    <w:rsid w:val="007A5825"/>
    <w:rsid w:val="007A5A4C"/>
    <w:rsid w:val="007A5EA4"/>
    <w:rsid w:val="007A6397"/>
    <w:rsid w:val="007A6A3D"/>
    <w:rsid w:val="007A6FD4"/>
    <w:rsid w:val="007A730D"/>
    <w:rsid w:val="007B033B"/>
    <w:rsid w:val="007B0407"/>
    <w:rsid w:val="007B0DAE"/>
    <w:rsid w:val="007B1945"/>
    <w:rsid w:val="007B1C64"/>
    <w:rsid w:val="007B1E27"/>
    <w:rsid w:val="007B2DBD"/>
    <w:rsid w:val="007B351B"/>
    <w:rsid w:val="007B43F5"/>
    <w:rsid w:val="007B4DDC"/>
    <w:rsid w:val="007B4FBD"/>
    <w:rsid w:val="007B5B4D"/>
    <w:rsid w:val="007B5D87"/>
    <w:rsid w:val="007B67C7"/>
    <w:rsid w:val="007B716E"/>
    <w:rsid w:val="007C1C1D"/>
    <w:rsid w:val="007C1D5E"/>
    <w:rsid w:val="007C24BB"/>
    <w:rsid w:val="007C31C4"/>
    <w:rsid w:val="007C31EF"/>
    <w:rsid w:val="007C5267"/>
    <w:rsid w:val="007C5B7F"/>
    <w:rsid w:val="007C5D94"/>
    <w:rsid w:val="007C60C7"/>
    <w:rsid w:val="007C6315"/>
    <w:rsid w:val="007C6401"/>
    <w:rsid w:val="007C68EB"/>
    <w:rsid w:val="007C6C9E"/>
    <w:rsid w:val="007C6E3D"/>
    <w:rsid w:val="007C7031"/>
    <w:rsid w:val="007C7053"/>
    <w:rsid w:val="007C7331"/>
    <w:rsid w:val="007C7A52"/>
    <w:rsid w:val="007D042A"/>
    <w:rsid w:val="007D0485"/>
    <w:rsid w:val="007D0F5B"/>
    <w:rsid w:val="007D233A"/>
    <w:rsid w:val="007D2C88"/>
    <w:rsid w:val="007D2F0A"/>
    <w:rsid w:val="007D3D3B"/>
    <w:rsid w:val="007D4396"/>
    <w:rsid w:val="007D4AF2"/>
    <w:rsid w:val="007D4B61"/>
    <w:rsid w:val="007D52D2"/>
    <w:rsid w:val="007D631F"/>
    <w:rsid w:val="007D6E07"/>
    <w:rsid w:val="007D7127"/>
    <w:rsid w:val="007D729A"/>
    <w:rsid w:val="007D7349"/>
    <w:rsid w:val="007D73FF"/>
    <w:rsid w:val="007D798D"/>
    <w:rsid w:val="007D7E2E"/>
    <w:rsid w:val="007E0A00"/>
    <w:rsid w:val="007E1E74"/>
    <w:rsid w:val="007E238A"/>
    <w:rsid w:val="007E2495"/>
    <w:rsid w:val="007E2EBF"/>
    <w:rsid w:val="007E5770"/>
    <w:rsid w:val="007E61E7"/>
    <w:rsid w:val="007E68C2"/>
    <w:rsid w:val="007E6966"/>
    <w:rsid w:val="007E753F"/>
    <w:rsid w:val="007F06F4"/>
    <w:rsid w:val="007F096A"/>
    <w:rsid w:val="007F0F4D"/>
    <w:rsid w:val="007F100E"/>
    <w:rsid w:val="007F11B3"/>
    <w:rsid w:val="007F187B"/>
    <w:rsid w:val="007F1B11"/>
    <w:rsid w:val="007F1C52"/>
    <w:rsid w:val="007F1FF0"/>
    <w:rsid w:val="007F2C35"/>
    <w:rsid w:val="007F3224"/>
    <w:rsid w:val="007F3A80"/>
    <w:rsid w:val="007F3E14"/>
    <w:rsid w:val="007F434A"/>
    <w:rsid w:val="007F4BA2"/>
    <w:rsid w:val="007F5300"/>
    <w:rsid w:val="007F54E2"/>
    <w:rsid w:val="007F58DF"/>
    <w:rsid w:val="007F5B00"/>
    <w:rsid w:val="007F6111"/>
    <w:rsid w:val="007F630C"/>
    <w:rsid w:val="007F6548"/>
    <w:rsid w:val="007F6671"/>
    <w:rsid w:val="007F6957"/>
    <w:rsid w:val="0080020C"/>
    <w:rsid w:val="008002D2"/>
    <w:rsid w:val="00800BBF"/>
    <w:rsid w:val="0080131F"/>
    <w:rsid w:val="008018A1"/>
    <w:rsid w:val="00801D13"/>
    <w:rsid w:val="00802B48"/>
    <w:rsid w:val="00802EC5"/>
    <w:rsid w:val="00803130"/>
    <w:rsid w:val="00803852"/>
    <w:rsid w:val="00804884"/>
    <w:rsid w:val="00804CBE"/>
    <w:rsid w:val="008050DB"/>
    <w:rsid w:val="00805150"/>
    <w:rsid w:val="008052D9"/>
    <w:rsid w:val="0080541C"/>
    <w:rsid w:val="00805A7E"/>
    <w:rsid w:val="00806905"/>
    <w:rsid w:val="00806EEA"/>
    <w:rsid w:val="00807007"/>
    <w:rsid w:val="0080729B"/>
    <w:rsid w:val="0080763B"/>
    <w:rsid w:val="008077BA"/>
    <w:rsid w:val="008100D9"/>
    <w:rsid w:val="00810255"/>
    <w:rsid w:val="008113F3"/>
    <w:rsid w:val="008117DC"/>
    <w:rsid w:val="00811AAB"/>
    <w:rsid w:val="00811B06"/>
    <w:rsid w:val="008121BD"/>
    <w:rsid w:val="0081287B"/>
    <w:rsid w:val="00812F65"/>
    <w:rsid w:val="00812FCB"/>
    <w:rsid w:val="008134C5"/>
    <w:rsid w:val="008136BD"/>
    <w:rsid w:val="00813840"/>
    <w:rsid w:val="00814372"/>
    <w:rsid w:val="008145A8"/>
    <w:rsid w:val="0081483E"/>
    <w:rsid w:val="00814DB1"/>
    <w:rsid w:val="00814E2D"/>
    <w:rsid w:val="00815167"/>
    <w:rsid w:val="0081523E"/>
    <w:rsid w:val="0081568E"/>
    <w:rsid w:val="00815D8F"/>
    <w:rsid w:val="00816521"/>
    <w:rsid w:val="00816DFC"/>
    <w:rsid w:val="00816FE0"/>
    <w:rsid w:val="0081779B"/>
    <w:rsid w:val="008205BA"/>
    <w:rsid w:val="00821543"/>
    <w:rsid w:val="0082165A"/>
    <w:rsid w:val="0082171E"/>
    <w:rsid w:val="00821B91"/>
    <w:rsid w:val="00822056"/>
    <w:rsid w:val="00822521"/>
    <w:rsid w:val="008225C2"/>
    <w:rsid w:val="0082419E"/>
    <w:rsid w:val="0082456C"/>
    <w:rsid w:val="00824B62"/>
    <w:rsid w:val="0082579E"/>
    <w:rsid w:val="00826B74"/>
    <w:rsid w:val="008276D7"/>
    <w:rsid w:val="00827F26"/>
    <w:rsid w:val="0083032B"/>
    <w:rsid w:val="00830F92"/>
    <w:rsid w:val="00831176"/>
    <w:rsid w:val="00831BAE"/>
    <w:rsid w:val="00832221"/>
    <w:rsid w:val="008322B3"/>
    <w:rsid w:val="0083235A"/>
    <w:rsid w:val="00832BF7"/>
    <w:rsid w:val="00832DD4"/>
    <w:rsid w:val="00832EBC"/>
    <w:rsid w:val="008346AB"/>
    <w:rsid w:val="00834782"/>
    <w:rsid w:val="0083483A"/>
    <w:rsid w:val="00835202"/>
    <w:rsid w:val="008354B8"/>
    <w:rsid w:val="00835828"/>
    <w:rsid w:val="00835FE1"/>
    <w:rsid w:val="00836A70"/>
    <w:rsid w:val="00836D2A"/>
    <w:rsid w:val="008378AE"/>
    <w:rsid w:val="00837F29"/>
    <w:rsid w:val="0084020C"/>
    <w:rsid w:val="00840556"/>
    <w:rsid w:val="00840B02"/>
    <w:rsid w:val="00840B4B"/>
    <w:rsid w:val="00841927"/>
    <w:rsid w:val="0084237E"/>
    <w:rsid w:val="0084249F"/>
    <w:rsid w:val="00843606"/>
    <w:rsid w:val="00843927"/>
    <w:rsid w:val="008452AE"/>
    <w:rsid w:val="00845B2B"/>
    <w:rsid w:val="008467D4"/>
    <w:rsid w:val="008473AC"/>
    <w:rsid w:val="008477A7"/>
    <w:rsid w:val="0084780D"/>
    <w:rsid w:val="00850794"/>
    <w:rsid w:val="00850C89"/>
    <w:rsid w:val="00851720"/>
    <w:rsid w:val="00851CB8"/>
    <w:rsid w:val="00851E2D"/>
    <w:rsid w:val="00852794"/>
    <w:rsid w:val="00852B80"/>
    <w:rsid w:val="00852F56"/>
    <w:rsid w:val="008535FB"/>
    <w:rsid w:val="00853B61"/>
    <w:rsid w:val="00854811"/>
    <w:rsid w:val="00854C97"/>
    <w:rsid w:val="00854DBB"/>
    <w:rsid w:val="00855003"/>
    <w:rsid w:val="008551BA"/>
    <w:rsid w:val="00855DE5"/>
    <w:rsid w:val="008565D2"/>
    <w:rsid w:val="0085663A"/>
    <w:rsid w:val="00856DB5"/>
    <w:rsid w:val="00856E2A"/>
    <w:rsid w:val="0085785B"/>
    <w:rsid w:val="00857B4E"/>
    <w:rsid w:val="00857CF7"/>
    <w:rsid w:val="0086000F"/>
    <w:rsid w:val="00862BB2"/>
    <w:rsid w:val="00862F94"/>
    <w:rsid w:val="00863979"/>
    <w:rsid w:val="00863F41"/>
    <w:rsid w:val="008645F2"/>
    <w:rsid w:val="00865074"/>
    <w:rsid w:val="00865859"/>
    <w:rsid w:val="00866271"/>
    <w:rsid w:val="00866BE8"/>
    <w:rsid w:val="00866E05"/>
    <w:rsid w:val="008671B1"/>
    <w:rsid w:val="00867429"/>
    <w:rsid w:val="008678EB"/>
    <w:rsid w:val="00870824"/>
    <w:rsid w:val="008713F6"/>
    <w:rsid w:val="0087215F"/>
    <w:rsid w:val="00872312"/>
    <w:rsid w:val="00872A40"/>
    <w:rsid w:val="008732DB"/>
    <w:rsid w:val="008732EB"/>
    <w:rsid w:val="008735E0"/>
    <w:rsid w:val="00873A28"/>
    <w:rsid w:val="00873A82"/>
    <w:rsid w:val="00873E84"/>
    <w:rsid w:val="00874241"/>
    <w:rsid w:val="00874397"/>
    <w:rsid w:val="00876113"/>
    <w:rsid w:val="00876AE2"/>
    <w:rsid w:val="00876E67"/>
    <w:rsid w:val="0087714C"/>
    <w:rsid w:val="00877754"/>
    <w:rsid w:val="0088040F"/>
    <w:rsid w:val="00880AB9"/>
    <w:rsid w:val="0088115C"/>
    <w:rsid w:val="008827ED"/>
    <w:rsid w:val="00883891"/>
    <w:rsid w:val="008849F9"/>
    <w:rsid w:val="00884A87"/>
    <w:rsid w:val="008858BF"/>
    <w:rsid w:val="008859B8"/>
    <w:rsid w:val="00885A30"/>
    <w:rsid w:val="00886D9E"/>
    <w:rsid w:val="00886DA5"/>
    <w:rsid w:val="008904F1"/>
    <w:rsid w:val="00891395"/>
    <w:rsid w:val="00891684"/>
    <w:rsid w:val="00891D0F"/>
    <w:rsid w:val="008921C6"/>
    <w:rsid w:val="008938D3"/>
    <w:rsid w:val="00895146"/>
    <w:rsid w:val="00895536"/>
    <w:rsid w:val="00895621"/>
    <w:rsid w:val="00895A75"/>
    <w:rsid w:val="00895CA9"/>
    <w:rsid w:val="00896676"/>
    <w:rsid w:val="008967D3"/>
    <w:rsid w:val="00896E64"/>
    <w:rsid w:val="008975B9"/>
    <w:rsid w:val="008A0422"/>
    <w:rsid w:val="008A0970"/>
    <w:rsid w:val="008A10DD"/>
    <w:rsid w:val="008A1585"/>
    <w:rsid w:val="008A17E3"/>
    <w:rsid w:val="008A17E9"/>
    <w:rsid w:val="008A1942"/>
    <w:rsid w:val="008A28B4"/>
    <w:rsid w:val="008A2CEA"/>
    <w:rsid w:val="008A4262"/>
    <w:rsid w:val="008A43A2"/>
    <w:rsid w:val="008A462D"/>
    <w:rsid w:val="008A4694"/>
    <w:rsid w:val="008A58AC"/>
    <w:rsid w:val="008A5A99"/>
    <w:rsid w:val="008A68D9"/>
    <w:rsid w:val="008A6987"/>
    <w:rsid w:val="008B003B"/>
    <w:rsid w:val="008B0926"/>
    <w:rsid w:val="008B097F"/>
    <w:rsid w:val="008B133F"/>
    <w:rsid w:val="008B1704"/>
    <w:rsid w:val="008B23EF"/>
    <w:rsid w:val="008B2D61"/>
    <w:rsid w:val="008B3176"/>
    <w:rsid w:val="008B347D"/>
    <w:rsid w:val="008B3541"/>
    <w:rsid w:val="008B3830"/>
    <w:rsid w:val="008B3BA5"/>
    <w:rsid w:val="008B3BAF"/>
    <w:rsid w:val="008B514B"/>
    <w:rsid w:val="008B5D95"/>
    <w:rsid w:val="008B6F14"/>
    <w:rsid w:val="008C0417"/>
    <w:rsid w:val="008C075B"/>
    <w:rsid w:val="008C0B97"/>
    <w:rsid w:val="008C0F9E"/>
    <w:rsid w:val="008C117A"/>
    <w:rsid w:val="008C134A"/>
    <w:rsid w:val="008C1638"/>
    <w:rsid w:val="008C1F3C"/>
    <w:rsid w:val="008C1FC6"/>
    <w:rsid w:val="008C2F93"/>
    <w:rsid w:val="008C34C4"/>
    <w:rsid w:val="008C34E6"/>
    <w:rsid w:val="008C369C"/>
    <w:rsid w:val="008C36B4"/>
    <w:rsid w:val="008C63F8"/>
    <w:rsid w:val="008C6C78"/>
    <w:rsid w:val="008C703D"/>
    <w:rsid w:val="008C726B"/>
    <w:rsid w:val="008C72C7"/>
    <w:rsid w:val="008C7668"/>
    <w:rsid w:val="008D070B"/>
    <w:rsid w:val="008D0E56"/>
    <w:rsid w:val="008D156C"/>
    <w:rsid w:val="008D17B4"/>
    <w:rsid w:val="008D1C80"/>
    <w:rsid w:val="008D2083"/>
    <w:rsid w:val="008D324D"/>
    <w:rsid w:val="008D3B2B"/>
    <w:rsid w:val="008D44BA"/>
    <w:rsid w:val="008D4E6C"/>
    <w:rsid w:val="008D52E8"/>
    <w:rsid w:val="008D5E8D"/>
    <w:rsid w:val="008D5FD9"/>
    <w:rsid w:val="008D6654"/>
    <w:rsid w:val="008D66A4"/>
    <w:rsid w:val="008D6A9D"/>
    <w:rsid w:val="008D6CA2"/>
    <w:rsid w:val="008D6E66"/>
    <w:rsid w:val="008E0259"/>
    <w:rsid w:val="008E0757"/>
    <w:rsid w:val="008E0DC4"/>
    <w:rsid w:val="008E1C73"/>
    <w:rsid w:val="008E24DA"/>
    <w:rsid w:val="008E2842"/>
    <w:rsid w:val="008E33BB"/>
    <w:rsid w:val="008E38D7"/>
    <w:rsid w:val="008E3B99"/>
    <w:rsid w:val="008E3EDC"/>
    <w:rsid w:val="008E4757"/>
    <w:rsid w:val="008E525C"/>
    <w:rsid w:val="008E5575"/>
    <w:rsid w:val="008E5718"/>
    <w:rsid w:val="008E572F"/>
    <w:rsid w:val="008E5D78"/>
    <w:rsid w:val="008E5EDB"/>
    <w:rsid w:val="008E62F6"/>
    <w:rsid w:val="008E63C5"/>
    <w:rsid w:val="008E63D9"/>
    <w:rsid w:val="008E63F9"/>
    <w:rsid w:val="008E6D7F"/>
    <w:rsid w:val="008E6F4B"/>
    <w:rsid w:val="008E73AA"/>
    <w:rsid w:val="008F0A21"/>
    <w:rsid w:val="008F100C"/>
    <w:rsid w:val="008F1B16"/>
    <w:rsid w:val="008F23EB"/>
    <w:rsid w:val="008F29DC"/>
    <w:rsid w:val="008F3038"/>
    <w:rsid w:val="008F32B3"/>
    <w:rsid w:val="008F3A94"/>
    <w:rsid w:val="008F3E9B"/>
    <w:rsid w:val="008F478E"/>
    <w:rsid w:val="008F49CB"/>
    <w:rsid w:val="008F4F68"/>
    <w:rsid w:val="008F528B"/>
    <w:rsid w:val="008F5297"/>
    <w:rsid w:val="008F571F"/>
    <w:rsid w:val="008F58D2"/>
    <w:rsid w:val="008F5929"/>
    <w:rsid w:val="008F6136"/>
    <w:rsid w:val="008F697E"/>
    <w:rsid w:val="008F73AD"/>
    <w:rsid w:val="008F7D42"/>
    <w:rsid w:val="00900574"/>
    <w:rsid w:val="00900A09"/>
    <w:rsid w:val="00900D47"/>
    <w:rsid w:val="009011FA"/>
    <w:rsid w:val="00902A2B"/>
    <w:rsid w:val="00903370"/>
    <w:rsid w:val="009039A5"/>
    <w:rsid w:val="00903A5A"/>
    <w:rsid w:val="00904115"/>
    <w:rsid w:val="0090466A"/>
    <w:rsid w:val="00905441"/>
    <w:rsid w:val="009055AC"/>
    <w:rsid w:val="00905C68"/>
    <w:rsid w:val="00905EE7"/>
    <w:rsid w:val="00905FA1"/>
    <w:rsid w:val="0090612F"/>
    <w:rsid w:val="0090647C"/>
    <w:rsid w:val="009069E5"/>
    <w:rsid w:val="00906B05"/>
    <w:rsid w:val="00906DED"/>
    <w:rsid w:val="009075FA"/>
    <w:rsid w:val="00907C5B"/>
    <w:rsid w:val="00910BCE"/>
    <w:rsid w:val="00910C30"/>
    <w:rsid w:val="00910CDE"/>
    <w:rsid w:val="00911A9F"/>
    <w:rsid w:val="00911AE5"/>
    <w:rsid w:val="00911E5B"/>
    <w:rsid w:val="009121A5"/>
    <w:rsid w:val="0091271B"/>
    <w:rsid w:val="00912807"/>
    <w:rsid w:val="00912938"/>
    <w:rsid w:val="00912F84"/>
    <w:rsid w:val="00913753"/>
    <w:rsid w:val="0091379A"/>
    <w:rsid w:val="00913CAD"/>
    <w:rsid w:val="00913D7D"/>
    <w:rsid w:val="00913DC9"/>
    <w:rsid w:val="00914368"/>
    <w:rsid w:val="00914A96"/>
    <w:rsid w:val="009156D6"/>
    <w:rsid w:val="00915930"/>
    <w:rsid w:val="00915D39"/>
    <w:rsid w:val="0091668E"/>
    <w:rsid w:val="0091674D"/>
    <w:rsid w:val="0091691D"/>
    <w:rsid w:val="00916AF2"/>
    <w:rsid w:val="0091736D"/>
    <w:rsid w:val="00917469"/>
    <w:rsid w:val="00917726"/>
    <w:rsid w:val="00917AF1"/>
    <w:rsid w:val="00917C49"/>
    <w:rsid w:val="00917FFA"/>
    <w:rsid w:val="0092027C"/>
    <w:rsid w:val="00921159"/>
    <w:rsid w:val="009218BA"/>
    <w:rsid w:val="009221F5"/>
    <w:rsid w:val="00922548"/>
    <w:rsid w:val="0092348A"/>
    <w:rsid w:val="009244A7"/>
    <w:rsid w:val="009249F0"/>
    <w:rsid w:val="00924B10"/>
    <w:rsid w:val="00924C62"/>
    <w:rsid w:val="00924DB5"/>
    <w:rsid w:val="00925155"/>
    <w:rsid w:val="009256F3"/>
    <w:rsid w:val="00925AAB"/>
    <w:rsid w:val="00926731"/>
    <w:rsid w:val="00926CA5"/>
    <w:rsid w:val="00927E8E"/>
    <w:rsid w:val="009306A1"/>
    <w:rsid w:val="009309D9"/>
    <w:rsid w:val="00930CE6"/>
    <w:rsid w:val="00931772"/>
    <w:rsid w:val="009317A2"/>
    <w:rsid w:val="0093199E"/>
    <w:rsid w:val="009319D5"/>
    <w:rsid w:val="0093321C"/>
    <w:rsid w:val="0093353F"/>
    <w:rsid w:val="00933869"/>
    <w:rsid w:val="00933D15"/>
    <w:rsid w:val="00934D1A"/>
    <w:rsid w:val="00935619"/>
    <w:rsid w:val="0093569B"/>
    <w:rsid w:val="009359F9"/>
    <w:rsid w:val="00935FDB"/>
    <w:rsid w:val="00936254"/>
    <w:rsid w:val="00936F1C"/>
    <w:rsid w:val="00936FE0"/>
    <w:rsid w:val="009373B8"/>
    <w:rsid w:val="00937967"/>
    <w:rsid w:val="0094041D"/>
    <w:rsid w:val="009405EB"/>
    <w:rsid w:val="00940B5E"/>
    <w:rsid w:val="009428DF"/>
    <w:rsid w:val="00942977"/>
    <w:rsid w:val="009441A5"/>
    <w:rsid w:val="0094452B"/>
    <w:rsid w:val="00944B52"/>
    <w:rsid w:val="00944CB6"/>
    <w:rsid w:val="00944DE8"/>
    <w:rsid w:val="009452C7"/>
    <w:rsid w:val="009452F4"/>
    <w:rsid w:val="00945645"/>
    <w:rsid w:val="00945D30"/>
    <w:rsid w:val="009462F2"/>
    <w:rsid w:val="00950A31"/>
    <w:rsid w:val="00951632"/>
    <w:rsid w:val="00951D03"/>
    <w:rsid w:val="00951D7A"/>
    <w:rsid w:val="00951F5E"/>
    <w:rsid w:val="0095205E"/>
    <w:rsid w:val="00952109"/>
    <w:rsid w:val="00952457"/>
    <w:rsid w:val="00952FC1"/>
    <w:rsid w:val="0095384A"/>
    <w:rsid w:val="00953859"/>
    <w:rsid w:val="00953ABB"/>
    <w:rsid w:val="00953FD6"/>
    <w:rsid w:val="0095419C"/>
    <w:rsid w:val="00954570"/>
    <w:rsid w:val="00954C1C"/>
    <w:rsid w:val="00955981"/>
    <w:rsid w:val="009565DA"/>
    <w:rsid w:val="0095685D"/>
    <w:rsid w:val="00956E65"/>
    <w:rsid w:val="009578D2"/>
    <w:rsid w:val="00960194"/>
    <w:rsid w:val="00960AF4"/>
    <w:rsid w:val="00961070"/>
    <w:rsid w:val="00961923"/>
    <w:rsid w:val="00962A76"/>
    <w:rsid w:val="00963361"/>
    <w:rsid w:val="009633EB"/>
    <w:rsid w:val="00963CDA"/>
    <w:rsid w:val="00963DFB"/>
    <w:rsid w:val="00964492"/>
    <w:rsid w:val="009646BA"/>
    <w:rsid w:val="00964948"/>
    <w:rsid w:val="00964B9D"/>
    <w:rsid w:val="00965050"/>
    <w:rsid w:val="009650A7"/>
    <w:rsid w:val="009652F8"/>
    <w:rsid w:val="0096593E"/>
    <w:rsid w:val="00965AA5"/>
    <w:rsid w:val="00965D8B"/>
    <w:rsid w:val="00966CF2"/>
    <w:rsid w:val="009676EF"/>
    <w:rsid w:val="009679CE"/>
    <w:rsid w:val="00970390"/>
    <w:rsid w:val="00970488"/>
    <w:rsid w:val="0097181F"/>
    <w:rsid w:val="00971B21"/>
    <w:rsid w:val="009722B8"/>
    <w:rsid w:val="00972A33"/>
    <w:rsid w:val="00972D48"/>
    <w:rsid w:val="00972F7D"/>
    <w:rsid w:val="00973030"/>
    <w:rsid w:val="00973051"/>
    <w:rsid w:val="00973315"/>
    <w:rsid w:val="009742AB"/>
    <w:rsid w:val="00974B86"/>
    <w:rsid w:val="00974EE4"/>
    <w:rsid w:val="00975282"/>
    <w:rsid w:val="009756C9"/>
    <w:rsid w:val="00975E37"/>
    <w:rsid w:val="0097613C"/>
    <w:rsid w:val="009761E8"/>
    <w:rsid w:val="009766DA"/>
    <w:rsid w:val="009768DD"/>
    <w:rsid w:val="00976C54"/>
    <w:rsid w:val="0097758B"/>
    <w:rsid w:val="009775E7"/>
    <w:rsid w:val="0097789E"/>
    <w:rsid w:val="009778BB"/>
    <w:rsid w:val="00977E45"/>
    <w:rsid w:val="009801E7"/>
    <w:rsid w:val="00980215"/>
    <w:rsid w:val="009817E2"/>
    <w:rsid w:val="009818F6"/>
    <w:rsid w:val="00981B44"/>
    <w:rsid w:val="0098240F"/>
    <w:rsid w:val="00982983"/>
    <w:rsid w:val="00982D68"/>
    <w:rsid w:val="00983604"/>
    <w:rsid w:val="00985437"/>
    <w:rsid w:val="0098596B"/>
    <w:rsid w:val="00985CA4"/>
    <w:rsid w:val="00986CA9"/>
    <w:rsid w:val="00986EA7"/>
    <w:rsid w:val="009904C5"/>
    <w:rsid w:val="00990817"/>
    <w:rsid w:val="009917F3"/>
    <w:rsid w:val="00991A30"/>
    <w:rsid w:val="00992914"/>
    <w:rsid w:val="00992BFB"/>
    <w:rsid w:val="00993854"/>
    <w:rsid w:val="009945EC"/>
    <w:rsid w:val="00994A8F"/>
    <w:rsid w:val="0099508F"/>
    <w:rsid w:val="0099581A"/>
    <w:rsid w:val="00995947"/>
    <w:rsid w:val="00995E9F"/>
    <w:rsid w:val="00995F66"/>
    <w:rsid w:val="00995FF2"/>
    <w:rsid w:val="009960E7"/>
    <w:rsid w:val="00996158"/>
    <w:rsid w:val="00997843"/>
    <w:rsid w:val="009A02DD"/>
    <w:rsid w:val="009A0F10"/>
    <w:rsid w:val="009A108A"/>
    <w:rsid w:val="009A1B7C"/>
    <w:rsid w:val="009A274B"/>
    <w:rsid w:val="009A2C04"/>
    <w:rsid w:val="009A3345"/>
    <w:rsid w:val="009A35C3"/>
    <w:rsid w:val="009A4C87"/>
    <w:rsid w:val="009A4FD2"/>
    <w:rsid w:val="009A53D0"/>
    <w:rsid w:val="009A53E5"/>
    <w:rsid w:val="009A692B"/>
    <w:rsid w:val="009A7C0D"/>
    <w:rsid w:val="009B0A98"/>
    <w:rsid w:val="009B0B18"/>
    <w:rsid w:val="009B0B8D"/>
    <w:rsid w:val="009B0BA1"/>
    <w:rsid w:val="009B1346"/>
    <w:rsid w:val="009B2148"/>
    <w:rsid w:val="009B3672"/>
    <w:rsid w:val="009B36F4"/>
    <w:rsid w:val="009B4188"/>
    <w:rsid w:val="009B49E5"/>
    <w:rsid w:val="009B5ACB"/>
    <w:rsid w:val="009B5B6E"/>
    <w:rsid w:val="009B60B4"/>
    <w:rsid w:val="009B642D"/>
    <w:rsid w:val="009B710F"/>
    <w:rsid w:val="009C062A"/>
    <w:rsid w:val="009C09B1"/>
    <w:rsid w:val="009C1469"/>
    <w:rsid w:val="009C1638"/>
    <w:rsid w:val="009C1C7C"/>
    <w:rsid w:val="009C1FAD"/>
    <w:rsid w:val="009C2745"/>
    <w:rsid w:val="009C27CC"/>
    <w:rsid w:val="009C312E"/>
    <w:rsid w:val="009C366A"/>
    <w:rsid w:val="009C3D34"/>
    <w:rsid w:val="009C41EE"/>
    <w:rsid w:val="009C45BF"/>
    <w:rsid w:val="009C47A5"/>
    <w:rsid w:val="009C4983"/>
    <w:rsid w:val="009C5626"/>
    <w:rsid w:val="009C589D"/>
    <w:rsid w:val="009C683D"/>
    <w:rsid w:val="009C6924"/>
    <w:rsid w:val="009C6A22"/>
    <w:rsid w:val="009C6E8B"/>
    <w:rsid w:val="009C6F1A"/>
    <w:rsid w:val="009C7672"/>
    <w:rsid w:val="009D0342"/>
    <w:rsid w:val="009D0428"/>
    <w:rsid w:val="009D0CD0"/>
    <w:rsid w:val="009D109B"/>
    <w:rsid w:val="009D18AC"/>
    <w:rsid w:val="009D221D"/>
    <w:rsid w:val="009D2532"/>
    <w:rsid w:val="009D268A"/>
    <w:rsid w:val="009D2882"/>
    <w:rsid w:val="009D2BA6"/>
    <w:rsid w:val="009D3E17"/>
    <w:rsid w:val="009D535C"/>
    <w:rsid w:val="009D5B94"/>
    <w:rsid w:val="009D5C04"/>
    <w:rsid w:val="009D5C4B"/>
    <w:rsid w:val="009D7DF2"/>
    <w:rsid w:val="009E012E"/>
    <w:rsid w:val="009E0F48"/>
    <w:rsid w:val="009E0F5A"/>
    <w:rsid w:val="009E0FBB"/>
    <w:rsid w:val="009E119C"/>
    <w:rsid w:val="009E1396"/>
    <w:rsid w:val="009E14F9"/>
    <w:rsid w:val="009E2023"/>
    <w:rsid w:val="009E22C7"/>
    <w:rsid w:val="009E3217"/>
    <w:rsid w:val="009E329E"/>
    <w:rsid w:val="009E3520"/>
    <w:rsid w:val="009E42F5"/>
    <w:rsid w:val="009E46B0"/>
    <w:rsid w:val="009E4941"/>
    <w:rsid w:val="009E5732"/>
    <w:rsid w:val="009E5A11"/>
    <w:rsid w:val="009E5AE6"/>
    <w:rsid w:val="009E5E53"/>
    <w:rsid w:val="009E5F58"/>
    <w:rsid w:val="009E7024"/>
    <w:rsid w:val="009E7231"/>
    <w:rsid w:val="009E7992"/>
    <w:rsid w:val="009E7EF3"/>
    <w:rsid w:val="009E7EF5"/>
    <w:rsid w:val="009F02DE"/>
    <w:rsid w:val="009F0CB2"/>
    <w:rsid w:val="009F1A3D"/>
    <w:rsid w:val="009F3A7A"/>
    <w:rsid w:val="009F3A92"/>
    <w:rsid w:val="009F4849"/>
    <w:rsid w:val="009F49DB"/>
    <w:rsid w:val="009F4B75"/>
    <w:rsid w:val="009F53B5"/>
    <w:rsid w:val="009F67AD"/>
    <w:rsid w:val="009F6859"/>
    <w:rsid w:val="009F689E"/>
    <w:rsid w:val="009F6BF2"/>
    <w:rsid w:val="009F6F85"/>
    <w:rsid w:val="009F6FCE"/>
    <w:rsid w:val="009F75F7"/>
    <w:rsid w:val="009F7BB1"/>
    <w:rsid w:val="00A00018"/>
    <w:rsid w:val="00A00C96"/>
    <w:rsid w:val="00A00D49"/>
    <w:rsid w:val="00A00F92"/>
    <w:rsid w:val="00A0120A"/>
    <w:rsid w:val="00A0132E"/>
    <w:rsid w:val="00A0253A"/>
    <w:rsid w:val="00A030B1"/>
    <w:rsid w:val="00A03D2A"/>
    <w:rsid w:val="00A03DC8"/>
    <w:rsid w:val="00A0442E"/>
    <w:rsid w:val="00A04709"/>
    <w:rsid w:val="00A04E51"/>
    <w:rsid w:val="00A050CE"/>
    <w:rsid w:val="00A052CD"/>
    <w:rsid w:val="00A054FC"/>
    <w:rsid w:val="00A0636B"/>
    <w:rsid w:val="00A102E1"/>
    <w:rsid w:val="00A1077C"/>
    <w:rsid w:val="00A10BE9"/>
    <w:rsid w:val="00A10C2D"/>
    <w:rsid w:val="00A11AC7"/>
    <w:rsid w:val="00A11EA3"/>
    <w:rsid w:val="00A11F8D"/>
    <w:rsid w:val="00A11FBB"/>
    <w:rsid w:val="00A1273F"/>
    <w:rsid w:val="00A1298D"/>
    <w:rsid w:val="00A134AB"/>
    <w:rsid w:val="00A14C78"/>
    <w:rsid w:val="00A14E59"/>
    <w:rsid w:val="00A16155"/>
    <w:rsid w:val="00A167F9"/>
    <w:rsid w:val="00A170DC"/>
    <w:rsid w:val="00A20C49"/>
    <w:rsid w:val="00A20F58"/>
    <w:rsid w:val="00A21179"/>
    <w:rsid w:val="00A2204F"/>
    <w:rsid w:val="00A22408"/>
    <w:rsid w:val="00A22771"/>
    <w:rsid w:val="00A22C2F"/>
    <w:rsid w:val="00A22FFB"/>
    <w:rsid w:val="00A2369B"/>
    <w:rsid w:val="00A237BA"/>
    <w:rsid w:val="00A2382C"/>
    <w:rsid w:val="00A238D8"/>
    <w:rsid w:val="00A24756"/>
    <w:rsid w:val="00A24CF4"/>
    <w:rsid w:val="00A24E47"/>
    <w:rsid w:val="00A252F3"/>
    <w:rsid w:val="00A259CB"/>
    <w:rsid w:val="00A25D43"/>
    <w:rsid w:val="00A265A4"/>
    <w:rsid w:val="00A26D20"/>
    <w:rsid w:val="00A27520"/>
    <w:rsid w:val="00A275BA"/>
    <w:rsid w:val="00A278D5"/>
    <w:rsid w:val="00A27D6F"/>
    <w:rsid w:val="00A30FB9"/>
    <w:rsid w:val="00A31828"/>
    <w:rsid w:val="00A31944"/>
    <w:rsid w:val="00A32A71"/>
    <w:rsid w:val="00A32B61"/>
    <w:rsid w:val="00A32F7C"/>
    <w:rsid w:val="00A336D5"/>
    <w:rsid w:val="00A33943"/>
    <w:rsid w:val="00A33D74"/>
    <w:rsid w:val="00A34F14"/>
    <w:rsid w:val="00A357CB"/>
    <w:rsid w:val="00A3585A"/>
    <w:rsid w:val="00A35CB2"/>
    <w:rsid w:val="00A362C4"/>
    <w:rsid w:val="00A3639A"/>
    <w:rsid w:val="00A36776"/>
    <w:rsid w:val="00A36E13"/>
    <w:rsid w:val="00A36F6F"/>
    <w:rsid w:val="00A36FB8"/>
    <w:rsid w:val="00A37E2B"/>
    <w:rsid w:val="00A40357"/>
    <w:rsid w:val="00A41D37"/>
    <w:rsid w:val="00A423C4"/>
    <w:rsid w:val="00A42666"/>
    <w:rsid w:val="00A42B99"/>
    <w:rsid w:val="00A42BBE"/>
    <w:rsid w:val="00A42F44"/>
    <w:rsid w:val="00A42F93"/>
    <w:rsid w:val="00A43161"/>
    <w:rsid w:val="00A433E5"/>
    <w:rsid w:val="00A44758"/>
    <w:rsid w:val="00A44801"/>
    <w:rsid w:val="00A448B3"/>
    <w:rsid w:val="00A44DEA"/>
    <w:rsid w:val="00A44F3D"/>
    <w:rsid w:val="00A44F49"/>
    <w:rsid w:val="00A4537A"/>
    <w:rsid w:val="00A45FBD"/>
    <w:rsid w:val="00A460A1"/>
    <w:rsid w:val="00A462A1"/>
    <w:rsid w:val="00A46746"/>
    <w:rsid w:val="00A46763"/>
    <w:rsid w:val="00A46D59"/>
    <w:rsid w:val="00A47EBF"/>
    <w:rsid w:val="00A5028B"/>
    <w:rsid w:val="00A507A4"/>
    <w:rsid w:val="00A50835"/>
    <w:rsid w:val="00A50C06"/>
    <w:rsid w:val="00A50CC3"/>
    <w:rsid w:val="00A50F8F"/>
    <w:rsid w:val="00A52793"/>
    <w:rsid w:val="00A52B03"/>
    <w:rsid w:val="00A53079"/>
    <w:rsid w:val="00A53AA7"/>
    <w:rsid w:val="00A53F36"/>
    <w:rsid w:val="00A54F34"/>
    <w:rsid w:val="00A5589C"/>
    <w:rsid w:val="00A55B8F"/>
    <w:rsid w:val="00A56253"/>
    <w:rsid w:val="00A5656D"/>
    <w:rsid w:val="00A56599"/>
    <w:rsid w:val="00A565EB"/>
    <w:rsid w:val="00A56B83"/>
    <w:rsid w:val="00A57338"/>
    <w:rsid w:val="00A5779C"/>
    <w:rsid w:val="00A577FA"/>
    <w:rsid w:val="00A57C7A"/>
    <w:rsid w:val="00A57E25"/>
    <w:rsid w:val="00A607E1"/>
    <w:rsid w:val="00A60A98"/>
    <w:rsid w:val="00A60D8B"/>
    <w:rsid w:val="00A623DF"/>
    <w:rsid w:val="00A6255C"/>
    <w:rsid w:val="00A626FD"/>
    <w:rsid w:val="00A62B3C"/>
    <w:rsid w:val="00A631B5"/>
    <w:rsid w:val="00A63211"/>
    <w:rsid w:val="00A637AF"/>
    <w:rsid w:val="00A63AC7"/>
    <w:rsid w:val="00A64991"/>
    <w:rsid w:val="00A64EAF"/>
    <w:rsid w:val="00A64FD5"/>
    <w:rsid w:val="00A652BA"/>
    <w:rsid w:val="00A65363"/>
    <w:rsid w:val="00A656F6"/>
    <w:rsid w:val="00A65AFA"/>
    <w:rsid w:val="00A65B93"/>
    <w:rsid w:val="00A6607E"/>
    <w:rsid w:val="00A66511"/>
    <w:rsid w:val="00A6655E"/>
    <w:rsid w:val="00A67908"/>
    <w:rsid w:val="00A67E04"/>
    <w:rsid w:val="00A67FE0"/>
    <w:rsid w:val="00A7052A"/>
    <w:rsid w:val="00A70709"/>
    <w:rsid w:val="00A71201"/>
    <w:rsid w:val="00A71611"/>
    <w:rsid w:val="00A734D9"/>
    <w:rsid w:val="00A73674"/>
    <w:rsid w:val="00A7382A"/>
    <w:rsid w:val="00A739CE"/>
    <w:rsid w:val="00A73E02"/>
    <w:rsid w:val="00A7473B"/>
    <w:rsid w:val="00A754B2"/>
    <w:rsid w:val="00A7572D"/>
    <w:rsid w:val="00A76A50"/>
    <w:rsid w:val="00A774CF"/>
    <w:rsid w:val="00A777D8"/>
    <w:rsid w:val="00A77A5B"/>
    <w:rsid w:val="00A77C5C"/>
    <w:rsid w:val="00A77EAA"/>
    <w:rsid w:val="00A80659"/>
    <w:rsid w:val="00A808FB"/>
    <w:rsid w:val="00A80E07"/>
    <w:rsid w:val="00A81153"/>
    <w:rsid w:val="00A81445"/>
    <w:rsid w:val="00A81C2C"/>
    <w:rsid w:val="00A81E46"/>
    <w:rsid w:val="00A820CD"/>
    <w:rsid w:val="00A823EF"/>
    <w:rsid w:val="00A828AD"/>
    <w:rsid w:val="00A82A10"/>
    <w:rsid w:val="00A82A9E"/>
    <w:rsid w:val="00A82DA0"/>
    <w:rsid w:val="00A8320B"/>
    <w:rsid w:val="00A83540"/>
    <w:rsid w:val="00A853AC"/>
    <w:rsid w:val="00A8563B"/>
    <w:rsid w:val="00A8595B"/>
    <w:rsid w:val="00A85E4F"/>
    <w:rsid w:val="00A869EF"/>
    <w:rsid w:val="00A87458"/>
    <w:rsid w:val="00A874C1"/>
    <w:rsid w:val="00A875B4"/>
    <w:rsid w:val="00A9024D"/>
    <w:rsid w:val="00A905E7"/>
    <w:rsid w:val="00A906E6"/>
    <w:rsid w:val="00A908F1"/>
    <w:rsid w:val="00A917FC"/>
    <w:rsid w:val="00A91DC4"/>
    <w:rsid w:val="00A91E87"/>
    <w:rsid w:val="00A920A8"/>
    <w:rsid w:val="00A92148"/>
    <w:rsid w:val="00A929F0"/>
    <w:rsid w:val="00A92B91"/>
    <w:rsid w:val="00A92F63"/>
    <w:rsid w:val="00A94085"/>
    <w:rsid w:val="00A9450A"/>
    <w:rsid w:val="00A947D3"/>
    <w:rsid w:val="00A94A4D"/>
    <w:rsid w:val="00A95404"/>
    <w:rsid w:val="00A96759"/>
    <w:rsid w:val="00A96F87"/>
    <w:rsid w:val="00A97217"/>
    <w:rsid w:val="00A972A1"/>
    <w:rsid w:val="00A972F3"/>
    <w:rsid w:val="00A97523"/>
    <w:rsid w:val="00A97B98"/>
    <w:rsid w:val="00AA0FD8"/>
    <w:rsid w:val="00AA1056"/>
    <w:rsid w:val="00AA1086"/>
    <w:rsid w:val="00AA1674"/>
    <w:rsid w:val="00AA1B9A"/>
    <w:rsid w:val="00AA2530"/>
    <w:rsid w:val="00AA27E9"/>
    <w:rsid w:val="00AA2D97"/>
    <w:rsid w:val="00AA32C6"/>
    <w:rsid w:val="00AA4819"/>
    <w:rsid w:val="00AA49C1"/>
    <w:rsid w:val="00AA4E72"/>
    <w:rsid w:val="00AA5463"/>
    <w:rsid w:val="00AA6AEB"/>
    <w:rsid w:val="00AA6D3C"/>
    <w:rsid w:val="00AA795C"/>
    <w:rsid w:val="00AA7F2E"/>
    <w:rsid w:val="00AB0E5C"/>
    <w:rsid w:val="00AB1135"/>
    <w:rsid w:val="00AB14B9"/>
    <w:rsid w:val="00AB19DE"/>
    <w:rsid w:val="00AB1EAE"/>
    <w:rsid w:val="00AB20E2"/>
    <w:rsid w:val="00AB2206"/>
    <w:rsid w:val="00AB24D7"/>
    <w:rsid w:val="00AB2538"/>
    <w:rsid w:val="00AB2904"/>
    <w:rsid w:val="00AB32F5"/>
    <w:rsid w:val="00AB3306"/>
    <w:rsid w:val="00AB3467"/>
    <w:rsid w:val="00AB3A76"/>
    <w:rsid w:val="00AB55B1"/>
    <w:rsid w:val="00AB6123"/>
    <w:rsid w:val="00AB6589"/>
    <w:rsid w:val="00AB6725"/>
    <w:rsid w:val="00AB6836"/>
    <w:rsid w:val="00AB7103"/>
    <w:rsid w:val="00AB74C5"/>
    <w:rsid w:val="00AB7FDA"/>
    <w:rsid w:val="00AC1195"/>
    <w:rsid w:val="00AC1677"/>
    <w:rsid w:val="00AC1C56"/>
    <w:rsid w:val="00AC24E7"/>
    <w:rsid w:val="00AC2F56"/>
    <w:rsid w:val="00AC3146"/>
    <w:rsid w:val="00AC31D2"/>
    <w:rsid w:val="00AC386C"/>
    <w:rsid w:val="00AC3981"/>
    <w:rsid w:val="00AC39D8"/>
    <w:rsid w:val="00AC3E2B"/>
    <w:rsid w:val="00AC4663"/>
    <w:rsid w:val="00AC48F1"/>
    <w:rsid w:val="00AC490D"/>
    <w:rsid w:val="00AC5151"/>
    <w:rsid w:val="00AC5A0E"/>
    <w:rsid w:val="00AC5CE2"/>
    <w:rsid w:val="00AC5DCF"/>
    <w:rsid w:val="00AC6275"/>
    <w:rsid w:val="00AC643E"/>
    <w:rsid w:val="00AC6977"/>
    <w:rsid w:val="00AC6AE0"/>
    <w:rsid w:val="00AC6D5A"/>
    <w:rsid w:val="00AC7213"/>
    <w:rsid w:val="00AC7A05"/>
    <w:rsid w:val="00AC7BB8"/>
    <w:rsid w:val="00AC7BFF"/>
    <w:rsid w:val="00AD012D"/>
    <w:rsid w:val="00AD034D"/>
    <w:rsid w:val="00AD03BD"/>
    <w:rsid w:val="00AD0B40"/>
    <w:rsid w:val="00AD1A1D"/>
    <w:rsid w:val="00AD1A2F"/>
    <w:rsid w:val="00AD2A73"/>
    <w:rsid w:val="00AD2BC1"/>
    <w:rsid w:val="00AD2D6F"/>
    <w:rsid w:val="00AD3227"/>
    <w:rsid w:val="00AD3D5A"/>
    <w:rsid w:val="00AD44AA"/>
    <w:rsid w:val="00AD527A"/>
    <w:rsid w:val="00AD5E0F"/>
    <w:rsid w:val="00AD6263"/>
    <w:rsid w:val="00AD6371"/>
    <w:rsid w:val="00AD69C3"/>
    <w:rsid w:val="00AD6B86"/>
    <w:rsid w:val="00AD6E1C"/>
    <w:rsid w:val="00AD6E84"/>
    <w:rsid w:val="00AD6EAA"/>
    <w:rsid w:val="00AD709B"/>
    <w:rsid w:val="00AD7BE4"/>
    <w:rsid w:val="00AD7C65"/>
    <w:rsid w:val="00AE0494"/>
    <w:rsid w:val="00AE0499"/>
    <w:rsid w:val="00AE0766"/>
    <w:rsid w:val="00AE23D0"/>
    <w:rsid w:val="00AE243E"/>
    <w:rsid w:val="00AE252B"/>
    <w:rsid w:val="00AE36C8"/>
    <w:rsid w:val="00AE38CA"/>
    <w:rsid w:val="00AE399E"/>
    <w:rsid w:val="00AE3B1E"/>
    <w:rsid w:val="00AE5361"/>
    <w:rsid w:val="00AE5711"/>
    <w:rsid w:val="00AE650D"/>
    <w:rsid w:val="00AE7266"/>
    <w:rsid w:val="00AE727C"/>
    <w:rsid w:val="00AE765D"/>
    <w:rsid w:val="00AF0593"/>
    <w:rsid w:val="00AF0943"/>
    <w:rsid w:val="00AF1458"/>
    <w:rsid w:val="00AF16E3"/>
    <w:rsid w:val="00AF1FE5"/>
    <w:rsid w:val="00AF241E"/>
    <w:rsid w:val="00AF2537"/>
    <w:rsid w:val="00AF2AD2"/>
    <w:rsid w:val="00AF2EE9"/>
    <w:rsid w:val="00AF40E3"/>
    <w:rsid w:val="00AF5C4D"/>
    <w:rsid w:val="00AF5FE5"/>
    <w:rsid w:val="00AF61A3"/>
    <w:rsid w:val="00AF6369"/>
    <w:rsid w:val="00AF6789"/>
    <w:rsid w:val="00AF6D72"/>
    <w:rsid w:val="00AF72CD"/>
    <w:rsid w:val="00AF761B"/>
    <w:rsid w:val="00AF7E95"/>
    <w:rsid w:val="00B00169"/>
    <w:rsid w:val="00B003BE"/>
    <w:rsid w:val="00B00A7B"/>
    <w:rsid w:val="00B01CC5"/>
    <w:rsid w:val="00B022B9"/>
    <w:rsid w:val="00B022DE"/>
    <w:rsid w:val="00B025A2"/>
    <w:rsid w:val="00B0289B"/>
    <w:rsid w:val="00B02B1D"/>
    <w:rsid w:val="00B0304D"/>
    <w:rsid w:val="00B035A6"/>
    <w:rsid w:val="00B035DD"/>
    <w:rsid w:val="00B03609"/>
    <w:rsid w:val="00B04097"/>
    <w:rsid w:val="00B041FA"/>
    <w:rsid w:val="00B04225"/>
    <w:rsid w:val="00B0477A"/>
    <w:rsid w:val="00B0502F"/>
    <w:rsid w:val="00B05243"/>
    <w:rsid w:val="00B0700E"/>
    <w:rsid w:val="00B07066"/>
    <w:rsid w:val="00B07765"/>
    <w:rsid w:val="00B102C7"/>
    <w:rsid w:val="00B109BF"/>
    <w:rsid w:val="00B11161"/>
    <w:rsid w:val="00B117BD"/>
    <w:rsid w:val="00B11993"/>
    <w:rsid w:val="00B11AF5"/>
    <w:rsid w:val="00B11DFD"/>
    <w:rsid w:val="00B1217F"/>
    <w:rsid w:val="00B1272D"/>
    <w:rsid w:val="00B12B69"/>
    <w:rsid w:val="00B131A2"/>
    <w:rsid w:val="00B13564"/>
    <w:rsid w:val="00B13A0B"/>
    <w:rsid w:val="00B14116"/>
    <w:rsid w:val="00B1483A"/>
    <w:rsid w:val="00B14C0F"/>
    <w:rsid w:val="00B151F2"/>
    <w:rsid w:val="00B15798"/>
    <w:rsid w:val="00B15839"/>
    <w:rsid w:val="00B1746B"/>
    <w:rsid w:val="00B17AC8"/>
    <w:rsid w:val="00B20109"/>
    <w:rsid w:val="00B20982"/>
    <w:rsid w:val="00B213B0"/>
    <w:rsid w:val="00B2144B"/>
    <w:rsid w:val="00B224B4"/>
    <w:rsid w:val="00B22855"/>
    <w:rsid w:val="00B22A23"/>
    <w:rsid w:val="00B22C5D"/>
    <w:rsid w:val="00B242D8"/>
    <w:rsid w:val="00B244DA"/>
    <w:rsid w:val="00B253DB"/>
    <w:rsid w:val="00B25505"/>
    <w:rsid w:val="00B2607A"/>
    <w:rsid w:val="00B26285"/>
    <w:rsid w:val="00B26513"/>
    <w:rsid w:val="00B26A8D"/>
    <w:rsid w:val="00B26FDC"/>
    <w:rsid w:val="00B27808"/>
    <w:rsid w:val="00B27D50"/>
    <w:rsid w:val="00B27F28"/>
    <w:rsid w:val="00B30143"/>
    <w:rsid w:val="00B30778"/>
    <w:rsid w:val="00B30AE0"/>
    <w:rsid w:val="00B30D93"/>
    <w:rsid w:val="00B31B32"/>
    <w:rsid w:val="00B31D63"/>
    <w:rsid w:val="00B3379C"/>
    <w:rsid w:val="00B337DD"/>
    <w:rsid w:val="00B34462"/>
    <w:rsid w:val="00B34972"/>
    <w:rsid w:val="00B34B31"/>
    <w:rsid w:val="00B352B5"/>
    <w:rsid w:val="00B35837"/>
    <w:rsid w:val="00B35D69"/>
    <w:rsid w:val="00B35DD0"/>
    <w:rsid w:val="00B35F0B"/>
    <w:rsid w:val="00B371C8"/>
    <w:rsid w:val="00B3769C"/>
    <w:rsid w:val="00B400DA"/>
    <w:rsid w:val="00B402F7"/>
    <w:rsid w:val="00B40B36"/>
    <w:rsid w:val="00B410D8"/>
    <w:rsid w:val="00B41142"/>
    <w:rsid w:val="00B4132D"/>
    <w:rsid w:val="00B413A7"/>
    <w:rsid w:val="00B413EF"/>
    <w:rsid w:val="00B42629"/>
    <w:rsid w:val="00B427F4"/>
    <w:rsid w:val="00B429AE"/>
    <w:rsid w:val="00B435E8"/>
    <w:rsid w:val="00B43A0F"/>
    <w:rsid w:val="00B43F5B"/>
    <w:rsid w:val="00B445DA"/>
    <w:rsid w:val="00B4554B"/>
    <w:rsid w:val="00B459DA"/>
    <w:rsid w:val="00B4661B"/>
    <w:rsid w:val="00B47B02"/>
    <w:rsid w:val="00B47E71"/>
    <w:rsid w:val="00B50554"/>
    <w:rsid w:val="00B50B6E"/>
    <w:rsid w:val="00B50EFC"/>
    <w:rsid w:val="00B515EC"/>
    <w:rsid w:val="00B51A5F"/>
    <w:rsid w:val="00B51D2A"/>
    <w:rsid w:val="00B52136"/>
    <w:rsid w:val="00B5243A"/>
    <w:rsid w:val="00B52A7F"/>
    <w:rsid w:val="00B52B9D"/>
    <w:rsid w:val="00B53A04"/>
    <w:rsid w:val="00B55276"/>
    <w:rsid w:val="00B563DB"/>
    <w:rsid w:val="00B56EBE"/>
    <w:rsid w:val="00B57109"/>
    <w:rsid w:val="00B579F1"/>
    <w:rsid w:val="00B57AF2"/>
    <w:rsid w:val="00B57BDA"/>
    <w:rsid w:val="00B57CBE"/>
    <w:rsid w:val="00B611EF"/>
    <w:rsid w:val="00B6160F"/>
    <w:rsid w:val="00B61D3E"/>
    <w:rsid w:val="00B61EB7"/>
    <w:rsid w:val="00B6227A"/>
    <w:rsid w:val="00B6302A"/>
    <w:rsid w:val="00B63899"/>
    <w:rsid w:val="00B63CFC"/>
    <w:rsid w:val="00B6461D"/>
    <w:rsid w:val="00B64800"/>
    <w:rsid w:val="00B65044"/>
    <w:rsid w:val="00B65AD1"/>
    <w:rsid w:val="00B66073"/>
    <w:rsid w:val="00B66C5B"/>
    <w:rsid w:val="00B67118"/>
    <w:rsid w:val="00B675AC"/>
    <w:rsid w:val="00B67AB5"/>
    <w:rsid w:val="00B67F74"/>
    <w:rsid w:val="00B7068C"/>
    <w:rsid w:val="00B70898"/>
    <w:rsid w:val="00B71767"/>
    <w:rsid w:val="00B718A3"/>
    <w:rsid w:val="00B72C62"/>
    <w:rsid w:val="00B73E21"/>
    <w:rsid w:val="00B740ED"/>
    <w:rsid w:val="00B744A6"/>
    <w:rsid w:val="00B74C48"/>
    <w:rsid w:val="00B7518B"/>
    <w:rsid w:val="00B757F5"/>
    <w:rsid w:val="00B75C37"/>
    <w:rsid w:val="00B7636B"/>
    <w:rsid w:val="00B763EB"/>
    <w:rsid w:val="00B766D5"/>
    <w:rsid w:val="00B77460"/>
    <w:rsid w:val="00B776A4"/>
    <w:rsid w:val="00B7793B"/>
    <w:rsid w:val="00B8005B"/>
    <w:rsid w:val="00B8017F"/>
    <w:rsid w:val="00B80862"/>
    <w:rsid w:val="00B80BF0"/>
    <w:rsid w:val="00B8195A"/>
    <w:rsid w:val="00B81F73"/>
    <w:rsid w:val="00B82BF2"/>
    <w:rsid w:val="00B82D48"/>
    <w:rsid w:val="00B83263"/>
    <w:rsid w:val="00B83D9B"/>
    <w:rsid w:val="00B83DEA"/>
    <w:rsid w:val="00B83E51"/>
    <w:rsid w:val="00B83F21"/>
    <w:rsid w:val="00B845FF"/>
    <w:rsid w:val="00B846BA"/>
    <w:rsid w:val="00B85F75"/>
    <w:rsid w:val="00B863C1"/>
    <w:rsid w:val="00B86DEA"/>
    <w:rsid w:val="00B870A4"/>
    <w:rsid w:val="00B87D07"/>
    <w:rsid w:val="00B87FA8"/>
    <w:rsid w:val="00B90077"/>
    <w:rsid w:val="00B902CA"/>
    <w:rsid w:val="00B90929"/>
    <w:rsid w:val="00B91FAE"/>
    <w:rsid w:val="00B9286A"/>
    <w:rsid w:val="00B92CC8"/>
    <w:rsid w:val="00B9305A"/>
    <w:rsid w:val="00B9319C"/>
    <w:rsid w:val="00B9396B"/>
    <w:rsid w:val="00B93F24"/>
    <w:rsid w:val="00B949E1"/>
    <w:rsid w:val="00B94BFD"/>
    <w:rsid w:val="00B94D0F"/>
    <w:rsid w:val="00B95048"/>
    <w:rsid w:val="00B95097"/>
    <w:rsid w:val="00B95BF2"/>
    <w:rsid w:val="00B96212"/>
    <w:rsid w:val="00B9645B"/>
    <w:rsid w:val="00B9648D"/>
    <w:rsid w:val="00B97DF0"/>
    <w:rsid w:val="00B97EC5"/>
    <w:rsid w:val="00B97ECB"/>
    <w:rsid w:val="00BA0BC5"/>
    <w:rsid w:val="00BA230E"/>
    <w:rsid w:val="00BA26D2"/>
    <w:rsid w:val="00BA2F18"/>
    <w:rsid w:val="00BA3004"/>
    <w:rsid w:val="00BA36E4"/>
    <w:rsid w:val="00BA524B"/>
    <w:rsid w:val="00BA538F"/>
    <w:rsid w:val="00BA568F"/>
    <w:rsid w:val="00BA631A"/>
    <w:rsid w:val="00BA6922"/>
    <w:rsid w:val="00BA7379"/>
    <w:rsid w:val="00BA73E5"/>
    <w:rsid w:val="00BA7EF8"/>
    <w:rsid w:val="00BB0081"/>
    <w:rsid w:val="00BB0257"/>
    <w:rsid w:val="00BB026E"/>
    <w:rsid w:val="00BB0FC2"/>
    <w:rsid w:val="00BB1BBE"/>
    <w:rsid w:val="00BB2617"/>
    <w:rsid w:val="00BB35EA"/>
    <w:rsid w:val="00BB5757"/>
    <w:rsid w:val="00BB5FA2"/>
    <w:rsid w:val="00BB61E9"/>
    <w:rsid w:val="00BB66BB"/>
    <w:rsid w:val="00BB6803"/>
    <w:rsid w:val="00BB6C06"/>
    <w:rsid w:val="00BB6D1B"/>
    <w:rsid w:val="00BB762C"/>
    <w:rsid w:val="00BB79E1"/>
    <w:rsid w:val="00BB7CDA"/>
    <w:rsid w:val="00BC0308"/>
    <w:rsid w:val="00BC07D6"/>
    <w:rsid w:val="00BC08D8"/>
    <w:rsid w:val="00BC0D6B"/>
    <w:rsid w:val="00BC0FDE"/>
    <w:rsid w:val="00BC1869"/>
    <w:rsid w:val="00BC1CEF"/>
    <w:rsid w:val="00BC274E"/>
    <w:rsid w:val="00BC47B4"/>
    <w:rsid w:val="00BC4D5A"/>
    <w:rsid w:val="00BC5541"/>
    <w:rsid w:val="00BC5BAD"/>
    <w:rsid w:val="00BC5BB2"/>
    <w:rsid w:val="00BC5D29"/>
    <w:rsid w:val="00BC61D1"/>
    <w:rsid w:val="00BC6EC1"/>
    <w:rsid w:val="00BC7A9C"/>
    <w:rsid w:val="00BD028E"/>
    <w:rsid w:val="00BD0568"/>
    <w:rsid w:val="00BD07FE"/>
    <w:rsid w:val="00BD1907"/>
    <w:rsid w:val="00BD1950"/>
    <w:rsid w:val="00BD1DEF"/>
    <w:rsid w:val="00BD21F4"/>
    <w:rsid w:val="00BD39A4"/>
    <w:rsid w:val="00BD3EFC"/>
    <w:rsid w:val="00BD3F6C"/>
    <w:rsid w:val="00BD4404"/>
    <w:rsid w:val="00BD4771"/>
    <w:rsid w:val="00BD4BB9"/>
    <w:rsid w:val="00BD536E"/>
    <w:rsid w:val="00BD554A"/>
    <w:rsid w:val="00BD5B3A"/>
    <w:rsid w:val="00BD5BBC"/>
    <w:rsid w:val="00BD64D1"/>
    <w:rsid w:val="00BD764A"/>
    <w:rsid w:val="00BD7A34"/>
    <w:rsid w:val="00BD7F31"/>
    <w:rsid w:val="00BE0520"/>
    <w:rsid w:val="00BE11FA"/>
    <w:rsid w:val="00BE1286"/>
    <w:rsid w:val="00BE26F7"/>
    <w:rsid w:val="00BE2A01"/>
    <w:rsid w:val="00BE2F59"/>
    <w:rsid w:val="00BE33F1"/>
    <w:rsid w:val="00BE3518"/>
    <w:rsid w:val="00BE36F3"/>
    <w:rsid w:val="00BE3866"/>
    <w:rsid w:val="00BE3BBD"/>
    <w:rsid w:val="00BE3C22"/>
    <w:rsid w:val="00BE3E52"/>
    <w:rsid w:val="00BE43CE"/>
    <w:rsid w:val="00BE491D"/>
    <w:rsid w:val="00BE4AEA"/>
    <w:rsid w:val="00BE4B17"/>
    <w:rsid w:val="00BE4C10"/>
    <w:rsid w:val="00BE4D1D"/>
    <w:rsid w:val="00BE5C95"/>
    <w:rsid w:val="00BE5ECB"/>
    <w:rsid w:val="00BE6AFF"/>
    <w:rsid w:val="00BE6F98"/>
    <w:rsid w:val="00BE7303"/>
    <w:rsid w:val="00BE73A1"/>
    <w:rsid w:val="00BF00F0"/>
    <w:rsid w:val="00BF0309"/>
    <w:rsid w:val="00BF04B8"/>
    <w:rsid w:val="00BF0B49"/>
    <w:rsid w:val="00BF154F"/>
    <w:rsid w:val="00BF267A"/>
    <w:rsid w:val="00BF2E4B"/>
    <w:rsid w:val="00BF3151"/>
    <w:rsid w:val="00BF435F"/>
    <w:rsid w:val="00BF471B"/>
    <w:rsid w:val="00BF51F9"/>
    <w:rsid w:val="00BF5892"/>
    <w:rsid w:val="00BF5A69"/>
    <w:rsid w:val="00BF634C"/>
    <w:rsid w:val="00BF760F"/>
    <w:rsid w:val="00BF7996"/>
    <w:rsid w:val="00BF7EE0"/>
    <w:rsid w:val="00C000B3"/>
    <w:rsid w:val="00C01334"/>
    <w:rsid w:val="00C013D6"/>
    <w:rsid w:val="00C015F9"/>
    <w:rsid w:val="00C018C0"/>
    <w:rsid w:val="00C01998"/>
    <w:rsid w:val="00C02197"/>
    <w:rsid w:val="00C0245B"/>
    <w:rsid w:val="00C0265A"/>
    <w:rsid w:val="00C0291C"/>
    <w:rsid w:val="00C032A8"/>
    <w:rsid w:val="00C03E27"/>
    <w:rsid w:val="00C04103"/>
    <w:rsid w:val="00C0452A"/>
    <w:rsid w:val="00C04943"/>
    <w:rsid w:val="00C04CAA"/>
    <w:rsid w:val="00C05565"/>
    <w:rsid w:val="00C05606"/>
    <w:rsid w:val="00C05EEC"/>
    <w:rsid w:val="00C0669F"/>
    <w:rsid w:val="00C071FA"/>
    <w:rsid w:val="00C074DC"/>
    <w:rsid w:val="00C075CF"/>
    <w:rsid w:val="00C07877"/>
    <w:rsid w:val="00C07AE8"/>
    <w:rsid w:val="00C10C98"/>
    <w:rsid w:val="00C10D9D"/>
    <w:rsid w:val="00C1115B"/>
    <w:rsid w:val="00C117E0"/>
    <w:rsid w:val="00C11F0D"/>
    <w:rsid w:val="00C12082"/>
    <w:rsid w:val="00C1237A"/>
    <w:rsid w:val="00C12734"/>
    <w:rsid w:val="00C12E47"/>
    <w:rsid w:val="00C12F21"/>
    <w:rsid w:val="00C13855"/>
    <w:rsid w:val="00C138BA"/>
    <w:rsid w:val="00C13F65"/>
    <w:rsid w:val="00C1449D"/>
    <w:rsid w:val="00C14F7B"/>
    <w:rsid w:val="00C1509A"/>
    <w:rsid w:val="00C15493"/>
    <w:rsid w:val="00C15E51"/>
    <w:rsid w:val="00C15EDE"/>
    <w:rsid w:val="00C16809"/>
    <w:rsid w:val="00C20471"/>
    <w:rsid w:val="00C20488"/>
    <w:rsid w:val="00C21499"/>
    <w:rsid w:val="00C2153B"/>
    <w:rsid w:val="00C21A34"/>
    <w:rsid w:val="00C22F49"/>
    <w:rsid w:val="00C2392B"/>
    <w:rsid w:val="00C23F99"/>
    <w:rsid w:val="00C24192"/>
    <w:rsid w:val="00C24200"/>
    <w:rsid w:val="00C24437"/>
    <w:rsid w:val="00C24E53"/>
    <w:rsid w:val="00C255FC"/>
    <w:rsid w:val="00C25DDA"/>
    <w:rsid w:val="00C26863"/>
    <w:rsid w:val="00C274FB"/>
    <w:rsid w:val="00C27A50"/>
    <w:rsid w:val="00C30B6A"/>
    <w:rsid w:val="00C30BB8"/>
    <w:rsid w:val="00C31CF7"/>
    <w:rsid w:val="00C31D39"/>
    <w:rsid w:val="00C31DBC"/>
    <w:rsid w:val="00C32253"/>
    <w:rsid w:val="00C3317E"/>
    <w:rsid w:val="00C335F5"/>
    <w:rsid w:val="00C336A5"/>
    <w:rsid w:val="00C33A4D"/>
    <w:rsid w:val="00C34693"/>
    <w:rsid w:val="00C34908"/>
    <w:rsid w:val="00C35485"/>
    <w:rsid w:val="00C354F5"/>
    <w:rsid w:val="00C3591D"/>
    <w:rsid w:val="00C35B15"/>
    <w:rsid w:val="00C35D98"/>
    <w:rsid w:val="00C36808"/>
    <w:rsid w:val="00C376F1"/>
    <w:rsid w:val="00C378E1"/>
    <w:rsid w:val="00C37C56"/>
    <w:rsid w:val="00C402CC"/>
    <w:rsid w:val="00C40C36"/>
    <w:rsid w:val="00C411B4"/>
    <w:rsid w:val="00C41398"/>
    <w:rsid w:val="00C41CE1"/>
    <w:rsid w:val="00C427AB"/>
    <w:rsid w:val="00C4311A"/>
    <w:rsid w:val="00C448DB"/>
    <w:rsid w:val="00C454D9"/>
    <w:rsid w:val="00C46122"/>
    <w:rsid w:val="00C46149"/>
    <w:rsid w:val="00C462C0"/>
    <w:rsid w:val="00C463A7"/>
    <w:rsid w:val="00C466D0"/>
    <w:rsid w:val="00C46DB2"/>
    <w:rsid w:val="00C46F89"/>
    <w:rsid w:val="00C4706E"/>
    <w:rsid w:val="00C4756B"/>
    <w:rsid w:val="00C47D8D"/>
    <w:rsid w:val="00C47D9A"/>
    <w:rsid w:val="00C47FAA"/>
    <w:rsid w:val="00C507E2"/>
    <w:rsid w:val="00C50AA8"/>
    <w:rsid w:val="00C50E11"/>
    <w:rsid w:val="00C51168"/>
    <w:rsid w:val="00C51861"/>
    <w:rsid w:val="00C519D2"/>
    <w:rsid w:val="00C51C20"/>
    <w:rsid w:val="00C52022"/>
    <w:rsid w:val="00C52AAD"/>
    <w:rsid w:val="00C52B42"/>
    <w:rsid w:val="00C53AF7"/>
    <w:rsid w:val="00C541B9"/>
    <w:rsid w:val="00C55775"/>
    <w:rsid w:val="00C557D7"/>
    <w:rsid w:val="00C55A10"/>
    <w:rsid w:val="00C55AEA"/>
    <w:rsid w:val="00C56CC8"/>
    <w:rsid w:val="00C57B48"/>
    <w:rsid w:val="00C61C5E"/>
    <w:rsid w:val="00C61F72"/>
    <w:rsid w:val="00C62231"/>
    <w:rsid w:val="00C6270D"/>
    <w:rsid w:val="00C63307"/>
    <w:rsid w:val="00C6374D"/>
    <w:rsid w:val="00C64677"/>
    <w:rsid w:val="00C64AED"/>
    <w:rsid w:val="00C64DF1"/>
    <w:rsid w:val="00C64E45"/>
    <w:rsid w:val="00C64EEC"/>
    <w:rsid w:val="00C65A78"/>
    <w:rsid w:val="00C65CDD"/>
    <w:rsid w:val="00C667A5"/>
    <w:rsid w:val="00C675C2"/>
    <w:rsid w:val="00C67710"/>
    <w:rsid w:val="00C67A9B"/>
    <w:rsid w:val="00C70056"/>
    <w:rsid w:val="00C70431"/>
    <w:rsid w:val="00C70485"/>
    <w:rsid w:val="00C70F97"/>
    <w:rsid w:val="00C728A7"/>
    <w:rsid w:val="00C72ACF"/>
    <w:rsid w:val="00C72AFE"/>
    <w:rsid w:val="00C72BDB"/>
    <w:rsid w:val="00C72D0A"/>
    <w:rsid w:val="00C72E3B"/>
    <w:rsid w:val="00C7411E"/>
    <w:rsid w:val="00C746A5"/>
    <w:rsid w:val="00C74906"/>
    <w:rsid w:val="00C749A1"/>
    <w:rsid w:val="00C749CD"/>
    <w:rsid w:val="00C74B04"/>
    <w:rsid w:val="00C74C84"/>
    <w:rsid w:val="00C75BDA"/>
    <w:rsid w:val="00C75C6C"/>
    <w:rsid w:val="00C760B7"/>
    <w:rsid w:val="00C76CAF"/>
    <w:rsid w:val="00C77514"/>
    <w:rsid w:val="00C77763"/>
    <w:rsid w:val="00C8007C"/>
    <w:rsid w:val="00C81481"/>
    <w:rsid w:val="00C8215A"/>
    <w:rsid w:val="00C823A6"/>
    <w:rsid w:val="00C823F0"/>
    <w:rsid w:val="00C82810"/>
    <w:rsid w:val="00C835B8"/>
    <w:rsid w:val="00C83A95"/>
    <w:rsid w:val="00C83BE1"/>
    <w:rsid w:val="00C84021"/>
    <w:rsid w:val="00C840BD"/>
    <w:rsid w:val="00C84119"/>
    <w:rsid w:val="00C84E88"/>
    <w:rsid w:val="00C857AB"/>
    <w:rsid w:val="00C85AA6"/>
    <w:rsid w:val="00C8643D"/>
    <w:rsid w:val="00C86826"/>
    <w:rsid w:val="00C875CC"/>
    <w:rsid w:val="00C901CC"/>
    <w:rsid w:val="00C90958"/>
    <w:rsid w:val="00C90DFB"/>
    <w:rsid w:val="00C912C2"/>
    <w:rsid w:val="00C914B2"/>
    <w:rsid w:val="00C915DB"/>
    <w:rsid w:val="00C91CDE"/>
    <w:rsid w:val="00C927D8"/>
    <w:rsid w:val="00C928BE"/>
    <w:rsid w:val="00C92D6E"/>
    <w:rsid w:val="00C93499"/>
    <w:rsid w:val="00C93F19"/>
    <w:rsid w:val="00C94796"/>
    <w:rsid w:val="00C94A67"/>
    <w:rsid w:val="00C9544E"/>
    <w:rsid w:val="00C958CD"/>
    <w:rsid w:val="00C96C95"/>
    <w:rsid w:val="00CA018A"/>
    <w:rsid w:val="00CA1026"/>
    <w:rsid w:val="00CA18FA"/>
    <w:rsid w:val="00CA2B30"/>
    <w:rsid w:val="00CA384C"/>
    <w:rsid w:val="00CA38F1"/>
    <w:rsid w:val="00CA3EBD"/>
    <w:rsid w:val="00CA50AA"/>
    <w:rsid w:val="00CA51DF"/>
    <w:rsid w:val="00CA5296"/>
    <w:rsid w:val="00CA5636"/>
    <w:rsid w:val="00CA604C"/>
    <w:rsid w:val="00CA63C6"/>
    <w:rsid w:val="00CA6694"/>
    <w:rsid w:val="00CA66F6"/>
    <w:rsid w:val="00CA7091"/>
    <w:rsid w:val="00CA7288"/>
    <w:rsid w:val="00CA72BF"/>
    <w:rsid w:val="00CA7321"/>
    <w:rsid w:val="00CA734F"/>
    <w:rsid w:val="00CA7792"/>
    <w:rsid w:val="00CA7912"/>
    <w:rsid w:val="00CA7B46"/>
    <w:rsid w:val="00CA7F00"/>
    <w:rsid w:val="00CB010F"/>
    <w:rsid w:val="00CB0A24"/>
    <w:rsid w:val="00CB0DAA"/>
    <w:rsid w:val="00CB0EA2"/>
    <w:rsid w:val="00CB1636"/>
    <w:rsid w:val="00CB1905"/>
    <w:rsid w:val="00CB3639"/>
    <w:rsid w:val="00CB3827"/>
    <w:rsid w:val="00CB47FF"/>
    <w:rsid w:val="00CB4BF8"/>
    <w:rsid w:val="00CB5128"/>
    <w:rsid w:val="00CB52AE"/>
    <w:rsid w:val="00CB6981"/>
    <w:rsid w:val="00CB7281"/>
    <w:rsid w:val="00CC02FC"/>
    <w:rsid w:val="00CC0A47"/>
    <w:rsid w:val="00CC1713"/>
    <w:rsid w:val="00CC1840"/>
    <w:rsid w:val="00CC1C01"/>
    <w:rsid w:val="00CC1C36"/>
    <w:rsid w:val="00CC1D4C"/>
    <w:rsid w:val="00CC253F"/>
    <w:rsid w:val="00CC25A8"/>
    <w:rsid w:val="00CC260B"/>
    <w:rsid w:val="00CC321B"/>
    <w:rsid w:val="00CC3BDE"/>
    <w:rsid w:val="00CC3C81"/>
    <w:rsid w:val="00CC4B9C"/>
    <w:rsid w:val="00CC4FB2"/>
    <w:rsid w:val="00CC525F"/>
    <w:rsid w:val="00CC53A0"/>
    <w:rsid w:val="00CC641E"/>
    <w:rsid w:val="00CC66AF"/>
    <w:rsid w:val="00CC671B"/>
    <w:rsid w:val="00CC6C24"/>
    <w:rsid w:val="00CC6D4D"/>
    <w:rsid w:val="00CC7A76"/>
    <w:rsid w:val="00CC7D50"/>
    <w:rsid w:val="00CD0615"/>
    <w:rsid w:val="00CD1513"/>
    <w:rsid w:val="00CD1831"/>
    <w:rsid w:val="00CD21FE"/>
    <w:rsid w:val="00CD2889"/>
    <w:rsid w:val="00CD3849"/>
    <w:rsid w:val="00CD3DE3"/>
    <w:rsid w:val="00CD40F9"/>
    <w:rsid w:val="00CD415A"/>
    <w:rsid w:val="00CD41FC"/>
    <w:rsid w:val="00CD4887"/>
    <w:rsid w:val="00CD4F5C"/>
    <w:rsid w:val="00CD52AD"/>
    <w:rsid w:val="00CD5BEA"/>
    <w:rsid w:val="00CD5DE0"/>
    <w:rsid w:val="00CD5F06"/>
    <w:rsid w:val="00CD6742"/>
    <w:rsid w:val="00CD6CF5"/>
    <w:rsid w:val="00CD718B"/>
    <w:rsid w:val="00CD73E9"/>
    <w:rsid w:val="00CD7982"/>
    <w:rsid w:val="00CD7C51"/>
    <w:rsid w:val="00CE0E1B"/>
    <w:rsid w:val="00CE165F"/>
    <w:rsid w:val="00CE1AC0"/>
    <w:rsid w:val="00CE1DFA"/>
    <w:rsid w:val="00CE2671"/>
    <w:rsid w:val="00CE2936"/>
    <w:rsid w:val="00CE45E2"/>
    <w:rsid w:val="00CE4770"/>
    <w:rsid w:val="00CE53C6"/>
    <w:rsid w:val="00CE5885"/>
    <w:rsid w:val="00CE61C2"/>
    <w:rsid w:val="00CE70C9"/>
    <w:rsid w:val="00CE748D"/>
    <w:rsid w:val="00CE796E"/>
    <w:rsid w:val="00CF0278"/>
    <w:rsid w:val="00CF0D0C"/>
    <w:rsid w:val="00CF1717"/>
    <w:rsid w:val="00CF235E"/>
    <w:rsid w:val="00CF2CA6"/>
    <w:rsid w:val="00CF3363"/>
    <w:rsid w:val="00CF3944"/>
    <w:rsid w:val="00CF3A0C"/>
    <w:rsid w:val="00CF3D28"/>
    <w:rsid w:val="00CF4263"/>
    <w:rsid w:val="00CF5234"/>
    <w:rsid w:val="00CF5BFA"/>
    <w:rsid w:val="00CF7140"/>
    <w:rsid w:val="00CF7146"/>
    <w:rsid w:val="00D016E4"/>
    <w:rsid w:val="00D01796"/>
    <w:rsid w:val="00D01DC1"/>
    <w:rsid w:val="00D02818"/>
    <w:rsid w:val="00D028AC"/>
    <w:rsid w:val="00D02E6A"/>
    <w:rsid w:val="00D037C8"/>
    <w:rsid w:val="00D043B1"/>
    <w:rsid w:val="00D04742"/>
    <w:rsid w:val="00D056F0"/>
    <w:rsid w:val="00D05A79"/>
    <w:rsid w:val="00D06999"/>
    <w:rsid w:val="00D07184"/>
    <w:rsid w:val="00D1085F"/>
    <w:rsid w:val="00D10991"/>
    <w:rsid w:val="00D11105"/>
    <w:rsid w:val="00D11261"/>
    <w:rsid w:val="00D11416"/>
    <w:rsid w:val="00D1186A"/>
    <w:rsid w:val="00D11A7F"/>
    <w:rsid w:val="00D11A96"/>
    <w:rsid w:val="00D11D31"/>
    <w:rsid w:val="00D12790"/>
    <w:rsid w:val="00D12E8C"/>
    <w:rsid w:val="00D130AB"/>
    <w:rsid w:val="00D131CF"/>
    <w:rsid w:val="00D133F0"/>
    <w:rsid w:val="00D13981"/>
    <w:rsid w:val="00D14D2D"/>
    <w:rsid w:val="00D15268"/>
    <w:rsid w:val="00D15AF6"/>
    <w:rsid w:val="00D161EC"/>
    <w:rsid w:val="00D1660C"/>
    <w:rsid w:val="00D172C0"/>
    <w:rsid w:val="00D1743D"/>
    <w:rsid w:val="00D17BF2"/>
    <w:rsid w:val="00D17C79"/>
    <w:rsid w:val="00D200E1"/>
    <w:rsid w:val="00D20363"/>
    <w:rsid w:val="00D206D3"/>
    <w:rsid w:val="00D2170B"/>
    <w:rsid w:val="00D21B9B"/>
    <w:rsid w:val="00D22A70"/>
    <w:rsid w:val="00D235ED"/>
    <w:rsid w:val="00D24C23"/>
    <w:rsid w:val="00D24FA0"/>
    <w:rsid w:val="00D255AC"/>
    <w:rsid w:val="00D260BD"/>
    <w:rsid w:val="00D27187"/>
    <w:rsid w:val="00D27ACE"/>
    <w:rsid w:val="00D27AE6"/>
    <w:rsid w:val="00D30AAF"/>
    <w:rsid w:val="00D313C4"/>
    <w:rsid w:val="00D314A0"/>
    <w:rsid w:val="00D31DD9"/>
    <w:rsid w:val="00D34349"/>
    <w:rsid w:val="00D34433"/>
    <w:rsid w:val="00D34AEA"/>
    <w:rsid w:val="00D35042"/>
    <w:rsid w:val="00D36752"/>
    <w:rsid w:val="00D36AFF"/>
    <w:rsid w:val="00D372AE"/>
    <w:rsid w:val="00D3782D"/>
    <w:rsid w:val="00D40609"/>
    <w:rsid w:val="00D409C5"/>
    <w:rsid w:val="00D40B57"/>
    <w:rsid w:val="00D40E50"/>
    <w:rsid w:val="00D424EA"/>
    <w:rsid w:val="00D42A22"/>
    <w:rsid w:val="00D42FD1"/>
    <w:rsid w:val="00D433A5"/>
    <w:rsid w:val="00D43867"/>
    <w:rsid w:val="00D439CC"/>
    <w:rsid w:val="00D43B3B"/>
    <w:rsid w:val="00D44102"/>
    <w:rsid w:val="00D449A7"/>
    <w:rsid w:val="00D44E96"/>
    <w:rsid w:val="00D45207"/>
    <w:rsid w:val="00D45CD7"/>
    <w:rsid w:val="00D46293"/>
    <w:rsid w:val="00D4677A"/>
    <w:rsid w:val="00D46A77"/>
    <w:rsid w:val="00D50091"/>
    <w:rsid w:val="00D512A1"/>
    <w:rsid w:val="00D518B9"/>
    <w:rsid w:val="00D522DE"/>
    <w:rsid w:val="00D528F3"/>
    <w:rsid w:val="00D53176"/>
    <w:rsid w:val="00D5358F"/>
    <w:rsid w:val="00D53633"/>
    <w:rsid w:val="00D53D52"/>
    <w:rsid w:val="00D5501F"/>
    <w:rsid w:val="00D55315"/>
    <w:rsid w:val="00D5684B"/>
    <w:rsid w:val="00D56BD3"/>
    <w:rsid w:val="00D56D04"/>
    <w:rsid w:val="00D57388"/>
    <w:rsid w:val="00D60EFA"/>
    <w:rsid w:val="00D613AE"/>
    <w:rsid w:val="00D613F8"/>
    <w:rsid w:val="00D6201D"/>
    <w:rsid w:val="00D62499"/>
    <w:rsid w:val="00D62EFC"/>
    <w:rsid w:val="00D62F6B"/>
    <w:rsid w:val="00D6481D"/>
    <w:rsid w:val="00D65D0E"/>
    <w:rsid w:val="00D65D78"/>
    <w:rsid w:val="00D67024"/>
    <w:rsid w:val="00D670E8"/>
    <w:rsid w:val="00D67B29"/>
    <w:rsid w:val="00D67DD9"/>
    <w:rsid w:val="00D70D68"/>
    <w:rsid w:val="00D71798"/>
    <w:rsid w:val="00D7186D"/>
    <w:rsid w:val="00D71965"/>
    <w:rsid w:val="00D71A73"/>
    <w:rsid w:val="00D72330"/>
    <w:rsid w:val="00D72655"/>
    <w:rsid w:val="00D7309F"/>
    <w:rsid w:val="00D73222"/>
    <w:rsid w:val="00D734D8"/>
    <w:rsid w:val="00D73834"/>
    <w:rsid w:val="00D74481"/>
    <w:rsid w:val="00D74CD2"/>
    <w:rsid w:val="00D768AD"/>
    <w:rsid w:val="00D76B53"/>
    <w:rsid w:val="00D76B71"/>
    <w:rsid w:val="00D7796F"/>
    <w:rsid w:val="00D77B2A"/>
    <w:rsid w:val="00D77D99"/>
    <w:rsid w:val="00D80172"/>
    <w:rsid w:val="00D80871"/>
    <w:rsid w:val="00D8144A"/>
    <w:rsid w:val="00D81904"/>
    <w:rsid w:val="00D82C4E"/>
    <w:rsid w:val="00D83110"/>
    <w:rsid w:val="00D8431D"/>
    <w:rsid w:val="00D84377"/>
    <w:rsid w:val="00D843FA"/>
    <w:rsid w:val="00D84A8E"/>
    <w:rsid w:val="00D850FA"/>
    <w:rsid w:val="00D8533C"/>
    <w:rsid w:val="00D8580E"/>
    <w:rsid w:val="00D86754"/>
    <w:rsid w:val="00D86755"/>
    <w:rsid w:val="00D868F7"/>
    <w:rsid w:val="00D87C81"/>
    <w:rsid w:val="00D87DB1"/>
    <w:rsid w:val="00D87E83"/>
    <w:rsid w:val="00D87F3A"/>
    <w:rsid w:val="00D87FA9"/>
    <w:rsid w:val="00D904C4"/>
    <w:rsid w:val="00D9094E"/>
    <w:rsid w:val="00D90B0C"/>
    <w:rsid w:val="00D91AFB"/>
    <w:rsid w:val="00D91CFA"/>
    <w:rsid w:val="00D94A32"/>
    <w:rsid w:val="00D95355"/>
    <w:rsid w:val="00D95933"/>
    <w:rsid w:val="00D95B92"/>
    <w:rsid w:val="00D967E5"/>
    <w:rsid w:val="00D96D31"/>
    <w:rsid w:val="00D96D91"/>
    <w:rsid w:val="00D970AE"/>
    <w:rsid w:val="00DA041F"/>
    <w:rsid w:val="00DA1B9E"/>
    <w:rsid w:val="00DA1F9D"/>
    <w:rsid w:val="00DA24F9"/>
    <w:rsid w:val="00DA2EEE"/>
    <w:rsid w:val="00DA375A"/>
    <w:rsid w:val="00DA3ADC"/>
    <w:rsid w:val="00DA4052"/>
    <w:rsid w:val="00DA4C2D"/>
    <w:rsid w:val="00DA5696"/>
    <w:rsid w:val="00DA63E5"/>
    <w:rsid w:val="00DA6878"/>
    <w:rsid w:val="00DA741B"/>
    <w:rsid w:val="00DA793F"/>
    <w:rsid w:val="00DB1314"/>
    <w:rsid w:val="00DB1A19"/>
    <w:rsid w:val="00DB1FDE"/>
    <w:rsid w:val="00DB2742"/>
    <w:rsid w:val="00DB2745"/>
    <w:rsid w:val="00DB275F"/>
    <w:rsid w:val="00DB2D1C"/>
    <w:rsid w:val="00DB33AC"/>
    <w:rsid w:val="00DB4863"/>
    <w:rsid w:val="00DB4B1C"/>
    <w:rsid w:val="00DB510D"/>
    <w:rsid w:val="00DB51E8"/>
    <w:rsid w:val="00DB628E"/>
    <w:rsid w:val="00DB62B3"/>
    <w:rsid w:val="00DB6787"/>
    <w:rsid w:val="00DB6A32"/>
    <w:rsid w:val="00DB71E7"/>
    <w:rsid w:val="00DC10CB"/>
    <w:rsid w:val="00DC10FD"/>
    <w:rsid w:val="00DC1DD3"/>
    <w:rsid w:val="00DC26AB"/>
    <w:rsid w:val="00DC2895"/>
    <w:rsid w:val="00DC32B6"/>
    <w:rsid w:val="00DC3FD9"/>
    <w:rsid w:val="00DC40CE"/>
    <w:rsid w:val="00DC4CE9"/>
    <w:rsid w:val="00DC5014"/>
    <w:rsid w:val="00DC518B"/>
    <w:rsid w:val="00DC51B8"/>
    <w:rsid w:val="00DC5391"/>
    <w:rsid w:val="00DC5766"/>
    <w:rsid w:val="00DC68C9"/>
    <w:rsid w:val="00DC73A2"/>
    <w:rsid w:val="00DC7442"/>
    <w:rsid w:val="00DC7961"/>
    <w:rsid w:val="00DC7B5F"/>
    <w:rsid w:val="00DC7F39"/>
    <w:rsid w:val="00DD006D"/>
    <w:rsid w:val="00DD04FA"/>
    <w:rsid w:val="00DD0550"/>
    <w:rsid w:val="00DD064C"/>
    <w:rsid w:val="00DD0A3B"/>
    <w:rsid w:val="00DD1533"/>
    <w:rsid w:val="00DD179D"/>
    <w:rsid w:val="00DD1855"/>
    <w:rsid w:val="00DD19B7"/>
    <w:rsid w:val="00DD1F1B"/>
    <w:rsid w:val="00DD1F6F"/>
    <w:rsid w:val="00DD2078"/>
    <w:rsid w:val="00DD2247"/>
    <w:rsid w:val="00DD2666"/>
    <w:rsid w:val="00DD2AFF"/>
    <w:rsid w:val="00DD2FF4"/>
    <w:rsid w:val="00DD320E"/>
    <w:rsid w:val="00DD409F"/>
    <w:rsid w:val="00DD4286"/>
    <w:rsid w:val="00DD436E"/>
    <w:rsid w:val="00DD4389"/>
    <w:rsid w:val="00DD450C"/>
    <w:rsid w:val="00DD4C82"/>
    <w:rsid w:val="00DD4D8F"/>
    <w:rsid w:val="00DD5F9B"/>
    <w:rsid w:val="00DD7392"/>
    <w:rsid w:val="00DD795D"/>
    <w:rsid w:val="00DD79DB"/>
    <w:rsid w:val="00DD7FCE"/>
    <w:rsid w:val="00DE008E"/>
    <w:rsid w:val="00DE02DC"/>
    <w:rsid w:val="00DE0439"/>
    <w:rsid w:val="00DE0736"/>
    <w:rsid w:val="00DE0D4C"/>
    <w:rsid w:val="00DE156C"/>
    <w:rsid w:val="00DE2861"/>
    <w:rsid w:val="00DE2A48"/>
    <w:rsid w:val="00DE398E"/>
    <w:rsid w:val="00DE4C06"/>
    <w:rsid w:val="00DE4D9D"/>
    <w:rsid w:val="00DE4F3A"/>
    <w:rsid w:val="00DE533B"/>
    <w:rsid w:val="00DE53EA"/>
    <w:rsid w:val="00DE54F4"/>
    <w:rsid w:val="00DE6717"/>
    <w:rsid w:val="00DE69F2"/>
    <w:rsid w:val="00DE6D67"/>
    <w:rsid w:val="00DE70DE"/>
    <w:rsid w:val="00DE72E4"/>
    <w:rsid w:val="00DE73EF"/>
    <w:rsid w:val="00DE75F4"/>
    <w:rsid w:val="00DE781C"/>
    <w:rsid w:val="00DF02EF"/>
    <w:rsid w:val="00DF0960"/>
    <w:rsid w:val="00DF1453"/>
    <w:rsid w:val="00DF1EDE"/>
    <w:rsid w:val="00DF2425"/>
    <w:rsid w:val="00DF3B8D"/>
    <w:rsid w:val="00DF4B1F"/>
    <w:rsid w:val="00DF52DC"/>
    <w:rsid w:val="00DF5D82"/>
    <w:rsid w:val="00DF6B41"/>
    <w:rsid w:val="00DF6D02"/>
    <w:rsid w:val="00DF79B0"/>
    <w:rsid w:val="00E003FF"/>
    <w:rsid w:val="00E01C28"/>
    <w:rsid w:val="00E01EB3"/>
    <w:rsid w:val="00E02AA5"/>
    <w:rsid w:val="00E03322"/>
    <w:rsid w:val="00E03555"/>
    <w:rsid w:val="00E04215"/>
    <w:rsid w:val="00E04CC5"/>
    <w:rsid w:val="00E05A72"/>
    <w:rsid w:val="00E05CDC"/>
    <w:rsid w:val="00E06131"/>
    <w:rsid w:val="00E062EC"/>
    <w:rsid w:val="00E06D1C"/>
    <w:rsid w:val="00E071E3"/>
    <w:rsid w:val="00E078E7"/>
    <w:rsid w:val="00E10D6C"/>
    <w:rsid w:val="00E111C3"/>
    <w:rsid w:val="00E117C3"/>
    <w:rsid w:val="00E1180C"/>
    <w:rsid w:val="00E11C7B"/>
    <w:rsid w:val="00E1234D"/>
    <w:rsid w:val="00E126A8"/>
    <w:rsid w:val="00E12867"/>
    <w:rsid w:val="00E12E7A"/>
    <w:rsid w:val="00E13375"/>
    <w:rsid w:val="00E1350C"/>
    <w:rsid w:val="00E14430"/>
    <w:rsid w:val="00E1547A"/>
    <w:rsid w:val="00E1628B"/>
    <w:rsid w:val="00E1642F"/>
    <w:rsid w:val="00E17388"/>
    <w:rsid w:val="00E208DC"/>
    <w:rsid w:val="00E21569"/>
    <w:rsid w:val="00E21916"/>
    <w:rsid w:val="00E21BBF"/>
    <w:rsid w:val="00E223E4"/>
    <w:rsid w:val="00E24761"/>
    <w:rsid w:val="00E24847"/>
    <w:rsid w:val="00E24A5D"/>
    <w:rsid w:val="00E24EB7"/>
    <w:rsid w:val="00E2567C"/>
    <w:rsid w:val="00E25BF0"/>
    <w:rsid w:val="00E2756B"/>
    <w:rsid w:val="00E3004D"/>
    <w:rsid w:val="00E3018C"/>
    <w:rsid w:val="00E30AA6"/>
    <w:rsid w:val="00E317E6"/>
    <w:rsid w:val="00E32E95"/>
    <w:rsid w:val="00E33750"/>
    <w:rsid w:val="00E337AE"/>
    <w:rsid w:val="00E35AAD"/>
    <w:rsid w:val="00E36672"/>
    <w:rsid w:val="00E37748"/>
    <w:rsid w:val="00E37D42"/>
    <w:rsid w:val="00E40601"/>
    <w:rsid w:val="00E40D43"/>
    <w:rsid w:val="00E40FBF"/>
    <w:rsid w:val="00E415D2"/>
    <w:rsid w:val="00E41AC2"/>
    <w:rsid w:val="00E41C3F"/>
    <w:rsid w:val="00E4219D"/>
    <w:rsid w:val="00E4224E"/>
    <w:rsid w:val="00E4267C"/>
    <w:rsid w:val="00E43DA9"/>
    <w:rsid w:val="00E4496E"/>
    <w:rsid w:val="00E4525E"/>
    <w:rsid w:val="00E45374"/>
    <w:rsid w:val="00E45647"/>
    <w:rsid w:val="00E456B7"/>
    <w:rsid w:val="00E46381"/>
    <w:rsid w:val="00E466BF"/>
    <w:rsid w:val="00E46871"/>
    <w:rsid w:val="00E46A67"/>
    <w:rsid w:val="00E46BED"/>
    <w:rsid w:val="00E47060"/>
    <w:rsid w:val="00E473E8"/>
    <w:rsid w:val="00E4776F"/>
    <w:rsid w:val="00E47C55"/>
    <w:rsid w:val="00E500A9"/>
    <w:rsid w:val="00E5024A"/>
    <w:rsid w:val="00E50347"/>
    <w:rsid w:val="00E507B5"/>
    <w:rsid w:val="00E5153D"/>
    <w:rsid w:val="00E518B9"/>
    <w:rsid w:val="00E52667"/>
    <w:rsid w:val="00E53CF9"/>
    <w:rsid w:val="00E53EC1"/>
    <w:rsid w:val="00E54069"/>
    <w:rsid w:val="00E5463F"/>
    <w:rsid w:val="00E54856"/>
    <w:rsid w:val="00E552A5"/>
    <w:rsid w:val="00E55626"/>
    <w:rsid w:val="00E55FE7"/>
    <w:rsid w:val="00E56887"/>
    <w:rsid w:val="00E56D4A"/>
    <w:rsid w:val="00E5753B"/>
    <w:rsid w:val="00E604B9"/>
    <w:rsid w:val="00E6151D"/>
    <w:rsid w:val="00E61DB3"/>
    <w:rsid w:val="00E631FA"/>
    <w:rsid w:val="00E643EC"/>
    <w:rsid w:val="00E64BA9"/>
    <w:rsid w:val="00E656EE"/>
    <w:rsid w:val="00E6575B"/>
    <w:rsid w:val="00E6580B"/>
    <w:rsid w:val="00E66397"/>
    <w:rsid w:val="00E666C7"/>
    <w:rsid w:val="00E66C13"/>
    <w:rsid w:val="00E67459"/>
    <w:rsid w:val="00E675C1"/>
    <w:rsid w:val="00E676FC"/>
    <w:rsid w:val="00E67CC1"/>
    <w:rsid w:val="00E67D61"/>
    <w:rsid w:val="00E709BF"/>
    <w:rsid w:val="00E70AAB"/>
    <w:rsid w:val="00E70B25"/>
    <w:rsid w:val="00E70D20"/>
    <w:rsid w:val="00E71606"/>
    <w:rsid w:val="00E721F7"/>
    <w:rsid w:val="00E72293"/>
    <w:rsid w:val="00E7254A"/>
    <w:rsid w:val="00E751CC"/>
    <w:rsid w:val="00E751FA"/>
    <w:rsid w:val="00E75615"/>
    <w:rsid w:val="00E75A3F"/>
    <w:rsid w:val="00E75B09"/>
    <w:rsid w:val="00E75C0C"/>
    <w:rsid w:val="00E76311"/>
    <w:rsid w:val="00E76371"/>
    <w:rsid w:val="00E766AF"/>
    <w:rsid w:val="00E76B0C"/>
    <w:rsid w:val="00E771A8"/>
    <w:rsid w:val="00E775A9"/>
    <w:rsid w:val="00E77A18"/>
    <w:rsid w:val="00E81651"/>
    <w:rsid w:val="00E81CAA"/>
    <w:rsid w:val="00E82D40"/>
    <w:rsid w:val="00E833EF"/>
    <w:rsid w:val="00E84313"/>
    <w:rsid w:val="00E84544"/>
    <w:rsid w:val="00E84E8F"/>
    <w:rsid w:val="00E85641"/>
    <w:rsid w:val="00E85790"/>
    <w:rsid w:val="00E85939"/>
    <w:rsid w:val="00E85A0C"/>
    <w:rsid w:val="00E85EFD"/>
    <w:rsid w:val="00E85FA0"/>
    <w:rsid w:val="00E86792"/>
    <w:rsid w:val="00E86BC7"/>
    <w:rsid w:val="00E86D84"/>
    <w:rsid w:val="00E8705E"/>
    <w:rsid w:val="00E87CBD"/>
    <w:rsid w:val="00E9075B"/>
    <w:rsid w:val="00E90B43"/>
    <w:rsid w:val="00E91055"/>
    <w:rsid w:val="00E91345"/>
    <w:rsid w:val="00E91979"/>
    <w:rsid w:val="00E919B1"/>
    <w:rsid w:val="00E91A6E"/>
    <w:rsid w:val="00E91CA9"/>
    <w:rsid w:val="00E9230D"/>
    <w:rsid w:val="00E92534"/>
    <w:rsid w:val="00E9274B"/>
    <w:rsid w:val="00E929A7"/>
    <w:rsid w:val="00E92B52"/>
    <w:rsid w:val="00E931A5"/>
    <w:rsid w:val="00E93E08"/>
    <w:rsid w:val="00E941A2"/>
    <w:rsid w:val="00E943C9"/>
    <w:rsid w:val="00E94E64"/>
    <w:rsid w:val="00E95288"/>
    <w:rsid w:val="00E95A42"/>
    <w:rsid w:val="00E95AD0"/>
    <w:rsid w:val="00E963D1"/>
    <w:rsid w:val="00E96A5D"/>
    <w:rsid w:val="00E96B99"/>
    <w:rsid w:val="00E96F0A"/>
    <w:rsid w:val="00EA1368"/>
    <w:rsid w:val="00EA1541"/>
    <w:rsid w:val="00EA179A"/>
    <w:rsid w:val="00EA1C40"/>
    <w:rsid w:val="00EA1C89"/>
    <w:rsid w:val="00EA22FE"/>
    <w:rsid w:val="00EA2596"/>
    <w:rsid w:val="00EA2681"/>
    <w:rsid w:val="00EA3543"/>
    <w:rsid w:val="00EA35AE"/>
    <w:rsid w:val="00EA43C1"/>
    <w:rsid w:val="00EA5749"/>
    <w:rsid w:val="00EA62E9"/>
    <w:rsid w:val="00EA6968"/>
    <w:rsid w:val="00EA6DD4"/>
    <w:rsid w:val="00EA6EE9"/>
    <w:rsid w:val="00EA7331"/>
    <w:rsid w:val="00EA73A7"/>
    <w:rsid w:val="00EA7611"/>
    <w:rsid w:val="00EA7698"/>
    <w:rsid w:val="00EB063F"/>
    <w:rsid w:val="00EB1321"/>
    <w:rsid w:val="00EB14B6"/>
    <w:rsid w:val="00EB178F"/>
    <w:rsid w:val="00EB1D02"/>
    <w:rsid w:val="00EB2FEA"/>
    <w:rsid w:val="00EB309A"/>
    <w:rsid w:val="00EB31FE"/>
    <w:rsid w:val="00EB34AD"/>
    <w:rsid w:val="00EB3E32"/>
    <w:rsid w:val="00EB4566"/>
    <w:rsid w:val="00EB46A7"/>
    <w:rsid w:val="00EB4CA9"/>
    <w:rsid w:val="00EB4F76"/>
    <w:rsid w:val="00EB580C"/>
    <w:rsid w:val="00EB5A52"/>
    <w:rsid w:val="00EB5F3A"/>
    <w:rsid w:val="00EB6128"/>
    <w:rsid w:val="00EB6664"/>
    <w:rsid w:val="00EB6A21"/>
    <w:rsid w:val="00EB6AFE"/>
    <w:rsid w:val="00EB6B49"/>
    <w:rsid w:val="00EC0506"/>
    <w:rsid w:val="00EC0613"/>
    <w:rsid w:val="00EC0E9B"/>
    <w:rsid w:val="00EC1CDB"/>
    <w:rsid w:val="00EC1DDF"/>
    <w:rsid w:val="00EC21C9"/>
    <w:rsid w:val="00EC29F0"/>
    <w:rsid w:val="00EC2E05"/>
    <w:rsid w:val="00EC2E1B"/>
    <w:rsid w:val="00EC3426"/>
    <w:rsid w:val="00EC34E2"/>
    <w:rsid w:val="00EC34F5"/>
    <w:rsid w:val="00EC3A7F"/>
    <w:rsid w:val="00EC4093"/>
    <w:rsid w:val="00EC425C"/>
    <w:rsid w:val="00EC474D"/>
    <w:rsid w:val="00EC4CA3"/>
    <w:rsid w:val="00EC4E1C"/>
    <w:rsid w:val="00EC5155"/>
    <w:rsid w:val="00EC5838"/>
    <w:rsid w:val="00EC63EF"/>
    <w:rsid w:val="00EC697E"/>
    <w:rsid w:val="00EC69DE"/>
    <w:rsid w:val="00EC69E0"/>
    <w:rsid w:val="00EC754C"/>
    <w:rsid w:val="00EC7681"/>
    <w:rsid w:val="00ED0061"/>
    <w:rsid w:val="00ED045B"/>
    <w:rsid w:val="00ED0D1E"/>
    <w:rsid w:val="00ED10D5"/>
    <w:rsid w:val="00ED1679"/>
    <w:rsid w:val="00ED234B"/>
    <w:rsid w:val="00ED3115"/>
    <w:rsid w:val="00ED3F58"/>
    <w:rsid w:val="00ED4C27"/>
    <w:rsid w:val="00ED5125"/>
    <w:rsid w:val="00ED526B"/>
    <w:rsid w:val="00ED5487"/>
    <w:rsid w:val="00ED58A1"/>
    <w:rsid w:val="00ED629C"/>
    <w:rsid w:val="00ED792B"/>
    <w:rsid w:val="00ED7A59"/>
    <w:rsid w:val="00EE0535"/>
    <w:rsid w:val="00EE0B66"/>
    <w:rsid w:val="00EE1382"/>
    <w:rsid w:val="00EE13AC"/>
    <w:rsid w:val="00EE1428"/>
    <w:rsid w:val="00EE1AD6"/>
    <w:rsid w:val="00EE1B82"/>
    <w:rsid w:val="00EE21DA"/>
    <w:rsid w:val="00EE252D"/>
    <w:rsid w:val="00EE2A83"/>
    <w:rsid w:val="00EE34C1"/>
    <w:rsid w:val="00EE37C1"/>
    <w:rsid w:val="00EE436F"/>
    <w:rsid w:val="00EE4ABB"/>
    <w:rsid w:val="00EE56C3"/>
    <w:rsid w:val="00EE5887"/>
    <w:rsid w:val="00EE5F3E"/>
    <w:rsid w:val="00EE680B"/>
    <w:rsid w:val="00EE7783"/>
    <w:rsid w:val="00EF0A0C"/>
    <w:rsid w:val="00EF0F1C"/>
    <w:rsid w:val="00EF0FA9"/>
    <w:rsid w:val="00EF158B"/>
    <w:rsid w:val="00EF1C33"/>
    <w:rsid w:val="00EF2580"/>
    <w:rsid w:val="00EF2A67"/>
    <w:rsid w:val="00EF2D32"/>
    <w:rsid w:val="00EF34B6"/>
    <w:rsid w:val="00EF3798"/>
    <w:rsid w:val="00EF3B2A"/>
    <w:rsid w:val="00EF3BBB"/>
    <w:rsid w:val="00EF3ED7"/>
    <w:rsid w:val="00EF473A"/>
    <w:rsid w:val="00EF4963"/>
    <w:rsid w:val="00EF49BF"/>
    <w:rsid w:val="00EF4F96"/>
    <w:rsid w:val="00EF53EA"/>
    <w:rsid w:val="00EF562B"/>
    <w:rsid w:val="00EF577F"/>
    <w:rsid w:val="00EF5784"/>
    <w:rsid w:val="00EF5F2D"/>
    <w:rsid w:val="00EF6093"/>
    <w:rsid w:val="00EF6DAA"/>
    <w:rsid w:val="00EF7231"/>
    <w:rsid w:val="00F00132"/>
    <w:rsid w:val="00F00AF4"/>
    <w:rsid w:val="00F01417"/>
    <w:rsid w:val="00F01ECD"/>
    <w:rsid w:val="00F026E1"/>
    <w:rsid w:val="00F02887"/>
    <w:rsid w:val="00F028AA"/>
    <w:rsid w:val="00F02B51"/>
    <w:rsid w:val="00F02B7E"/>
    <w:rsid w:val="00F02F2A"/>
    <w:rsid w:val="00F0326E"/>
    <w:rsid w:val="00F03629"/>
    <w:rsid w:val="00F036E7"/>
    <w:rsid w:val="00F045C0"/>
    <w:rsid w:val="00F04A55"/>
    <w:rsid w:val="00F04EC8"/>
    <w:rsid w:val="00F051D9"/>
    <w:rsid w:val="00F05AF8"/>
    <w:rsid w:val="00F06A8D"/>
    <w:rsid w:val="00F06C5F"/>
    <w:rsid w:val="00F071AA"/>
    <w:rsid w:val="00F0785C"/>
    <w:rsid w:val="00F07F41"/>
    <w:rsid w:val="00F07FCE"/>
    <w:rsid w:val="00F1019A"/>
    <w:rsid w:val="00F10AF5"/>
    <w:rsid w:val="00F11AA5"/>
    <w:rsid w:val="00F12496"/>
    <w:rsid w:val="00F126EC"/>
    <w:rsid w:val="00F12995"/>
    <w:rsid w:val="00F12D78"/>
    <w:rsid w:val="00F13165"/>
    <w:rsid w:val="00F1324A"/>
    <w:rsid w:val="00F1338C"/>
    <w:rsid w:val="00F13A0B"/>
    <w:rsid w:val="00F13C69"/>
    <w:rsid w:val="00F13E31"/>
    <w:rsid w:val="00F147AE"/>
    <w:rsid w:val="00F148D1"/>
    <w:rsid w:val="00F14FB4"/>
    <w:rsid w:val="00F1598B"/>
    <w:rsid w:val="00F15CBA"/>
    <w:rsid w:val="00F17D1B"/>
    <w:rsid w:val="00F17DBF"/>
    <w:rsid w:val="00F223F3"/>
    <w:rsid w:val="00F22747"/>
    <w:rsid w:val="00F23209"/>
    <w:rsid w:val="00F23E79"/>
    <w:rsid w:val="00F23F95"/>
    <w:rsid w:val="00F23FDA"/>
    <w:rsid w:val="00F24565"/>
    <w:rsid w:val="00F24EA2"/>
    <w:rsid w:val="00F2552E"/>
    <w:rsid w:val="00F2574A"/>
    <w:rsid w:val="00F258D4"/>
    <w:rsid w:val="00F25B30"/>
    <w:rsid w:val="00F2616A"/>
    <w:rsid w:val="00F26672"/>
    <w:rsid w:val="00F266DB"/>
    <w:rsid w:val="00F26A79"/>
    <w:rsid w:val="00F26C5F"/>
    <w:rsid w:val="00F26F5E"/>
    <w:rsid w:val="00F27A4B"/>
    <w:rsid w:val="00F30704"/>
    <w:rsid w:val="00F3099C"/>
    <w:rsid w:val="00F30F4C"/>
    <w:rsid w:val="00F3120D"/>
    <w:rsid w:val="00F316BC"/>
    <w:rsid w:val="00F31E90"/>
    <w:rsid w:val="00F324F7"/>
    <w:rsid w:val="00F32661"/>
    <w:rsid w:val="00F33F69"/>
    <w:rsid w:val="00F3442A"/>
    <w:rsid w:val="00F35859"/>
    <w:rsid w:val="00F35ABB"/>
    <w:rsid w:val="00F363D1"/>
    <w:rsid w:val="00F36BF5"/>
    <w:rsid w:val="00F36BF7"/>
    <w:rsid w:val="00F37107"/>
    <w:rsid w:val="00F37EED"/>
    <w:rsid w:val="00F40893"/>
    <w:rsid w:val="00F41683"/>
    <w:rsid w:val="00F41B97"/>
    <w:rsid w:val="00F4212C"/>
    <w:rsid w:val="00F42D1E"/>
    <w:rsid w:val="00F43666"/>
    <w:rsid w:val="00F44D60"/>
    <w:rsid w:val="00F44D62"/>
    <w:rsid w:val="00F44F07"/>
    <w:rsid w:val="00F4575C"/>
    <w:rsid w:val="00F46B75"/>
    <w:rsid w:val="00F47110"/>
    <w:rsid w:val="00F47267"/>
    <w:rsid w:val="00F4736C"/>
    <w:rsid w:val="00F4787A"/>
    <w:rsid w:val="00F47AAB"/>
    <w:rsid w:val="00F47E4B"/>
    <w:rsid w:val="00F50469"/>
    <w:rsid w:val="00F5095B"/>
    <w:rsid w:val="00F50B9E"/>
    <w:rsid w:val="00F517F1"/>
    <w:rsid w:val="00F51908"/>
    <w:rsid w:val="00F524B4"/>
    <w:rsid w:val="00F53209"/>
    <w:rsid w:val="00F534F5"/>
    <w:rsid w:val="00F53F72"/>
    <w:rsid w:val="00F54777"/>
    <w:rsid w:val="00F54CFD"/>
    <w:rsid w:val="00F55476"/>
    <w:rsid w:val="00F5593D"/>
    <w:rsid w:val="00F56722"/>
    <w:rsid w:val="00F568F9"/>
    <w:rsid w:val="00F56B03"/>
    <w:rsid w:val="00F56B37"/>
    <w:rsid w:val="00F56FB4"/>
    <w:rsid w:val="00F576C2"/>
    <w:rsid w:val="00F577EC"/>
    <w:rsid w:val="00F57852"/>
    <w:rsid w:val="00F57C82"/>
    <w:rsid w:val="00F600C5"/>
    <w:rsid w:val="00F600F1"/>
    <w:rsid w:val="00F6056B"/>
    <w:rsid w:val="00F606EE"/>
    <w:rsid w:val="00F60757"/>
    <w:rsid w:val="00F6143D"/>
    <w:rsid w:val="00F61D23"/>
    <w:rsid w:val="00F61EE5"/>
    <w:rsid w:val="00F61EFE"/>
    <w:rsid w:val="00F6285E"/>
    <w:rsid w:val="00F63565"/>
    <w:rsid w:val="00F63CF4"/>
    <w:rsid w:val="00F63DFF"/>
    <w:rsid w:val="00F640B1"/>
    <w:rsid w:val="00F642FC"/>
    <w:rsid w:val="00F65694"/>
    <w:rsid w:val="00F65C10"/>
    <w:rsid w:val="00F66209"/>
    <w:rsid w:val="00F66CC9"/>
    <w:rsid w:val="00F67704"/>
    <w:rsid w:val="00F677AC"/>
    <w:rsid w:val="00F6784F"/>
    <w:rsid w:val="00F703DF"/>
    <w:rsid w:val="00F70555"/>
    <w:rsid w:val="00F707C4"/>
    <w:rsid w:val="00F70F01"/>
    <w:rsid w:val="00F7166E"/>
    <w:rsid w:val="00F71725"/>
    <w:rsid w:val="00F717AE"/>
    <w:rsid w:val="00F71C56"/>
    <w:rsid w:val="00F72086"/>
    <w:rsid w:val="00F72871"/>
    <w:rsid w:val="00F72BBC"/>
    <w:rsid w:val="00F7326B"/>
    <w:rsid w:val="00F73CC3"/>
    <w:rsid w:val="00F744C7"/>
    <w:rsid w:val="00F747FA"/>
    <w:rsid w:val="00F74A75"/>
    <w:rsid w:val="00F74BFD"/>
    <w:rsid w:val="00F75E3A"/>
    <w:rsid w:val="00F75EAE"/>
    <w:rsid w:val="00F76440"/>
    <w:rsid w:val="00F768FE"/>
    <w:rsid w:val="00F76C66"/>
    <w:rsid w:val="00F76C83"/>
    <w:rsid w:val="00F778BB"/>
    <w:rsid w:val="00F77AEA"/>
    <w:rsid w:val="00F808AC"/>
    <w:rsid w:val="00F812F6"/>
    <w:rsid w:val="00F81A21"/>
    <w:rsid w:val="00F8292D"/>
    <w:rsid w:val="00F82930"/>
    <w:rsid w:val="00F82AEF"/>
    <w:rsid w:val="00F83080"/>
    <w:rsid w:val="00F83A6B"/>
    <w:rsid w:val="00F83B29"/>
    <w:rsid w:val="00F83D21"/>
    <w:rsid w:val="00F84194"/>
    <w:rsid w:val="00F844F6"/>
    <w:rsid w:val="00F8522B"/>
    <w:rsid w:val="00F8563A"/>
    <w:rsid w:val="00F864FE"/>
    <w:rsid w:val="00F86D9C"/>
    <w:rsid w:val="00F86E27"/>
    <w:rsid w:val="00F874F7"/>
    <w:rsid w:val="00F87CFE"/>
    <w:rsid w:val="00F87E5A"/>
    <w:rsid w:val="00F9005A"/>
    <w:rsid w:val="00F905B2"/>
    <w:rsid w:val="00F908E7"/>
    <w:rsid w:val="00F90D52"/>
    <w:rsid w:val="00F91213"/>
    <w:rsid w:val="00F91A77"/>
    <w:rsid w:val="00F91E13"/>
    <w:rsid w:val="00F921DA"/>
    <w:rsid w:val="00F93455"/>
    <w:rsid w:val="00F935C4"/>
    <w:rsid w:val="00F93934"/>
    <w:rsid w:val="00F93988"/>
    <w:rsid w:val="00F93F42"/>
    <w:rsid w:val="00F95678"/>
    <w:rsid w:val="00F95E93"/>
    <w:rsid w:val="00F9632B"/>
    <w:rsid w:val="00F968AD"/>
    <w:rsid w:val="00F968BB"/>
    <w:rsid w:val="00F96C9B"/>
    <w:rsid w:val="00F9743A"/>
    <w:rsid w:val="00F9764D"/>
    <w:rsid w:val="00F97AE1"/>
    <w:rsid w:val="00FA04C5"/>
    <w:rsid w:val="00FA07AA"/>
    <w:rsid w:val="00FA0851"/>
    <w:rsid w:val="00FA1046"/>
    <w:rsid w:val="00FA12C9"/>
    <w:rsid w:val="00FA1422"/>
    <w:rsid w:val="00FA1D42"/>
    <w:rsid w:val="00FA2381"/>
    <w:rsid w:val="00FA270F"/>
    <w:rsid w:val="00FA37FB"/>
    <w:rsid w:val="00FA3ADD"/>
    <w:rsid w:val="00FA3BBB"/>
    <w:rsid w:val="00FA4036"/>
    <w:rsid w:val="00FA4370"/>
    <w:rsid w:val="00FA4A64"/>
    <w:rsid w:val="00FA5146"/>
    <w:rsid w:val="00FA59B4"/>
    <w:rsid w:val="00FA59B5"/>
    <w:rsid w:val="00FA5BB2"/>
    <w:rsid w:val="00FA665B"/>
    <w:rsid w:val="00FA6A2A"/>
    <w:rsid w:val="00FA7291"/>
    <w:rsid w:val="00FA7BFC"/>
    <w:rsid w:val="00FA7E63"/>
    <w:rsid w:val="00FB0758"/>
    <w:rsid w:val="00FB0858"/>
    <w:rsid w:val="00FB0933"/>
    <w:rsid w:val="00FB09C1"/>
    <w:rsid w:val="00FB0A41"/>
    <w:rsid w:val="00FB1FC6"/>
    <w:rsid w:val="00FB20A6"/>
    <w:rsid w:val="00FB2137"/>
    <w:rsid w:val="00FB21F4"/>
    <w:rsid w:val="00FB2315"/>
    <w:rsid w:val="00FB2B51"/>
    <w:rsid w:val="00FB45B4"/>
    <w:rsid w:val="00FB45CF"/>
    <w:rsid w:val="00FB503F"/>
    <w:rsid w:val="00FB5AB0"/>
    <w:rsid w:val="00FB6195"/>
    <w:rsid w:val="00FB61A4"/>
    <w:rsid w:val="00FB7146"/>
    <w:rsid w:val="00FB7E6D"/>
    <w:rsid w:val="00FC0259"/>
    <w:rsid w:val="00FC04D2"/>
    <w:rsid w:val="00FC08C9"/>
    <w:rsid w:val="00FC0F31"/>
    <w:rsid w:val="00FC10AD"/>
    <w:rsid w:val="00FC126D"/>
    <w:rsid w:val="00FC1809"/>
    <w:rsid w:val="00FC247C"/>
    <w:rsid w:val="00FC2581"/>
    <w:rsid w:val="00FC2832"/>
    <w:rsid w:val="00FC2C54"/>
    <w:rsid w:val="00FC328D"/>
    <w:rsid w:val="00FC3534"/>
    <w:rsid w:val="00FC35EB"/>
    <w:rsid w:val="00FC453A"/>
    <w:rsid w:val="00FC4868"/>
    <w:rsid w:val="00FC4E2F"/>
    <w:rsid w:val="00FC535A"/>
    <w:rsid w:val="00FC57A7"/>
    <w:rsid w:val="00FC6116"/>
    <w:rsid w:val="00FC6D1C"/>
    <w:rsid w:val="00FC7604"/>
    <w:rsid w:val="00FC7871"/>
    <w:rsid w:val="00FC7B03"/>
    <w:rsid w:val="00FD17AA"/>
    <w:rsid w:val="00FD1853"/>
    <w:rsid w:val="00FD1BA2"/>
    <w:rsid w:val="00FD1C4E"/>
    <w:rsid w:val="00FD1F0B"/>
    <w:rsid w:val="00FD241A"/>
    <w:rsid w:val="00FD279E"/>
    <w:rsid w:val="00FD2C0F"/>
    <w:rsid w:val="00FD3244"/>
    <w:rsid w:val="00FD3A91"/>
    <w:rsid w:val="00FD3F90"/>
    <w:rsid w:val="00FD424B"/>
    <w:rsid w:val="00FD4A9C"/>
    <w:rsid w:val="00FD5602"/>
    <w:rsid w:val="00FD5E99"/>
    <w:rsid w:val="00FD6158"/>
    <w:rsid w:val="00FD6428"/>
    <w:rsid w:val="00FD6C39"/>
    <w:rsid w:val="00FD703D"/>
    <w:rsid w:val="00FD7512"/>
    <w:rsid w:val="00FD7B5F"/>
    <w:rsid w:val="00FE005B"/>
    <w:rsid w:val="00FE0B36"/>
    <w:rsid w:val="00FE27AC"/>
    <w:rsid w:val="00FE4232"/>
    <w:rsid w:val="00FE4233"/>
    <w:rsid w:val="00FE445A"/>
    <w:rsid w:val="00FE522A"/>
    <w:rsid w:val="00FE5486"/>
    <w:rsid w:val="00FE54BA"/>
    <w:rsid w:val="00FE63E0"/>
    <w:rsid w:val="00FE63F0"/>
    <w:rsid w:val="00FE6AC6"/>
    <w:rsid w:val="00FE75B0"/>
    <w:rsid w:val="00FE78AA"/>
    <w:rsid w:val="00FF0C16"/>
    <w:rsid w:val="00FF0E8D"/>
    <w:rsid w:val="00FF0EE8"/>
    <w:rsid w:val="00FF11A3"/>
    <w:rsid w:val="00FF1438"/>
    <w:rsid w:val="00FF167D"/>
    <w:rsid w:val="00FF1BE4"/>
    <w:rsid w:val="00FF1EB0"/>
    <w:rsid w:val="00FF1FF4"/>
    <w:rsid w:val="00FF2254"/>
    <w:rsid w:val="00FF2FDC"/>
    <w:rsid w:val="00FF34DD"/>
    <w:rsid w:val="00FF496F"/>
    <w:rsid w:val="00FF6AAD"/>
    <w:rsid w:val="00FF7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4" w:qFormat="1"/>
    <w:lsdException w:name="heading 3" w:uiPriority="4" w:qFormat="1"/>
    <w:lsdException w:name="heading 4" w:qFormat="1"/>
    <w:lsdException w:name="heading 5" w:qFormat="1"/>
    <w:lsdException w:name="heading 6" w:semiHidden="1" w:uiPriority="98"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7A34"/>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aliases w:val="H2"/>
    <w:basedOn w:val="Normal"/>
    <w:next w:val="Normal"/>
    <w:link w:val="Heading2Char"/>
    <w:uiPriority w:val="4"/>
    <w:qFormat/>
    <w:rsid w:val="00F71C56"/>
    <w:pPr>
      <w:keepNext/>
      <w:keepLines/>
      <w:spacing w:before="200" w:line="280" w:lineRule="atLeast"/>
      <w:outlineLvl w:val="1"/>
    </w:pPr>
    <w:rPr>
      <w:rFonts w:ascii="Arial" w:hAnsi="Arial" w:cs="Arial"/>
      <w:b/>
      <w:bCs/>
      <w:iCs/>
      <w:szCs w:val="28"/>
    </w:rPr>
  </w:style>
  <w:style w:type="paragraph" w:styleId="Heading3">
    <w:name w:val="heading 3"/>
    <w:aliases w:val="H3"/>
    <w:basedOn w:val="Normal"/>
    <w:next w:val="Normal"/>
    <w:link w:val="Heading3Char"/>
    <w:uiPriority w:val="4"/>
    <w:qFormat/>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aliases w:val="H2 Char"/>
    <w:basedOn w:val="DefaultParagraphFont"/>
    <w:link w:val="Heading2"/>
    <w:uiPriority w:val="4"/>
    <w:rsid w:val="004C144E"/>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E919B1"/>
    <w:pPr>
      <w:pageBreakBefore/>
    </w:pPr>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863F41"/>
    <w:pPr>
      <w:keepNext/>
      <w:keepLines/>
      <w:spacing w:line="240" w:lineRule="auto"/>
      <w:ind w:left="1134" w:right="1134"/>
      <w:jc w:val="center"/>
    </w:pPr>
    <w:rPr>
      <w:i/>
    </w:rPr>
  </w:style>
  <w:style w:type="character" w:customStyle="1" w:styleId="HeaderChar">
    <w:name w:val="Header Char"/>
    <w:basedOn w:val="DefaultParagraphFont"/>
    <w:link w:val="Header"/>
    <w:rsid w:val="00863F41"/>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aliases w:val="PP"/>
    <w:basedOn w:val="NormalBase"/>
    <w:link w:val="PlainParagraphChar"/>
    <w:qFormat/>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7D0F5B"/>
    <w:pPr>
      <w:keepNext/>
      <w:keepLines/>
      <w:pageBreakBefore/>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7D0F5B"/>
    <w:pPr>
      <w:keepNext/>
      <w:keepLines/>
      <w:pageBreakBefore/>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2F6519"/>
    <w:pPr>
      <w:keepNext/>
      <w:keepLines/>
      <w:spacing w:before="280" w:line="240" w:lineRule="auto"/>
      <w:ind w:left="964" w:hanging="96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qFormat/>
    <w:rsid w:val="00F67704"/>
    <w:pPr>
      <w:tabs>
        <w:tab w:val="left" w:pos="709"/>
      </w:tabs>
      <w:spacing w:before="120" w:line="240" w:lineRule="auto"/>
      <w:ind w:left="709" w:hanging="709"/>
    </w:pPr>
    <w:rPr>
      <w:sz w:val="18"/>
    </w:rPr>
  </w:style>
  <w:style w:type="paragraph" w:customStyle="1" w:styleId="nPara">
    <w:name w:val="n_Para"/>
    <w:aliases w:val="na,note(para)"/>
    <w:basedOn w:val="OPCParaBase"/>
    <w:qFormat/>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rsid w:val="00D67B29"/>
    <w:pPr>
      <w:tabs>
        <w:tab w:val="right" w:pos="1985"/>
      </w:tabs>
      <w:spacing w:before="40" w:line="240" w:lineRule="auto"/>
      <w:ind w:left="2098" w:hanging="2098"/>
    </w:pPr>
  </w:style>
  <w:style w:type="paragraph" w:customStyle="1" w:styleId="tSubsub">
    <w:name w:val="t_Subsub"/>
    <w:aliases w:val="paragraph(sub-sub)"/>
    <w:basedOn w:val="OPCParaBase"/>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rsid w:val="00D67B29"/>
    <w:pPr>
      <w:keepNext/>
      <w:keepLines/>
      <w:spacing w:before="240" w:line="240" w:lineRule="auto"/>
      <w:ind w:left="1134"/>
    </w:pPr>
    <w:rPr>
      <w:i/>
    </w:rPr>
  </w:style>
  <w:style w:type="table" w:styleId="TableGrid">
    <w:name w:val="Table Grid"/>
    <w:basedOn w:val="TableNormal"/>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BD7A34"/>
    <w:pPr>
      <w:tabs>
        <w:tab w:val="left" w:pos="170"/>
      </w:tabs>
      <w:spacing w:before="4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semiHidden/>
    <w:unhideWhenUsed/>
    <w:rsid w:val="00DC518B"/>
    <w:pPr>
      <w:spacing w:line="240" w:lineRule="auto"/>
    </w:pPr>
    <w:rPr>
      <w:sz w:val="20"/>
    </w:rPr>
  </w:style>
  <w:style w:type="character" w:customStyle="1" w:styleId="CommentTextChar">
    <w:name w:val="Comment Text Char"/>
    <w:basedOn w:val="DefaultParagraphFont"/>
    <w:link w:val="CommentText"/>
    <w:uiPriority w:val="99"/>
    <w:semiHidden/>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customStyle="1" w:styleId="subsectionChar">
    <w:name w:val="subsection Char"/>
    <w:aliases w:val="ss Char"/>
    <w:link w:val="tMain"/>
    <w:locked/>
    <w:rsid w:val="003E58E2"/>
    <w:rPr>
      <w:sz w:val="22"/>
    </w:rPr>
  </w:style>
  <w:style w:type="paragraph" w:customStyle="1" w:styleId="EquationNote">
    <w:name w:val="EquationNote"/>
    <w:basedOn w:val="Normal"/>
    <w:link w:val="EquationNoteChar"/>
    <w:uiPriority w:val="99"/>
    <w:rsid w:val="003E58E2"/>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3E58E2"/>
    <w:rPr>
      <w:rFonts w:ascii="Arial" w:hAnsi="Arial" w:cs="Arial"/>
      <w:iCs/>
      <w:sz w:val="18"/>
      <w:lang w:eastAsia="en-US"/>
    </w:rPr>
  </w:style>
  <w:style w:type="character" w:styleId="CommentReference">
    <w:name w:val="annotation reference"/>
    <w:basedOn w:val="DefaultParagraphFont"/>
    <w:uiPriority w:val="99"/>
    <w:semiHidden/>
    <w:unhideWhenUsed/>
    <w:rsid w:val="003E58E2"/>
    <w:rPr>
      <w:sz w:val="16"/>
      <w:szCs w:val="16"/>
    </w:rPr>
  </w:style>
  <w:style w:type="paragraph" w:customStyle="1" w:styleId="HR">
    <w:name w:val="HR"/>
    <w:aliases w:val="Regulation Heading"/>
    <w:basedOn w:val="Normal"/>
    <w:next w:val="R1"/>
    <w:rsid w:val="003E58E2"/>
    <w:pPr>
      <w:keepNext/>
      <w:keepLines/>
      <w:spacing w:before="360" w:line="240" w:lineRule="auto"/>
      <w:ind w:left="964" w:hanging="964"/>
    </w:pPr>
    <w:rPr>
      <w:rFonts w:ascii="Arial" w:eastAsia="Times New Roman" w:hAnsi="Arial"/>
      <w:b/>
      <w:sz w:val="24"/>
      <w:szCs w:val="24"/>
      <w:lang w:eastAsia="en-AU"/>
    </w:rPr>
  </w:style>
  <w:style w:type="paragraph" w:customStyle="1" w:styleId="R1">
    <w:name w:val="R1"/>
    <w:aliases w:val="1. or 1.(1)"/>
    <w:basedOn w:val="Normal"/>
    <w:next w:val="R2"/>
    <w:rsid w:val="003E58E2"/>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
    <w:basedOn w:val="Normal"/>
    <w:rsid w:val="003E58E2"/>
    <w:pPr>
      <w:keepLines/>
      <w:tabs>
        <w:tab w:val="right" w:pos="794"/>
      </w:tabs>
      <w:spacing w:before="180" w:line="260" w:lineRule="exact"/>
      <w:ind w:left="964" w:hanging="964"/>
      <w:jc w:val="both"/>
    </w:pPr>
    <w:rPr>
      <w:rFonts w:eastAsia="Times New Roman"/>
      <w:sz w:val="24"/>
      <w:szCs w:val="24"/>
      <w:lang w:eastAsia="en-AU"/>
    </w:rPr>
  </w:style>
  <w:style w:type="paragraph" w:customStyle="1" w:styleId="h5section0">
    <w:name w:val="h5section"/>
    <w:basedOn w:val="Normal"/>
    <w:rsid w:val="003E58E2"/>
    <w:pPr>
      <w:spacing w:before="100" w:beforeAutospacing="1" w:after="100" w:afterAutospacing="1" w:line="240" w:lineRule="auto"/>
    </w:pPr>
    <w:rPr>
      <w:rFonts w:eastAsia="Times New Roman"/>
      <w:sz w:val="24"/>
      <w:szCs w:val="24"/>
      <w:lang w:eastAsia="en-AU"/>
    </w:rPr>
  </w:style>
  <w:style w:type="paragraph" w:customStyle="1" w:styleId="tmain0">
    <w:name w:val="tmain"/>
    <w:basedOn w:val="Normal"/>
    <w:rsid w:val="003E58E2"/>
    <w:pPr>
      <w:spacing w:before="100" w:beforeAutospacing="1" w:after="100" w:afterAutospacing="1" w:line="240" w:lineRule="auto"/>
    </w:pPr>
    <w:rPr>
      <w:rFonts w:eastAsia="Times New Roman"/>
      <w:sz w:val="24"/>
      <w:szCs w:val="24"/>
      <w:lang w:eastAsia="en-AU"/>
    </w:rPr>
  </w:style>
  <w:style w:type="paragraph" w:customStyle="1" w:styleId="h6subsec0">
    <w:name w:val="h6subsec"/>
    <w:basedOn w:val="Normal"/>
    <w:rsid w:val="003E58E2"/>
    <w:pPr>
      <w:spacing w:before="100" w:beforeAutospacing="1" w:after="100" w:afterAutospacing="1" w:line="240" w:lineRule="auto"/>
    </w:pPr>
    <w:rPr>
      <w:rFonts w:eastAsia="Times New Roman"/>
      <w:sz w:val="24"/>
      <w:szCs w:val="24"/>
      <w:lang w:eastAsia="en-AU"/>
    </w:rPr>
  </w:style>
  <w:style w:type="paragraph" w:customStyle="1" w:styleId="tpara0">
    <w:name w:val="tpara"/>
    <w:basedOn w:val="Normal"/>
    <w:rsid w:val="003E58E2"/>
    <w:pPr>
      <w:spacing w:before="100" w:beforeAutospacing="1" w:after="100" w:afterAutospacing="1" w:line="240" w:lineRule="auto"/>
    </w:pPr>
    <w:rPr>
      <w:rFonts w:eastAsia="Times New Roman"/>
      <w:sz w:val="24"/>
      <w:szCs w:val="24"/>
      <w:lang w:eastAsia="en-AU"/>
    </w:rPr>
  </w:style>
  <w:style w:type="paragraph" w:customStyle="1" w:styleId="nmain0">
    <w:name w:val="nmain"/>
    <w:basedOn w:val="Normal"/>
    <w:rsid w:val="003E58E2"/>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3E58E2"/>
    <w:pPr>
      <w:spacing w:before="100" w:beforeAutospacing="1" w:after="100" w:afterAutospacing="1" w:line="240" w:lineRule="auto"/>
    </w:pPr>
    <w:rPr>
      <w:rFonts w:eastAsia="Times New Roman"/>
      <w:sz w:val="24"/>
      <w:szCs w:val="24"/>
      <w:lang w:eastAsia="en-AU"/>
    </w:rPr>
  </w:style>
  <w:style w:type="paragraph" w:customStyle="1" w:styleId="tsubpara0">
    <w:name w:val="tsubpara"/>
    <w:basedOn w:val="Normal"/>
    <w:rsid w:val="003E58E2"/>
    <w:pPr>
      <w:spacing w:before="100" w:beforeAutospacing="1" w:after="100" w:afterAutospacing="1" w:line="240" w:lineRule="auto"/>
    </w:pPr>
    <w:rPr>
      <w:rFonts w:eastAsia="Times New Roman"/>
      <w:sz w:val="24"/>
      <w:szCs w:val="24"/>
      <w:lang w:eastAsia="en-AU"/>
    </w:rPr>
  </w:style>
  <w:style w:type="character" w:customStyle="1" w:styleId="paragraphChar">
    <w:name w:val="paragraph Char"/>
    <w:aliases w:val="a Char"/>
    <w:basedOn w:val="DefaultParagraphFont"/>
    <w:link w:val="tPara"/>
    <w:locked/>
    <w:rsid w:val="00ED1679"/>
    <w:rPr>
      <w:sz w:val="22"/>
    </w:rPr>
  </w:style>
  <w:style w:type="paragraph" w:customStyle="1" w:styleId="tabletext0">
    <w:name w:val="tabletext"/>
    <w:aliases w:val="subpara"/>
    <w:basedOn w:val="Tabletext"/>
    <w:rsid w:val="00275102"/>
    <w:pPr>
      <w:tabs>
        <w:tab w:val="right" w:pos="567"/>
      </w:tabs>
      <w:spacing w:before="40"/>
      <w:ind w:left="680" w:hanging="680"/>
    </w:pPr>
    <w:rPr>
      <w:rFonts w:eastAsia="Calibri"/>
    </w:rPr>
  </w:style>
  <w:style w:type="paragraph" w:customStyle="1" w:styleId="table">
    <w:name w:val="table"/>
    <w:aliases w:val="subsubara"/>
    <w:basedOn w:val="Tabletext"/>
    <w:rsid w:val="00275102"/>
    <w:pPr>
      <w:tabs>
        <w:tab w:val="right" w:pos="964"/>
      </w:tabs>
      <w:spacing w:before="40"/>
      <w:ind w:left="1077" w:hanging="1077"/>
    </w:pPr>
    <w:rPr>
      <w:rFonts w:eastAsia="Calibri"/>
    </w:rPr>
  </w:style>
  <w:style w:type="paragraph" w:customStyle="1" w:styleId="t1Main">
    <w:name w:val="t1_Main"/>
    <w:rsid w:val="00EC474D"/>
    <w:pPr>
      <w:tabs>
        <w:tab w:val="right" w:pos="851"/>
      </w:tabs>
      <w:spacing w:before="80" w:after="100" w:line="260" w:lineRule="exact"/>
      <w:ind w:left="964" w:hanging="964"/>
    </w:pPr>
    <w:rPr>
      <w:sz w:val="24"/>
      <w:szCs w:val="24"/>
    </w:rPr>
  </w:style>
  <w:style w:type="paragraph" w:customStyle="1" w:styleId="t2Para">
    <w:name w:val="t2_Para"/>
    <w:basedOn w:val="t1Main"/>
    <w:qFormat/>
    <w:rsid w:val="00EC474D"/>
    <w:pPr>
      <w:keepLines/>
      <w:tabs>
        <w:tab w:val="clear" w:pos="851"/>
        <w:tab w:val="right" w:pos="1531"/>
      </w:tabs>
      <w:spacing w:before="0"/>
      <w:ind w:left="1701" w:hanging="1701"/>
    </w:pPr>
  </w:style>
  <w:style w:type="paragraph" w:customStyle="1" w:styleId="t3Subpara">
    <w:name w:val="t3_Subpara"/>
    <w:basedOn w:val="t1Main"/>
    <w:qFormat/>
    <w:rsid w:val="00EC474D"/>
    <w:pPr>
      <w:keepLines/>
      <w:tabs>
        <w:tab w:val="clear" w:pos="851"/>
        <w:tab w:val="right" w:pos="2211"/>
      </w:tabs>
      <w:spacing w:before="0"/>
      <w:ind w:left="2410" w:hanging="2410"/>
    </w:pPr>
  </w:style>
  <w:style w:type="paragraph" w:customStyle="1" w:styleId="t1Amendingwords">
    <w:name w:val="t1_Amending_words"/>
    <w:basedOn w:val="t1Main"/>
    <w:qFormat/>
    <w:rsid w:val="00EC474D"/>
    <w:pPr>
      <w:keepNext/>
      <w:tabs>
        <w:tab w:val="clear" w:pos="851"/>
      </w:tabs>
      <w:ind w:firstLine="0"/>
    </w:pPr>
    <w:rPr>
      <w:i/>
    </w:rPr>
  </w:style>
  <w:style w:type="paragraph" w:customStyle="1" w:styleId="SubSectionNote">
    <w:name w:val="SubSection_Note"/>
    <w:basedOn w:val="Normal"/>
    <w:next w:val="Normal"/>
    <w:rsid w:val="00EC697E"/>
    <w:pPr>
      <w:tabs>
        <w:tab w:val="left" w:pos="2268"/>
      </w:tabs>
      <w:spacing w:after="60" w:line="240" w:lineRule="auto"/>
      <w:ind w:left="2269" w:hanging="851"/>
    </w:pPr>
    <w:rPr>
      <w:rFonts w:ascii="Arial" w:eastAsia="Times New Roman" w:hAnsi="Arial" w:cs="Arial"/>
      <w:bCs/>
      <w:sz w:val="20"/>
      <w:szCs w:val="26"/>
      <w:lang w:eastAsia="en-AU"/>
    </w:rPr>
  </w:style>
  <w:style w:type="paragraph" w:customStyle="1" w:styleId="TablePlainParagraph">
    <w:name w:val="Table: Plain Paragraph"/>
    <w:aliases w:val="Table PP"/>
    <w:basedOn w:val="Normal"/>
    <w:qFormat/>
    <w:rsid w:val="00EC697E"/>
    <w:pPr>
      <w:spacing w:before="60" w:after="60" w:line="240" w:lineRule="atLeast"/>
    </w:pPr>
    <w:rPr>
      <w:rFonts w:ascii="Arial" w:eastAsia="Times New Roman" w:hAnsi="Arial" w:cs="Arial"/>
      <w:sz w:val="20"/>
      <w:szCs w:val="22"/>
      <w:lang w:eastAsia="en-AU"/>
    </w:rPr>
  </w:style>
  <w:style w:type="paragraph" w:customStyle="1" w:styleId="TableParagraph">
    <w:name w:val="Table_Paragraph"/>
    <w:basedOn w:val="TablePlainParagraph"/>
    <w:rsid w:val="00EC697E"/>
    <w:pPr>
      <w:ind w:left="432" w:hanging="432"/>
    </w:pPr>
  </w:style>
  <w:style w:type="paragraph" w:customStyle="1" w:styleId="Notes-client">
    <w:name w:val="Notes - client"/>
    <w:basedOn w:val="Normal"/>
    <w:link w:val="Notes-clientChar"/>
    <w:rsid w:val="00437F7F"/>
    <w:pPr>
      <w:pBdr>
        <w:top w:val="single" w:sz="8" w:space="0" w:color="0000FF"/>
        <w:left w:val="single" w:sz="8" w:space="0" w:color="0000FF"/>
        <w:bottom w:val="single" w:sz="8" w:space="0" w:color="0000FF"/>
        <w:right w:val="single" w:sz="8" w:space="0" w:color="0000FF"/>
      </w:pBdr>
      <w:spacing w:before="200" w:after="140" w:line="280" w:lineRule="atLeast"/>
    </w:pPr>
    <w:rPr>
      <w:rFonts w:ascii="Arial" w:eastAsia="Times New Roman" w:hAnsi="Arial" w:cs="Arial"/>
      <w:color w:val="0000FF"/>
      <w:szCs w:val="22"/>
      <w:lang w:eastAsia="en-AU"/>
    </w:rPr>
  </w:style>
  <w:style w:type="character" w:customStyle="1" w:styleId="Notes-clientChar">
    <w:name w:val="Notes - client Char"/>
    <w:link w:val="Notes-client"/>
    <w:rsid w:val="00437F7F"/>
    <w:rPr>
      <w:rFonts w:ascii="Arial" w:hAnsi="Arial" w:cs="Arial"/>
      <w:color w:val="0000FF"/>
      <w:sz w:val="22"/>
      <w:szCs w:val="22"/>
    </w:rPr>
  </w:style>
  <w:style w:type="paragraph" w:customStyle="1" w:styleId="TableNumberedLista">
    <w:name w:val="Table: Numbered List: a)"/>
    <w:basedOn w:val="TablePlainParagraph"/>
    <w:semiHidden/>
    <w:rsid w:val="00BC0308"/>
    <w:pPr>
      <w:numPr>
        <w:numId w:val="2"/>
      </w:numPr>
      <w:tabs>
        <w:tab w:val="clear" w:pos="283"/>
        <w:tab w:val="num" w:pos="0"/>
      </w:tabs>
      <w:spacing w:before="0"/>
      <w:ind w:left="0" w:hanging="709"/>
    </w:pPr>
  </w:style>
  <w:style w:type="paragraph" w:customStyle="1" w:styleId="TableNumberedLista1">
    <w:name w:val="Table: Numbered List: a) 1"/>
    <w:basedOn w:val="TablePlainParagraph"/>
    <w:rsid w:val="00BC0308"/>
    <w:pPr>
      <w:numPr>
        <w:ilvl w:val="1"/>
        <w:numId w:val="2"/>
      </w:numPr>
      <w:tabs>
        <w:tab w:val="clear" w:pos="283"/>
        <w:tab w:val="num" w:pos="0"/>
      </w:tabs>
      <w:spacing w:before="0"/>
      <w:ind w:left="0" w:hanging="709"/>
    </w:pPr>
  </w:style>
  <w:style w:type="paragraph" w:customStyle="1" w:styleId="TableNumberedLista2">
    <w:name w:val="Table: Numbered List: a) 2"/>
    <w:basedOn w:val="TablePlainParagraph"/>
    <w:semiHidden/>
    <w:rsid w:val="00BC0308"/>
    <w:pPr>
      <w:numPr>
        <w:ilvl w:val="2"/>
        <w:numId w:val="2"/>
      </w:numPr>
      <w:tabs>
        <w:tab w:val="clear" w:pos="567"/>
        <w:tab w:val="num" w:pos="0"/>
      </w:tabs>
      <w:spacing w:before="0"/>
      <w:ind w:left="0" w:hanging="709"/>
    </w:pPr>
  </w:style>
  <w:style w:type="paragraph" w:customStyle="1" w:styleId="TableNumberedLista3">
    <w:name w:val="Table: Numbered List: a) 3"/>
    <w:basedOn w:val="TablePlainParagraph"/>
    <w:semiHidden/>
    <w:rsid w:val="00BC0308"/>
    <w:pPr>
      <w:numPr>
        <w:ilvl w:val="3"/>
        <w:numId w:val="2"/>
      </w:numPr>
      <w:tabs>
        <w:tab w:val="clear" w:pos="850"/>
        <w:tab w:val="num" w:pos="425"/>
      </w:tabs>
      <w:spacing w:before="0"/>
      <w:ind w:left="425" w:hanging="425"/>
    </w:pPr>
  </w:style>
  <w:style w:type="paragraph" w:customStyle="1" w:styleId="TableNumberedLista4">
    <w:name w:val="Table: Numbered List: a) 4"/>
    <w:basedOn w:val="TablePlainParagraph"/>
    <w:semiHidden/>
    <w:rsid w:val="00BC0308"/>
    <w:pPr>
      <w:numPr>
        <w:ilvl w:val="4"/>
        <w:numId w:val="2"/>
      </w:numPr>
      <w:tabs>
        <w:tab w:val="clear" w:pos="1134"/>
        <w:tab w:val="num" w:pos="850"/>
      </w:tabs>
      <w:spacing w:before="0"/>
      <w:ind w:left="850" w:hanging="425"/>
    </w:pPr>
  </w:style>
  <w:style w:type="paragraph" w:customStyle="1" w:styleId="TableNumberedLista5">
    <w:name w:val="Table: Numbered List: a) 5"/>
    <w:basedOn w:val="TablePlainParagraph"/>
    <w:semiHidden/>
    <w:rsid w:val="00BC0308"/>
    <w:pPr>
      <w:numPr>
        <w:ilvl w:val="5"/>
        <w:numId w:val="2"/>
      </w:numPr>
      <w:tabs>
        <w:tab w:val="clear" w:pos="1417"/>
        <w:tab w:val="num" w:pos="1276"/>
      </w:tabs>
      <w:spacing w:before="0"/>
      <w:ind w:left="1276" w:hanging="426"/>
    </w:pPr>
  </w:style>
  <w:style w:type="paragraph" w:customStyle="1" w:styleId="TableNumberedLista6">
    <w:name w:val="Table: Numbered List: a) 6"/>
    <w:basedOn w:val="TablePlainParagraph"/>
    <w:semiHidden/>
    <w:rsid w:val="00BC0308"/>
    <w:pPr>
      <w:numPr>
        <w:ilvl w:val="6"/>
        <w:numId w:val="2"/>
      </w:numPr>
      <w:spacing w:before="0"/>
      <w:ind w:hanging="425"/>
    </w:pPr>
  </w:style>
  <w:style w:type="paragraph" w:customStyle="1" w:styleId="TableNumberedLista7">
    <w:name w:val="Table: Numbered List: a) 7"/>
    <w:basedOn w:val="TablePlainParagraph"/>
    <w:semiHidden/>
    <w:rsid w:val="00BC0308"/>
    <w:pPr>
      <w:numPr>
        <w:ilvl w:val="7"/>
        <w:numId w:val="2"/>
      </w:numPr>
      <w:tabs>
        <w:tab w:val="clear" w:pos="1984"/>
        <w:tab w:val="num" w:pos="2126"/>
      </w:tabs>
      <w:spacing w:before="0"/>
      <w:ind w:left="2126" w:hanging="425"/>
    </w:pPr>
  </w:style>
  <w:style w:type="paragraph" w:customStyle="1" w:styleId="TableNumberedLista8">
    <w:name w:val="Table: Numbered List: a) 8"/>
    <w:basedOn w:val="TablePlainParagraph"/>
    <w:semiHidden/>
    <w:rsid w:val="00BC0308"/>
    <w:pPr>
      <w:numPr>
        <w:ilvl w:val="8"/>
        <w:numId w:val="2"/>
      </w:numPr>
      <w:tabs>
        <w:tab w:val="clear" w:pos="2268"/>
        <w:tab w:val="num" w:pos="2551"/>
      </w:tabs>
      <w:spacing w:before="0"/>
      <w:ind w:left="2551" w:hanging="425"/>
    </w:pPr>
  </w:style>
  <w:style w:type="character" w:customStyle="1" w:styleId="notetextChar">
    <w:name w:val="note(text) Char"/>
    <w:aliases w:val="n Char"/>
    <w:link w:val="nMain"/>
    <w:rsid w:val="00952457"/>
    <w:rPr>
      <w:sz w:val="18"/>
    </w:rPr>
  </w:style>
  <w:style w:type="character" w:customStyle="1" w:styleId="SOTextChar">
    <w:name w:val="SO Text Char"/>
    <w:aliases w:val="sot Char"/>
    <w:link w:val="SOText"/>
    <w:rsid w:val="00D6201D"/>
    <w:rPr>
      <w:rFonts w:eastAsia="Calibri"/>
      <w:sz w:val="22"/>
    </w:rPr>
  </w:style>
  <w:style w:type="paragraph" w:customStyle="1" w:styleId="definition">
    <w:name w:val="definition"/>
    <w:basedOn w:val="Normal"/>
    <w:rsid w:val="00206E71"/>
    <w:pPr>
      <w:spacing w:before="100" w:beforeAutospacing="1" w:after="100" w:afterAutospacing="1" w:line="240" w:lineRule="auto"/>
    </w:pPr>
    <w:rPr>
      <w:rFonts w:eastAsia="Times New Roman"/>
      <w:sz w:val="24"/>
      <w:szCs w:val="24"/>
      <w:lang w:eastAsia="en-AU"/>
    </w:rPr>
  </w:style>
  <w:style w:type="character" w:customStyle="1" w:styleId="PlainParagraphChar">
    <w:name w:val="Plain Paragraph Char"/>
    <w:aliases w:val="PP Char"/>
    <w:basedOn w:val="DefaultParagraphFont"/>
    <w:link w:val="PlainParagraph"/>
    <w:rsid w:val="00765C79"/>
    <w:rPr>
      <w:rFonts w:ascii="Arial" w:hAnsi="Arial" w:cs="Arial"/>
      <w:sz w:val="22"/>
      <w:szCs w:val="22"/>
    </w:rPr>
  </w:style>
  <w:style w:type="paragraph" w:customStyle="1" w:styleId="NumberLevel1">
    <w:name w:val="Number Level 1"/>
    <w:aliases w:val="N1"/>
    <w:basedOn w:val="PlainParagraph"/>
    <w:next w:val="PlainParagraph"/>
    <w:uiPriority w:val="1"/>
    <w:qFormat/>
    <w:rsid w:val="00206EC9"/>
    <w:pPr>
      <w:spacing w:before="240" w:after="0" w:line="240" w:lineRule="atLeast"/>
    </w:pPr>
    <w:rPr>
      <w:rFonts w:ascii="Times New Roman" w:hAnsi="Times New Roman"/>
    </w:rPr>
  </w:style>
  <w:style w:type="paragraph" w:customStyle="1" w:styleId="Bulletedlist">
    <w:name w:val="Bulleted list"/>
    <w:basedOn w:val="PlainParagraph"/>
    <w:uiPriority w:val="98"/>
    <w:rsid w:val="00206EC9"/>
    <w:pPr>
      <w:spacing w:before="80" w:after="0" w:line="240" w:lineRule="atLeast"/>
    </w:pPr>
    <w:rPr>
      <w:rFonts w:ascii="Times New Roman" w:hAnsi="Times New Roman"/>
    </w:rPr>
  </w:style>
  <w:style w:type="paragraph" w:customStyle="1" w:styleId="TableHeading2">
    <w:name w:val="Table: Heading 2"/>
    <w:basedOn w:val="Normal"/>
    <w:next w:val="TablePlainParagraph"/>
    <w:uiPriority w:val="12"/>
    <w:rsid w:val="00206EC9"/>
    <w:pPr>
      <w:keepNext/>
      <w:keepLines/>
      <w:spacing w:before="60" w:line="240" w:lineRule="atLeast"/>
    </w:pPr>
    <w:rPr>
      <w:rFonts w:eastAsia="Times New Roman" w:cs="Arial"/>
      <w:b/>
      <w:sz w:val="20"/>
      <w:szCs w:val="22"/>
      <w:lang w:eastAsia="en-AU"/>
    </w:rPr>
  </w:style>
  <w:style w:type="paragraph" w:customStyle="1" w:styleId="Definitions">
    <w:name w:val="Definitions"/>
    <w:basedOn w:val="PlainParagraph"/>
    <w:autoRedefine/>
    <w:uiPriority w:val="98"/>
    <w:qFormat/>
    <w:rsid w:val="00C40C36"/>
    <w:pPr>
      <w:spacing w:before="240" w:after="0" w:line="240" w:lineRule="atLeast"/>
    </w:pPr>
    <w:rPr>
      <w:rFonts w:ascii="Times New Roman" w:hAnsi="Times New Roman"/>
    </w:rPr>
  </w:style>
  <w:style w:type="paragraph" w:customStyle="1" w:styleId="paragraphtext0">
    <w:name w:val="paragraphtext"/>
    <w:basedOn w:val="Normal"/>
    <w:rsid w:val="00C3591D"/>
    <w:pPr>
      <w:spacing w:before="100" w:beforeAutospacing="1" w:after="100" w:afterAutospacing="1" w:line="240" w:lineRule="auto"/>
    </w:pPr>
    <w:rPr>
      <w:rFonts w:eastAsia="Times New Roman"/>
      <w:sz w:val="24"/>
      <w:szCs w:val="24"/>
      <w:lang w:eastAsia="en-AU"/>
    </w:rPr>
  </w:style>
  <w:style w:type="paragraph" w:customStyle="1" w:styleId="subparagraphtext">
    <w:name w:val="subparagraphtext"/>
    <w:basedOn w:val="Normal"/>
    <w:rsid w:val="00C3591D"/>
    <w:pPr>
      <w:spacing w:before="100" w:beforeAutospacing="1" w:after="100" w:afterAutospacing="1" w:line="240" w:lineRule="auto"/>
    </w:pPr>
    <w:rPr>
      <w:rFonts w:eastAsia="Times New Roman"/>
      <w:sz w:val="24"/>
      <w:szCs w:val="24"/>
      <w:lang w:eastAsia="en-AU"/>
    </w:rPr>
  </w:style>
  <w:style w:type="paragraph" w:customStyle="1" w:styleId="subsectiontext">
    <w:name w:val="subsectiontext"/>
    <w:basedOn w:val="Normal"/>
    <w:rsid w:val="00357D24"/>
    <w:pPr>
      <w:spacing w:before="100" w:beforeAutospacing="1" w:after="100" w:afterAutospacing="1" w:line="240" w:lineRule="auto"/>
    </w:pPr>
    <w:rPr>
      <w:rFonts w:eastAsia="Times New Roman"/>
      <w:sz w:val="24"/>
      <w:szCs w:val="24"/>
      <w:lang w:eastAsia="en-AU"/>
    </w:rPr>
  </w:style>
  <w:style w:type="paragraph" w:customStyle="1" w:styleId="subsectionheading">
    <w:name w:val="subsectionheading"/>
    <w:basedOn w:val="Normal"/>
    <w:rsid w:val="00357D24"/>
    <w:pPr>
      <w:spacing w:before="100" w:beforeAutospacing="1" w:after="100" w:afterAutospacing="1" w:line="240" w:lineRule="auto"/>
    </w:pPr>
    <w:rPr>
      <w:rFonts w:eastAsia="Times New Roman"/>
      <w:sz w:val="24"/>
      <w:szCs w:val="24"/>
      <w:lang w:eastAsia="en-AU"/>
    </w:rPr>
  </w:style>
  <w:style w:type="paragraph" w:customStyle="1" w:styleId="definitiontext">
    <w:name w:val="definitiontext"/>
    <w:basedOn w:val="Normal"/>
    <w:rsid w:val="00DC2895"/>
    <w:pPr>
      <w:spacing w:before="100" w:beforeAutospacing="1" w:after="100" w:afterAutospacing="1" w:line="240" w:lineRule="auto"/>
    </w:pPr>
    <w:rPr>
      <w:rFonts w:eastAsia="Times New Roman"/>
      <w:sz w:val="24"/>
      <w:szCs w:val="24"/>
      <w:lang w:eastAsia="en-AU"/>
    </w:rPr>
  </w:style>
  <w:style w:type="paragraph" w:customStyle="1" w:styleId="subsectionnote0">
    <w:name w:val="subsectionnote"/>
    <w:basedOn w:val="Normal"/>
    <w:rsid w:val="007A5825"/>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1681">
      <w:bodyDiv w:val="1"/>
      <w:marLeft w:val="0"/>
      <w:marRight w:val="0"/>
      <w:marTop w:val="0"/>
      <w:marBottom w:val="0"/>
      <w:divBdr>
        <w:top w:val="none" w:sz="0" w:space="0" w:color="auto"/>
        <w:left w:val="none" w:sz="0" w:space="0" w:color="auto"/>
        <w:bottom w:val="none" w:sz="0" w:space="0" w:color="auto"/>
        <w:right w:val="none" w:sz="0" w:space="0" w:color="auto"/>
      </w:divBdr>
    </w:div>
    <w:div w:id="78478985">
      <w:bodyDiv w:val="1"/>
      <w:marLeft w:val="0"/>
      <w:marRight w:val="0"/>
      <w:marTop w:val="0"/>
      <w:marBottom w:val="0"/>
      <w:divBdr>
        <w:top w:val="none" w:sz="0" w:space="0" w:color="auto"/>
        <w:left w:val="none" w:sz="0" w:space="0" w:color="auto"/>
        <w:bottom w:val="none" w:sz="0" w:space="0" w:color="auto"/>
        <w:right w:val="none" w:sz="0" w:space="0" w:color="auto"/>
      </w:divBdr>
    </w:div>
    <w:div w:id="198008407">
      <w:bodyDiv w:val="1"/>
      <w:marLeft w:val="0"/>
      <w:marRight w:val="0"/>
      <w:marTop w:val="0"/>
      <w:marBottom w:val="0"/>
      <w:divBdr>
        <w:top w:val="none" w:sz="0" w:space="0" w:color="auto"/>
        <w:left w:val="none" w:sz="0" w:space="0" w:color="auto"/>
        <w:bottom w:val="none" w:sz="0" w:space="0" w:color="auto"/>
        <w:right w:val="none" w:sz="0" w:space="0" w:color="auto"/>
      </w:divBdr>
    </w:div>
    <w:div w:id="217280959">
      <w:bodyDiv w:val="1"/>
      <w:marLeft w:val="0"/>
      <w:marRight w:val="0"/>
      <w:marTop w:val="0"/>
      <w:marBottom w:val="0"/>
      <w:divBdr>
        <w:top w:val="none" w:sz="0" w:space="0" w:color="auto"/>
        <w:left w:val="none" w:sz="0" w:space="0" w:color="auto"/>
        <w:bottom w:val="none" w:sz="0" w:space="0" w:color="auto"/>
        <w:right w:val="none" w:sz="0" w:space="0" w:color="auto"/>
      </w:divBdr>
      <w:divsChild>
        <w:div w:id="1104882868">
          <w:marLeft w:val="0"/>
          <w:marRight w:val="0"/>
          <w:marTop w:val="0"/>
          <w:marBottom w:val="0"/>
          <w:divBdr>
            <w:top w:val="none" w:sz="0" w:space="0" w:color="auto"/>
            <w:left w:val="none" w:sz="0" w:space="0" w:color="auto"/>
            <w:bottom w:val="none" w:sz="0" w:space="0" w:color="auto"/>
            <w:right w:val="none" w:sz="0" w:space="0" w:color="auto"/>
          </w:divBdr>
          <w:divsChild>
            <w:div w:id="834497598">
              <w:marLeft w:val="0"/>
              <w:marRight w:val="0"/>
              <w:marTop w:val="0"/>
              <w:marBottom w:val="0"/>
              <w:divBdr>
                <w:top w:val="none" w:sz="0" w:space="0" w:color="auto"/>
                <w:left w:val="none" w:sz="0" w:space="0" w:color="auto"/>
                <w:bottom w:val="none" w:sz="0" w:space="0" w:color="auto"/>
                <w:right w:val="none" w:sz="0" w:space="0" w:color="auto"/>
              </w:divBdr>
              <w:divsChild>
                <w:div w:id="1241719718">
                  <w:marLeft w:val="0"/>
                  <w:marRight w:val="0"/>
                  <w:marTop w:val="0"/>
                  <w:marBottom w:val="0"/>
                  <w:divBdr>
                    <w:top w:val="none" w:sz="0" w:space="0" w:color="auto"/>
                    <w:left w:val="none" w:sz="0" w:space="0" w:color="auto"/>
                    <w:bottom w:val="none" w:sz="0" w:space="0" w:color="auto"/>
                    <w:right w:val="none" w:sz="0" w:space="0" w:color="auto"/>
                  </w:divBdr>
                  <w:divsChild>
                    <w:div w:id="1253972075">
                      <w:marLeft w:val="0"/>
                      <w:marRight w:val="0"/>
                      <w:marTop w:val="0"/>
                      <w:marBottom w:val="0"/>
                      <w:divBdr>
                        <w:top w:val="none" w:sz="0" w:space="0" w:color="auto"/>
                        <w:left w:val="none" w:sz="0" w:space="0" w:color="auto"/>
                        <w:bottom w:val="none" w:sz="0" w:space="0" w:color="auto"/>
                        <w:right w:val="none" w:sz="0" w:space="0" w:color="auto"/>
                      </w:divBdr>
                      <w:divsChild>
                        <w:div w:id="732504125">
                          <w:marLeft w:val="0"/>
                          <w:marRight w:val="0"/>
                          <w:marTop w:val="0"/>
                          <w:marBottom w:val="0"/>
                          <w:divBdr>
                            <w:top w:val="none" w:sz="0" w:space="0" w:color="auto"/>
                            <w:left w:val="none" w:sz="0" w:space="0" w:color="auto"/>
                            <w:bottom w:val="none" w:sz="0" w:space="0" w:color="auto"/>
                            <w:right w:val="none" w:sz="0" w:space="0" w:color="auto"/>
                          </w:divBdr>
                          <w:divsChild>
                            <w:div w:id="1925527020">
                              <w:marLeft w:val="0"/>
                              <w:marRight w:val="0"/>
                              <w:marTop w:val="0"/>
                              <w:marBottom w:val="0"/>
                              <w:divBdr>
                                <w:top w:val="single" w:sz="6" w:space="0" w:color="828282"/>
                                <w:left w:val="single" w:sz="6" w:space="0" w:color="828282"/>
                                <w:bottom w:val="single" w:sz="6" w:space="0" w:color="828282"/>
                                <w:right w:val="single" w:sz="6" w:space="0" w:color="828282"/>
                              </w:divBdr>
                              <w:divsChild>
                                <w:div w:id="1928927957">
                                  <w:marLeft w:val="0"/>
                                  <w:marRight w:val="0"/>
                                  <w:marTop w:val="0"/>
                                  <w:marBottom w:val="0"/>
                                  <w:divBdr>
                                    <w:top w:val="none" w:sz="0" w:space="0" w:color="auto"/>
                                    <w:left w:val="none" w:sz="0" w:space="0" w:color="auto"/>
                                    <w:bottom w:val="none" w:sz="0" w:space="0" w:color="auto"/>
                                    <w:right w:val="none" w:sz="0" w:space="0" w:color="auto"/>
                                  </w:divBdr>
                                  <w:divsChild>
                                    <w:div w:id="1811052098">
                                      <w:marLeft w:val="0"/>
                                      <w:marRight w:val="0"/>
                                      <w:marTop w:val="0"/>
                                      <w:marBottom w:val="0"/>
                                      <w:divBdr>
                                        <w:top w:val="none" w:sz="0" w:space="0" w:color="auto"/>
                                        <w:left w:val="none" w:sz="0" w:space="0" w:color="auto"/>
                                        <w:bottom w:val="none" w:sz="0" w:space="0" w:color="auto"/>
                                        <w:right w:val="none" w:sz="0" w:space="0" w:color="auto"/>
                                      </w:divBdr>
                                      <w:divsChild>
                                        <w:div w:id="202522568">
                                          <w:marLeft w:val="0"/>
                                          <w:marRight w:val="0"/>
                                          <w:marTop w:val="0"/>
                                          <w:marBottom w:val="0"/>
                                          <w:divBdr>
                                            <w:top w:val="none" w:sz="0" w:space="0" w:color="auto"/>
                                            <w:left w:val="none" w:sz="0" w:space="0" w:color="auto"/>
                                            <w:bottom w:val="none" w:sz="0" w:space="0" w:color="auto"/>
                                            <w:right w:val="none" w:sz="0" w:space="0" w:color="auto"/>
                                          </w:divBdr>
                                          <w:divsChild>
                                            <w:div w:id="2043624010">
                                              <w:marLeft w:val="0"/>
                                              <w:marRight w:val="0"/>
                                              <w:marTop w:val="0"/>
                                              <w:marBottom w:val="0"/>
                                              <w:divBdr>
                                                <w:top w:val="none" w:sz="0" w:space="0" w:color="auto"/>
                                                <w:left w:val="none" w:sz="0" w:space="0" w:color="auto"/>
                                                <w:bottom w:val="none" w:sz="0" w:space="0" w:color="auto"/>
                                                <w:right w:val="none" w:sz="0" w:space="0" w:color="auto"/>
                                              </w:divBdr>
                                              <w:divsChild>
                                                <w:div w:id="412777567">
                                                  <w:marLeft w:val="0"/>
                                                  <w:marRight w:val="0"/>
                                                  <w:marTop w:val="0"/>
                                                  <w:marBottom w:val="0"/>
                                                  <w:divBdr>
                                                    <w:top w:val="none" w:sz="0" w:space="0" w:color="auto"/>
                                                    <w:left w:val="none" w:sz="0" w:space="0" w:color="auto"/>
                                                    <w:bottom w:val="none" w:sz="0" w:space="0" w:color="auto"/>
                                                    <w:right w:val="none" w:sz="0" w:space="0" w:color="auto"/>
                                                  </w:divBdr>
                                                  <w:divsChild>
                                                    <w:div w:id="662469781">
                                                      <w:marLeft w:val="0"/>
                                                      <w:marRight w:val="0"/>
                                                      <w:marTop w:val="0"/>
                                                      <w:marBottom w:val="0"/>
                                                      <w:divBdr>
                                                        <w:top w:val="none" w:sz="0" w:space="0" w:color="auto"/>
                                                        <w:left w:val="none" w:sz="0" w:space="0" w:color="auto"/>
                                                        <w:bottom w:val="none" w:sz="0" w:space="0" w:color="auto"/>
                                                        <w:right w:val="none" w:sz="0" w:space="0" w:color="auto"/>
                                                      </w:divBdr>
                                                      <w:divsChild>
                                                        <w:div w:id="2045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7534222">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625502821">
      <w:bodyDiv w:val="1"/>
      <w:marLeft w:val="0"/>
      <w:marRight w:val="0"/>
      <w:marTop w:val="0"/>
      <w:marBottom w:val="0"/>
      <w:divBdr>
        <w:top w:val="none" w:sz="0" w:space="0" w:color="auto"/>
        <w:left w:val="none" w:sz="0" w:space="0" w:color="auto"/>
        <w:bottom w:val="none" w:sz="0" w:space="0" w:color="auto"/>
        <w:right w:val="none" w:sz="0" w:space="0" w:color="auto"/>
      </w:divBdr>
    </w:div>
    <w:div w:id="750660785">
      <w:bodyDiv w:val="1"/>
      <w:marLeft w:val="0"/>
      <w:marRight w:val="0"/>
      <w:marTop w:val="0"/>
      <w:marBottom w:val="0"/>
      <w:divBdr>
        <w:top w:val="none" w:sz="0" w:space="0" w:color="auto"/>
        <w:left w:val="none" w:sz="0" w:space="0" w:color="auto"/>
        <w:bottom w:val="none" w:sz="0" w:space="0" w:color="auto"/>
        <w:right w:val="none" w:sz="0" w:space="0" w:color="auto"/>
      </w:divBdr>
    </w:div>
    <w:div w:id="757019782">
      <w:bodyDiv w:val="1"/>
      <w:marLeft w:val="0"/>
      <w:marRight w:val="0"/>
      <w:marTop w:val="0"/>
      <w:marBottom w:val="0"/>
      <w:divBdr>
        <w:top w:val="none" w:sz="0" w:space="0" w:color="auto"/>
        <w:left w:val="none" w:sz="0" w:space="0" w:color="auto"/>
        <w:bottom w:val="none" w:sz="0" w:space="0" w:color="auto"/>
        <w:right w:val="none" w:sz="0" w:space="0" w:color="auto"/>
      </w:divBdr>
    </w:div>
    <w:div w:id="908030612">
      <w:bodyDiv w:val="1"/>
      <w:marLeft w:val="0"/>
      <w:marRight w:val="0"/>
      <w:marTop w:val="0"/>
      <w:marBottom w:val="0"/>
      <w:divBdr>
        <w:top w:val="none" w:sz="0" w:space="0" w:color="auto"/>
        <w:left w:val="none" w:sz="0" w:space="0" w:color="auto"/>
        <w:bottom w:val="none" w:sz="0" w:space="0" w:color="auto"/>
        <w:right w:val="none" w:sz="0" w:space="0" w:color="auto"/>
      </w:divBdr>
    </w:div>
    <w:div w:id="964391619">
      <w:bodyDiv w:val="1"/>
      <w:marLeft w:val="0"/>
      <w:marRight w:val="0"/>
      <w:marTop w:val="0"/>
      <w:marBottom w:val="0"/>
      <w:divBdr>
        <w:top w:val="none" w:sz="0" w:space="0" w:color="auto"/>
        <w:left w:val="none" w:sz="0" w:space="0" w:color="auto"/>
        <w:bottom w:val="none" w:sz="0" w:space="0" w:color="auto"/>
        <w:right w:val="none" w:sz="0" w:space="0" w:color="auto"/>
      </w:divBdr>
    </w:div>
    <w:div w:id="978731312">
      <w:bodyDiv w:val="1"/>
      <w:marLeft w:val="0"/>
      <w:marRight w:val="0"/>
      <w:marTop w:val="0"/>
      <w:marBottom w:val="0"/>
      <w:divBdr>
        <w:top w:val="none" w:sz="0" w:space="0" w:color="auto"/>
        <w:left w:val="none" w:sz="0" w:space="0" w:color="auto"/>
        <w:bottom w:val="none" w:sz="0" w:space="0" w:color="auto"/>
        <w:right w:val="none" w:sz="0" w:space="0" w:color="auto"/>
      </w:divBdr>
    </w:div>
    <w:div w:id="1042091400">
      <w:bodyDiv w:val="1"/>
      <w:marLeft w:val="0"/>
      <w:marRight w:val="0"/>
      <w:marTop w:val="0"/>
      <w:marBottom w:val="0"/>
      <w:divBdr>
        <w:top w:val="none" w:sz="0" w:space="0" w:color="auto"/>
        <w:left w:val="none" w:sz="0" w:space="0" w:color="auto"/>
        <w:bottom w:val="none" w:sz="0" w:space="0" w:color="auto"/>
        <w:right w:val="none" w:sz="0" w:space="0" w:color="auto"/>
      </w:divBdr>
    </w:div>
    <w:div w:id="1092554475">
      <w:bodyDiv w:val="1"/>
      <w:marLeft w:val="0"/>
      <w:marRight w:val="0"/>
      <w:marTop w:val="0"/>
      <w:marBottom w:val="0"/>
      <w:divBdr>
        <w:top w:val="none" w:sz="0" w:space="0" w:color="auto"/>
        <w:left w:val="none" w:sz="0" w:space="0" w:color="auto"/>
        <w:bottom w:val="none" w:sz="0" w:space="0" w:color="auto"/>
        <w:right w:val="none" w:sz="0" w:space="0" w:color="auto"/>
      </w:divBdr>
    </w:div>
    <w:div w:id="1343897983">
      <w:bodyDiv w:val="1"/>
      <w:marLeft w:val="0"/>
      <w:marRight w:val="0"/>
      <w:marTop w:val="0"/>
      <w:marBottom w:val="0"/>
      <w:divBdr>
        <w:top w:val="none" w:sz="0" w:space="0" w:color="auto"/>
        <w:left w:val="none" w:sz="0" w:space="0" w:color="auto"/>
        <w:bottom w:val="none" w:sz="0" w:space="0" w:color="auto"/>
        <w:right w:val="none" w:sz="0" w:space="0" w:color="auto"/>
      </w:divBdr>
    </w:div>
    <w:div w:id="1359700210">
      <w:bodyDiv w:val="1"/>
      <w:marLeft w:val="0"/>
      <w:marRight w:val="0"/>
      <w:marTop w:val="0"/>
      <w:marBottom w:val="0"/>
      <w:divBdr>
        <w:top w:val="none" w:sz="0" w:space="0" w:color="auto"/>
        <w:left w:val="none" w:sz="0" w:space="0" w:color="auto"/>
        <w:bottom w:val="none" w:sz="0" w:space="0" w:color="auto"/>
        <w:right w:val="none" w:sz="0" w:space="0" w:color="auto"/>
      </w:divBdr>
    </w:div>
    <w:div w:id="1433893279">
      <w:bodyDiv w:val="1"/>
      <w:marLeft w:val="0"/>
      <w:marRight w:val="0"/>
      <w:marTop w:val="0"/>
      <w:marBottom w:val="0"/>
      <w:divBdr>
        <w:top w:val="none" w:sz="0" w:space="0" w:color="auto"/>
        <w:left w:val="none" w:sz="0" w:space="0" w:color="auto"/>
        <w:bottom w:val="none" w:sz="0" w:space="0" w:color="auto"/>
        <w:right w:val="none" w:sz="0" w:space="0" w:color="auto"/>
      </w:divBdr>
    </w:div>
    <w:div w:id="1456557335">
      <w:bodyDiv w:val="1"/>
      <w:marLeft w:val="0"/>
      <w:marRight w:val="0"/>
      <w:marTop w:val="0"/>
      <w:marBottom w:val="0"/>
      <w:divBdr>
        <w:top w:val="none" w:sz="0" w:space="0" w:color="auto"/>
        <w:left w:val="none" w:sz="0" w:space="0" w:color="auto"/>
        <w:bottom w:val="none" w:sz="0" w:space="0" w:color="auto"/>
        <w:right w:val="none" w:sz="0" w:space="0" w:color="auto"/>
      </w:divBdr>
    </w:div>
    <w:div w:id="1484468518">
      <w:bodyDiv w:val="1"/>
      <w:marLeft w:val="0"/>
      <w:marRight w:val="0"/>
      <w:marTop w:val="0"/>
      <w:marBottom w:val="0"/>
      <w:divBdr>
        <w:top w:val="none" w:sz="0" w:space="0" w:color="auto"/>
        <w:left w:val="none" w:sz="0" w:space="0" w:color="auto"/>
        <w:bottom w:val="none" w:sz="0" w:space="0" w:color="auto"/>
        <w:right w:val="none" w:sz="0" w:space="0" w:color="auto"/>
      </w:divBdr>
    </w:div>
    <w:div w:id="1485273232">
      <w:bodyDiv w:val="1"/>
      <w:marLeft w:val="0"/>
      <w:marRight w:val="0"/>
      <w:marTop w:val="0"/>
      <w:marBottom w:val="0"/>
      <w:divBdr>
        <w:top w:val="none" w:sz="0" w:space="0" w:color="auto"/>
        <w:left w:val="none" w:sz="0" w:space="0" w:color="auto"/>
        <w:bottom w:val="none" w:sz="0" w:space="0" w:color="auto"/>
        <w:right w:val="none" w:sz="0" w:space="0" w:color="auto"/>
      </w:divBdr>
    </w:div>
    <w:div w:id="1560358414">
      <w:bodyDiv w:val="1"/>
      <w:marLeft w:val="0"/>
      <w:marRight w:val="0"/>
      <w:marTop w:val="0"/>
      <w:marBottom w:val="0"/>
      <w:divBdr>
        <w:top w:val="none" w:sz="0" w:space="0" w:color="auto"/>
        <w:left w:val="none" w:sz="0" w:space="0" w:color="auto"/>
        <w:bottom w:val="none" w:sz="0" w:space="0" w:color="auto"/>
        <w:right w:val="none" w:sz="0" w:space="0" w:color="auto"/>
      </w:divBdr>
    </w:div>
    <w:div w:id="1591430246">
      <w:bodyDiv w:val="1"/>
      <w:marLeft w:val="0"/>
      <w:marRight w:val="0"/>
      <w:marTop w:val="0"/>
      <w:marBottom w:val="0"/>
      <w:divBdr>
        <w:top w:val="none" w:sz="0" w:space="0" w:color="auto"/>
        <w:left w:val="none" w:sz="0" w:space="0" w:color="auto"/>
        <w:bottom w:val="none" w:sz="0" w:space="0" w:color="auto"/>
        <w:right w:val="none" w:sz="0" w:space="0" w:color="auto"/>
      </w:divBdr>
    </w:div>
    <w:div w:id="1747874427">
      <w:bodyDiv w:val="1"/>
      <w:marLeft w:val="0"/>
      <w:marRight w:val="0"/>
      <w:marTop w:val="0"/>
      <w:marBottom w:val="0"/>
      <w:divBdr>
        <w:top w:val="none" w:sz="0" w:space="0" w:color="auto"/>
        <w:left w:val="none" w:sz="0" w:space="0" w:color="auto"/>
        <w:bottom w:val="none" w:sz="0" w:space="0" w:color="auto"/>
        <w:right w:val="none" w:sz="0" w:space="0" w:color="auto"/>
      </w:divBdr>
    </w:div>
    <w:div w:id="1807550190">
      <w:bodyDiv w:val="1"/>
      <w:marLeft w:val="0"/>
      <w:marRight w:val="0"/>
      <w:marTop w:val="0"/>
      <w:marBottom w:val="0"/>
      <w:divBdr>
        <w:top w:val="none" w:sz="0" w:space="0" w:color="auto"/>
        <w:left w:val="none" w:sz="0" w:space="0" w:color="auto"/>
        <w:bottom w:val="none" w:sz="0" w:space="0" w:color="auto"/>
        <w:right w:val="none" w:sz="0" w:space="0" w:color="auto"/>
      </w:divBdr>
    </w:div>
    <w:div w:id="1863587821">
      <w:bodyDiv w:val="1"/>
      <w:marLeft w:val="0"/>
      <w:marRight w:val="0"/>
      <w:marTop w:val="0"/>
      <w:marBottom w:val="0"/>
      <w:divBdr>
        <w:top w:val="none" w:sz="0" w:space="0" w:color="auto"/>
        <w:left w:val="none" w:sz="0" w:space="0" w:color="auto"/>
        <w:bottom w:val="none" w:sz="0" w:space="0" w:color="auto"/>
        <w:right w:val="none" w:sz="0" w:space="0" w:color="auto"/>
      </w:divBdr>
    </w:div>
    <w:div w:id="1863780722">
      <w:bodyDiv w:val="1"/>
      <w:marLeft w:val="0"/>
      <w:marRight w:val="0"/>
      <w:marTop w:val="0"/>
      <w:marBottom w:val="0"/>
      <w:divBdr>
        <w:top w:val="none" w:sz="0" w:space="0" w:color="auto"/>
        <w:left w:val="none" w:sz="0" w:space="0" w:color="auto"/>
        <w:bottom w:val="none" w:sz="0" w:space="0" w:color="auto"/>
        <w:right w:val="none" w:sz="0" w:space="0" w:color="auto"/>
      </w:divBdr>
    </w:div>
    <w:div w:id="1877541927">
      <w:bodyDiv w:val="1"/>
      <w:marLeft w:val="0"/>
      <w:marRight w:val="0"/>
      <w:marTop w:val="0"/>
      <w:marBottom w:val="0"/>
      <w:divBdr>
        <w:top w:val="none" w:sz="0" w:space="0" w:color="auto"/>
        <w:left w:val="none" w:sz="0" w:space="0" w:color="auto"/>
        <w:bottom w:val="none" w:sz="0" w:space="0" w:color="auto"/>
        <w:right w:val="none" w:sz="0" w:space="0" w:color="auto"/>
      </w:divBdr>
    </w:div>
    <w:div w:id="1993413744">
      <w:bodyDiv w:val="1"/>
      <w:marLeft w:val="0"/>
      <w:marRight w:val="0"/>
      <w:marTop w:val="0"/>
      <w:marBottom w:val="0"/>
      <w:divBdr>
        <w:top w:val="none" w:sz="0" w:space="0" w:color="auto"/>
        <w:left w:val="none" w:sz="0" w:space="0" w:color="auto"/>
        <w:bottom w:val="none" w:sz="0" w:space="0" w:color="auto"/>
        <w:right w:val="none" w:sz="0" w:space="0" w:color="auto"/>
      </w:divBdr>
    </w:div>
    <w:div w:id="201244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40971B77F1AC4CA81A5F7FB481E425" ma:contentTypeVersion="20" ma:contentTypeDescription="Create a new document." ma:contentTypeScope="" ma:versionID="d82ff721444e5b72df37082021c05015">
  <xsd:schema xmlns:xsd="http://www.w3.org/2001/XMLSchema" xmlns:xs="http://www.w3.org/2001/XMLSchema" xmlns:p="http://schemas.microsoft.com/office/2006/metadata/properties" xmlns:ns2="4d23dbb1-5de7-4336-8141-51d0d14df6ee" xmlns:ns3="39fab476-99e4-494f-9cb2-fdc20c3296a4" targetNamespace="http://schemas.microsoft.com/office/2006/metadata/properties" ma:root="true" ma:fieldsID="8be2888a1700b5ed423b33fa35913972" ns2:_="" ns3:_="">
    <xsd:import namespace="4d23dbb1-5de7-4336-8141-51d0d14df6ee"/>
    <xsd:import namespace="39fab476-99e4-494f-9cb2-fdc20c3296a4"/>
    <xsd:element name="properties">
      <xsd:complexType>
        <xsd:sequence>
          <xsd:element name="documentManagement">
            <xsd:complexType>
              <xsd:all>
                <xsd:element ref="ns2:Committee"/>
                <xsd:element ref="ns2:Meeting_x0020_Number"/>
                <xsd:element ref="ns2:_x0023__x0020_of_x0020_Attachments" minOccurs="0"/>
                <xsd:element ref="ns2:Document_x0020_Type" minOccurs="0"/>
                <xsd:element ref="ns2:Division" minOccurs="0"/>
                <xsd:element ref="ns2:Branch" minOccurs="0"/>
                <xsd:element ref="ns2:Assigned_x0020_to0" minOccurs="0"/>
                <xsd:element ref="ns2:Status"/>
                <xsd:element ref="ns2:Current_x0020_Meeting" minOccurs="0"/>
                <xsd:element ref="ns2:Due_x0020_Date" minOccurs="0"/>
                <xsd:element ref="ns2:Notes0" minOccurs="0"/>
                <xsd:element ref="ns2:Comments" minOccurs="0"/>
                <xsd:element ref="ns3:_dlc_DocId" minOccurs="0"/>
                <xsd:element ref="ns3:_dlc_DocIdUrl" minOccurs="0"/>
                <xsd:element ref="ns3:_dlc_DocIdPersistId" minOccurs="0"/>
                <xsd:element ref="ns2:Assigned_x0020_to_x0020__x0028_Person_x0020_2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3dbb1-5de7-4336-8141-51d0d14df6ee" elementFormDefault="qualified">
    <xsd:import namespace="http://schemas.microsoft.com/office/2006/documentManagement/types"/>
    <xsd:import namespace="http://schemas.microsoft.com/office/infopath/2007/PartnerControls"/>
    <xsd:element name="Committee" ma:index="2" ma:displayName="Committee" ma:format="RadioButtons" ma:internalName="Committee">
      <xsd:simpleType>
        <xsd:restriction base="dms:Choice">
          <xsd:enumeration value="ACSEES"/>
          <xsd:enumeration value="Authority"/>
          <xsd:enumeration value="Authority Administration"/>
          <xsd:enumeration value="BCC"/>
          <xsd:enumeration value="BOC"/>
          <xsd:enumeration value="BOC Administration"/>
          <xsd:enumeration value="BPIC"/>
          <xsd:enumeration value="BPIC - EWWG"/>
          <xsd:enumeration value="BPIC - MEWG"/>
          <xsd:enumeration value="BPIC - WRPWG"/>
          <xsd:enumeration value="BPIC - WTWG"/>
          <xsd:enumeration value="MINCO"/>
          <xsd:enumeration value="MINCO HOSTING"/>
          <xsd:enumeration value="RMOC"/>
          <xsd:enumeration value="TLMC"/>
        </xsd:restriction>
      </xsd:simpleType>
    </xsd:element>
    <xsd:element name="Meeting_x0020_Number" ma:index="3" ma:displayName="Meeting#" ma:internalName="Meeting_x0020_Number" ma:percentage="FALSE">
      <xsd:simpleType>
        <xsd:restriction base="dms:Number"/>
      </xsd:simpleType>
    </xsd:element>
    <xsd:element name="_x0023__x0020_of_x0020_Attachments" ma:index="4" nillable="true" ma:displayName="#Att" ma:decimals="0" ma:internalName="_x0023__x0020_of_x0020_Attachments" ma:percentage="FALSE">
      <xsd:simpleType>
        <xsd:restriction base="dms:Number">
          <xsd:maxInclusive value="10"/>
          <xsd:minInclusive value="0"/>
        </xsd:restriction>
      </xsd:simpleType>
    </xsd:element>
    <xsd:element name="Document_x0020_Type" ma:index="5" nillable="true" ma:displayName="Document Type" ma:format="RadioButtons" ma:internalName="Document_x0020_Type">
      <xsd:simpleType>
        <xsd:restriction base="dms:Choice">
          <xsd:enumeration value="Agenda"/>
          <xsd:enumeration value="Meeting Paper"/>
          <xsd:enumeration value="Attachment to Meeting Paper"/>
          <xsd:enumeration value="Briefing Paper"/>
          <xsd:enumeration value="Minutes"/>
          <xsd:enumeration value="Rolling Actions List"/>
          <xsd:enumeration value="Decision Register"/>
          <xsd:enumeration value="Verbal Update"/>
          <xsd:enumeration value="Presentation"/>
          <xsd:enumeration value="Out of session"/>
        </xsd:restriction>
      </xsd:simpleType>
    </xsd:element>
    <xsd:element name="Division" ma:index="6" nillable="true" ma:displayName="Division" ma:format="Dropdown" ma:internalName="Division">
      <xsd:simpleType>
        <xsd:restriction base="dms:Choice">
          <xsd:enumeration value="Corporate"/>
          <xsd:enumeration value="Environmental Management"/>
          <xsd:enumeration value="Office of the CE"/>
          <xsd:enumeration value="Policy and Planning"/>
          <xsd:enumeration value="River Management"/>
          <xsd:enumeration value="Dept. of Agriculture and Water Resources"/>
          <xsd:enumeration value="Dept. of the Environment and Energy"/>
          <xsd:enumeration value="State Government"/>
        </xsd:restriction>
      </xsd:simpleType>
    </xsd:element>
    <xsd:element name="Branch" ma:index="7" nillable="true" ma:displayName="Branch" ma:format="Dropdown" ma:internalName="Branch">
      <xsd:simpleType>
        <xsd:restriction base="dms:Choice">
          <xsd:enumeration value="N/A"/>
          <xsd:enumeration value="Assets"/>
          <xsd:enumeration value="Basin wide Compliance Review"/>
          <xsd:enumeration value="Eco-hydrology"/>
          <xsd:enumeration value="Partnerships and Engagement"/>
          <xsd:enumeration value="Policy and Planning"/>
          <xsd:enumeration value="Water Policy"/>
          <xsd:enumeration value="Water Resource Planning"/>
          <xsd:enumeration value="State – ACT"/>
          <xsd:enumeration value="State – NSW"/>
          <xsd:enumeration value="State – QLD"/>
          <xsd:enumeration value="State – SA"/>
          <xsd:enumeration value="State – VIC"/>
        </xsd:restriction>
      </xsd:simpleType>
    </xsd:element>
    <xsd:element name="Assigned_x0020_to0" ma:index="8" nillable="true" ma:displayName="Assigned to" ma:list="UserInfo"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ma:displayName="Status" ma:default="For Drafting" ma:description="Status Of Document" ma:format="Dropdown" ma:internalName="Status">
      <xsd:simpleType>
        <xsd:restriction base="dms:Choice">
          <xsd:enumeration value="For Allocation"/>
          <xsd:enumeration value="For Drafting"/>
          <xsd:enumeration value="For Review"/>
          <xsd:enumeration value="For Approval"/>
          <xsd:enumeration value="To Secretariat for QA"/>
          <xsd:enumeration value="For Final Approval"/>
          <xsd:enumeration value="For Chair Approval"/>
          <xsd:enumeration value="For Department Approval"/>
          <xsd:enumeration value="Finalised"/>
          <xsd:enumeration value="Archive"/>
        </xsd:restriction>
      </xsd:simpleType>
    </xsd:element>
    <xsd:element name="Current_x0020_Meeting" ma:index="11" nillable="true" ma:displayName="Current Meeting" ma:default="Current Meeting" ma:format="Dropdown" ma:internalName="Current_x0020_Meeting">
      <xsd:simpleType>
        <xsd:restriction base="dms:Choice">
          <xsd:enumeration value="Current Meeting"/>
          <xsd:enumeration value="Not Current Meeting"/>
        </xsd:restriction>
      </xsd:simpleType>
    </xsd:element>
    <xsd:element name="Due_x0020_Date" ma:index="12" nillable="true" ma:displayName="Due Date" ma:format="DateOnly" ma:internalName="Due_x0020_Date">
      <xsd:simpleType>
        <xsd:restriction base="dms:DateTime"/>
      </xsd:simpleType>
    </xsd:element>
    <xsd:element name="Notes0" ma:index="13" nillable="true" ma:displayName="Instructions" ma:internalName="Notes0">
      <xsd:simpleType>
        <xsd:restriction base="dms:Note">
          <xsd:maxLength value="255"/>
        </xsd:restriction>
      </xsd:simpleType>
    </xsd:element>
    <xsd:element name="Comments" ma:index="14" nillable="true" ma:displayName="Comments" ma:internalName="Comments">
      <xsd:simpleType>
        <xsd:restriction base="dms:Note">
          <xsd:maxLength value="255"/>
        </xsd:restriction>
      </xsd:simpleType>
    </xsd:element>
    <xsd:element name="Assigned_x0020_to_x0020__x0028_Person_x0020_2_x0029_" ma:index="25" nillable="true" ma:displayName="Assigned to (Person 2)" ma:list="UserInfo" ma:SearchPeopleOnly="false" ma:SharePointGroup="0" ma:internalName="Assigned_x0020_to_x0020__x0028_Person_x0020_2_x0029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ab476-99e4-494f-9cb2-fdc20c3296a4"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0" ma:displayName="TRI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ue_x0020_Date xmlns="4d23dbb1-5de7-4336-8141-51d0d14df6ee" xsi:nil="true"/>
    <Branch xmlns="4d23dbb1-5de7-4336-8141-51d0d14df6ee">Eco-hydrology</Branch>
    <Assigned_x0020_to_x0020__x0028_Person_x0020_2_x0029_ xmlns="4d23dbb1-5de7-4336-8141-51d0d14df6ee">
      <UserInfo>
        <DisplayName/>
        <AccountId xsi:nil="true"/>
        <AccountType/>
      </UserInfo>
    </Assigned_x0020_to_x0020__x0028_Person_x0020_2_x0029_>
    <Division xmlns="4d23dbb1-5de7-4336-8141-51d0d14df6ee">Environmental Management</Division>
    <Committee xmlns="4d23dbb1-5de7-4336-8141-51d0d14df6ee">Authority</Committee>
    <_dlc_DocId xmlns="39fab476-99e4-494f-9cb2-fdc20c3296a4">2WYY7ZCY3WUE-514-5845</_dlc_DocId>
    <Current_x0020_Meeting xmlns="4d23dbb1-5de7-4336-8141-51d0d14df6ee">Current Meeting</Current_x0020_Meeting>
    <Status xmlns="4d23dbb1-5de7-4336-8141-51d0d14df6ee">Finalised</Status>
    <_dlc_DocIdUrl xmlns="39fab476-99e4-494f-9cb2-fdc20c3296a4">
      <Url>http://teams.prod.local/corporateservices/secretariat/_layouts/DocIdRedir.aspx?ID=2WYY7ZCY3WUE-514-5845</Url>
      <Description>2WYY7ZCY3WUE-514-5845</Description>
    </_dlc_DocIdUrl>
    <Document_x0020_Type xmlns="4d23dbb1-5de7-4336-8141-51d0d14df6ee">Attachment to Meeting Paper</Document_x0020_Type>
    <Comments xmlns="4d23dbb1-5de7-4336-8141-51d0d14df6ee" xsi:nil="true"/>
    <_x0023__x0020_of_x0020_Attachments xmlns="4d23dbb1-5de7-4336-8141-51d0d14df6ee" xsi:nil="true"/>
    <Assigned_x0020_to0 xmlns="4d23dbb1-5de7-4336-8141-51d0d14df6ee">
      <UserInfo>
        <DisplayName>Authority Secretariat</DisplayName>
        <AccountId>937</AccountId>
        <AccountType/>
      </UserInfo>
    </Assigned_x0020_to0>
    <Meeting_x0020_Number xmlns="4d23dbb1-5de7-4336-8141-51d0d14df6ee">116</Meeting_x0020_Number>
    <Notes0 xmlns="4d23dbb1-5de7-4336-8141-51d0d14df6ee">Cleared.</Notes0>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941BD-02E1-46C3-ABB1-460489453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3dbb1-5de7-4336-8141-51d0d14df6ee"/>
    <ds:schemaRef ds:uri="39fab476-99e4-494f-9cb2-fdc20c329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88F2A-CD82-447C-A1F6-950B40B93D1B}">
  <ds:schemaRefs>
    <ds:schemaRef ds:uri="http://schemas.microsoft.com/sharepoint/events"/>
  </ds:schemaRefs>
</ds:datastoreItem>
</file>

<file path=customXml/itemProps3.xml><?xml version="1.0" encoding="utf-8"?>
<ds:datastoreItem xmlns:ds="http://schemas.openxmlformats.org/officeDocument/2006/customXml" ds:itemID="{93F411DC-8A9C-449C-8399-88D3B675E492}">
  <ds:schemaRefs>
    <ds:schemaRef ds:uri="http://schemas.microsoft.com/sharepoint/v3/contenttype/forms"/>
  </ds:schemaRefs>
</ds:datastoreItem>
</file>

<file path=customXml/itemProps4.xml><?xml version="1.0" encoding="utf-8"?>
<ds:datastoreItem xmlns:ds="http://schemas.openxmlformats.org/officeDocument/2006/customXml" ds:itemID="{64A9F9EE-FAA8-447D-AC29-7932FDE011B1}">
  <ds:schemaRefs>
    <ds:schemaRef ds:uri="http://schemas.microsoft.com/office/2006/documentManagement/types"/>
    <ds:schemaRef ds:uri="http://purl.org/dc/elements/1.1/"/>
    <ds:schemaRef ds:uri="4d23dbb1-5de7-4336-8141-51d0d14df6ee"/>
    <ds:schemaRef ds:uri="http://schemas.microsoft.com/office/infopath/2007/PartnerControls"/>
    <ds:schemaRef ds:uri="39fab476-99e4-494f-9cb2-fdc20c3296a4"/>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024564B8-AE73-4ADA-8BAC-378C3AAE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4770</Words>
  <Characters>25763</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2018-02-19T05:01:00Z</dcterms:created>
  <dcterms:modified xsi:type="dcterms:W3CDTF">2018-02-19T05:01:00Z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22519277</vt:lpwstr>
  </property>
  <property fmtid="{D5CDD505-2E9C-101B-9397-08002B2CF9AE}" pid="7" name="ContentTypeId">
    <vt:lpwstr>0x010100BB40971B77F1AC4CA81A5F7FB481E425</vt:lpwstr>
  </property>
  <property fmtid="{D5CDD505-2E9C-101B-9397-08002B2CF9AE}" pid="8" name="_dlc_DocIdItemGuid">
    <vt:lpwstr>dce6e476-5a42-401f-88c0-bc89e595b474</vt:lpwstr>
  </property>
</Properties>
</file>