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BC3" w:rsidRPr="001B1D7C" w:rsidRDefault="00414BC3" w:rsidP="00A94F2A">
      <w:pPr>
        <w:pStyle w:val="CoverTitle"/>
        <w:spacing w:after="600"/>
        <w:jc w:val="center"/>
      </w:pPr>
      <w:r w:rsidRPr="001B1D7C">
        <w:t>Explanatory Statement</w:t>
      </w:r>
    </w:p>
    <w:p w:rsidR="006776BD" w:rsidRDefault="00396BCD" w:rsidP="00C677B9">
      <w:pPr>
        <w:pStyle w:val="CoverTitle"/>
        <w:spacing w:after="120"/>
        <w:jc w:val="center"/>
        <w:rPr>
          <w:i/>
          <w:sz w:val="36"/>
          <w:szCs w:val="36"/>
        </w:rPr>
      </w:pPr>
      <w:r w:rsidRPr="001B1D7C">
        <w:rPr>
          <w:sz w:val="36"/>
          <w:szCs w:val="36"/>
        </w:rPr>
        <w:t xml:space="preserve">Accounting Standard </w:t>
      </w:r>
      <w:r w:rsidR="005F4451" w:rsidRPr="001B1D7C">
        <w:rPr>
          <w:sz w:val="36"/>
          <w:szCs w:val="36"/>
        </w:rPr>
        <w:t>AASB</w:t>
      </w:r>
      <w:r w:rsidR="00F913AF">
        <w:rPr>
          <w:sz w:val="36"/>
          <w:szCs w:val="36"/>
        </w:rPr>
        <w:t> </w:t>
      </w:r>
      <w:r w:rsidR="00C61FC9" w:rsidRPr="001B1D7C">
        <w:rPr>
          <w:sz w:val="36"/>
          <w:szCs w:val="36"/>
        </w:rPr>
        <w:t>201</w:t>
      </w:r>
      <w:r w:rsidR="007A218F">
        <w:rPr>
          <w:sz w:val="36"/>
          <w:szCs w:val="36"/>
        </w:rPr>
        <w:t>8</w:t>
      </w:r>
      <w:r w:rsidR="00C61FC9" w:rsidRPr="00314DC3">
        <w:rPr>
          <w:sz w:val="36"/>
          <w:szCs w:val="36"/>
        </w:rPr>
        <w:t>-</w:t>
      </w:r>
      <w:r w:rsidR="00541716">
        <w:rPr>
          <w:sz w:val="36"/>
          <w:szCs w:val="36"/>
        </w:rPr>
        <w:t>8</w:t>
      </w:r>
      <w:r w:rsidR="00347521" w:rsidRPr="00314DC3">
        <w:rPr>
          <w:sz w:val="36"/>
          <w:szCs w:val="36"/>
        </w:rPr>
        <w:br/>
      </w:r>
      <w:r w:rsidR="00C14F83" w:rsidRPr="00C14F83">
        <w:rPr>
          <w:i/>
          <w:sz w:val="36"/>
          <w:szCs w:val="36"/>
        </w:rPr>
        <w:t xml:space="preserve">Amendments to Australian Accounting Standards – </w:t>
      </w:r>
      <w:r w:rsidR="00C677B9">
        <w:rPr>
          <w:i/>
          <w:sz w:val="36"/>
          <w:szCs w:val="36"/>
        </w:rPr>
        <w:br/>
      </w:r>
      <w:r w:rsidR="00541716">
        <w:rPr>
          <w:i/>
          <w:sz w:val="36"/>
          <w:szCs w:val="36"/>
        </w:rPr>
        <w:t>Right-of-Use Assets of Not-for-Profit Entities</w:t>
      </w:r>
    </w:p>
    <w:p w:rsidR="00D36B1E" w:rsidRPr="001B1D7C" w:rsidRDefault="00D36B1E" w:rsidP="00D36B1E">
      <w:pPr>
        <w:pStyle w:val="CoverSubtitle"/>
        <w:spacing w:after="3120"/>
        <w:rPr>
          <w:sz w:val="32"/>
          <w:szCs w:val="32"/>
        </w:rPr>
      </w:pPr>
    </w:p>
    <w:p w:rsidR="00D36B1E" w:rsidRPr="001B1D7C" w:rsidRDefault="00541716" w:rsidP="00D36B1E">
      <w:pPr>
        <w:pStyle w:val="CoverDate"/>
        <w:tabs>
          <w:tab w:val="left" w:pos="3794"/>
          <w:tab w:val="left" w:pos="6232"/>
        </w:tabs>
        <w:spacing w:before="840"/>
        <w:jc w:val="center"/>
        <w:rPr>
          <w:b/>
          <w:sz w:val="28"/>
          <w:szCs w:val="28"/>
        </w:rPr>
      </w:pPr>
      <w:r>
        <w:rPr>
          <w:b/>
          <w:sz w:val="28"/>
          <w:szCs w:val="28"/>
        </w:rPr>
        <w:t>Decem</w:t>
      </w:r>
      <w:r w:rsidR="00B6306C">
        <w:rPr>
          <w:b/>
          <w:sz w:val="28"/>
          <w:szCs w:val="28"/>
        </w:rPr>
        <w:t>ber</w:t>
      </w:r>
      <w:r w:rsidR="007A218F">
        <w:rPr>
          <w:b/>
          <w:sz w:val="28"/>
          <w:szCs w:val="28"/>
        </w:rPr>
        <w:t xml:space="preserve"> 2018</w:t>
      </w:r>
    </w:p>
    <w:p w:rsidR="00414BC3" w:rsidRPr="00314DC3" w:rsidRDefault="00DA78F7">
      <w:pPr>
        <w:sectPr w:rsidR="00414BC3" w:rsidRPr="00314DC3" w:rsidSect="00B93CE4">
          <w:pgSz w:w="11907" w:h="16840"/>
          <w:pgMar w:top="1134" w:right="1134" w:bottom="1134" w:left="1134" w:header="720" w:footer="720" w:gutter="0"/>
          <w:cols w:space="720"/>
        </w:sectPr>
      </w:pPr>
      <w:r>
        <w:rPr>
          <w:noProof/>
        </w:rPr>
        <w:object w:dxaOrig="1440" w:dyaOrig="1440" w14:anchorId="4520E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7728;visibility:visible;mso-wrap-edited:f;mso-position-horizontal:left;mso-position-horizontal-relative:margin;mso-position-vertical:bottom;mso-position-vertical-relative:margin">
            <v:imagedata r:id="rId8" o:title=""/>
            <w10:wrap anchorx="margin" anchory="margin"/>
            <w10:anchorlock/>
          </v:shape>
          <o:OLEObject Type="Embed" ProgID="Word.Picture.8" ShapeID="_x0000_s1026" DrawAspect="Content" ObjectID="_1608035787" r:id="rId9"/>
        </w:object>
      </w:r>
    </w:p>
    <w:p w:rsidR="00414BC3" w:rsidRPr="00314DC3" w:rsidRDefault="00414BC3">
      <w:pPr>
        <w:pStyle w:val="Heading1"/>
      </w:pPr>
      <w:r w:rsidRPr="00314DC3">
        <w:lastRenderedPageBreak/>
        <w:t>EXPLANATORY STATEMENT</w:t>
      </w:r>
    </w:p>
    <w:p w:rsidR="00FD4C0C" w:rsidRPr="001B1D7C" w:rsidRDefault="006B1B4A" w:rsidP="00FD4C0C">
      <w:pPr>
        <w:pStyle w:val="Heading2"/>
      </w:pPr>
      <w:r w:rsidRPr="00314DC3">
        <w:t>Standard</w:t>
      </w:r>
      <w:r w:rsidR="00465EBE">
        <w:t>s</w:t>
      </w:r>
      <w:r w:rsidRPr="00314DC3">
        <w:t xml:space="preserve"> Amended by</w:t>
      </w:r>
      <w:r w:rsidR="00FD4C0C" w:rsidRPr="001B1D7C">
        <w:t xml:space="preserve"> AASB</w:t>
      </w:r>
      <w:r w:rsidR="00F913AF">
        <w:t> </w:t>
      </w:r>
      <w:r w:rsidR="00C068D8" w:rsidRPr="001B1D7C">
        <w:t>201</w:t>
      </w:r>
      <w:r w:rsidR="007A218F">
        <w:t>8</w:t>
      </w:r>
      <w:r w:rsidR="00C068D8" w:rsidRPr="001B1D7C">
        <w:t>-</w:t>
      </w:r>
      <w:r w:rsidR="00541716">
        <w:t>8</w:t>
      </w:r>
    </w:p>
    <w:p w:rsidR="00541716" w:rsidRDefault="00541716" w:rsidP="00541716">
      <w:pPr>
        <w:pStyle w:val="NoNumPlain1"/>
      </w:pPr>
      <w:r>
        <w:t xml:space="preserve">This Standard makes amendments to AASB 1 </w:t>
      </w:r>
      <w:r w:rsidRPr="009A29B3">
        <w:rPr>
          <w:i/>
        </w:rPr>
        <w:t>First-time Adoption of Australian Accounting Standards</w:t>
      </w:r>
      <w:r>
        <w:t xml:space="preserve"> (July 2015), AASB 16 </w:t>
      </w:r>
      <w:r w:rsidRPr="00F86274">
        <w:rPr>
          <w:i/>
        </w:rPr>
        <w:t>Leases</w:t>
      </w:r>
      <w:r>
        <w:t xml:space="preserve"> (February 2016), AASB 117 </w:t>
      </w:r>
      <w:r w:rsidRPr="00086A59">
        <w:rPr>
          <w:i/>
        </w:rPr>
        <w:t>Leases</w:t>
      </w:r>
      <w:r>
        <w:t xml:space="preserve"> (August 2015), AASB 1049 </w:t>
      </w:r>
      <w:r w:rsidRPr="006B4C3A">
        <w:rPr>
          <w:i/>
        </w:rPr>
        <w:t xml:space="preserve">Whole of Government and General Government Sector Financial </w:t>
      </w:r>
      <w:r w:rsidRPr="0082396A">
        <w:rPr>
          <w:i/>
        </w:rPr>
        <w:t>Reporting</w:t>
      </w:r>
      <w:r w:rsidRPr="0082396A">
        <w:t xml:space="preserve"> </w:t>
      </w:r>
      <w:r w:rsidRPr="004D4FDA">
        <w:t>(</w:t>
      </w:r>
      <w:r>
        <w:t>October 2007</w:t>
      </w:r>
      <w:r w:rsidRPr="004D4FDA">
        <w:t>)</w:t>
      </w:r>
      <w:r>
        <w:t xml:space="preserve"> and AASB 1058 </w:t>
      </w:r>
      <w:r>
        <w:rPr>
          <w:i/>
        </w:rPr>
        <w:t>Income of Not</w:t>
      </w:r>
      <w:r>
        <w:rPr>
          <w:i/>
        </w:rPr>
        <w:noBreakHyphen/>
        <w:t>for</w:t>
      </w:r>
      <w:r>
        <w:rPr>
          <w:i/>
        </w:rPr>
        <w:noBreakHyphen/>
      </w:r>
      <w:r w:rsidRPr="0070606F">
        <w:rPr>
          <w:i/>
        </w:rPr>
        <w:t>Profit Entities</w:t>
      </w:r>
      <w:r>
        <w:t xml:space="preserve"> (December 2016). </w:t>
      </w:r>
    </w:p>
    <w:p w:rsidR="007104EB" w:rsidRDefault="007104EB" w:rsidP="007104EB">
      <w:pPr>
        <w:pStyle w:val="NoNumPlain1"/>
      </w:pPr>
      <w:r>
        <w:t>AASB 1058</w:t>
      </w:r>
      <w:r w:rsidRPr="005C3266">
        <w:t xml:space="preserve"> made amendments to AASB 16</w:t>
      </w:r>
      <w:r>
        <w:t xml:space="preserve"> to</w:t>
      </w:r>
      <w:r w:rsidRPr="005C3266">
        <w:t xml:space="preserve"> require </w:t>
      </w:r>
      <w:r>
        <w:t xml:space="preserve">not-for-profit entities </w:t>
      </w:r>
      <w:r w:rsidRPr="005C3266">
        <w:t xml:space="preserve">to </w:t>
      </w:r>
      <w:r>
        <w:t>measure right</w:t>
      </w:r>
      <w:r>
        <w:noBreakHyphen/>
        <w:t>of</w:t>
      </w:r>
      <w:r>
        <w:noBreakHyphen/>
      </w:r>
      <w:r w:rsidRPr="005C3266">
        <w:t>use asset</w:t>
      </w:r>
      <w:r>
        <w:t>s</w:t>
      </w:r>
      <w:r w:rsidRPr="005C3266">
        <w:t xml:space="preserve"> </w:t>
      </w:r>
      <w:r>
        <w:t xml:space="preserve">at initial recognition at fair value in respect of </w:t>
      </w:r>
      <w:r w:rsidRPr="005C3266">
        <w:t>lease</w:t>
      </w:r>
      <w:r>
        <w:t>s</w:t>
      </w:r>
      <w:r w:rsidRPr="005C3266">
        <w:t xml:space="preserve"> that ha</w:t>
      </w:r>
      <w:r>
        <w:t>ve</w:t>
      </w:r>
      <w:r w:rsidRPr="005C3266">
        <w:t xml:space="preserve"> significantly below-market terms and conditions principally to enable the entity to further its objectives</w:t>
      </w:r>
      <w:r>
        <w:t xml:space="preserve"> (‘concessionary leases’)</w:t>
      </w:r>
      <w:r w:rsidRPr="005C3266">
        <w:t>.</w:t>
      </w:r>
      <w:r>
        <w:t xml:space="preserve"> </w:t>
      </w:r>
    </w:p>
    <w:p w:rsidR="007104EB" w:rsidRDefault="00EE1948" w:rsidP="007104EB">
      <w:pPr>
        <w:pStyle w:val="NoNumPlain1"/>
      </w:pPr>
      <w:r>
        <w:t>However, t</w:t>
      </w:r>
      <w:r w:rsidR="007104EB">
        <w:t xml:space="preserve">he AASB decided to </w:t>
      </w:r>
      <w:r>
        <w:t xml:space="preserve">issue AASB 2018-8 to </w:t>
      </w:r>
      <w:r w:rsidR="007104EB">
        <w:t>provide a temporary option for not-for-profit entities</w:t>
      </w:r>
      <w:r w:rsidR="007104EB" w:rsidRPr="009C0B94">
        <w:t xml:space="preserve"> </w:t>
      </w:r>
      <w:r w:rsidR="007104EB">
        <w:t>to not measure a class or classes of right</w:t>
      </w:r>
      <w:r w:rsidR="007104EB">
        <w:noBreakHyphen/>
        <w:t>of</w:t>
      </w:r>
      <w:r w:rsidR="007104EB">
        <w:noBreakHyphen/>
        <w:t>use assets arising under concessionary leases at initial recognition at fair value, since further guidance is expected to be developed to assist not</w:t>
      </w:r>
      <w:r w:rsidR="007104EB">
        <w:noBreakHyphen/>
        <w:t>for</w:t>
      </w:r>
      <w:r w:rsidR="007104EB">
        <w:noBreakHyphen/>
        <w:t>profit entities in measuring right-of-use assets at fair value.</w:t>
      </w:r>
      <w:r w:rsidR="007104EB" w:rsidRPr="009C0B94">
        <w:t xml:space="preserve"> </w:t>
      </w:r>
      <w:r w:rsidR="007104EB">
        <w:t xml:space="preserve">The temporary option would also avoid requiring </w:t>
      </w:r>
      <w:r w:rsidR="007104EB">
        <w:rPr>
          <w:szCs w:val="19"/>
        </w:rPr>
        <w:t>not-for</w:t>
      </w:r>
      <w:r w:rsidR="007104EB">
        <w:rPr>
          <w:szCs w:val="19"/>
        </w:rPr>
        <w:noBreakHyphen/>
        <w:t xml:space="preserve">profit </w:t>
      </w:r>
      <w:r w:rsidR="007104EB" w:rsidRPr="00AD2F94">
        <w:rPr>
          <w:szCs w:val="19"/>
        </w:rPr>
        <w:t xml:space="preserve">private sector </w:t>
      </w:r>
      <w:r w:rsidR="007104EB">
        <w:rPr>
          <w:szCs w:val="19"/>
        </w:rPr>
        <w:t xml:space="preserve">entities </w:t>
      </w:r>
      <w:r w:rsidR="007104EB" w:rsidRPr="00AD2F94">
        <w:rPr>
          <w:szCs w:val="19"/>
        </w:rPr>
        <w:t xml:space="preserve">at the lower </w:t>
      </w:r>
      <w:r w:rsidR="007104EB">
        <w:t>level of the reporting thresholds to apply the fair value initial measurement requirements of AASB 16 when they might not be required to apply these requirements in the future as a result of recommendations of the ACNC Legislative Review.</w:t>
      </w:r>
    </w:p>
    <w:p w:rsidR="00ED4F33" w:rsidRPr="001B1D7C" w:rsidRDefault="00A94F2A" w:rsidP="00A94F2A">
      <w:pPr>
        <w:pStyle w:val="Heading3"/>
      </w:pPr>
      <w:r w:rsidRPr="001B1D7C">
        <w:t>Power to Make Amendments</w:t>
      </w:r>
      <w:r w:rsidR="007676C0" w:rsidRPr="001B1D7C">
        <w:t xml:space="preserve"> </w:t>
      </w:r>
    </w:p>
    <w:p w:rsidR="00ED4F33" w:rsidRPr="001B1D7C" w:rsidRDefault="002A0EA5" w:rsidP="00ED4F33">
      <w:pPr>
        <w:pStyle w:val="NoNumPlain1"/>
      </w:pPr>
      <w:r>
        <w:t>Under subsection </w:t>
      </w:r>
      <w:r w:rsidR="00ED4F33" w:rsidRPr="001B1D7C">
        <w:t xml:space="preserve">33(3) of the </w:t>
      </w:r>
      <w:r w:rsidR="00ED4F33" w:rsidRPr="001B1D7C">
        <w:rPr>
          <w:i/>
        </w:rPr>
        <w:t>Acts Interpretation Act 1901</w:t>
      </w:r>
      <w:r w:rsidR="00ED4F33" w:rsidRPr="001B1D7C">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Accordingly, the AASB has the power to amend the Accounting Standards that are made by the AASB as legislative instruments under the </w:t>
      </w:r>
      <w:r w:rsidR="00ED4F33" w:rsidRPr="001B1D7C">
        <w:rPr>
          <w:i/>
        </w:rPr>
        <w:t>Corporations Act 2001</w:t>
      </w:r>
      <w:r w:rsidR="00ED4F33" w:rsidRPr="001B1D7C">
        <w:t>.</w:t>
      </w:r>
    </w:p>
    <w:p w:rsidR="00FD4C0C" w:rsidRPr="00127350" w:rsidRDefault="00FD4C0C" w:rsidP="00F73663">
      <w:pPr>
        <w:pStyle w:val="Heading2"/>
      </w:pPr>
      <w:r w:rsidRPr="00127350">
        <w:t>Main Features of AASB</w:t>
      </w:r>
      <w:r w:rsidR="00375119">
        <w:t> </w:t>
      </w:r>
      <w:r w:rsidR="00C068D8" w:rsidRPr="00127350">
        <w:t>201</w:t>
      </w:r>
      <w:r w:rsidR="007A218F">
        <w:t>8</w:t>
      </w:r>
      <w:r w:rsidR="00C068D8" w:rsidRPr="00127350">
        <w:t>-</w:t>
      </w:r>
      <w:r w:rsidR="007104EB">
        <w:t>8</w:t>
      </w:r>
    </w:p>
    <w:p w:rsidR="00ED4F33" w:rsidRPr="001B1D7C" w:rsidRDefault="00ED4F33" w:rsidP="00ED4F33">
      <w:pPr>
        <w:pStyle w:val="Heading3"/>
      </w:pPr>
      <w:r w:rsidRPr="001B1D7C">
        <w:t>Main Requirements</w:t>
      </w:r>
    </w:p>
    <w:p w:rsidR="00541716" w:rsidRDefault="00541716" w:rsidP="00541716">
      <w:pPr>
        <w:pStyle w:val="NoNumPlain1"/>
      </w:pPr>
      <w:r>
        <w:t>AASB 2018-8 amends AASB 1, AASB 16, AASB 117, AASB 1049 and AASB 1058 to provide a temporary option for not</w:t>
      </w:r>
      <w:r>
        <w:noBreakHyphen/>
        <w:t>for</w:t>
      </w:r>
      <w:r>
        <w:noBreakHyphen/>
        <w:t>profit entities</w:t>
      </w:r>
      <w:r w:rsidRPr="009C0B94">
        <w:t xml:space="preserve"> </w:t>
      </w:r>
      <w:r w:rsidR="000A7EE9">
        <w:t>to</w:t>
      </w:r>
      <w:r w:rsidR="000A7EE9" w:rsidRPr="000A7EE9">
        <w:t xml:space="preserve"> elect to measure a class (or classes) of right-of-use assets aris</w:t>
      </w:r>
      <w:r w:rsidR="000A7EE9">
        <w:t>ing under concessionary leases</w:t>
      </w:r>
      <w:r w:rsidR="000A7EE9" w:rsidRPr="000A7EE9">
        <w:t xml:space="preserve"> at initial recognition</w:t>
      </w:r>
      <w:r w:rsidR="000A7EE9">
        <w:t xml:space="preserve"> either at cost or at fair value</w:t>
      </w:r>
      <w:r w:rsidRPr="005C3266">
        <w:t>.</w:t>
      </w:r>
      <w:r>
        <w:t xml:space="preserve"> The Standard requires an entity that elects to apply the </w:t>
      </w:r>
      <w:r w:rsidR="000A7EE9">
        <w:t xml:space="preserve">cost </w:t>
      </w:r>
      <w:r>
        <w:t>option to include additional disclosures in the financial statements to ensure users understand the effects on the financial position, financial performance and cash flows of the entity arising from these leases.</w:t>
      </w:r>
    </w:p>
    <w:p w:rsidR="00FD4C0C" w:rsidRPr="001B1D7C" w:rsidRDefault="00FD4C0C" w:rsidP="006B1B4A">
      <w:pPr>
        <w:pStyle w:val="Heading3"/>
      </w:pPr>
      <w:r w:rsidRPr="001B1D7C">
        <w:t>Application Date</w:t>
      </w:r>
    </w:p>
    <w:p w:rsidR="00BE66D4" w:rsidRDefault="005F1173" w:rsidP="00A92FFA">
      <w:pPr>
        <w:pStyle w:val="NoNumPlain1"/>
      </w:pPr>
      <w:r w:rsidRPr="00127350">
        <w:t>AASB</w:t>
      </w:r>
      <w:r w:rsidR="00F913AF">
        <w:t> </w:t>
      </w:r>
      <w:r w:rsidR="00C068D8" w:rsidRPr="00127350">
        <w:t>201</w:t>
      </w:r>
      <w:r w:rsidR="007A218F">
        <w:t>8</w:t>
      </w:r>
      <w:r w:rsidR="00C068D8" w:rsidRPr="00127350">
        <w:t>-</w:t>
      </w:r>
      <w:r w:rsidR="00541716">
        <w:t>8</w:t>
      </w:r>
      <w:r w:rsidR="006D6B35" w:rsidRPr="00127350">
        <w:t xml:space="preserve"> </w:t>
      </w:r>
      <w:r w:rsidR="00294D8C">
        <w:t>applies to</w:t>
      </w:r>
      <w:r w:rsidR="001D3B0B" w:rsidRPr="000F1CD0">
        <w:t xml:space="preserve"> annual </w:t>
      </w:r>
      <w:r w:rsidR="00A638C0">
        <w:t xml:space="preserve">reporting </w:t>
      </w:r>
      <w:r w:rsidR="001D3B0B" w:rsidRPr="000F1CD0">
        <w:t>periods beginning on or after 1 January 201</w:t>
      </w:r>
      <w:r w:rsidR="00294D8C">
        <w:t>9</w:t>
      </w:r>
      <w:r w:rsidR="003038C5">
        <w:t>,</w:t>
      </w:r>
      <w:r w:rsidR="003038C5" w:rsidRPr="003038C5">
        <w:t xml:space="preserve"> </w:t>
      </w:r>
      <w:r w:rsidR="000A7EE9">
        <w:t xml:space="preserve">which is </w:t>
      </w:r>
      <w:r w:rsidR="00541716">
        <w:t>the</w:t>
      </w:r>
      <w:r w:rsidR="003038C5">
        <w:t xml:space="preserve"> manda</w:t>
      </w:r>
      <w:r w:rsidR="00541716">
        <w:t>tory effective date of AASB 16 and AASB 1058</w:t>
      </w:r>
      <w:r w:rsidR="00294D8C">
        <w:t>.</w:t>
      </w:r>
      <w:r w:rsidR="007104EB">
        <w:t xml:space="preserve"> E</w:t>
      </w:r>
      <w:r w:rsidR="007104EB" w:rsidRPr="00766E15">
        <w:t>arl</w:t>
      </w:r>
      <w:r w:rsidR="007104EB">
        <w:t>ier</w:t>
      </w:r>
      <w:r w:rsidR="007104EB" w:rsidRPr="00766E15">
        <w:t xml:space="preserve"> </w:t>
      </w:r>
      <w:r w:rsidR="007104EB">
        <w:t>application</w:t>
      </w:r>
      <w:r w:rsidR="007104EB" w:rsidRPr="00766E15">
        <w:t xml:space="preserve"> </w:t>
      </w:r>
      <w:r w:rsidR="007104EB">
        <w:t xml:space="preserve">is </w:t>
      </w:r>
      <w:r w:rsidR="007104EB" w:rsidRPr="00766E15">
        <w:t>permitted</w:t>
      </w:r>
      <w:r w:rsidR="007104EB">
        <w:t xml:space="preserve"> provided that AASB 1058 is also applied at the same time.</w:t>
      </w:r>
    </w:p>
    <w:p w:rsidR="00ED4F33" w:rsidRPr="00127350" w:rsidRDefault="007676C0" w:rsidP="007676C0">
      <w:pPr>
        <w:pStyle w:val="Heading3"/>
      </w:pPr>
      <w:r w:rsidRPr="00127350">
        <w:t>References to Other AASB Standards</w:t>
      </w:r>
    </w:p>
    <w:p w:rsidR="00ED4F33" w:rsidRPr="00127350" w:rsidRDefault="006D4E28" w:rsidP="00ED4F33">
      <w:pPr>
        <w:pStyle w:val="NoNumPlain1"/>
      </w:pPr>
      <w:r>
        <w:t>References in this</w:t>
      </w:r>
      <w:r w:rsidR="00ED4F33" w:rsidRPr="00127350">
        <w:t xml:space="preserve"> Standard to the titles of other AASB Standards that are legislative instruments are to be construed as </w:t>
      </w:r>
      <w:r w:rsidR="00ED4F33" w:rsidRPr="00314DC3">
        <w:t>references to those other Standards as originally made and as amended from time to time and incorporate provisions of those Standards as in force from time to time.</w:t>
      </w:r>
    </w:p>
    <w:p w:rsidR="00EA0A87" w:rsidRPr="00314DC3" w:rsidRDefault="00EA0A87" w:rsidP="00EA0A87">
      <w:pPr>
        <w:pStyle w:val="Heading2"/>
      </w:pPr>
      <w:r w:rsidRPr="00314DC3">
        <w:t>C</w:t>
      </w:r>
      <w:r w:rsidR="00465EBE">
        <w:t>on</w:t>
      </w:r>
      <w:r w:rsidR="009F3698">
        <w:t>sultation Prior to Issuing this</w:t>
      </w:r>
      <w:r w:rsidRPr="00314DC3">
        <w:t xml:space="preserve"> Standard</w:t>
      </w:r>
    </w:p>
    <w:p w:rsidR="007104EB" w:rsidRDefault="00117444" w:rsidP="00C677B9">
      <w:pPr>
        <w:pStyle w:val="NoNumPlain1"/>
      </w:pPr>
      <w:r>
        <w:t>The AASB</w:t>
      </w:r>
      <w:r w:rsidR="003600E3" w:rsidRPr="003600E3">
        <w:t xml:space="preserve"> issued </w:t>
      </w:r>
      <w:r w:rsidR="007104EB">
        <w:t xml:space="preserve">an Exposure Draft ED 286 </w:t>
      </w:r>
      <w:r w:rsidR="007104EB" w:rsidRPr="00117444">
        <w:rPr>
          <w:i/>
        </w:rPr>
        <w:t>Amendments to Australian Accounting Standards – Right</w:t>
      </w:r>
      <w:r w:rsidR="007104EB" w:rsidRPr="00117444">
        <w:rPr>
          <w:i/>
        </w:rPr>
        <w:noBreakHyphen/>
        <w:t>of</w:t>
      </w:r>
      <w:r w:rsidR="007104EB" w:rsidRPr="00117444">
        <w:rPr>
          <w:i/>
        </w:rPr>
        <w:noBreakHyphen/>
        <w:t>Use Assets of Not</w:t>
      </w:r>
      <w:r w:rsidR="007104EB" w:rsidRPr="00117444">
        <w:rPr>
          <w:i/>
        </w:rPr>
        <w:noBreakHyphen/>
        <w:t>for</w:t>
      </w:r>
      <w:r w:rsidR="007104EB" w:rsidRPr="00117444">
        <w:rPr>
          <w:i/>
        </w:rPr>
        <w:noBreakHyphen/>
        <w:t>Profit Entities</w:t>
      </w:r>
      <w:r w:rsidR="007104EB" w:rsidRPr="007104EB">
        <w:t xml:space="preserve"> </w:t>
      </w:r>
      <w:r w:rsidR="007104EB">
        <w:t>in November 2018 for public comment by 7 December 2018. The Board received 2</w:t>
      </w:r>
      <w:r w:rsidR="0019278C">
        <w:t>1</w:t>
      </w:r>
      <w:r w:rsidR="007104EB">
        <w:t xml:space="preserve"> submissions. All respondents </w:t>
      </w:r>
      <w:r w:rsidRPr="00065F5A">
        <w:t>agreed that not-for-pr</w:t>
      </w:r>
      <w:r>
        <w:t xml:space="preserve">ofit entities should be given some form of relief to </w:t>
      </w:r>
      <w:r w:rsidRPr="00065F5A">
        <w:t>not measure right</w:t>
      </w:r>
      <w:r w:rsidRPr="00065F5A">
        <w:noBreakHyphen/>
        <w:t>of</w:t>
      </w:r>
      <w:r w:rsidRPr="00065F5A">
        <w:noBreakHyphen/>
        <w:t>use assets for concessionary leases</w:t>
      </w:r>
      <w:r>
        <w:t xml:space="preserve"> </w:t>
      </w:r>
      <w:r w:rsidRPr="00065F5A">
        <w:t>at initial recognition at fair value</w:t>
      </w:r>
      <w:r>
        <w:t>. Some respondents agreed that the relief should only be given on a temporary basis</w:t>
      </w:r>
      <w:r w:rsidRPr="00065F5A">
        <w:t xml:space="preserve"> until further guidance has been developed to assist not</w:t>
      </w:r>
      <w:r w:rsidRPr="00065F5A">
        <w:noBreakHyphen/>
        <w:t>for</w:t>
      </w:r>
      <w:r w:rsidRPr="00065F5A">
        <w:noBreakHyphen/>
        <w:t>profit entities in fair valuing right</w:t>
      </w:r>
      <w:r w:rsidRPr="00065F5A">
        <w:noBreakHyphen/>
        <w:t>of</w:t>
      </w:r>
      <w:r w:rsidRPr="00065F5A">
        <w:noBreakHyphen/>
        <w:t>use assets and the financial reporting requirements for not</w:t>
      </w:r>
      <w:r w:rsidRPr="00065F5A">
        <w:noBreakHyphen/>
        <w:t>for</w:t>
      </w:r>
      <w:r w:rsidRPr="00065F5A">
        <w:noBreakHyphen/>
        <w:t>profit private secto</w:t>
      </w:r>
      <w:r>
        <w:t>r entities have been finalised. However, other respondents were of the view that the option to elect either cost or fair value measurement should be made available on a permanent basis for all concessionary leases.</w:t>
      </w:r>
    </w:p>
    <w:p w:rsidR="00117444" w:rsidRDefault="00117444" w:rsidP="00C677B9">
      <w:pPr>
        <w:pStyle w:val="NoNumPlain1"/>
      </w:pPr>
      <w:r>
        <w:t xml:space="preserve">The AASB </w:t>
      </w:r>
      <w:r w:rsidRPr="00065F5A">
        <w:t xml:space="preserve">considered the feedback and decided to </w:t>
      </w:r>
      <w:r>
        <w:t>issue AASB 2018-8</w:t>
      </w:r>
      <w:r w:rsidRPr="00065F5A">
        <w:t xml:space="preserve"> to </w:t>
      </w:r>
      <w:r>
        <w:t xml:space="preserve">provide </w:t>
      </w:r>
      <w:r w:rsidR="00AC1508">
        <w:t>temporary r</w:t>
      </w:r>
      <w:r w:rsidR="009A1F79">
        <w:t xml:space="preserve">elief to </w:t>
      </w:r>
      <w:r w:rsidR="0019278C">
        <w:t xml:space="preserve">permit </w:t>
      </w:r>
      <w:r w:rsidR="009A1F79">
        <w:t>not-for-profit entities</w:t>
      </w:r>
      <w:r w:rsidR="000A7EE9">
        <w:t xml:space="preserve"> to</w:t>
      </w:r>
      <w:r w:rsidR="000A7EE9" w:rsidRPr="000A7EE9">
        <w:t xml:space="preserve"> elect to measure a class (or classes) of right-of-use assets arising under</w:t>
      </w:r>
      <w:r w:rsidR="000A7EE9">
        <w:t xml:space="preserve"> </w:t>
      </w:r>
      <w:r w:rsidR="000A7EE9" w:rsidRPr="000A7EE9">
        <w:t>concessionary leases at initial recognition</w:t>
      </w:r>
      <w:r w:rsidR="000A7EE9">
        <w:t xml:space="preserve"> either at cost or at fair value</w:t>
      </w:r>
      <w:r>
        <w:t>. At a later time, when fair value measurement guidance has been developed and the not</w:t>
      </w:r>
      <w:r>
        <w:noBreakHyphen/>
        <w:t>for</w:t>
      </w:r>
      <w:r>
        <w:noBreakHyphen/>
        <w:t>profit private sector financial reporting requirements have been finalised, the AASB will consider whether the option should be made permanent.</w:t>
      </w:r>
    </w:p>
    <w:p w:rsidR="00A94F2A" w:rsidRPr="00CB2372" w:rsidRDefault="00B62F36" w:rsidP="00AC1508">
      <w:pPr>
        <w:pStyle w:val="NoNumPlain1"/>
        <w:rPr>
          <w:rFonts w:cs="Arial"/>
          <w:iCs/>
        </w:rPr>
      </w:pPr>
      <w:r w:rsidRPr="00B62F36">
        <w:t>A Regulation Impact Statement (RIS) has not been prepared in connection with the issue of AASB</w:t>
      </w:r>
      <w:r>
        <w:t> </w:t>
      </w:r>
      <w:r w:rsidRPr="00B62F36">
        <w:t>201</w:t>
      </w:r>
      <w:r>
        <w:t>8-</w:t>
      </w:r>
      <w:r w:rsidR="007104EB">
        <w:t>8</w:t>
      </w:r>
      <w:r w:rsidRPr="00B62F36">
        <w:t xml:space="preserve"> as the amendments made </w:t>
      </w:r>
      <w:r w:rsidR="0019278C">
        <w:t>to pr</w:t>
      </w:r>
      <w:bookmarkStart w:id="0" w:name="_GoBack"/>
      <w:bookmarkEnd w:id="0"/>
      <w:r w:rsidR="0019278C">
        <w:t xml:space="preserve">ovide a temporary </w:t>
      </w:r>
      <w:r w:rsidR="00DA78F7">
        <w:t>option</w:t>
      </w:r>
      <w:r w:rsidR="0019278C">
        <w:t xml:space="preserve"> </w:t>
      </w:r>
      <w:r w:rsidRPr="00B62F36">
        <w:t>do not have a substantial direct or indirect impact on business or competition.</w:t>
      </w:r>
      <w:r w:rsidR="00A94F2A" w:rsidRPr="001B1D7C">
        <w:br w:type="page"/>
      </w:r>
    </w:p>
    <w:p w:rsidR="00AD44F9" w:rsidRPr="001B1D7C" w:rsidRDefault="00CD0A54" w:rsidP="00F73663">
      <w:pPr>
        <w:pStyle w:val="Heading2"/>
        <w:spacing w:before="720"/>
        <w:jc w:val="center"/>
      </w:pPr>
      <w:r w:rsidRPr="001B1D7C">
        <w:lastRenderedPageBreak/>
        <w:t>Statement of Compatibility with Human Rights</w:t>
      </w:r>
    </w:p>
    <w:p w:rsidR="00E770E5" w:rsidRPr="001B1D7C" w:rsidRDefault="00E770E5" w:rsidP="00E770E5">
      <w:pPr>
        <w:pStyle w:val="NoNumPlain1"/>
        <w:jc w:val="center"/>
      </w:pPr>
      <w:r w:rsidRPr="001B1D7C">
        <w:t xml:space="preserve">Prepared in accordance with Part 3 of the </w:t>
      </w:r>
      <w:r w:rsidRPr="001B1D7C">
        <w:br/>
      </w:r>
      <w:r w:rsidRPr="001B1D7C">
        <w:rPr>
          <w:i/>
        </w:rPr>
        <w:t>Human Rights (Parliamentary Scrutiny) Act 2011</w:t>
      </w:r>
    </w:p>
    <w:p w:rsidR="009F7F59" w:rsidRDefault="00A90A3D" w:rsidP="006D4E28">
      <w:pPr>
        <w:pStyle w:val="Heading3"/>
        <w:spacing w:after="360"/>
        <w:jc w:val="center"/>
        <w:rPr>
          <w:i/>
        </w:rPr>
      </w:pPr>
      <w:r w:rsidRPr="001B1D7C">
        <w:t>Accounting Standard AASB</w:t>
      </w:r>
      <w:r w:rsidR="00F913AF">
        <w:t> </w:t>
      </w:r>
      <w:r w:rsidRPr="001B1D7C">
        <w:t>201</w:t>
      </w:r>
      <w:r w:rsidR="007A218F">
        <w:t>8</w:t>
      </w:r>
      <w:r w:rsidRPr="001B1D7C">
        <w:t>-</w:t>
      </w:r>
      <w:r w:rsidR="00AC1508">
        <w:t>8</w:t>
      </w:r>
      <w:r w:rsidRPr="001B1D7C">
        <w:br/>
      </w:r>
      <w:r w:rsidRPr="00127350">
        <w:rPr>
          <w:i/>
        </w:rPr>
        <w:t xml:space="preserve">Amendments to Australian Accounting Standards </w:t>
      </w:r>
      <w:r w:rsidR="00B223A3" w:rsidRPr="00127350">
        <w:rPr>
          <w:i/>
        </w:rPr>
        <w:t>–</w:t>
      </w:r>
      <w:r w:rsidRPr="00127350">
        <w:rPr>
          <w:i/>
        </w:rPr>
        <w:br/>
      </w:r>
      <w:r w:rsidR="00AC1508">
        <w:rPr>
          <w:i/>
        </w:rPr>
        <w:t>Right-of-Use Assets of Not-for-Profit Entities</w:t>
      </w:r>
    </w:p>
    <w:p w:rsidR="00A90A3D" w:rsidRPr="00314DC3" w:rsidRDefault="00A90A3D" w:rsidP="00A90A3D">
      <w:pPr>
        <w:pStyle w:val="Heading3"/>
      </w:pPr>
      <w:r w:rsidRPr="00314DC3">
        <w:t>Overview of the Accounting Standard</w:t>
      </w:r>
    </w:p>
    <w:p w:rsidR="00AC1508" w:rsidRDefault="00AC1508" w:rsidP="00AC1508">
      <w:pPr>
        <w:pStyle w:val="NoNumPlain1"/>
      </w:pPr>
      <w:r>
        <w:t xml:space="preserve">AASB 2018-8 makes amendments to AASB 1 </w:t>
      </w:r>
      <w:r w:rsidRPr="009A29B3">
        <w:rPr>
          <w:i/>
        </w:rPr>
        <w:t>First-time Adoption of Australian Accounting Standards</w:t>
      </w:r>
      <w:r>
        <w:t xml:space="preserve"> (July 2015), AASB 16 </w:t>
      </w:r>
      <w:r w:rsidRPr="00F86274">
        <w:rPr>
          <w:i/>
        </w:rPr>
        <w:t>Leases</w:t>
      </w:r>
      <w:r>
        <w:t xml:space="preserve"> (February 2016), AASB 117 </w:t>
      </w:r>
      <w:r w:rsidRPr="00086A59">
        <w:rPr>
          <w:i/>
        </w:rPr>
        <w:t>Leases</w:t>
      </w:r>
      <w:r>
        <w:t xml:space="preserve"> (August 2015), AASB 1049 </w:t>
      </w:r>
      <w:r w:rsidRPr="006B4C3A">
        <w:rPr>
          <w:i/>
        </w:rPr>
        <w:t xml:space="preserve">Whole of Government and General Government Sector Financial </w:t>
      </w:r>
      <w:r w:rsidRPr="0082396A">
        <w:rPr>
          <w:i/>
        </w:rPr>
        <w:t>Reporting</w:t>
      </w:r>
      <w:r w:rsidRPr="0082396A">
        <w:t xml:space="preserve"> </w:t>
      </w:r>
      <w:r w:rsidRPr="004D4FDA">
        <w:t>(</w:t>
      </w:r>
      <w:r>
        <w:t>October 2007</w:t>
      </w:r>
      <w:r w:rsidRPr="004D4FDA">
        <w:t>)</w:t>
      </w:r>
      <w:r>
        <w:t xml:space="preserve"> and AASB 1058 </w:t>
      </w:r>
      <w:r>
        <w:rPr>
          <w:i/>
        </w:rPr>
        <w:t>Income of Not</w:t>
      </w:r>
      <w:r>
        <w:rPr>
          <w:i/>
        </w:rPr>
        <w:noBreakHyphen/>
        <w:t>for</w:t>
      </w:r>
      <w:r>
        <w:rPr>
          <w:i/>
        </w:rPr>
        <w:noBreakHyphen/>
      </w:r>
      <w:r w:rsidRPr="0070606F">
        <w:rPr>
          <w:i/>
        </w:rPr>
        <w:t>Profit Entities</w:t>
      </w:r>
      <w:r>
        <w:t xml:space="preserve"> (December 2016). </w:t>
      </w:r>
    </w:p>
    <w:p w:rsidR="0019278C" w:rsidRDefault="0019278C" w:rsidP="0019278C">
      <w:pPr>
        <w:pStyle w:val="NoNumPlain1"/>
      </w:pPr>
      <w:r>
        <w:t>AASB 1058</w:t>
      </w:r>
      <w:r w:rsidRPr="005C3266">
        <w:t xml:space="preserve"> made amendments to AASB 16</w:t>
      </w:r>
      <w:r>
        <w:t xml:space="preserve"> to</w:t>
      </w:r>
      <w:r w:rsidRPr="005C3266">
        <w:t xml:space="preserve"> require </w:t>
      </w:r>
      <w:r>
        <w:t xml:space="preserve">not-for-profit entities </w:t>
      </w:r>
      <w:r w:rsidRPr="005C3266">
        <w:t xml:space="preserve">to </w:t>
      </w:r>
      <w:r>
        <w:t>measure right</w:t>
      </w:r>
      <w:r>
        <w:noBreakHyphen/>
        <w:t>of</w:t>
      </w:r>
      <w:r>
        <w:noBreakHyphen/>
      </w:r>
      <w:r w:rsidRPr="005C3266">
        <w:t>use asset</w:t>
      </w:r>
      <w:r>
        <w:t>s</w:t>
      </w:r>
      <w:r w:rsidRPr="005C3266">
        <w:t xml:space="preserve"> </w:t>
      </w:r>
      <w:r>
        <w:t xml:space="preserve">at initial recognition at fair value in respect of </w:t>
      </w:r>
      <w:r w:rsidRPr="005C3266">
        <w:t>lease</w:t>
      </w:r>
      <w:r>
        <w:t>s</w:t>
      </w:r>
      <w:r w:rsidRPr="005C3266">
        <w:t xml:space="preserve"> that ha</w:t>
      </w:r>
      <w:r>
        <w:t>ve</w:t>
      </w:r>
      <w:r w:rsidRPr="005C3266">
        <w:t xml:space="preserve"> significantly below-market terms and conditions principally to enable the entity to further its objectives</w:t>
      </w:r>
      <w:r>
        <w:t xml:space="preserve"> (‘concessionary leases’)</w:t>
      </w:r>
      <w:r w:rsidRPr="005C3266">
        <w:t>.</w:t>
      </w:r>
      <w:r>
        <w:t xml:space="preserve"> </w:t>
      </w:r>
    </w:p>
    <w:p w:rsidR="0019278C" w:rsidRDefault="0019278C" w:rsidP="0019278C">
      <w:pPr>
        <w:pStyle w:val="NoNumPlain1"/>
      </w:pPr>
      <w:r>
        <w:t>However, the AASB decided to issue AASB 2018-8 to provide a temporary option for not-for-profit entities</w:t>
      </w:r>
      <w:r w:rsidRPr="009C0B94">
        <w:t xml:space="preserve"> </w:t>
      </w:r>
      <w:r>
        <w:t>to not measure a class or classes of right</w:t>
      </w:r>
      <w:r>
        <w:noBreakHyphen/>
        <w:t>of</w:t>
      </w:r>
      <w:r>
        <w:noBreakHyphen/>
        <w:t>use assets arising under concessionary leases at initial recognition at fair value, since further guidance is expected to be developed to assist not</w:t>
      </w:r>
      <w:r>
        <w:noBreakHyphen/>
        <w:t>for</w:t>
      </w:r>
      <w:r>
        <w:noBreakHyphen/>
        <w:t>profit entities in measuring right-of-use assets at fair value.</w:t>
      </w:r>
      <w:r w:rsidRPr="009C0B94">
        <w:t xml:space="preserve"> </w:t>
      </w:r>
      <w:r>
        <w:t xml:space="preserve">The temporary option would also avoid requiring </w:t>
      </w:r>
      <w:r>
        <w:rPr>
          <w:szCs w:val="19"/>
        </w:rPr>
        <w:t>not-for</w:t>
      </w:r>
      <w:r>
        <w:rPr>
          <w:szCs w:val="19"/>
        </w:rPr>
        <w:noBreakHyphen/>
        <w:t xml:space="preserve">profit </w:t>
      </w:r>
      <w:r w:rsidRPr="00AD2F94">
        <w:rPr>
          <w:szCs w:val="19"/>
        </w:rPr>
        <w:t xml:space="preserve">private sector </w:t>
      </w:r>
      <w:r>
        <w:rPr>
          <w:szCs w:val="19"/>
        </w:rPr>
        <w:t xml:space="preserve">entities </w:t>
      </w:r>
      <w:r w:rsidRPr="00AD2F94">
        <w:rPr>
          <w:szCs w:val="19"/>
        </w:rPr>
        <w:t xml:space="preserve">at the lower </w:t>
      </w:r>
      <w:r>
        <w:t>level of the reporting thresholds to apply the fair value initial measurement requirements of AASB 16 when they might not be required to apply these requirements in the future as a result of recommendations of the ACNC Legislative Review.</w:t>
      </w:r>
    </w:p>
    <w:p w:rsidR="000A7EE9" w:rsidRDefault="0019278C" w:rsidP="00AC1508">
      <w:pPr>
        <w:pStyle w:val="NoNumPlain1"/>
      </w:pPr>
      <w:r>
        <w:t>AASB 2018-8 amends AASB 1, AASB 16, AASB 117, AASB 1049 and AASB 1058 to provide a temporary option for not</w:t>
      </w:r>
      <w:r>
        <w:noBreakHyphen/>
        <w:t>for</w:t>
      </w:r>
      <w:r>
        <w:noBreakHyphen/>
        <w:t>profit entities</w:t>
      </w:r>
      <w:r w:rsidRPr="009C0B94">
        <w:t xml:space="preserve"> </w:t>
      </w:r>
      <w:r>
        <w:t>to</w:t>
      </w:r>
      <w:r w:rsidRPr="000A7EE9">
        <w:t xml:space="preserve"> elect to measure a class (or classes) of right-of-use assets aris</w:t>
      </w:r>
      <w:r>
        <w:t>ing under concessionary leases</w:t>
      </w:r>
      <w:r w:rsidRPr="000A7EE9">
        <w:t xml:space="preserve"> at initial recognition</w:t>
      </w:r>
      <w:r>
        <w:t xml:space="preserve"> either at cost or at fair value</w:t>
      </w:r>
      <w:r w:rsidRPr="005C3266">
        <w:t>.</w:t>
      </w:r>
      <w:r>
        <w:t xml:space="preserve"> The Standard requires an entity that elects to apply the cost option to include additional disclosures in the financial statements to ensure users understand the effects on the financial position, financial performance and cash flows of the entity arising from these leases.</w:t>
      </w:r>
    </w:p>
    <w:p w:rsidR="00A90A3D" w:rsidRPr="001B1D7C" w:rsidRDefault="00A90A3D" w:rsidP="00A90A3D">
      <w:pPr>
        <w:pStyle w:val="Heading3"/>
      </w:pPr>
      <w:r w:rsidRPr="001B1D7C">
        <w:t>Human Rights Implications</w:t>
      </w:r>
    </w:p>
    <w:p w:rsidR="00A90A3D" w:rsidRPr="001B1D7C" w:rsidRDefault="006D4E28" w:rsidP="00465EBE">
      <w:pPr>
        <w:pStyle w:val="NoNumPlain1"/>
      </w:pPr>
      <w:r>
        <w:t>This Standard is</w:t>
      </w:r>
      <w:r w:rsidR="00F62F5C" w:rsidRPr="001B1D7C">
        <w:t xml:space="preserve"> issued by the AASB in furtherance of the objective of facilitating the Australian economy. It does not diminish or limit any of the applicable human rights or freedoms, and thus does not raise any human rights issues.</w:t>
      </w:r>
    </w:p>
    <w:p w:rsidR="00F62F5C" w:rsidRPr="001B1D7C" w:rsidRDefault="00F62F5C" w:rsidP="00F62F5C">
      <w:pPr>
        <w:pStyle w:val="Heading3"/>
      </w:pPr>
      <w:r w:rsidRPr="001B1D7C">
        <w:t>Conclusion</w:t>
      </w:r>
    </w:p>
    <w:p w:rsidR="00CD0A54" w:rsidRPr="001B1D7C" w:rsidRDefault="006D4E28" w:rsidP="00465EBE">
      <w:pPr>
        <w:pStyle w:val="NoNumPlain1"/>
      </w:pPr>
      <w:r>
        <w:t>This</w:t>
      </w:r>
      <w:r w:rsidR="00CD0A54" w:rsidRPr="001B1D7C">
        <w:t xml:space="preserve"> Standard </w:t>
      </w:r>
      <w:r w:rsidR="00EC3B0A">
        <w:t>is</w:t>
      </w:r>
      <w:r w:rsidR="00CD0A54" w:rsidRPr="001B1D7C">
        <w:t xml:space="preserve"> compatible with the human rights and freedoms recognised or declared in the international instruments listed in section</w:t>
      </w:r>
      <w:r w:rsidR="002A0EA5">
        <w:t> </w:t>
      </w:r>
      <w:r w:rsidR="00CD0A54" w:rsidRPr="001B1D7C">
        <w:t xml:space="preserve">3 of the </w:t>
      </w:r>
      <w:r w:rsidR="00CD0A54" w:rsidRPr="001B1D7C">
        <w:rPr>
          <w:i/>
        </w:rPr>
        <w:t>Human Rights (Parliamentary Scrutiny) Act</w:t>
      </w:r>
      <w:r w:rsidR="002A0EA5">
        <w:rPr>
          <w:i/>
        </w:rPr>
        <w:t> </w:t>
      </w:r>
      <w:r w:rsidR="00CD0A54" w:rsidRPr="001B1D7C">
        <w:rPr>
          <w:i/>
        </w:rPr>
        <w:t>2011</w:t>
      </w:r>
      <w:r w:rsidR="00CD0A54" w:rsidRPr="001B1D7C">
        <w:t>.</w:t>
      </w:r>
    </w:p>
    <w:sectPr w:rsidR="00CD0A54" w:rsidRPr="001B1D7C" w:rsidSect="00B93CE4">
      <w:headerReference w:type="even" r:id="rId10"/>
      <w:footerReference w:type="default" r:id="rId11"/>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F28" w:rsidRDefault="00BB1F28">
      <w:r>
        <w:separator/>
      </w:r>
    </w:p>
  </w:endnote>
  <w:endnote w:type="continuationSeparator" w:id="0">
    <w:p w:rsidR="00BB1F28" w:rsidRDefault="00BB1F28">
      <w:r>
        <w:continuationSeparator/>
      </w:r>
    </w:p>
  </w:endnote>
  <w:endnote w:type="continuationNotice" w:id="1">
    <w:p w:rsidR="00BB1F28" w:rsidRDefault="00BB1F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2F1" w:rsidRDefault="00C722F1" w:rsidP="00B93CE4">
    <w:pPr>
      <w:pStyle w:val="Footer"/>
      <w:tabs>
        <w:tab w:val="clear" w:pos="3119"/>
        <w:tab w:val="clear" w:pos="6237"/>
        <w:tab w:val="center" w:pos="4820"/>
        <w:tab w:val="right" w:pos="9639"/>
      </w:tabs>
      <w:rPr>
        <w:b/>
      </w:rPr>
    </w:pPr>
    <w:r>
      <w:rPr>
        <w:b/>
      </w:rPr>
      <w:t>AASB 2018-</w:t>
    </w:r>
    <w:r w:rsidR="00AC1508">
      <w:rPr>
        <w:b/>
      </w:rPr>
      <w:t>8</w:t>
    </w:r>
    <w:r>
      <w:rPr>
        <w:b/>
      </w:rPr>
      <w:tab/>
    </w:r>
    <w:r>
      <w:fldChar w:fldCharType="begin"/>
    </w:r>
    <w:r>
      <w:instrText>PAGE</w:instrText>
    </w:r>
    <w:r>
      <w:fldChar w:fldCharType="separate"/>
    </w:r>
    <w:r w:rsidR="00DA78F7">
      <w:rPr>
        <w:noProof/>
      </w:rPr>
      <w:t>3</w:t>
    </w:r>
    <w:r>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F28" w:rsidRDefault="00BB1F28">
      <w:r>
        <w:separator/>
      </w:r>
    </w:p>
  </w:footnote>
  <w:footnote w:type="continuationSeparator" w:id="0">
    <w:p w:rsidR="00BB1F28" w:rsidRDefault="00BB1F28">
      <w:r>
        <w:continuationSeparator/>
      </w:r>
    </w:p>
  </w:footnote>
  <w:footnote w:type="continuationNotice" w:id="1">
    <w:p w:rsidR="00BB1F28" w:rsidRDefault="00BB1F2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2F1" w:rsidRDefault="00C722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15:restartNumberingAfterBreak="0">
    <w:nsid w:val="272F7F03"/>
    <w:multiLevelType w:val="hybridMultilevel"/>
    <w:tmpl w:val="E0A60058"/>
    <w:lvl w:ilvl="0" w:tplc="A4DABA82">
      <w:start w:val="1"/>
      <w:numFmt w:val="lowerLetter"/>
      <w:lvlText w:val="(%1)"/>
      <w:lvlJc w:val="left"/>
      <w:pPr>
        <w:ind w:left="786" w:hanging="360"/>
      </w:pPr>
      <w:rPr>
        <w:rFonts w:hint="default"/>
        <w:i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C0350"/>
    <w:multiLevelType w:val="hybridMultilevel"/>
    <w:tmpl w:val="3DC86F4E"/>
    <w:lvl w:ilvl="0" w:tplc="2B14E8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D93A09"/>
    <w:multiLevelType w:val="hybridMultilevel"/>
    <w:tmpl w:val="ED4E8E82"/>
    <w:lvl w:ilvl="0" w:tplc="3DAA365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0812F3"/>
    <w:multiLevelType w:val="multilevel"/>
    <w:tmpl w:val="315ABF2C"/>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1" w15:restartNumberingAfterBreak="0">
    <w:nsid w:val="61542243"/>
    <w:multiLevelType w:val="multilevel"/>
    <w:tmpl w:val="CAC0A042"/>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021"/>
        </w:tabs>
        <w:ind w:left="1021" w:hanging="511"/>
      </w:pPr>
      <w:rPr>
        <w:rFonts w:hint="default"/>
        <w:i w:val="0"/>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2" w15:restartNumberingAfterBreak="0">
    <w:nsid w:val="639A62E6"/>
    <w:multiLevelType w:val="hybridMultilevel"/>
    <w:tmpl w:val="D5F6F600"/>
    <w:lvl w:ilvl="0" w:tplc="37A664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064975"/>
    <w:multiLevelType w:val="hybridMultilevel"/>
    <w:tmpl w:val="B31CEBF2"/>
    <w:lvl w:ilvl="0" w:tplc="5C1C135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3"/>
  </w:num>
  <w:num w:numId="3">
    <w:abstractNumId w:val="9"/>
  </w:num>
  <w:num w:numId="4">
    <w:abstractNumId w:val="0"/>
  </w:num>
  <w:num w:numId="5">
    <w:abstractNumId w:val="4"/>
  </w:num>
  <w:num w:numId="6">
    <w:abstractNumId w:val="3"/>
  </w:num>
  <w:num w:numId="7">
    <w:abstractNumId w:val="8"/>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2"/>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7"/>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fillcolor="white">
      <v:fill color="white"/>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E2NDCyMDYyNzEwMDMyUdpeDU4uLM/DyQAtNaAFxxgG8sAAAA"/>
  </w:docVars>
  <w:rsids>
    <w:rsidRoot w:val="00D429C8"/>
    <w:rsid w:val="000018C8"/>
    <w:rsid w:val="00005371"/>
    <w:rsid w:val="0001484E"/>
    <w:rsid w:val="00020ACD"/>
    <w:rsid w:val="000226E6"/>
    <w:rsid w:val="00031DBC"/>
    <w:rsid w:val="00041AE0"/>
    <w:rsid w:val="0004439B"/>
    <w:rsid w:val="00054FC1"/>
    <w:rsid w:val="00055755"/>
    <w:rsid w:val="000623C8"/>
    <w:rsid w:val="00067953"/>
    <w:rsid w:val="00075626"/>
    <w:rsid w:val="00080331"/>
    <w:rsid w:val="0008234F"/>
    <w:rsid w:val="0008242C"/>
    <w:rsid w:val="00083737"/>
    <w:rsid w:val="00085B62"/>
    <w:rsid w:val="00090D77"/>
    <w:rsid w:val="000920D3"/>
    <w:rsid w:val="000936C7"/>
    <w:rsid w:val="00094356"/>
    <w:rsid w:val="000A2A30"/>
    <w:rsid w:val="000A7EE9"/>
    <w:rsid w:val="000D41A4"/>
    <w:rsid w:val="000D428B"/>
    <w:rsid w:val="000E6E09"/>
    <w:rsid w:val="000E7F81"/>
    <w:rsid w:val="000F1C55"/>
    <w:rsid w:val="000F281A"/>
    <w:rsid w:val="000F2911"/>
    <w:rsid w:val="000F4C2A"/>
    <w:rsid w:val="00111680"/>
    <w:rsid w:val="00115A16"/>
    <w:rsid w:val="00117444"/>
    <w:rsid w:val="001218DE"/>
    <w:rsid w:val="00121C54"/>
    <w:rsid w:val="00122EF0"/>
    <w:rsid w:val="00125962"/>
    <w:rsid w:val="0012730F"/>
    <w:rsid w:val="00127350"/>
    <w:rsid w:val="00130F7D"/>
    <w:rsid w:val="00131465"/>
    <w:rsid w:val="00131C3F"/>
    <w:rsid w:val="00144CC0"/>
    <w:rsid w:val="0015670A"/>
    <w:rsid w:val="001639EB"/>
    <w:rsid w:val="0019278C"/>
    <w:rsid w:val="001A3A3D"/>
    <w:rsid w:val="001B1D7C"/>
    <w:rsid w:val="001C5ABB"/>
    <w:rsid w:val="001C786F"/>
    <w:rsid w:val="001D1FFA"/>
    <w:rsid w:val="001D3B0B"/>
    <w:rsid w:val="001D65AA"/>
    <w:rsid w:val="001D7DA0"/>
    <w:rsid w:val="001E0872"/>
    <w:rsid w:val="001E0EA2"/>
    <w:rsid w:val="001E4107"/>
    <w:rsid w:val="001F0BB3"/>
    <w:rsid w:val="001F16F3"/>
    <w:rsid w:val="001F3ED4"/>
    <w:rsid w:val="001F5A41"/>
    <w:rsid w:val="00200047"/>
    <w:rsid w:val="0020218F"/>
    <w:rsid w:val="0020261B"/>
    <w:rsid w:val="00206A47"/>
    <w:rsid w:val="00225101"/>
    <w:rsid w:val="00227F22"/>
    <w:rsid w:val="00230E6D"/>
    <w:rsid w:val="0023104C"/>
    <w:rsid w:val="00233620"/>
    <w:rsid w:val="0023642A"/>
    <w:rsid w:val="00236896"/>
    <w:rsid w:val="00243728"/>
    <w:rsid w:val="00262EDC"/>
    <w:rsid w:val="00267D86"/>
    <w:rsid w:val="00284D8D"/>
    <w:rsid w:val="00294D8C"/>
    <w:rsid w:val="002A0EA5"/>
    <w:rsid w:val="002B5CAF"/>
    <w:rsid w:val="002B712E"/>
    <w:rsid w:val="002B7166"/>
    <w:rsid w:val="002D00E5"/>
    <w:rsid w:val="002D3C2A"/>
    <w:rsid w:val="002D6D7A"/>
    <w:rsid w:val="002E0C7D"/>
    <w:rsid w:val="002F18F0"/>
    <w:rsid w:val="002F724F"/>
    <w:rsid w:val="003038C5"/>
    <w:rsid w:val="00312740"/>
    <w:rsid w:val="00314DC3"/>
    <w:rsid w:val="003218A0"/>
    <w:rsid w:val="0032467B"/>
    <w:rsid w:val="00325585"/>
    <w:rsid w:val="003329B8"/>
    <w:rsid w:val="003351C6"/>
    <w:rsid w:val="00344500"/>
    <w:rsid w:val="00347521"/>
    <w:rsid w:val="00352568"/>
    <w:rsid w:val="003600E3"/>
    <w:rsid w:val="00366D54"/>
    <w:rsid w:val="00375119"/>
    <w:rsid w:val="00384832"/>
    <w:rsid w:val="00385E62"/>
    <w:rsid w:val="0039164A"/>
    <w:rsid w:val="00391DC5"/>
    <w:rsid w:val="00396BCD"/>
    <w:rsid w:val="00397B88"/>
    <w:rsid w:val="003A5EC1"/>
    <w:rsid w:val="003A7749"/>
    <w:rsid w:val="003D034E"/>
    <w:rsid w:val="0040485F"/>
    <w:rsid w:val="0041254C"/>
    <w:rsid w:val="00414BC3"/>
    <w:rsid w:val="00416FE6"/>
    <w:rsid w:val="004179BF"/>
    <w:rsid w:val="004209B2"/>
    <w:rsid w:val="00433B60"/>
    <w:rsid w:val="00442527"/>
    <w:rsid w:val="00450945"/>
    <w:rsid w:val="00457DCC"/>
    <w:rsid w:val="00463B8D"/>
    <w:rsid w:val="0046562B"/>
    <w:rsid w:val="00465EBE"/>
    <w:rsid w:val="00473BA2"/>
    <w:rsid w:val="00493DD4"/>
    <w:rsid w:val="004A4B34"/>
    <w:rsid w:val="004A7EC7"/>
    <w:rsid w:val="004B77A1"/>
    <w:rsid w:val="004C1746"/>
    <w:rsid w:val="004C62D2"/>
    <w:rsid w:val="004D2BDB"/>
    <w:rsid w:val="004D54B2"/>
    <w:rsid w:val="004D7A84"/>
    <w:rsid w:val="004F7773"/>
    <w:rsid w:val="005040BC"/>
    <w:rsid w:val="00512F90"/>
    <w:rsid w:val="00520E9E"/>
    <w:rsid w:val="0052464D"/>
    <w:rsid w:val="00526DA0"/>
    <w:rsid w:val="00540E70"/>
    <w:rsid w:val="00541716"/>
    <w:rsid w:val="00545E1C"/>
    <w:rsid w:val="00563010"/>
    <w:rsid w:val="00565477"/>
    <w:rsid w:val="00570240"/>
    <w:rsid w:val="0057693B"/>
    <w:rsid w:val="005815F9"/>
    <w:rsid w:val="00592CDB"/>
    <w:rsid w:val="00596ADD"/>
    <w:rsid w:val="005A2707"/>
    <w:rsid w:val="005B238F"/>
    <w:rsid w:val="005B25E9"/>
    <w:rsid w:val="005B7BB7"/>
    <w:rsid w:val="005C025A"/>
    <w:rsid w:val="005E1723"/>
    <w:rsid w:val="005E2BBE"/>
    <w:rsid w:val="005E43B9"/>
    <w:rsid w:val="005E6F84"/>
    <w:rsid w:val="005F0581"/>
    <w:rsid w:val="005F1173"/>
    <w:rsid w:val="005F3AA4"/>
    <w:rsid w:val="005F4451"/>
    <w:rsid w:val="005F5EFF"/>
    <w:rsid w:val="00607A32"/>
    <w:rsid w:val="006104FA"/>
    <w:rsid w:val="00616B47"/>
    <w:rsid w:val="006232CB"/>
    <w:rsid w:val="00626AC2"/>
    <w:rsid w:val="00627C8F"/>
    <w:rsid w:val="00631870"/>
    <w:rsid w:val="00635FA2"/>
    <w:rsid w:val="006628B2"/>
    <w:rsid w:val="00666164"/>
    <w:rsid w:val="0067004E"/>
    <w:rsid w:val="0067195B"/>
    <w:rsid w:val="00672100"/>
    <w:rsid w:val="006776BD"/>
    <w:rsid w:val="00684668"/>
    <w:rsid w:val="00685B4C"/>
    <w:rsid w:val="00686B7C"/>
    <w:rsid w:val="006A01D2"/>
    <w:rsid w:val="006A0C7C"/>
    <w:rsid w:val="006A2A04"/>
    <w:rsid w:val="006A56D8"/>
    <w:rsid w:val="006A6C9F"/>
    <w:rsid w:val="006B1B4A"/>
    <w:rsid w:val="006C34F1"/>
    <w:rsid w:val="006C39D1"/>
    <w:rsid w:val="006C5EB8"/>
    <w:rsid w:val="006D4E28"/>
    <w:rsid w:val="006D5858"/>
    <w:rsid w:val="006D6B35"/>
    <w:rsid w:val="006F217C"/>
    <w:rsid w:val="006F46DE"/>
    <w:rsid w:val="007104EB"/>
    <w:rsid w:val="00711664"/>
    <w:rsid w:val="00717627"/>
    <w:rsid w:val="00720919"/>
    <w:rsid w:val="00722937"/>
    <w:rsid w:val="007231BD"/>
    <w:rsid w:val="007261ED"/>
    <w:rsid w:val="007322D6"/>
    <w:rsid w:val="007328C0"/>
    <w:rsid w:val="00741AD2"/>
    <w:rsid w:val="00752B51"/>
    <w:rsid w:val="00753AD8"/>
    <w:rsid w:val="00755B4C"/>
    <w:rsid w:val="00755D8C"/>
    <w:rsid w:val="007676C0"/>
    <w:rsid w:val="00770387"/>
    <w:rsid w:val="00776E95"/>
    <w:rsid w:val="00781C08"/>
    <w:rsid w:val="00783BEC"/>
    <w:rsid w:val="00787825"/>
    <w:rsid w:val="007903C8"/>
    <w:rsid w:val="00791279"/>
    <w:rsid w:val="007A218F"/>
    <w:rsid w:val="007A3EE4"/>
    <w:rsid w:val="007A54A4"/>
    <w:rsid w:val="007B02E3"/>
    <w:rsid w:val="007B228F"/>
    <w:rsid w:val="007B3132"/>
    <w:rsid w:val="007B323F"/>
    <w:rsid w:val="007B539D"/>
    <w:rsid w:val="007C13D0"/>
    <w:rsid w:val="007C1E39"/>
    <w:rsid w:val="007C2A76"/>
    <w:rsid w:val="007C2B04"/>
    <w:rsid w:val="007C5F2A"/>
    <w:rsid w:val="007D5786"/>
    <w:rsid w:val="007E548A"/>
    <w:rsid w:val="007F06B7"/>
    <w:rsid w:val="007F4E20"/>
    <w:rsid w:val="00802C2B"/>
    <w:rsid w:val="00822659"/>
    <w:rsid w:val="00824A1D"/>
    <w:rsid w:val="0082668C"/>
    <w:rsid w:val="00826FE1"/>
    <w:rsid w:val="00835AA4"/>
    <w:rsid w:val="008377FF"/>
    <w:rsid w:val="00843BF6"/>
    <w:rsid w:val="00854BCD"/>
    <w:rsid w:val="00861618"/>
    <w:rsid w:val="00863DE1"/>
    <w:rsid w:val="0088193A"/>
    <w:rsid w:val="00896AE0"/>
    <w:rsid w:val="008A2E3E"/>
    <w:rsid w:val="008B0ACD"/>
    <w:rsid w:val="008B63BA"/>
    <w:rsid w:val="008B66C2"/>
    <w:rsid w:val="008C5B82"/>
    <w:rsid w:val="008D24A4"/>
    <w:rsid w:val="008D3E1A"/>
    <w:rsid w:val="008D69BC"/>
    <w:rsid w:val="008E4294"/>
    <w:rsid w:val="008E5AD8"/>
    <w:rsid w:val="008F1340"/>
    <w:rsid w:val="008F344A"/>
    <w:rsid w:val="00916B64"/>
    <w:rsid w:val="00930915"/>
    <w:rsid w:val="00936AD7"/>
    <w:rsid w:val="009375BC"/>
    <w:rsid w:val="00980C3B"/>
    <w:rsid w:val="009839D3"/>
    <w:rsid w:val="00983E04"/>
    <w:rsid w:val="00991DA5"/>
    <w:rsid w:val="00993378"/>
    <w:rsid w:val="009A1F79"/>
    <w:rsid w:val="009A537C"/>
    <w:rsid w:val="009B077A"/>
    <w:rsid w:val="009B509B"/>
    <w:rsid w:val="009C5C89"/>
    <w:rsid w:val="009D2044"/>
    <w:rsid w:val="009D5CEF"/>
    <w:rsid w:val="009D6119"/>
    <w:rsid w:val="009E4AF6"/>
    <w:rsid w:val="009F3698"/>
    <w:rsid w:val="009F7F59"/>
    <w:rsid w:val="00A01C45"/>
    <w:rsid w:val="00A07B58"/>
    <w:rsid w:val="00A120EC"/>
    <w:rsid w:val="00A14C37"/>
    <w:rsid w:val="00A22AB0"/>
    <w:rsid w:val="00A33757"/>
    <w:rsid w:val="00A41EF3"/>
    <w:rsid w:val="00A46379"/>
    <w:rsid w:val="00A57536"/>
    <w:rsid w:val="00A57577"/>
    <w:rsid w:val="00A60BDB"/>
    <w:rsid w:val="00A61CB2"/>
    <w:rsid w:val="00A638C0"/>
    <w:rsid w:val="00A6679A"/>
    <w:rsid w:val="00A8344C"/>
    <w:rsid w:val="00A90590"/>
    <w:rsid w:val="00A90A3D"/>
    <w:rsid w:val="00A92FFA"/>
    <w:rsid w:val="00A9484D"/>
    <w:rsid w:val="00A94F2A"/>
    <w:rsid w:val="00A97B77"/>
    <w:rsid w:val="00AB2137"/>
    <w:rsid w:val="00AB61AB"/>
    <w:rsid w:val="00AC1508"/>
    <w:rsid w:val="00AC2063"/>
    <w:rsid w:val="00AC2CA9"/>
    <w:rsid w:val="00AD44F9"/>
    <w:rsid w:val="00AD5E2A"/>
    <w:rsid w:val="00AE1F8A"/>
    <w:rsid w:val="00B00C1B"/>
    <w:rsid w:val="00B05B7B"/>
    <w:rsid w:val="00B1095D"/>
    <w:rsid w:val="00B10AB1"/>
    <w:rsid w:val="00B127B5"/>
    <w:rsid w:val="00B212AA"/>
    <w:rsid w:val="00B223A3"/>
    <w:rsid w:val="00B259A2"/>
    <w:rsid w:val="00B31702"/>
    <w:rsid w:val="00B44EFA"/>
    <w:rsid w:val="00B50A3C"/>
    <w:rsid w:val="00B5196B"/>
    <w:rsid w:val="00B62F36"/>
    <w:rsid w:val="00B6306C"/>
    <w:rsid w:val="00B67434"/>
    <w:rsid w:val="00B71C28"/>
    <w:rsid w:val="00B7416F"/>
    <w:rsid w:val="00B76672"/>
    <w:rsid w:val="00B81972"/>
    <w:rsid w:val="00B85DBC"/>
    <w:rsid w:val="00B93CE4"/>
    <w:rsid w:val="00BB1F28"/>
    <w:rsid w:val="00BB2459"/>
    <w:rsid w:val="00BC78E2"/>
    <w:rsid w:val="00BD0B5B"/>
    <w:rsid w:val="00BD2871"/>
    <w:rsid w:val="00BD7C61"/>
    <w:rsid w:val="00BE1E1C"/>
    <w:rsid w:val="00BE66D4"/>
    <w:rsid w:val="00C00E4B"/>
    <w:rsid w:val="00C068D8"/>
    <w:rsid w:val="00C06D14"/>
    <w:rsid w:val="00C119CC"/>
    <w:rsid w:val="00C14CCB"/>
    <w:rsid w:val="00C14F83"/>
    <w:rsid w:val="00C16665"/>
    <w:rsid w:val="00C21F45"/>
    <w:rsid w:val="00C35A20"/>
    <w:rsid w:val="00C37450"/>
    <w:rsid w:val="00C510C2"/>
    <w:rsid w:val="00C51E65"/>
    <w:rsid w:val="00C546C0"/>
    <w:rsid w:val="00C61FC9"/>
    <w:rsid w:val="00C634BB"/>
    <w:rsid w:val="00C661A8"/>
    <w:rsid w:val="00C677B9"/>
    <w:rsid w:val="00C722F1"/>
    <w:rsid w:val="00C80CE0"/>
    <w:rsid w:val="00C82A8C"/>
    <w:rsid w:val="00C86790"/>
    <w:rsid w:val="00CA20FA"/>
    <w:rsid w:val="00CA518E"/>
    <w:rsid w:val="00CB2372"/>
    <w:rsid w:val="00CB3E61"/>
    <w:rsid w:val="00CB74B0"/>
    <w:rsid w:val="00CC17E3"/>
    <w:rsid w:val="00CC546B"/>
    <w:rsid w:val="00CD0A54"/>
    <w:rsid w:val="00CD50A4"/>
    <w:rsid w:val="00CD6F30"/>
    <w:rsid w:val="00CF1B42"/>
    <w:rsid w:val="00CF4D2F"/>
    <w:rsid w:val="00CF72F6"/>
    <w:rsid w:val="00D03547"/>
    <w:rsid w:val="00D03D0E"/>
    <w:rsid w:val="00D06D1E"/>
    <w:rsid w:val="00D23380"/>
    <w:rsid w:val="00D24634"/>
    <w:rsid w:val="00D27E14"/>
    <w:rsid w:val="00D36B1E"/>
    <w:rsid w:val="00D40502"/>
    <w:rsid w:val="00D429C8"/>
    <w:rsid w:val="00D43163"/>
    <w:rsid w:val="00D44AAA"/>
    <w:rsid w:val="00D5323B"/>
    <w:rsid w:val="00D67C43"/>
    <w:rsid w:val="00D71916"/>
    <w:rsid w:val="00D71B35"/>
    <w:rsid w:val="00D850DE"/>
    <w:rsid w:val="00DA2E07"/>
    <w:rsid w:val="00DA78F7"/>
    <w:rsid w:val="00DB275C"/>
    <w:rsid w:val="00DB2D0C"/>
    <w:rsid w:val="00DB52E0"/>
    <w:rsid w:val="00DB5798"/>
    <w:rsid w:val="00DD1167"/>
    <w:rsid w:val="00DD3FDF"/>
    <w:rsid w:val="00DE2BF2"/>
    <w:rsid w:val="00E00D64"/>
    <w:rsid w:val="00E01615"/>
    <w:rsid w:val="00E079C1"/>
    <w:rsid w:val="00E11F07"/>
    <w:rsid w:val="00E1388A"/>
    <w:rsid w:val="00E1658F"/>
    <w:rsid w:val="00E2118D"/>
    <w:rsid w:val="00E34411"/>
    <w:rsid w:val="00E41E4F"/>
    <w:rsid w:val="00E4487C"/>
    <w:rsid w:val="00E72F71"/>
    <w:rsid w:val="00E73950"/>
    <w:rsid w:val="00E770E5"/>
    <w:rsid w:val="00E7777B"/>
    <w:rsid w:val="00E8028D"/>
    <w:rsid w:val="00E811F1"/>
    <w:rsid w:val="00EA0A87"/>
    <w:rsid w:val="00EA56FD"/>
    <w:rsid w:val="00EC3B0A"/>
    <w:rsid w:val="00EC7B53"/>
    <w:rsid w:val="00ED4F33"/>
    <w:rsid w:val="00EE1948"/>
    <w:rsid w:val="00F004E1"/>
    <w:rsid w:val="00F038FC"/>
    <w:rsid w:val="00F041AA"/>
    <w:rsid w:val="00F04EBC"/>
    <w:rsid w:val="00F12DF8"/>
    <w:rsid w:val="00F23FEF"/>
    <w:rsid w:val="00F339DE"/>
    <w:rsid w:val="00F4517C"/>
    <w:rsid w:val="00F62F5C"/>
    <w:rsid w:val="00F63F3B"/>
    <w:rsid w:val="00F71510"/>
    <w:rsid w:val="00F73663"/>
    <w:rsid w:val="00F81F26"/>
    <w:rsid w:val="00F8246A"/>
    <w:rsid w:val="00F913AF"/>
    <w:rsid w:val="00FA2AA0"/>
    <w:rsid w:val="00FA30CB"/>
    <w:rsid w:val="00FA7C5C"/>
    <w:rsid w:val="00FB0CFC"/>
    <w:rsid w:val="00FC6232"/>
    <w:rsid w:val="00FD4C0C"/>
    <w:rsid w:val="00FF354C"/>
  </w:rsids>
  <m:mathPr>
    <m:mathFont m:val="Cambria Math"/>
    <m:brkBin m:val="before"/>
    <m:brkBinSub m:val="--"/>
    <m:smallFrac/>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colormru v:ext="edit" colors="#ddd,silver,#eaeaea"/>
    </o:shapedefaults>
    <o:shapelayout v:ext="edit">
      <o:idmap v:ext="edit" data="1"/>
    </o:shapelayout>
  </w:shapeDefaults>
  <w:decimalSymbol w:val="."/>
  <w:listSeparator w:val=","/>
  <w15:docId w15:val="{9DACB061-2BAD-41FC-88FD-6F660705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uiPriority w:val="9"/>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uiPriority w:val="2"/>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pPr>
      <w:spacing w:after="200"/>
      <w:ind w:left="510" w:hanging="510"/>
    </w:pPr>
  </w:style>
  <w:style w:type="paragraph" w:customStyle="1" w:styleId="NumPlain2">
    <w:name w:val="Num Plain2"/>
    <w:basedOn w:val="NumPlain1"/>
    <w:uiPriority w:val="2"/>
    <w:qFormat/>
    <w:pPr>
      <w:ind w:left="1020"/>
    </w:pPr>
  </w:style>
  <w:style w:type="paragraph" w:customStyle="1" w:styleId="NumPlain3">
    <w:name w:val="Num Plain3"/>
    <w:basedOn w:val="NumPlain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customStyle="1" w:styleId="Default">
    <w:name w:val="Default"/>
    <w:rsid w:val="00E2118D"/>
    <w:pPr>
      <w:autoSpaceDE w:val="0"/>
      <w:autoSpaceDN w:val="0"/>
      <w:adjustRightInd w:val="0"/>
    </w:pPr>
    <w:rPr>
      <w:color w:val="000000"/>
      <w:sz w:val="24"/>
      <w:szCs w:val="24"/>
    </w:rPr>
  </w:style>
  <w:style w:type="paragraph" w:customStyle="1" w:styleId="IASBNormal">
    <w:name w:val="IASB Normal"/>
    <w:uiPriority w:val="8"/>
    <w:rsid w:val="00130F7D"/>
    <w:pPr>
      <w:tabs>
        <w:tab w:val="left" w:pos="4253"/>
      </w:tabs>
      <w:spacing w:before="100" w:after="100"/>
      <w:jc w:val="both"/>
    </w:pPr>
    <w:rPr>
      <w:sz w:val="19"/>
      <w:lang w:eastAsia="en-US"/>
    </w:rPr>
  </w:style>
  <w:style w:type="paragraph" w:customStyle="1" w:styleId="IASBSectionTitle2Ind">
    <w:name w:val="IASB Section Title 2 Ind"/>
    <w:basedOn w:val="Normal"/>
    <w:uiPriority w:val="8"/>
    <w:rsid w:val="00130F7D"/>
    <w:pPr>
      <w:keepNext/>
      <w:keepLines/>
      <w:spacing w:before="240" w:after="200" w:line="240" w:lineRule="auto"/>
      <w:ind w:left="782"/>
      <w:outlineLvl w:val="1"/>
    </w:pPr>
    <w:rPr>
      <w:rFonts w:ascii="Arial" w:hAnsi="Arial" w:cs="Arial"/>
      <w:b/>
      <w:sz w:val="26"/>
    </w:rPr>
  </w:style>
  <w:style w:type="character" w:styleId="CommentReference">
    <w:name w:val="annotation reference"/>
    <w:basedOn w:val="DefaultParagraphFont"/>
    <w:rsid w:val="00DB2D0C"/>
    <w:rPr>
      <w:sz w:val="16"/>
      <w:szCs w:val="16"/>
    </w:rPr>
  </w:style>
  <w:style w:type="paragraph" w:styleId="CommentText">
    <w:name w:val="annotation text"/>
    <w:basedOn w:val="Normal"/>
    <w:link w:val="CommentTextChar"/>
    <w:rsid w:val="00DB2D0C"/>
    <w:pPr>
      <w:spacing w:line="240" w:lineRule="auto"/>
    </w:pPr>
  </w:style>
  <w:style w:type="character" w:customStyle="1" w:styleId="CommentTextChar">
    <w:name w:val="Comment Text Char"/>
    <w:basedOn w:val="DefaultParagraphFont"/>
    <w:link w:val="CommentText"/>
    <w:rsid w:val="00DB2D0C"/>
    <w:rPr>
      <w:lang w:eastAsia="en-US"/>
    </w:rPr>
  </w:style>
  <w:style w:type="paragraph" w:styleId="CommentSubject">
    <w:name w:val="annotation subject"/>
    <w:basedOn w:val="CommentText"/>
    <w:next w:val="CommentText"/>
    <w:link w:val="CommentSubjectChar"/>
    <w:rsid w:val="00DB2D0C"/>
    <w:rPr>
      <w:b/>
      <w:bCs/>
    </w:rPr>
  </w:style>
  <w:style w:type="character" w:customStyle="1" w:styleId="CommentSubjectChar">
    <w:name w:val="Comment Subject Char"/>
    <w:basedOn w:val="CommentTextChar"/>
    <w:link w:val="CommentSubject"/>
    <w:rsid w:val="00DB2D0C"/>
    <w:rPr>
      <w:b/>
      <w:bCs/>
      <w:lang w:eastAsia="en-US"/>
    </w:rPr>
  </w:style>
  <w:style w:type="numbering" w:customStyle="1" w:styleId="AASBNumbers">
    <w:name w:val="AASB Numbers"/>
    <w:uiPriority w:val="99"/>
    <w:rsid w:val="0040485F"/>
    <w:pPr>
      <w:numPr>
        <w:numId w:val="15"/>
      </w:numPr>
    </w:pPr>
  </w:style>
  <w:style w:type="character" w:customStyle="1" w:styleId="Heading2Char">
    <w:name w:val="Heading 2 Char"/>
    <w:basedOn w:val="DefaultParagraphFont"/>
    <w:link w:val="Heading2"/>
    <w:uiPriority w:val="9"/>
    <w:rsid w:val="003D034E"/>
    <w:rPr>
      <w:rFonts w:cs="Arial"/>
      <w:b/>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014929">
      <w:bodyDiv w:val="1"/>
      <w:marLeft w:val="0"/>
      <w:marRight w:val="0"/>
      <w:marTop w:val="0"/>
      <w:marBottom w:val="0"/>
      <w:divBdr>
        <w:top w:val="none" w:sz="0" w:space="0" w:color="auto"/>
        <w:left w:val="none" w:sz="0" w:space="0" w:color="auto"/>
        <w:bottom w:val="none" w:sz="0" w:space="0" w:color="auto"/>
        <w:right w:val="none" w:sz="0" w:space="0" w:color="auto"/>
      </w:divBdr>
    </w:div>
    <w:div w:id="1653680919">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23522-035E-439B-A60B-93FDDC175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1163</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Anstis, Clark</cp:lastModifiedBy>
  <cp:revision>16</cp:revision>
  <cp:lastPrinted>2018-08-13T04:04:00Z</cp:lastPrinted>
  <dcterms:created xsi:type="dcterms:W3CDTF">2018-11-23T02:45:00Z</dcterms:created>
  <dcterms:modified xsi:type="dcterms:W3CDTF">2019-01-03T04:50:00Z</dcterms:modified>
</cp:coreProperties>
</file>