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rsidTr="00A22E0D">
        <w:tc>
          <w:tcPr>
            <w:tcW w:w="4661" w:type="dxa"/>
          </w:tcPr>
          <w:p w:rsidR="00090A6F" w:rsidRPr="0000292B" w:rsidRDefault="00364B30">
            <w:pPr>
              <w:pStyle w:val="CoverStandard"/>
            </w:pPr>
            <w:r>
              <w:t>AASB</w:t>
            </w:r>
            <w:r w:rsidR="00831497">
              <w:t xml:space="preserve"> Standard</w:t>
            </w:r>
          </w:p>
        </w:tc>
        <w:tc>
          <w:tcPr>
            <w:tcW w:w="4661" w:type="dxa"/>
          </w:tcPr>
          <w:p w:rsidR="00090A6F" w:rsidRPr="0000292B" w:rsidRDefault="00831497">
            <w:pPr>
              <w:pStyle w:val="CoverNumber"/>
            </w:pPr>
            <w:r>
              <w:t>AASB</w:t>
            </w:r>
            <w:r w:rsidR="00090A6F" w:rsidRPr="0000292B">
              <w:t xml:space="preserve"> </w:t>
            </w:r>
            <w:bookmarkStart w:id="0" w:name="DocNo"/>
            <w:r w:rsidR="004A3747">
              <w:t>2018</w:t>
            </w:r>
            <w:r w:rsidR="00C241CE">
              <w:t>-</w:t>
            </w:r>
            <w:r w:rsidR="000B62A7">
              <w:t>8</w:t>
            </w:r>
            <w:bookmarkEnd w:id="0"/>
          </w:p>
          <w:p w:rsidR="00090A6F" w:rsidRPr="0000292B" w:rsidRDefault="00C241CE">
            <w:pPr>
              <w:pStyle w:val="CoverDate"/>
            </w:pPr>
            <w:bookmarkStart w:id="1" w:name="DocDate"/>
            <w:r>
              <w:t>Decem</w:t>
            </w:r>
            <w:r w:rsidR="00362C0E">
              <w:t>ber</w:t>
            </w:r>
            <w:r w:rsidR="004A3747">
              <w:t xml:space="preserve"> 2018</w:t>
            </w:r>
            <w:bookmarkEnd w:id="1"/>
          </w:p>
        </w:tc>
      </w:tr>
    </w:tbl>
    <w:p w:rsidR="00090A6F" w:rsidRDefault="004A3747" w:rsidP="003C6B24">
      <w:pPr>
        <w:pStyle w:val="CoverTitle"/>
        <w:jc w:val="left"/>
      </w:pPr>
      <w:bookmarkStart w:id="2" w:name="DocTitle"/>
      <w:r>
        <w:t>Amendments to Australian Accounting Standard</w:t>
      </w:r>
      <w:r w:rsidR="008A38C1">
        <w:t xml:space="preserve">s – </w:t>
      </w:r>
      <w:r w:rsidR="00C241CE">
        <w:t>Right</w:t>
      </w:r>
      <w:r w:rsidR="00C241CE">
        <w:noBreakHyphen/>
        <w:t>of</w:t>
      </w:r>
      <w:r w:rsidR="00C241CE">
        <w:noBreakHyphen/>
        <w:t>Use Assets of Not</w:t>
      </w:r>
      <w:r w:rsidR="00C241CE">
        <w:noBreakHyphen/>
        <w:t>for</w:t>
      </w:r>
      <w:r w:rsidR="00C241CE">
        <w:noBreakHyphen/>
        <w:t>Profit Entities</w:t>
      </w:r>
      <w:bookmarkEnd w:id="2"/>
    </w:p>
    <w:p w:rsidR="00611BBB" w:rsidRPr="004D4FDA" w:rsidRDefault="00611BBB" w:rsidP="003C6B24">
      <w:pPr>
        <w:pStyle w:val="CoverTitle"/>
        <w:jc w:val="left"/>
        <w:rPr>
          <w:sz w:val="40"/>
          <w:szCs w:val="40"/>
        </w:rPr>
      </w:pPr>
      <w:r w:rsidRPr="004D4FDA">
        <w:rPr>
          <w:sz w:val="40"/>
          <w:szCs w:val="40"/>
        </w:rPr>
        <w:t>[AASB 1, AASB 16, AASB 117, AASB 1049 &amp; AASB 1058]</w:t>
      </w:r>
    </w:p>
    <w:p w:rsidR="00737714" w:rsidRPr="0000292B" w:rsidRDefault="00737714" w:rsidP="00737714"/>
    <w:p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315AA635" wp14:editId="7DA6FFFD">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rsidR="00895809" w:rsidRPr="0000292B" w:rsidRDefault="00895809" w:rsidP="00895809">
      <w:r w:rsidRPr="0000292B">
        <w:t>Australian Accounting Standards Board</w:t>
      </w:r>
    </w:p>
    <w:p w:rsidR="00895809" w:rsidRPr="0000292B" w:rsidRDefault="00895809" w:rsidP="00895809">
      <w:r>
        <w:t>PO Box 204</w:t>
      </w:r>
    </w:p>
    <w:p w:rsidR="00895809" w:rsidRPr="0000292B" w:rsidRDefault="00895809" w:rsidP="00895809">
      <w:r>
        <w:t>Collins Street West</w:t>
      </w:r>
    </w:p>
    <w:p w:rsidR="00895809" w:rsidRPr="0000292B" w:rsidRDefault="00895809" w:rsidP="00895809">
      <w:r>
        <w:t>Victoria   8007</w:t>
      </w:r>
    </w:p>
    <w:p w:rsidR="00895809" w:rsidRDefault="00895809" w:rsidP="00895809">
      <w:pPr>
        <w:pStyle w:val="CoverContact"/>
        <w:spacing w:after="200"/>
      </w:pPr>
      <w:r w:rsidRPr="0000292B">
        <w:t>AUSTRALIA</w:t>
      </w:r>
    </w:p>
    <w:p w:rsidR="00737714" w:rsidRDefault="00BF0190" w:rsidP="00B82F15">
      <w:pPr>
        <w:pStyle w:val="CoverContact"/>
      </w:pPr>
      <w:r>
        <w:t>Phone:</w:t>
      </w:r>
      <w:r>
        <w:tab/>
        <w:t>(03) 9617 7600</w:t>
      </w:r>
    </w:p>
    <w:p w:rsidR="00E96D45" w:rsidRDefault="00DB00CD" w:rsidP="00DB00CD">
      <w:pPr>
        <w:pStyle w:val="CoverContact"/>
      </w:pPr>
      <w:r>
        <w:t>E-mail:</w:t>
      </w:r>
      <w:r>
        <w:tab/>
      </w:r>
      <w:r w:rsidR="00BF0190">
        <w:t>standard</w:t>
      </w:r>
      <w:r>
        <w:t>@aasb.gov</w:t>
      </w:r>
      <w:r w:rsidRPr="00C5022C">
        <w:t>.au</w:t>
      </w:r>
    </w:p>
    <w:p w:rsidR="00E96D45" w:rsidRPr="00E96D45" w:rsidRDefault="00DB00CD" w:rsidP="00DB00CD">
      <w:pPr>
        <w:pStyle w:val="CoverContact"/>
        <w:spacing w:after="240"/>
      </w:pPr>
      <w:r>
        <w:t>Website:</w:t>
      </w:r>
      <w:r>
        <w:tab/>
        <w:t>www.aasb.gov.au</w:t>
      </w:r>
    </w:p>
    <w:p w:rsidR="00090A6F" w:rsidRPr="0000292B" w:rsidRDefault="00090A6F" w:rsidP="00F13C5A">
      <w:pPr>
        <w:pStyle w:val="Heading1"/>
      </w:pPr>
      <w:r w:rsidRPr="0000292B">
        <w:t xml:space="preserve">Other </w:t>
      </w:r>
      <w:r w:rsidR="005655CE" w:rsidRPr="0000292B">
        <w:t>enquiries</w:t>
      </w:r>
    </w:p>
    <w:p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rsidR="00EB16BA" w:rsidRDefault="00923261" w:rsidP="00EB16BA">
      <w:pPr>
        <w:pStyle w:val="CoverContact"/>
      </w:pPr>
      <w:r>
        <w:t>E-mail:</w:t>
      </w:r>
      <w:r>
        <w:tab/>
      </w:r>
      <w:bookmarkStart w:id="3" w:name="CopyrightText"/>
      <w:r w:rsidR="00A211C9">
        <w:t>standard@aasb.gov</w:t>
      </w:r>
      <w:r w:rsidR="00A211C9" w:rsidRPr="00C5022C">
        <w:t>.au</w:t>
      </w:r>
    </w:p>
    <w:p w:rsidR="00276BC5" w:rsidRDefault="00276BC5" w:rsidP="000B62A7">
      <w:pPr>
        <w:pStyle w:val="CoverContact"/>
        <w:spacing w:before="7440"/>
      </w:pPr>
      <w:r>
        <w:t>COPYRIGHT</w:t>
      </w:r>
    </w:p>
    <w:p w:rsidR="00276BC5" w:rsidRDefault="00276BC5" w:rsidP="00276BC5">
      <w:pPr>
        <w:pStyle w:val="NoNumPlain1"/>
      </w:pPr>
      <w:r>
        <w:t>© Com</w:t>
      </w:r>
      <w:bookmarkStart w:id="4" w:name="CopyrightDomestic"/>
      <w:bookmarkEnd w:id="4"/>
      <w:r>
        <w:t xml:space="preserve">monwealth of Australia </w:t>
      </w:r>
      <w:bookmarkStart w:id="5" w:name="Year"/>
      <w:r w:rsidR="004A3747">
        <w:t>2018</w:t>
      </w:r>
      <w:bookmarkEnd w:id="5"/>
    </w:p>
    <w:p w:rsidR="00276BC5" w:rsidRPr="00DE4E67" w:rsidRDefault="00E46988" w:rsidP="00895809">
      <w:pPr>
        <w:spacing w:after="200"/>
      </w:pPr>
      <w:r w:rsidRPr="00E46988">
        <w:t xml:space="preserve">This work is copyright.  Apart from any use as permitted under the </w:t>
      </w:r>
      <w:r w:rsidRPr="00F311FB">
        <w:rPr>
          <w:i/>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w:t>
      </w:r>
      <w:r w:rsidR="00F311FB">
        <w:t>, Collins Street West, Victoria </w:t>
      </w:r>
      <w:r w:rsidRPr="00E46988">
        <w:t>8007</w:t>
      </w:r>
      <w:r w:rsidR="00276BC5" w:rsidRPr="00DE4E67">
        <w:t>.</w:t>
      </w:r>
    </w:p>
    <w:bookmarkEnd w:id="3"/>
    <w:p w:rsidR="007455F0" w:rsidRPr="0000292B" w:rsidRDefault="006D4700" w:rsidP="006D4700">
      <w:r>
        <w:t xml:space="preserve">ISSN </w:t>
      </w:r>
      <w:bookmarkStart w:id="6" w:name="ISSN"/>
      <w:r w:rsidR="004A3747">
        <w:t>1036-4803</w:t>
      </w:r>
      <w:bookmarkEnd w:id="6"/>
    </w:p>
    <w:p w:rsidR="00090A6F" w:rsidRPr="0000292B" w:rsidRDefault="00090A6F">
      <w:pPr>
        <w:sectPr w:rsidR="00090A6F" w:rsidRPr="0000292B" w:rsidSect="00D74C6A">
          <w:footerReference w:type="default" r:id="rId9"/>
          <w:pgSz w:w="11907" w:h="16840" w:code="9"/>
          <w:pgMar w:top="1418" w:right="1418" w:bottom="1418" w:left="1418" w:header="709" w:footer="709" w:gutter="0"/>
          <w:paperSrc w:first="7" w:other="7"/>
          <w:cols w:space="720"/>
        </w:sectPr>
      </w:pPr>
    </w:p>
    <w:p w:rsidR="00090A6F" w:rsidRPr="0000292B" w:rsidRDefault="005655CE">
      <w:pPr>
        <w:pStyle w:val="Heading1"/>
      </w:pPr>
      <w:r w:rsidRPr="0000292B">
        <w:lastRenderedPageBreak/>
        <w:t>Contents</w:t>
      </w:r>
    </w:p>
    <w:p w:rsidR="00090A6F" w:rsidRPr="0000292B" w:rsidRDefault="00A5122D">
      <w:pPr>
        <w:pStyle w:val="ContentsCapsPlain"/>
      </w:pPr>
      <w:r w:rsidRPr="0000292B">
        <w:t>PREFACE</w:t>
      </w:r>
    </w:p>
    <w:p w:rsidR="00090A6F" w:rsidRPr="0000292B" w:rsidRDefault="00A5122D">
      <w:pPr>
        <w:pStyle w:val="ContentsCapsBold"/>
      </w:pPr>
      <w:r w:rsidRPr="0000292B">
        <w:t>ACCOUNTING STANDARD</w:t>
      </w:r>
    </w:p>
    <w:p w:rsidR="002B7803" w:rsidRDefault="00A5122D" w:rsidP="00E23CF4">
      <w:pPr>
        <w:pStyle w:val="ContentsCapsBold"/>
        <w:rPr>
          <w:i/>
        </w:rPr>
      </w:pPr>
      <w:r w:rsidRPr="0000292B">
        <w:t xml:space="preserve">AASB </w:t>
      </w:r>
      <w:r w:rsidR="008028D0">
        <w:rPr>
          <w:iCs/>
        </w:rPr>
        <w:fldChar w:fldCharType="begin"/>
      </w:r>
      <w:r w:rsidR="008028D0">
        <w:rPr>
          <w:iCs/>
        </w:rPr>
        <w:instrText xml:space="preserve"> REF \* charformat DocNo </w:instrText>
      </w:r>
      <w:r w:rsidR="008028D0">
        <w:rPr>
          <w:iCs/>
        </w:rPr>
        <w:fldChar w:fldCharType="separate"/>
      </w:r>
      <w:r w:rsidR="00B3637E" w:rsidRPr="00B3637E">
        <w:rPr>
          <w:iCs/>
        </w:rPr>
        <w:t>2018-8</w:t>
      </w:r>
      <w:r w:rsidR="008028D0">
        <w:rPr>
          <w:iCs/>
        </w:rPr>
        <w:fldChar w:fldCharType="end"/>
      </w:r>
      <w:r w:rsidRPr="0000292B">
        <w:t xml:space="preserve"> </w:t>
      </w:r>
      <w:r w:rsidR="00E23CF4" w:rsidRPr="00E23CF4">
        <w:rPr>
          <w:i/>
        </w:rPr>
        <w:t>AMENDMENTS TO AUSTRALIAN ACCOUNTING STANDARDS – RIGHT-OF-USE ASSETS OF NOT-FOR-PROFIT ENTITIES</w:t>
      </w:r>
    </w:p>
    <w:p w:rsidR="0076322B" w:rsidRPr="0076322B" w:rsidRDefault="0076322B" w:rsidP="0076322B">
      <w:pPr>
        <w:pStyle w:val="ContentsLevel1"/>
      </w:pPr>
    </w:p>
    <w:p w:rsidR="00090A6F" w:rsidRPr="00D253C7" w:rsidRDefault="00D253C7">
      <w:pPr>
        <w:pStyle w:val="ContentsParaHead"/>
      </w:pPr>
      <w:r w:rsidRPr="00D253C7">
        <w:t>f</w:t>
      </w:r>
      <w:r w:rsidR="008028D0">
        <w:t>rom page</w:t>
      </w:r>
    </w:p>
    <w:p w:rsidR="00090A6F" w:rsidRPr="00A5122D" w:rsidRDefault="00A5122D" w:rsidP="009E2F6C">
      <w:pPr>
        <w:pStyle w:val="ContentsLevel1"/>
        <w:ind w:right="-1"/>
        <w:jc w:val="right"/>
        <w:rPr>
          <w:b/>
        </w:rPr>
      </w:pPr>
      <w:bookmarkStart w:id="7" w:name="TOCRange"/>
      <w:r w:rsidRPr="00A5122D">
        <w:rPr>
          <w:b/>
        </w:rPr>
        <w:t>OBJECTIVE</w:t>
      </w:r>
      <w:r w:rsidRPr="00A5122D">
        <w:rPr>
          <w:b/>
        </w:rPr>
        <w:tab/>
      </w:r>
      <w:r w:rsidR="00600773">
        <w:rPr>
          <w:b/>
        </w:rPr>
        <w:t>5</w:t>
      </w:r>
    </w:p>
    <w:p w:rsidR="00090A6F" w:rsidRPr="00A5122D" w:rsidRDefault="00600773" w:rsidP="009E2F6C">
      <w:pPr>
        <w:pStyle w:val="ContentsLevel1"/>
        <w:ind w:right="-1"/>
        <w:rPr>
          <w:b/>
        </w:rPr>
      </w:pPr>
      <w:r>
        <w:rPr>
          <w:b/>
        </w:rPr>
        <w:t>APPLICATION</w:t>
      </w:r>
      <w:r>
        <w:rPr>
          <w:b/>
        </w:rPr>
        <w:tab/>
        <w:t>5</w:t>
      </w:r>
    </w:p>
    <w:p w:rsidR="004A3747" w:rsidRDefault="008028D0" w:rsidP="009E2F6C">
      <w:pPr>
        <w:pStyle w:val="ContentsLevel1"/>
        <w:ind w:right="-143"/>
        <w:rPr>
          <w:b/>
        </w:rPr>
      </w:pPr>
      <w:r>
        <w:rPr>
          <w:b/>
        </w:rPr>
        <w:t>AMENDMENTS TO AASB 1</w:t>
      </w:r>
      <w:r w:rsidR="004C4BAD">
        <w:rPr>
          <w:b/>
        </w:rPr>
        <w:tab/>
      </w:r>
      <w:r w:rsidR="00600773">
        <w:rPr>
          <w:b/>
        </w:rPr>
        <w:t>5</w:t>
      </w:r>
    </w:p>
    <w:p w:rsidR="008028D0" w:rsidRDefault="00600773" w:rsidP="009E2F6C">
      <w:pPr>
        <w:pStyle w:val="ContentsLevel1"/>
        <w:ind w:right="-143"/>
        <w:rPr>
          <w:b/>
        </w:rPr>
      </w:pPr>
      <w:r>
        <w:rPr>
          <w:b/>
        </w:rPr>
        <w:t>AMENDMENTS TO AASB 16</w:t>
      </w:r>
      <w:r>
        <w:rPr>
          <w:b/>
        </w:rPr>
        <w:tab/>
        <w:t>6</w:t>
      </w:r>
    </w:p>
    <w:p w:rsidR="008028D0" w:rsidRDefault="00600773" w:rsidP="009E2F6C">
      <w:pPr>
        <w:pStyle w:val="ContentsLevel1"/>
        <w:ind w:right="-143"/>
        <w:rPr>
          <w:b/>
        </w:rPr>
      </w:pPr>
      <w:r>
        <w:rPr>
          <w:b/>
        </w:rPr>
        <w:t>AMENDMENTS TO AASB 117</w:t>
      </w:r>
      <w:r>
        <w:rPr>
          <w:b/>
        </w:rPr>
        <w:tab/>
        <w:t>7</w:t>
      </w:r>
    </w:p>
    <w:p w:rsidR="006B4C3A" w:rsidRDefault="00F3275B" w:rsidP="009E2F6C">
      <w:pPr>
        <w:pStyle w:val="ContentsLevel1"/>
        <w:ind w:right="-143"/>
        <w:rPr>
          <w:b/>
        </w:rPr>
      </w:pPr>
      <w:r>
        <w:rPr>
          <w:b/>
        </w:rPr>
        <w:t>AMENDMENTS TO AASB 1049</w:t>
      </w:r>
      <w:r>
        <w:rPr>
          <w:b/>
        </w:rPr>
        <w:tab/>
        <w:t>8</w:t>
      </w:r>
    </w:p>
    <w:p w:rsidR="008028D0" w:rsidRPr="00A5122D" w:rsidRDefault="00600773" w:rsidP="009E2F6C">
      <w:pPr>
        <w:pStyle w:val="ContentsLevel1"/>
        <w:ind w:right="-143"/>
        <w:rPr>
          <w:b/>
        </w:rPr>
      </w:pPr>
      <w:r>
        <w:rPr>
          <w:b/>
        </w:rPr>
        <w:t>AMENDMENTS TO AASB 1058</w:t>
      </w:r>
      <w:r>
        <w:rPr>
          <w:b/>
        </w:rPr>
        <w:tab/>
        <w:t>8</w:t>
      </w:r>
    </w:p>
    <w:p w:rsidR="00090A6F" w:rsidRDefault="00A5122D" w:rsidP="00E55F2F">
      <w:pPr>
        <w:tabs>
          <w:tab w:val="right" w:pos="9071"/>
        </w:tabs>
        <w:rPr>
          <w:b/>
        </w:rPr>
      </w:pPr>
      <w:r w:rsidRPr="00A5122D">
        <w:rPr>
          <w:b/>
        </w:rPr>
        <w:t xml:space="preserve">COMMENCEMENT OF THE </w:t>
      </w:r>
      <w:r w:rsidR="00E55F2F">
        <w:rPr>
          <w:b/>
        </w:rPr>
        <w:t>LEGISLATIVE INSTRUMENT</w:t>
      </w:r>
      <w:r>
        <w:rPr>
          <w:b/>
        </w:rPr>
        <w:tab/>
      </w:r>
      <w:bookmarkStart w:id="8" w:name="ContentsMarker"/>
      <w:bookmarkEnd w:id="8"/>
      <w:r w:rsidR="00BF60C0">
        <w:rPr>
          <w:b/>
        </w:rPr>
        <w:t>9</w:t>
      </w:r>
    </w:p>
    <w:p w:rsidR="00712C96" w:rsidRDefault="00712C96" w:rsidP="00E55F2F">
      <w:pPr>
        <w:tabs>
          <w:tab w:val="right" w:pos="9071"/>
        </w:tabs>
        <w:rPr>
          <w:b/>
        </w:rPr>
      </w:pPr>
    </w:p>
    <w:p w:rsidR="00712C96" w:rsidRDefault="00712C96" w:rsidP="00E55F2F">
      <w:pPr>
        <w:tabs>
          <w:tab w:val="right" w:pos="9071"/>
        </w:tabs>
        <w:rPr>
          <w:b/>
        </w:rPr>
      </w:pPr>
      <w:r>
        <w:rPr>
          <w:b/>
        </w:rPr>
        <w:t>BASIS FOR CONCLUSIONS</w:t>
      </w:r>
    </w:p>
    <w:p w:rsidR="00D253C7" w:rsidRDefault="00D253C7" w:rsidP="00E55F2F">
      <w:pPr>
        <w:tabs>
          <w:tab w:val="right" w:pos="9071"/>
        </w:tabs>
        <w:rPr>
          <w:b/>
        </w:rPr>
      </w:pPr>
    </w:p>
    <w:p w:rsidR="00E55F2F" w:rsidRPr="0000292B" w:rsidRDefault="00E55F2F"/>
    <w:bookmarkEnd w:id="7"/>
    <w:p w:rsidR="00090A6F" w:rsidRPr="0000292B" w:rsidRDefault="00F56BB3">
      <w:pPr>
        <w:pStyle w:val="ContentsBox"/>
      </w:pPr>
      <w:r>
        <w:t>Australian Accounting S</w:t>
      </w:r>
      <w:r w:rsidRPr="0000292B">
        <w:t xml:space="preserve">tandard </w:t>
      </w:r>
      <w:r>
        <w:t>AASB</w:t>
      </w:r>
      <w:r w:rsidRPr="0000292B">
        <w:t xml:space="preserve"> </w:t>
      </w:r>
      <w:r w:rsidR="00B3637E">
        <w:fldChar w:fldCharType="begin"/>
      </w:r>
      <w:r w:rsidR="00B3637E">
        <w:instrText xml:space="preserve"> REF \* charformat DocNo </w:instrText>
      </w:r>
      <w:r w:rsidR="00B3637E">
        <w:fldChar w:fldCharType="separate"/>
      </w:r>
      <w:r w:rsidR="00B3637E">
        <w:t>2018-8</w:t>
      </w:r>
      <w:r w:rsidR="00B3637E">
        <w:fldChar w:fldCharType="end"/>
      </w:r>
      <w:r w:rsidR="003C3640">
        <w:t xml:space="preserve"> </w:t>
      </w:r>
      <w:r w:rsidR="008028D0">
        <w:rPr>
          <w:i/>
        </w:rPr>
        <w:fldChar w:fldCharType="begin"/>
      </w:r>
      <w:r w:rsidR="008028D0">
        <w:rPr>
          <w:i/>
        </w:rPr>
        <w:instrText xml:space="preserve"> REF \* charformat DocTitle </w:instrText>
      </w:r>
      <w:r w:rsidR="008028D0">
        <w:rPr>
          <w:i/>
        </w:rPr>
        <w:fldChar w:fldCharType="separate"/>
      </w:r>
      <w:r w:rsidR="00B3637E" w:rsidRPr="00B3637E">
        <w:rPr>
          <w:i/>
        </w:rPr>
        <w:t>Amendments to Australian Accounting Standards – Right</w:t>
      </w:r>
      <w:r w:rsidR="00B3637E" w:rsidRPr="00B3637E">
        <w:rPr>
          <w:i/>
        </w:rPr>
        <w:noBreakHyphen/>
        <w:t>of</w:t>
      </w:r>
      <w:r w:rsidR="00B3637E" w:rsidRPr="00B3637E">
        <w:rPr>
          <w:i/>
        </w:rPr>
        <w:noBreakHyphen/>
        <w:t>Use Assets of Not</w:t>
      </w:r>
      <w:r w:rsidR="00B3637E" w:rsidRPr="00B3637E">
        <w:rPr>
          <w:i/>
        </w:rPr>
        <w:noBreakHyphen/>
        <w:t>for</w:t>
      </w:r>
      <w:r w:rsidR="00B3637E" w:rsidRPr="00B3637E">
        <w:rPr>
          <w:i/>
        </w:rPr>
        <w:noBreakHyphen/>
        <w:t>Profit Entities</w:t>
      </w:r>
      <w:r w:rsidR="008028D0">
        <w:rPr>
          <w:i/>
        </w:rPr>
        <w:fldChar w:fldCharType="end"/>
      </w:r>
      <w:r w:rsidR="00A5122D" w:rsidRPr="0000292B">
        <w:rPr>
          <w:i/>
          <w:iCs/>
        </w:rPr>
        <w:t xml:space="preserve"> </w:t>
      </w:r>
      <w:r w:rsidRPr="0000292B">
        <w:t xml:space="preserve">is set out </w:t>
      </w:r>
      <w:r w:rsidR="008028D0">
        <w:t>o</w:t>
      </w:r>
      <w:r w:rsidRPr="0000292B">
        <w:t xml:space="preserve">n </w:t>
      </w:r>
      <w:r w:rsidR="008028D0">
        <w:t>pages</w:t>
      </w:r>
      <w:r w:rsidR="00A5122D" w:rsidRPr="0000292B">
        <w:t xml:space="preserve"> </w:t>
      </w:r>
      <w:r w:rsidR="00E9384F">
        <w:t>5</w:t>
      </w:r>
      <w:r w:rsidR="00A5122D">
        <w:t xml:space="preserve"> – </w:t>
      </w:r>
      <w:r w:rsidR="00BF60C0">
        <w:t>9</w:t>
      </w:r>
      <w:r w:rsidRPr="0000292B">
        <w:t>. All the pa</w:t>
      </w:r>
      <w:r>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6A0A66" w:rsidRDefault="006A0A66" w:rsidP="004D4FDA">
      <w:pPr>
        <w:tabs>
          <w:tab w:val="left" w:pos="1010"/>
        </w:tabs>
        <w:sectPr w:rsidR="006A0A66" w:rsidSect="00D74C6A">
          <w:footerReference w:type="default" r:id="rId10"/>
          <w:pgSz w:w="11907" w:h="16840" w:code="9"/>
          <w:pgMar w:top="1418" w:right="1418" w:bottom="1418" w:left="1418" w:header="709" w:footer="709" w:gutter="0"/>
          <w:paperSrc w:first="7" w:other="7"/>
          <w:cols w:space="720"/>
        </w:sectPr>
      </w:pPr>
    </w:p>
    <w:p w:rsidR="00090A6F" w:rsidRPr="0000292B" w:rsidRDefault="00090A6F">
      <w:pPr>
        <w:pStyle w:val="Heading1"/>
      </w:pPr>
      <w:r w:rsidRPr="0000292B">
        <w:lastRenderedPageBreak/>
        <w:t>Preface</w:t>
      </w:r>
    </w:p>
    <w:p w:rsidR="000F64CC" w:rsidRPr="0000292B" w:rsidRDefault="00CA61C5">
      <w:pPr>
        <w:pStyle w:val="Heading2"/>
      </w:pPr>
      <w:r>
        <w:t xml:space="preserve">Standards amended by AASB </w:t>
      </w:r>
      <w:r w:rsidR="00B3637E">
        <w:fldChar w:fldCharType="begin"/>
      </w:r>
      <w:r w:rsidR="00B3637E">
        <w:instrText xml:space="preserve"> REF \* charformat DocNo </w:instrText>
      </w:r>
      <w:r w:rsidR="00B3637E">
        <w:fldChar w:fldCharType="separate"/>
      </w:r>
      <w:r w:rsidR="00B3637E">
        <w:t>2018-8</w:t>
      </w:r>
      <w:r w:rsidR="00B3637E">
        <w:fldChar w:fldCharType="end"/>
      </w:r>
    </w:p>
    <w:p w:rsidR="008028D0" w:rsidRDefault="009C2479" w:rsidP="008028D0">
      <w:pPr>
        <w:pStyle w:val="NoNumPlain1"/>
      </w:pPr>
      <w:r>
        <w:t>This S</w:t>
      </w:r>
      <w:r w:rsidR="00E55F2F">
        <w:t xml:space="preserve">tandard makes </w:t>
      </w:r>
      <w:r w:rsidR="008028D0">
        <w:t xml:space="preserve">amendments to AASB 1 </w:t>
      </w:r>
      <w:r w:rsidR="008028D0" w:rsidRPr="009A29B3">
        <w:rPr>
          <w:i/>
        </w:rPr>
        <w:t>First-time Adoption of Australian Accounting Standards</w:t>
      </w:r>
      <w:r w:rsidR="008028D0">
        <w:t xml:space="preserve"> (July 2015), AASB 16 </w:t>
      </w:r>
      <w:r w:rsidR="008028D0" w:rsidRPr="00F86274">
        <w:rPr>
          <w:i/>
        </w:rPr>
        <w:t>Leases</w:t>
      </w:r>
      <w:r w:rsidR="008028D0">
        <w:t xml:space="preserve"> (February 2016), AASB 117 </w:t>
      </w:r>
      <w:r w:rsidR="008028D0" w:rsidRPr="00086A59">
        <w:rPr>
          <w:i/>
        </w:rPr>
        <w:t>Leases</w:t>
      </w:r>
      <w:r w:rsidR="008028D0">
        <w:t xml:space="preserve"> (August 2015)</w:t>
      </w:r>
      <w:r w:rsidR="006B4C3A">
        <w:t xml:space="preserve">, AASB 1049 </w:t>
      </w:r>
      <w:r w:rsidR="006B4C3A" w:rsidRPr="006B4C3A">
        <w:rPr>
          <w:i/>
        </w:rPr>
        <w:t xml:space="preserve">Whole of Government and General Government Sector Financial </w:t>
      </w:r>
      <w:r w:rsidR="006B4C3A" w:rsidRPr="0082396A">
        <w:rPr>
          <w:i/>
        </w:rPr>
        <w:t>Reporting</w:t>
      </w:r>
      <w:r w:rsidR="006B4C3A" w:rsidRPr="0082396A">
        <w:t xml:space="preserve"> </w:t>
      </w:r>
      <w:r w:rsidR="006B4C3A" w:rsidRPr="004D4FDA">
        <w:t>(</w:t>
      </w:r>
      <w:r w:rsidR="0082396A">
        <w:t>October 2007</w:t>
      </w:r>
      <w:r w:rsidR="006B4C3A" w:rsidRPr="004D4FDA">
        <w:t>)</w:t>
      </w:r>
      <w:r w:rsidR="008028D0">
        <w:t xml:space="preserve"> and AASB 1058 </w:t>
      </w:r>
      <w:r w:rsidR="008028D0">
        <w:rPr>
          <w:i/>
        </w:rPr>
        <w:t>Income of Not</w:t>
      </w:r>
      <w:r w:rsidR="008028D0">
        <w:rPr>
          <w:i/>
        </w:rPr>
        <w:noBreakHyphen/>
        <w:t>for</w:t>
      </w:r>
      <w:r w:rsidR="008028D0">
        <w:rPr>
          <w:i/>
        </w:rPr>
        <w:noBreakHyphen/>
      </w:r>
      <w:r w:rsidR="008028D0" w:rsidRPr="0070606F">
        <w:rPr>
          <w:i/>
        </w:rPr>
        <w:t>Profit Entities</w:t>
      </w:r>
      <w:r w:rsidR="008028D0">
        <w:t xml:space="preserve"> (December 2016). </w:t>
      </w:r>
    </w:p>
    <w:p w:rsidR="008028D0" w:rsidRDefault="008028D0" w:rsidP="008028D0">
      <w:pPr>
        <w:pStyle w:val="NoNumPlain1"/>
      </w:pPr>
      <w:r>
        <w:t>AASB 1058</w:t>
      </w:r>
      <w:r w:rsidRPr="005C3266">
        <w:t xml:space="preserve"> made amendments to AASB 16</w:t>
      </w:r>
      <w:r>
        <w:t xml:space="preserve"> to</w:t>
      </w:r>
      <w:r w:rsidRPr="005C3266">
        <w:t xml:space="preserve"> require </w:t>
      </w:r>
      <w:r>
        <w:t xml:space="preserve">not-for-profit entities </w:t>
      </w:r>
      <w:r w:rsidRPr="005C3266">
        <w:t xml:space="preserve">to </w:t>
      </w:r>
      <w:r>
        <w:t>measure right</w:t>
      </w:r>
      <w:r>
        <w:noBreakHyphen/>
        <w:t>of</w:t>
      </w:r>
      <w:r>
        <w:noBreakHyphen/>
      </w:r>
      <w:r w:rsidRPr="005C3266">
        <w:t>use asset</w:t>
      </w:r>
      <w:r>
        <w:t>s</w:t>
      </w:r>
      <w:r w:rsidRPr="005C3266">
        <w:t xml:space="preserve"> </w:t>
      </w:r>
      <w:r>
        <w:t xml:space="preserve">at initial recognition at fair value in respect of </w:t>
      </w:r>
      <w:r w:rsidRPr="005C3266">
        <w:t>lease</w:t>
      </w:r>
      <w:r>
        <w:t>s</w:t>
      </w:r>
      <w:r w:rsidRPr="005C3266">
        <w:t xml:space="preserve"> that ha</w:t>
      </w:r>
      <w:r>
        <w:t>ve</w:t>
      </w:r>
      <w:r w:rsidRPr="005C3266">
        <w:t xml:space="preserve"> significantly below-market terms and conditions principally to enable the entity to further its objectives.</w:t>
      </w:r>
      <w:r>
        <w:t xml:space="preserve"> </w:t>
      </w:r>
    </w:p>
    <w:p w:rsidR="00A5122D" w:rsidRDefault="008028D0" w:rsidP="008028D0">
      <w:pPr>
        <w:pStyle w:val="NoNumPlain1"/>
      </w:pPr>
      <w:r>
        <w:t>However, the AASB has decided to provide a temporary option for not-for-profit entities</w:t>
      </w:r>
      <w:r w:rsidRPr="009C0B94">
        <w:t xml:space="preserve"> </w:t>
      </w:r>
      <w:r>
        <w:t xml:space="preserve">to not measure </w:t>
      </w:r>
      <w:r w:rsidR="0082396A">
        <w:t xml:space="preserve">a class or classes of </w:t>
      </w:r>
      <w:r>
        <w:t>such right</w:t>
      </w:r>
      <w:r>
        <w:noBreakHyphen/>
        <w:t>of</w:t>
      </w:r>
      <w:r>
        <w:noBreakHyphen/>
        <w:t>use assets at initial recognition at fair value, since further guidance is expected to be developed to assist not</w:t>
      </w:r>
      <w:r>
        <w:noBreakHyphen/>
        <w:t>for</w:t>
      </w:r>
      <w:r>
        <w:noBreakHyphen/>
        <w:t>profit entities in measuring right-of-use assets at fair value.</w:t>
      </w:r>
      <w:r w:rsidRPr="009C0B94">
        <w:t xml:space="preserve"> </w:t>
      </w:r>
      <w:r>
        <w:t xml:space="preserve">The temporary option would also avoid requiring </w:t>
      </w:r>
      <w:r>
        <w:rPr>
          <w:szCs w:val="19"/>
        </w:rPr>
        <w:t>not-for</w:t>
      </w:r>
      <w:r>
        <w:rPr>
          <w:szCs w:val="19"/>
        </w:rPr>
        <w:noBreakHyphen/>
        <w:t xml:space="preserve">profit </w:t>
      </w:r>
      <w:r w:rsidRPr="00AD2F94">
        <w:rPr>
          <w:szCs w:val="19"/>
        </w:rPr>
        <w:t xml:space="preserve">private sector </w:t>
      </w:r>
      <w:r>
        <w:rPr>
          <w:szCs w:val="19"/>
        </w:rPr>
        <w:t xml:space="preserve">entities </w:t>
      </w:r>
      <w:r w:rsidRPr="00AD2F94">
        <w:rPr>
          <w:szCs w:val="19"/>
        </w:rPr>
        <w:t xml:space="preserve">at the lower </w:t>
      </w:r>
      <w:r>
        <w:t>level of the reporting thresholds to apply the fair value initial measurement requirements of AASB 16 when they might not be required to apply these requirements in the future as a result of recommendations of the ACNC Legislative Review</w:t>
      </w:r>
      <w:r w:rsidR="00A5122D">
        <w:t>.</w:t>
      </w:r>
    </w:p>
    <w:p w:rsidR="00090A6F" w:rsidRDefault="00F22AF2" w:rsidP="00F22AF2">
      <w:pPr>
        <w:pStyle w:val="Heading2"/>
      </w:pPr>
      <w:r>
        <w:t>Main features of this Standard</w:t>
      </w:r>
    </w:p>
    <w:p w:rsidR="00F22AF2" w:rsidRDefault="00F22AF2" w:rsidP="00F22AF2">
      <w:pPr>
        <w:pStyle w:val="Heading2Indent1"/>
      </w:pPr>
      <w:r>
        <w:t>Main requirements</w:t>
      </w:r>
    </w:p>
    <w:p w:rsidR="00F22AF2" w:rsidRDefault="008028D0" w:rsidP="00F22AF2">
      <w:pPr>
        <w:pStyle w:val="NoNumPlain1"/>
      </w:pPr>
      <w:r>
        <w:t>This Standard amends AASB 1, AASB 16, AASB 117</w:t>
      </w:r>
      <w:r w:rsidR="006B4C3A">
        <w:t>, AASB 1049</w:t>
      </w:r>
      <w:r>
        <w:t xml:space="preserve"> and AASB 1058 to provide a temporary option for not</w:t>
      </w:r>
      <w:r>
        <w:noBreakHyphen/>
        <w:t>for</w:t>
      </w:r>
      <w:r>
        <w:noBreakHyphen/>
        <w:t>profit entities</w:t>
      </w:r>
      <w:r w:rsidRPr="009C0B94">
        <w:t xml:space="preserve"> </w:t>
      </w:r>
      <w:r>
        <w:t>to not apply the fair value initial measurement requirements for right-of-use assets arising under leases with</w:t>
      </w:r>
      <w:r w:rsidRPr="005C3266">
        <w:t xml:space="preserve"> significantly below-market terms and conditions principally to enable the entity to further its objectives.</w:t>
      </w:r>
      <w:r>
        <w:t xml:space="preserve"> The Standard requires an entity that elects to apply the option (i.e. measures </w:t>
      </w:r>
      <w:r w:rsidR="0082396A">
        <w:t xml:space="preserve">a class or classes of </w:t>
      </w:r>
      <w:r>
        <w:t>such right-of-use assets at cost rather than fair value) to include additional disclosures in the financial statements to ensure users understand the effects on the financial position, financial performance and cash flows of the entity arising from these leases</w:t>
      </w:r>
      <w:r w:rsidR="00E4571D">
        <w:t>.</w:t>
      </w:r>
    </w:p>
    <w:p w:rsidR="00F22AF2" w:rsidRDefault="00F22AF2" w:rsidP="00F22AF2">
      <w:pPr>
        <w:pStyle w:val="Heading2Indent1"/>
      </w:pPr>
      <w:r>
        <w:t>Application date</w:t>
      </w:r>
    </w:p>
    <w:p w:rsidR="00F22AF2" w:rsidRPr="00F22AF2" w:rsidRDefault="00B16904" w:rsidP="00F22AF2">
      <w:pPr>
        <w:pStyle w:val="NoNumPlain1"/>
      </w:pPr>
      <w:r>
        <w:t xml:space="preserve">This Standard applies to annual periods </w:t>
      </w:r>
      <w:bookmarkStart w:id="9" w:name="ApplyText"/>
      <w:r>
        <w:t>beginning</w:t>
      </w:r>
      <w:bookmarkEnd w:id="9"/>
      <w:r>
        <w:t xml:space="preserve"> on or after</w:t>
      </w:r>
      <w:r w:rsidR="00867FB0">
        <w:t xml:space="preserve"> </w:t>
      </w:r>
      <w:bookmarkStart w:id="10" w:name="ApplyDate"/>
      <w:r w:rsidR="004A3747">
        <w:t>1 January 2019</w:t>
      </w:r>
      <w:bookmarkEnd w:id="10"/>
      <w:r w:rsidR="00804D25">
        <w:t xml:space="preserve">, </w:t>
      </w:r>
      <w:r w:rsidR="008028D0" w:rsidRPr="00766E15">
        <w:t>with earl</w:t>
      </w:r>
      <w:r w:rsidR="008028D0">
        <w:t>ier</w:t>
      </w:r>
      <w:r w:rsidR="008028D0" w:rsidRPr="00766E15">
        <w:t xml:space="preserve"> </w:t>
      </w:r>
      <w:r w:rsidR="008028D0">
        <w:t>application</w:t>
      </w:r>
      <w:r w:rsidR="008028D0" w:rsidRPr="00766E15">
        <w:t xml:space="preserve"> permitted</w:t>
      </w:r>
      <w:r w:rsidR="008028D0">
        <w:t>, provided that AASB 1058 is also applied at the same time</w:t>
      </w:r>
      <w:r w:rsidR="00870A13">
        <w:t>.</w:t>
      </w:r>
    </w:p>
    <w:p w:rsidR="00C40E43" w:rsidRDefault="00C40E43" w:rsidP="00C40E43"/>
    <w:p w:rsidR="00090A6F" w:rsidRPr="00C40E43" w:rsidRDefault="00090A6F" w:rsidP="00C40E43">
      <w:pPr>
        <w:sectPr w:rsidR="00090A6F" w:rsidRPr="00C40E43" w:rsidSect="00D74C6A">
          <w:footerReference w:type="default" r:id="rId11"/>
          <w:pgSz w:w="11907" w:h="16840" w:code="9"/>
          <w:pgMar w:top="1418" w:right="1418" w:bottom="1418" w:left="1418" w:header="709" w:footer="709" w:gutter="0"/>
          <w:paperSrc w:first="7" w:other="7"/>
          <w:cols w:space="720"/>
        </w:sectPr>
      </w:pPr>
    </w:p>
    <w:p w:rsidR="001662B8" w:rsidRPr="0000292B" w:rsidRDefault="00F13C5A" w:rsidP="001662B8">
      <w:pPr>
        <w:pStyle w:val="Heading1"/>
      </w:pPr>
      <w:r w:rsidRPr="0000292B">
        <w:lastRenderedPageBreak/>
        <w:t xml:space="preserve">Accounting Standard </w:t>
      </w:r>
      <w:r w:rsidR="001662B8" w:rsidRPr="0000292B">
        <w:t xml:space="preserve">AASB </w:t>
      </w:r>
      <w:r w:rsidR="008028D0">
        <w:rPr>
          <w:iCs/>
        </w:rPr>
        <w:fldChar w:fldCharType="begin"/>
      </w:r>
      <w:r w:rsidR="008028D0">
        <w:rPr>
          <w:iCs/>
        </w:rPr>
        <w:instrText xml:space="preserve"> REF \* charformat DocNo </w:instrText>
      </w:r>
      <w:r w:rsidR="008028D0">
        <w:rPr>
          <w:iCs/>
        </w:rPr>
        <w:fldChar w:fldCharType="separate"/>
      </w:r>
      <w:r w:rsidR="00B3637E" w:rsidRPr="00B3637E">
        <w:rPr>
          <w:iCs/>
        </w:rPr>
        <w:t>2018-8</w:t>
      </w:r>
      <w:r w:rsidR="008028D0">
        <w:rPr>
          <w:iCs/>
        </w:rPr>
        <w:fldChar w:fldCharType="end"/>
      </w:r>
    </w:p>
    <w:p w:rsidR="001662B8" w:rsidRDefault="001662B8" w:rsidP="003E1900">
      <w:pPr>
        <w:pStyle w:val="NoNumPlain1"/>
      </w:pPr>
      <w:r>
        <w:t>The Australian Accounting Standards Board makes Accounting Standard AASB </w:t>
      </w:r>
      <w:r w:rsidR="00B3637E">
        <w:fldChar w:fldCharType="begin"/>
      </w:r>
      <w:r w:rsidR="00B3637E">
        <w:instrText xml:space="preserve"> REF \* charformat DocNo </w:instrText>
      </w:r>
      <w:r w:rsidR="00B3637E">
        <w:fldChar w:fldCharType="separate"/>
      </w:r>
      <w:r w:rsidR="00B3637E">
        <w:t>2018-8</w:t>
      </w:r>
      <w:r w:rsidR="00B3637E">
        <w:fldChar w:fldCharType="end"/>
      </w:r>
      <w:r>
        <w:t xml:space="preserve"> </w:t>
      </w:r>
      <w:bookmarkStart w:id="11" w:name="CorpsAct"/>
      <w:r w:rsidR="008028D0">
        <w:rPr>
          <w:i/>
        </w:rPr>
        <w:fldChar w:fldCharType="begin"/>
      </w:r>
      <w:r w:rsidR="008028D0">
        <w:rPr>
          <w:i/>
        </w:rPr>
        <w:instrText xml:space="preserve"> REF \* charformat DocTitle </w:instrText>
      </w:r>
      <w:r w:rsidR="008028D0">
        <w:rPr>
          <w:i/>
        </w:rPr>
        <w:fldChar w:fldCharType="separate"/>
      </w:r>
      <w:r w:rsidR="00B3637E" w:rsidRPr="00B3637E">
        <w:rPr>
          <w:i/>
        </w:rPr>
        <w:t>Amendments to Australian Accounting Standards – Right</w:t>
      </w:r>
      <w:r w:rsidR="00B3637E" w:rsidRPr="00B3637E">
        <w:rPr>
          <w:i/>
        </w:rPr>
        <w:noBreakHyphen/>
        <w:t>of</w:t>
      </w:r>
      <w:r w:rsidR="00B3637E" w:rsidRPr="00B3637E">
        <w:rPr>
          <w:i/>
        </w:rPr>
        <w:noBreakHyphen/>
        <w:t>Use Assets of Not</w:t>
      </w:r>
      <w:r w:rsidR="00B3637E" w:rsidRPr="00B3637E">
        <w:rPr>
          <w:i/>
        </w:rPr>
        <w:noBreakHyphen/>
        <w:t>for</w:t>
      </w:r>
      <w:r w:rsidR="00B3637E" w:rsidRPr="00B3637E">
        <w:rPr>
          <w:i/>
        </w:rPr>
        <w:noBreakHyphen/>
        <w:t>Profit Entities</w:t>
      </w:r>
      <w:r w:rsidR="008028D0">
        <w:rPr>
          <w:i/>
        </w:rPr>
        <w:fldChar w:fldCharType="end"/>
      </w:r>
      <w:r w:rsidR="003C3640">
        <w:rPr>
          <w:i/>
        </w:rPr>
        <w:t xml:space="preserve"> </w:t>
      </w:r>
      <w:r>
        <w:t xml:space="preserve">under section 334 of the </w:t>
      </w:r>
      <w:r>
        <w:rPr>
          <w:i/>
          <w:iCs/>
        </w:rPr>
        <w:t>Corporations Act 2001</w:t>
      </w:r>
      <w:bookmarkEnd w:id="11"/>
      <w:r>
        <w:t>.</w:t>
      </w:r>
    </w:p>
    <w:tbl>
      <w:tblPr>
        <w:tblW w:w="9158"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11"/>
        <w:gridCol w:w="4847"/>
      </w:tblGrid>
      <w:tr w:rsidR="00C03C7B" w:rsidTr="00B3637E">
        <w:tc>
          <w:tcPr>
            <w:tcW w:w="4311" w:type="dxa"/>
          </w:tcPr>
          <w:p w:rsidR="00C03C7B" w:rsidRDefault="00C03C7B" w:rsidP="0048155F"/>
        </w:tc>
        <w:tc>
          <w:tcPr>
            <w:tcW w:w="4847" w:type="dxa"/>
          </w:tcPr>
          <w:p w:rsidR="00C03C7B" w:rsidRDefault="008F3EBA" w:rsidP="0048155F">
            <w:pPr>
              <w:jc w:val="right"/>
            </w:pPr>
            <w:r>
              <w:t>Kris Peach</w:t>
            </w:r>
          </w:p>
        </w:tc>
      </w:tr>
      <w:tr w:rsidR="00C03C7B" w:rsidTr="00B3637E">
        <w:tc>
          <w:tcPr>
            <w:tcW w:w="4311" w:type="dxa"/>
          </w:tcPr>
          <w:p w:rsidR="00C03C7B" w:rsidRDefault="00F34813" w:rsidP="006F3ACD">
            <w:pPr>
              <w:ind w:left="-108"/>
            </w:pPr>
            <w:r>
              <w:t xml:space="preserve">Dated </w:t>
            </w:r>
            <w:r w:rsidR="006F3ACD">
              <w:t>24 December 2018</w:t>
            </w:r>
          </w:p>
        </w:tc>
        <w:tc>
          <w:tcPr>
            <w:tcW w:w="4847" w:type="dxa"/>
          </w:tcPr>
          <w:p w:rsidR="00C03C7B" w:rsidRDefault="00C03C7B" w:rsidP="0048155F">
            <w:pPr>
              <w:jc w:val="right"/>
            </w:pPr>
            <w:r>
              <w:t>Chair – AASB</w:t>
            </w:r>
          </w:p>
        </w:tc>
      </w:tr>
    </w:tbl>
    <w:p w:rsidR="00090A6F" w:rsidRPr="0000292B" w:rsidRDefault="00F13C5A" w:rsidP="00867FB0">
      <w:pPr>
        <w:pStyle w:val="Heading1"/>
        <w:spacing w:after="0"/>
      </w:pPr>
      <w:r w:rsidRPr="0000292B">
        <w:t xml:space="preserve">Accounting Standard </w:t>
      </w:r>
      <w:r w:rsidR="00090A6F" w:rsidRPr="0000292B">
        <w:t xml:space="preserve">AASB </w:t>
      </w:r>
      <w:r w:rsidR="008028D0">
        <w:rPr>
          <w:iCs/>
        </w:rPr>
        <w:fldChar w:fldCharType="begin"/>
      </w:r>
      <w:r w:rsidR="008028D0">
        <w:rPr>
          <w:iCs/>
        </w:rPr>
        <w:instrText xml:space="preserve"> REF \* charformat DocNo </w:instrText>
      </w:r>
      <w:r w:rsidR="008028D0">
        <w:rPr>
          <w:iCs/>
        </w:rPr>
        <w:fldChar w:fldCharType="separate"/>
      </w:r>
      <w:r w:rsidR="00B3637E" w:rsidRPr="00B3637E">
        <w:rPr>
          <w:iCs/>
        </w:rPr>
        <w:t>2018-8</w:t>
      </w:r>
      <w:r w:rsidR="008028D0">
        <w:rPr>
          <w:iCs/>
        </w:rPr>
        <w:fldChar w:fldCharType="end"/>
      </w:r>
    </w:p>
    <w:p w:rsidR="00090A6F" w:rsidRDefault="00B3637E" w:rsidP="003E1900">
      <w:pPr>
        <w:pStyle w:val="Heading1Italic"/>
        <w:spacing w:before="0"/>
      </w:pPr>
      <w:r>
        <w:fldChar w:fldCharType="begin"/>
      </w:r>
      <w:r>
        <w:instrText xml:space="preserve"> REF \* charformat DocTitle </w:instrText>
      </w:r>
      <w:r>
        <w:fldChar w:fldCharType="separate"/>
      </w:r>
      <w:r>
        <w:t>Amendments to Australian Accounting Standards – Right</w:t>
      </w:r>
      <w:r>
        <w:noBreakHyphen/>
        <w:t>of</w:t>
      </w:r>
      <w:r>
        <w:noBreakHyphen/>
        <w:t>Use Assets of Not</w:t>
      </w:r>
      <w:r>
        <w:noBreakHyphen/>
        <w:t>for</w:t>
      </w:r>
      <w:r>
        <w:noBreakHyphen/>
        <w:t>Profit Entities</w:t>
      </w:r>
      <w:r>
        <w:fldChar w:fldCharType="end"/>
      </w:r>
    </w:p>
    <w:p w:rsidR="00090A6F" w:rsidRPr="0000292B" w:rsidRDefault="00090A6F" w:rsidP="00FC30DA">
      <w:pPr>
        <w:pStyle w:val="Heading2"/>
      </w:pPr>
      <w:bookmarkStart w:id="12" w:name="TOCStart"/>
      <w:bookmarkEnd w:id="12"/>
      <w:r w:rsidRPr="0000292B">
        <w:t>Objective</w:t>
      </w:r>
    </w:p>
    <w:p w:rsidR="008028D0" w:rsidRPr="00766E15" w:rsidRDefault="00867FB0" w:rsidP="008028D0">
      <w:pPr>
        <w:pStyle w:val="NumPlain1"/>
        <w:numPr>
          <w:ilvl w:val="0"/>
          <w:numId w:val="0"/>
        </w:numPr>
        <w:tabs>
          <w:tab w:val="num" w:pos="851"/>
        </w:tabs>
        <w:spacing w:before="0"/>
      </w:pPr>
      <w:r>
        <w:t>This</w:t>
      </w:r>
      <w:r w:rsidR="001662B8">
        <w:t xml:space="preserve"> Standard </w:t>
      </w:r>
      <w:r w:rsidR="008028D0">
        <w:t>amends</w:t>
      </w:r>
      <w:r w:rsidR="008028D0" w:rsidRPr="00766E15">
        <w:t>:</w:t>
      </w:r>
    </w:p>
    <w:p w:rsidR="008028D0" w:rsidRDefault="008028D0" w:rsidP="008028D0">
      <w:pPr>
        <w:pStyle w:val="NumPlain1"/>
        <w:numPr>
          <w:ilvl w:val="0"/>
          <w:numId w:val="16"/>
        </w:numPr>
        <w:tabs>
          <w:tab w:val="clear" w:pos="1292"/>
          <w:tab w:val="num" w:pos="510"/>
        </w:tabs>
        <w:ind w:left="782"/>
      </w:pPr>
      <w:r>
        <w:t xml:space="preserve">AASB 1 </w:t>
      </w:r>
      <w:r w:rsidRPr="002B3FA7">
        <w:rPr>
          <w:i/>
        </w:rPr>
        <w:t>First-time Adoption of Australian Accounting Standards</w:t>
      </w:r>
      <w:r w:rsidRPr="002B3FA7">
        <w:t xml:space="preserve"> </w:t>
      </w:r>
      <w:r>
        <w:t xml:space="preserve">(July 2015); </w:t>
      </w:r>
    </w:p>
    <w:p w:rsidR="008028D0" w:rsidRDefault="008028D0" w:rsidP="008028D0">
      <w:pPr>
        <w:pStyle w:val="NumPlain1"/>
        <w:numPr>
          <w:ilvl w:val="0"/>
          <w:numId w:val="16"/>
        </w:numPr>
        <w:tabs>
          <w:tab w:val="clear" w:pos="1292"/>
          <w:tab w:val="num" w:pos="510"/>
        </w:tabs>
        <w:ind w:left="782"/>
      </w:pPr>
      <w:r>
        <w:t xml:space="preserve">AASB 16 </w:t>
      </w:r>
      <w:r w:rsidRPr="002B3FA7">
        <w:rPr>
          <w:i/>
        </w:rPr>
        <w:t>Leases</w:t>
      </w:r>
      <w:r>
        <w:t xml:space="preserve"> (February 2016); </w:t>
      </w:r>
    </w:p>
    <w:p w:rsidR="006B4C3A" w:rsidRDefault="008028D0" w:rsidP="008028D0">
      <w:pPr>
        <w:pStyle w:val="NumPlain1"/>
        <w:numPr>
          <w:ilvl w:val="0"/>
          <w:numId w:val="16"/>
        </w:numPr>
        <w:tabs>
          <w:tab w:val="clear" w:pos="1292"/>
          <w:tab w:val="num" w:pos="510"/>
        </w:tabs>
        <w:ind w:left="782"/>
      </w:pPr>
      <w:r>
        <w:t xml:space="preserve">AASB 117 </w:t>
      </w:r>
      <w:r w:rsidRPr="002B3FA7">
        <w:rPr>
          <w:i/>
        </w:rPr>
        <w:t>Leases</w:t>
      </w:r>
      <w:r w:rsidRPr="002B3FA7">
        <w:t xml:space="preserve"> </w:t>
      </w:r>
      <w:r>
        <w:t xml:space="preserve">(August 2015); </w:t>
      </w:r>
    </w:p>
    <w:p w:rsidR="008028D0" w:rsidRDefault="006B4C3A" w:rsidP="008028D0">
      <w:pPr>
        <w:pStyle w:val="NumPlain1"/>
        <w:numPr>
          <w:ilvl w:val="0"/>
          <w:numId w:val="16"/>
        </w:numPr>
        <w:tabs>
          <w:tab w:val="clear" w:pos="1292"/>
          <w:tab w:val="num" w:pos="510"/>
        </w:tabs>
        <w:ind w:left="782"/>
      </w:pPr>
      <w:r>
        <w:t xml:space="preserve">AASB 1049 </w:t>
      </w:r>
      <w:r w:rsidRPr="006B4C3A">
        <w:rPr>
          <w:i/>
        </w:rPr>
        <w:t xml:space="preserve">Whole of Government and General Government Sector Financial </w:t>
      </w:r>
      <w:r w:rsidRPr="0082396A">
        <w:rPr>
          <w:i/>
        </w:rPr>
        <w:t>Reporting</w:t>
      </w:r>
      <w:r w:rsidRPr="0082396A">
        <w:t xml:space="preserve"> </w:t>
      </w:r>
      <w:r w:rsidRPr="004D4FDA">
        <w:t>(</w:t>
      </w:r>
      <w:r w:rsidR="0082396A">
        <w:t>October 2007</w:t>
      </w:r>
      <w:r w:rsidRPr="004D4FDA">
        <w:t>);</w:t>
      </w:r>
      <w:r>
        <w:t xml:space="preserve"> </w:t>
      </w:r>
      <w:r w:rsidR="008028D0">
        <w:t xml:space="preserve">and </w:t>
      </w:r>
    </w:p>
    <w:p w:rsidR="008028D0" w:rsidRDefault="008028D0" w:rsidP="008028D0">
      <w:pPr>
        <w:pStyle w:val="NumPlain1"/>
        <w:numPr>
          <w:ilvl w:val="0"/>
          <w:numId w:val="16"/>
        </w:numPr>
        <w:tabs>
          <w:tab w:val="clear" w:pos="1292"/>
          <w:tab w:val="num" w:pos="510"/>
        </w:tabs>
        <w:ind w:left="782"/>
      </w:pPr>
      <w:r>
        <w:t xml:space="preserve">AASB 1058 </w:t>
      </w:r>
      <w:r w:rsidRPr="002B3FA7">
        <w:rPr>
          <w:i/>
        </w:rPr>
        <w:t>Income of Not-for-Profit Entities</w:t>
      </w:r>
      <w:r>
        <w:t xml:space="preserve"> (December 2016); </w:t>
      </w:r>
    </w:p>
    <w:p w:rsidR="001662B8" w:rsidRPr="0000292B" w:rsidRDefault="008028D0" w:rsidP="008028D0">
      <w:pPr>
        <w:pStyle w:val="NumPlain1"/>
        <w:numPr>
          <w:ilvl w:val="0"/>
          <w:numId w:val="0"/>
        </w:numPr>
      </w:pPr>
      <w:r>
        <w:t>to provide an option for not-for-profit entities</w:t>
      </w:r>
      <w:r w:rsidRPr="009C0B94">
        <w:t xml:space="preserve"> </w:t>
      </w:r>
      <w:r>
        <w:t xml:space="preserve">to not apply the fair value initial measurement requirements </w:t>
      </w:r>
      <w:r w:rsidR="0082396A">
        <w:t xml:space="preserve">to a class or classes of </w:t>
      </w:r>
      <w:r>
        <w:t>right</w:t>
      </w:r>
      <w:r>
        <w:noBreakHyphen/>
        <w:t>of</w:t>
      </w:r>
      <w:r>
        <w:noBreakHyphen/>
        <w:t>use assets arising under leases with</w:t>
      </w:r>
      <w:r w:rsidRPr="005C3266">
        <w:t xml:space="preserve"> significantly below-market terms and conditions principally to enable the entity to further its objectives</w:t>
      </w:r>
      <w:r>
        <w:t>. This Standard also adds additional disclosure requirements to AASB 16 for not</w:t>
      </w:r>
      <w:r>
        <w:noBreakHyphen/>
        <w:t>for</w:t>
      </w:r>
      <w:r>
        <w:noBreakHyphen/>
        <w:t>profit entities that elect to apply the option</w:t>
      </w:r>
      <w:r w:rsidR="00534BAD">
        <w:t>.</w:t>
      </w:r>
      <w:bookmarkStart w:id="13" w:name="StndObj"/>
      <w:bookmarkStart w:id="14" w:name="ArisingDate"/>
      <w:bookmarkEnd w:id="13"/>
      <w:bookmarkEnd w:id="14"/>
    </w:p>
    <w:p w:rsidR="00090A6F" w:rsidRPr="0000292B" w:rsidRDefault="00090A6F">
      <w:pPr>
        <w:pStyle w:val="Heading2"/>
      </w:pPr>
      <w:r w:rsidRPr="0000292B">
        <w:t>Application</w:t>
      </w:r>
    </w:p>
    <w:p w:rsidR="005A6AC7" w:rsidRPr="00920B8B" w:rsidRDefault="005A6AC7" w:rsidP="008028D0">
      <w:pPr>
        <w:pStyle w:val="NumBold1"/>
        <w:numPr>
          <w:ilvl w:val="0"/>
          <w:numId w:val="0"/>
        </w:numPr>
        <w:rPr>
          <w:b w:val="0"/>
        </w:rPr>
      </w:pPr>
      <w:r w:rsidRPr="00920B8B">
        <w:rPr>
          <w:b w:val="0"/>
        </w:rPr>
        <w:t xml:space="preserve">The </w:t>
      </w:r>
      <w:r w:rsidR="004C4B60" w:rsidRPr="004C4B60">
        <w:rPr>
          <w:b w:val="0"/>
        </w:rPr>
        <w:t xml:space="preserve">amendments set out in this Standard apply to entities and financial statements in accordance with the application of the other Standards set out in AASB 1057 </w:t>
      </w:r>
      <w:r w:rsidR="004C4B60" w:rsidRPr="004C4B60">
        <w:rPr>
          <w:b w:val="0"/>
          <w:i/>
        </w:rPr>
        <w:t>Application of Australian Accounting Standards</w:t>
      </w:r>
      <w:r w:rsidR="004C4B60" w:rsidRPr="004C4B60">
        <w:rPr>
          <w:b w:val="0"/>
        </w:rPr>
        <w:t xml:space="preserve"> (as amended)</w:t>
      </w:r>
      <w:r w:rsidRPr="004C4B60">
        <w:rPr>
          <w:b w:val="0"/>
        </w:rPr>
        <w:t>.</w:t>
      </w:r>
    </w:p>
    <w:p w:rsidR="004C4B60" w:rsidRDefault="00090A6F" w:rsidP="004C4B60">
      <w:pPr>
        <w:pStyle w:val="NumPlain1"/>
        <w:numPr>
          <w:ilvl w:val="0"/>
          <w:numId w:val="0"/>
        </w:numPr>
      </w:pPr>
      <w:r w:rsidRPr="004C4B60">
        <w:t xml:space="preserve">This Standard applies to annual periods </w:t>
      </w:r>
      <w:r w:rsidR="005A6AC7" w:rsidRPr="004C4B60">
        <w:fldChar w:fldCharType="begin" w:fldLock="1"/>
      </w:r>
      <w:r w:rsidR="005A6AC7" w:rsidRPr="004C4B60">
        <w:instrText xml:space="preserve"> REF ApplyText \* charformat</w:instrText>
      </w:r>
      <w:r w:rsidR="00920B8B" w:rsidRPr="004C4B60">
        <w:instrText xml:space="preserve"> \* MERGEFORMAT </w:instrText>
      </w:r>
      <w:r w:rsidR="005A6AC7" w:rsidRPr="004C4B60">
        <w:fldChar w:fldCharType="separate"/>
      </w:r>
      <w:r w:rsidR="008A38C1" w:rsidRPr="004C4B60">
        <w:t>beginning</w:t>
      </w:r>
      <w:r w:rsidR="005A6AC7" w:rsidRPr="004C4B60">
        <w:fldChar w:fldCharType="end"/>
      </w:r>
      <w:r w:rsidRPr="004C4B60">
        <w:t xml:space="preserve"> on or after </w:t>
      </w:r>
      <w:r w:rsidR="005A6AC7" w:rsidRPr="004C4B60">
        <w:fldChar w:fldCharType="begin" w:fldLock="1"/>
      </w:r>
      <w:r w:rsidR="005A6AC7" w:rsidRPr="004C4B60">
        <w:instrText xml:space="preserve"> REF ApplyDate \* charformat</w:instrText>
      </w:r>
      <w:r w:rsidR="00920B8B" w:rsidRPr="004C4B60">
        <w:instrText xml:space="preserve"> \* MERGEFORMAT </w:instrText>
      </w:r>
      <w:r w:rsidR="005A6AC7" w:rsidRPr="004C4B60">
        <w:fldChar w:fldCharType="separate"/>
      </w:r>
      <w:r w:rsidR="008A38C1" w:rsidRPr="004C4B60">
        <w:t>1 January 2019</w:t>
      </w:r>
      <w:r w:rsidR="005A6AC7" w:rsidRPr="004C4B60">
        <w:fldChar w:fldCharType="end"/>
      </w:r>
      <w:r w:rsidR="004C4B60" w:rsidRPr="004C4B60">
        <w:t>,</w:t>
      </w:r>
      <w:r w:rsidR="004C4B60">
        <w:rPr>
          <w:b/>
        </w:rPr>
        <w:t xml:space="preserve"> </w:t>
      </w:r>
      <w:r w:rsidR="004C4B60">
        <w:t>except that the amendment to AASB 117 applies to periods beginning before 1 January 2019 if AASB 1058 is applied to such a period</w:t>
      </w:r>
      <w:r w:rsidR="004C4B60" w:rsidRPr="00920B8B">
        <w:t>.</w:t>
      </w:r>
      <w:r w:rsidR="004C4B60">
        <w:t xml:space="preserve"> Earlier application of this Standard is permitted, provided AASB 1058 is also applied to the period.</w:t>
      </w:r>
    </w:p>
    <w:p w:rsidR="00090A6F" w:rsidRPr="000924BF" w:rsidRDefault="000924BF" w:rsidP="008028D0">
      <w:pPr>
        <w:pStyle w:val="NumBold1"/>
        <w:numPr>
          <w:ilvl w:val="0"/>
          <w:numId w:val="0"/>
        </w:numPr>
        <w:rPr>
          <w:b w:val="0"/>
        </w:rPr>
      </w:pPr>
      <w:r w:rsidRPr="000924BF">
        <w:rPr>
          <w:b w:val="0"/>
        </w:rPr>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p w:rsidR="001334C1" w:rsidRDefault="001334C1" w:rsidP="001334C1">
      <w:pPr>
        <w:pStyle w:val="Heading2"/>
      </w:pPr>
      <w:r>
        <w:t xml:space="preserve">Amendments to AASB 1 </w:t>
      </w:r>
      <w:r w:rsidRPr="00A659B9">
        <w:rPr>
          <w:i/>
        </w:rPr>
        <w:t>First-time Adoption of Australian Accounting Standards</w:t>
      </w:r>
      <w:r>
        <w:t xml:space="preserve"> (July 2015)</w:t>
      </w:r>
    </w:p>
    <w:p w:rsidR="001334C1" w:rsidRPr="00A67B31" w:rsidRDefault="001334C1" w:rsidP="001334C1">
      <w:pPr>
        <w:pStyle w:val="AmendmentInstruction"/>
        <w:ind w:left="510" w:hanging="368"/>
      </w:pPr>
      <w:r w:rsidRPr="00A67B31">
        <w:t>Paragraph</w:t>
      </w:r>
      <w:r>
        <w:t>s</w:t>
      </w:r>
      <w:r w:rsidRPr="00A67B31">
        <w:t> </w:t>
      </w:r>
      <w:r>
        <w:t>AusD7.1, AusD9D.1 and AusD9D.2 are amended.</w:t>
      </w:r>
    </w:p>
    <w:p w:rsidR="001334C1" w:rsidRPr="0096244B" w:rsidRDefault="001334C1" w:rsidP="001334C1">
      <w:pPr>
        <w:pStyle w:val="NoNumPlain1"/>
        <w:ind w:left="992"/>
        <w:rPr>
          <w:rFonts w:ascii="Arial" w:hAnsi="Arial" w:cs="Arial"/>
          <w:b/>
          <w:sz w:val="22"/>
        </w:rPr>
      </w:pPr>
      <w:r w:rsidRPr="0096244B">
        <w:rPr>
          <w:rFonts w:ascii="Arial" w:hAnsi="Arial" w:cs="Arial"/>
          <w:b/>
          <w:sz w:val="24"/>
        </w:rPr>
        <w:t>Deemed</w:t>
      </w:r>
      <w:r w:rsidRPr="0096244B">
        <w:rPr>
          <w:rFonts w:ascii="Arial" w:hAnsi="Arial" w:cs="Arial"/>
          <w:b/>
          <w:sz w:val="22"/>
        </w:rPr>
        <w:t xml:space="preserve"> cost</w:t>
      </w:r>
    </w:p>
    <w:p w:rsidR="001334C1" w:rsidRDefault="001334C1" w:rsidP="001334C1">
      <w:pPr>
        <w:pStyle w:val="NoNumPlain1"/>
        <w:ind w:left="992"/>
      </w:pPr>
      <w:r w:rsidRPr="0096244B">
        <w:t>…</w:t>
      </w:r>
    </w:p>
    <w:p w:rsidR="001334C1" w:rsidRPr="00962DB1" w:rsidRDefault="001334C1" w:rsidP="001334C1">
      <w:pPr>
        <w:pStyle w:val="NoNumPlain1"/>
        <w:ind w:left="992" w:hanging="992"/>
      </w:pPr>
      <w:r w:rsidRPr="00A67B31">
        <w:t>AusD7.1</w:t>
      </w:r>
      <w:r w:rsidRPr="00A67B31">
        <w:tab/>
      </w:r>
      <w:r w:rsidRPr="00962DB1">
        <w:t xml:space="preserve">Notwithstanding paragraphs D5–D7, where a lessee is a not-for-profit entity </w:t>
      </w:r>
      <w:r w:rsidRPr="004D4FDA">
        <w:rPr>
          <w:strike/>
        </w:rPr>
        <w:t>and the lease had at inception significantly below-market terms and conditions principally to enable the entity to further its objectives</w:t>
      </w:r>
      <w:r w:rsidRPr="002232FA">
        <w:t>,</w:t>
      </w:r>
      <w:r w:rsidRPr="00962DB1">
        <w:t xml:space="preserve"> the entity </w:t>
      </w:r>
      <w:r w:rsidRPr="00962DB1">
        <w:rPr>
          <w:strike/>
        </w:rPr>
        <w:t>shall</w:t>
      </w:r>
      <w:r w:rsidRPr="00962DB1">
        <w:t xml:space="preserve"> </w:t>
      </w:r>
      <w:r>
        <w:rPr>
          <w:u w:val="single"/>
        </w:rPr>
        <w:t>may elect</w:t>
      </w:r>
      <w:r w:rsidRPr="00962DB1">
        <w:rPr>
          <w:u w:val="single"/>
        </w:rPr>
        <w:t xml:space="preserve"> to</w:t>
      </w:r>
      <w:r w:rsidRPr="001F0900">
        <w:t xml:space="preserve"> measure</w:t>
      </w:r>
      <w:r w:rsidRPr="00962DB1">
        <w:t xml:space="preserve"> </w:t>
      </w:r>
      <w:r w:rsidR="0082396A" w:rsidRPr="004D4FDA">
        <w:rPr>
          <w:u w:val="single"/>
        </w:rPr>
        <w:t>a class of</w:t>
      </w:r>
      <w:r w:rsidR="0082396A">
        <w:t xml:space="preserve"> </w:t>
      </w:r>
      <w:r w:rsidRPr="004D4FDA">
        <w:rPr>
          <w:strike/>
        </w:rPr>
        <w:t>the</w:t>
      </w:r>
      <w:r w:rsidRPr="00962DB1">
        <w:t xml:space="preserve"> right-of-use </w:t>
      </w:r>
      <w:r w:rsidRPr="004D4FDA">
        <w:rPr>
          <w:strike/>
        </w:rPr>
        <w:t>asset</w:t>
      </w:r>
      <w:r w:rsidRPr="00962DB1">
        <w:t xml:space="preserve"> </w:t>
      </w:r>
      <w:r w:rsidR="00470E39" w:rsidRPr="004D4FDA">
        <w:rPr>
          <w:u w:val="single"/>
        </w:rPr>
        <w:t xml:space="preserve">assets </w:t>
      </w:r>
      <w:r w:rsidR="0082396A">
        <w:rPr>
          <w:u w:val="single"/>
        </w:rPr>
        <w:t>arising under leases</w:t>
      </w:r>
      <w:r w:rsidRPr="004D4FDA">
        <w:rPr>
          <w:u w:val="single"/>
        </w:rPr>
        <w:t xml:space="preserve"> </w:t>
      </w:r>
      <w:r w:rsidR="00470E39" w:rsidRPr="004D4FDA">
        <w:rPr>
          <w:u w:val="single"/>
        </w:rPr>
        <w:t>that had at inception significantly below-market terms and conditions principally to enable the entity to further its objectives</w:t>
      </w:r>
      <w:r w:rsidR="00470E39" w:rsidRPr="00962DB1">
        <w:t xml:space="preserve"> </w:t>
      </w:r>
      <w:r w:rsidRPr="00962DB1">
        <w:t>at fair value at the beginning of the current period presented in the entity’s first Australian-</w:t>
      </w:r>
      <w:r w:rsidRPr="00962DB1">
        <w:lastRenderedPageBreak/>
        <w:t>Accounting-Standards financial statements or at the previous GAAP valuation if that valuation broadly reflects that fair value.</w:t>
      </w:r>
    </w:p>
    <w:p w:rsidR="001334C1" w:rsidRDefault="001334C1" w:rsidP="001334C1">
      <w:pPr>
        <w:pStyle w:val="NoNumPlain1"/>
        <w:ind w:left="992"/>
      </w:pPr>
      <w:r w:rsidRPr="0096244B">
        <w:t>…</w:t>
      </w:r>
    </w:p>
    <w:p w:rsidR="001334C1" w:rsidRDefault="001334C1" w:rsidP="001334C1">
      <w:pPr>
        <w:pStyle w:val="NoNumPlain1"/>
        <w:ind w:left="992"/>
        <w:rPr>
          <w:rFonts w:ascii="Arial" w:hAnsi="Arial" w:cs="Arial"/>
          <w:b/>
          <w:sz w:val="24"/>
        </w:rPr>
      </w:pPr>
      <w:r w:rsidRPr="0096244B">
        <w:rPr>
          <w:rFonts w:ascii="Arial" w:hAnsi="Arial" w:cs="Arial"/>
          <w:b/>
          <w:sz w:val="24"/>
        </w:rPr>
        <w:t>Leases</w:t>
      </w:r>
    </w:p>
    <w:p w:rsidR="001334C1" w:rsidRDefault="001334C1" w:rsidP="001334C1">
      <w:pPr>
        <w:pStyle w:val="NoNumPlain1"/>
        <w:ind w:left="992"/>
      </w:pPr>
      <w:r w:rsidRPr="0096244B">
        <w:t>…</w:t>
      </w:r>
    </w:p>
    <w:p w:rsidR="001334C1" w:rsidRPr="00962DB1" w:rsidRDefault="001334C1" w:rsidP="001334C1">
      <w:pPr>
        <w:pStyle w:val="NoNumPlain1"/>
        <w:ind w:left="992" w:hanging="992"/>
      </w:pPr>
      <w:r w:rsidRPr="00A67B31">
        <w:t>AusD9D.1</w:t>
      </w:r>
      <w:r w:rsidRPr="00A67B31">
        <w:tab/>
        <w:t>Notwithstanding paragraphs D9B–D9D, where a lessee is a not-for-profit entity and the lease had at inception significantly below-market terms and conditions principally to enable the entity to further its objectives, all references in those paragraphs to the date of transition to Australian Accounting Standards shall be read as referring to the beginning of the current period presented in the entity’s first Australian-Accounting-Standards financial statements.  Consequently, the entity shall measure the lease liability and</w:t>
      </w:r>
      <w:r w:rsidRPr="0096244B">
        <w:rPr>
          <w:u w:val="single"/>
        </w:rPr>
        <w:t xml:space="preserve"> </w:t>
      </w:r>
      <w:r w:rsidRPr="00A67B31">
        <w:t xml:space="preserve">the right-of-use asset at that date.  </w:t>
      </w:r>
      <w:r w:rsidRPr="001E2578">
        <w:rPr>
          <w:strike/>
        </w:rPr>
        <w:t>The right-of-use asset shall be measured in accordance with paragraph AusD7.1.</w:t>
      </w:r>
    </w:p>
    <w:p w:rsidR="001334C1" w:rsidRPr="00F95734" w:rsidRDefault="001334C1" w:rsidP="001334C1">
      <w:pPr>
        <w:pStyle w:val="NoNumPlain1"/>
        <w:ind w:left="992" w:hanging="992"/>
      </w:pPr>
      <w:r w:rsidRPr="00A67B31">
        <w:t>AusD9D.2</w:t>
      </w:r>
      <w:r w:rsidRPr="00A67B31">
        <w:tab/>
      </w:r>
      <w:r w:rsidRPr="00F95734">
        <w:t xml:space="preserve">Where a lessee is a not-for-profit entity </w:t>
      </w:r>
      <w:r w:rsidRPr="00CB0185">
        <w:t xml:space="preserve">and </w:t>
      </w:r>
      <w:r w:rsidRPr="007A426A">
        <w:rPr>
          <w:strike/>
        </w:rPr>
        <w:t>the lease</w:t>
      </w:r>
      <w:r w:rsidRPr="00F95734">
        <w:t xml:space="preserve"> </w:t>
      </w:r>
      <w:r>
        <w:rPr>
          <w:u w:val="single"/>
        </w:rPr>
        <w:t>elect</w:t>
      </w:r>
      <w:r w:rsidRPr="0068702E">
        <w:rPr>
          <w:u w:val="single"/>
        </w:rPr>
        <w:t>s to measure</w:t>
      </w:r>
      <w:r w:rsidRPr="001F0900">
        <w:rPr>
          <w:u w:val="single"/>
        </w:rPr>
        <w:t xml:space="preserve"> </w:t>
      </w:r>
      <w:r w:rsidR="0082396A" w:rsidRPr="001F0900">
        <w:rPr>
          <w:u w:val="single"/>
        </w:rPr>
        <w:t xml:space="preserve">at fair value </w:t>
      </w:r>
      <w:r w:rsidR="0082396A" w:rsidRPr="00706F73">
        <w:rPr>
          <w:u w:val="single"/>
        </w:rPr>
        <w:t>in accordance with paragraph AusD7.1</w:t>
      </w:r>
      <w:r w:rsidR="0082396A">
        <w:rPr>
          <w:u w:val="single"/>
        </w:rPr>
        <w:t xml:space="preserve"> a class of</w:t>
      </w:r>
      <w:r w:rsidRPr="001F0900">
        <w:rPr>
          <w:u w:val="single"/>
        </w:rPr>
        <w:t xml:space="preserve"> right-of-use assets arising under</w:t>
      </w:r>
      <w:r w:rsidRPr="000E687B">
        <w:rPr>
          <w:u w:val="single"/>
        </w:rPr>
        <w:t xml:space="preserve"> </w:t>
      </w:r>
      <w:r w:rsidR="00453ED9">
        <w:rPr>
          <w:u w:val="single"/>
        </w:rPr>
        <w:t>lease</w:t>
      </w:r>
      <w:r w:rsidR="00C85965">
        <w:rPr>
          <w:u w:val="single"/>
        </w:rPr>
        <w:t>s</w:t>
      </w:r>
      <w:r w:rsidRPr="007A426A">
        <w:rPr>
          <w:u w:val="single"/>
        </w:rPr>
        <w:t xml:space="preserve"> </w:t>
      </w:r>
      <w:r w:rsidRPr="00706F73">
        <w:rPr>
          <w:u w:val="single"/>
        </w:rPr>
        <w:t>that</w:t>
      </w:r>
      <w:r>
        <w:t xml:space="preserve"> </w:t>
      </w:r>
      <w:r w:rsidRPr="00F95734">
        <w:t xml:space="preserve">had at inception significantly below-market terms and conditions principally to enable the entity to further its objectives, the entity shall also recognise any related items in accordance with paragraph 9 of AASB 1058 </w:t>
      </w:r>
      <w:r w:rsidRPr="00F95734">
        <w:rPr>
          <w:i/>
        </w:rPr>
        <w:t>Income of Not-for-Profit Entities</w:t>
      </w:r>
      <w:r w:rsidRPr="00F95734">
        <w:t>.  Any income arising shall be recognised as an adjustment to the opening balance of retained earnings (or another component of equity, as appropriate) at the beginning of the current period presented in the entity’s first Australian-Accounting-Standards financial statements.</w:t>
      </w:r>
    </w:p>
    <w:p w:rsidR="001334C1" w:rsidRDefault="001334C1" w:rsidP="001334C1">
      <w:pPr>
        <w:pStyle w:val="Heading2"/>
      </w:pPr>
      <w:r>
        <w:t xml:space="preserve">Amendments to AASB 16 </w:t>
      </w:r>
      <w:r w:rsidRPr="00A659B9">
        <w:rPr>
          <w:i/>
        </w:rPr>
        <w:t>Leases</w:t>
      </w:r>
      <w:r>
        <w:t xml:space="preserve"> (February 2016)</w:t>
      </w:r>
    </w:p>
    <w:p w:rsidR="001334C1" w:rsidRPr="00A67B31" w:rsidRDefault="001334C1" w:rsidP="001334C1">
      <w:pPr>
        <w:pStyle w:val="AmendmentInstruction"/>
        <w:ind w:left="142"/>
      </w:pPr>
      <w:r w:rsidRPr="00A67B31">
        <w:t>Paragraph</w:t>
      </w:r>
      <w:r>
        <w:t>s</w:t>
      </w:r>
      <w:r w:rsidRPr="00A67B31">
        <w:t> </w:t>
      </w:r>
      <w:r>
        <w:t>Aus25.1, AusC5.1, AusC8.1 and AusC11.1 are amended and paragraphs Aus59.1 and Aus59.2 are added. Paragraph AusC5.2 has not been amended but has been included for ease of reference.</w:t>
      </w:r>
    </w:p>
    <w:p w:rsidR="001334C1" w:rsidRDefault="001334C1" w:rsidP="001334C1">
      <w:pPr>
        <w:pStyle w:val="BoldNumHang1"/>
        <w:spacing w:after="100"/>
      </w:pPr>
      <w:r w:rsidRPr="00AC25D9">
        <w:t>Aus25.1</w:t>
      </w:r>
      <w:r w:rsidRPr="00AC25D9">
        <w:tab/>
      </w:r>
      <w:r w:rsidRPr="00D44697">
        <w:t>Notwithstanding paragraphs 23–25, where the lessee is a not-for-profit entity</w:t>
      </w:r>
      <w:r w:rsidRPr="0029754D">
        <w:rPr>
          <w:u w:val="single"/>
        </w:rPr>
        <w:t>,</w:t>
      </w:r>
      <w:r w:rsidRPr="00D44697">
        <w:t xml:space="preserve"> </w:t>
      </w:r>
      <w:r w:rsidRPr="00512708">
        <w:rPr>
          <w:strike/>
        </w:rPr>
        <w:t>and the lease has significantly below-market terms and conditions principally to enable the entity to further its objectives, the right-of-use asset shall initially be measured</w:t>
      </w:r>
      <w:r w:rsidRPr="00512708">
        <w:t xml:space="preserve"> </w:t>
      </w:r>
      <w:r>
        <w:rPr>
          <w:u w:val="single"/>
        </w:rPr>
        <w:t>the lessee may</w:t>
      </w:r>
      <w:r w:rsidRPr="00D44697">
        <w:rPr>
          <w:u w:val="single"/>
        </w:rPr>
        <w:t xml:space="preserve"> </w:t>
      </w:r>
      <w:r>
        <w:rPr>
          <w:u w:val="single"/>
        </w:rPr>
        <w:t>elect</w:t>
      </w:r>
      <w:r w:rsidRPr="00D44697">
        <w:rPr>
          <w:u w:val="single"/>
        </w:rPr>
        <w:t xml:space="preserve"> to measure</w:t>
      </w:r>
      <w:r w:rsidR="0082396A">
        <w:rPr>
          <w:u w:val="single"/>
        </w:rPr>
        <w:t xml:space="preserve"> </w:t>
      </w:r>
      <w:r w:rsidRPr="00512708">
        <w:rPr>
          <w:u w:val="single"/>
        </w:rPr>
        <w:t>right-of-use asset</w:t>
      </w:r>
      <w:r w:rsidRPr="001F0900">
        <w:rPr>
          <w:u w:val="single"/>
        </w:rPr>
        <w:t xml:space="preserve">s </w:t>
      </w:r>
      <w:r w:rsidR="001872D7">
        <w:rPr>
          <w:u w:val="single"/>
        </w:rPr>
        <w:t>on a class</w:t>
      </w:r>
      <w:r w:rsidR="001872D7">
        <w:rPr>
          <w:u w:val="single"/>
        </w:rPr>
        <w:noBreakHyphen/>
        <w:t>by</w:t>
      </w:r>
      <w:r w:rsidR="001872D7">
        <w:rPr>
          <w:u w:val="single"/>
        </w:rPr>
        <w:noBreakHyphen/>
        <w:t xml:space="preserve">class basis </w:t>
      </w:r>
      <w:r>
        <w:rPr>
          <w:u w:val="single"/>
        </w:rPr>
        <w:t>at initial recognition</w:t>
      </w:r>
      <w:r w:rsidRPr="007A426A">
        <w:rPr>
          <w:u w:val="single"/>
        </w:rPr>
        <w:t xml:space="preserve"> </w:t>
      </w:r>
      <w:r w:rsidRPr="00D44697">
        <w:t>at fair value in accordance with</w:t>
      </w:r>
      <w:r w:rsidRPr="00D44697">
        <w:rPr>
          <w:i/>
        </w:rPr>
        <w:t xml:space="preserve"> </w:t>
      </w:r>
      <w:r w:rsidRPr="00D44697">
        <w:t xml:space="preserve">AASB 13 </w:t>
      </w:r>
      <w:r w:rsidRPr="00D44697">
        <w:rPr>
          <w:i/>
        </w:rPr>
        <w:t>Fair Value Measurement</w:t>
      </w:r>
      <w:r>
        <w:t xml:space="preserve"> </w:t>
      </w:r>
      <w:r>
        <w:rPr>
          <w:u w:val="single"/>
        </w:rPr>
        <w:t>for</w:t>
      </w:r>
      <w:r w:rsidR="00F4588F">
        <w:rPr>
          <w:u w:val="single"/>
        </w:rPr>
        <w:t xml:space="preserve"> </w:t>
      </w:r>
      <w:r w:rsidRPr="00512708">
        <w:rPr>
          <w:u w:val="single"/>
        </w:rPr>
        <w:t>leases that ha</w:t>
      </w:r>
      <w:r>
        <w:rPr>
          <w:u w:val="single"/>
        </w:rPr>
        <w:t>ve</w:t>
      </w:r>
      <w:r w:rsidRPr="00512708">
        <w:rPr>
          <w:u w:val="single"/>
        </w:rPr>
        <w:t xml:space="preserve"> significantly below-market terms and conditions principally to enable the entity to further its objectives</w:t>
      </w:r>
      <w:r w:rsidRPr="00D44697">
        <w:t xml:space="preserve">. AASB 1058 </w:t>
      </w:r>
      <w:r w:rsidRPr="00D44697">
        <w:rPr>
          <w:i/>
        </w:rPr>
        <w:t xml:space="preserve">Income of Not-for-Profit Entities </w:t>
      </w:r>
      <w:r w:rsidRPr="00D44697">
        <w:t>addresses the recognition of related amounts.</w:t>
      </w:r>
    </w:p>
    <w:p w:rsidR="001334C1" w:rsidRDefault="001334C1" w:rsidP="001334C1">
      <w:pPr>
        <w:pStyle w:val="NoNumPlain1"/>
        <w:ind w:firstLine="782"/>
      </w:pPr>
      <w:r w:rsidRPr="0096244B">
        <w:t>…</w:t>
      </w:r>
    </w:p>
    <w:p w:rsidR="001334C1" w:rsidRPr="006449AD" w:rsidRDefault="001334C1" w:rsidP="001334C1">
      <w:pPr>
        <w:pStyle w:val="PlainNumHang1"/>
        <w:spacing w:after="100"/>
        <w:jc w:val="both"/>
        <w:rPr>
          <w:u w:val="single"/>
        </w:rPr>
      </w:pPr>
      <w:r w:rsidRPr="00771A24">
        <w:rPr>
          <w:u w:val="single"/>
        </w:rPr>
        <w:t>Aus59</w:t>
      </w:r>
      <w:r>
        <w:rPr>
          <w:u w:val="single"/>
        </w:rPr>
        <w:t>.1</w:t>
      </w:r>
      <w:r>
        <w:tab/>
      </w:r>
      <w:r w:rsidRPr="00EA0528">
        <w:rPr>
          <w:u w:val="single"/>
        </w:rPr>
        <w:t>In addition to the disclosures required in paragraphs 53–5</w:t>
      </w:r>
      <w:r>
        <w:rPr>
          <w:u w:val="single"/>
        </w:rPr>
        <w:t>9</w:t>
      </w:r>
      <w:r w:rsidRPr="00D448CD">
        <w:rPr>
          <w:u w:val="single"/>
        </w:rPr>
        <w:t>, where</w:t>
      </w:r>
      <w:r w:rsidRPr="006449AD">
        <w:rPr>
          <w:u w:val="single"/>
        </w:rPr>
        <w:t xml:space="preserve"> </w:t>
      </w:r>
      <w:r>
        <w:rPr>
          <w:u w:val="single"/>
        </w:rPr>
        <w:t>a</w:t>
      </w:r>
      <w:r w:rsidRPr="006449AD">
        <w:rPr>
          <w:u w:val="single"/>
        </w:rPr>
        <w:t xml:space="preserve"> lessee is a not-for-profit entity and </w:t>
      </w:r>
      <w:r>
        <w:rPr>
          <w:u w:val="single"/>
        </w:rPr>
        <w:t>elect</w:t>
      </w:r>
      <w:r w:rsidRPr="006449AD">
        <w:rPr>
          <w:u w:val="single"/>
        </w:rPr>
        <w:t xml:space="preserve">s to measure </w:t>
      </w:r>
      <w:r w:rsidR="0082396A">
        <w:rPr>
          <w:u w:val="single"/>
        </w:rPr>
        <w:t xml:space="preserve">a class or classes of </w:t>
      </w:r>
      <w:r w:rsidRPr="006449AD">
        <w:rPr>
          <w:u w:val="single"/>
        </w:rPr>
        <w:t>right-of-use asset</w:t>
      </w:r>
      <w:r>
        <w:rPr>
          <w:u w:val="single"/>
        </w:rPr>
        <w:t>s</w:t>
      </w:r>
      <w:r w:rsidRPr="006449AD">
        <w:rPr>
          <w:u w:val="single"/>
        </w:rPr>
        <w:t xml:space="preserve"> </w:t>
      </w:r>
      <w:r>
        <w:rPr>
          <w:u w:val="single"/>
        </w:rPr>
        <w:t xml:space="preserve">at initial recognition at cost </w:t>
      </w:r>
      <w:r w:rsidRPr="006449AD">
        <w:rPr>
          <w:u w:val="single"/>
        </w:rPr>
        <w:t>in accordance with</w:t>
      </w:r>
      <w:r>
        <w:rPr>
          <w:u w:val="single"/>
        </w:rPr>
        <w:t xml:space="preserve"> paragraphs 23–25 for leases </w:t>
      </w:r>
      <w:r w:rsidRPr="006449AD">
        <w:rPr>
          <w:u w:val="single"/>
        </w:rPr>
        <w:t>that have significantly below-market terms and conditions principally to enable the entity to further its o</w:t>
      </w:r>
      <w:bookmarkStart w:id="15" w:name="_GoBack"/>
      <w:bookmarkEnd w:id="15"/>
      <w:r w:rsidRPr="006449AD">
        <w:rPr>
          <w:u w:val="single"/>
        </w:rPr>
        <w:t xml:space="preserve">bjectives, the lessee shall disclose additional qualitative and quantitative information about </w:t>
      </w:r>
      <w:r>
        <w:rPr>
          <w:u w:val="single"/>
        </w:rPr>
        <w:t>those</w:t>
      </w:r>
      <w:r w:rsidRPr="006449AD">
        <w:rPr>
          <w:u w:val="single"/>
        </w:rPr>
        <w:t xml:space="preserve"> leases</w:t>
      </w:r>
      <w:r w:rsidRPr="006449AD" w:rsidDel="00D448CD">
        <w:rPr>
          <w:u w:val="single"/>
        </w:rPr>
        <w:t xml:space="preserve"> </w:t>
      </w:r>
      <w:r>
        <w:rPr>
          <w:u w:val="single"/>
        </w:rPr>
        <w:t xml:space="preserve">necessary </w:t>
      </w:r>
      <w:r w:rsidRPr="006449AD">
        <w:rPr>
          <w:u w:val="single"/>
        </w:rPr>
        <w:t>to meet the disclosure objective in paragraph 51.</w:t>
      </w:r>
      <w:r>
        <w:rPr>
          <w:u w:val="single"/>
        </w:rPr>
        <w:t xml:space="preserve"> </w:t>
      </w:r>
      <w:r w:rsidRPr="006449AD">
        <w:rPr>
          <w:u w:val="single"/>
        </w:rPr>
        <w:t>This additional information shall include, but is not limited to, information that helps users of financial statements to assess:</w:t>
      </w:r>
    </w:p>
    <w:p w:rsidR="001334C1" w:rsidRPr="006449AD" w:rsidRDefault="001334C1" w:rsidP="001334C1">
      <w:pPr>
        <w:pStyle w:val="PlainNumHang1"/>
        <w:spacing w:after="100"/>
        <w:ind w:left="1564"/>
        <w:jc w:val="both"/>
        <w:rPr>
          <w:u w:val="single"/>
        </w:rPr>
      </w:pPr>
      <w:r w:rsidRPr="006449AD">
        <w:rPr>
          <w:u w:val="single"/>
        </w:rPr>
        <w:t>(a)</w:t>
      </w:r>
      <w:r w:rsidRPr="006449AD">
        <w:rPr>
          <w:u w:val="single"/>
        </w:rPr>
        <w:tab/>
        <w:t xml:space="preserve">the </w:t>
      </w:r>
      <w:r>
        <w:rPr>
          <w:u w:val="single"/>
        </w:rPr>
        <w:t xml:space="preserve">entity’s dependence on </w:t>
      </w:r>
      <w:r w:rsidRPr="006449AD">
        <w:rPr>
          <w:u w:val="single"/>
        </w:rPr>
        <w:t>leases that have significantly below-market terms and conditions principally to enable the entity to further its objectives;</w:t>
      </w:r>
      <w:r>
        <w:rPr>
          <w:u w:val="single"/>
        </w:rPr>
        <w:t xml:space="preserve"> and</w:t>
      </w:r>
    </w:p>
    <w:p w:rsidR="001334C1" w:rsidRPr="00D04D58" w:rsidRDefault="001334C1" w:rsidP="001334C1">
      <w:pPr>
        <w:pStyle w:val="PlainNumHang1"/>
        <w:spacing w:after="100"/>
        <w:ind w:left="1564"/>
        <w:jc w:val="both"/>
        <w:rPr>
          <w:u w:val="single"/>
        </w:rPr>
      </w:pPr>
      <w:r>
        <w:rPr>
          <w:u w:val="single"/>
        </w:rPr>
        <w:t>(b)</w:t>
      </w:r>
      <w:r w:rsidRPr="00D04D58">
        <w:rPr>
          <w:u w:val="single"/>
        </w:rPr>
        <w:tab/>
      </w:r>
      <w:r>
        <w:rPr>
          <w:u w:val="single"/>
        </w:rPr>
        <w:t>the nature and terms of the leases, including:</w:t>
      </w:r>
    </w:p>
    <w:p w:rsidR="001334C1" w:rsidRDefault="001334C1" w:rsidP="001334C1">
      <w:pPr>
        <w:pStyle w:val="NumCPlain3"/>
        <w:spacing w:before="0"/>
        <w:rPr>
          <w:u w:val="single"/>
        </w:rPr>
      </w:pPr>
      <w:r>
        <w:rPr>
          <w:u w:val="single"/>
        </w:rPr>
        <w:t>(i)</w:t>
      </w:r>
      <w:r>
        <w:rPr>
          <w:u w:val="single"/>
        </w:rPr>
        <w:tab/>
      </w:r>
      <w:r w:rsidRPr="00D04D58">
        <w:rPr>
          <w:u w:val="single"/>
        </w:rPr>
        <w:t xml:space="preserve">the </w:t>
      </w:r>
      <w:r>
        <w:rPr>
          <w:u w:val="single"/>
        </w:rPr>
        <w:t>lease payments;</w:t>
      </w:r>
    </w:p>
    <w:p w:rsidR="001334C1" w:rsidRDefault="001334C1" w:rsidP="001334C1">
      <w:pPr>
        <w:pStyle w:val="NumCPlain3"/>
        <w:spacing w:before="0"/>
        <w:rPr>
          <w:u w:val="single"/>
        </w:rPr>
      </w:pPr>
      <w:r>
        <w:rPr>
          <w:u w:val="single"/>
        </w:rPr>
        <w:t>(ii)</w:t>
      </w:r>
      <w:r>
        <w:rPr>
          <w:u w:val="single"/>
        </w:rPr>
        <w:tab/>
        <w:t>the lease term</w:t>
      </w:r>
      <w:r w:rsidRPr="00D04D58">
        <w:rPr>
          <w:u w:val="single"/>
        </w:rPr>
        <w:t>;</w:t>
      </w:r>
    </w:p>
    <w:p w:rsidR="001334C1" w:rsidRPr="00D04D58" w:rsidRDefault="001334C1" w:rsidP="001334C1">
      <w:pPr>
        <w:pStyle w:val="NumCPlain3"/>
        <w:spacing w:before="0"/>
        <w:rPr>
          <w:u w:val="single"/>
        </w:rPr>
      </w:pPr>
      <w:r>
        <w:rPr>
          <w:u w:val="single"/>
        </w:rPr>
        <w:t>(iii)</w:t>
      </w:r>
      <w:r>
        <w:rPr>
          <w:u w:val="single"/>
        </w:rPr>
        <w:tab/>
        <w:t>a description of the underlying assets; and</w:t>
      </w:r>
    </w:p>
    <w:p w:rsidR="001334C1" w:rsidRDefault="001334C1" w:rsidP="001334C1">
      <w:pPr>
        <w:pStyle w:val="NumCPlain3"/>
        <w:spacing w:before="0"/>
        <w:rPr>
          <w:u w:val="single"/>
        </w:rPr>
      </w:pPr>
      <w:r>
        <w:rPr>
          <w:u w:val="single"/>
        </w:rPr>
        <w:t>(iv)</w:t>
      </w:r>
      <w:r>
        <w:rPr>
          <w:u w:val="single"/>
        </w:rPr>
        <w:tab/>
        <w:t>restrictions on the use of the underlying assets specific to the entity.</w:t>
      </w:r>
    </w:p>
    <w:p w:rsidR="001334C1" w:rsidRPr="002A2E7E" w:rsidRDefault="001334C1" w:rsidP="001334C1">
      <w:pPr>
        <w:pStyle w:val="NumCPlain3"/>
        <w:spacing w:before="0"/>
        <w:ind w:left="780" w:hanging="780"/>
        <w:rPr>
          <w:u w:val="single"/>
        </w:rPr>
      </w:pPr>
      <w:r>
        <w:rPr>
          <w:u w:val="single"/>
        </w:rPr>
        <w:t>Aus59.2</w:t>
      </w:r>
      <w:r>
        <w:tab/>
      </w:r>
      <w:r w:rsidRPr="002A2E7E">
        <w:rPr>
          <w:u w:val="single"/>
        </w:rPr>
        <w:t>The disclosures provided by a not</w:t>
      </w:r>
      <w:r w:rsidRPr="002A2E7E">
        <w:rPr>
          <w:u w:val="single"/>
        </w:rPr>
        <w:noBreakHyphen/>
        <w:t>for</w:t>
      </w:r>
      <w:r w:rsidRPr="002A2E7E">
        <w:rPr>
          <w:u w:val="single"/>
        </w:rPr>
        <w:noBreakHyphen/>
        <w:t xml:space="preserve">profit entity in accordance with paragraph Aus59.1 </w:t>
      </w:r>
      <w:r>
        <w:rPr>
          <w:u w:val="single"/>
        </w:rPr>
        <w:t xml:space="preserve">shall be </w:t>
      </w:r>
      <w:r w:rsidRPr="002A2E7E">
        <w:rPr>
          <w:u w:val="single"/>
        </w:rPr>
        <w:t>provided individually for each material lease that has significantly below-market terms and conditions principally to enable the entity to further its objectives</w:t>
      </w:r>
      <w:r>
        <w:rPr>
          <w:u w:val="single"/>
        </w:rPr>
        <w:t xml:space="preserve"> or in aggregate for leases involving right-of-use assets of a similar nature.</w:t>
      </w:r>
      <w:r w:rsidRPr="00283DB3">
        <w:rPr>
          <w:u w:val="single"/>
        </w:rPr>
        <w:t xml:space="preserve"> 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r>
        <w:rPr>
          <w:u w:val="single"/>
        </w:rPr>
        <w:t>.</w:t>
      </w:r>
    </w:p>
    <w:p w:rsidR="001334C1" w:rsidRPr="00B722AA" w:rsidRDefault="001334C1" w:rsidP="001334C1">
      <w:pPr>
        <w:pStyle w:val="NumCPlain3"/>
        <w:spacing w:before="0"/>
        <w:ind w:left="0" w:firstLine="782"/>
        <w:rPr>
          <w:strike/>
          <w:u w:val="single"/>
        </w:rPr>
      </w:pPr>
      <w:r w:rsidRPr="0096244B">
        <w:t>…</w:t>
      </w:r>
    </w:p>
    <w:p w:rsidR="001334C1" w:rsidRPr="00273A93" w:rsidRDefault="001334C1" w:rsidP="001334C1">
      <w:pPr>
        <w:pStyle w:val="PlainNumHang1"/>
        <w:keepNext/>
        <w:keepLines/>
        <w:spacing w:after="100"/>
        <w:jc w:val="both"/>
      </w:pPr>
      <w:r w:rsidRPr="00AC25D9">
        <w:lastRenderedPageBreak/>
        <w:t>AusC5.1</w:t>
      </w:r>
      <w:r w:rsidRPr="00AC25D9">
        <w:tab/>
      </w:r>
      <w:r w:rsidRPr="00273A93">
        <w:t>Not-for-profit entities</w:t>
      </w:r>
      <w:r w:rsidRPr="001E7F39">
        <w:t xml:space="preserve"> </w:t>
      </w:r>
      <w:r>
        <w:rPr>
          <w:u w:val="single"/>
        </w:rPr>
        <w:t>electing to measure</w:t>
      </w:r>
      <w:r w:rsidR="004870D0">
        <w:rPr>
          <w:u w:val="single"/>
        </w:rPr>
        <w:t xml:space="preserve"> a class of</w:t>
      </w:r>
      <w:r>
        <w:rPr>
          <w:u w:val="single"/>
        </w:rPr>
        <w:t xml:space="preserve"> right-of-use assets at initial recognition at fair value and</w:t>
      </w:r>
      <w:r w:rsidRPr="00273A93">
        <w:t xml:space="preserve"> applying this Standard retrospectively in accordance with paragraph C5(a) to </w:t>
      </w:r>
      <w:r w:rsidRPr="00A8283D">
        <w:t xml:space="preserve">leases </w:t>
      </w:r>
      <w:r w:rsidRPr="00273A93">
        <w:t>that at inception had significantly below-market terms and conditions principally to enable the entity to further its objectives</w:t>
      </w:r>
      <w:r>
        <w:t xml:space="preserve"> </w:t>
      </w:r>
      <w:r w:rsidRPr="00273A93">
        <w:t>shall:</w:t>
      </w:r>
    </w:p>
    <w:p w:rsidR="001334C1" w:rsidRPr="00273A93" w:rsidRDefault="001334C1" w:rsidP="001334C1">
      <w:pPr>
        <w:pStyle w:val="PlainNumHang1"/>
        <w:spacing w:after="100"/>
        <w:ind w:left="1564"/>
        <w:jc w:val="both"/>
      </w:pPr>
      <w:r w:rsidRPr="00273A93">
        <w:t>(a)</w:t>
      </w:r>
      <w:r w:rsidRPr="00273A93">
        <w:tab/>
        <w:t xml:space="preserve">measure </w:t>
      </w:r>
      <w:r w:rsidRPr="004D4FDA">
        <w:rPr>
          <w:strike/>
        </w:rPr>
        <w:t>the</w:t>
      </w:r>
      <w:r w:rsidRPr="00273A93">
        <w:t xml:space="preserve"> </w:t>
      </w:r>
      <w:r w:rsidR="004870D0" w:rsidRPr="00926364">
        <w:rPr>
          <w:u w:val="single"/>
        </w:rPr>
        <w:t>each</w:t>
      </w:r>
      <w:r w:rsidR="004870D0" w:rsidRPr="00273A93">
        <w:t xml:space="preserve"> </w:t>
      </w:r>
      <w:r w:rsidRPr="00273A93">
        <w:t xml:space="preserve">right-of-use asset </w:t>
      </w:r>
      <w:r w:rsidR="004870D0" w:rsidRPr="004D4FDA">
        <w:rPr>
          <w:u w:val="single"/>
        </w:rPr>
        <w:t>in the class</w:t>
      </w:r>
      <w:r w:rsidR="004870D0">
        <w:t xml:space="preserve"> </w:t>
      </w:r>
      <w:r w:rsidRPr="00273A93">
        <w:t>at fair value;</w:t>
      </w:r>
    </w:p>
    <w:p w:rsidR="001334C1" w:rsidRPr="00273A93" w:rsidRDefault="001334C1" w:rsidP="001334C1">
      <w:pPr>
        <w:pStyle w:val="PlainNumHang1"/>
        <w:spacing w:after="100"/>
        <w:ind w:left="1564"/>
        <w:jc w:val="both"/>
      </w:pPr>
      <w:r w:rsidRPr="00273A93">
        <w:t>(b)</w:t>
      </w:r>
      <w:r w:rsidRPr="00273A93">
        <w:tab/>
        <w:t xml:space="preserve">measure the lease liability in accordance with this Standard; and </w:t>
      </w:r>
    </w:p>
    <w:p w:rsidR="001334C1" w:rsidRPr="00273A93" w:rsidRDefault="001334C1" w:rsidP="001334C1">
      <w:pPr>
        <w:pStyle w:val="PlainNumHang1"/>
        <w:spacing w:after="100"/>
        <w:ind w:left="1564"/>
        <w:jc w:val="both"/>
      </w:pPr>
      <w:r w:rsidRPr="00273A93">
        <w:t>(c)</w:t>
      </w:r>
      <w:r w:rsidRPr="00273A93">
        <w:tab/>
        <w:t xml:space="preserve">recognise any related items in accordance with paragraph 9 of AASB 1058 </w:t>
      </w:r>
      <w:r w:rsidRPr="00273A93">
        <w:rPr>
          <w:i/>
        </w:rPr>
        <w:t>Income of Not-for-Profit Entities</w:t>
      </w:r>
      <w:r w:rsidRPr="00273A93">
        <w:t>.</w:t>
      </w:r>
    </w:p>
    <w:p w:rsidR="001334C1" w:rsidRDefault="001334C1" w:rsidP="001334C1">
      <w:pPr>
        <w:pStyle w:val="PlainNumHang1"/>
        <w:spacing w:after="100"/>
        <w:ind w:firstLine="0"/>
        <w:jc w:val="both"/>
      </w:pPr>
      <w:r w:rsidRPr="00273A93">
        <w:t>Any income arising shall be recognised as an adjustment to the opening balance of retained earnings (or other component of equity, as appropriate) at the beginning of the earliest prior period presented.</w:t>
      </w:r>
    </w:p>
    <w:p w:rsidR="001334C1" w:rsidRPr="000F62C3" w:rsidRDefault="001334C1" w:rsidP="001334C1">
      <w:pPr>
        <w:pStyle w:val="PlainNumHang1"/>
        <w:spacing w:after="100"/>
        <w:jc w:val="both"/>
      </w:pPr>
      <w:r w:rsidRPr="00AC25D9">
        <w:t>AusC5.2</w:t>
      </w:r>
      <w:r w:rsidRPr="00AC25D9">
        <w:tab/>
      </w:r>
      <w:r w:rsidRPr="000F62C3">
        <w:t>Notwithstanding paragraph AusC5.1, not-for-profit entities that adopted AASB 1058 in an earlier reporting period are not required to remeasure the fair value of the right-of-use asset arising from leases that (1) at inception had significantly below-market terms and conditions principally to enable the entity to further its objectives and (2) were previously classified as finance leases applying AASB 117. Instead, the entity shall transition those leases in accordance with paragraph C11, regardless of which transition option in paragraph C5 is applied</w:t>
      </w:r>
      <w:r>
        <w:t>.</w:t>
      </w:r>
    </w:p>
    <w:p w:rsidR="001334C1" w:rsidRPr="00B722AA" w:rsidRDefault="001334C1" w:rsidP="001334C1">
      <w:pPr>
        <w:pStyle w:val="NoNumPlain1"/>
        <w:ind w:firstLine="782"/>
        <w:rPr>
          <w:strike/>
        </w:rPr>
      </w:pPr>
      <w:r w:rsidRPr="0096244B">
        <w:t>…</w:t>
      </w:r>
    </w:p>
    <w:p w:rsidR="001334C1" w:rsidRPr="00FC54F0" w:rsidRDefault="001334C1" w:rsidP="001334C1">
      <w:pPr>
        <w:pStyle w:val="PlainNumHang1"/>
        <w:spacing w:after="100"/>
        <w:jc w:val="both"/>
      </w:pPr>
      <w:r w:rsidRPr="00AC25D9">
        <w:t>AusC8.1</w:t>
      </w:r>
      <w:r w:rsidRPr="00AC25D9">
        <w:tab/>
      </w:r>
      <w:r w:rsidRPr="00FC54F0">
        <w:t xml:space="preserve">Not-for-profit entities </w:t>
      </w:r>
      <w:r>
        <w:rPr>
          <w:u w:val="single"/>
        </w:rPr>
        <w:t xml:space="preserve">electing to measure </w:t>
      </w:r>
      <w:r w:rsidR="004870D0">
        <w:rPr>
          <w:u w:val="single"/>
        </w:rPr>
        <w:t xml:space="preserve">a class of </w:t>
      </w:r>
      <w:r>
        <w:rPr>
          <w:u w:val="single"/>
        </w:rPr>
        <w:t>right-of-use assets at initial recognition at fair value and</w:t>
      </w:r>
      <w:r>
        <w:t xml:space="preserve"> </w:t>
      </w:r>
      <w:r w:rsidRPr="00FC54F0">
        <w:t xml:space="preserve">applying this Standard retrospectively in accordance with paragraph C5(b) to </w:t>
      </w:r>
      <w:r w:rsidRPr="00A8283D">
        <w:t>leases</w:t>
      </w:r>
      <w:r w:rsidRPr="00273A93">
        <w:t xml:space="preserve"> </w:t>
      </w:r>
      <w:r w:rsidRPr="00FC54F0">
        <w:t>that (1) at in</w:t>
      </w:r>
      <w:r>
        <w:t>ception had significantly below</w:t>
      </w:r>
      <w:r>
        <w:noBreakHyphen/>
      </w:r>
      <w:r w:rsidRPr="00FC54F0">
        <w:t xml:space="preserve">market terms and conditions principally to enable the entity to further its objectives and (2) </w:t>
      </w:r>
      <w:r w:rsidRPr="00A8283D">
        <w:t xml:space="preserve">were </w:t>
      </w:r>
      <w:r>
        <w:t xml:space="preserve">previously classified as </w:t>
      </w:r>
      <w:r w:rsidRPr="00FC54F0">
        <w:t>operating</w:t>
      </w:r>
      <w:r w:rsidRPr="00A8283D">
        <w:t xml:space="preserve"> leases</w:t>
      </w:r>
      <w:r w:rsidRPr="00FC54F0">
        <w:t xml:space="preserve"> applying AASB 117 shall:</w:t>
      </w:r>
    </w:p>
    <w:p w:rsidR="001334C1" w:rsidRPr="00FC54F0" w:rsidRDefault="001334C1" w:rsidP="001334C1">
      <w:pPr>
        <w:pStyle w:val="PlainNumHang1"/>
        <w:spacing w:after="100"/>
        <w:ind w:left="1564"/>
        <w:jc w:val="both"/>
      </w:pPr>
      <w:r w:rsidRPr="00FC54F0">
        <w:t>(a)</w:t>
      </w:r>
      <w:r w:rsidRPr="00FC54F0">
        <w:tab/>
        <w:t xml:space="preserve">notwithstanding paragraph C8(b), measure </w:t>
      </w:r>
      <w:r w:rsidRPr="004D4FDA">
        <w:rPr>
          <w:strike/>
        </w:rPr>
        <w:t>the</w:t>
      </w:r>
      <w:r w:rsidR="004870D0" w:rsidRPr="004D4FDA">
        <w:t xml:space="preserve"> </w:t>
      </w:r>
      <w:r w:rsidR="004870D0" w:rsidRPr="00926364">
        <w:rPr>
          <w:u w:val="single"/>
        </w:rPr>
        <w:t>each</w:t>
      </w:r>
      <w:r w:rsidRPr="00FC54F0">
        <w:t xml:space="preserve"> right-of-use asset </w:t>
      </w:r>
      <w:r w:rsidR="004870D0" w:rsidRPr="004D4FDA">
        <w:rPr>
          <w:u w:val="single"/>
        </w:rPr>
        <w:t>in the class</w:t>
      </w:r>
      <w:r w:rsidR="004870D0">
        <w:t xml:space="preserve"> </w:t>
      </w:r>
      <w:r w:rsidRPr="00FC54F0">
        <w:t>at fair value at the date of initial application of this Standard;</w:t>
      </w:r>
    </w:p>
    <w:p w:rsidR="001334C1" w:rsidRPr="00FC54F0" w:rsidRDefault="001334C1" w:rsidP="001334C1">
      <w:pPr>
        <w:pStyle w:val="PlainNumHang1"/>
        <w:spacing w:after="100"/>
        <w:ind w:left="1564"/>
        <w:jc w:val="both"/>
      </w:pPr>
      <w:r w:rsidRPr="00FC54F0">
        <w:t>(b)</w:t>
      </w:r>
      <w:r w:rsidRPr="00FC54F0">
        <w:tab/>
        <w:t>measure the lease liability in accordance with paragraph C8(a); and</w:t>
      </w:r>
    </w:p>
    <w:p w:rsidR="001334C1" w:rsidRPr="00FC54F0" w:rsidRDefault="001334C1" w:rsidP="001334C1">
      <w:pPr>
        <w:pStyle w:val="PlainNumHang1"/>
        <w:spacing w:after="100"/>
        <w:ind w:left="1564"/>
        <w:jc w:val="both"/>
      </w:pPr>
      <w:r w:rsidRPr="00FC54F0">
        <w:t>(c)</w:t>
      </w:r>
      <w:r w:rsidRPr="00FC54F0">
        <w:tab/>
        <w:t>recognise any related items in accordance with paragraph 9 of AASB 1058.</w:t>
      </w:r>
    </w:p>
    <w:p w:rsidR="001334C1" w:rsidRPr="00FC54F0" w:rsidRDefault="001334C1" w:rsidP="001334C1">
      <w:pPr>
        <w:pStyle w:val="PlainNumHang1"/>
        <w:spacing w:after="100"/>
        <w:ind w:firstLine="0"/>
        <w:jc w:val="both"/>
      </w:pPr>
      <w:r w:rsidRPr="00FC54F0">
        <w:t>Any income arising shall be recognised as an adjustment to the opening balance of retained earnings (or other component of equity, as appropriate) at the date of initial application of this Standard.</w:t>
      </w:r>
    </w:p>
    <w:p w:rsidR="001334C1" w:rsidRPr="00B722AA" w:rsidRDefault="001334C1" w:rsidP="001334C1">
      <w:pPr>
        <w:pStyle w:val="NoNumPlain1"/>
        <w:ind w:firstLine="782"/>
        <w:rPr>
          <w:strike/>
        </w:rPr>
      </w:pPr>
      <w:r w:rsidRPr="0096244B">
        <w:t>…</w:t>
      </w:r>
    </w:p>
    <w:p w:rsidR="001334C1" w:rsidRPr="00FC54F0" w:rsidRDefault="001334C1" w:rsidP="001334C1">
      <w:pPr>
        <w:pStyle w:val="PlainNumHang1"/>
        <w:spacing w:after="100"/>
        <w:jc w:val="both"/>
      </w:pPr>
      <w:r w:rsidRPr="00AC25D9">
        <w:t>AusC11.1</w:t>
      </w:r>
      <w:r w:rsidRPr="00AC25D9">
        <w:tab/>
      </w:r>
      <w:r w:rsidRPr="00FC54F0">
        <w:t xml:space="preserve">Subject to paragraph AusC5.2 and notwithstanding paragraph C11, not-for-profit entities </w:t>
      </w:r>
      <w:r>
        <w:rPr>
          <w:u w:val="single"/>
        </w:rPr>
        <w:t>electing to measure</w:t>
      </w:r>
      <w:r w:rsidR="004870D0">
        <w:rPr>
          <w:u w:val="single"/>
        </w:rPr>
        <w:t xml:space="preserve"> a class of</w:t>
      </w:r>
      <w:r>
        <w:rPr>
          <w:u w:val="single"/>
        </w:rPr>
        <w:t xml:space="preserve"> right-of-use assets at initial recognition at fair value </w:t>
      </w:r>
      <w:r w:rsidRPr="00FC54F0">
        <w:rPr>
          <w:u w:val="single"/>
        </w:rPr>
        <w:t>and</w:t>
      </w:r>
      <w:r>
        <w:t xml:space="preserve"> </w:t>
      </w:r>
      <w:r w:rsidRPr="00FC54F0">
        <w:t xml:space="preserve">applying this Standard retrospectively in accordance with paragraph C5(b) to </w:t>
      </w:r>
      <w:r w:rsidRPr="00A6351F">
        <w:t>leases</w:t>
      </w:r>
      <w:r w:rsidRPr="00273A93">
        <w:t xml:space="preserve"> </w:t>
      </w:r>
      <w:r w:rsidRPr="00FC54F0">
        <w:t>that (1) at inception had significantly below-market terms and conditions principally to enable the entity to further its objectives and (2)</w:t>
      </w:r>
      <w:r w:rsidRPr="00A6351F">
        <w:t xml:space="preserve"> were</w:t>
      </w:r>
      <w:r w:rsidRPr="00E14BA1">
        <w:t xml:space="preserve"> </w:t>
      </w:r>
      <w:r w:rsidRPr="00FC54F0">
        <w:t>previously classified as finance</w:t>
      </w:r>
      <w:r w:rsidRPr="00A6351F">
        <w:t xml:space="preserve"> leases</w:t>
      </w:r>
      <w:r w:rsidRPr="00FC54F0">
        <w:t xml:space="preserve"> applying AASB 117 shall:</w:t>
      </w:r>
    </w:p>
    <w:p w:rsidR="001334C1" w:rsidRPr="00FC54F0" w:rsidRDefault="001334C1" w:rsidP="001334C1">
      <w:pPr>
        <w:pStyle w:val="PlainNumHang1"/>
        <w:spacing w:after="100"/>
        <w:ind w:left="1564"/>
        <w:jc w:val="both"/>
      </w:pPr>
      <w:r w:rsidRPr="00FC54F0">
        <w:t>(a)</w:t>
      </w:r>
      <w:r w:rsidRPr="00FC54F0">
        <w:tab/>
        <w:t xml:space="preserve">measure </w:t>
      </w:r>
      <w:r w:rsidRPr="004D4FDA">
        <w:rPr>
          <w:strike/>
        </w:rPr>
        <w:t>the</w:t>
      </w:r>
      <w:r w:rsidRPr="00FC54F0">
        <w:t xml:space="preserve"> </w:t>
      </w:r>
      <w:r w:rsidR="004870D0" w:rsidRPr="004D4FDA">
        <w:rPr>
          <w:u w:val="single"/>
        </w:rPr>
        <w:t>each</w:t>
      </w:r>
      <w:r w:rsidR="004870D0">
        <w:t xml:space="preserve"> </w:t>
      </w:r>
      <w:r w:rsidRPr="00FC54F0">
        <w:t xml:space="preserve">right-of-use asset </w:t>
      </w:r>
      <w:r w:rsidR="004870D0" w:rsidRPr="004D4FDA">
        <w:rPr>
          <w:u w:val="single"/>
        </w:rPr>
        <w:t>in the class</w:t>
      </w:r>
      <w:r w:rsidR="004870D0">
        <w:t xml:space="preserve"> </w:t>
      </w:r>
      <w:r w:rsidRPr="00FC54F0">
        <w:t>at fair value at the date of initial application of this Standard;</w:t>
      </w:r>
    </w:p>
    <w:p w:rsidR="001334C1" w:rsidRPr="00FC54F0" w:rsidRDefault="001334C1" w:rsidP="001334C1">
      <w:pPr>
        <w:pStyle w:val="PlainNumHang1"/>
        <w:spacing w:after="100"/>
        <w:ind w:left="1564"/>
        <w:jc w:val="both"/>
      </w:pPr>
      <w:r w:rsidRPr="00FC54F0">
        <w:t>(b)</w:t>
      </w:r>
      <w:r w:rsidRPr="00FC54F0">
        <w:tab/>
        <w:t>measure the lease liability in accordance with this Standard; and</w:t>
      </w:r>
    </w:p>
    <w:p w:rsidR="001334C1" w:rsidRPr="00FC54F0" w:rsidRDefault="001334C1" w:rsidP="001334C1">
      <w:pPr>
        <w:pStyle w:val="PlainNumHang1"/>
        <w:spacing w:after="100"/>
        <w:ind w:left="1564"/>
        <w:jc w:val="both"/>
      </w:pPr>
      <w:r w:rsidRPr="00FC54F0">
        <w:t>(c)</w:t>
      </w:r>
      <w:r w:rsidRPr="00FC54F0">
        <w:tab/>
        <w:t>recognise any related items in accordance with paragraph 9 of AASB 1058.</w:t>
      </w:r>
    </w:p>
    <w:p w:rsidR="001334C1" w:rsidRPr="00FC54F0" w:rsidRDefault="001334C1" w:rsidP="001334C1">
      <w:pPr>
        <w:pStyle w:val="PlainNumHang1"/>
        <w:spacing w:after="100"/>
        <w:ind w:firstLine="0"/>
        <w:jc w:val="both"/>
      </w:pPr>
      <w:r w:rsidRPr="00FC54F0">
        <w:t>Any income arising shall be recognised as an adjustment to the opening balance of retained earnings (or other component of equity, as appropriate) at the date of initial application of this Standard.</w:t>
      </w:r>
    </w:p>
    <w:p w:rsidR="001334C1" w:rsidRDefault="001334C1" w:rsidP="001334C1">
      <w:pPr>
        <w:pStyle w:val="Heading2"/>
        <w:keepLines/>
      </w:pPr>
      <w:r>
        <w:t xml:space="preserve">Amendments to AASB 117 </w:t>
      </w:r>
      <w:r w:rsidRPr="00A659B9">
        <w:rPr>
          <w:i/>
        </w:rPr>
        <w:t>Leases</w:t>
      </w:r>
      <w:r>
        <w:t xml:space="preserve"> (August 2015)</w:t>
      </w:r>
    </w:p>
    <w:p w:rsidR="001334C1" w:rsidRDefault="001334C1" w:rsidP="001334C1">
      <w:pPr>
        <w:pStyle w:val="AmendmentInstruction"/>
        <w:keepLines/>
      </w:pPr>
      <w:r w:rsidRPr="0096244B">
        <w:t xml:space="preserve">The amendment to AASB 117 </w:t>
      </w:r>
      <w:r>
        <w:t>applies</w:t>
      </w:r>
      <w:r w:rsidRPr="0096244B">
        <w:t xml:space="preserve"> to periods beginning before 1 January 2019.</w:t>
      </w:r>
      <w:r>
        <w:t xml:space="preserve"> This means that the amendment applies only if AASB 1058</w:t>
      </w:r>
      <w:r w:rsidRPr="0096244B">
        <w:t xml:space="preserve"> </w:t>
      </w:r>
      <w:r>
        <w:t>is applied to an earlier period.</w:t>
      </w:r>
    </w:p>
    <w:p w:rsidR="001334C1" w:rsidRDefault="001334C1" w:rsidP="001334C1">
      <w:pPr>
        <w:pStyle w:val="AmendmentInstruction"/>
        <w:keepLines/>
      </w:pPr>
      <w:r>
        <w:t>Paragraph Aus20.1 is amended.</w:t>
      </w:r>
    </w:p>
    <w:p w:rsidR="001334C1" w:rsidRPr="007F1470" w:rsidRDefault="001334C1" w:rsidP="001334C1">
      <w:pPr>
        <w:pStyle w:val="BoldNumHang1"/>
        <w:keepNext/>
        <w:keepLines/>
        <w:spacing w:after="100"/>
        <w:ind w:left="993" w:hanging="993"/>
        <w:rPr>
          <w:rFonts w:ascii="Arial" w:hAnsi="Arial" w:cs="Arial"/>
          <w:sz w:val="22"/>
          <w:szCs w:val="22"/>
        </w:rPr>
      </w:pPr>
      <w:r w:rsidRPr="007F1470">
        <w:rPr>
          <w:rFonts w:ascii="Arial" w:hAnsi="Arial" w:cs="Arial"/>
          <w:sz w:val="22"/>
          <w:szCs w:val="22"/>
        </w:rPr>
        <w:t>Finance Leases</w:t>
      </w:r>
    </w:p>
    <w:p w:rsidR="001334C1" w:rsidRDefault="001334C1" w:rsidP="001334C1">
      <w:pPr>
        <w:pStyle w:val="BoldNumHang1"/>
        <w:keepNext/>
        <w:keepLines/>
        <w:spacing w:after="100"/>
        <w:ind w:left="993" w:hanging="993"/>
      </w:pPr>
      <w:r>
        <w:t>Initial recognition</w:t>
      </w:r>
    </w:p>
    <w:p w:rsidR="001334C1" w:rsidRDefault="001334C1" w:rsidP="001334C1">
      <w:pPr>
        <w:pStyle w:val="NoNumPlain1"/>
        <w:keepNext/>
        <w:keepLines/>
      </w:pPr>
      <w:r w:rsidRPr="0096244B">
        <w:t>…</w:t>
      </w:r>
    </w:p>
    <w:p w:rsidR="001334C1" w:rsidRPr="00076B40" w:rsidRDefault="001334C1" w:rsidP="001334C1">
      <w:pPr>
        <w:pStyle w:val="BoldNumHang1"/>
        <w:spacing w:after="100"/>
        <w:ind w:left="992" w:hanging="992"/>
      </w:pPr>
      <w:r w:rsidRPr="0096244B">
        <w:t>Aus20.1</w:t>
      </w:r>
      <w:r w:rsidRPr="0096244B">
        <w:tab/>
      </w:r>
      <w:r w:rsidRPr="00076B40">
        <w:t xml:space="preserve">Notwithstanding paragraph 20, </w:t>
      </w:r>
      <w:r>
        <w:rPr>
          <w:u w:val="single"/>
        </w:rPr>
        <w:t>a not-for-profit entity may</w:t>
      </w:r>
      <w:r w:rsidRPr="00B71372">
        <w:rPr>
          <w:u w:val="single"/>
        </w:rPr>
        <w:t xml:space="preserve"> </w:t>
      </w:r>
      <w:r>
        <w:rPr>
          <w:u w:val="single"/>
        </w:rPr>
        <w:t>elect</w:t>
      </w:r>
      <w:r w:rsidRPr="00B71372">
        <w:rPr>
          <w:u w:val="single"/>
        </w:rPr>
        <w:t xml:space="preserve"> to measure</w:t>
      </w:r>
      <w:r w:rsidR="004870D0">
        <w:rPr>
          <w:u w:val="single"/>
        </w:rPr>
        <w:t xml:space="preserve"> a class of</w:t>
      </w:r>
      <w:r>
        <w:rPr>
          <w:u w:val="single"/>
        </w:rPr>
        <w:t xml:space="preserve"> </w:t>
      </w:r>
      <w:r w:rsidRPr="004D4FDA">
        <w:rPr>
          <w:strike/>
        </w:rPr>
        <w:t>the</w:t>
      </w:r>
      <w:r w:rsidRPr="00076B40">
        <w:t xml:space="preserve"> leased </w:t>
      </w:r>
      <w:r w:rsidR="004870D0" w:rsidRPr="004D4FDA">
        <w:rPr>
          <w:u w:val="single"/>
        </w:rPr>
        <w:t>assets</w:t>
      </w:r>
      <w:r w:rsidR="004870D0">
        <w:t xml:space="preserve"> </w:t>
      </w:r>
      <w:r w:rsidRPr="004D4FDA">
        <w:rPr>
          <w:strike/>
        </w:rPr>
        <w:t xml:space="preserve">asset </w:t>
      </w:r>
      <w:r w:rsidRPr="00B71372">
        <w:rPr>
          <w:strike/>
        </w:rPr>
        <w:t>shall initially be measured</w:t>
      </w:r>
      <w:r w:rsidRPr="00076B40">
        <w:t xml:space="preserve"> </w:t>
      </w:r>
      <w:r>
        <w:rPr>
          <w:u w:val="single"/>
        </w:rPr>
        <w:t xml:space="preserve">at initial recognition </w:t>
      </w:r>
      <w:r w:rsidRPr="00076B40">
        <w:t>at fair value in accordance with</w:t>
      </w:r>
      <w:r w:rsidRPr="00076B40">
        <w:rPr>
          <w:i/>
        </w:rPr>
        <w:t xml:space="preserve"> </w:t>
      </w:r>
      <w:r w:rsidRPr="00076B40">
        <w:t xml:space="preserve">AASB 13 </w:t>
      </w:r>
      <w:r w:rsidRPr="00076B40">
        <w:rPr>
          <w:i/>
        </w:rPr>
        <w:t>Fair Value Measurement</w:t>
      </w:r>
      <w:r w:rsidRPr="00076B40">
        <w:t xml:space="preserve"> </w:t>
      </w:r>
      <w:r w:rsidRPr="002E4C73">
        <w:rPr>
          <w:u w:val="single"/>
        </w:rPr>
        <w:t>for leases</w:t>
      </w:r>
      <w:r>
        <w:t xml:space="preserve"> </w:t>
      </w:r>
      <w:r w:rsidRPr="00076B40">
        <w:t>where:</w:t>
      </w:r>
    </w:p>
    <w:p w:rsidR="001334C1" w:rsidRPr="00076B40" w:rsidRDefault="001334C1" w:rsidP="001334C1">
      <w:pPr>
        <w:pStyle w:val="BoldNumHang1"/>
        <w:spacing w:after="100"/>
        <w:ind w:left="1984" w:hanging="992"/>
      </w:pPr>
      <w:r w:rsidRPr="00076B40">
        <w:lastRenderedPageBreak/>
        <w:t>(a)</w:t>
      </w:r>
      <w:r w:rsidRPr="00076B40">
        <w:tab/>
        <w:t>at inception the lease has significantly below-market terms and conditions principally to enable the lessee to further its objectives; and</w:t>
      </w:r>
    </w:p>
    <w:p w:rsidR="001334C1" w:rsidRPr="00076B40" w:rsidRDefault="001334C1" w:rsidP="001334C1">
      <w:pPr>
        <w:pStyle w:val="BoldNumHang1"/>
        <w:spacing w:after="100"/>
        <w:ind w:left="1984" w:hanging="992"/>
      </w:pPr>
      <w:r w:rsidRPr="00076B40">
        <w:t>(b)</w:t>
      </w:r>
      <w:r w:rsidRPr="00076B40">
        <w:tab/>
        <w:t xml:space="preserve">the lessee applies AASB 1058 </w:t>
      </w:r>
      <w:r w:rsidRPr="00076B40">
        <w:rPr>
          <w:i/>
        </w:rPr>
        <w:t>Income of Not-for-Profit Entities</w:t>
      </w:r>
      <w:r w:rsidRPr="00076B40">
        <w:t xml:space="preserve"> to the period.</w:t>
      </w:r>
    </w:p>
    <w:p w:rsidR="001334C1" w:rsidRPr="0096244B" w:rsidRDefault="001334C1" w:rsidP="001334C1">
      <w:pPr>
        <w:pStyle w:val="BoldNumHang1"/>
        <w:spacing w:after="100"/>
        <w:ind w:left="1984" w:hanging="992"/>
      </w:pPr>
      <w:r w:rsidRPr="00076B40">
        <w:t>AASB 1058 addresses the recognition of related amounts</w:t>
      </w:r>
      <w:r w:rsidRPr="0096244B">
        <w:t>.</w:t>
      </w:r>
    </w:p>
    <w:p w:rsidR="007C6E99" w:rsidRDefault="007C6E99" w:rsidP="007C6E99">
      <w:pPr>
        <w:pStyle w:val="Heading2"/>
        <w:keepLines/>
      </w:pPr>
      <w:r>
        <w:t xml:space="preserve">Amendments to AASB 1049 </w:t>
      </w:r>
      <w:r>
        <w:rPr>
          <w:i/>
        </w:rPr>
        <w:t>Whole of Government and General Government Sector Financial Reporting</w:t>
      </w:r>
      <w:r>
        <w:t xml:space="preserve"> (</w:t>
      </w:r>
      <w:r w:rsidR="00395A76">
        <w:t>October 2007</w:t>
      </w:r>
      <w:r>
        <w:t>)</w:t>
      </w:r>
    </w:p>
    <w:p w:rsidR="007C6E99" w:rsidRPr="00A67B31" w:rsidRDefault="007C6E99" w:rsidP="007C6E99">
      <w:pPr>
        <w:pStyle w:val="AmendmentInstruction"/>
        <w:keepLines/>
        <w:ind w:left="510" w:hanging="368"/>
      </w:pPr>
      <w:r w:rsidRPr="00A67B31">
        <w:t>P</w:t>
      </w:r>
      <w:r>
        <w:t xml:space="preserve">aragraph </w:t>
      </w:r>
      <w:r w:rsidR="00C26541">
        <w:t>13D</w:t>
      </w:r>
      <w:r>
        <w:t xml:space="preserve"> is added.</w:t>
      </w:r>
    </w:p>
    <w:p w:rsidR="00FC3B06" w:rsidRPr="007F1470" w:rsidRDefault="00FC3B06" w:rsidP="00FC3B06">
      <w:pPr>
        <w:pStyle w:val="BoldNumHang1"/>
        <w:keepNext/>
        <w:keepLines/>
        <w:spacing w:after="100"/>
        <w:ind w:left="993" w:hanging="993"/>
        <w:rPr>
          <w:rFonts w:ascii="Arial" w:hAnsi="Arial" w:cs="Arial"/>
          <w:sz w:val="22"/>
          <w:szCs w:val="22"/>
        </w:rPr>
      </w:pPr>
      <w:r>
        <w:rPr>
          <w:rFonts w:ascii="Arial" w:hAnsi="Arial" w:cs="Arial"/>
          <w:sz w:val="22"/>
          <w:szCs w:val="22"/>
        </w:rPr>
        <w:t>Compliance with Australian Accounting Standards and the ABS GFS Manual</w:t>
      </w:r>
    </w:p>
    <w:p w:rsidR="00FC3B06" w:rsidRDefault="00FC3B06" w:rsidP="00FC3B06">
      <w:pPr>
        <w:pStyle w:val="NoNumPlain1"/>
        <w:keepNext/>
        <w:keepLines/>
      </w:pPr>
      <w:r w:rsidRPr="0096244B">
        <w:t>…</w:t>
      </w:r>
    </w:p>
    <w:p w:rsidR="007C6E99" w:rsidRPr="006210A8" w:rsidRDefault="00C26541" w:rsidP="00FC3B06">
      <w:pPr>
        <w:pStyle w:val="NumCPlain1"/>
        <w:ind w:left="720" w:hanging="720"/>
        <w:rPr>
          <w:b/>
        </w:rPr>
      </w:pPr>
      <w:r w:rsidRPr="006210A8">
        <w:rPr>
          <w:b/>
          <w:u w:val="single"/>
        </w:rPr>
        <w:t>13D</w:t>
      </w:r>
      <w:r w:rsidRPr="006210A8">
        <w:rPr>
          <w:b/>
        </w:rPr>
        <w:tab/>
      </w:r>
      <w:r w:rsidRPr="006210A8">
        <w:rPr>
          <w:b/>
          <w:u w:val="single"/>
        </w:rPr>
        <w:t>Notwithstanding parag</w:t>
      </w:r>
      <w:r w:rsidR="00CC5FBB" w:rsidRPr="006210A8">
        <w:rPr>
          <w:b/>
          <w:u w:val="single"/>
        </w:rPr>
        <w:t>raph 13, a government may elect</w:t>
      </w:r>
      <w:r w:rsidRPr="006210A8">
        <w:rPr>
          <w:b/>
          <w:u w:val="single"/>
        </w:rPr>
        <w:t xml:space="preserve"> to measure </w:t>
      </w:r>
      <w:r w:rsidR="003D38C7">
        <w:rPr>
          <w:b/>
          <w:u w:val="single"/>
        </w:rPr>
        <w:t xml:space="preserve">a class of </w:t>
      </w:r>
      <w:r w:rsidRPr="006210A8">
        <w:rPr>
          <w:b/>
          <w:u w:val="single"/>
        </w:rPr>
        <w:t xml:space="preserve">right-of-use assets at initial recognition at </w:t>
      </w:r>
      <w:r w:rsidR="00CC5FBB" w:rsidRPr="006210A8">
        <w:rPr>
          <w:b/>
          <w:u w:val="single"/>
        </w:rPr>
        <w:t xml:space="preserve">cost or at </w:t>
      </w:r>
      <w:r w:rsidRPr="006210A8">
        <w:rPr>
          <w:b/>
          <w:u w:val="single"/>
        </w:rPr>
        <w:t xml:space="preserve">fair value </w:t>
      </w:r>
      <w:r w:rsidR="00CC5FBB" w:rsidRPr="006210A8">
        <w:rPr>
          <w:b/>
          <w:u w:val="single"/>
        </w:rPr>
        <w:t>in accordance with AASB 16</w:t>
      </w:r>
      <w:r w:rsidR="00CC5FBB" w:rsidRPr="006210A8">
        <w:rPr>
          <w:b/>
          <w:i/>
          <w:u w:val="single"/>
        </w:rPr>
        <w:t xml:space="preserve"> Leases</w:t>
      </w:r>
      <w:r w:rsidR="00CC5FBB" w:rsidRPr="006210A8">
        <w:rPr>
          <w:b/>
          <w:u w:val="single"/>
        </w:rPr>
        <w:t xml:space="preserve"> </w:t>
      </w:r>
      <w:r w:rsidR="00FC3B06" w:rsidRPr="006210A8">
        <w:rPr>
          <w:b/>
          <w:u w:val="single"/>
        </w:rPr>
        <w:t xml:space="preserve">for leases </w:t>
      </w:r>
      <w:r w:rsidRPr="006210A8">
        <w:rPr>
          <w:b/>
          <w:u w:val="single"/>
        </w:rPr>
        <w:t>that had at inception significantly</w:t>
      </w:r>
      <w:r w:rsidR="00FC3B06" w:rsidRPr="006210A8">
        <w:rPr>
          <w:b/>
          <w:u w:val="single"/>
        </w:rPr>
        <w:t xml:space="preserve"> below</w:t>
      </w:r>
      <w:r w:rsidR="00FC3B06" w:rsidRPr="006210A8">
        <w:rPr>
          <w:b/>
          <w:u w:val="single"/>
        </w:rPr>
        <w:noBreakHyphen/>
      </w:r>
      <w:r w:rsidRPr="006210A8">
        <w:rPr>
          <w:b/>
          <w:u w:val="single"/>
        </w:rPr>
        <w:t>market terms and conditions principally to enable the entity to further its objectives</w:t>
      </w:r>
      <w:r w:rsidR="00FC3B06" w:rsidRPr="006210A8">
        <w:rPr>
          <w:b/>
          <w:u w:val="single"/>
        </w:rPr>
        <w:t>.</w:t>
      </w:r>
    </w:p>
    <w:p w:rsidR="001334C1" w:rsidRDefault="001334C1" w:rsidP="001334C1">
      <w:pPr>
        <w:pStyle w:val="Heading2"/>
        <w:keepLines/>
      </w:pPr>
      <w:r>
        <w:t xml:space="preserve">Amendments to AASB 1058 </w:t>
      </w:r>
      <w:r w:rsidRPr="0086213F">
        <w:rPr>
          <w:i/>
        </w:rPr>
        <w:t>Income of Not-for-Profit Entities</w:t>
      </w:r>
      <w:r>
        <w:t xml:space="preserve"> (December 2016)</w:t>
      </w:r>
    </w:p>
    <w:p w:rsidR="001334C1" w:rsidRPr="00A67B31" w:rsidRDefault="001334C1" w:rsidP="001334C1">
      <w:pPr>
        <w:pStyle w:val="AmendmentInstruction"/>
        <w:keepLines/>
        <w:ind w:left="510" w:hanging="368"/>
      </w:pPr>
      <w:r w:rsidRPr="00A67B31">
        <w:t>Paragraph</w:t>
      </w:r>
      <w:r>
        <w:t>s</w:t>
      </w:r>
      <w:r w:rsidRPr="00A67B31">
        <w:t> </w:t>
      </w:r>
      <w:r>
        <w:t>C10 and C11 are amended and paragraph C10A is added.</w:t>
      </w:r>
    </w:p>
    <w:p w:rsidR="001334C1" w:rsidRPr="0096244B" w:rsidRDefault="001334C1" w:rsidP="001334C1">
      <w:pPr>
        <w:pStyle w:val="IASBSectionTitle2Ind"/>
        <w:ind w:left="0"/>
      </w:pPr>
      <w:bookmarkStart w:id="16" w:name="_Ref466026434"/>
      <w:r w:rsidRPr="0096244B">
        <w:t>Leases with significantly below-market terms and conditions</w:t>
      </w:r>
    </w:p>
    <w:p w:rsidR="001334C1" w:rsidRDefault="001334C1" w:rsidP="001334C1">
      <w:pPr>
        <w:pStyle w:val="NoNumPlain1"/>
        <w:keepNext/>
        <w:keepLines/>
      </w:pPr>
      <w:r w:rsidRPr="0096244B">
        <w:t>…</w:t>
      </w:r>
    </w:p>
    <w:p w:rsidR="001334C1" w:rsidRDefault="001334C1" w:rsidP="001334C1">
      <w:pPr>
        <w:pStyle w:val="IASBSectionTitle3Ind"/>
        <w:ind w:left="0"/>
      </w:pPr>
      <w:r w:rsidRPr="0096244B">
        <w:t>Leases classified as finance leases</w:t>
      </w:r>
    </w:p>
    <w:p w:rsidR="001334C1" w:rsidRPr="00B71372" w:rsidRDefault="001334C1" w:rsidP="001334C1">
      <w:pPr>
        <w:pStyle w:val="NumCPlain1"/>
        <w:ind w:left="720" w:hanging="720"/>
      </w:pPr>
      <w:r>
        <w:t>C10</w:t>
      </w:r>
      <w:r>
        <w:tab/>
      </w:r>
      <w:r w:rsidRPr="0096244B">
        <w:t xml:space="preserve">If an entity </w:t>
      </w:r>
      <w:r>
        <w:rPr>
          <w:u w:val="single"/>
        </w:rPr>
        <w:t xml:space="preserve">elects to measure </w:t>
      </w:r>
      <w:r w:rsidR="003D38C7">
        <w:rPr>
          <w:u w:val="single"/>
        </w:rPr>
        <w:t xml:space="preserve">a class of </w:t>
      </w:r>
      <w:r>
        <w:rPr>
          <w:u w:val="single"/>
        </w:rPr>
        <w:t>right-of-use assets at initial recognition at fair value and</w:t>
      </w:r>
      <w:r>
        <w:t xml:space="preserve"> </w:t>
      </w:r>
      <w:r w:rsidRPr="0096244B">
        <w:t>applies this Standard before applying AASB 16</w:t>
      </w:r>
      <w:r>
        <w:t>,</w:t>
      </w:r>
      <w:r w:rsidRPr="00A7459D">
        <w:t xml:space="preserve"> </w:t>
      </w:r>
      <w:r w:rsidRPr="00A6351F">
        <w:t>for leases</w:t>
      </w:r>
      <w:r w:rsidRPr="00273A93">
        <w:t xml:space="preserve"> </w:t>
      </w:r>
      <w:r w:rsidRPr="0096244B">
        <w:t xml:space="preserve">that (1) at inception had significantly below-market terms and conditions principally to enable the entity to further its objectives and (2) </w:t>
      </w:r>
      <w:r w:rsidRPr="00A6351F">
        <w:t xml:space="preserve">were </w:t>
      </w:r>
      <w:r>
        <w:t xml:space="preserve">classified as </w:t>
      </w:r>
      <w:r w:rsidRPr="0096244B">
        <w:t>finance</w:t>
      </w:r>
      <w:r w:rsidRPr="00A6351F">
        <w:t xml:space="preserve"> leases</w:t>
      </w:r>
      <w:r w:rsidRPr="00FC54F0">
        <w:t xml:space="preserve"> </w:t>
      </w:r>
      <w:r w:rsidRPr="0096244B">
        <w:t>in accordance with AASB </w:t>
      </w:r>
      <w:r w:rsidRPr="00D66A57">
        <w:t>117, and if</w:t>
      </w:r>
      <w:r w:rsidRPr="00B71372">
        <w:t xml:space="preserve"> an entity elects to apply this Standard in accordance with:</w:t>
      </w:r>
    </w:p>
    <w:p w:rsidR="001334C1" w:rsidRPr="00B71372" w:rsidRDefault="001334C1" w:rsidP="001334C1">
      <w:pPr>
        <w:pStyle w:val="NumCPlain2"/>
        <w:numPr>
          <w:ilvl w:val="1"/>
          <w:numId w:val="18"/>
        </w:numPr>
        <w:spacing w:before="0"/>
        <w:ind w:left="1491" w:hanging="709"/>
      </w:pPr>
      <w:r w:rsidRPr="00B71372">
        <w:t>paragraph C3(a) – the entity shall:</w:t>
      </w:r>
    </w:p>
    <w:p w:rsidR="001334C1" w:rsidRPr="00B71372" w:rsidRDefault="001334C1" w:rsidP="001334C1">
      <w:pPr>
        <w:pStyle w:val="NumCPlain3"/>
        <w:numPr>
          <w:ilvl w:val="2"/>
          <w:numId w:val="18"/>
        </w:numPr>
        <w:spacing w:before="0"/>
        <w:ind w:left="2347" w:hanging="782"/>
      </w:pPr>
      <w:r w:rsidRPr="00B71372">
        <w:t xml:space="preserve">measure </w:t>
      </w:r>
      <w:r w:rsidRPr="004D4FDA">
        <w:rPr>
          <w:strike/>
        </w:rPr>
        <w:t>the</w:t>
      </w:r>
      <w:r w:rsidRPr="00B71372">
        <w:t xml:space="preserve"> </w:t>
      </w:r>
      <w:r w:rsidR="003D38C7" w:rsidRPr="004D4FDA">
        <w:rPr>
          <w:u w:val="single"/>
        </w:rPr>
        <w:t>each</w:t>
      </w:r>
      <w:r w:rsidR="003D38C7">
        <w:t xml:space="preserve"> </w:t>
      </w:r>
      <w:r w:rsidRPr="00B71372">
        <w:t xml:space="preserve">leased asset </w:t>
      </w:r>
      <w:r w:rsidR="003D38C7" w:rsidRPr="004D4FDA">
        <w:rPr>
          <w:u w:val="single"/>
        </w:rPr>
        <w:t>in the class</w:t>
      </w:r>
      <w:r w:rsidR="003D38C7" w:rsidRPr="004C18DA">
        <w:t xml:space="preserve"> </w:t>
      </w:r>
      <w:r w:rsidRPr="00B71372">
        <w:t>at fair value at the beginning of the earliest period presented;</w:t>
      </w:r>
    </w:p>
    <w:p w:rsidR="001334C1" w:rsidRPr="00B71372" w:rsidRDefault="001334C1" w:rsidP="001334C1">
      <w:pPr>
        <w:pStyle w:val="NumCPlain3"/>
        <w:numPr>
          <w:ilvl w:val="2"/>
          <w:numId w:val="18"/>
        </w:numPr>
        <w:spacing w:before="0"/>
        <w:ind w:left="2347" w:hanging="782"/>
      </w:pPr>
      <w:r w:rsidRPr="00B71372">
        <w:t>measure the lease liability in accordance with AASB 117;</w:t>
      </w:r>
    </w:p>
    <w:p w:rsidR="001334C1" w:rsidRPr="00B71372" w:rsidRDefault="001334C1" w:rsidP="001334C1">
      <w:pPr>
        <w:pStyle w:val="NumCPlain3"/>
        <w:numPr>
          <w:ilvl w:val="2"/>
          <w:numId w:val="18"/>
        </w:numPr>
        <w:spacing w:before="0"/>
        <w:ind w:left="2347" w:hanging="782"/>
      </w:pPr>
      <w:r w:rsidRPr="00B71372">
        <w:t>recognise any related items in accordance with paragraph 9; and</w:t>
      </w:r>
    </w:p>
    <w:p w:rsidR="001334C1" w:rsidRPr="00B71372" w:rsidRDefault="001334C1" w:rsidP="001334C1">
      <w:pPr>
        <w:pStyle w:val="NumCPlain3"/>
        <w:numPr>
          <w:ilvl w:val="2"/>
          <w:numId w:val="18"/>
        </w:numPr>
        <w:spacing w:before="0"/>
        <w:ind w:left="2347" w:hanging="782"/>
      </w:pPr>
      <w:r w:rsidRPr="00B71372">
        <w:t>recognise any income arising as an adjustment to the opening balance of retained earnings (or other component of equity, as appropriate) at the beginning of the earliest period presented; or</w:t>
      </w:r>
    </w:p>
    <w:p w:rsidR="001334C1" w:rsidRPr="00B71372" w:rsidRDefault="001334C1" w:rsidP="001334C1">
      <w:pPr>
        <w:pStyle w:val="NumCPlain2"/>
        <w:numPr>
          <w:ilvl w:val="1"/>
          <w:numId w:val="18"/>
        </w:numPr>
        <w:spacing w:before="0"/>
        <w:ind w:left="1491" w:hanging="709"/>
      </w:pPr>
      <w:r w:rsidRPr="00B71372">
        <w:t>paragraph C3(b) – the entity shall:</w:t>
      </w:r>
    </w:p>
    <w:p w:rsidR="001334C1" w:rsidRPr="00B71372" w:rsidRDefault="001334C1" w:rsidP="001334C1">
      <w:pPr>
        <w:pStyle w:val="NumCPlain3"/>
        <w:numPr>
          <w:ilvl w:val="2"/>
          <w:numId w:val="18"/>
        </w:numPr>
        <w:spacing w:before="0"/>
        <w:ind w:left="2347" w:hanging="782"/>
      </w:pPr>
      <w:r w:rsidRPr="00B71372">
        <w:t xml:space="preserve">measure </w:t>
      </w:r>
      <w:r w:rsidR="003D38C7" w:rsidRPr="00926364">
        <w:rPr>
          <w:strike/>
        </w:rPr>
        <w:t>the</w:t>
      </w:r>
      <w:r w:rsidR="003D38C7" w:rsidRPr="00B71372">
        <w:t xml:space="preserve"> </w:t>
      </w:r>
      <w:r w:rsidR="003D38C7" w:rsidRPr="00926364">
        <w:rPr>
          <w:u w:val="single"/>
        </w:rPr>
        <w:t>each</w:t>
      </w:r>
      <w:r w:rsidR="003D38C7">
        <w:t xml:space="preserve"> </w:t>
      </w:r>
      <w:r w:rsidRPr="00B71372">
        <w:t xml:space="preserve">leased asset </w:t>
      </w:r>
      <w:r w:rsidR="003D38C7" w:rsidRPr="00926364">
        <w:rPr>
          <w:u w:val="single"/>
        </w:rPr>
        <w:t>in the class</w:t>
      </w:r>
      <w:r w:rsidR="003D38C7">
        <w:t xml:space="preserve"> </w:t>
      </w:r>
      <w:r w:rsidRPr="00B71372">
        <w:t>at fair value at the date of initial application of this Standard;</w:t>
      </w:r>
    </w:p>
    <w:p w:rsidR="001334C1" w:rsidRPr="00B71372" w:rsidRDefault="001334C1" w:rsidP="001334C1">
      <w:pPr>
        <w:pStyle w:val="NumCPlain3"/>
        <w:numPr>
          <w:ilvl w:val="2"/>
          <w:numId w:val="18"/>
        </w:numPr>
        <w:spacing w:before="0"/>
        <w:ind w:left="2347" w:hanging="782"/>
      </w:pPr>
      <w:r w:rsidRPr="00B71372">
        <w:t>measure the lease liability in accordance with AASB 117;</w:t>
      </w:r>
    </w:p>
    <w:p w:rsidR="001334C1" w:rsidRPr="00B71372" w:rsidRDefault="001334C1" w:rsidP="001334C1">
      <w:pPr>
        <w:pStyle w:val="NumCPlain3"/>
        <w:numPr>
          <w:ilvl w:val="2"/>
          <w:numId w:val="18"/>
        </w:numPr>
        <w:spacing w:before="0"/>
        <w:ind w:left="2347" w:hanging="782"/>
      </w:pPr>
      <w:r w:rsidRPr="00B71372">
        <w:t>recognise any related items in accordance with paragraph 9; and</w:t>
      </w:r>
    </w:p>
    <w:p w:rsidR="001334C1" w:rsidRPr="00B71372" w:rsidRDefault="001334C1" w:rsidP="001334C1">
      <w:pPr>
        <w:pStyle w:val="NumCPlain3"/>
        <w:numPr>
          <w:ilvl w:val="2"/>
          <w:numId w:val="18"/>
        </w:numPr>
        <w:spacing w:before="0"/>
        <w:ind w:left="2347" w:hanging="782"/>
      </w:pPr>
      <w:r w:rsidRPr="00B71372">
        <w:t>recognise any income arising as an adjustment to the opening balance of retained earnings (or other component of equity, as appropriate) at the date of initial application of this Standard.</w:t>
      </w:r>
    </w:p>
    <w:p w:rsidR="001334C1" w:rsidRDefault="001334C1" w:rsidP="001334C1">
      <w:pPr>
        <w:pStyle w:val="NumCPlain1"/>
        <w:keepNext/>
        <w:keepLines/>
        <w:ind w:left="720" w:hanging="720"/>
      </w:pPr>
      <w:r>
        <w:rPr>
          <w:u w:val="single"/>
        </w:rPr>
        <w:lastRenderedPageBreak/>
        <w:t>C10A</w:t>
      </w:r>
      <w:r w:rsidRPr="00D66A57">
        <w:tab/>
      </w:r>
      <w:r w:rsidRPr="00BB35FC">
        <w:rPr>
          <w:u w:val="single"/>
        </w:rPr>
        <w:t>If a</w:t>
      </w:r>
      <w:r>
        <w:rPr>
          <w:u w:val="single"/>
        </w:rPr>
        <w:t>n</w:t>
      </w:r>
      <w:r w:rsidRPr="00BB35FC">
        <w:rPr>
          <w:u w:val="single"/>
        </w:rPr>
        <w:t xml:space="preserve"> entity </w:t>
      </w:r>
      <w:r>
        <w:rPr>
          <w:u w:val="single"/>
        </w:rPr>
        <w:t xml:space="preserve">elects not to measure </w:t>
      </w:r>
      <w:r w:rsidR="004870D0">
        <w:rPr>
          <w:u w:val="single"/>
        </w:rPr>
        <w:t xml:space="preserve">a class of </w:t>
      </w:r>
      <w:r>
        <w:rPr>
          <w:u w:val="single"/>
        </w:rPr>
        <w:t>right-of-use assets at initial recognition at fair value and</w:t>
      </w:r>
      <w:r w:rsidRPr="00FC0558">
        <w:rPr>
          <w:u w:val="single"/>
        </w:rPr>
        <w:t xml:space="preserve"> </w:t>
      </w:r>
      <w:r w:rsidRPr="00BB35FC">
        <w:rPr>
          <w:u w:val="single"/>
        </w:rPr>
        <w:t xml:space="preserve">applies this Standard before applying AASB 16, for </w:t>
      </w:r>
      <w:r>
        <w:rPr>
          <w:u w:val="single"/>
        </w:rPr>
        <w:t>leases</w:t>
      </w:r>
      <w:r w:rsidRPr="00BB35FC">
        <w:rPr>
          <w:u w:val="single"/>
        </w:rPr>
        <w:t xml:space="preserve"> that (1) at inception had significantly below-market terms and conditions principally to enable the entity to further its o</w:t>
      </w:r>
      <w:r>
        <w:rPr>
          <w:u w:val="single"/>
        </w:rPr>
        <w:t>bjectives and (2) were</w:t>
      </w:r>
      <w:r w:rsidRPr="00BB35FC">
        <w:rPr>
          <w:u w:val="single"/>
        </w:rPr>
        <w:t xml:space="preserve"> classified as finance lease</w:t>
      </w:r>
      <w:r>
        <w:rPr>
          <w:u w:val="single"/>
        </w:rPr>
        <w:t>s</w:t>
      </w:r>
      <w:r w:rsidRPr="00BB35FC">
        <w:rPr>
          <w:u w:val="single"/>
        </w:rPr>
        <w:t xml:space="preserve"> in accordance with AASB 117, the entity shall continue to apply its accountin</w:t>
      </w:r>
      <w:r>
        <w:rPr>
          <w:u w:val="single"/>
        </w:rPr>
        <w:t>g policy under AASB 117 to those finance</w:t>
      </w:r>
      <w:r w:rsidRPr="00BB35FC">
        <w:rPr>
          <w:u w:val="single"/>
        </w:rPr>
        <w:t xml:space="preserve"> lease</w:t>
      </w:r>
      <w:r>
        <w:rPr>
          <w:u w:val="single"/>
        </w:rPr>
        <w:t>s</w:t>
      </w:r>
      <w:r w:rsidRPr="00BB35FC">
        <w:rPr>
          <w:u w:val="single"/>
        </w:rPr>
        <w:t>.  On transition to AASB 16, the entity shall apply the transition requirements of that Standard to leases classified as finance leases in accordance with AASB 117.</w:t>
      </w:r>
    </w:p>
    <w:p w:rsidR="001334C1" w:rsidRPr="0096244B" w:rsidRDefault="001334C1" w:rsidP="001334C1">
      <w:pPr>
        <w:pStyle w:val="NumCPlain1"/>
        <w:ind w:left="720" w:hanging="720"/>
      </w:pPr>
      <w:r>
        <w:t>C11</w:t>
      </w:r>
      <w:r>
        <w:tab/>
      </w:r>
      <w:r w:rsidRPr="00401681">
        <w:t xml:space="preserve">An entity </w:t>
      </w:r>
      <w:r w:rsidRPr="001A462F">
        <w:rPr>
          <w:u w:val="single"/>
        </w:rPr>
        <w:t>applying paragraph C10</w:t>
      </w:r>
      <w:r>
        <w:t xml:space="preserve"> </w:t>
      </w:r>
      <w:r w:rsidRPr="00401681">
        <w:t xml:space="preserve">may, as a practical expedient, apply </w:t>
      </w:r>
      <w:r w:rsidRPr="001A462F">
        <w:rPr>
          <w:u w:val="single"/>
        </w:rPr>
        <w:t>the</w:t>
      </w:r>
      <w:r>
        <w:t xml:space="preserve"> </w:t>
      </w:r>
      <w:r w:rsidRPr="00401681">
        <w:t>paragraph </w:t>
      </w:r>
      <w:r w:rsidRPr="001A462F">
        <w:rPr>
          <w:strike/>
        </w:rPr>
        <w:t>C10</w:t>
      </w:r>
      <w:r w:rsidRPr="00401681">
        <w:t xml:space="preserve"> to a portfolio of leases with similar characteristics if the entity reasonably expects that the effects on the financial statements of this approach would not differ materially from applying paragraph C10 to the individual leases within that portfolio.  If accounting for a portfolio, an entity shall use estimates and assumptions that reflect the size and composition of the portfolio</w:t>
      </w:r>
      <w:r w:rsidRPr="0096244B">
        <w:t>.</w:t>
      </w:r>
    </w:p>
    <w:bookmarkEnd w:id="16"/>
    <w:p w:rsidR="004A3747" w:rsidRDefault="004A3747">
      <w:pPr>
        <w:pStyle w:val="Heading2"/>
      </w:pPr>
      <w:r>
        <w:t>Commencement of the legislative instrument</w:t>
      </w:r>
    </w:p>
    <w:p w:rsidR="00FC73E4" w:rsidRDefault="004A3747" w:rsidP="008033BD">
      <w:pPr>
        <w:pStyle w:val="NumBold1"/>
        <w:numPr>
          <w:ilvl w:val="0"/>
          <w:numId w:val="0"/>
        </w:numPr>
        <w:rPr>
          <w:b w:val="0"/>
        </w:rPr>
      </w:pPr>
      <w:r w:rsidRPr="00273B7F">
        <w:rPr>
          <w:b w:val="0"/>
        </w:rPr>
        <w:t xml:space="preserve">For legal purposes, this legislative instrument commences on </w:t>
      </w:r>
      <w:bookmarkStart w:id="17" w:name="CommenceDate"/>
      <w:r w:rsidRPr="00273B7F">
        <w:rPr>
          <w:b w:val="0"/>
        </w:rPr>
        <w:t>31 December 2018</w:t>
      </w:r>
      <w:bookmarkEnd w:id="17"/>
      <w:r w:rsidRPr="00273B7F">
        <w:rPr>
          <w:b w:val="0"/>
        </w:rPr>
        <w:t>.</w:t>
      </w:r>
    </w:p>
    <w:p w:rsidR="00B22FE2" w:rsidRPr="00FB42D3" w:rsidRDefault="00B22FE2" w:rsidP="008033BD">
      <w:pPr>
        <w:pStyle w:val="NumBold1"/>
        <w:numPr>
          <w:ilvl w:val="0"/>
          <w:numId w:val="0"/>
        </w:numPr>
        <w:rPr>
          <w:b w:val="0"/>
        </w:rPr>
      </w:pPr>
    </w:p>
    <w:p w:rsidR="00712C96" w:rsidRDefault="00712C96" w:rsidP="00BC0794">
      <w:pPr>
        <w:pStyle w:val="NoNumPlain1"/>
        <w:sectPr w:rsidR="00712C96" w:rsidSect="00D74C6A">
          <w:footerReference w:type="default" r:id="rId12"/>
          <w:pgSz w:w="11907" w:h="16840" w:code="9"/>
          <w:pgMar w:top="1418" w:right="1418" w:bottom="1418" w:left="1418" w:header="709" w:footer="709" w:gutter="0"/>
          <w:paperSrc w:first="7" w:other="7"/>
          <w:cols w:space="720"/>
          <w:docGrid w:linePitch="65"/>
        </w:sectPr>
      </w:pPr>
    </w:p>
    <w:p w:rsidR="006979A3" w:rsidRPr="00766E15" w:rsidRDefault="006979A3" w:rsidP="006979A3">
      <w:pPr>
        <w:pStyle w:val="ConvSectionTitle"/>
        <w:jc w:val="both"/>
      </w:pPr>
      <w:r w:rsidRPr="00766E15">
        <w:lastRenderedPageBreak/>
        <w:t xml:space="preserve">Basis for Conclusions </w:t>
      </w:r>
    </w:p>
    <w:p w:rsidR="006979A3" w:rsidRPr="00766E15" w:rsidRDefault="006979A3" w:rsidP="006979A3">
      <w:pPr>
        <w:pStyle w:val="AppendixNote"/>
        <w:spacing w:after="100"/>
      </w:pPr>
      <w:r w:rsidRPr="00766E15">
        <w:t xml:space="preserve">This Basis for Conclusions accompanies, but is not part of, </w:t>
      </w:r>
      <w:r w:rsidR="00600773">
        <w:t>AASB </w:t>
      </w:r>
      <w:r w:rsidR="00B3637E">
        <w:fldChar w:fldCharType="begin"/>
      </w:r>
      <w:r w:rsidR="00B3637E">
        <w:instrText xml:space="preserve"> REF \* charformat DocNo </w:instrText>
      </w:r>
      <w:r w:rsidR="00B3637E">
        <w:fldChar w:fldCharType="separate"/>
      </w:r>
      <w:r w:rsidR="00B3637E">
        <w:t>2018-8</w:t>
      </w:r>
      <w:r w:rsidR="00B3637E">
        <w:fldChar w:fldCharType="end"/>
      </w:r>
      <w:r w:rsidR="00600773">
        <w:t xml:space="preserve"> </w:t>
      </w:r>
      <w:r w:rsidR="00600773">
        <w:rPr>
          <w:i w:val="0"/>
        </w:rPr>
        <w:fldChar w:fldCharType="begin"/>
      </w:r>
      <w:r w:rsidR="00600773">
        <w:rPr>
          <w:i w:val="0"/>
        </w:rPr>
        <w:instrText xml:space="preserve"> REF \* charformat DocTitle </w:instrText>
      </w:r>
      <w:r w:rsidR="00600773">
        <w:rPr>
          <w:i w:val="0"/>
        </w:rPr>
        <w:fldChar w:fldCharType="separate"/>
      </w:r>
      <w:r w:rsidR="00B3637E" w:rsidRPr="00B3637E">
        <w:rPr>
          <w:i w:val="0"/>
        </w:rPr>
        <w:t>Amendments to Australian Accounting Standards – Right</w:t>
      </w:r>
      <w:r w:rsidR="00B3637E" w:rsidRPr="00B3637E">
        <w:rPr>
          <w:i w:val="0"/>
        </w:rPr>
        <w:noBreakHyphen/>
        <w:t>of</w:t>
      </w:r>
      <w:r w:rsidR="00B3637E" w:rsidRPr="00B3637E">
        <w:rPr>
          <w:i w:val="0"/>
        </w:rPr>
        <w:noBreakHyphen/>
        <w:t>Use Assets of Not</w:t>
      </w:r>
      <w:r w:rsidR="00B3637E" w:rsidRPr="00B3637E">
        <w:rPr>
          <w:i w:val="0"/>
        </w:rPr>
        <w:noBreakHyphen/>
        <w:t>for</w:t>
      </w:r>
      <w:r w:rsidR="00B3637E" w:rsidRPr="00B3637E">
        <w:rPr>
          <w:i w:val="0"/>
        </w:rPr>
        <w:noBreakHyphen/>
        <w:t>Profit Entities</w:t>
      </w:r>
      <w:r w:rsidR="00600773">
        <w:rPr>
          <w:i w:val="0"/>
        </w:rPr>
        <w:fldChar w:fldCharType="end"/>
      </w:r>
      <w:r w:rsidRPr="00766E15">
        <w:t>.</w:t>
      </w:r>
    </w:p>
    <w:p w:rsidR="006979A3" w:rsidRPr="00766E15" w:rsidRDefault="006979A3" w:rsidP="006979A3">
      <w:pPr>
        <w:pStyle w:val="IASBSectionTitle1NonInd"/>
        <w:jc w:val="both"/>
      </w:pPr>
      <w:r w:rsidRPr="00766E15">
        <w:t>Introduction</w:t>
      </w:r>
    </w:p>
    <w:p w:rsidR="006979A3" w:rsidRPr="00766E15" w:rsidRDefault="006979A3" w:rsidP="006979A3">
      <w:pPr>
        <w:pStyle w:val="NumBC1"/>
        <w:numPr>
          <w:ilvl w:val="0"/>
          <w:numId w:val="20"/>
        </w:numPr>
        <w:spacing w:before="0"/>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rsidR="006979A3" w:rsidRPr="00766E15" w:rsidRDefault="006979A3" w:rsidP="006979A3">
      <w:pPr>
        <w:pStyle w:val="IASBSectionTitle1NonInd"/>
        <w:jc w:val="both"/>
        <w:rPr>
          <w:iCs/>
        </w:rPr>
      </w:pPr>
      <w:r w:rsidRPr="00766E15">
        <w:t xml:space="preserve">Reasons for </w:t>
      </w:r>
      <w:r>
        <w:t>issuing this Standard</w:t>
      </w:r>
    </w:p>
    <w:p w:rsidR="00814610" w:rsidRPr="00814610" w:rsidRDefault="00814610" w:rsidP="00814610">
      <w:pPr>
        <w:pStyle w:val="NoNumPlain1"/>
        <w:numPr>
          <w:ilvl w:val="0"/>
          <w:numId w:val="20"/>
        </w:numPr>
      </w:pPr>
      <w:r w:rsidRPr="00814610">
        <w:t xml:space="preserve">AASB 1058 </w:t>
      </w:r>
      <w:r w:rsidRPr="00814610">
        <w:rPr>
          <w:i/>
        </w:rPr>
        <w:t>Income of Not-for-Profit Entities</w:t>
      </w:r>
      <w:r w:rsidRPr="00814610">
        <w:t xml:space="preserve"> and AASB 16 </w:t>
      </w:r>
      <w:r w:rsidRPr="00814610">
        <w:rPr>
          <w:i/>
        </w:rPr>
        <w:t>Leases</w:t>
      </w:r>
      <w:r w:rsidRPr="00814610">
        <w:t xml:space="preserve"> are effective for annual reporting periods beginning on or after 1 January 2019. These Standards require not-for-profit entities to measure right-of-use assets at initial recognition at fair value </w:t>
      </w:r>
      <w:r w:rsidR="00A66BEE">
        <w:t>for</w:t>
      </w:r>
      <w:r w:rsidRPr="00814610">
        <w:t xml:space="preserve"> leases that have significantly below-market terms and conditions principally to enable the entity to further its objectives. </w:t>
      </w:r>
    </w:p>
    <w:p w:rsidR="000B13F1" w:rsidRPr="00796082" w:rsidRDefault="000B13F1" w:rsidP="00796082">
      <w:pPr>
        <w:pStyle w:val="NoNumPlain1"/>
        <w:numPr>
          <w:ilvl w:val="0"/>
          <w:numId w:val="20"/>
        </w:numPr>
      </w:pPr>
      <w:r w:rsidRPr="00796082">
        <w:t xml:space="preserve">For ease of reference in this </w:t>
      </w:r>
      <w:r>
        <w:t>Basis for Conclusions</w:t>
      </w:r>
      <w:r w:rsidRPr="00796082">
        <w:t>, leases that have significantly below-market terms and conditions principally to enable the entity to further its objectives are referred to as ‘</w:t>
      </w:r>
      <w:r w:rsidR="00CC42AE">
        <w:t>concessionary</w:t>
      </w:r>
      <w:r w:rsidRPr="00796082">
        <w:t xml:space="preserve"> leases’.</w:t>
      </w:r>
    </w:p>
    <w:p w:rsidR="00A66BEE" w:rsidRPr="00A66BEE" w:rsidRDefault="00F65006" w:rsidP="00A66BEE">
      <w:pPr>
        <w:pStyle w:val="NoNumPlain1"/>
        <w:numPr>
          <w:ilvl w:val="0"/>
          <w:numId w:val="20"/>
        </w:numPr>
        <w:rPr>
          <w:szCs w:val="19"/>
        </w:rPr>
      </w:pPr>
      <w:bookmarkStart w:id="18" w:name="_Ref523830232"/>
      <w:r>
        <w:t>The Board</w:t>
      </w:r>
      <w:r w:rsidR="00A66BEE" w:rsidRPr="006C4C6D">
        <w:t xml:space="preserve"> considered comments from stakeholders in the not-for-profit sector preparing f</w:t>
      </w:r>
      <w:r w:rsidR="00A66BEE">
        <w:t>or the implementation of AASB 16 and AASB 1058</w:t>
      </w:r>
      <w:r w:rsidR="00A66BEE" w:rsidRPr="006C4C6D">
        <w:t xml:space="preserve">, some of whom expressed difficulties in </w:t>
      </w:r>
      <w:r w:rsidR="00A66BEE">
        <w:t xml:space="preserve">applying the principles in AASB 13 </w:t>
      </w:r>
      <w:r w:rsidR="00A66BEE" w:rsidRPr="00F5619D">
        <w:rPr>
          <w:i/>
        </w:rPr>
        <w:t>Fair Value Measurement</w:t>
      </w:r>
      <w:r w:rsidR="00A66BEE">
        <w:t xml:space="preserve"> in </w:t>
      </w:r>
      <w:r w:rsidR="00A66BEE" w:rsidRPr="006C4C6D">
        <w:t>determining the fair value of right-of-use assets</w:t>
      </w:r>
      <w:r w:rsidR="00A66BEE">
        <w:t xml:space="preserve"> arising under </w:t>
      </w:r>
      <w:r w:rsidR="00101F69">
        <w:t>concessionary lease</w:t>
      </w:r>
      <w:r w:rsidR="00A66BEE">
        <w:t xml:space="preserve">s. The difficulties noted included how often-significant restrictions on the right of use of the underlying assets and the specialised nature of the underlying assets </w:t>
      </w:r>
      <w:r w:rsidR="004870D0">
        <w:t xml:space="preserve">should be </w:t>
      </w:r>
      <w:r w:rsidR="00A66BEE">
        <w:t>incorporated in the valuation of right</w:t>
      </w:r>
      <w:r w:rsidR="00A66BEE">
        <w:noBreakHyphen/>
        <w:t>of</w:t>
      </w:r>
      <w:r w:rsidR="00A66BEE">
        <w:noBreakHyphen/>
        <w:t xml:space="preserve">use assets </w:t>
      </w:r>
      <w:r w:rsidR="00A66BEE" w:rsidRPr="006C4C6D">
        <w:t xml:space="preserve">arising from </w:t>
      </w:r>
      <w:r w:rsidR="00101F69">
        <w:t>concessionary lease</w:t>
      </w:r>
      <w:r w:rsidR="00A66BEE" w:rsidRPr="006C4C6D">
        <w:t>s</w:t>
      </w:r>
      <w:r w:rsidR="00A66BEE">
        <w:t xml:space="preserve">. </w:t>
      </w:r>
    </w:p>
    <w:p w:rsidR="00A66BEE" w:rsidRPr="00962259" w:rsidRDefault="00A66BEE" w:rsidP="00A66BEE">
      <w:pPr>
        <w:pStyle w:val="NoNumPlain1"/>
        <w:numPr>
          <w:ilvl w:val="0"/>
          <w:numId w:val="20"/>
        </w:numPr>
        <w:rPr>
          <w:szCs w:val="19"/>
        </w:rPr>
      </w:pPr>
      <w:r>
        <w:t>Whilst other assets required by other Standards to be fair valued might also be subject to restrictions on use</w:t>
      </w:r>
      <w:r w:rsidRPr="00A948A2">
        <w:t xml:space="preserve"> </w:t>
      </w:r>
      <w:r>
        <w:t>or</w:t>
      </w:r>
      <w:r w:rsidR="00F65006">
        <w:t xml:space="preserve"> specialised in nature, the Board</w:t>
      </w:r>
      <w:r>
        <w:t xml:space="preserve"> noted that the issues related to right-of-use assets for lessees might be different </w:t>
      </w:r>
      <w:r w:rsidRPr="00962259">
        <w:rPr>
          <w:szCs w:val="19"/>
        </w:rPr>
        <w:t xml:space="preserve">to </w:t>
      </w:r>
      <w:r>
        <w:rPr>
          <w:szCs w:val="19"/>
        </w:rPr>
        <w:t xml:space="preserve">the issues for </w:t>
      </w:r>
      <w:r w:rsidRPr="00962259">
        <w:rPr>
          <w:szCs w:val="19"/>
        </w:rPr>
        <w:t>owner</w:t>
      </w:r>
      <w:r>
        <w:rPr>
          <w:szCs w:val="19"/>
        </w:rPr>
        <w:t>s</w:t>
      </w:r>
      <w:r w:rsidRPr="00962259">
        <w:rPr>
          <w:szCs w:val="19"/>
        </w:rPr>
        <w:t xml:space="preserve"> of the assets</w:t>
      </w:r>
      <w:r>
        <w:rPr>
          <w:szCs w:val="19"/>
        </w:rPr>
        <w:t>, making it difficult to determine the fair value of right-of</w:t>
      </w:r>
      <w:r w:rsidR="004870D0">
        <w:rPr>
          <w:szCs w:val="19"/>
        </w:rPr>
        <w:noBreakHyphen/>
      </w:r>
      <w:r>
        <w:rPr>
          <w:szCs w:val="19"/>
        </w:rPr>
        <w:t>use assets simply by reference to the fair value of the underlying assets</w:t>
      </w:r>
      <w:r w:rsidRPr="00962259">
        <w:rPr>
          <w:szCs w:val="19"/>
        </w:rPr>
        <w:t xml:space="preserve">. </w:t>
      </w:r>
      <w:r>
        <w:rPr>
          <w:szCs w:val="19"/>
        </w:rPr>
        <w:t xml:space="preserve">Since the principles in </w:t>
      </w:r>
      <w:r w:rsidRPr="00962259">
        <w:rPr>
          <w:szCs w:val="19"/>
        </w:rPr>
        <w:t xml:space="preserve">AASB 13 are based on market participants buying and selling assets, further guidance </w:t>
      </w:r>
      <w:r>
        <w:rPr>
          <w:szCs w:val="19"/>
        </w:rPr>
        <w:t>appears to be needed</w:t>
      </w:r>
      <w:r w:rsidRPr="00962259">
        <w:rPr>
          <w:szCs w:val="19"/>
        </w:rPr>
        <w:t xml:space="preserve"> to assist not</w:t>
      </w:r>
      <w:r w:rsidRPr="00962259">
        <w:rPr>
          <w:szCs w:val="19"/>
        </w:rPr>
        <w:noBreakHyphen/>
        <w:t>for</w:t>
      </w:r>
      <w:r w:rsidRPr="00962259">
        <w:rPr>
          <w:szCs w:val="19"/>
        </w:rPr>
        <w:noBreakHyphen/>
        <w:t xml:space="preserve">profit entities in applying the principles </w:t>
      </w:r>
      <w:r>
        <w:rPr>
          <w:szCs w:val="19"/>
        </w:rPr>
        <w:t xml:space="preserve">to right-of-use assets </w:t>
      </w:r>
      <w:r w:rsidRPr="00962259">
        <w:rPr>
          <w:szCs w:val="19"/>
        </w:rPr>
        <w:t xml:space="preserve">in </w:t>
      </w:r>
      <w:r w:rsidR="00101F69">
        <w:rPr>
          <w:szCs w:val="19"/>
        </w:rPr>
        <w:t>concessionary lease</w:t>
      </w:r>
      <w:r w:rsidRPr="00962259">
        <w:rPr>
          <w:szCs w:val="19"/>
        </w:rPr>
        <w:t xml:space="preserve"> arrangements.</w:t>
      </w:r>
    </w:p>
    <w:p w:rsidR="00A66BEE" w:rsidRPr="00962259" w:rsidRDefault="00F65006" w:rsidP="00A66BEE">
      <w:pPr>
        <w:pStyle w:val="NoNumPlain1"/>
        <w:numPr>
          <w:ilvl w:val="0"/>
          <w:numId w:val="20"/>
        </w:numPr>
        <w:rPr>
          <w:szCs w:val="19"/>
        </w:rPr>
      </w:pPr>
      <w:r>
        <w:rPr>
          <w:szCs w:val="19"/>
        </w:rPr>
        <w:t>The Board</w:t>
      </w:r>
      <w:r w:rsidR="00A66BEE">
        <w:rPr>
          <w:szCs w:val="19"/>
        </w:rPr>
        <w:t xml:space="preserve"> considered</w:t>
      </w:r>
      <w:r w:rsidR="00A66BEE" w:rsidRPr="00962259">
        <w:rPr>
          <w:szCs w:val="19"/>
        </w:rPr>
        <w:t xml:space="preserve"> the prevalence and magnitude of </w:t>
      </w:r>
      <w:r w:rsidR="00101F69">
        <w:rPr>
          <w:szCs w:val="19"/>
        </w:rPr>
        <w:t>concessionary lease</w:t>
      </w:r>
      <w:r w:rsidR="00A66BEE" w:rsidRPr="00962259">
        <w:rPr>
          <w:szCs w:val="19"/>
        </w:rPr>
        <w:t>s in the not</w:t>
      </w:r>
      <w:r w:rsidR="00A66BEE" w:rsidRPr="00962259">
        <w:rPr>
          <w:szCs w:val="19"/>
        </w:rPr>
        <w:noBreakHyphen/>
        <w:t>for</w:t>
      </w:r>
      <w:r w:rsidR="00A66BEE" w:rsidRPr="00962259">
        <w:rPr>
          <w:szCs w:val="19"/>
        </w:rPr>
        <w:noBreakHyphen/>
        <w:t xml:space="preserve">profit sector, </w:t>
      </w:r>
      <w:r w:rsidR="00A66BEE">
        <w:rPr>
          <w:szCs w:val="19"/>
        </w:rPr>
        <w:t xml:space="preserve">and the significance of restrictions on rights of use of the underlying assets in many cases. </w:t>
      </w:r>
      <w:r>
        <w:rPr>
          <w:szCs w:val="19"/>
        </w:rPr>
        <w:t>The Board</w:t>
      </w:r>
      <w:r w:rsidR="00A66BEE" w:rsidRPr="00962259">
        <w:rPr>
          <w:szCs w:val="19"/>
        </w:rPr>
        <w:t xml:space="preserve"> </w:t>
      </w:r>
      <w:r>
        <w:rPr>
          <w:szCs w:val="19"/>
        </w:rPr>
        <w:t xml:space="preserve">also </w:t>
      </w:r>
      <w:r w:rsidR="00A66BEE">
        <w:rPr>
          <w:szCs w:val="19"/>
        </w:rPr>
        <w:t xml:space="preserve">noted that </w:t>
      </w:r>
      <w:r w:rsidR="00A66BEE" w:rsidRPr="00962259">
        <w:rPr>
          <w:szCs w:val="19"/>
        </w:rPr>
        <w:t xml:space="preserve">a temporary option for not-for-profit lessees to not </w:t>
      </w:r>
      <w:r w:rsidR="00A66BEE" w:rsidRPr="00164788">
        <w:rPr>
          <w:szCs w:val="19"/>
        </w:rPr>
        <w:t xml:space="preserve">measure </w:t>
      </w:r>
      <w:r w:rsidR="004870D0">
        <w:rPr>
          <w:szCs w:val="19"/>
        </w:rPr>
        <w:t xml:space="preserve">a class (or classes) of </w:t>
      </w:r>
      <w:r w:rsidR="00A66BEE">
        <w:rPr>
          <w:szCs w:val="19"/>
        </w:rPr>
        <w:t>right</w:t>
      </w:r>
      <w:r w:rsidR="00A66BEE">
        <w:rPr>
          <w:szCs w:val="19"/>
        </w:rPr>
        <w:noBreakHyphen/>
        <w:t>of</w:t>
      </w:r>
      <w:r w:rsidR="00A66BEE">
        <w:rPr>
          <w:szCs w:val="19"/>
        </w:rPr>
        <w:noBreakHyphen/>
      </w:r>
      <w:r w:rsidR="00A66BEE" w:rsidRPr="00164788">
        <w:rPr>
          <w:szCs w:val="19"/>
        </w:rPr>
        <w:t>use asset</w:t>
      </w:r>
      <w:r w:rsidR="00A66BEE">
        <w:rPr>
          <w:szCs w:val="19"/>
        </w:rPr>
        <w:t>s</w:t>
      </w:r>
      <w:r w:rsidR="00A66BEE" w:rsidRPr="00164788">
        <w:rPr>
          <w:szCs w:val="19"/>
        </w:rPr>
        <w:t xml:space="preserve"> </w:t>
      </w:r>
      <w:r w:rsidR="00A66BEE">
        <w:rPr>
          <w:szCs w:val="19"/>
        </w:rPr>
        <w:t xml:space="preserve">at initial recognition at fair value for </w:t>
      </w:r>
      <w:r w:rsidR="00101F69">
        <w:rPr>
          <w:szCs w:val="19"/>
        </w:rPr>
        <w:t>concessionary lease</w:t>
      </w:r>
      <w:r w:rsidR="00A66BEE">
        <w:rPr>
          <w:szCs w:val="19"/>
        </w:rPr>
        <w:t>s</w:t>
      </w:r>
      <w:r w:rsidR="00A66BEE" w:rsidRPr="00962259">
        <w:rPr>
          <w:szCs w:val="19"/>
        </w:rPr>
        <w:t xml:space="preserve"> </w:t>
      </w:r>
      <w:r w:rsidR="00A66BEE">
        <w:rPr>
          <w:szCs w:val="19"/>
        </w:rPr>
        <w:t xml:space="preserve">would </w:t>
      </w:r>
      <w:r w:rsidR="00A66BEE" w:rsidRPr="00962259">
        <w:rPr>
          <w:szCs w:val="19"/>
        </w:rPr>
        <w:t xml:space="preserve">avoid undue cost and effort </w:t>
      </w:r>
      <w:r w:rsidR="00A66BEE">
        <w:rPr>
          <w:szCs w:val="19"/>
        </w:rPr>
        <w:t xml:space="preserve">being </w:t>
      </w:r>
      <w:r w:rsidR="00A66BEE" w:rsidRPr="00962259">
        <w:rPr>
          <w:szCs w:val="19"/>
        </w:rPr>
        <w:t xml:space="preserve">incurred by preparers </w:t>
      </w:r>
      <w:r w:rsidR="00A66BEE">
        <w:rPr>
          <w:szCs w:val="19"/>
        </w:rPr>
        <w:t xml:space="preserve">in </w:t>
      </w:r>
      <w:r w:rsidR="00A66BEE" w:rsidRPr="00962259">
        <w:rPr>
          <w:szCs w:val="19"/>
        </w:rPr>
        <w:t>apply</w:t>
      </w:r>
      <w:r w:rsidR="00A66BEE">
        <w:rPr>
          <w:szCs w:val="19"/>
        </w:rPr>
        <w:t>ing</w:t>
      </w:r>
      <w:r w:rsidR="00A66BEE" w:rsidRPr="00962259">
        <w:rPr>
          <w:szCs w:val="19"/>
        </w:rPr>
        <w:t xml:space="preserve"> AASB 13</w:t>
      </w:r>
      <w:r w:rsidR="00A66BEE">
        <w:rPr>
          <w:szCs w:val="19"/>
        </w:rPr>
        <w:t xml:space="preserve"> in the absence of additional guidance</w:t>
      </w:r>
      <w:r>
        <w:rPr>
          <w:szCs w:val="19"/>
        </w:rPr>
        <w:t>. The Board a</w:t>
      </w:r>
      <w:r w:rsidR="001C2F2A">
        <w:rPr>
          <w:szCs w:val="19"/>
        </w:rPr>
        <w:t>s</w:t>
      </w:r>
      <w:r w:rsidR="00A66BEE">
        <w:rPr>
          <w:szCs w:val="19"/>
        </w:rPr>
        <w:t xml:space="preserve">sessed these factors with reference </w:t>
      </w:r>
      <w:r w:rsidR="00A66BEE" w:rsidRPr="00962259">
        <w:rPr>
          <w:szCs w:val="19"/>
        </w:rPr>
        <w:t xml:space="preserve">to </w:t>
      </w:r>
      <w:r w:rsidR="00A66BEE" w:rsidRPr="00B625DB">
        <w:rPr>
          <w:i/>
          <w:szCs w:val="19"/>
        </w:rPr>
        <w:t xml:space="preserve">The AASB’s Not-for-Profit </w:t>
      </w:r>
      <w:r w:rsidR="00A66BEE">
        <w:rPr>
          <w:i/>
          <w:szCs w:val="19"/>
        </w:rPr>
        <w:t xml:space="preserve">Entity </w:t>
      </w:r>
      <w:r w:rsidR="00A66BEE" w:rsidRPr="00B625DB">
        <w:rPr>
          <w:i/>
          <w:szCs w:val="19"/>
        </w:rPr>
        <w:t>Standard-Setting Framework</w:t>
      </w:r>
      <w:r w:rsidR="00A66BEE" w:rsidRPr="00962259">
        <w:rPr>
          <w:szCs w:val="19"/>
        </w:rPr>
        <w:t xml:space="preserve"> </w:t>
      </w:r>
      <w:r w:rsidR="00A66BEE">
        <w:rPr>
          <w:szCs w:val="19"/>
        </w:rPr>
        <w:t xml:space="preserve">and decided to </w:t>
      </w:r>
      <w:r w:rsidR="00A66BEE" w:rsidRPr="00962259">
        <w:rPr>
          <w:szCs w:val="19"/>
        </w:rPr>
        <w:t xml:space="preserve">propose </w:t>
      </w:r>
      <w:r w:rsidR="00A66BEE">
        <w:rPr>
          <w:szCs w:val="19"/>
        </w:rPr>
        <w:t>the</w:t>
      </w:r>
      <w:r w:rsidR="00A66BEE" w:rsidRPr="00962259">
        <w:rPr>
          <w:szCs w:val="19"/>
        </w:rPr>
        <w:t xml:space="preserve"> temporary option</w:t>
      </w:r>
      <w:r w:rsidR="00A66BEE">
        <w:rPr>
          <w:szCs w:val="19"/>
        </w:rPr>
        <w:t>.</w:t>
      </w:r>
      <w:r w:rsidR="00A66BEE" w:rsidRPr="00962259">
        <w:rPr>
          <w:szCs w:val="19"/>
        </w:rPr>
        <w:t xml:space="preserve"> The interpretative issues arising from fair valuing </w:t>
      </w:r>
      <w:r w:rsidR="00A66BEE">
        <w:rPr>
          <w:szCs w:val="19"/>
        </w:rPr>
        <w:t xml:space="preserve">right-of-use assets arising under </w:t>
      </w:r>
      <w:r w:rsidR="00101F69">
        <w:rPr>
          <w:szCs w:val="19"/>
        </w:rPr>
        <w:t>concessionary lease</w:t>
      </w:r>
      <w:r w:rsidR="00A66BEE" w:rsidRPr="00962259">
        <w:rPr>
          <w:szCs w:val="19"/>
        </w:rPr>
        <w:t xml:space="preserve">s will be addressed </w:t>
      </w:r>
      <w:r w:rsidR="00A66BEE">
        <w:rPr>
          <w:szCs w:val="19"/>
        </w:rPr>
        <w:t xml:space="preserve">in </w:t>
      </w:r>
      <w:r w:rsidR="00A66BEE" w:rsidRPr="00962259">
        <w:rPr>
          <w:szCs w:val="19"/>
        </w:rPr>
        <w:t xml:space="preserve">the AASB’s Fair Value Measurement </w:t>
      </w:r>
      <w:r w:rsidR="00A66BEE">
        <w:rPr>
          <w:szCs w:val="19"/>
        </w:rPr>
        <w:t xml:space="preserve">for Public Sector Entities </w:t>
      </w:r>
      <w:r w:rsidR="00A66BEE" w:rsidRPr="00962259">
        <w:rPr>
          <w:szCs w:val="19"/>
        </w:rPr>
        <w:t xml:space="preserve">project. </w:t>
      </w:r>
    </w:p>
    <w:p w:rsidR="00A66BEE" w:rsidRDefault="00D35E5C" w:rsidP="004C4B71">
      <w:pPr>
        <w:pStyle w:val="NoNumPlain1"/>
        <w:numPr>
          <w:ilvl w:val="0"/>
          <w:numId w:val="20"/>
        </w:numPr>
        <w:rPr>
          <w:szCs w:val="19"/>
        </w:rPr>
      </w:pPr>
      <w:r>
        <w:rPr>
          <w:szCs w:val="19"/>
        </w:rPr>
        <w:t>The Board also noted that t</w:t>
      </w:r>
      <w:r w:rsidR="00A66BEE" w:rsidRPr="00962259">
        <w:rPr>
          <w:szCs w:val="19"/>
        </w:rPr>
        <w:t xml:space="preserve">he financial reporting thresholds </w:t>
      </w:r>
      <w:r w:rsidR="00A66BEE">
        <w:rPr>
          <w:szCs w:val="19"/>
        </w:rPr>
        <w:t xml:space="preserve">for </w:t>
      </w:r>
      <w:r w:rsidR="00A66BEE" w:rsidRPr="00962259">
        <w:rPr>
          <w:szCs w:val="19"/>
        </w:rPr>
        <w:t xml:space="preserve">not-for-profit private sector entities may be revised as a result of the ACNC Legislative Review recommendations. </w:t>
      </w:r>
      <w:r>
        <w:rPr>
          <w:szCs w:val="19"/>
        </w:rPr>
        <w:t xml:space="preserve">It </w:t>
      </w:r>
      <w:r w:rsidR="00A66BEE" w:rsidRPr="00962259">
        <w:rPr>
          <w:szCs w:val="19"/>
        </w:rPr>
        <w:t xml:space="preserve">is possible that entities at the lower level of the reporting thresholds might not be required in future to apply the requirements of AASB 16 and AASB 1058. The temporary option would avoid </w:t>
      </w:r>
      <w:r w:rsidR="00A66BEE">
        <w:rPr>
          <w:szCs w:val="19"/>
        </w:rPr>
        <w:t>such smaller entities incurring costs in measuring</w:t>
      </w:r>
      <w:r w:rsidR="00A66BEE" w:rsidRPr="00AD2F94">
        <w:rPr>
          <w:szCs w:val="19"/>
        </w:rPr>
        <w:t xml:space="preserve"> </w:t>
      </w:r>
      <w:r w:rsidR="00A66BEE">
        <w:rPr>
          <w:szCs w:val="19"/>
        </w:rPr>
        <w:t>right</w:t>
      </w:r>
      <w:r w:rsidR="00A66BEE">
        <w:rPr>
          <w:szCs w:val="19"/>
        </w:rPr>
        <w:noBreakHyphen/>
        <w:t>of</w:t>
      </w:r>
      <w:r w:rsidR="00A66BEE">
        <w:rPr>
          <w:szCs w:val="19"/>
        </w:rPr>
        <w:noBreakHyphen/>
        <w:t>use</w:t>
      </w:r>
      <w:r w:rsidR="00A66BEE" w:rsidRPr="00AD2F94">
        <w:rPr>
          <w:szCs w:val="19"/>
        </w:rPr>
        <w:t xml:space="preserve"> assets </w:t>
      </w:r>
      <w:r w:rsidR="00A66BEE">
        <w:rPr>
          <w:szCs w:val="19"/>
        </w:rPr>
        <w:t xml:space="preserve">at initial recognition </w:t>
      </w:r>
      <w:r w:rsidR="00A66BEE" w:rsidRPr="00AD2F94">
        <w:rPr>
          <w:szCs w:val="19"/>
        </w:rPr>
        <w:t xml:space="preserve">at fair value when they might </w:t>
      </w:r>
      <w:r w:rsidR="00A66BEE">
        <w:rPr>
          <w:szCs w:val="19"/>
        </w:rPr>
        <w:t>be exempted from</w:t>
      </w:r>
      <w:r w:rsidR="00A66BEE" w:rsidRPr="00AD2F94">
        <w:rPr>
          <w:szCs w:val="19"/>
        </w:rPr>
        <w:t xml:space="preserve"> this requirement in future</w:t>
      </w:r>
      <w:r w:rsidR="00A66BEE">
        <w:rPr>
          <w:szCs w:val="19"/>
        </w:rPr>
        <w:t xml:space="preserve"> by not being required to prepare financial statements that comply with Accounting Standards.</w:t>
      </w:r>
    </w:p>
    <w:bookmarkEnd w:id="18"/>
    <w:p w:rsidR="006979A3" w:rsidRDefault="00D35E5C" w:rsidP="006979A3">
      <w:pPr>
        <w:pStyle w:val="NumBC1"/>
        <w:numPr>
          <w:ilvl w:val="0"/>
          <w:numId w:val="20"/>
        </w:numPr>
        <w:spacing w:before="0"/>
      </w:pPr>
      <w:r>
        <w:t xml:space="preserve">However, as </w:t>
      </w:r>
      <w:r w:rsidR="006979A3" w:rsidRPr="006245E8">
        <w:t>some not</w:t>
      </w:r>
      <w:r w:rsidR="006979A3" w:rsidRPr="006245E8">
        <w:noBreakHyphen/>
        <w:t>for</w:t>
      </w:r>
      <w:r w:rsidR="006979A3" w:rsidRPr="006245E8">
        <w:noBreakHyphen/>
        <w:t xml:space="preserve">profit entities </w:t>
      </w:r>
      <w:r>
        <w:t xml:space="preserve">had already </w:t>
      </w:r>
      <w:r w:rsidR="00E81BA4">
        <w:t>commenced</w:t>
      </w:r>
      <w:r w:rsidR="006979A3" w:rsidRPr="006245E8">
        <w:t xml:space="preserve"> the process of determining the fair value of right</w:t>
      </w:r>
      <w:r w:rsidR="006979A3" w:rsidRPr="006245E8">
        <w:noBreakHyphen/>
        <w:t>of</w:t>
      </w:r>
      <w:r w:rsidR="006979A3" w:rsidRPr="006245E8">
        <w:noBreakHyphen/>
        <w:t xml:space="preserve">use assets </w:t>
      </w:r>
      <w:r w:rsidR="00F65006">
        <w:t>in</w:t>
      </w:r>
      <w:r w:rsidR="006979A3" w:rsidRPr="006245E8">
        <w:t xml:space="preserve"> </w:t>
      </w:r>
      <w:r w:rsidR="00101F69">
        <w:t>concessionary lease</w:t>
      </w:r>
      <w:r w:rsidR="006979A3" w:rsidRPr="006245E8">
        <w:t>s</w:t>
      </w:r>
      <w:r>
        <w:t>, the Board decided to make the temporary relief optional</w:t>
      </w:r>
      <w:r w:rsidR="006979A3" w:rsidRPr="006245E8">
        <w:t xml:space="preserve">. </w:t>
      </w:r>
      <w:r>
        <w:t xml:space="preserve">This </w:t>
      </w:r>
      <w:r w:rsidR="006979A3" w:rsidRPr="006245E8">
        <w:t>allow</w:t>
      </w:r>
      <w:r>
        <w:t>s</w:t>
      </w:r>
      <w:r w:rsidR="006979A3" w:rsidRPr="006245E8">
        <w:t xml:space="preserve"> these entities to continue their work on fair valuing </w:t>
      </w:r>
      <w:r w:rsidR="00101F69">
        <w:t>concessionary lease</w:t>
      </w:r>
      <w:r w:rsidR="006979A3" w:rsidRPr="006245E8">
        <w:t>s and applying the fair value initial recognition measurement requirements to measure right</w:t>
      </w:r>
      <w:r w:rsidR="006979A3" w:rsidRPr="006245E8">
        <w:noBreakHyphen/>
        <w:t>of</w:t>
      </w:r>
      <w:r w:rsidR="006979A3" w:rsidRPr="006245E8">
        <w:noBreakHyphen/>
        <w:t xml:space="preserve">use assets.  </w:t>
      </w:r>
    </w:p>
    <w:p w:rsidR="00D35E5C" w:rsidRDefault="00D35E5C" w:rsidP="006979A3">
      <w:pPr>
        <w:pStyle w:val="NumBC1"/>
        <w:numPr>
          <w:ilvl w:val="0"/>
          <w:numId w:val="20"/>
        </w:numPr>
        <w:spacing w:before="0"/>
      </w:pPr>
      <w:r>
        <w:t xml:space="preserve">Entities electing not to measure the right-of-use assets in </w:t>
      </w:r>
      <w:r w:rsidR="00101F69">
        <w:t>concessionary lease</w:t>
      </w:r>
      <w:r>
        <w:t xml:space="preserve">s at fair value will recognise the assets at cost in accordance with AASB 16 </w:t>
      </w:r>
      <w:r w:rsidR="004870D0">
        <w:t>(</w:t>
      </w:r>
      <w:r>
        <w:t>paragraphs 23</w:t>
      </w:r>
      <w:r w:rsidR="004870D0">
        <w:t>–</w:t>
      </w:r>
      <w:r>
        <w:t>25</w:t>
      </w:r>
      <w:r w:rsidR="004870D0">
        <w:t>)</w:t>
      </w:r>
      <w:r>
        <w:t>, which incorporates the amount of</w:t>
      </w:r>
      <w:r w:rsidR="004870D0">
        <w:t xml:space="preserve"> the</w:t>
      </w:r>
      <w:r>
        <w:t xml:space="preserve"> initial measurement of the lease liability.  </w:t>
      </w:r>
    </w:p>
    <w:p w:rsidR="006979A3" w:rsidRPr="00876765" w:rsidRDefault="006979A3" w:rsidP="00410D50">
      <w:pPr>
        <w:pStyle w:val="NumBC1"/>
        <w:numPr>
          <w:ilvl w:val="0"/>
          <w:numId w:val="20"/>
        </w:numPr>
        <w:spacing w:before="0"/>
      </w:pPr>
      <w:r w:rsidRPr="00876765">
        <w:t>The optional relief will be reassessed when further guidance has been developed to assist not</w:t>
      </w:r>
      <w:r w:rsidRPr="00876765">
        <w:noBreakHyphen/>
        <w:t>for</w:t>
      </w:r>
      <w:r w:rsidRPr="00876765">
        <w:noBreakHyphen/>
        <w:t>profit entities in fair valuing right-of-use assets and the financial reporting requirements for private sector not</w:t>
      </w:r>
      <w:r w:rsidRPr="00876765">
        <w:noBreakHyphen/>
        <w:t>for</w:t>
      </w:r>
      <w:r w:rsidRPr="00876765">
        <w:noBreakHyphen/>
        <w:t xml:space="preserve">profit </w:t>
      </w:r>
      <w:r w:rsidRPr="00876765">
        <w:lastRenderedPageBreak/>
        <w:t>entities have been finalised.</w:t>
      </w:r>
      <w:r w:rsidR="00D57CB3" w:rsidRPr="00D57CB3">
        <w:t xml:space="preserve"> </w:t>
      </w:r>
      <w:r w:rsidR="00D57CB3">
        <w:t>The</w:t>
      </w:r>
      <w:r w:rsidR="00D57CB3" w:rsidRPr="00065F5A">
        <w:t xml:space="preserve"> Board </w:t>
      </w:r>
      <w:r w:rsidR="00D57CB3">
        <w:t>will</w:t>
      </w:r>
      <w:r w:rsidR="00D57CB3" w:rsidRPr="00065F5A">
        <w:t xml:space="preserve"> consider whether to provide a permanent option for not</w:t>
      </w:r>
      <w:r w:rsidR="00D57CB3" w:rsidRPr="00065F5A">
        <w:noBreakHyphen/>
        <w:t>for</w:t>
      </w:r>
      <w:r w:rsidR="00D57CB3" w:rsidRPr="00065F5A">
        <w:noBreakHyphen/>
        <w:t xml:space="preserve">profit entities to measure </w:t>
      </w:r>
      <w:r w:rsidR="00050D99">
        <w:t xml:space="preserve">a class of </w:t>
      </w:r>
      <w:r w:rsidR="00D57CB3" w:rsidRPr="00065F5A">
        <w:t>right</w:t>
      </w:r>
      <w:r w:rsidR="00D57CB3" w:rsidRPr="00065F5A">
        <w:noBreakHyphen/>
        <w:t>of</w:t>
      </w:r>
      <w:r w:rsidR="00D57CB3" w:rsidRPr="00065F5A">
        <w:noBreakHyphen/>
        <w:t>use assets at initial recognition either at cost or at fair value for those concessionary leases</w:t>
      </w:r>
      <w:r w:rsidR="00D57CB3">
        <w:t xml:space="preserve"> entered into prior to the application date of AASB 16</w:t>
      </w:r>
      <w:r w:rsidR="00050D99">
        <w:t xml:space="preserve"> or for all concessionary leases</w:t>
      </w:r>
      <w:r w:rsidR="00D57CB3" w:rsidRPr="00065F5A">
        <w:t>.</w:t>
      </w:r>
    </w:p>
    <w:p w:rsidR="002E0FA9" w:rsidRPr="00766E15" w:rsidRDefault="002E0FA9" w:rsidP="004D4FDA">
      <w:pPr>
        <w:pStyle w:val="IASBSectionTitle1NonInd"/>
        <w:rPr>
          <w:iCs/>
        </w:rPr>
      </w:pPr>
      <w:r>
        <w:t xml:space="preserve">Issue of ED 286 </w:t>
      </w:r>
      <w:r w:rsidRPr="00796082">
        <w:rPr>
          <w:i/>
        </w:rPr>
        <w:fldChar w:fldCharType="begin"/>
      </w:r>
      <w:r w:rsidRPr="00796082">
        <w:rPr>
          <w:i/>
        </w:rPr>
        <w:instrText xml:space="preserve"> REF \* charformat DocTitle </w:instrText>
      </w:r>
      <w:r w:rsidR="00BB447E" w:rsidRPr="00796082">
        <w:rPr>
          <w:i/>
        </w:rPr>
        <w:instrText xml:space="preserve"> \* MERGEFORMAT </w:instrText>
      </w:r>
      <w:r w:rsidRPr="00796082">
        <w:rPr>
          <w:i/>
        </w:rPr>
        <w:fldChar w:fldCharType="separate"/>
      </w:r>
      <w:r w:rsidR="00B3637E" w:rsidRPr="00B3637E">
        <w:rPr>
          <w:i/>
        </w:rPr>
        <w:t>Amendments to Australian Accounting Standards – Right</w:t>
      </w:r>
      <w:r w:rsidR="00B3637E" w:rsidRPr="00B3637E">
        <w:rPr>
          <w:i/>
        </w:rPr>
        <w:noBreakHyphen/>
        <w:t>of</w:t>
      </w:r>
      <w:r w:rsidR="00B3637E" w:rsidRPr="00B3637E">
        <w:rPr>
          <w:i/>
        </w:rPr>
        <w:noBreakHyphen/>
        <w:t>Use Assets of Not</w:t>
      </w:r>
      <w:r w:rsidR="00B3637E" w:rsidRPr="00B3637E">
        <w:rPr>
          <w:i/>
        </w:rPr>
        <w:noBreakHyphen/>
        <w:t>for</w:t>
      </w:r>
      <w:r w:rsidR="00B3637E" w:rsidRPr="00B3637E">
        <w:rPr>
          <w:i/>
        </w:rPr>
        <w:noBreakHyphen/>
        <w:t>Profit Entities</w:t>
      </w:r>
      <w:r w:rsidRPr="00796082">
        <w:rPr>
          <w:i/>
        </w:rPr>
        <w:fldChar w:fldCharType="end"/>
      </w:r>
    </w:p>
    <w:p w:rsidR="009809C0" w:rsidRDefault="00B655F4" w:rsidP="00F65006">
      <w:pPr>
        <w:pStyle w:val="NumBC1"/>
        <w:keepNext/>
        <w:keepLines/>
        <w:numPr>
          <w:ilvl w:val="0"/>
          <w:numId w:val="20"/>
        </w:numPr>
        <w:spacing w:before="0"/>
      </w:pPr>
      <w:r>
        <w:t xml:space="preserve">The Board’s proposals were exposed for public comment in </w:t>
      </w:r>
      <w:r w:rsidR="00BB447E">
        <w:t>November 2018</w:t>
      </w:r>
      <w:r>
        <w:t xml:space="preserve"> </w:t>
      </w:r>
      <w:r w:rsidR="00050D99">
        <w:t>through Exposure Draft</w:t>
      </w:r>
      <w:r>
        <w:t xml:space="preserve"> ED 28</w:t>
      </w:r>
      <w:r w:rsidR="00BB447E">
        <w:t>6</w:t>
      </w:r>
      <w:r>
        <w:t xml:space="preserve"> </w:t>
      </w:r>
      <w:r w:rsidR="00BB447E" w:rsidRPr="00796082">
        <w:rPr>
          <w:i/>
        </w:rPr>
        <w:fldChar w:fldCharType="begin"/>
      </w:r>
      <w:r w:rsidR="00BB447E" w:rsidRPr="009809C0">
        <w:rPr>
          <w:i/>
        </w:rPr>
        <w:instrText xml:space="preserve"> REF \* charformat DocTitle </w:instrText>
      </w:r>
      <w:r w:rsidR="00BB447E" w:rsidRPr="00796082">
        <w:rPr>
          <w:i/>
        </w:rPr>
        <w:fldChar w:fldCharType="separate"/>
      </w:r>
      <w:r w:rsidR="00B3637E" w:rsidRPr="00B3637E">
        <w:rPr>
          <w:i/>
        </w:rPr>
        <w:t>Amendments to Australian Accounting Standards – Right</w:t>
      </w:r>
      <w:r w:rsidR="00B3637E" w:rsidRPr="00B3637E">
        <w:rPr>
          <w:i/>
        </w:rPr>
        <w:noBreakHyphen/>
        <w:t>of</w:t>
      </w:r>
      <w:r w:rsidR="00B3637E" w:rsidRPr="00B3637E">
        <w:rPr>
          <w:i/>
        </w:rPr>
        <w:noBreakHyphen/>
        <w:t>Use Assets of Not</w:t>
      </w:r>
      <w:r w:rsidR="00B3637E" w:rsidRPr="00B3637E">
        <w:rPr>
          <w:i/>
        </w:rPr>
        <w:noBreakHyphen/>
        <w:t>for</w:t>
      </w:r>
      <w:r w:rsidR="00B3637E" w:rsidRPr="00B3637E">
        <w:rPr>
          <w:i/>
        </w:rPr>
        <w:noBreakHyphen/>
        <w:t>Profit Entities</w:t>
      </w:r>
      <w:r w:rsidR="00BB447E" w:rsidRPr="00796082">
        <w:rPr>
          <w:i/>
        </w:rPr>
        <w:fldChar w:fldCharType="end"/>
      </w:r>
      <w:r w:rsidRPr="00C910DA">
        <w:t>.</w:t>
      </w:r>
      <w:r>
        <w:t xml:space="preserve"> </w:t>
      </w:r>
    </w:p>
    <w:p w:rsidR="00B655F4" w:rsidRPr="00065F5A" w:rsidRDefault="00B655F4" w:rsidP="00B655F4">
      <w:pPr>
        <w:pStyle w:val="NumBC1"/>
        <w:numPr>
          <w:ilvl w:val="0"/>
          <w:numId w:val="20"/>
        </w:numPr>
        <w:spacing w:before="0"/>
      </w:pPr>
      <w:bookmarkStart w:id="19" w:name="_Ref522545105"/>
      <w:r w:rsidRPr="00065F5A">
        <w:t>The Board received feedback on it</w:t>
      </w:r>
      <w:r w:rsidR="00065F5A">
        <w:t xml:space="preserve">s proposals </w:t>
      </w:r>
      <w:r w:rsidR="00050D99">
        <w:t>through 20 submissions</w:t>
      </w:r>
      <w:r w:rsidRPr="00065F5A">
        <w:t xml:space="preserve"> on ED 28</w:t>
      </w:r>
      <w:r w:rsidR="001C2F2A" w:rsidRPr="00065F5A">
        <w:t>6.</w:t>
      </w:r>
      <w:r w:rsidR="00F514A6">
        <w:t xml:space="preserve"> </w:t>
      </w:r>
      <w:r w:rsidR="00271233" w:rsidRPr="00065F5A">
        <w:t>The responses to ED 286</w:t>
      </w:r>
      <w:r w:rsidRPr="00065F5A">
        <w:t xml:space="preserve"> indicated that:</w:t>
      </w:r>
      <w:bookmarkEnd w:id="19"/>
    </w:p>
    <w:p w:rsidR="00B655F4" w:rsidRPr="00065F5A" w:rsidRDefault="00755869" w:rsidP="001A14F7">
      <w:pPr>
        <w:pStyle w:val="NumBC1"/>
        <w:numPr>
          <w:ilvl w:val="1"/>
          <w:numId w:val="20"/>
        </w:numPr>
        <w:spacing w:before="0"/>
      </w:pPr>
      <w:r w:rsidRPr="00065F5A">
        <w:t>all</w:t>
      </w:r>
      <w:r w:rsidR="00B655F4" w:rsidRPr="00065F5A">
        <w:t xml:space="preserve"> respondents agreed </w:t>
      </w:r>
      <w:r w:rsidRPr="00065F5A">
        <w:t>that not-for-pr</w:t>
      </w:r>
      <w:r w:rsidR="00874103">
        <w:t xml:space="preserve">ofit entities should be given some form of relief to </w:t>
      </w:r>
      <w:r w:rsidRPr="00065F5A">
        <w:t>not measure right</w:t>
      </w:r>
      <w:r w:rsidRPr="00065F5A">
        <w:noBreakHyphen/>
        <w:t>of</w:t>
      </w:r>
      <w:r w:rsidRPr="00065F5A">
        <w:noBreakHyphen/>
        <w:t xml:space="preserve">use assets for </w:t>
      </w:r>
      <w:r w:rsidR="00101F69" w:rsidRPr="00065F5A">
        <w:t>concessionary lease</w:t>
      </w:r>
      <w:r w:rsidRPr="00065F5A">
        <w:t>s</w:t>
      </w:r>
      <w:r w:rsidR="00367FC5">
        <w:t xml:space="preserve"> </w:t>
      </w:r>
      <w:r w:rsidR="00367FC5" w:rsidRPr="00065F5A">
        <w:t>at initial recognition at fair value</w:t>
      </w:r>
      <w:r w:rsidR="00874103">
        <w:t xml:space="preserve">. Some respondents </w:t>
      </w:r>
      <w:r w:rsidR="002F6BA0">
        <w:t xml:space="preserve">agreed </w:t>
      </w:r>
      <w:r w:rsidR="00874103">
        <w:t>that the relief should only be given on a temporary basis</w:t>
      </w:r>
      <w:r w:rsidRPr="00065F5A">
        <w:t xml:space="preserve"> until further guidance has been developed to assist not</w:t>
      </w:r>
      <w:r w:rsidRPr="00065F5A">
        <w:noBreakHyphen/>
        <w:t>for</w:t>
      </w:r>
      <w:r w:rsidRPr="00065F5A">
        <w:noBreakHyphen/>
        <w:t>profit entities in fair valuing right</w:t>
      </w:r>
      <w:r w:rsidRPr="00065F5A">
        <w:noBreakHyphen/>
        <w:t>of</w:t>
      </w:r>
      <w:r w:rsidRPr="00065F5A">
        <w:noBreakHyphen/>
        <w:t>use assets and the financial reporting requirements for not</w:t>
      </w:r>
      <w:r w:rsidRPr="00065F5A">
        <w:noBreakHyphen/>
        <w:t>for</w:t>
      </w:r>
      <w:r w:rsidRPr="00065F5A">
        <w:noBreakHyphen/>
        <w:t>profit private secto</w:t>
      </w:r>
      <w:r w:rsidR="00874103">
        <w:t>r entities have been finalised.</w:t>
      </w:r>
      <w:r w:rsidR="001A14F7">
        <w:t xml:space="preserve"> </w:t>
      </w:r>
      <w:r w:rsidR="002F6BA0">
        <w:t xml:space="preserve">However, other </w:t>
      </w:r>
      <w:r w:rsidR="00884559">
        <w:t xml:space="preserve">respondents </w:t>
      </w:r>
      <w:r w:rsidR="00050D99">
        <w:t xml:space="preserve">were of the view that </w:t>
      </w:r>
      <w:r w:rsidR="00884559">
        <w:t xml:space="preserve">the option to elect </w:t>
      </w:r>
      <w:r w:rsidR="00050D99">
        <w:t xml:space="preserve">either </w:t>
      </w:r>
      <w:r w:rsidR="00884559">
        <w:t xml:space="preserve">cost </w:t>
      </w:r>
      <w:r w:rsidR="00050D99">
        <w:t>or</w:t>
      </w:r>
      <w:r w:rsidR="00884559">
        <w:t xml:space="preserve"> fair value measurem</w:t>
      </w:r>
      <w:r w:rsidR="00891A39">
        <w:t xml:space="preserve">ent should be made available </w:t>
      </w:r>
      <w:r w:rsidR="00884559">
        <w:t>on a permanent basis</w:t>
      </w:r>
      <w:r w:rsidR="00891A39">
        <w:t xml:space="preserve"> </w:t>
      </w:r>
      <w:r w:rsidR="00050D99">
        <w:t>for</w:t>
      </w:r>
      <w:r w:rsidR="00891A39">
        <w:t xml:space="preserve"> all concessionary leases</w:t>
      </w:r>
      <w:r w:rsidR="00207A1B">
        <w:t xml:space="preserve"> </w:t>
      </w:r>
      <w:r w:rsidR="00891A39">
        <w:t>and</w:t>
      </w:r>
      <w:r w:rsidR="00061A30" w:rsidRPr="00065F5A">
        <w:t xml:space="preserve"> </w:t>
      </w:r>
      <w:r w:rsidR="00050D99">
        <w:t>for</w:t>
      </w:r>
      <w:r w:rsidR="002F6BA0">
        <w:t xml:space="preserve"> </w:t>
      </w:r>
      <w:r w:rsidR="00061A30" w:rsidRPr="00065F5A">
        <w:t>not</w:t>
      </w:r>
      <w:r w:rsidR="00061A30" w:rsidRPr="00065F5A">
        <w:noBreakHyphen/>
        <w:t>for</w:t>
      </w:r>
      <w:r w:rsidR="00061A30" w:rsidRPr="00065F5A">
        <w:noBreakHyphen/>
        <w:t xml:space="preserve">profit entities in both the private sector and the public sector; </w:t>
      </w:r>
      <w:r w:rsidR="00956837">
        <w:t>and</w:t>
      </w:r>
    </w:p>
    <w:p w:rsidR="00207A1B" w:rsidRDefault="00050D99" w:rsidP="00956837">
      <w:pPr>
        <w:pStyle w:val="NumBC1"/>
        <w:numPr>
          <w:ilvl w:val="1"/>
          <w:numId w:val="20"/>
        </w:numPr>
        <w:spacing w:before="0"/>
      </w:pPr>
      <w:r>
        <w:t>most</w:t>
      </w:r>
      <w:r w:rsidR="00061A30" w:rsidRPr="00065F5A">
        <w:t xml:space="preserve"> respondents agreed that the proposed additional disclosure requirements in AASB 16 would provide adequate information for users of the financial statements to understand the effects on the financial position, financial performance and cash flows of the entity arising from </w:t>
      </w:r>
      <w:r w:rsidR="00101F69" w:rsidRPr="00065F5A">
        <w:t>concessionary lease</w:t>
      </w:r>
      <w:r w:rsidR="00061A30" w:rsidRPr="00065F5A">
        <w:t>s in the ab</w:t>
      </w:r>
      <w:r w:rsidR="00207A1B">
        <w:t>sence of fair value information</w:t>
      </w:r>
      <w:r w:rsidR="00956837">
        <w:t xml:space="preserve">. However, </w:t>
      </w:r>
      <w:r w:rsidR="002F6BA0">
        <w:t xml:space="preserve">some </w:t>
      </w:r>
      <w:r w:rsidR="00956837">
        <w:t xml:space="preserve">respondents suggested </w:t>
      </w:r>
      <w:r w:rsidR="002F6BA0">
        <w:t xml:space="preserve">providing </w:t>
      </w:r>
      <w:r w:rsidR="00956837">
        <w:t>further clarification to ensure not</w:t>
      </w:r>
      <w:r w:rsidR="00956837">
        <w:noBreakHyphen/>
        <w:t>for</w:t>
      </w:r>
      <w:r w:rsidR="00956837">
        <w:noBreakHyphen/>
        <w:t>profit entities understand the disclosure requirements.</w:t>
      </w:r>
    </w:p>
    <w:p w:rsidR="007F3716" w:rsidRDefault="00B655F4" w:rsidP="001C2F2A">
      <w:pPr>
        <w:pStyle w:val="NumBC1"/>
        <w:numPr>
          <w:ilvl w:val="0"/>
          <w:numId w:val="20"/>
        </w:numPr>
        <w:spacing w:before="0"/>
      </w:pPr>
      <w:r w:rsidRPr="00065F5A">
        <w:t>The Board considered the</w:t>
      </w:r>
      <w:r w:rsidR="001C2F2A" w:rsidRPr="00065F5A">
        <w:t xml:space="preserve"> feedback and </w:t>
      </w:r>
      <w:r w:rsidR="00812FD9" w:rsidRPr="00065F5A">
        <w:t xml:space="preserve">in December 2018 </w:t>
      </w:r>
      <w:r w:rsidR="001C2F2A" w:rsidRPr="00065F5A">
        <w:t xml:space="preserve">decided to </w:t>
      </w:r>
      <w:r w:rsidRPr="00065F5A">
        <w:t xml:space="preserve">finalise its decisions to </w:t>
      </w:r>
      <w:r w:rsidR="00812FD9" w:rsidRPr="00065F5A">
        <w:t>provide a temporary option for not</w:t>
      </w:r>
      <w:r w:rsidR="00812FD9" w:rsidRPr="00065F5A">
        <w:noBreakHyphen/>
        <w:t>for</w:t>
      </w:r>
      <w:r w:rsidR="00812FD9" w:rsidRPr="00065F5A">
        <w:noBreakHyphen/>
        <w:t xml:space="preserve">profit entities to elect to measure </w:t>
      </w:r>
      <w:r w:rsidR="00050D99">
        <w:t xml:space="preserve">a class of </w:t>
      </w:r>
      <w:r w:rsidR="00812FD9" w:rsidRPr="00065F5A">
        <w:t>right</w:t>
      </w:r>
      <w:r w:rsidR="00812FD9" w:rsidRPr="00065F5A">
        <w:noBreakHyphen/>
        <w:t>of</w:t>
      </w:r>
      <w:r w:rsidR="00812FD9" w:rsidRPr="00065F5A">
        <w:noBreakHyphen/>
        <w:t xml:space="preserve">use assets </w:t>
      </w:r>
      <w:r w:rsidR="00050D99">
        <w:t xml:space="preserve">arising under concessionary leases </w:t>
      </w:r>
      <w:r w:rsidR="00812FD9" w:rsidRPr="00065F5A">
        <w:t>at cost or</w:t>
      </w:r>
      <w:r w:rsidR="00C90702" w:rsidRPr="00065F5A">
        <w:t xml:space="preserve"> at fair value </w:t>
      </w:r>
      <w:r w:rsidR="00050D99">
        <w:t>at initial recognition. At a later time, when fair value measurement guidance has been developed and the not</w:t>
      </w:r>
      <w:r w:rsidR="00050D99">
        <w:noBreakHyphen/>
        <w:t>for</w:t>
      </w:r>
      <w:r w:rsidR="00050D99">
        <w:noBreakHyphen/>
        <w:t xml:space="preserve">profit private sector financial reporting requirements </w:t>
      </w:r>
      <w:r w:rsidR="008C4BAD">
        <w:t>have been</w:t>
      </w:r>
      <w:r w:rsidR="00050D99">
        <w:t xml:space="preserve"> finalised, the Board will consider whether the temporary option should be made permanent</w:t>
      </w:r>
      <w:r w:rsidRPr="00065F5A">
        <w:t>.</w:t>
      </w:r>
      <w:r w:rsidR="0034105D" w:rsidRPr="00065F5A">
        <w:t xml:space="preserve"> </w:t>
      </w:r>
    </w:p>
    <w:p w:rsidR="00EC5DB6" w:rsidRPr="00766E15" w:rsidRDefault="00EC5DB6" w:rsidP="00EC5DB6">
      <w:pPr>
        <w:pStyle w:val="IASBSectionTitle1NonInd"/>
        <w:jc w:val="both"/>
        <w:rPr>
          <w:iCs/>
        </w:rPr>
      </w:pPr>
      <w:r>
        <w:t>Election</w:t>
      </w:r>
      <w:r w:rsidR="00FB1E54">
        <w:t xml:space="preserve"> of measurement basis</w:t>
      </w:r>
    </w:p>
    <w:p w:rsidR="00771BED" w:rsidRDefault="00771BED" w:rsidP="00EC5DB6">
      <w:pPr>
        <w:pStyle w:val="NumBC1"/>
        <w:numPr>
          <w:ilvl w:val="0"/>
          <w:numId w:val="20"/>
        </w:numPr>
        <w:spacing w:before="0"/>
      </w:pPr>
      <w:r>
        <w:t xml:space="preserve">Some ED 286 respondents </w:t>
      </w:r>
      <w:r w:rsidR="002F6BA0">
        <w:t xml:space="preserve">noted </w:t>
      </w:r>
      <w:r>
        <w:t>that there might be instances where a</w:t>
      </w:r>
      <w:r w:rsidR="002F6BA0">
        <w:t>n entity may wish to apply the</w:t>
      </w:r>
      <w:r w:rsidR="00506CE9">
        <w:t xml:space="preserve"> option of not fair valuing right-of-use assets for concessionary leases only to some, but not all</w:t>
      </w:r>
      <w:r w:rsidR="008C4BAD">
        <w:t>,</w:t>
      </w:r>
      <w:r w:rsidR="00506CE9">
        <w:t xml:space="preserve"> of the right-of-use assets. This may be the case for example where the</w:t>
      </w:r>
      <w:r>
        <w:t xml:space="preserve"> not</w:t>
      </w:r>
      <w:r>
        <w:noBreakHyphen/>
        <w:t>for</w:t>
      </w:r>
      <w:r>
        <w:noBreakHyphen/>
        <w:t>profit</w:t>
      </w:r>
      <w:r w:rsidRPr="00771BED">
        <w:t xml:space="preserve"> entit</w:t>
      </w:r>
      <w:r>
        <w:t>y</w:t>
      </w:r>
      <w:r w:rsidRPr="00771BED">
        <w:t xml:space="preserve"> </w:t>
      </w:r>
      <w:r w:rsidR="00506CE9">
        <w:t xml:space="preserve">has </w:t>
      </w:r>
      <w:r w:rsidRPr="00771BED">
        <w:t>elect</w:t>
      </w:r>
      <w:r w:rsidR="00506CE9">
        <w:t>ed to apply</w:t>
      </w:r>
      <w:r w:rsidRPr="00771BED">
        <w:t xml:space="preserve"> the revaluation mode</w:t>
      </w:r>
      <w:r>
        <w:t>l under AASB </w:t>
      </w:r>
      <w:r w:rsidRPr="00771BED">
        <w:t xml:space="preserve">116 </w:t>
      </w:r>
      <w:r w:rsidRPr="00771BED">
        <w:rPr>
          <w:i/>
        </w:rPr>
        <w:t>Property, Plant and Equipment</w:t>
      </w:r>
      <w:r w:rsidR="00506CE9">
        <w:t xml:space="preserve"> to </w:t>
      </w:r>
      <w:r w:rsidR="00C74CA2">
        <w:t xml:space="preserve">a </w:t>
      </w:r>
      <w:r w:rsidR="00C4110B">
        <w:t xml:space="preserve">class of </w:t>
      </w:r>
      <w:r w:rsidR="00506CE9">
        <w:t xml:space="preserve">property, plant and equipment and </w:t>
      </w:r>
      <w:r w:rsidRPr="00771BED">
        <w:t xml:space="preserve">would therefore likely elect to </w:t>
      </w:r>
      <w:r>
        <w:t>measure right</w:t>
      </w:r>
      <w:r>
        <w:noBreakHyphen/>
        <w:t>of</w:t>
      </w:r>
      <w:r>
        <w:noBreakHyphen/>
        <w:t>use</w:t>
      </w:r>
      <w:r w:rsidRPr="00771BED">
        <w:t xml:space="preserve"> assets</w:t>
      </w:r>
      <w:r>
        <w:t xml:space="preserve"> </w:t>
      </w:r>
      <w:r w:rsidR="00C74CA2">
        <w:t>that relate</w:t>
      </w:r>
      <w:r w:rsidR="00566C56">
        <w:t xml:space="preserve"> to</w:t>
      </w:r>
      <w:r w:rsidR="00C4110B">
        <w:t xml:space="preserve"> </w:t>
      </w:r>
      <w:r w:rsidR="00C74CA2">
        <w:t xml:space="preserve">that class </w:t>
      </w:r>
      <w:r w:rsidR="00506CE9">
        <w:t xml:space="preserve">also at fair value, </w:t>
      </w:r>
      <w:r>
        <w:t>as</w:t>
      </w:r>
      <w:r w:rsidRPr="00771BED">
        <w:t xml:space="preserve"> </w:t>
      </w:r>
      <w:r w:rsidR="00506CE9">
        <w:t xml:space="preserve">permitted by </w:t>
      </w:r>
      <w:r w:rsidRPr="00771BED">
        <w:t>A</w:t>
      </w:r>
      <w:r>
        <w:t>ASB 16</w:t>
      </w:r>
      <w:r w:rsidR="008C4BAD">
        <w:t>,</w:t>
      </w:r>
      <w:r>
        <w:t xml:space="preserve"> paragraph 35</w:t>
      </w:r>
      <w:r w:rsidR="00C74CA2">
        <w:t>.</w:t>
      </w:r>
      <w:r w:rsidR="00C4110B">
        <w:t xml:space="preserve"> However, this should not force the entity to also </w:t>
      </w:r>
      <w:r w:rsidR="00F63B44">
        <w:t xml:space="preserve">measure </w:t>
      </w:r>
      <w:r w:rsidR="00C4110B">
        <w:t xml:space="preserve">all other right-of-use assets </w:t>
      </w:r>
      <w:r w:rsidR="00CB68EC">
        <w:t>arising from</w:t>
      </w:r>
      <w:r w:rsidR="00F63B44">
        <w:t xml:space="preserve"> concessionary leases </w:t>
      </w:r>
      <w:r w:rsidR="00C4110B">
        <w:t>on initial recognition</w:t>
      </w:r>
      <w:r w:rsidR="00F63B44">
        <w:t xml:space="preserve"> at fair value</w:t>
      </w:r>
      <w:r w:rsidR="00C4110B">
        <w:t xml:space="preserve">. </w:t>
      </w:r>
    </w:p>
    <w:p w:rsidR="00771BED" w:rsidRPr="00771BED" w:rsidRDefault="00771BED" w:rsidP="003C5D1C">
      <w:pPr>
        <w:pStyle w:val="NumBC1"/>
        <w:numPr>
          <w:ilvl w:val="0"/>
          <w:numId w:val="20"/>
        </w:numPr>
        <w:spacing w:before="0"/>
      </w:pPr>
      <w:r>
        <w:t xml:space="preserve">Consequently, the Board decided that </w:t>
      </w:r>
      <w:r w:rsidR="003C5D1C">
        <w:t>the election of the measurement basis for initial recognition of right</w:t>
      </w:r>
      <w:r w:rsidR="003C5D1C">
        <w:noBreakHyphen/>
        <w:t>of</w:t>
      </w:r>
      <w:r w:rsidR="003C5D1C">
        <w:noBreakHyphen/>
        <w:t>use assets of concessionary leases sh</w:t>
      </w:r>
      <w:r w:rsidR="00C74CA2">
        <w:t>ould</w:t>
      </w:r>
      <w:r w:rsidR="003C5D1C">
        <w:t xml:space="preserve"> be made by class of right</w:t>
      </w:r>
      <w:r w:rsidR="00C74CA2">
        <w:noBreakHyphen/>
      </w:r>
      <w:r w:rsidR="003C5D1C">
        <w:t>of</w:t>
      </w:r>
      <w:r w:rsidR="00C74CA2">
        <w:noBreakHyphen/>
      </w:r>
      <w:r w:rsidR="003C5D1C">
        <w:t xml:space="preserve">use </w:t>
      </w:r>
      <w:r w:rsidR="00894FD9">
        <w:t>as</w:t>
      </w:r>
      <w:r w:rsidR="00C74CA2">
        <w:t>sets</w:t>
      </w:r>
      <w:r w:rsidR="003C5D1C">
        <w:t>.</w:t>
      </w:r>
      <w:r w:rsidR="00C74CA2">
        <w:t xml:space="preserve"> As specified in other Standards, a class is a grouping of assets of a similar nature and use in an entity’s operations.</w:t>
      </w:r>
      <w:r w:rsidR="003C5D1C">
        <w:t xml:space="preserve"> </w:t>
      </w:r>
    </w:p>
    <w:p w:rsidR="003C5D1C" w:rsidRPr="00766E15" w:rsidRDefault="003C5D1C" w:rsidP="003C5D1C">
      <w:pPr>
        <w:pStyle w:val="IASBSectionTitle1NonInd"/>
        <w:jc w:val="both"/>
        <w:rPr>
          <w:iCs/>
        </w:rPr>
      </w:pPr>
      <w:r>
        <w:t>Disclosures</w:t>
      </w:r>
    </w:p>
    <w:p w:rsidR="00D57CB3" w:rsidRPr="00105AE3" w:rsidRDefault="00D57CB3" w:rsidP="00D57CB3">
      <w:pPr>
        <w:pStyle w:val="NumBC1"/>
        <w:numPr>
          <w:ilvl w:val="0"/>
          <w:numId w:val="20"/>
        </w:numPr>
        <w:spacing w:before="0"/>
      </w:pPr>
      <w:r>
        <w:t>In the absence of fair value information, the Board decided that entities electing</w:t>
      </w:r>
      <w:r w:rsidRPr="00105AE3">
        <w:t xml:space="preserve"> to </w:t>
      </w:r>
      <w:r>
        <w:t xml:space="preserve">measure </w:t>
      </w:r>
      <w:r w:rsidR="00C74CA2">
        <w:t xml:space="preserve">a class of </w:t>
      </w:r>
      <w:r>
        <w:t>right</w:t>
      </w:r>
      <w:r>
        <w:noBreakHyphen/>
        <w:t>of</w:t>
      </w:r>
      <w:r>
        <w:noBreakHyphen/>
        <w:t xml:space="preserve">use assets at initial recognition at cost rather than at fair value would need to make additional disclosures. This will </w:t>
      </w:r>
      <w:r w:rsidRPr="00105AE3">
        <w:t xml:space="preserve">ensure </w:t>
      </w:r>
      <w:r>
        <w:t xml:space="preserve">adequate information is disclosed for </w:t>
      </w:r>
      <w:r w:rsidRPr="00105AE3">
        <w:t>users</w:t>
      </w:r>
      <w:r>
        <w:t xml:space="preserve"> of financial statements to</w:t>
      </w:r>
      <w:r w:rsidRPr="00105AE3">
        <w:t xml:space="preserve"> understand the effects on the financial position, financial performance and cash flows </w:t>
      </w:r>
      <w:r>
        <w:t>of the entity arising from concessionary lease</w:t>
      </w:r>
      <w:r w:rsidRPr="00105AE3">
        <w:t>s</w:t>
      </w:r>
      <w:r>
        <w:t>.</w:t>
      </w:r>
    </w:p>
    <w:p w:rsidR="00771BED" w:rsidRPr="00771BED" w:rsidRDefault="003978FE" w:rsidP="00771BED">
      <w:pPr>
        <w:pStyle w:val="NumBC1"/>
        <w:numPr>
          <w:ilvl w:val="0"/>
          <w:numId w:val="20"/>
        </w:numPr>
        <w:spacing w:before="0"/>
      </w:pPr>
      <w:r>
        <w:t xml:space="preserve">A number of ED 286 respondents expressed </w:t>
      </w:r>
      <w:r w:rsidR="00C4110B">
        <w:t xml:space="preserve">concerns </w:t>
      </w:r>
      <w:r>
        <w:t xml:space="preserve">that, </w:t>
      </w:r>
      <w:r w:rsidR="00ED1477">
        <w:t>without reference to</w:t>
      </w:r>
      <w:r>
        <w:t xml:space="preserve"> fair value information, it might be difficult to assess whether a concessionary lease is material </w:t>
      </w:r>
      <w:r w:rsidR="00C4110B">
        <w:t xml:space="preserve">and therefore </w:t>
      </w:r>
      <w:r>
        <w:t>requires individual disclosures under AASB 16</w:t>
      </w:r>
      <w:r w:rsidR="00D91793">
        <w:t>,</w:t>
      </w:r>
      <w:r>
        <w:t xml:space="preserve"> paragraph Aus59.2. </w:t>
      </w:r>
    </w:p>
    <w:p w:rsidR="00E97D91" w:rsidRDefault="00317781" w:rsidP="00410D50">
      <w:pPr>
        <w:pStyle w:val="NumBC1"/>
        <w:numPr>
          <w:ilvl w:val="0"/>
          <w:numId w:val="20"/>
        </w:numPr>
        <w:spacing w:before="0"/>
      </w:pPr>
      <w:r>
        <w:t xml:space="preserve">AASB 101 paragraph 7 defines when information is material and </w:t>
      </w:r>
      <w:r w:rsidR="003978FE">
        <w:t xml:space="preserve">AASB Practice Statement 2 </w:t>
      </w:r>
      <w:r w:rsidR="003978FE" w:rsidRPr="00336C94">
        <w:rPr>
          <w:i/>
        </w:rPr>
        <w:t>Making Materiality Judgement</w:t>
      </w:r>
      <w:r w:rsidR="00D91793">
        <w:rPr>
          <w:i/>
        </w:rPr>
        <w:t>s</w:t>
      </w:r>
      <w:r w:rsidR="003978FE">
        <w:t xml:space="preserve"> provides </w:t>
      </w:r>
      <w:r>
        <w:t xml:space="preserve">further </w:t>
      </w:r>
      <w:r w:rsidR="003978FE">
        <w:t>guidance</w:t>
      </w:r>
      <w:r w:rsidR="00E97D91">
        <w:t xml:space="preserve">, including </w:t>
      </w:r>
      <w:r w:rsidR="00A46A2B">
        <w:t xml:space="preserve">in relation to </w:t>
      </w:r>
      <w:r w:rsidR="00E97D91">
        <w:t xml:space="preserve">disclosure requirements. </w:t>
      </w:r>
      <w:r>
        <w:t xml:space="preserve">When making materiality judgements, an entity needs to take into account how information could reasonably be expected to influence the primary users of its financial statements when they make decisions on the basis of </w:t>
      </w:r>
      <w:r>
        <w:lastRenderedPageBreak/>
        <w:t xml:space="preserve">those statements. </w:t>
      </w:r>
      <w:r w:rsidR="00E97D91">
        <w:t>In</w:t>
      </w:r>
      <w:r w:rsidR="00F54ABB">
        <w:t xml:space="preserve"> respect of not</w:t>
      </w:r>
      <w:r w:rsidR="00F54ABB">
        <w:noBreakHyphen/>
        <w:t>for</w:t>
      </w:r>
      <w:r w:rsidR="00F54ABB">
        <w:noBreakHyphen/>
        <w:t xml:space="preserve">profit entities, primary users </w:t>
      </w:r>
      <w:r w:rsidR="00444032">
        <w:t xml:space="preserve">of financial statements </w:t>
      </w:r>
      <w:r w:rsidR="00F54ABB">
        <w:t>are concerned with the ability of the entity to achieve its objectives</w:t>
      </w:r>
      <w:r w:rsidR="00444032">
        <w:t>. T</w:t>
      </w:r>
      <w:r w:rsidR="00F54ABB">
        <w:t xml:space="preserve">herefore, </w:t>
      </w:r>
      <w:r w:rsidR="00444032">
        <w:t xml:space="preserve">when assessing whether a concessionary lease is material to the financial statements, </w:t>
      </w:r>
      <w:r w:rsidR="00E97D91">
        <w:t xml:space="preserve">the entity </w:t>
      </w:r>
      <w:r w:rsidR="00A46A2B">
        <w:t xml:space="preserve">could </w:t>
      </w:r>
      <w:r w:rsidR="00E97D91">
        <w:t xml:space="preserve">consider </w:t>
      </w:r>
      <w:r w:rsidR="00A46A2B">
        <w:t xml:space="preserve">factors such as </w:t>
      </w:r>
      <w:r w:rsidR="00E97D91">
        <w:t xml:space="preserve">the </w:t>
      </w:r>
      <w:r w:rsidR="00F54ABB" w:rsidRPr="00F54ABB">
        <w:t xml:space="preserve">significance of the </w:t>
      </w:r>
      <w:r w:rsidR="00F54ABB">
        <w:t xml:space="preserve">concessionary </w:t>
      </w:r>
      <w:r w:rsidR="00F54ABB" w:rsidRPr="00F54ABB">
        <w:t>lease to the entity’s operations in fulfilling its objectives</w:t>
      </w:r>
      <w:r w:rsidR="00F54ABB">
        <w:t>.</w:t>
      </w:r>
    </w:p>
    <w:p w:rsidR="00C37359" w:rsidRDefault="00336C94" w:rsidP="000A6827">
      <w:pPr>
        <w:pStyle w:val="NumBC1"/>
        <w:numPr>
          <w:ilvl w:val="0"/>
          <w:numId w:val="20"/>
        </w:numPr>
        <w:spacing w:before="0"/>
      </w:pPr>
      <w:r>
        <w:t xml:space="preserve">Some respondents recommended the </w:t>
      </w:r>
      <w:r w:rsidR="000A6827">
        <w:t xml:space="preserve">Board </w:t>
      </w:r>
      <w:r>
        <w:t>consider clarifying the extent of disclosures required in AASB 16</w:t>
      </w:r>
      <w:r w:rsidR="00FB0B98">
        <w:t xml:space="preserve"> paragraph</w:t>
      </w:r>
      <w:r w:rsidR="002265FC">
        <w:t>s</w:t>
      </w:r>
      <w:r w:rsidR="00FB0B98">
        <w:t xml:space="preserve"> </w:t>
      </w:r>
      <w:r w:rsidR="002265FC">
        <w:t>Aus</w:t>
      </w:r>
      <w:r w:rsidR="00FB0B98">
        <w:t>59.1</w:t>
      </w:r>
      <w:r w:rsidR="002265FC">
        <w:t xml:space="preserve"> and Aus59.2</w:t>
      </w:r>
      <w:r>
        <w:t xml:space="preserve">. </w:t>
      </w:r>
      <w:r w:rsidR="0052474E">
        <w:t>Consistent with AASB Practice Statement 2, a</w:t>
      </w:r>
      <w:r w:rsidR="002265FC" w:rsidRPr="00410D50">
        <w:t xml:space="preserve">n entity </w:t>
      </w:r>
      <w:r w:rsidR="00D91793">
        <w:t>applies</w:t>
      </w:r>
      <w:r w:rsidR="002265FC">
        <w:t xml:space="preserve"> judg</w:t>
      </w:r>
      <w:r w:rsidR="0052474E">
        <w:t>e</w:t>
      </w:r>
      <w:r w:rsidR="002265FC">
        <w:t xml:space="preserve">ment </w:t>
      </w:r>
      <w:r w:rsidR="0052474E">
        <w:t xml:space="preserve">in determining </w:t>
      </w:r>
      <w:r w:rsidR="0052474E" w:rsidRPr="00410D50">
        <w:t xml:space="preserve">the level of detail necessary to satisfy </w:t>
      </w:r>
      <w:r w:rsidR="0052474E">
        <w:t xml:space="preserve">the disclosure objective, including </w:t>
      </w:r>
      <w:r w:rsidR="002265FC">
        <w:t>the level of aggregation or disaggregation of</w:t>
      </w:r>
      <w:r w:rsidR="002265FC" w:rsidRPr="00410D50">
        <w:t xml:space="preserve"> disclosures so that useful information is not obscured</w:t>
      </w:r>
      <w:r w:rsidR="002265FC">
        <w:t xml:space="preserve">. </w:t>
      </w:r>
      <w:r w:rsidR="0081165C">
        <w:t>The Board</w:t>
      </w:r>
      <w:r w:rsidR="0052474E">
        <w:t xml:space="preserve"> notes that </w:t>
      </w:r>
      <w:r w:rsidR="002265FC">
        <w:t xml:space="preserve">AASB 16 paragraph Aus59.2 </w:t>
      </w:r>
      <w:r w:rsidR="00D63552">
        <w:t xml:space="preserve">requires disclosures to be made individually for each material lease and </w:t>
      </w:r>
      <w:r w:rsidR="002265FC">
        <w:t xml:space="preserve">permits </w:t>
      </w:r>
      <w:r w:rsidR="00553AF3">
        <w:t xml:space="preserve">aggregated </w:t>
      </w:r>
      <w:r w:rsidR="002265FC">
        <w:t xml:space="preserve">disclosures for </w:t>
      </w:r>
      <w:r w:rsidR="00D63552">
        <w:t xml:space="preserve">other </w:t>
      </w:r>
      <w:r w:rsidR="002265FC">
        <w:t>concessionary leases involving right</w:t>
      </w:r>
      <w:r w:rsidR="002265FC">
        <w:noBreakHyphen/>
        <w:t>of</w:t>
      </w:r>
      <w:r w:rsidR="002265FC">
        <w:noBreakHyphen/>
        <w:t>use assets of a similar nature.</w:t>
      </w:r>
    </w:p>
    <w:p w:rsidR="00C37359" w:rsidRPr="00766E15" w:rsidRDefault="00C37359" w:rsidP="00C37359">
      <w:pPr>
        <w:pStyle w:val="IASBSectionTitle1NonInd"/>
        <w:jc w:val="both"/>
        <w:rPr>
          <w:iCs/>
        </w:rPr>
      </w:pPr>
      <w:r>
        <w:t>GAAP/GFS convergence</w:t>
      </w:r>
    </w:p>
    <w:p w:rsidR="00C37359" w:rsidRDefault="00C37359">
      <w:pPr>
        <w:pStyle w:val="NumBC1"/>
        <w:numPr>
          <w:ilvl w:val="0"/>
          <w:numId w:val="20"/>
        </w:numPr>
        <w:spacing w:before="0"/>
      </w:pPr>
      <w:r>
        <w:t>Several respondents commented that measuring right</w:t>
      </w:r>
      <w:r>
        <w:noBreakHyphen/>
        <w:t>of</w:t>
      </w:r>
      <w:r>
        <w:noBreakHyphen/>
        <w:t xml:space="preserve">use assets at either cost or fair value could result in Government Finance Statistics (GFS) convergence differences. As the ABS GFS Manual continues to distinguish operating </w:t>
      </w:r>
      <w:r w:rsidR="00BD2491">
        <w:t>leases</w:t>
      </w:r>
      <w:r>
        <w:t xml:space="preserve"> and finance leases, some of these convergence differences relate to the underlying principles of AASB 16. However, a new </w:t>
      </w:r>
      <w:r w:rsidR="00BD2491">
        <w:t>convergence</w:t>
      </w:r>
      <w:r>
        <w:t xml:space="preserve"> difference would arise if right</w:t>
      </w:r>
      <w:r>
        <w:noBreakHyphen/>
        <w:t>of</w:t>
      </w:r>
      <w:r w:rsidR="00BD2491">
        <w:noBreakHyphen/>
        <w:t xml:space="preserve">use </w:t>
      </w:r>
      <w:r w:rsidR="008C4BAD">
        <w:t xml:space="preserve">assets </w:t>
      </w:r>
      <w:r w:rsidR="00BD2491">
        <w:t>under concessionary leases that would previously have been classified as finance leases are measured at cost under the temporary option, rather than at fair value. On balance, the Board considered that it was appropriate to provide not</w:t>
      </w:r>
      <w:r w:rsidR="00BD2491">
        <w:noBreakHyphen/>
        <w:t>for</w:t>
      </w:r>
      <w:r w:rsidR="00BD2491">
        <w:noBreakHyphen/>
        <w:t>profit entities with the temporary option in respect of such concessionary leases</w:t>
      </w:r>
      <w:r>
        <w:t>.</w:t>
      </w:r>
    </w:p>
    <w:p w:rsidR="00BD2491" w:rsidRPr="00105AE3" w:rsidRDefault="00BD2491">
      <w:pPr>
        <w:pStyle w:val="NumBC1"/>
        <w:numPr>
          <w:ilvl w:val="0"/>
          <w:numId w:val="20"/>
        </w:numPr>
        <w:spacing w:before="0"/>
      </w:pPr>
      <w:r>
        <w:t>Consequently, the Board added an exception to AASB 1049 (paragraph 13D) to permit public sector entities to measure right</w:t>
      </w:r>
      <w:r>
        <w:noBreakHyphen/>
        <w:t>of</w:t>
      </w:r>
      <w:r>
        <w:noBreakHyphen/>
        <w:t>use assets arising under c</w:t>
      </w:r>
      <w:r w:rsidR="00662629">
        <w:t>oncessionary leases at initial recognition</w:t>
      </w:r>
      <w:r>
        <w:t xml:space="preserve"> at cost, rather than fair value.</w:t>
      </w:r>
    </w:p>
    <w:p w:rsidR="00336C94" w:rsidRDefault="00336C94" w:rsidP="004D4FDA">
      <w:pPr>
        <w:pStyle w:val="NumBC1"/>
        <w:numPr>
          <w:ilvl w:val="0"/>
          <w:numId w:val="0"/>
        </w:numPr>
        <w:spacing w:before="0"/>
      </w:pPr>
    </w:p>
    <w:sectPr w:rsidR="00336C94" w:rsidSect="00D74C6A">
      <w:footerReference w:type="default" r:id="rId13"/>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DEE" w:rsidRDefault="00217DEE">
      <w:r>
        <w:separator/>
      </w:r>
    </w:p>
  </w:endnote>
  <w:endnote w:type="continuationSeparator" w:id="0">
    <w:p w:rsidR="00217DEE" w:rsidRDefault="0021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2C" w:rsidRDefault="0075572C">
    <w:pPr>
      <w:pStyle w:val="Footer"/>
      <w:rPr>
        <w:b/>
      </w:rPr>
    </w:pPr>
    <w:r>
      <w:rPr>
        <w:b/>
      </w:rPr>
      <w:t xml:space="preserve">AASB </w:t>
    </w:r>
    <w:r w:rsidR="008C3AFE" w:rsidRPr="004D4FDA">
      <w:rPr>
        <w:b/>
      </w:rPr>
      <w:fldChar w:fldCharType="begin"/>
    </w:r>
    <w:r w:rsidR="008C3AFE" w:rsidRPr="004D4FDA">
      <w:rPr>
        <w:b/>
      </w:rPr>
      <w:instrText xml:space="preserve"> REF \* charformat DocNo </w:instrText>
    </w:r>
    <w:r w:rsidR="008C3AFE">
      <w:rPr>
        <w:b/>
      </w:rPr>
      <w:instrText xml:space="preserve"> \* MERGEFORMAT </w:instrText>
    </w:r>
    <w:r w:rsidR="008C3AFE" w:rsidRPr="004D4FDA">
      <w:rPr>
        <w:b/>
      </w:rPr>
      <w:fldChar w:fldCharType="separate"/>
    </w:r>
    <w:r w:rsidR="00B3637E" w:rsidRPr="00B3637E">
      <w:rPr>
        <w:b/>
      </w:rPr>
      <w:t>2018-8</w:t>
    </w:r>
    <w:r w:rsidR="008C3AFE" w:rsidRPr="004D4FDA">
      <w:rPr>
        <w:b/>
      </w:rPr>
      <w:fldChar w:fldCharType="end"/>
    </w:r>
    <w:r>
      <w:rPr>
        <w:b/>
      </w:rPr>
      <w:tab/>
    </w:r>
    <w:r>
      <w:fldChar w:fldCharType="begin"/>
    </w:r>
    <w:r>
      <w:instrText>PAGE</w:instrText>
    </w:r>
    <w:r>
      <w:fldChar w:fldCharType="separate"/>
    </w:r>
    <w:r w:rsidR="00B3637E">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2C" w:rsidRDefault="008C3AFE">
    <w:pPr>
      <w:pStyle w:val="Footer"/>
      <w:rPr>
        <w:b/>
      </w:rPr>
    </w:pPr>
    <w:r>
      <w:rPr>
        <w:b/>
      </w:rPr>
      <w:t xml:space="preserve">AASB </w:t>
    </w:r>
    <w:r w:rsidRPr="00926364">
      <w:rPr>
        <w:b/>
      </w:rPr>
      <w:fldChar w:fldCharType="begin"/>
    </w:r>
    <w:r w:rsidRPr="00926364">
      <w:rPr>
        <w:b/>
      </w:rPr>
      <w:instrText xml:space="preserve"> REF \* charformat DocNo </w:instrText>
    </w:r>
    <w:r>
      <w:rPr>
        <w:b/>
      </w:rPr>
      <w:instrText xml:space="preserve"> \* MERGEFORMAT </w:instrText>
    </w:r>
    <w:r w:rsidRPr="00926364">
      <w:rPr>
        <w:b/>
      </w:rPr>
      <w:fldChar w:fldCharType="separate"/>
    </w:r>
    <w:r w:rsidR="00B3637E" w:rsidRPr="00B3637E">
      <w:rPr>
        <w:b/>
      </w:rPr>
      <w:t>2018-8</w:t>
    </w:r>
    <w:r w:rsidRPr="00926364">
      <w:rPr>
        <w:b/>
      </w:rPr>
      <w:fldChar w:fldCharType="end"/>
    </w:r>
    <w:r w:rsidR="0075572C">
      <w:rPr>
        <w:b/>
      </w:rPr>
      <w:tab/>
    </w:r>
    <w:r w:rsidR="0075572C">
      <w:fldChar w:fldCharType="begin"/>
    </w:r>
    <w:r w:rsidR="0075572C">
      <w:instrText>PAGE</w:instrText>
    </w:r>
    <w:r w:rsidR="0075572C">
      <w:fldChar w:fldCharType="separate"/>
    </w:r>
    <w:r w:rsidR="00B3637E">
      <w:rPr>
        <w:noProof/>
      </w:rPr>
      <w:t>3</w:t>
    </w:r>
    <w:r w:rsidR="0075572C">
      <w:fldChar w:fldCharType="end"/>
    </w:r>
    <w:r w:rsidR="0075572C">
      <w:tab/>
    </w:r>
    <w:r w:rsidR="0075572C">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2C" w:rsidRDefault="0075572C">
    <w:pPr>
      <w:pStyle w:val="Footer"/>
      <w:rPr>
        <w:b/>
      </w:rPr>
    </w:pPr>
    <w:r>
      <w:rPr>
        <w:b/>
      </w:rPr>
      <w:t xml:space="preserve">AASB </w:t>
    </w:r>
    <w:r>
      <w:rPr>
        <w:b/>
      </w:rPr>
      <w:fldChar w:fldCharType="begin"/>
    </w:r>
    <w:r>
      <w:rPr>
        <w:b/>
      </w:rPr>
      <w:instrText xml:space="preserve"> REF \* charformat DocNo </w:instrText>
    </w:r>
    <w:r>
      <w:rPr>
        <w:b/>
      </w:rPr>
      <w:fldChar w:fldCharType="separate"/>
    </w:r>
    <w:r w:rsidR="00B3637E" w:rsidRPr="00B3637E">
      <w:rPr>
        <w:b/>
      </w:rPr>
      <w:t>2018-8</w:t>
    </w:r>
    <w:r>
      <w:rPr>
        <w:b/>
      </w:rPr>
      <w:fldChar w:fldCharType="end"/>
    </w:r>
    <w:r>
      <w:rPr>
        <w:b/>
      </w:rPr>
      <w:tab/>
    </w:r>
    <w:r>
      <w:fldChar w:fldCharType="begin"/>
    </w:r>
    <w:r>
      <w:instrText>PAGE</w:instrText>
    </w:r>
    <w:r>
      <w:fldChar w:fldCharType="separate"/>
    </w:r>
    <w:r w:rsidR="00B3637E">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2C" w:rsidRDefault="0075572C">
    <w:pPr>
      <w:pStyle w:val="Footer"/>
      <w:rPr>
        <w:b/>
      </w:rPr>
    </w:pPr>
    <w:r>
      <w:rPr>
        <w:b/>
      </w:rPr>
      <w:t xml:space="preserve">AASB </w:t>
    </w:r>
    <w:r>
      <w:rPr>
        <w:b/>
      </w:rPr>
      <w:fldChar w:fldCharType="begin"/>
    </w:r>
    <w:r>
      <w:rPr>
        <w:b/>
      </w:rPr>
      <w:instrText xml:space="preserve"> REF \* charformat DocNo </w:instrText>
    </w:r>
    <w:r>
      <w:rPr>
        <w:b/>
      </w:rPr>
      <w:fldChar w:fldCharType="separate"/>
    </w:r>
    <w:r w:rsidR="00B3637E" w:rsidRPr="00B3637E">
      <w:rPr>
        <w:b/>
      </w:rPr>
      <w:t>2018-8</w:t>
    </w:r>
    <w:r>
      <w:rPr>
        <w:b/>
      </w:rPr>
      <w:fldChar w:fldCharType="end"/>
    </w:r>
    <w:r>
      <w:rPr>
        <w:b/>
      </w:rPr>
      <w:tab/>
    </w:r>
    <w:r>
      <w:fldChar w:fldCharType="begin"/>
    </w:r>
    <w:r>
      <w:instrText>PAGE</w:instrText>
    </w:r>
    <w:r>
      <w:fldChar w:fldCharType="separate"/>
    </w:r>
    <w:r w:rsidR="00B3637E">
      <w:rPr>
        <w:noProof/>
      </w:rPr>
      <w:t>6</w:t>
    </w:r>
    <w:r>
      <w:fldChar w:fldCharType="end"/>
    </w:r>
    <w:r>
      <w:tab/>
    </w:r>
    <w:r w:rsidRPr="00870A13">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2C" w:rsidRDefault="0075572C">
    <w:pPr>
      <w:pStyle w:val="Footer"/>
      <w:rPr>
        <w:b/>
      </w:rPr>
    </w:pPr>
    <w:r>
      <w:rPr>
        <w:b/>
      </w:rPr>
      <w:t xml:space="preserve">AASB </w:t>
    </w:r>
    <w:r>
      <w:rPr>
        <w:b/>
      </w:rPr>
      <w:fldChar w:fldCharType="begin"/>
    </w:r>
    <w:r>
      <w:rPr>
        <w:b/>
      </w:rPr>
      <w:instrText xml:space="preserve"> REF \* charformat DocNo </w:instrText>
    </w:r>
    <w:r>
      <w:rPr>
        <w:b/>
      </w:rPr>
      <w:fldChar w:fldCharType="separate"/>
    </w:r>
    <w:r w:rsidR="00B3637E" w:rsidRPr="00B3637E">
      <w:rPr>
        <w:b/>
      </w:rPr>
      <w:t>2018-8</w:t>
    </w:r>
    <w:r>
      <w:rPr>
        <w:b/>
      </w:rPr>
      <w:fldChar w:fldCharType="end"/>
    </w:r>
    <w:r>
      <w:rPr>
        <w:b/>
      </w:rPr>
      <w:tab/>
    </w:r>
    <w:r>
      <w:fldChar w:fldCharType="begin"/>
    </w:r>
    <w:r>
      <w:instrText>PAGE</w:instrText>
    </w:r>
    <w:r>
      <w:fldChar w:fldCharType="separate"/>
    </w:r>
    <w:r w:rsidR="00B3637E">
      <w:rPr>
        <w:noProof/>
      </w:rPr>
      <w:t>12</w:t>
    </w:r>
    <w:r>
      <w:fldChar w:fldCharType="end"/>
    </w:r>
    <w:r>
      <w:tab/>
    </w:r>
    <w:r>
      <w:rPr>
        <w:b/>
        <w:bCs/>
      </w:rPr>
      <w:t>BASIS FOR CONCLUSIONS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DEE" w:rsidRDefault="00217DEE">
      <w:r>
        <w:separator/>
      </w:r>
    </w:p>
  </w:footnote>
  <w:footnote w:type="continuationSeparator" w:id="0">
    <w:p w:rsidR="00217DEE" w:rsidRDefault="00217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B94F82"/>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3" w15:restartNumberingAfterBreak="0">
    <w:nsid w:val="050958B2"/>
    <w:multiLevelType w:val="multilevel"/>
    <w:tmpl w:val="028AB2EE"/>
    <w:lvl w:ilvl="0">
      <w:start w:val="1"/>
      <w:numFmt w:val="decimal"/>
      <w:lvlText w:val="C%1"/>
      <w:lvlJc w:val="left"/>
      <w:pPr>
        <w:ind w:left="782" w:hanging="782"/>
      </w:pPr>
      <w:rPr>
        <w:rFonts w:hint="default"/>
      </w:rPr>
    </w:lvl>
    <w:lvl w:ilvl="1">
      <w:start w:val="1"/>
      <w:numFmt w:val="lowerLetter"/>
      <w:lvlText w:val="(%2)"/>
      <w:lvlJc w:val="left"/>
      <w:pPr>
        <w:ind w:left="1565" w:hanging="783"/>
      </w:pPr>
      <w:rPr>
        <w:rFonts w:hint="default"/>
      </w:rPr>
    </w:lvl>
    <w:lvl w:ilvl="2">
      <w:start w:val="1"/>
      <w:numFmt w:val="lowerRoman"/>
      <w:lvlText w:val="(%3)"/>
      <w:lvlJc w:val="left"/>
      <w:pPr>
        <w:ind w:left="2347" w:hanging="782"/>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6"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7" w15:restartNumberingAfterBreak="0">
    <w:nsid w:val="24E64954"/>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8"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9" w15:restartNumberingAfterBreak="0">
    <w:nsid w:val="25B25A19"/>
    <w:multiLevelType w:val="hybridMultilevel"/>
    <w:tmpl w:val="D16238EE"/>
    <w:lvl w:ilvl="0" w:tplc="3A2ABD7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0"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1" w15:restartNumberingAfterBreak="0">
    <w:nsid w:val="355E24A5"/>
    <w:multiLevelType w:val="multilevel"/>
    <w:tmpl w:val="090A2A5C"/>
    <w:lvl w:ilvl="0">
      <w:start w:val="1"/>
      <w:numFmt w:val="lowerLetter"/>
      <w:lvlText w:val="(%1)"/>
      <w:lvlJc w:val="left"/>
      <w:pPr>
        <w:tabs>
          <w:tab w:val="num" w:pos="1292"/>
        </w:tabs>
        <w:ind w:left="1564" w:hanging="78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3"/>
        </w:tabs>
        <w:ind w:left="1803" w:hanging="511"/>
      </w:pPr>
      <w:rPr>
        <w:rFonts w:hint="default"/>
      </w:rPr>
    </w:lvl>
    <w:lvl w:ilvl="2">
      <w:start w:val="1"/>
      <w:numFmt w:val="lowerRoman"/>
      <w:lvlText w:val="(%3)"/>
      <w:lvlJc w:val="left"/>
      <w:pPr>
        <w:tabs>
          <w:tab w:val="num" w:pos="2313"/>
        </w:tabs>
        <w:ind w:left="2313" w:hanging="510"/>
      </w:pPr>
      <w:rPr>
        <w:rFonts w:hint="default"/>
      </w:rPr>
    </w:lvl>
    <w:lvl w:ilvl="3">
      <w:start w:val="1"/>
      <w:numFmt w:val="upperLetter"/>
      <w:lvlText w:val="(%4)"/>
      <w:lvlJc w:val="left"/>
      <w:pPr>
        <w:tabs>
          <w:tab w:val="num" w:pos="2823"/>
        </w:tabs>
        <w:ind w:left="2823" w:hanging="510"/>
      </w:pPr>
      <w:rPr>
        <w:rFonts w:hint="default"/>
      </w:rPr>
    </w:lvl>
    <w:lvl w:ilvl="4">
      <w:start w:val="1"/>
      <w:numFmt w:val="lowerLetter"/>
      <w:lvlText w:val="(%5)"/>
      <w:lvlJc w:val="left"/>
      <w:pPr>
        <w:tabs>
          <w:tab w:val="num" w:pos="3433"/>
        </w:tabs>
        <w:ind w:left="3433" w:hanging="360"/>
      </w:pPr>
      <w:rPr>
        <w:rFonts w:hint="default"/>
      </w:rPr>
    </w:lvl>
    <w:lvl w:ilvl="5">
      <w:start w:val="1"/>
      <w:numFmt w:val="lowerRoman"/>
      <w:lvlText w:val="(%6)"/>
      <w:lvlJc w:val="left"/>
      <w:pPr>
        <w:tabs>
          <w:tab w:val="num" w:pos="3793"/>
        </w:tabs>
        <w:ind w:left="3793" w:hanging="360"/>
      </w:pPr>
      <w:rPr>
        <w:rFonts w:hint="default"/>
      </w:rPr>
    </w:lvl>
    <w:lvl w:ilvl="6">
      <w:start w:val="1"/>
      <w:numFmt w:val="decimal"/>
      <w:lvlText w:val="%7."/>
      <w:lvlJc w:val="left"/>
      <w:pPr>
        <w:tabs>
          <w:tab w:val="num" w:pos="4153"/>
        </w:tabs>
        <w:ind w:left="4153" w:hanging="360"/>
      </w:pPr>
      <w:rPr>
        <w:rFonts w:hint="default"/>
      </w:rPr>
    </w:lvl>
    <w:lvl w:ilvl="7">
      <w:start w:val="1"/>
      <w:numFmt w:val="lowerLetter"/>
      <w:lvlText w:val="%8."/>
      <w:lvlJc w:val="left"/>
      <w:pPr>
        <w:tabs>
          <w:tab w:val="num" w:pos="4513"/>
        </w:tabs>
        <w:ind w:left="4513" w:hanging="360"/>
      </w:pPr>
      <w:rPr>
        <w:rFonts w:hint="default"/>
      </w:rPr>
    </w:lvl>
    <w:lvl w:ilvl="8">
      <w:start w:val="1"/>
      <w:numFmt w:val="lowerRoman"/>
      <w:lvlText w:val="%9."/>
      <w:lvlJc w:val="left"/>
      <w:pPr>
        <w:tabs>
          <w:tab w:val="num" w:pos="4873"/>
        </w:tabs>
        <w:ind w:left="4873" w:hanging="360"/>
      </w:pPr>
      <w:rPr>
        <w:rFonts w:hint="default"/>
      </w:rPr>
    </w:lvl>
  </w:abstractNum>
  <w:abstractNum w:abstractNumId="12" w15:restartNumberingAfterBreak="0">
    <w:nsid w:val="44936F92"/>
    <w:multiLevelType w:val="multilevel"/>
    <w:tmpl w:val="2B5A67D4"/>
    <w:lvl w:ilvl="0">
      <w:start w:val="1"/>
      <w:numFmt w:val="bullet"/>
      <w:lvlText w:val=""/>
      <w:lvlJc w:val="left"/>
      <w:pPr>
        <w:ind w:left="1564" w:hanging="782"/>
      </w:pPr>
      <w:rPr>
        <w:rFonts w:ascii="Symbol" w:hAnsi="Symbol" w:hint="default"/>
        <w:b w:val="0"/>
        <w:bCs w:val="0"/>
        <w:i w:val="0"/>
        <w:u w:val="none"/>
      </w:rPr>
    </w:lvl>
    <w:lvl w:ilvl="1">
      <w:start w:val="1"/>
      <w:numFmt w:val="lowerLetter"/>
      <w:lvlText w:val="(%2)"/>
      <w:lvlJc w:val="left"/>
      <w:pPr>
        <w:ind w:left="2063" w:hanging="499"/>
      </w:pPr>
      <w:rPr>
        <w:rFonts w:hint="default"/>
        <w:b w:val="0"/>
        <w:bCs w:val="0"/>
        <w:u w:val="none"/>
      </w:rPr>
    </w:lvl>
    <w:lvl w:ilvl="2">
      <w:start w:val="1"/>
      <w:numFmt w:val="lowerRoman"/>
      <w:lvlText w:val="(%3)"/>
      <w:lvlJc w:val="left"/>
      <w:pPr>
        <w:ind w:left="2845" w:hanging="782"/>
      </w:pPr>
      <w:rPr>
        <w:rFonts w:hint="default"/>
        <w:b w:val="0"/>
        <w:bCs w:val="0"/>
        <w:u w:val="none"/>
      </w:rPr>
    </w:lvl>
    <w:lvl w:ilvl="3">
      <w:start w:val="1"/>
      <w:numFmt w:val="upperLetter"/>
      <w:lvlText w:val="(%4)"/>
      <w:lvlJc w:val="left"/>
      <w:pPr>
        <w:tabs>
          <w:tab w:val="num" w:pos="2993"/>
        </w:tabs>
        <w:ind w:left="2993" w:hanging="624"/>
      </w:pPr>
      <w:rPr>
        <w:rFonts w:hint="default"/>
        <w:b w:val="0"/>
        <w:bCs w:val="0"/>
        <w:u w:val="none"/>
      </w:rPr>
    </w:lvl>
    <w:lvl w:ilvl="4">
      <w:start w:val="1"/>
      <w:numFmt w:val="upperRoman"/>
      <w:lvlText w:val="%5"/>
      <w:lvlJc w:val="left"/>
      <w:pPr>
        <w:tabs>
          <w:tab w:val="num" w:pos="4041"/>
        </w:tabs>
        <w:ind w:left="4041" w:hanging="708"/>
      </w:pPr>
      <w:rPr>
        <w:rFonts w:hint="default"/>
        <w:b w:val="0"/>
        <w:bCs w:val="0"/>
        <w:u w:val="none"/>
      </w:rPr>
    </w:lvl>
    <w:lvl w:ilvl="5">
      <w:start w:val="1"/>
      <w:numFmt w:val="decimal"/>
      <w:lvlText w:val="%6"/>
      <w:lvlJc w:val="left"/>
      <w:pPr>
        <w:tabs>
          <w:tab w:val="num" w:pos="4751"/>
        </w:tabs>
        <w:ind w:left="4751" w:hanging="709"/>
      </w:pPr>
      <w:rPr>
        <w:rFonts w:hint="default"/>
      </w:rPr>
    </w:lvl>
    <w:lvl w:ilvl="6">
      <w:start w:val="1"/>
      <w:numFmt w:val="lowerLetter"/>
      <w:lvlText w:val="%7)"/>
      <w:lvlJc w:val="left"/>
      <w:pPr>
        <w:tabs>
          <w:tab w:val="num" w:pos="5459"/>
        </w:tabs>
        <w:ind w:left="5459" w:hanging="708"/>
      </w:pPr>
      <w:rPr>
        <w:rFonts w:hint="default"/>
      </w:rPr>
    </w:lvl>
    <w:lvl w:ilvl="7">
      <w:start w:val="1"/>
      <w:numFmt w:val="lowerRoman"/>
      <w:lvlText w:val="%8)"/>
      <w:lvlJc w:val="left"/>
      <w:pPr>
        <w:tabs>
          <w:tab w:val="num" w:pos="6168"/>
        </w:tabs>
        <w:ind w:left="6168" w:hanging="709"/>
      </w:pPr>
      <w:rPr>
        <w:rFonts w:hint="default"/>
      </w:rPr>
    </w:lvl>
    <w:lvl w:ilvl="8">
      <w:start w:val="1"/>
      <w:numFmt w:val="lowerRoman"/>
      <w:lvlText w:val="%9)"/>
      <w:lvlJc w:val="left"/>
      <w:pPr>
        <w:tabs>
          <w:tab w:val="num" w:pos="6877"/>
        </w:tabs>
        <w:ind w:left="6877" w:hanging="709"/>
      </w:pPr>
      <w:rPr>
        <w:rFonts w:hint="default"/>
      </w:rPr>
    </w:lvl>
  </w:abstractNum>
  <w:abstractNum w:abstractNumId="13"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B27497"/>
    <w:multiLevelType w:val="multilevel"/>
    <w:tmpl w:val="B358DEC6"/>
    <w:lvl w:ilvl="0">
      <w:start w:val="1"/>
      <w:numFmt w:val="decimal"/>
      <w:lvlText w:val="C%1"/>
      <w:lvlJc w:val="left"/>
      <w:pPr>
        <w:tabs>
          <w:tab w:val="num" w:pos="1292"/>
        </w:tabs>
        <w:ind w:left="1292" w:hanging="782"/>
      </w:pPr>
      <w:rPr>
        <w:rFonts w:hint="default"/>
      </w:rPr>
    </w:lvl>
    <w:lvl w:ilvl="1">
      <w:start w:val="1"/>
      <w:numFmt w:val="lowerLetter"/>
      <w:lvlText w:val="(%2)"/>
      <w:lvlJc w:val="left"/>
      <w:pPr>
        <w:ind w:left="1135" w:firstLine="0"/>
      </w:pPr>
      <w:rPr>
        <w:rFonts w:hint="default"/>
      </w:rPr>
    </w:lvl>
    <w:lvl w:ilvl="2">
      <w:start w:val="1"/>
      <w:numFmt w:val="lowerRoman"/>
      <w:lvlText w:val="(%3)"/>
      <w:lvlJc w:val="left"/>
      <w:pPr>
        <w:ind w:left="1292" w:firstLine="783"/>
      </w:pPr>
      <w:rPr>
        <w:rFonts w:hint="default"/>
      </w:rPr>
    </w:lvl>
    <w:lvl w:ilvl="3">
      <w:start w:val="1"/>
      <w:numFmt w:val="decimal"/>
      <w:lvlText w:val="%4."/>
      <w:lvlJc w:val="left"/>
      <w:pPr>
        <w:ind w:left="3390" w:hanging="360"/>
      </w:pPr>
      <w:rPr>
        <w:rFonts w:hint="default"/>
      </w:rPr>
    </w:lvl>
    <w:lvl w:ilvl="4">
      <w:start w:val="1"/>
      <w:numFmt w:val="lowerLetter"/>
      <w:lvlText w:val="%5."/>
      <w:lvlJc w:val="left"/>
      <w:pPr>
        <w:ind w:left="4110" w:hanging="360"/>
      </w:pPr>
      <w:rPr>
        <w:rFonts w:hint="default"/>
      </w:rPr>
    </w:lvl>
    <w:lvl w:ilvl="5">
      <w:start w:val="1"/>
      <w:numFmt w:val="lowerRoman"/>
      <w:lvlText w:val="%6."/>
      <w:lvlJc w:val="right"/>
      <w:pPr>
        <w:ind w:left="4830" w:hanging="180"/>
      </w:pPr>
      <w:rPr>
        <w:rFonts w:hint="default"/>
      </w:rPr>
    </w:lvl>
    <w:lvl w:ilvl="6">
      <w:start w:val="1"/>
      <w:numFmt w:val="decimal"/>
      <w:lvlText w:val="%7."/>
      <w:lvlJc w:val="left"/>
      <w:pPr>
        <w:ind w:left="5550" w:hanging="360"/>
      </w:pPr>
      <w:rPr>
        <w:rFonts w:hint="default"/>
      </w:rPr>
    </w:lvl>
    <w:lvl w:ilvl="7">
      <w:start w:val="1"/>
      <w:numFmt w:val="lowerLetter"/>
      <w:lvlText w:val="%8."/>
      <w:lvlJc w:val="left"/>
      <w:pPr>
        <w:ind w:left="6270" w:hanging="360"/>
      </w:pPr>
      <w:rPr>
        <w:rFonts w:hint="default"/>
      </w:rPr>
    </w:lvl>
    <w:lvl w:ilvl="8">
      <w:start w:val="1"/>
      <w:numFmt w:val="lowerRoman"/>
      <w:lvlText w:val="%9."/>
      <w:lvlJc w:val="right"/>
      <w:pPr>
        <w:ind w:left="6990" w:hanging="180"/>
      </w:pPr>
      <w:rPr>
        <w:rFonts w:hint="default"/>
      </w:rPr>
    </w:lvl>
  </w:abstractNum>
  <w:abstractNum w:abstractNumId="15" w15:restartNumberingAfterBreak="0">
    <w:nsid w:val="61542243"/>
    <w:multiLevelType w:val="multilevel"/>
    <w:tmpl w:val="F65A692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1802F60"/>
    <w:multiLevelType w:val="hybridMultilevel"/>
    <w:tmpl w:val="0E701C30"/>
    <w:lvl w:ilvl="0" w:tplc="28BC1522">
      <w:start w:val="1"/>
      <w:numFmt w:val="lowerLetter"/>
      <w:lvlText w:val="(%1)"/>
      <w:lvlJc w:val="left"/>
      <w:pPr>
        <w:ind w:left="4290" w:hanging="360"/>
      </w:pPr>
      <w:rPr>
        <w:rFonts w:hint="default"/>
      </w:rPr>
    </w:lvl>
    <w:lvl w:ilvl="1" w:tplc="0C090019" w:tentative="1">
      <w:start w:val="1"/>
      <w:numFmt w:val="lowerLetter"/>
      <w:lvlText w:val="%2."/>
      <w:lvlJc w:val="left"/>
      <w:pPr>
        <w:ind w:left="5010" w:hanging="360"/>
      </w:pPr>
    </w:lvl>
    <w:lvl w:ilvl="2" w:tplc="0C09001B" w:tentative="1">
      <w:start w:val="1"/>
      <w:numFmt w:val="lowerRoman"/>
      <w:lvlText w:val="%3."/>
      <w:lvlJc w:val="right"/>
      <w:pPr>
        <w:ind w:left="5730" w:hanging="180"/>
      </w:pPr>
    </w:lvl>
    <w:lvl w:ilvl="3" w:tplc="0C09000F" w:tentative="1">
      <w:start w:val="1"/>
      <w:numFmt w:val="decimal"/>
      <w:lvlText w:val="%4."/>
      <w:lvlJc w:val="left"/>
      <w:pPr>
        <w:ind w:left="6450" w:hanging="360"/>
      </w:pPr>
    </w:lvl>
    <w:lvl w:ilvl="4" w:tplc="0C090019" w:tentative="1">
      <w:start w:val="1"/>
      <w:numFmt w:val="lowerLetter"/>
      <w:lvlText w:val="%5."/>
      <w:lvlJc w:val="left"/>
      <w:pPr>
        <w:ind w:left="7170" w:hanging="360"/>
      </w:pPr>
    </w:lvl>
    <w:lvl w:ilvl="5" w:tplc="0C09001B" w:tentative="1">
      <w:start w:val="1"/>
      <w:numFmt w:val="lowerRoman"/>
      <w:lvlText w:val="%6."/>
      <w:lvlJc w:val="right"/>
      <w:pPr>
        <w:ind w:left="7890" w:hanging="180"/>
      </w:pPr>
    </w:lvl>
    <w:lvl w:ilvl="6" w:tplc="0C09000F" w:tentative="1">
      <w:start w:val="1"/>
      <w:numFmt w:val="decimal"/>
      <w:lvlText w:val="%7."/>
      <w:lvlJc w:val="left"/>
      <w:pPr>
        <w:ind w:left="8610" w:hanging="360"/>
      </w:pPr>
    </w:lvl>
    <w:lvl w:ilvl="7" w:tplc="0C090019" w:tentative="1">
      <w:start w:val="1"/>
      <w:numFmt w:val="lowerLetter"/>
      <w:lvlText w:val="%8."/>
      <w:lvlJc w:val="left"/>
      <w:pPr>
        <w:ind w:left="9330" w:hanging="360"/>
      </w:pPr>
    </w:lvl>
    <w:lvl w:ilvl="8" w:tplc="0C09001B" w:tentative="1">
      <w:start w:val="1"/>
      <w:numFmt w:val="lowerRoman"/>
      <w:lvlText w:val="%9."/>
      <w:lvlJc w:val="right"/>
      <w:pPr>
        <w:ind w:left="10050" w:hanging="180"/>
      </w:pPr>
    </w:lvl>
  </w:abstractNum>
  <w:abstractNum w:abstractNumId="17" w15:restartNumberingAfterBreak="0">
    <w:nsid w:val="62373062"/>
    <w:multiLevelType w:val="hybridMultilevel"/>
    <w:tmpl w:val="D16238EE"/>
    <w:lvl w:ilvl="0" w:tplc="3A2ABD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9" w15:restartNumberingAfterBreak="0">
    <w:nsid w:val="700370D5"/>
    <w:multiLevelType w:val="hybridMultilevel"/>
    <w:tmpl w:val="69E606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6"/>
  </w:num>
  <w:num w:numId="6">
    <w:abstractNumId w:val="18"/>
  </w:num>
  <w:num w:numId="7">
    <w:abstractNumId w:val="8"/>
  </w:num>
  <w:num w:numId="8">
    <w:abstractNumId w:val="10"/>
  </w:num>
  <w:num w:numId="9">
    <w:abstractNumId w:val="1"/>
  </w:num>
  <w:num w:numId="10">
    <w:abstractNumId w:val="0"/>
  </w:num>
  <w:num w:numId="11">
    <w:abstractNumId w:val="13"/>
  </w:num>
  <w:num w:numId="12">
    <w:abstractNumId w:val="17"/>
  </w:num>
  <w:num w:numId="13">
    <w:abstractNumId w:val="9"/>
  </w:num>
  <w:num w:numId="14">
    <w:abstractNumId w:val="15"/>
  </w:num>
  <w:num w:numId="15">
    <w:abstractNumId w:val="8"/>
  </w:num>
  <w:num w:numId="16">
    <w:abstractNumId w:val="11"/>
  </w:num>
  <w:num w:numId="17">
    <w:abstractNumId w:val="3"/>
  </w:num>
  <w:num w:numId="18">
    <w:abstractNumId w:val="14"/>
  </w:num>
  <w:num w:numId="19">
    <w:abstractNumId w:val="7"/>
  </w:num>
  <w:num w:numId="20">
    <w:abstractNumId w:val="5"/>
  </w:num>
  <w:num w:numId="21">
    <w:abstractNumId w:val="12"/>
  </w:num>
  <w:num w:numId="22">
    <w:abstractNumId w:val="2"/>
  </w:num>
  <w:num w:numId="23">
    <w:abstractNumId w:val="16"/>
  </w:num>
  <w:num w:numId="24">
    <w:abstractNumId w:val="19"/>
  </w:num>
  <w:num w:numId="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8193">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47"/>
    <w:rsid w:val="000012B4"/>
    <w:rsid w:val="00002920"/>
    <w:rsid w:val="0000292B"/>
    <w:rsid w:val="00015092"/>
    <w:rsid w:val="00027E8B"/>
    <w:rsid w:val="00027F56"/>
    <w:rsid w:val="0003692E"/>
    <w:rsid w:val="00043291"/>
    <w:rsid w:val="00043699"/>
    <w:rsid w:val="00043F69"/>
    <w:rsid w:val="0004455B"/>
    <w:rsid w:val="00046196"/>
    <w:rsid w:val="00050D99"/>
    <w:rsid w:val="00061A30"/>
    <w:rsid w:val="00061BAE"/>
    <w:rsid w:val="000621BE"/>
    <w:rsid w:val="000625F2"/>
    <w:rsid w:val="00063231"/>
    <w:rsid w:val="00065B29"/>
    <w:rsid w:val="00065F5A"/>
    <w:rsid w:val="00074133"/>
    <w:rsid w:val="00076084"/>
    <w:rsid w:val="000812F8"/>
    <w:rsid w:val="00090A6F"/>
    <w:rsid w:val="00091916"/>
    <w:rsid w:val="000924BF"/>
    <w:rsid w:val="00096027"/>
    <w:rsid w:val="00096ED1"/>
    <w:rsid w:val="000A6827"/>
    <w:rsid w:val="000A6BB5"/>
    <w:rsid w:val="000B13F1"/>
    <w:rsid w:val="000B2AD3"/>
    <w:rsid w:val="000B5976"/>
    <w:rsid w:val="000B61B4"/>
    <w:rsid w:val="000B62A7"/>
    <w:rsid w:val="000B733C"/>
    <w:rsid w:val="000C3EB0"/>
    <w:rsid w:val="000D7B40"/>
    <w:rsid w:val="000E3E92"/>
    <w:rsid w:val="000F456E"/>
    <w:rsid w:val="000F64CC"/>
    <w:rsid w:val="00101F69"/>
    <w:rsid w:val="00110B96"/>
    <w:rsid w:val="001162C5"/>
    <w:rsid w:val="001206CF"/>
    <w:rsid w:val="001334C1"/>
    <w:rsid w:val="0013564B"/>
    <w:rsid w:val="001522E0"/>
    <w:rsid w:val="00161218"/>
    <w:rsid w:val="001662B8"/>
    <w:rsid w:val="001672C9"/>
    <w:rsid w:val="00171F51"/>
    <w:rsid w:val="001761C6"/>
    <w:rsid w:val="001864D4"/>
    <w:rsid w:val="001872D7"/>
    <w:rsid w:val="0019286F"/>
    <w:rsid w:val="001A14F7"/>
    <w:rsid w:val="001B33A5"/>
    <w:rsid w:val="001C1016"/>
    <w:rsid w:val="001C225F"/>
    <w:rsid w:val="001C272A"/>
    <w:rsid w:val="001C2F2A"/>
    <w:rsid w:val="001E351E"/>
    <w:rsid w:val="001E6CDF"/>
    <w:rsid w:val="001F2B35"/>
    <w:rsid w:val="001F78DF"/>
    <w:rsid w:val="00201A99"/>
    <w:rsid w:val="002068E7"/>
    <w:rsid w:val="00207A1B"/>
    <w:rsid w:val="002109E3"/>
    <w:rsid w:val="00217DEE"/>
    <w:rsid w:val="0022022E"/>
    <w:rsid w:val="002232FA"/>
    <w:rsid w:val="002265FC"/>
    <w:rsid w:val="002472F4"/>
    <w:rsid w:val="00254B16"/>
    <w:rsid w:val="00271233"/>
    <w:rsid w:val="0027167F"/>
    <w:rsid w:val="00273B7F"/>
    <w:rsid w:val="00276BC5"/>
    <w:rsid w:val="0028086D"/>
    <w:rsid w:val="00283482"/>
    <w:rsid w:val="002862EE"/>
    <w:rsid w:val="0029647E"/>
    <w:rsid w:val="002A201D"/>
    <w:rsid w:val="002A2FD2"/>
    <w:rsid w:val="002A5EDC"/>
    <w:rsid w:val="002B284E"/>
    <w:rsid w:val="002B4063"/>
    <w:rsid w:val="002B7803"/>
    <w:rsid w:val="002C0D56"/>
    <w:rsid w:val="002C6182"/>
    <w:rsid w:val="002D2D98"/>
    <w:rsid w:val="002E0FA9"/>
    <w:rsid w:val="002E791E"/>
    <w:rsid w:val="002F1CD0"/>
    <w:rsid w:val="002F6BA0"/>
    <w:rsid w:val="00307F26"/>
    <w:rsid w:val="00317781"/>
    <w:rsid w:val="003251D8"/>
    <w:rsid w:val="0032736F"/>
    <w:rsid w:val="0033581C"/>
    <w:rsid w:val="00335DF1"/>
    <w:rsid w:val="00336C94"/>
    <w:rsid w:val="0034105D"/>
    <w:rsid w:val="00351378"/>
    <w:rsid w:val="003514A7"/>
    <w:rsid w:val="003605F6"/>
    <w:rsid w:val="00362C0E"/>
    <w:rsid w:val="00364B30"/>
    <w:rsid w:val="00367DC9"/>
    <w:rsid w:val="00367FC5"/>
    <w:rsid w:val="00377B8D"/>
    <w:rsid w:val="00382796"/>
    <w:rsid w:val="0039009E"/>
    <w:rsid w:val="0039426B"/>
    <w:rsid w:val="00395A76"/>
    <w:rsid w:val="003978FE"/>
    <w:rsid w:val="003A488F"/>
    <w:rsid w:val="003B0CAA"/>
    <w:rsid w:val="003B0E71"/>
    <w:rsid w:val="003B6633"/>
    <w:rsid w:val="003C0663"/>
    <w:rsid w:val="003C3640"/>
    <w:rsid w:val="003C5D1C"/>
    <w:rsid w:val="003C6B24"/>
    <w:rsid w:val="003D1765"/>
    <w:rsid w:val="003D1DD4"/>
    <w:rsid w:val="003D38C7"/>
    <w:rsid w:val="003E0A68"/>
    <w:rsid w:val="003E1900"/>
    <w:rsid w:val="00401ECA"/>
    <w:rsid w:val="00410D50"/>
    <w:rsid w:val="0041212B"/>
    <w:rsid w:val="004150BD"/>
    <w:rsid w:val="00422E4D"/>
    <w:rsid w:val="00423BB3"/>
    <w:rsid w:val="00426876"/>
    <w:rsid w:val="00434D86"/>
    <w:rsid w:val="00436A2D"/>
    <w:rsid w:val="00444032"/>
    <w:rsid w:val="0044702C"/>
    <w:rsid w:val="00453ED9"/>
    <w:rsid w:val="00455DE9"/>
    <w:rsid w:val="00460FBB"/>
    <w:rsid w:val="0046476D"/>
    <w:rsid w:val="00470CE9"/>
    <w:rsid w:val="00470E39"/>
    <w:rsid w:val="0047683E"/>
    <w:rsid w:val="0048155F"/>
    <w:rsid w:val="004870D0"/>
    <w:rsid w:val="00487CF6"/>
    <w:rsid w:val="004961F8"/>
    <w:rsid w:val="004A0957"/>
    <w:rsid w:val="004A2099"/>
    <w:rsid w:val="004A3747"/>
    <w:rsid w:val="004A3BB8"/>
    <w:rsid w:val="004A417F"/>
    <w:rsid w:val="004B038C"/>
    <w:rsid w:val="004B736C"/>
    <w:rsid w:val="004C18DA"/>
    <w:rsid w:val="004C28A9"/>
    <w:rsid w:val="004C4B60"/>
    <w:rsid w:val="004C4B71"/>
    <w:rsid w:val="004C4BAD"/>
    <w:rsid w:val="004C5BDE"/>
    <w:rsid w:val="004D3809"/>
    <w:rsid w:val="004D4D1C"/>
    <w:rsid w:val="004D4FDA"/>
    <w:rsid w:val="004E3B24"/>
    <w:rsid w:val="004E623B"/>
    <w:rsid w:val="004F55FE"/>
    <w:rsid w:val="00500E80"/>
    <w:rsid w:val="00506CE9"/>
    <w:rsid w:val="00507971"/>
    <w:rsid w:val="00510A7E"/>
    <w:rsid w:val="00511C34"/>
    <w:rsid w:val="005166B2"/>
    <w:rsid w:val="0052474E"/>
    <w:rsid w:val="00525610"/>
    <w:rsid w:val="00525EFA"/>
    <w:rsid w:val="00532102"/>
    <w:rsid w:val="0053452C"/>
    <w:rsid w:val="00534BAD"/>
    <w:rsid w:val="00535EC5"/>
    <w:rsid w:val="00540406"/>
    <w:rsid w:val="00544AF9"/>
    <w:rsid w:val="00546583"/>
    <w:rsid w:val="00553AF3"/>
    <w:rsid w:val="00555D05"/>
    <w:rsid w:val="0056274D"/>
    <w:rsid w:val="00564C0B"/>
    <w:rsid w:val="005655CE"/>
    <w:rsid w:val="00566C56"/>
    <w:rsid w:val="00572D8E"/>
    <w:rsid w:val="00577065"/>
    <w:rsid w:val="0058004D"/>
    <w:rsid w:val="00580BC4"/>
    <w:rsid w:val="005834BF"/>
    <w:rsid w:val="00590051"/>
    <w:rsid w:val="005A2514"/>
    <w:rsid w:val="005A54F2"/>
    <w:rsid w:val="005A6AC7"/>
    <w:rsid w:val="005A7519"/>
    <w:rsid w:val="005B146F"/>
    <w:rsid w:val="005B63F2"/>
    <w:rsid w:val="005D607A"/>
    <w:rsid w:val="005E275A"/>
    <w:rsid w:val="005E6BE4"/>
    <w:rsid w:val="00600773"/>
    <w:rsid w:val="00602261"/>
    <w:rsid w:val="00607D02"/>
    <w:rsid w:val="00611BBB"/>
    <w:rsid w:val="006210A8"/>
    <w:rsid w:val="0063418D"/>
    <w:rsid w:val="006403F7"/>
    <w:rsid w:val="00641282"/>
    <w:rsid w:val="00652DF8"/>
    <w:rsid w:val="0065356F"/>
    <w:rsid w:val="006556EE"/>
    <w:rsid w:val="00661CFD"/>
    <w:rsid w:val="00662629"/>
    <w:rsid w:val="006626DD"/>
    <w:rsid w:val="006656E5"/>
    <w:rsid w:val="00683552"/>
    <w:rsid w:val="006844DA"/>
    <w:rsid w:val="0069661D"/>
    <w:rsid w:val="006979A3"/>
    <w:rsid w:val="006A0A66"/>
    <w:rsid w:val="006A3AE9"/>
    <w:rsid w:val="006A40E5"/>
    <w:rsid w:val="006B0CD6"/>
    <w:rsid w:val="006B2801"/>
    <w:rsid w:val="006B4C3A"/>
    <w:rsid w:val="006B6BDA"/>
    <w:rsid w:val="006C2B34"/>
    <w:rsid w:val="006C2E37"/>
    <w:rsid w:val="006D055E"/>
    <w:rsid w:val="006D134A"/>
    <w:rsid w:val="006D4700"/>
    <w:rsid w:val="006D7679"/>
    <w:rsid w:val="006E2C39"/>
    <w:rsid w:val="006F3ACD"/>
    <w:rsid w:val="006F608F"/>
    <w:rsid w:val="007124EA"/>
    <w:rsid w:val="00712C96"/>
    <w:rsid w:val="00714340"/>
    <w:rsid w:val="007174A1"/>
    <w:rsid w:val="007219F7"/>
    <w:rsid w:val="007228EA"/>
    <w:rsid w:val="007333C2"/>
    <w:rsid w:val="00736850"/>
    <w:rsid w:val="00737714"/>
    <w:rsid w:val="00742E4B"/>
    <w:rsid w:val="007455F0"/>
    <w:rsid w:val="00751F6A"/>
    <w:rsid w:val="007530C3"/>
    <w:rsid w:val="007554ED"/>
    <w:rsid w:val="0075572C"/>
    <w:rsid w:val="00755869"/>
    <w:rsid w:val="00755E40"/>
    <w:rsid w:val="00756FF6"/>
    <w:rsid w:val="0076127E"/>
    <w:rsid w:val="0076322B"/>
    <w:rsid w:val="00765404"/>
    <w:rsid w:val="00771BED"/>
    <w:rsid w:val="00775038"/>
    <w:rsid w:val="00780C2A"/>
    <w:rsid w:val="0078116B"/>
    <w:rsid w:val="00796082"/>
    <w:rsid w:val="007A283F"/>
    <w:rsid w:val="007A6BC3"/>
    <w:rsid w:val="007B10F8"/>
    <w:rsid w:val="007B4F11"/>
    <w:rsid w:val="007C6E99"/>
    <w:rsid w:val="007D255B"/>
    <w:rsid w:val="007F1D3D"/>
    <w:rsid w:val="007F3716"/>
    <w:rsid w:val="008028D0"/>
    <w:rsid w:val="008033BD"/>
    <w:rsid w:val="00804D25"/>
    <w:rsid w:val="0081165C"/>
    <w:rsid w:val="00812637"/>
    <w:rsid w:val="00812FD9"/>
    <w:rsid w:val="00813227"/>
    <w:rsid w:val="00814610"/>
    <w:rsid w:val="00820794"/>
    <w:rsid w:val="00820ECA"/>
    <w:rsid w:val="0082396A"/>
    <w:rsid w:val="0082655E"/>
    <w:rsid w:val="00831497"/>
    <w:rsid w:val="00832BA6"/>
    <w:rsid w:val="00841999"/>
    <w:rsid w:val="008459E8"/>
    <w:rsid w:val="00851C59"/>
    <w:rsid w:val="0085745C"/>
    <w:rsid w:val="00864ADE"/>
    <w:rsid w:val="00867FB0"/>
    <w:rsid w:val="008704A5"/>
    <w:rsid w:val="00870A13"/>
    <w:rsid w:val="00871A12"/>
    <w:rsid w:val="00874103"/>
    <w:rsid w:val="00881BBE"/>
    <w:rsid w:val="00884559"/>
    <w:rsid w:val="00887E6E"/>
    <w:rsid w:val="00887FEC"/>
    <w:rsid w:val="00891A39"/>
    <w:rsid w:val="00891E39"/>
    <w:rsid w:val="00894FD9"/>
    <w:rsid w:val="00895809"/>
    <w:rsid w:val="00895AC5"/>
    <w:rsid w:val="0089620B"/>
    <w:rsid w:val="008A064C"/>
    <w:rsid w:val="008A16EB"/>
    <w:rsid w:val="008A2B0A"/>
    <w:rsid w:val="008A3683"/>
    <w:rsid w:val="008A38C1"/>
    <w:rsid w:val="008A6182"/>
    <w:rsid w:val="008B1D94"/>
    <w:rsid w:val="008B21B1"/>
    <w:rsid w:val="008B4C8D"/>
    <w:rsid w:val="008B6376"/>
    <w:rsid w:val="008B643A"/>
    <w:rsid w:val="008C1C4A"/>
    <w:rsid w:val="008C3AFE"/>
    <w:rsid w:val="008C4BAD"/>
    <w:rsid w:val="008C60B1"/>
    <w:rsid w:val="008C6BD0"/>
    <w:rsid w:val="008D0682"/>
    <w:rsid w:val="008D2211"/>
    <w:rsid w:val="008D2EBD"/>
    <w:rsid w:val="008E5AAA"/>
    <w:rsid w:val="008F0A81"/>
    <w:rsid w:val="008F3EBA"/>
    <w:rsid w:val="008F4AC5"/>
    <w:rsid w:val="008F5963"/>
    <w:rsid w:val="008F65A3"/>
    <w:rsid w:val="009008BC"/>
    <w:rsid w:val="00920B8B"/>
    <w:rsid w:val="00923261"/>
    <w:rsid w:val="00923833"/>
    <w:rsid w:val="009256B7"/>
    <w:rsid w:val="00935A72"/>
    <w:rsid w:val="009375CE"/>
    <w:rsid w:val="00937713"/>
    <w:rsid w:val="009402E5"/>
    <w:rsid w:val="00952EDF"/>
    <w:rsid w:val="009565CD"/>
    <w:rsid w:val="00956837"/>
    <w:rsid w:val="009669AB"/>
    <w:rsid w:val="00970C7A"/>
    <w:rsid w:val="00970CA5"/>
    <w:rsid w:val="009721DB"/>
    <w:rsid w:val="00972BFA"/>
    <w:rsid w:val="009809C0"/>
    <w:rsid w:val="009965BA"/>
    <w:rsid w:val="009B6535"/>
    <w:rsid w:val="009C2479"/>
    <w:rsid w:val="009D06F8"/>
    <w:rsid w:val="009D73F1"/>
    <w:rsid w:val="009E24EC"/>
    <w:rsid w:val="009E2F6C"/>
    <w:rsid w:val="009F0388"/>
    <w:rsid w:val="009F138F"/>
    <w:rsid w:val="009F33D2"/>
    <w:rsid w:val="00A05041"/>
    <w:rsid w:val="00A13F82"/>
    <w:rsid w:val="00A16664"/>
    <w:rsid w:val="00A211C9"/>
    <w:rsid w:val="00A22E0D"/>
    <w:rsid w:val="00A23EB5"/>
    <w:rsid w:val="00A241BB"/>
    <w:rsid w:val="00A41ED3"/>
    <w:rsid w:val="00A46A2B"/>
    <w:rsid w:val="00A47423"/>
    <w:rsid w:val="00A47FA2"/>
    <w:rsid w:val="00A5122D"/>
    <w:rsid w:val="00A51A7E"/>
    <w:rsid w:val="00A55F4F"/>
    <w:rsid w:val="00A562DF"/>
    <w:rsid w:val="00A65361"/>
    <w:rsid w:val="00A66BEE"/>
    <w:rsid w:val="00A70CFB"/>
    <w:rsid w:val="00A732D5"/>
    <w:rsid w:val="00A748BA"/>
    <w:rsid w:val="00A83862"/>
    <w:rsid w:val="00A8486C"/>
    <w:rsid w:val="00A96702"/>
    <w:rsid w:val="00A97EB2"/>
    <w:rsid w:val="00AA14A9"/>
    <w:rsid w:val="00AA24CD"/>
    <w:rsid w:val="00AB71A7"/>
    <w:rsid w:val="00AB780A"/>
    <w:rsid w:val="00AC1003"/>
    <w:rsid w:val="00AC1AAE"/>
    <w:rsid w:val="00AC4315"/>
    <w:rsid w:val="00AD42DA"/>
    <w:rsid w:val="00AE0EBD"/>
    <w:rsid w:val="00AF4347"/>
    <w:rsid w:val="00AF61B8"/>
    <w:rsid w:val="00B02D7A"/>
    <w:rsid w:val="00B10DE0"/>
    <w:rsid w:val="00B110AD"/>
    <w:rsid w:val="00B1325B"/>
    <w:rsid w:val="00B16904"/>
    <w:rsid w:val="00B22086"/>
    <w:rsid w:val="00B22833"/>
    <w:rsid w:val="00B22FE2"/>
    <w:rsid w:val="00B26DD5"/>
    <w:rsid w:val="00B271BA"/>
    <w:rsid w:val="00B31DD6"/>
    <w:rsid w:val="00B3429E"/>
    <w:rsid w:val="00B3514A"/>
    <w:rsid w:val="00B3637E"/>
    <w:rsid w:val="00B655F4"/>
    <w:rsid w:val="00B74237"/>
    <w:rsid w:val="00B7478C"/>
    <w:rsid w:val="00B8057F"/>
    <w:rsid w:val="00B82F15"/>
    <w:rsid w:val="00B8312F"/>
    <w:rsid w:val="00B90A1F"/>
    <w:rsid w:val="00B91BA4"/>
    <w:rsid w:val="00B92155"/>
    <w:rsid w:val="00BA3AB4"/>
    <w:rsid w:val="00BA4622"/>
    <w:rsid w:val="00BB447E"/>
    <w:rsid w:val="00BB4C9F"/>
    <w:rsid w:val="00BB7C55"/>
    <w:rsid w:val="00BC0794"/>
    <w:rsid w:val="00BC0D5D"/>
    <w:rsid w:val="00BC41C9"/>
    <w:rsid w:val="00BD2491"/>
    <w:rsid w:val="00BD5411"/>
    <w:rsid w:val="00BE2F68"/>
    <w:rsid w:val="00BE38FC"/>
    <w:rsid w:val="00BF0190"/>
    <w:rsid w:val="00BF60C0"/>
    <w:rsid w:val="00C02F30"/>
    <w:rsid w:val="00C03C7B"/>
    <w:rsid w:val="00C0730D"/>
    <w:rsid w:val="00C114F5"/>
    <w:rsid w:val="00C21982"/>
    <w:rsid w:val="00C23E4E"/>
    <w:rsid w:val="00C241CE"/>
    <w:rsid w:val="00C26541"/>
    <w:rsid w:val="00C3362D"/>
    <w:rsid w:val="00C343A9"/>
    <w:rsid w:val="00C3493B"/>
    <w:rsid w:val="00C37359"/>
    <w:rsid w:val="00C37458"/>
    <w:rsid w:val="00C40E43"/>
    <w:rsid w:val="00C4110B"/>
    <w:rsid w:val="00C438DD"/>
    <w:rsid w:val="00C43CD1"/>
    <w:rsid w:val="00C45020"/>
    <w:rsid w:val="00C5022C"/>
    <w:rsid w:val="00C511B9"/>
    <w:rsid w:val="00C534B9"/>
    <w:rsid w:val="00C54412"/>
    <w:rsid w:val="00C552FD"/>
    <w:rsid w:val="00C63573"/>
    <w:rsid w:val="00C70D83"/>
    <w:rsid w:val="00C74CA2"/>
    <w:rsid w:val="00C85965"/>
    <w:rsid w:val="00C876C0"/>
    <w:rsid w:val="00C90702"/>
    <w:rsid w:val="00C91BD3"/>
    <w:rsid w:val="00C95D8A"/>
    <w:rsid w:val="00CA61C5"/>
    <w:rsid w:val="00CA641E"/>
    <w:rsid w:val="00CB68EC"/>
    <w:rsid w:val="00CB719A"/>
    <w:rsid w:val="00CC1DF4"/>
    <w:rsid w:val="00CC38EA"/>
    <w:rsid w:val="00CC3B81"/>
    <w:rsid w:val="00CC42AE"/>
    <w:rsid w:val="00CC5913"/>
    <w:rsid w:val="00CC5FBB"/>
    <w:rsid w:val="00CC6FCD"/>
    <w:rsid w:val="00CD5D1C"/>
    <w:rsid w:val="00CE2F8C"/>
    <w:rsid w:val="00CF75CA"/>
    <w:rsid w:val="00CF7B67"/>
    <w:rsid w:val="00D00FD5"/>
    <w:rsid w:val="00D041F2"/>
    <w:rsid w:val="00D13529"/>
    <w:rsid w:val="00D253C7"/>
    <w:rsid w:val="00D35E5C"/>
    <w:rsid w:val="00D52086"/>
    <w:rsid w:val="00D54F5C"/>
    <w:rsid w:val="00D57CB3"/>
    <w:rsid w:val="00D63552"/>
    <w:rsid w:val="00D67336"/>
    <w:rsid w:val="00D67C4D"/>
    <w:rsid w:val="00D73DA3"/>
    <w:rsid w:val="00D74038"/>
    <w:rsid w:val="00D74C6A"/>
    <w:rsid w:val="00D91793"/>
    <w:rsid w:val="00D942EB"/>
    <w:rsid w:val="00D96A64"/>
    <w:rsid w:val="00D97218"/>
    <w:rsid w:val="00DA2A7B"/>
    <w:rsid w:val="00DA3B2B"/>
    <w:rsid w:val="00DB00CD"/>
    <w:rsid w:val="00DB2CB8"/>
    <w:rsid w:val="00DC7106"/>
    <w:rsid w:val="00DC7E1B"/>
    <w:rsid w:val="00DD1DDC"/>
    <w:rsid w:val="00DD2C49"/>
    <w:rsid w:val="00DD7E7A"/>
    <w:rsid w:val="00DF39E3"/>
    <w:rsid w:val="00DF5522"/>
    <w:rsid w:val="00DF6B7B"/>
    <w:rsid w:val="00E033B7"/>
    <w:rsid w:val="00E06A1A"/>
    <w:rsid w:val="00E06C2F"/>
    <w:rsid w:val="00E23257"/>
    <w:rsid w:val="00E23CF4"/>
    <w:rsid w:val="00E24399"/>
    <w:rsid w:val="00E24C45"/>
    <w:rsid w:val="00E26CE7"/>
    <w:rsid w:val="00E274C6"/>
    <w:rsid w:val="00E41399"/>
    <w:rsid w:val="00E4571D"/>
    <w:rsid w:val="00E46988"/>
    <w:rsid w:val="00E54FB8"/>
    <w:rsid w:val="00E55F2F"/>
    <w:rsid w:val="00E63279"/>
    <w:rsid w:val="00E74BD5"/>
    <w:rsid w:val="00E7592A"/>
    <w:rsid w:val="00E81BA4"/>
    <w:rsid w:val="00E839DA"/>
    <w:rsid w:val="00E866DA"/>
    <w:rsid w:val="00E90B4F"/>
    <w:rsid w:val="00E915E3"/>
    <w:rsid w:val="00E9203B"/>
    <w:rsid w:val="00E9384F"/>
    <w:rsid w:val="00E94DA2"/>
    <w:rsid w:val="00E95789"/>
    <w:rsid w:val="00E96457"/>
    <w:rsid w:val="00E96D45"/>
    <w:rsid w:val="00E97B4B"/>
    <w:rsid w:val="00E97D91"/>
    <w:rsid w:val="00EA01E0"/>
    <w:rsid w:val="00EA4266"/>
    <w:rsid w:val="00EA4316"/>
    <w:rsid w:val="00EA45A5"/>
    <w:rsid w:val="00EA626B"/>
    <w:rsid w:val="00EB16BA"/>
    <w:rsid w:val="00EB4197"/>
    <w:rsid w:val="00EB4756"/>
    <w:rsid w:val="00EC4AFD"/>
    <w:rsid w:val="00EC5DB6"/>
    <w:rsid w:val="00ED0067"/>
    <w:rsid w:val="00ED06E4"/>
    <w:rsid w:val="00ED1477"/>
    <w:rsid w:val="00EE08C4"/>
    <w:rsid w:val="00EE2509"/>
    <w:rsid w:val="00EE3D03"/>
    <w:rsid w:val="00EE6427"/>
    <w:rsid w:val="00EE740D"/>
    <w:rsid w:val="00EF7A7F"/>
    <w:rsid w:val="00F0723D"/>
    <w:rsid w:val="00F13C5A"/>
    <w:rsid w:val="00F14BDB"/>
    <w:rsid w:val="00F22AF2"/>
    <w:rsid w:val="00F24EF2"/>
    <w:rsid w:val="00F2677A"/>
    <w:rsid w:val="00F27D29"/>
    <w:rsid w:val="00F30FCD"/>
    <w:rsid w:val="00F311FB"/>
    <w:rsid w:val="00F3275B"/>
    <w:rsid w:val="00F34813"/>
    <w:rsid w:val="00F34B57"/>
    <w:rsid w:val="00F424C9"/>
    <w:rsid w:val="00F4588F"/>
    <w:rsid w:val="00F514A6"/>
    <w:rsid w:val="00F54ABB"/>
    <w:rsid w:val="00F56BB3"/>
    <w:rsid w:val="00F576C7"/>
    <w:rsid w:val="00F63B44"/>
    <w:rsid w:val="00F65006"/>
    <w:rsid w:val="00F66585"/>
    <w:rsid w:val="00F66B41"/>
    <w:rsid w:val="00F77456"/>
    <w:rsid w:val="00F82A0E"/>
    <w:rsid w:val="00F83ED8"/>
    <w:rsid w:val="00F97061"/>
    <w:rsid w:val="00F970FB"/>
    <w:rsid w:val="00FA29B5"/>
    <w:rsid w:val="00FB0B98"/>
    <w:rsid w:val="00FB1E54"/>
    <w:rsid w:val="00FB39CB"/>
    <w:rsid w:val="00FB42D3"/>
    <w:rsid w:val="00FB529A"/>
    <w:rsid w:val="00FB597C"/>
    <w:rsid w:val="00FC2254"/>
    <w:rsid w:val="00FC30DA"/>
    <w:rsid w:val="00FC3B06"/>
    <w:rsid w:val="00FC64EE"/>
    <w:rsid w:val="00FC73E4"/>
    <w:rsid w:val="00FF2DF2"/>
    <w:rsid w:val="00FF4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eaeaea"/>
    </o:shapedefaults>
    <o:shapelayout v:ext="edit">
      <o:idmap v:ext="edit" data="1"/>
    </o:shapelayout>
  </w:shapeDefaults>
  <w:decimalSymbol w:val="."/>
  <w:listSeparator w:val=","/>
  <w15:docId w15:val="{B58EF881-1541-4A58-BD3C-285F2145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uiPriority w:val="2"/>
    <w:rsid w:val="000812F8"/>
    <w:rPr>
      <w:sz w:val="19"/>
      <w:lang w:eastAsia="en-US"/>
    </w:rPr>
  </w:style>
  <w:style w:type="paragraph" w:customStyle="1" w:styleId="Default">
    <w:name w:val="Default"/>
    <w:rsid w:val="00532102"/>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F608F"/>
    <w:rPr>
      <w:rFonts w:ascii="Segoe UI" w:hAnsi="Segoe UI" w:cs="Segoe UI"/>
      <w:sz w:val="18"/>
      <w:szCs w:val="18"/>
    </w:rPr>
  </w:style>
  <w:style w:type="character" w:customStyle="1" w:styleId="BalloonTextChar">
    <w:name w:val="Balloon Text Char"/>
    <w:basedOn w:val="DefaultParagraphFont"/>
    <w:link w:val="BalloonText"/>
    <w:semiHidden/>
    <w:rsid w:val="006F608F"/>
    <w:rPr>
      <w:rFonts w:ascii="Segoe UI" w:hAnsi="Segoe UI" w:cs="Segoe UI"/>
      <w:sz w:val="18"/>
      <w:szCs w:val="18"/>
      <w:lang w:eastAsia="en-US"/>
    </w:rPr>
  </w:style>
  <w:style w:type="character" w:customStyle="1" w:styleId="HeaderChar">
    <w:name w:val="Header Char"/>
    <w:basedOn w:val="DefaultParagraphFont"/>
    <w:link w:val="Header"/>
    <w:uiPriority w:val="99"/>
    <w:rsid w:val="00EB16BA"/>
    <w:rPr>
      <w:sz w:val="19"/>
      <w:lang w:eastAsia="en-US"/>
    </w:rPr>
  </w:style>
  <w:style w:type="character" w:styleId="CommentReference">
    <w:name w:val="annotation reference"/>
    <w:basedOn w:val="DefaultParagraphFont"/>
    <w:semiHidden/>
    <w:unhideWhenUsed/>
    <w:rsid w:val="00A65361"/>
    <w:rPr>
      <w:sz w:val="16"/>
      <w:szCs w:val="16"/>
    </w:rPr>
  </w:style>
  <w:style w:type="paragraph" w:styleId="CommentText">
    <w:name w:val="annotation text"/>
    <w:basedOn w:val="Normal"/>
    <w:link w:val="CommentTextChar"/>
    <w:semiHidden/>
    <w:unhideWhenUsed/>
    <w:rsid w:val="00A65361"/>
    <w:rPr>
      <w:sz w:val="20"/>
    </w:rPr>
  </w:style>
  <w:style w:type="character" w:customStyle="1" w:styleId="CommentTextChar">
    <w:name w:val="Comment Text Char"/>
    <w:basedOn w:val="DefaultParagraphFont"/>
    <w:link w:val="CommentText"/>
    <w:semiHidden/>
    <w:rsid w:val="00A65361"/>
    <w:rPr>
      <w:lang w:eastAsia="en-US"/>
    </w:rPr>
  </w:style>
  <w:style w:type="paragraph" w:styleId="CommentSubject">
    <w:name w:val="annotation subject"/>
    <w:basedOn w:val="CommentText"/>
    <w:next w:val="CommentText"/>
    <w:link w:val="CommentSubjectChar"/>
    <w:semiHidden/>
    <w:unhideWhenUsed/>
    <w:rsid w:val="00A65361"/>
    <w:rPr>
      <w:b/>
      <w:bCs/>
    </w:rPr>
  </w:style>
  <w:style w:type="character" w:customStyle="1" w:styleId="CommentSubjectChar">
    <w:name w:val="Comment Subject Char"/>
    <w:basedOn w:val="CommentTextChar"/>
    <w:link w:val="CommentSubject"/>
    <w:semiHidden/>
    <w:rsid w:val="00A65361"/>
    <w:rPr>
      <w:b/>
      <w:bCs/>
      <w:lang w:eastAsia="en-US"/>
    </w:rPr>
  </w:style>
  <w:style w:type="character" w:styleId="FollowedHyperlink">
    <w:name w:val="FollowedHyperlink"/>
    <w:basedOn w:val="DefaultParagraphFont"/>
    <w:semiHidden/>
    <w:unhideWhenUsed/>
    <w:rsid w:val="002C0D56"/>
    <w:rPr>
      <w:color w:val="800080" w:themeColor="followedHyperlink"/>
      <w:u w:val="single"/>
    </w:rPr>
  </w:style>
  <w:style w:type="character" w:styleId="PlaceholderText">
    <w:name w:val="Placeholder Text"/>
    <w:basedOn w:val="DefaultParagraphFont"/>
    <w:uiPriority w:val="99"/>
    <w:semiHidden/>
    <w:rsid w:val="009008BC"/>
    <w:rPr>
      <w:color w:val="808080"/>
    </w:rPr>
  </w:style>
  <w:style w:type="paragraph" w:customStyle="1" w:styleId="IASBSectionTitle2Ind">
    <w:name w:val="IASB Section Title 2 Ind"/>
    <w:basedOn w:val="Normal"/>
    <w:uiPriority w:val="8"/>
    <w:rsid w:val="001334C1"/>
    <w:pPr>
      <w:keepNext/>
      <w:keepLines/>
      <w:spacing w:before="240" w:after="200"/>
      <w:ind w:left="782"/>
      <w:jc w:val="left"/>
      <w:outlineLvl w:val="1"/>
    </w:pPr>
    <w:rPr>
      <w:rFonts w:ascii="Arial" w:hAnsi="Arial" w:cs="Arial"/>
      <w:b/>
      <w:sz w:val="26"/>
    </w:rPr>
  </w:style>
  <w:style w:type="paragraph" w:customStyle="1" w:styleId="IASBSectionTitle3Ind">
    <w:name w:val="IASB Section Title 3 Ind"/>
    <w:basedOn w:val="Normal"/>
    <w:uiPriority w:val="8"/>
    <w:rsid w:val="001334C1"/>
    <w:pPr>
      <w:keepNext/>
      <w:keepLines/>
      <w:spacing w:before="240" w:after="200"/>
      <w:ind w:left="782"/>
      <w:jc w:val="left"/>
      <w:outlineLvl w:val="2"/>
    </w:pPr>
    <w:rPr>
      <w:rFonts w:ascii="Arial" w:hAnsi="Arial" w:cs="Arial"/>
      <w:b/>
      <w:sz w:val="22"/>
    </w:rPr>
  </w:style>
  <w:style w:type="character" w:customStyle="1" w:styleId="Heading2Char">
    <w:name w:val="Heading 2 Char"/>
    <w:basedOn w:val="DefaultParagraphFont"/>
    <w:link w:val="Heading2"/>
    <w:rsid w:val="001334C1"/>
    <w:rPr>
      <w:rFonts w:ascii="Arial" w:hAnsi="Arial" w:cs="Arial"/>
      <w:b/>
      <w:iCs/>
      <w:sz w:val="26"/>
      <w:szCs w:val="28"/>
      <w:lang w:eastAsia="en-US"/>
    </w:rPr>
  </w:style>
  <w:style w:type="paragraph" w:customStyle="1" w:styleId="NumCPlain1">
    <w:name w:val="Num C Plain 1"/>
    <w:basedOn w:val="Normal"/>
    <w:qFormat/>
    <w:rsid w:val="001334C1"/>
    <w:pPr>
      <w:spacing w:before="100" w:after="100"/>
      <w:ind w:left="782" w:hanging="782"/>
    </w:pPr>
  </w:style>
  <w:style w:type="paragraph" w:customStyle="1" w:styleId="NumCPlain2">
    <w:name w:val="Num C Plain 2"/>
    <w:basedOn w:val="NumCPlain1"/>
    <w:qFormat/>
    <w:rsid w:val="001334C1"/>
    <w:pPr>
      <w:ind w:left="1564"/>
    </w:pPr>
  </w:style>
  <w:style w:type="paragraph" w:customStyle="1" w:styleId="NumCPlain3">
    <w:name w:val="Num C Plain 3"/>
    <w:basedOn w:val="NumCPlain2"/>
    <w:qFormat/>
    <w:rsid w:val="001334C1"/>
    <w:pPr>
      <w:ind w:left="2347"/>
    </w:pPr>
  </w:style>
  <w:style w:type="paragraph" w:customStyle="1" w:styleId="AmendmentInstruction">
    <w:name w:val="AmendmentInstruction"/>
    <w:qFormat/>
    <w:rsid w:val="001334C1"/>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PlainNumHang1">
    <w:name w:val="Plain Num Hang 1"/>
    <w:basedOn w:val="Normal"/>
    <w:qFormat/>
    <w:rsid w:val="001334C1"/>
    <w:pPr>
      <w:spacing w:after="240"/>
      <w:ind w:left="782" w:hanging="782"/>
      <w:jc w:val="left"/>
    </w:pPr>
  </w:style>
  <w:style w:type="paragraph" w:customStyle="1" w:styleId="BoldNumHang1">
    <w:name w:val="Bold Num Hang 1"/>
    <w:basedOn w:val="PlainNumHang1"/>
    <w:qFormat/>
    <w:rsid w:val="001334C1"/>
    <w:pPr>
      <w:jc w:val="both"/>
    </w:pPr>
    <w:rPr>
      <w:b/>
    </w:rPr>
  </w:style>
  <w:style w:type="paragraph" w:customStyle="1" w:styleId="IASBSectionTitle1NonInd">
    <w:name w:val="IASB Section Title 1 NonInd"/>
    <w:basedOn w:val="Normal"/>
    <w:link w:val="IASBSectionTitle1NonIndChar"/>
    <w:uiPriority w:val="8"/>
    <w:rsid w:val="006979A3"/>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6979A3"/>
    <w:rPr>
      <w:rFonts w:ascii="Arial" w:hAnsi="Arial" w:cs="Arial"/>
      <w:b/>
      <w:sz w:val="26"/>
      <w:lang w:eastAsia="en-US"/>
    </w:rPr>
  </w:style>
  <w:style w:type="paragraph" w:customStyle="1" w:styleId="ConvSectionTitle">
    <w:name w:val="Conv Section Title"/>
    <w:basedOn w:val="IASBSectionTitle1NonInd"/>
    <w:uiPriority w:val="9"/>
    <w:qFormat/>
    <w:rsid w:val="006979A3"/>
    <w:pPr>
      <w:pBdr>
        <w:bottom w:val="none" w:sz="0" w:space="0" w:color="auto"/>
      </w:pBdr>
    </w:pPr>
  </w:style>
  <w:style w:type="paragraph" w:customStyle="1" w:styleId="IASBNormal">
    <w:name w:val="IASB Normal"/>
    <w:link w:val="IASBNormalChar"/>
    <w:uiPriority w:val="8"/>
    <w:rsid w:val="009809C0"/>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9809C0"/>
    <w:rPr>
      <w:sz w:val="19"/>
      <w:lang w:eastAsia="en-US"/>
    </w:rPr>
  </w:style>
  <w:style w:type="paragraph" w:styleId="Revision">
    <w:name w:val="Revision"/>
    <w:hidden/>
    <w:uiPriority w:val="99"/>
    <w:semiHidden/>
    <w:rsid w:val="009F33D2"/>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39D37-8E6F-4377-8619-D4463E4F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4501</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30406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lastModifiedBy>Anstis, Clark</cp:lastModifiedBy>
  <cp:revision>10</cp:revision>
  <cp:lastPrinted>2018-12-24T01:48:00Z</cp:lastPrinted>
  <dcterms:created xsi:type="dcterms:W3CDTF">2018-12-24T00:51:00Z</dcterms:created>
  <dcterms:modified xsi:type="dcterms:W3CDTF">2018-12-24T03:30:00Z</dcterms:modified>
</cp:coreProperties>
</file>