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97" w:rsidRDefault="00002885" w:rsidP="00002885">
      <w:pPr>
        <w:ind w:left="1440" w:firstLine="720"/>
      </w:pPr>
      <w:r w:rsidRPr="00164241">
        <w:rPr>
          <w:b/>
          <w:u w:val="single"/>
        </w:rPr>
        <w:t>EXPLANATORY STATEMENT</w:t>
      </w:r>
    </w:p>
    <w:p w:rsidR="00A75B97" w:rsidRPr="00A75B97" w:rsidRDefault="00A75B97" w:rsidP="00002885">
      <w:pPr>
        <w:ind w:left="1440" w:firstLine="720"/>
        <w:rPr>
          <w:i/>
        </w:rPr>
      </w:pPr>
      <w:r w:rsidRPr="00A75B97">
        <w:rPr>
          <w:i/>
        </w:rPr>
        <w:t>Therapeutic Goods Act 1989</w:t>
      </w:r>
    </w:p>
    <w:p w:rsidR="00002885" w:rsidRPr="00E10EE3" w:rsidRDefault="00A75B97" w:rsidP="007C67C0">
      <w:pPr>
        <w:ind w:left="1440" w:firstLine="720"/>
        <w:rPr>
          <w:lang w:val="en-AU"/>
        </w:rPr>
      </w:pPr>
      <w:r w:rsidRPr="00A75B97">
        <w:rPr>
          <w:i/>
        </w:rPr>
        <w:t>Poisons Standard February 2019</w:t>
      </w:r>
    </w:p>
    <w:p w:rsidR="00002885" w:rsidRPr="00C35036" w:rsidRDefault="00002885" w:rsidP="00A75B97">
      <w:pPr>
        <w:ind w:right="-766"/>
      </w:pPr>
      <w:r w:rsidRPr="00C35036">
        <w:t xml:space="preserve">The </w:t>
      </w:r>
      <w:r w:rsidRPr="00C35036">
        <w:rPr>
          <w:i/>
        </w:rPr>
        <w:t>Therapeutic Goods Act 1989</w:t>
      </w:r>
      <w:r w:rsidRPr="00C35036">
        <w:t xml:space="preserve"> (</w:t>
      </w:r>
      <w:r w:rsidRPr="00A75B97">
        <w:t>the</w:t>
      </w:r>
      <w:r w:rsidR="00A75B97" w:rsidRPr="00A75B97">
        <w:t xml:space="preserve"> </w:t>
      </w:r>
      <w:r w:rsidRPr="00A75B97">
        <w:t>Act</w:t>
      </w:r>
      <w:r w:rsidRPr="00C35036">
        <w:t xml:space="preserve">) provides for the establishment and maintenance of a </w:t>
      </w:r>
      <w:r w:rsidR="00A75B97">
        <w:t xml:space="preserve">national </w:t>
      </w:r>
      <w:r w:rsidRPr="00C35036">
        <w:t>system of controls for the quality, safety, efficacy and timely availability of therapeutic goods that are used in</w:t>
      </w:r>
      <w:r w:rsidR="00A75B97">
        <w:t>,</w:t>
      </w:r>
      <w:r w:rsidRPr="00C35036">
        <w:t xml:space="preserve"> or exported from</w:t>
      </w:r>
      <w:r w:rsidR="00A75B97">
        <w:t>,</w:t>
      </w:r>
      <w:r w:rsidRPr="00C35036">
        <w:t xml:space="preserve"> Australia. The Act also provides a framework for </w:t>
      </w:r>
      <w:r w:rsidR="00A75B97">
        <w:t>S</w:t>
      </w:r>
      <w:r w:rsidRPr="00C35036">
        <w:t xml:space="preserve">tate and </w:t>
      </w:r>
      <w:r w:rsidR="00A75B97">
        <w:t>T</w:t>
      </w:r>
      <w:r w:rsidRPr="00C35036">
        <w:t>erritory governments to adopt a uniform approach to control the availability and accessibility, and to ensure the safe handling, of medi</w:t>
      </w:r>
      <w:r w:rsidR="00484CED">
        <w:t>cines and poisons in Australia.</w:t>
      </w:r>
      <w:r w:rsidR="00E43AFC" w:rsidRPr="00C35036">
        <w:t xml:space="preserve"> </w:t>
      </w:r>
      <w:r w:rsidRPr="00C35036">
        <w:t>The Therapeutic Goods Administration (</w:t>
      </w:r>
      <w:r w:rsidRPr="00A75B97">
        <w:t>the TGA</w:t>
      </w:r>
      <w:r w:rsidRPr="00C35036">
        <w:t>), which is part of the Department of Health, is responsible for administering the TG Act.</w:t>
      </w:r>
    </w:p>
    <w:p w:rsidR="00002885" w:rsidRPr="00C35036" w:rsidRDefault="00002885" w:rsidP="00A75B97">
      <w:pPr>
        <w:ind w:right="-766"/>
      </w:pPr>
      <w:r w:rsidRPr="00C35036">
        <w:t>Part 6-3 of the Act provides the basis for a uniform system of access controls for goods containing scheduled substances.</w:t>
      </w:r>
      <w:r w:rsidR="00E43AFC" w:rsidRPr="00C35036">
        <w:t xml:space="preserve"> </w:t>
      </w:r>
      <w:r w:rsidRPr="00C35036">
        <w:t>The scheduling of substances allows restrictions to be placed on their supply to the public, in the interests of public health and safety. The scheduling of substances is aimed at</w:t>
      </w:r>
      <w:r w:rsidRPr="00C35036">
        <w:rPr>
          <w:lang w:val="en-AU"/>
        </w:rPr>
        <w:t xml:space="preserve"> minimising</w:t>
      </w:r>
      <w:r w:rsidRPr="00C35036">
        <w:t xml:space="preserve"> the risks of poisoning from, and the misuse or abuse of, scheduled substances.</w:t>
      </w:r>
    </w:p>
    <w:p w:rsidR="00002885" w:rsidRPr="00484CED" w:rsidRDefault="00002885" w:rsidP="00A75B97">
      <w:pPr>
        <w:ind w:right="-766"/>
      </w:pPr>
      <w:r w:rsidRPr="00C35036">
        <w:t xml:space="preserve">Subsection </w:t>
      </w:r>
      <w:proofErr w:type="gramStart"/>
      <w:r w:rsidRPr="00C35036">
        <w:t>52D(</w:t>
      </w:r>
      <w:proofErr w:type="gramEnd"/>
      <w:r w:rsidRPr="00C35036">
        <w:t>2) of the Act</w:t>
      </w:r>
      <w:r w:rsidRPr="00C35036">
        <w:rPr>
          <w:lang w:val="en-AU"/>
        </w:rPr>
        <w:t xml:space="preserve"> (which is in Part 6-3) provides for</w:t>
      </w:r>
      <w:r w:rsidRPr="00C35036">
        <w:t xml:space="preserve"> the Secretary </w:t>
      </w:r>
      <w:r w:rsidR="00357B5C" w:rsidRPr="00C35036">
        <w:t>of</w:t>
      </w:r>
      <w:r w:rsidRPr="00C35036">
        <w:t xml:space="preserve"> </w:t>
      </w:r>
      <w:r w:rsidRPr="00484CED">
        <w:t xml:space="preserve">the Department of Health to amend the current </w:t>
      </w:r>
      <w:r w:rsidR="00AE511D" w:rsidRPr="00484CED">
        <w:t>Poisons Standard</w:t>
      </w:r>
      <w:r w:rsidRPr="00484CED">
        <w:t xml:space="preserve"> (</w:t>
      </w:r>
      <w:r w:rsidR="001C28B3">
        <w:t>which under Section 2 of the Poisons Standard consists of</w:t>
      </w:r>
      <w:r w:rsidRPr="00484CED">
        <w:t xml:space="preserve"> the Standard for the Uniform Scheduling of Medicines and Poisons) or to prepare a document (a new </w:t>
      </w:r>
      <w:r w:rsidR="00AE511D" w:rsidRPr="00484CED">
        <w:t>Poisons Standard</w:t>
      </w:r>
      <w:r w:rsidRPr="00484CED">
        <w:t xml:space="preserve">) that includes schedules containing the names or descriptions of substances, in substitution for the current </w:t>
      </w:r>
      <w:r w:rsidR="00AE511D" w:rsidRPr="00484CED">
        <w:t>Poisons Standard</w:t>
      </w:r>
      <w:r w:rsidRPr="00484CED">
        <w:t>.</w:t>
      </w:r>
    </w:p>
    <w:p w:rsidR="00002885" w:rsidRPr="00C35036" w:rsidRDefault="00002885" w:rsidP="00A75B97">
      <w:pPr>
        <w:ind w:right="-766"/>
      </w:pPr>
      <w:r w:rsidRPr="00484CED">
        <w:t xml:space="preserve">The </w:t>
      </w:r>
      <w:r w:rsidR="00AE511D" w:rsidRPr="00484CED">
        <w:t>Poisons Standard</w:t>
      </w:r>
      <w:r w:rsidRPr="00484CED">
        <w:t xml:space="preserve"> </w:t>
      </w:r>
      <w:r w:rsidR="001C28B3">
        <w:t>comprises</w:t>
      </w:r>
      <w:r w:rsidR="001C28B3" w:rsidRPr="00484CED">
        <w:t xml:space="preserve"> </w:t>
      </w:r>
      <w:r w:rsidRPr="00484CED">
        <w:t>of decisions of the Secretary</w:t>
      </w:r>
      <w:r w:rsidR="003A342F">
        <w:t xml:space="preserve"> (or the Secretary’s delegate)</w:t>
      </w:r>
      <w:r w:rsidRPr="00484CED">
        <w:t xml:space="preserve"> regarding the</w:t>
      </w:r>
      <w:r w:rsidRPr="00C35036">
        <w:t xml:space="preserve"> classification of poisons into the different Schedules, signifying the degree of control recommended to be exercised over their availability to the public.</w:t>
      </w:r>
    </w:p>
    <w:p w:rsidR="00653930" w:rsidRPr="00653930" w:rsidRDefault="00002885" w:rsidP="00A75B97">
      <w:pPr>
        <w:ind w:right="-766"/>
      </w:pPr>
      <w:r w:rsidRPr="00C35036">
        <w:t>The Act establishes two expert advisory committees, the Advisory Committee on Medicines Scheduling (the ACMS) (section 52B) and the Advisory Committee on Chemicals Scheduling (the ACCS) (section 52C), which provide advice and make recommendations to the Secretary on matters relating to medicines and chemicals scheduling decisions.</w:t>
      </w:r>
    </w:p>
    <w:p w:rsidR="00653930" w:rsidRPr="00653930" w:rsidRDefault="00653930" w:rsidP="00A75B97">
      <w:pPr>
        <w:autoSpaceDE w:val="0"/>
        <w:autoSpaceDN w:val="0"/>
        <w:adjustRightInd w:val="0"/>
        <w:ind w:right="-766"/>
        <w:rPr>
          <w:rFonts w:eastAsiaTheme="minorHAnsi"/>
          <w:color w:val="000000"/>
          <w:lang w:val="en-AU"/>
        </w:rPr>
      </w:pPr>
      <w:r w:rsidRPr="00653930">
        <w:rPr>
          <w:rFonts w:eastAsiaTheme="minorHAnsi"/>
          <w:color w:val="000000"/>
          <w:lang w:val="en-AU"/>
        </w:rPr>
        <w:t xml:space="preserve">The Schedules contained in the </w:t>
      </w:r>
      <w:r w:rsidR="00AE511D" w:rsidRPr="00484CED">
        <w:rPr>
          <w:rFonts w:eastAsiaTheme="minorHAnsi"/>
          <w:color w:val="000000"/>
          <w:lang w:val="en-AU"/>
        </w:rPr>
        <w:t>Poisons Standard</w:t>
      </w:r>
      <w:r w:rsidR="00AA2FAB">
        <w:rPr>
          <w:rFonts w:eastAsiaTheme="minorHAnsi"/>
          <w:color w:val="000000"/>
          <w:lang w:val="en-AU"/>
        </w:rPr>
        <w:t xml:space="preserve"> are referred to under State and T</w:t>
      </w:r>
      <w:r w:rsidRPr="00653930">
        <w:rPr>
          <w:rFonts w:eastAsiaTheme="minorHAnsi"/>
          <w:color w:val="000000"/>
          <w:lang w:val="en-AU"/>
        </w:rPr>
        <w:t xml:space="preserve">erritory legislation for regulatory purposes. This enables restrictions to be placed on the supply of scheduled substances to the public, according to the degree of risk associated with them and the degree of control over their availability, in the interest of public health and safety. </w:t>
      </w:r>
    </w:p>
    <w:p w:rsidR="00653930" w:rsidRPr="00C35036" w:rsidRDefault="00653930" w:rsidP="00A75B97">
      <w:pPr>
        <w:ind w:right="-766"/>
        <w:rPr>
          <w:rFonts w:eastAsiaTheme="minorHAnsi"/>
          <w:color w:val="000000"/>
          <w:lang w:val="en-AU"/>
        </w:rPr>
      </w:pPr>
      <w:r w:rsidRPr="00C35036">
        <w:rPr>
          <w:rFonts w:eastAsiaTheme="minorHAnsi"/>
          <w:color w:val="000000"/>
          <w:lang w:val="en-AU"/>
        </w:rPr>
        <w:t xml:space="preserve">The Commonwealth takes into account the scheduling and classification of substances in the </w:t>
      </w:r>
      <w:r w:rsidR="00AE511D" w:rsidRPr="00484CED">
        <w:rPr>
          <w:rFonts w:eastAsiaTheme="minorHAnsi"/>
          <w:color w:val="000000"/>
          <w:lang w:val="en-AU"/>
        </w:rPr>
        <w:t>Poisons Standard</w:t>
      </w:r>
      <w:r w:rsidRPr="00C35036">
        <w:rPr>
          <w:rFonts w:eastAsiaTheme="minorHAnsi"/>
          <w:color w:val="000000"/>
          <w:lang w:val="en-AU"/>
        </w:rPr>
        <w:t xml:space="preserve"> for regulatory and enforcement purposes under the Act.</w:t>
      </w:r>
    </w:p>
    <w:p w:rsidR="0017322A" w:rsidRPr="0017322A" w:rsidRDefault="0017322A" w:rsidP="00A75B97">
      <w:pPr>
        <w:autoSpaceDE w:val="0"/>
        <w:autoSpaceDN w:val="0"/>
        <w:adjustRightInd w:val="0"/>
        <w:ind w:right="-766"/>
        <w:rPr>
          <w:rFonts w:eastAsiaTheme="minorHAnsi"/>
          <w:color w:val="000000"/>
          <w:lang w:val="en-AU"/>
        </w:rPr>
      </w:pPr>
      <w:r w:rsidRPr="0017322A">
        <w:rPr>
          <w:rFonts w:eastAsiaTheme="minorHAnsi"/>
          <w:color w:val="000000"/>
          <w:lang w:val="en-AU"/>
        </w:rPr>
        <w:t xml:space="preserve">For example, the Act prohibits the publication or broadcasting of advertisements to consumers about prescription medicines containing substances included in Schedule 4 or </w:t>
      </w:r>
      <w:r w:rsidR="00050EB5">
        <w:rPr>
          <w:rFonts w:eastAsiaTheme="minorHAnsi"/>
          <w:color w:val="000000"/>
          <w:lang w:val="en-AU"/>
        </w:rPr>
        <w:t xml:space="preserve">Schedule </w:t>
      </w:r>
      <w:r w:rsidRPr="0017322A">
        <w:rPr>
          <w:rFonts w:eastAsiaTheme="minorHAnsi"/>
          <w:color w:val="000000"/>
          <w:lang w:val="en-AU"/>
        </w:rPr>
        <w:t xml:space="preserve">8 </w:t>
      </w:r>
      <w:r w:rsidR="00A75B97">
        <w:rPr>
          <w:rFonts w:eastAsiaTheme="minorHAnsi"/>
          <w:color w:val="000000"/>
          <w:lang w:val="en-AU"/>
        </w:rPr>
        <w:t>to</w:t>
      </w:r>
      <w:r w:rsidRPr="0017322A">
        <w:rPr>
          <w:rFonts w:eastAsiaTheme="minorHAnsi"/>
          <w:color w:val="000000"/>
          <w:lang w:val="en-AU"/>
        </w:rPr>
        <w:t xml:space="preserve"> the </w:t>
      </w:r>
      <w:r w:rsidR="00AE511D" w:rsidRPr="00484CED">
        <w:rPr>
          <w:rFonts w:eastAsiaTheme="minorHAnsi"/>
          <w:color w:val="000000"/>
          <w:lang w:val="en-AU"/>
        </w:rPr>
        <w:t>Poisons Standard</w:t>
      </w:r>
      <w:r w:rsidR="000461D2">
        <w:rPr>
          <w:rFonts w:eastAsiaTheme="minorHAnsi"/>
          <w:color w:val="000000"/>
          <w:lang w:val="en-AU"/>
        </w:rPr>
        <w:t>, or over-the-</w:t>
      </w:r>
      <w:r w:rsidRPr="0017322A">
        <w:rPr>
          <w:rFonts w:eastAsiaTheme="minorHAnsi"/>
          <w:color w:val="000000"/>
          <w:lang w:val="en-AU"/>
        </w:rPr>
        <w:t xml:space="preserve">counter medicines containing substances included in Schedule 3 and not included in Appendix H of the </w:t>
      </w:r>
      <w:r w:rsidR="00AE511D" w:rsidRPr="00484CED">
        <w:rPr>
          <w:rFonts w:eastAsiaTheme="minorHAnsi"/>
          <w:color w:val="000000"/>
          <w:lang w:val="en-AU"/>
        </w:rPr>
        <w:t>Poisons Standard</w:t>
      </w:r>
      <w:r w:rsidRPr="00484CED">
        <w:rPr>
          <w:rFonts w:eastAsiaTheme="minorHAnsi"/>
          <w:color w:val="000000"/>
          <w:lang w:val="en-AU"/>
        </w:rPr>
        <w:t xml:space="preserve">. The advertising of substances included in Schedule 9 or Schedule 10 of the </w:t>
      </w:r>
      <w:r w:rsidR="00AE511D" w:rsidRPr="00484CED">
        <w:rPr>
          <w:rFonts w:eastAsiaTheme="minorHAnsi"/>
          <w:color w:val="000000"/>
          <w:lang w:val="en-AU"/>
        </w:rPr>
        <w:t>Poisons Standard</w:t>
      </w:r>
      <w:r w:rsidR="002617D0">
        <w:rPr>
          <w:rFonts w:eastAsiaTheme="minorHAnsi"/>
          <w:color w:val="000000"/>
          <w:lang w:val="en-AU"/>
        </w:rPr>
        <w:t xml:space="preserve"> is also prohibited.</w:t>
      </w:r>
    </w:p>
    <w:p w:rsidR="0017322A" w:rsidRPr="00C35036" w:rsidRDefault="0017322A" w:rsidP="00A75B97">
      <w:pPr>
        <w:autoSpaceDE w:val="0"/>
        <w:autoSpaceDN w:val="0"/>
        <w:adjustRightInd w:val="0"/>
        <w:ind w:right="-766"/>
        <w:rPr>
          <w:rFonts w:eastAsiaTheme="minorHAnsi"/>
          <w:color w:val="0000FF"/>
          <w:lang w:val="en-AU"/>
        </w:rPr>
      </w:pPr>
      <w:r w:rsidRPr="0017322A">
        <w:rPr>
          <w:rFonts w:eastAsiaTheme="minorHAnsi"/>
          <w:color w:val="000000"/>
          <w:lang w:val="en-AU"/>
        </w:rPr>
        <w:t xml:space="preserve">The </w:t>
      </w:r>
      <w:r w:rsidRPr="0017322A">
        <w:rPr>
          <w:rFonts w:eastAsiaTheme="minorHAnsi"/>
          <w:i/>
          <w:iCs/>
          <w:color w:val="000000"/>
          <w:lang w:val="en-AU"/>
        </w:rPr>
        <w:t xml:space="preserve">Scheduling Policy Framework </w:t>
      </w:r>
      <w:r w:rsidRPr="0017322A">
        <w:rPr>
          <w:rFonts w:eastAsiaTheme="minorHAnsi"/>
          <w:color w:val="000000"/>
          <w:lang w:val="en-AU"/>
        </w:rPr>
        <w:t>(</w:t>
      </w:r>
      <w:r w:rsidRPr="004923D0">
        <w:rPr>
          <w:rFonts w:eastAsiaTheme="minorHAnsi"/>
          <w:bCs/>
          <w:color w:val="000000"/>
          <w:lang w:val="en-AU"/>
        </w:rPr>
        <w:t>the SPF</w:t>
      </w:r>
      <w:r w:rsidRPr="0017322A">
        <w:rPr>
          <w:rFonts w:eastAsiaTheme="minorHAnsi"/>
          <w:color w:val="000000"/>
          <w:lang w:val="en-AU"/>
        </w:rPr>
        <w:t xml:space="preserve">) provides guidance on whether a decision concerning the </w:t>
      </w:r>
      <w:r w:rsidR="00AE511D" w:rsidRPr="00484CED">
        <w:rPr>
          <w:rFonts w:eastAsiaTheme="minorHAnsi"/>
          <w:color w:val="000000"/>
          <w:lang w:val="en-AU"/>
        </w:rPr>
        <w:t>Poisons Standard</w:t>
      </w:r>
      <w:r w:rsidRPr="0017322A">
        <w:rPr>
          <w:rFonts w:eastAsiaTheme="minorHAnsi"/>
          <w:color w:val="000000"/>
          <w:lang w:val="en-AU"/>
        </w:rPr>
        <w:t xml:space="preserve"> would benefit from being referred to ACMS or ACCS for </w:t>
      </w:r>
      <w:r w:rsidRPr="0017322A">
        <w:rPr>
          <w:rFonts w:eastAsiaTheme="minorHAnsi"/>
          <w:color w:val="000000"/>
          <w:lang w:val="en-AU"/>
        </w:rPr>
        <w:lastRenderedPageBreak/>
        <w:t xml:space="preserve">advice. A copy of the SPF can be found at </w:t>
      </w:r>
      <w:hyperlink r:id="rId9" w:history="1">
        <w:r w:rsidRPr="00C35036">
          <w:rPr>
            <w:rStyle w:val="Hyperlink"/>
            <w:rFonts w:eastAsiaTheme="minorHAnsi"/>
            <w:lang w:val="en-AU"/>
          </w:rPr>
          <w:t>https://www.tga.gov.au/publication/ahmac-scheduling-policy-framework-medicines-and-chemicals</w:t>
        </w:r>
      </w:hyperlink>
      <w:r w:rsidRPr="00C35036">
        <w:rPr>
          <w:rFonts w:eastAsiaTheme="minorHAnsi"/>
          <w:color w:val="0000FF"/>
          <w:lang w:val="en-AU"/>
        </w:rPr>
        <w:t>.</w:t>
      </w:r>
    </w:p>
    <w:p w:rsidR="003466A5" w:rsidRPr="00484CED" w:rsidRDefault="003466A5" w:rsidP="00A75B97">
      <w:pPr>
        <w:autoSpaceDE w:val="0"/>
        <w:autoSpaceDN w:val="0"/>
        <w:adjustRightInd w:val="0"/>
        <w:ind w:right="-766"/>
        <w:rPr>
          <w:rFonts w:eastAsiaTheme="minorHAnsi"/>
          <w:color w:val="000000"/>
          <w:lang w:val="en-AU"/>
        </w:rPr>
      </w:pPr>
      <w:r w:rsidRPr="00484CED">
        <w:rPr>
          <w:rFonts w:eastAsiaTheme="minorHAnsi"/>
          <w:color w:val="000000"/>
          <w:lang w:val="en-AU"/>
        </w:rPr>
        <w:t xml:space="preserve">The purpose of this instrument is to make a new </w:t>
      </w:r>
      <w:r w:rsidR="00AE511D" w:rsidRPr="00484CED">
        <w:rPr>
          <w:rFonts w:eastAsiaTheme="minorHAnsi"/>
          <w:color w:val="000000"/>
          <w:lang w:val="en-AU"/>
        </w:rPr>
        <w:t>Poisons Standard</w:t>
      </w:r>
      <w:r w:rsidRPr="00484CED">
        <w:rPr>
          <w:rFonts w:eastAsiaTheme="minorHAnsi"/>
          <w:color w:val="000000"/>
          <w:lang w:val="en-AU"/>
        </w:rPr>
        <w:t xml:space="preserve"> (the </w:t>
      </w:r>
      <w:r w:rsidR="00AE511D" w:rsidRPr="00A75B97">
        <w:rPr>
          <w:rFonts w:eastAsiaTheme="minorHAnsi"/>
          <w:i/>
          <w:color w:val="000000"/>
          <w:lang w:val="en-AU"/>
        </w:rPr>
        <w:t xml:space="preserve">Poisons Standard </w:t>
      </w:r>
      <w:r w:rsidR="00113B8C" w:rsidRPr="00A75B97">
        <w:rPr>
          <w:rFonts w:eastAsiaTheme="minorHAnsi"/>
          <w:i/>
          <w:color w:val="000000"/>
          <w:lang w:val="en-AU"/>
        </w:rPr>
        <w:t>February</w:t>
      </w:r>
      <w:r w:rsidR="00D36DE0" w:rsidRPr="00A75B97">
        <w:rPr>
          <w:rFonts w:eastAsiaTheme="minorHAnsi"/>
          <w:i/>
          <w:color w:val="000000"/>
          <w:lang w:val="en-AU"/>
        </w:rPr>
        <w:t xml:space="preserve"> </w:t>
      </w:r>
      <w:r w:rsidR="00AE511D" w:rsidRPr="00A75B97">
        <w:rPr>
          <w:rFonts w:eastAsiaTheme="minorHAnsi"/>
          <w:i/>
          <w:color w:val="000000"/>
          <w:lang w:val="en-AU"/>
        </w:rPr>
        <w:t>201</w:t>
      </w:r>
      <w:r w:rsidR="00113B8C" w:rsidRPr="00A75B97">
        <w:rPr>
          <w:rFonts w:eastAsiaTheme="minorHAnsi"/>
          <w:i/>
          <w:color w:val="000000"/>
          <w:lang w:val="en-AU"/>
        </w:rPr>
        <w:t>9</w:t>
      </w:r>
      <w:r w:rsidR="00113B8C">
        <w:rPr>
          <w:rFonts w:eastAsiaTheme="minorHAnsi"/>
          <w:color w:val="000000"/>
          <w:lang w:val="en-AU"/>
        </w:rPr>
        <w:t>)</w:t>
      </w:r>
      <w:r w:rsidRPr="00484CED">
        <w:rPr>
          <w:rFonts w:eastAsiaTheme="minorHAnsi"/>
          <w:color w:val="000000"/>
          <w:lang w:val="en-AU"/>
        </w:rPr>
        <w:t xml:space="preserve"> in substitution for the previous </w:t>
      </w:r>
      <w:r w:rsidR="00AE511D" w:rsidRPr="00484CED">
        <w:rPr>
          <w:rFonts w:eastAsiaTheme="minorHAnsi"/>
          <w:color w:val="000000"/>
          <w:lang w:val="en-AU"/>
        </w:rPr>
        <w:t>Poisons Standard</w:t>
      </w:r>
      <w:r w:rsidRPr="00484CED">
        <w:rPr>
          <w:rFonts w:eastAsiaTheme="minorHAnsi"/>
          <w:color w:val="000000"/>
          <w:lang w:val="en-AU"/>
        </w:rPr>
        <w:t xml:space="preserve"> </w:t>
      </w:r>
      <w:r w:rsidR="00372064">
        <w:rPr>
          <w:rFonts w:eastAsiaTheme="minorHAnsi"/>
          <w:color w:val="000000"/>
          <w:lang w:val="en-AU"/>
        </w:rPr>
        <w:t xml:space="preserve">- </w:t>
      </w:r>
      <w:r w:rsidRPr="00484CED">
        <w:rPr>
          <w:rFonts w:eastAsiaTheme="minorHAnsi"/>
          <w:color w:val="000000"/>
          <w:lang w:val="en-AU"/>
        </w:rPr>
        <w:t xml:space="preserve">the </w:t>
      </w:r>
      <w:r w:rsidR="00AE511D" w:rsidRPr="00A75B97">
        <w:rPr>
          <w:rFonts w:eastAsiaTheme="minorHAnsi"/>
          <w:i/>
          <w:color w:val="000000"/>
          <w:lang w:val="en-AU"/>
        </w:rPr>
        <w:t xml:space="preserve">Poisons Standard </w:t>
      </w:r>
      <w:r w:rsidR="00113B8C" w:rsidRPr="00A75B97">
        <w:rPr>
          <w:rFonts w:eastAsiaTheme="minorHAnsi"/>
          <w:i/>
          <w:color w:val="000000"/>
          <w:lang w:val="en-AU"/>
        </w:rPr>
        <w:t>October</w:t>
      </w:r>
      <w:r w:rsidR="00D36DE0" w:rsidRPr="00A75B97">
        <w:rPr>
          <w:rFonts w:eastAsiaTheme="minorHAnsi"/>
          <w:i/>
          <w:color w:val="000000"/>
          <w:lang w:val="en-AU"/>
        </w:rPr>
        <w:t xml:space="preserve"> </w:t>
      </w:r>
      <w:r w:rsidR="00AE511D" w:rsidRPr="00A75B97">
        <w:rPr>
          <w:rFonts w:eastAsiaTheme="minorHAnsi"/>
          <w:i/>
          <w:color w:val="000000"/>
          <w:lang w:val="en-AU"/>
        </w:rPr>
        <w:t>2018</w:t>
      </w:r>
      <w:r w:rsidRPr="00484CED">
        <w:rPr>
          <w:rFonts w:eastAsiaTheme="minorHAnsi"/>
          <w:color w:val="000000"/>
          <w:lang w:val="en-AU"/>
        </w:rPr>
        <w:t xml:space="preserve"> (which commenced on 1 </w:t>
      </w:r>
      <w:r w:rsidR="00113B8C">
        <w:rPr>
          <w:rFonts w:eastAsiaTheme="minorHAnsi"/>
          <w:color w:val="000000"/>
          <w:lang w:val="en-AU"/>
        </w:rPr>
        <w:t>October</w:t>
      </w:r>
      <w:r w:rsidR="00D36DE0" w:rsidRPr="00484CED">
        <w:rPr>
          <w:rFonts w:eastAsiaTheme="minorHAnsi"/>
          <w:color w:val="000000"/>
          <w:lang w:val="en-AU"/>
        </w:rPr>
        <w:t xml:space="preserve"> </w:t>
      </w:r>
      <w:r w:rsidR="0011193B" w:rsidRPr="00484CED">
        <w:rPr>
          <w:rFonts w:eastAsiaTheme="minorHAnsi"/>
          <w:color w:val="000000"/>
          <w:lang w:val="en-AU"/>
        </w:rPr>
        <w:t>2018</w:t>
      </w:r>
      <w:r w:rsidR="00A75B97">
        <w:rPr>
          <w:rFonts w:eastAsiaTheme="minorHAnsi"/>
          <w:color w:val="000000"/>
          <w:lang w:val="en-AU"/>
        </w:rPr>
        <w:t>, and is repealed by this new Poisons Standard</w:t>
      </w:r>
      <w:r w:rsidRPr="00484CED">
        <w:rPr>
          <w:rFonts w:eastAsiaTheme="minorHAnsi"/>
          <w:color w:val="000000"/>
          <w:lang w:val="en-AU"/>
        </w:rPr>
        <w:t>).</w:t>
      </w:r>
    </w:p>
    <w:p w:rsidR="000461D2" w:rsidRDefault="000461D2" w:rsidP="00A75B97">
      <w:pPr>
        <w:ind w:right="-766"/>
        <w:rPr>
          <w:rFonts w:eastAsiaTheme="minorHAnsi"/>
          <w:lang w:val="en-AU"/>
        </w:rPr>
      </w:pPr>
      <w:r w:rsidRPr="000461D2">
        <w:rPr>
          <w:rFonts w:eastAsiaTheme="minorHAnsi"/>
          <w:lang w:val="en-AU"/>
        </w:rPr>
        <w:t xml:space="preserve">The </w:t>
      </w:r>
      <w:r w:rsidRPr="00A75B97">
        <w:rPr>
          <w:rFonts w:eastAsiaTheme="minorHAnsi"/>
          <w:i/>
          <w:lang w:val="en-AU"/>
        </w:rPr>
        <w:t xml:space="preserve">Poisons Standard </w:t>
      </w:r>
      <w:r w:rsidR="00113B8C" w:rsidRPr="00A75B97">
        <w:rPr>
          <w:rFonts w:eastAsiaTheme="minorHAnsi"/>
          <w:i/>
          <w:lang w:val="en-AU"/>
        </w:rPr>
        <w:t>February</w:t>
      </w:r>
      <w:r w:rsidR="00D36DE0" w:rsidRPr="00A75B97">
        <w:rPr>
          <w:rFonts w:eastAsiaTheme="minorHAnsi"/>
          <w:i/>
          <w:lang w:val="en-AU"/>
        </w:rPr>
        <w:t xml:space="preserve"> </w:t>
      </w:r>
      <w:r w:rsidR="00113B8C" w:rsidRPr="00A75B97">
        <w:rPr>
          <w:rFonts w:eastAsiaTheme="minorHAnsi"/>
          <w:i/>
          <w:lang w:val="en-AU"/>
        </w:rPr>
        <w:t>2019</w:t>
      </w:r>
      <w:r w:rsidR="00113B8C">
        <w:rPr>
          <w:rFonts w:eastAsiaTheme="minorHAnsi"/>
          <w:lang w:val="en-AU"/>
        </w:rPr>
        <w:t xml:space="preserve"> </w:t>
      </w:r>
      <w:r w:rsidRPr="000461D2">
        <w:rPr>
          <w:rFonts w:eastAsiaTheme="minorHAnsi"/>
          <w:lang w:val="en-AU"/>
        </w:rPr>
        <w:t xml:space="preserve">incorporates a number of changes compared to the </w:t>
      </w:r>
      <w:r w:rsidRPr="00A75B97">
        <w:rPr>
          <w:rFonts w:eastAsiaTheme="minorHAnsi"/>
          <w:i/>
          <w:lang w:val="en-AU"/>
        </w:rPr>
        <w:t xml:space="preserve">Poisons Standard </w:t>
      </w:r>
      <w:r w:rsidR="00113B8C" w:rsidRPr="00A75B97">
        <w:rPr>
          <w:rFonts w:eastAsiaTheme="minorHAnsi"/>
          <w:i/>
          <w:lang w:val="en-AU"/>
        </w:rPr>
        <w:t>October</w:t>
      </w:r>
      <w:r w:rsidR="00D36DE0" w:rsidRPr="00A75B97">
        <w:rPr>
          <w:rFonts w:eastAsiaTheme="minorHAnsi"/>
          <w:i/>
          <w:lang w:val="en-AU"/>
        </w:rPr>
        <w:t xml:space="preserve"> </w:t>
      </w:r>
      <w:r w:rsidRPr="00A75B97">
        <w:rPr>
          <w:rFonts w:eastAsiaTheme="minorHAnsi"/>
          <w:i/>
          <w:lang w:val="en-AU"/>
        </w:rPr>
        <w:t>2018</w:t>
      </w:r>
      <w:r w:rsidRPr="000461D2">
        <w:rPr>
          <w:rFonts w:eastAsiaTheme="minorHAnsi"/>
          <w:lang w:val="en-AU"/>
        </w:rPr>
        <w:t xml:space="preserve">. These amendments principally involve changes to existing entries, and the inclusion of a number of specified substances in the Poisons Standard for the first time. A number of these changes were made following the provision of advice from the ACCS and/or the ACMS, in accordance with the procedures set out in Subdivision 3D.2 of Part 6 of the </w:t>
      </w:r>
      <w:r w:rsidRPr="000461D2">
        <w:rPr>
          <w:rFonts w:eastAsiaTheme="minorHAnsi"/>
          <w:i/>
          <w:lang w:val="en-AU"/>
        </w:rPr>
        <w:t>Therapeutic Goods Regulations 1990</w:t>
      </w:r>
      <w:r w:rsidRPr="000461D2">
        <w:rPr>
          <w:rFonts w:eastAsiaTheme="minorHAnsi"/>
          <w:lang w:val="en-AU"/>
        </w:rPr>
        <w:t xml:space="preserve"> for amending the Poisons Standard when a proposed amendment is referred to an expert advisory committee.</w:t>
      </w:r>
    </w:p>
    <w:p w:rsidR="000461D2" w:rsidRPr="00362F90" w:rsidRDefault="00BD70E4" w:rsidP="00A75B97">
      <w:pPr>
        <w:autoSpaceDE w:val="0"/>
        <w:autoSpaceDN w:val="0"/>
        <w:adjustRightInd w:val="0"/>
        <w:ind w:right="-766"/>
      </w:pPr>
      <w:r>
        <w:t xml:space="preserve">In relation to substances amended </w:t>
      </w:r>
      <w:r w:rsidR="00A75B97">
        <w:t xml:space="preserve">in, </w:t>
      </w:r>
      <w:r>
        <w:t>or added to</w:t>
      </w:r>
      <w:r w:rsidR="00A75B97">
        <w:t>,</w:t>
      </w:r>
      <w:r>
        <w:t xml:space="preserve"> the </w:t>
      </w:r>
      <w:r w:rsidRPr="00A75B97">
        <w:rPr>
          <w:i/>
        </w:rPr>
        <w:t xml:space="preserve">Poisons Standard </w:t>
      </w:r>
      <w:r w:rsidR="00113B8C" w:rsidRPr="00A75B97">
        <w:rPr>
          <w:i/>
        </w:rPr>
        <w:t>February</w:t>
      </w:r>
      <w:r w:rsidR="00D36DE0" w:rsidRPr="00A75B97">
        <w:rPr>
          <w:i/>
        </w:rPr>
        <w:t xml:space="preserve"> </w:t>
      </w:r>
      <w:r w:rsidRPr="00A75B97">
        <w:rPr>
          <w:i/>
        </w:rPr>
        <w:t>201</w:t>
      </w:r>
      <w:r w:rsidR="00A75B97" w:rsidRPr="00A75B97">
        <w:rPr>
          <w:i/>
        </w:rPr>
        <w:t>9</w:t>
      </w:r>
      <w:r>
        <w:t>, p</w:t>
      </w:r>
      <w:r w:rsidR="000461D2" w:rsidRPr="00362F90">
        <w:t>ublic comment was invited on matters referre</w:t>
      </w:r>
      <w:r w:rsidR="000014DC">
        <w:t xml:space="preserve">d to the </w:t>
      </w:r>
      <w:r w:rsidR="0015733E" w:rsidRPr="0015733E">
        <w:rPr>
          <w:lang w:val="en-AU"/>
        </w:rPr>
        <w:t>March and July 2017 Joint ACCS-ACMS</w:t>
      </w:r>
      <w:r w:rsidR="00A75B97">
        <w:rPr>
          <w:lang w:val="en-AU"/>
        </w:rPr>
        <w:t xml:space="preserve"> meeting,</w:t>
      </w:r>
      <w:r w:rsidR="00013E1A">
        <w:t xml:space="preserve"> the </w:t>
      </w:r>
      <w:r w:rsidR="00205E56">
        <w:t>June 2018 ACMS</w:t>
      </w:r>
      <w:r w:rsidR="0015733E">
        <w:t xml:space="preserve"> </w:t>
      </w:r>
      <w:r w:rsidR="00A75B97">
        <w:t>meeting,</w:t>
      </w:r>
      <w:r w:rsidR="00C03383" w:rsidRPr="00B070F8">
        <w:t xml:space="preserve"> </w:t>
      </w:r>
      <w:r w:rsidR="00205E56">
        <w:t xml:space="preserve">and </w:t>
      </w:r>
      <w:r w:rsidR="00A75B97">
        <w:t xml:space="preserve">the June 2018 </w:t>
      </w:r>
      <w:r w:rsidR="00205E56">
        <w:t>Joint ACMS-ACCS meeting,</w:t>
      </w:r>
      <w:r w:rsidR="00290C61" w:rsidRPr="00362F90">
        <w:t xml:space="preserve"> as follows:</w:t>
      </w:r>
    </w:p>
    <w:p w:rsidR="00290C61" w:rsidRDefault="00290C61" w:rsidP="00EB59A4">
      <w:pPr>
        <w:pStyle w:val="ListParagraph"/>
        <w:numPr>
          <w:ilvl w:val="0"/>
          <w:numId w:val="40"/>
        </w:numPr>
        <w:autoSpaceDE w:val="0"/>
        <w:autoSpaceDN w:val="0"/>
        <w:adjustRightInd w:val="0"/>
        <w:ind w:left="567" w:right="-766" w:hanging="567"/>
        <w:contextualSpacing w:val="0"/>
      </w:pPr>
      <w:r w:rsidRPr="00362F90">
        <w:t xml:space="preserve">Invitation to comment in relation to </w:t>
      </w:r>
      <w:r w:rsidR="00DA71BC" w:rsidRPr="00DA71BC">
        <w:t xml:space="preserve">resorcinol </w:t>
      </w:r>
      <w:r w:rsidR="00DA71BC">
        <w:t>was advertised on the TG</w:t>
      </w:r>
      <w:r w:rsidR="00383A12">
        <w:t xml:space="preserve">A website </w:t>
      </w:r>
      <w:r w:rsidR="00EB59A4">
        <w:t>(</w:t>
      </w:r>
      <w:hyperlink r:id="rId10" w:history="1">
        <w:r w:rsidR="00EB59A4" w:rsidRPr="00A33B4A">
          <w:rPr>
            <w:rStyle w:val="Hyperlink"/>
          </w:rPr>
          <w:t>www.tga.gov.au</w:t>
        </w:r>
      </w:hyperlink>
      <w:r w:rsidR="00EB59A4">
        <w:t xml:space="preserve">) </w:t>
      </w:r>
      <w:r w:rsidR="00383A12">
        <w:t>on</w:t>
      </w:r>
      <w:r w:rsidR="00DA71BC">
        <w:t xml:space="preserve"> </w:t>
      </w:r>
      <w:hyperlink r:id="rId11" w:history="1">
        <w:r w:rsidR="00383A12">
          <w:rPr>
            <w:rStyle w:val="Hyperlink"/>
          </w:rPr>
          <w:t>3 February 2017</w:t>
        </w:r>
      </w:hyperlink>
      <w:r w:rsidR="00EB59A4">
        <w:rPr>
          <w:rStyle w:val="Hyperlink"/>
        </w:rPr>
        <w:t>,</w:t>
      </w:r>
      <w:r w:rsidR="00383A12">
        <w:t xml:space="preserve"> </w:t>
      </w:r>
      <w:r w:rsidRPr="00362F90">
        <w:t xml:space="preserve">with a closing date of </w:t>
      </w:r>
      <w:r w:rsidR="009675A4">
        <w:t>3</w:t>
      </w:r>
      <w:r w:rsidR="001B16FE" w:rsidRPr="00362F90">
        <w:t xml:space="preserve"> </w:t>
      </w:r>
      <w:r w:rsidR="00383A12">
        <w:t>March</w:t>
      </w:r>
      <w:r w:rsidR="009675A4">
        <w:t xml:space="preserve"> 2017</w:t>
      </w:r>
      <w:r w:rsidR="00B070F8">
        <w:t>; and</w:t>
      </w:r>
    </w:p>
    <w:p w:rsidR="009675A4" w:rsidRPr="00383A12" w:rsidRDefault="009675A4" w:rsidP="00EB59A4">
      <w:pPr>
        <w:pStyle w:val="ListParagraph"/>
        <w:numPr>
          <w:ilvl w:val="0"/>
          <w:numId w:val="40"/>
        </w:numPr>
        <w:autoSpaceDE w:val="0"/>
        <w:autoSpaceDN w:val="0"/>
        <w:adjustRightInd w:val="0"/>
        <w:ind w:left="567" w:right="-766" w:hanging="567"/>
        <w:contextualSpacing w:val="0"/>
      </w:pPr>
      <w:r>
        <w:t xml:space="preserve">Invitation to comment in relation to budesonide, 2-Butoxyethanol, dimethyl sulfoxide, aliphatic allyl esters and </w:t>
      </w:r>
      <w:proofErr w:type="spellStart"/>
      <w:r>
        <w:t>astodrimer</w:t>
      </w:r>
      <w:proofErr w:type="spellEnd"/>
      <w:r>
        <w:t xml:space="preserve"> sodium </w:t>
      </w:r>
      <w:r w:rsidR="00383A12">
        <w:t xml:space="preserve">was advertised on the TGA website on </w:t>
      </w:r>
      <w:hyperlink r:id="rId12" w:history="1">
        <w:r w:rsidR="00383A12">
          <w:rPr>
            <w:rStyle w:val="Hyperlink"/>
            <w:lang w:val="en-AU"/>
          </w:rPr>
          <w:t>12 April 2018</w:t>
        </w:r>
      </w:hyperlink>
      <w:r w:rsidR="00154918">
        <w:rPr>
          <w:lang w:val="en-AU"/>
        </w:rPr>
        <w:t xml:space="preserve">, with a closing date of </w:t>
      </w:r>
      <w:r w:rsidR="00154918" w:rsidRPr="00154918">
        <w:rPr>
          <w:bCs/>
        </w:rPr>
        <w:t xml:space="preserve">10 May 2018. </w:t>
      </w:r>
      <w:r w:rsidR="00154918" w:rsidRPr="00154918">
        <w:rPr>
          <w:lang w:val="en-AU"/>
        </w:rPr>
        <w:t xml:space="preserve"> </w:t>
      </w:r>
      <w:r w:rsidR="00383A12" w:rsidRPr="00154918">
        <w:rPr>
          <w:lang w:val="en-AU"/>
        </w:rPr>
        <w:t xml:space="preserve"> </w:t>
      </w:r>
    </w:p>
    <w:p w:rsidR="00154918" w:rsidRDefault="007A2F37" w:rsidP="00A75B97">
      <w:pPr>
        <w:autoSpaceDE w:val="0"/>
        <w:autoSpaceDN w:val="0"/>
        <w:adjustRightInd w:val="0"/>
        <w:ind w:right="-766"/>
        <w:rPr>
          <w:rFonts w:eastAsiaTheme="minorHAnsi"/>
          <w:lang w:val="en-AU"/>
        </w:rPr>
      </w:pPr>
      <w:r w:rsidRPr="00C46096">
        <w:rPr>
          <w:rFonts w:eastAsiaTheme="minorHAnsi"/>
          <w:lang w:val="en-AU"/>
        </w:rPr>
        <w:t>Further public comment was subsequently invited on the delegates’ interim decisions</w:t>
      </w:r>
      <w:r w:rsidR="00FD0C58">
        <w:rPr>
          <w:rFonts w:eastAsiaTheme="minorHAnsi"/>
          <w:lang w:val="en-AU"/>
        </w:rPr>
        <w:t xml:space="preserve"> on </w:t>
      </w:r>
      <w:hyperlink r:id="rId13" w:history="1">
        <w:r w:rsidR="00154918">
          <w:rPr>
            <w:rStyle w:val="Hyperlink"/>
            <w:rFonts w:eastAsiaTheme="minorHAnsi"/>
            <w:lang w:val="en-AU"/>
          </w:rPr>
          <w:t>17 May 2017</w:t>
        </w:r>
      </w:hyperlink>
      <w:r w:rsidR="00EB59A4">
        <w:rPr>
          <w:rStyle w:val="Hyperlink"/>
          <w:rFonts w:eastAsiaTheme="minorHAnsi"/>
          <w:lang w:val="en-AU"/>
        </w:rPr>
        <w:t>,</w:t>
      </w:r>
      <w:r w:rsidR="00154918">
        <w:rPr>
          <w:rFonts w:eastAsiaTheme="minorHAnsi"/>
          <w:lang w:val="en-AU"/>
        </w:rPr>
        <w:t xml:space="preserve"> with a closing date of 3</w:t>
      </w:r>
      <w:r w:rsidR="006E3701">
        <w:rPr>
          <w:rFonts w:eastAsiaTheme="minorHAnsi"/>
          <w:lang w:val="en-AU"/>
        </w:rPr>
        <w:t>1 May</w:t>
      </w:r>
      <w:r w:rsidR="00154918">
        <w:rPr>
          <w:rFonts w:eastAsiaTheme="minorHAnsi"/>
          <w:lang w:val="en-AU"/>
        </w:rPr>
        <w:t xml:space="preserve"> 2017, and on </w:t>
      </w:r>
      <w:hyperlink r:id="rId14" w:history="1">
        <w:r w:rsidR="00154918">
          <w:rPr>
            <w:rStyle w:val="Hyperlink"/>
            <w:rFonts w:eastAsiaTheme="minorHAnsi"/>
            <w:lang w:val="en-AU"/>
          </w:rPr>
          <w:t>10 September 2018</w:t>
        </w:r>
      </w:hyperlink>
      <w:r w:rsidR="00154918">
        <w:rPr>
          <w:rFonts w:eastAsiaTheme="minorHAnsi"/>
          <w:lang w:val="en-AU"/>
        </w:rPr>
        <w:t xml:space="preserve">, with a closing date of </w:t>
      </w:r>
      <w:r w:rsidR="00154918" w:rsidRPr="00154918">
        <w:rPr>
          <w:rFonts w:eastAsiaTheme="minorHAnsi"/>
          <w:lang w:val="en"/>
        </w:rPr>
        <w:t>11 October 2018</w:t>
      </w:r>
      <w:r w:rsidR="00154918">
        <w:rPr>
          <w:rFonts w:eastAsiaTheme="minorHAnsi"/>
          <w:lang w:val="en"/>
        </w:rPr>
        <w:t xml:space="preserve">. </w:t>
      </w:r>
    </w:p>
    <w:p w:rsidR="00154918" w:rsidRDefault="007A2F37" w:rsidP="00A75B97">
      <w:pPr>
        <w:autoSpaceDE w:val="0"/>
        <w:autoSpaceDN w:val="0"/>
        <w:adjustRightInd w:val="0"/>
        <w:ind w:right="-766"/>
        <w:rPr>
          <w:rFonts w:eastAsiaTheme="minorHAnsi"/>
          <w:lang w:val="en-AU"/>
        </w:rPr>
      </w:pPr>
      <w:r w:rsidRPr="00EC2144">
        <w:rPr>
          <w:rFonts w:eastAsiaTheme="minorHAnsi"/>
          <w:lang w:val="en-AU"/>
        </w:rPr>
        <w:t>The delegates’ final decisions in relation to these matters were published on the TGA website on</w:t>
      </w:r>
      <w:r w:rsidR="00154918">
        <w:rPr>
          <w:rFonts w:eastAsiaTheme="minorHAnsi"/>
          <w:lang w:val="en-AU"/>
        </w:rPr>
        <w:t xml:space="preserve"> </w:t>
      </w:r>
      <w:hyperlink r:id="rId15" w:history="1">
        <w:r w:rsidR="00154918">
          <w:rPr>
            <w:rStyle w:val="Hyperlink"/>
            <w:rFonts w:eastAsiaTheme="minorHAnsi"/>
            <w:lang w:val="en-AU"/>
          </w:rPr>
          <w:t>31 October 2017</w:t>
        </w:r>
      </w:hyperlink>
      <w:r w:rsidR="00154918">
        <w:rPr>
          <w:rFonts w:eastAsiaTheme="minorHAnsi"/>
          <w:lang w:val="en-AU"/>
        </w:rPr>
        <w:t xml:space="preserve"> and </w:t>
      </w:r>
      <w:hyperlink r:id="rId16" w:history="1">
        <w:r w:rsidR="00154918">
          <w:rPr>
            <w:rStyle w:val="Hyperlink"/>
            <w:rFonts w:eastAsiaTheme="minorHAnsi"/>
            <w:lang w:val="en-AU"/>
          </w:rPr>
          <w:t>29 November 2018</w:t>
        </w:r>
      </w:hyperlink>
      <w:r w:rsidR="00154918">
        <w:rPr>
          <w:rFonts w:eastAsiaTheme="minorHAnsi"/>
          <w:lang w:val="en-AU"/>
        </w:rPr>
        <w:t xml:space="preserve">. </w:t>
      </w:r>
    </w:p>
    <w:p w:rsidR="005B5A77" w:rsidRDefault="007A2F37" w:rsidP="00A75B97">
      <w:pPr>
        <w:ind w:right="-766"/>
        <w:rPr>
          <w:rFonts w:eastAsiaTheme="minorHAnsi"/>
          <w:lang w:val="en-AU"/>
        </w:rPr>
      </w:pPr>
      <w:r w:rsidRPr="00FA7893">
        <w:rPr>
          <w:rFonts w:eastAsiaTheme="minorHAnsi"/>
          <w:lang w:val="en-AU"/>
        </w:rPr>
        <w:t>Other amendments set out in this instrument added a number of substances to the Poisons Standard for the first time</w:t>
      </w:r>
      <w:r w:rsidR="00B070F8">
        <w:rPr>
          <w:rFonts w:eastAsiaTheme="minorHAnsi"/>
          <w:lang w:val="en-AU"/>
        </w:rPr>
        <w:t xml:space="preserve"> </w:t>
      </w:r>
      <w:r w:rsidR="001D22AC">
        <w:rPr>
          <w:rFonts w:eastAsiaTheme="minorHAnsi"/>
          <w:lang w:val="en-AU"/>
        </w:rPr>
        <w:t>–</w:t>
      </w:r>
      <w:r w:rsidR="005B5A77">
        <w:rPr>
          <w:rFonts w:eastAsiaTheme="minorHAnsi"/>
          <w:lang w:val="en-AU"/>
        </w:rPr>
        <w:t xml:space="preserve"> brigatinib, </w:t>
      </w:r>
      <w:proofErr w:type="spellStart"/>
      <w:r w:rsidR="005B5A77">
        <w:rPr>
          <w:rFonts w:eastAsiaTheme="minorHAnsi"/>
          <w:lang w:val="en-AU"/>
        </w:rPr>
        <w:t>crisaborole</w:t>
      </w:r>
      <w:proofErr w:type="spellEnd"/>
      <w:r w:rsidR="005B5A77">
        <w:rPr>
          <w:rFonts w:eastAsiaTheme="minorHAnsi"/>
          <w:lang w:val="en-AU"/>
        </w:rPr>
        <w:t>,</w:t>
      </w:r>
      <w:r w:rsidR="00BE3775">
        <w:rPr>
          <w:rFonts w:eastAsiaTheme="minorHAnsi"/>
          <w:lang w:val="en-AU"/>
        </w:rPr>
        <w:t xml:space="preserve"> </w:t>
      </w:r>
      <w:proofErr w:type="spellStart"/>
      <w:r w:rsidR="00BE3775">
        <w:rPr>
          <w:rFonts w:eastAsiaTheme="minorHAnsi"/>
          <w:lang w:val="en-AU"/>
        </w:rPr>
        <w:t>lanadelumab</w:t>
      </w:r>
      <w:proofErr w:type="spellEnd"/>
      <w:r w:rsidR="00BE3775">
        <w:rPr>
          <w:rFonts w:eastAsiaTheme="minorHAnsi"/>
          <w:lang w:val="en-AU"/>
        </w:rPr>
        <w:t xml:space="preserve">, </w:t>
      </w:r>
      <w:proofErr w:type="spellStart"/>
      <w:r w:rsidR="00BE3775">
        <w:rPr>
          <w:rFonts w:eastAsiaTheme="minorHAnsi"/>
          <w:lang w:val="en-AU"/>
        </w:rPr>
        <w:t>romosozumab</w:t>
      </w:r>
      <w:proofErr w:type="spellEnd"/>
      <w:r w:rsidR="00860B95">
        <w:rPr>
          <w:rFonts w:eastAsiaTheme="minorHAnsi"/>
          <w:lang w:val="en-AU"/>
        </w:rPr>
        <w:t xml:space="preserve"> and </w:t>
      </w:r>
      <w:proofErr w:type="spellStart"/>
      <w:r w:rsidR="00860B95">
        <w:rPr>
          <w:rFonts w:eastAsiaTheme="minorHAnsi"/>
          <w:lang w:val="en-AU"/>
        </w:rPr>
        <w:t>benzovindiflupyr</w:t>
      </w:r>
      <w:proofErr w:type="spellEnd"/>
      <w:r w:rsidR="00BE3775">
        <w:rPr>
          <w:rFonts w:eastAsiaTheme="minorHAnsi"/>
          <w:lang w:val="en-AU"/>
        </w:rPr>
        <w:t xml:space="preserve">. </w:t>
      </w:r>
      <w:r w:rsidR="00860B95">
        <w:rPr>
          <w:rFonts w:eastAsiaTheme="minorHAnsi"/>
          <w:lang w:val="en-AU"/>
        </w:rPr>
        <w:t>In addition, a</w:t>
      </w:r>
      <w:r w:rsidR="00772DC1">
        <w:rPr>
          <w:rFonts w:eastAsiaTheme="minorHAnsi"/>
          <w:lang w:val="en-AU"/>
        </w:rPr>
        <w:t xml:space="preserve">n amendment was made to the current entry for </w:t>
      </w:r>
      <w:proofErr w:type="spellStart"/>
      <w:r w:rsidR="00772DC1">
        <w:rPr>
          <w:rFonts w:eastAsiaTheme="minorHAnsi"/>
          <w:lang w:val="en-AU"/>
        </w:rPr>
        <w:t>dicyclanil</w:t>
      </w:r>
      <w:proofErr w:type="spellEnd"/>
      <w:r w:rsidR="00860B95">
        <w:rPr>
          <w:rFonts w:eastAsiaTheme="minorHAnsi"/>
          <w:lang w:val="en-AU"/>
        </w:rPr>
        <w:t>,</w:t>
      </w:r>
      <w:r w:rsidR="00772DC1">
        <w:rPr>
          <w:rFonts w:eastAsiaTheme="minorHAnsi"/>
          <w:lang w:val="en-AU"/>
        </w:rPr>
        <w:t xml:space="preserve"> and editorial amendments were made to the current entries for </w:t>
      </w:r>
      <w:proofErr w:type="spellStart"/>
      <w:r w:rsidR="00772DC1">
        <w:rPr>
          <w:rFonts w:eastAsiaTheme="minorHAnsi"/>
          <w:lang w:val="en-AU"/>
        </w:rPr>
        <w:t>fluralaner</w:t>
      </w:r>
      <w:proofErr w:type="spellEnd"/>
      <w:r w:rsidR="00772DC1">
        <w:rPr>
          <w:rFonts w:eastAsiaTheme="minorHAnsi"/>
          <w:lang w:val="en-AU"/>
        </w:rPr>
        <w:t xml:space="preserve">, </w:t>
      </w:r>
      <w:r w:rsidR="00772DC1" w:rsidRPr="005B5A77">
        <w:rPr>
          <w:rFonts w:eastAsiaTheme="minorHAnsi"/>
          <w:lang w:val="en-AU"/>
        </w:rPr>
        <w:t>2-</w:t>
      </w:r>
      <w:r w:rsidR="00860B95">
        <w:rPr>
          <w:rFonts w:eastAsiaTheme="minorHAnsi"/>
          <w:lang w:val="en-AU"/>
        </w:rPr>
        <w:t>p</w:t>
      </w:r>
      <w:r w:rsidR="00772DC1" w:rsidRPr="005B5A77">
        <w:rPr>
          <w:rFonts w:eastAsiaTheme="minorHAnsi"/>
          <w:lang w:val="en-AU"/>
        </w:rPr>
        <w:t>henoxyethanol</w:t>
      </w:r>
      <w:r w:rsidR="00772DC1">
        <w:rPr>
          <w:rFonts w:eastAsiaTheme="minorHAnsi"/>
          <w:lang w:val="en-AU"/>
        </w:rPr>
        <w:t xml:space="preserve"> and triple antigen. </w:t>
      </w:r>
      <w:r w:rsidRPr="00002787">
        <w:rPr>
          <w:rFonts w:eastAsiaTheme="minorHAnsi"/>
          <w:lang w:val="en-AU"/>
        </w:rPr>
        <w:t>These</w:t>
      </w:r>
      <w:r w:rsidRPr="00FA7893">
        <w:rPr>
          <w:rFonts w:eastAsiaTheme="minorHAnsi"/>
          <w:lang w:val="en-AU"/>
        </w:rPr>
        <w:t xml:space="preserve"> decisions were delegate-only decisions that were not open to public consultation as they were considered</w:t>
      </w:r>
      <w:r w:rsidR="00AF4F78">
        <w:rPr>
          <w:rFonts w:eastAsiaTheme="minorHAnsi"/>
          <w:lang w:val="en-AU"/>
        </w:rPr>
        <w:t>,</w:t>
      </w:r>
      <w:r w:rsidRPr="00FA7893">
        <w:rPr>
          <w:rFonts w:eastAsiaTheme="minorHAnsi"/>
          <w:lang w:val="en-AU"/>
        </w:rPr>
        <w:t xml:space="preserve"> </w:t>
      </w:r>
      <w:r>
        <w:rPr>
          <w:rFonts w:eastAsiaTheme="minorHAnsi"/>
          <w:lang w:val="en-AU"/>
        </w:rPr>
        <w:t>in accordance with the SPF</w:t>
      </w:r>
      <w:r w:rsidR="00AF4F78">
        <w:rPr>
          <w:rFonts w:eastAsiaTheme="minorHAnsi"/>
          <w:lang w:val="en-AU"/>
        </w:rPr>
        <w:t>,</w:t>
      </w:r>
      <w:r w:rsidRPr="00FA7893">
        <w:rPr>
          <w:rFonts w:eastAsiaTheme="minorHAnsi"/>
          <w:lang w:val="en-AU"/>
        </w:rPr>
        <w:t xml:space="preserve"> to be sufficiently straightforward as to not require public consultation.</w:t>
      </w:r>
      <w:r w:rsidRPr="00F46EEC">
        <w:rPr>
          <w:rFonts w:eastAsiaTheme="minorHAnsi"/>
          <w:lang w:val="en-AU"/>
        </w:rPr>
        <w:t xml:space="preserve"> </w:t>
      </w:r>
    </w:p>
    <w:p w:rsidR="004923D0" w:rsidRDefault="00860B95" w:rsidP="00A75B97">
      <w:pPr>
        <w:ind w:right="-766"/>
        <w:rPr>
          <w:rFonts w:eastAsiaTheme="minorHAnsi"/>
          <w:lang w:val="en-AU"/>
        </w:rPr>
      </w:pPr>
      <w:r>
        <w:rPr>
          <w:rFonts w:eastAsiaTheme="minorHAnsi"/>
          <w:lang w:val="en-AU"/>
        </w:rPr>
        <w:t>A further set of delegate-only decisions</w:t>
      </w:r>
      <w:r w:rsidR="00F234ED">
        <w:rPr>
          <w:rFonts w:eastAsiaTheme="minorHAnsi"/>
          <w:lang w:val="en-AU"/>
        </w:rPr>
        <w:t xml:space="preserve"> </w:t>
      </w:r>
      <w:r w:rsidR="00EB59A4">
        <w:rPr>
          <w:rFonts w:eastAsiaTheme="minorHAnsi"/>
          <w:lang w:val="en-AU"/>
        </w:rPr>
        <w:t xml:space="preserve">were also </w:t>
      </w:r>
      <w:r w:rsidR="00F234ED">
        <w:rPr>
          <w:rFonts w:eastAsiaTheme="minorHAnsi"/>
          <w:lang w:val="en-AU"/>
        </w:rPr>
        <w:t xml:space="preserve">incorporated in the </w:t>
      </w:r>
      <w:r w:rsidR="00EB59A4" w:rsidRPr="00A75B97">
        <w:rPr>
          <w:rFonts w:eastAsiaTheme="minorHAnsi"/>
          <w:i/>
          <w:lang w:val="en-AU"/>
        </w:rPr>
        <w:t xml:space="preserve">Poisons Standard February </w:t>
      </w:r>
      <w:r w:rsidR="00394A4C" w:rsidRPr="00A75B97">
        <w:rPr>
          <w:rFonts w:eastAsiaTheme="minorHAnsi"/>
          <w:i/>
          <w:lang w:val="en-AU"/>
        </w:rPr>
        <w:t>2019</w:t>
      </w:r>
      <w:r w:rsidR="00394A4C">
        <w:rPr>
          <w:rFonts w:eastAsiaTheme="minorHAnsi"/>
          <w:lang w:val="en-AU"/>
        </w:rPr>
        <w:t xml:space="preserve"> to</w:t>
      </w:r>
      <w:r>
        <w:rPr>
          <w:rFonts w:eastAsiaTheme="minorHAnsi"/>
          <w:lang w:val="en-AU"/>
        </w:rPr>
        <w:t xml:space="preserve"> inclu</w:t>
      </w:r>
      <w:r w:rsidR="00EB59A4">
        <w:rPr>
          <w:rFonts w:eastAsiaTheme="minorHAnsi"/>
          <w:lang w:val="en-AU"/>
        </w:rPr>
        <w:t>de</w:t>
      </w:r>
      <w:r>
        <w:rPr>
          <w:rFonts w:eastAsiaTheme="minorHAnsi"/>
          <w:lang w:val="en-AU"/>
        </w:rPr>
        <w:t xml:space="preserve"> </w:t>
      </w:r>
      <w:r w:rsidR="00EB59A4">
        <w:rPr>
          <w:rFonts w:eastAsiaTheme="minorHAnsi"/>
          <w:lang w:val="en-AU"/>
        </w:rPr>
        <w:t>18</w:t>
      </w:r>
      <w:r w:rsidR="00F234ED">
        <w:rPr>
          <w:rFonts w:eastAsiaTheme="minorHAnsi"/>
          <w:lang w:val="en-AU"/>
        </w:rPr>
        <w:t xml:space="preserve"> Schedule 3 substances in</w:t>
      </w:r>
      <w:r>
        <w:rPr>
          <w:rFonts w:eastAsiaTheme="minorHAnsi"/>
          <w:lang w:val="en-AU"/>
        </w:rPr>
        <w:t xml:space="preserve"> </w:t>
      </w:r>
      <w:r w:rsidR="00BE3775">
        <w:rPr>
          <w:rFonts w:eastAsiaTheme="minorHAnsi"/>
          <w:lang w:val="en-AU"/>
        </w:rPr>
        <w:t xml:space="preserve">Appendix H </w:t>
      </w:r>
      <w:r w:rsidR="00F234ED">
        <w:rPr>
          <w:rFonts w:eastAsiaTheme="minorHAnsi"/>
          <w:lang w:val="en-AU"/>
        </w:rPr>
        <w:t>for the first time</w:t>
      </w:r>
      <w:r w:rsidR="00BE3775">
        <w:rPr>
          <w:rFonts w:eastAsiaTheme="minorHAnsi"/>
          <w:lang w:val="en-AU"/>
        </w:rPr>
        <w:t xml:space="preserve">. </w:t>
      </w:r>
      <w:r w:rsidR="00BE3775" w:rsidRPr="00BE3775">
        <w:rPr>
          <w:rFonts w:eastAsiaTheme="minorHAnsi"/>
          <w:lang w:val="en-AU"/>
        </w:rPr>
        <w:t xml:space="preserve">Until 2018 substances in Schedule 3 were not included in Appendix H, unless an adequate justification was presented as to the reasons for including the substance in Appendix H. </w:t>
      </w:r>
    </w:p>
    <w:p w:rsidR="004B6A55" w:rsidRDefault="00905C92" w:rsidP="00A75B97">
      <w:pPr>
        <w:ind w:right="-766"/>
        <w:rPr>
          <w:rFonts w:eastAsiaTheme="minorHAnsi"/>
          <w:lang w:val="en-AU"/>
        </w:rPr>
      </w:pPr>
      <w:r>
        <w:rPr>
          <w:rFonts w:eastAsiaTheme="minorHAnsi"/>
          <w:lang w:val="en-AU"/>
        </w:rPr>
        <w:t>The</w:t>
      </w:r>
      <w:r w:rsidR="00BE3775" w:rsidRPr="00BE3775">
        <w:rPr>
          <w:rFonts w:eastAsiaTheme="minorHAnsi"/>
          <w:lang w:val="en-AU"/>
        </w:rPr>
        <w:t xml:space="preserve"> </w:t>
      </w:r>
      <w:r w:rsidR="004923D0">
        <w:rPr>
          <w:rFonts w:eastAsiaTheme="minorHAnsi"/>
          <w:lang w:val="en-AU"/>
        </w:rPr>
        <w:t>SPF, which was updated in 2018,</w:t>
      </w:r>
      <w:r w:rsidR="00BE3775" w:rsidRPr="00BE3775">
        <w:rPr>
          <w:rFonts w:eastAsiaTheme="minorHAnsi"/>
          <w:lang w:val="en-AU"/>
        </w:rPr>
        <w:t xml:space="preserve"> states that Schedule 3 substances will be included in Appendix H unless it is determined t</w:t>
      </w:r>
      <w:r w:rsidR="00BE3775" w:rsidRPr="00B64681">
        <w:rPr>
          <w:rFonts w:eastAsiaTheme="minorHAnsi"/>
          <w:lang w:val="en-AU"/>
        </w:rPr>
        <w:t>hat advertising is not appropriate for a particular substance (</w:t>
      </w:r>
      <w:hyperlink r:id="rId17" w:history="1">
        <w:r w:rsidR="00BE3775" w:rsidRPr="00B64681">
          <w:rPr>
            <w:rStyle w:val="Hyperlink"/>
            <w:rFonts w:eastAsiaTheme="minorHAnsi"/>
            <w:lang w:val="en-AU"/>
          </w:rPr>
          <w:t>Scheduling Policy Framework, 2018</w:t>
        </w:r>
      </w:hyperlink>
      <w:r w:rsidR="00294647">
        <w:rPr>
          <w:rStyle w:val="Hyperlink"/>
          <w:rFonts w:eastAsiaTheme="minorHAnsi"/>
          <w:lang w:val="en-AU"/>
        </w:rPr>
        <w:t>)</w:t>
      </w:r>
      <w:r w:rsidR="00BE3775" w:rsidRPr="00BE3775">
        <w:rPr>
          <w:rFonts w:eastAsiaTheme="minorHAnsi"/>
          <w:lang w:val="en-AU"/>
        </w:rPr>
        <w:t>.</w:t>
      </w:r>
      <w:r>
        <w:rPr>
          <w:rFonts w:eastAsiaTheme="minorHAnsi"/>
          <w:lang w:val="en-AU"/>
        </w:rPr>
        <w:t xml:space="preserve"> </w:t>
      </w:r>
      <w:r w:rsidR="0037556E" w:rsidRPr="0037556E">
        <w:rPr>
          <w:rFonts w:eastAsiaTheme="minorHAnsi"/>
          <w:lang w:val="en-AU"/>
        </w:rPr>
        <w:t xml:space="preserve">This change </w:t>
      </w:r>
      <w:r w:rsidR="009D20B2">
        <w:rPr>
          <w:rFonts w:eastAsiaTheme="minorHAnsi"/>
          <w:lang w:val="en-AU"/>
        </w:rPr>
        <w:t xml:space="preserve">to the SPF </w:t>
      </w:r>
      <w:r w:rsidR="0037556E" w:rsidRPr="0037556E">
        <w:rPr>
          <w:rFonts w:eastAsiaTheme="minorHAnsi"/>
          <w:lang w:val="en-AU"/>
        </w:rPr>
        <w:t>was introduced</w:t>
      </w:r>
      <w:r w:rsidR="009D20B2">
        <w:rPr>
          <w:rFonts w:eastAsiaTheme="minorHAnsi"/>
          <w:lang w:val="en-AU"/>
        </w:rPr>
        <w:t xml:space="preserve"> in response to </w:t>
      </w:r>
      <w:r w:rsidR="004B6A55">
        <w:rPr>
          <w:rFonts w:eastAsiaTheme="minorHAnsi"/>
          <w:lang w:val="en-AU"/>
        </w:rPr>
        <w:t>the following r</w:t>
      </w:r>
      <w:r w:rsidR="009D20B2">
        <w:rPr>
          <w:rFonts w:eastAsiaTheme="minorHAnsi"/>
          <w:lang w:val="en-AU"/>
        </w:rPr>
        <w:t>ecommendation</w:t>
      </w:r>
      <w:r w:rsidR="004B6A55">
        <w:rPr>
          <w:rFonts w:eastAsiaTheme="minorHAnsi"/>
          <w:lang w:val="en-AU"/>
        </w:rPr>
        <w:t xml:space="preserve"> </w:t>
      </w:r>
      <w:r w:rsidR="009D20B2">
        <w:rPr>
          <w:rFonts w:eastAsiaTheme="minorHAnsi"/>
          <w:lang w:val="en-AU"/>
        </w:rPr>
        <w:t xml:space="preserve">of the </w:t>
      </w:r>
      <w:r w:rsidR="004B6A55">
        <w:rPr>
          <w:rFonts w:eastAsiaTheme="minorHAnsi"/>
          <w:lang w:val="en-AU"/>
        </w:rPr>
        <w:t xml:space="preserve">2015 </w:t>
      </w:r>
      <w:hyperlink r:id="rId18" w:history="1">
        <w:r w:rsidR="009D20B2" w:rsidRPr="009D20B2">
          <w:rPr>
            <w:rStyle w:val="Hyperlink"/>
            <w:rFonts w:eastAsiaTheme="minorHAnsi"/>
            <w:lang w:val="en-AU"/>
          </w:rPr>
          <w:t>Expert R</w:t>
        </w:r>
        <w:r w:rsidR="0037556E" w:rsidRPr="009D20B2">
          <w:rPr>
            <w:rStyle w:val="Hyperlink"/>
            <w:rFonts w:eastAsiaTheme="minorHAnsi"/>
            <w:lang w:val="en-AU"/>
          </w:rPr>
          <w:t xml:space="preserve">eview of </w:t>
        </w:r>
        <w:r w:rsidR="009D20B2" w:rsidRPr="009D20B2">
          <w:rPr>
            <w:rStyle w:val="Hyperlink"/>
            <w:rFonts w:eastAsiaTheme="minorHAnsi"/>
            <w:lang w:val="en-AU"/>
          </w:rPr>
          <w:t>M</w:t>
        </w:r>
        <w:r w:rsidR="0037556E" w:rsidRPr="009D20B2">
          <w:rPr>
            <w:rStyle w:val="Hyperlink"/>
            <w:rFonts w:eastAsiaTheme="minorHAnsi"/>
            <w:lang w:val="en-AU"/>
          </w:rPr>
          <w:t xml:space="preserve">edicines and </w:t>
        </w:r>
        <w:r w:rsidR="009D20B2" w:rsidRPr="009D20B2">
          <w:rPr>
            <w:rStyle w:val="Hyperlink"/>
            <w:rFonts w:eastAsiaTheme="minorHAnsi"/>
            <w:lang w:val="en-AU"/>
          </w:rPr>
          <w:lastRenderedPageBreak/>
          <w:t>M</w:t>
        </w:r>
        <w:r w:rsidR="0037556E" w:rsidRPr="009D20B2">
          <w:rPr>
            <w:rStyle w:val="Hyperlink"/>
            <w:rFonts w:eastAsiaTheme="minorHAnsi"/>
            <w:lang w:val="en-AU"/>
          </w:rPr>
          <w:t xml:space="preserve">edical </w:t>
        </w:r>
        <w:r w:rsidR="009D20B2" w:rsidRPr="009D20B2">
          <w:rPr>
            <w:rStyle w:val="Hyperlink"/>
            <w:rFonts w:eastAsiaTheme="minorHAnsi"/>
            <w:lang w:val="en-AU"/>
          </w:rPr>
          <w:t>D</w:t>
        </w:r>
        <w:r w:rsidR="0037556E" w:rsidRPr="009D20B2">
          <w:rPr>
            <w:rStyle w:val="Hyperlink"/>
            <w:rFonts w:eastAsiaTheme="minorHAnsi"/>
            <w:lang w:val="en-AU"/>
          </w:rPr>
          <w:t xml:space="preserve">evices </w:t>
        </w:r>
        <w:r w:rsidR="009D20B2" w:rsidRPr="009D20B2">
          <w:rPr>
            <w:rStyle w:val="Hyperlink"/>
            <w:rFonts w:eastAsiaTheme="minorHAnsi"/>
            <w:lang w:val="en-AU"/>
          </w:rPr>
          <w:t>R</w:t>
        </w:r>
        <w:r w:rsidR="0037556E" w:rsidRPr="009D20B2">
          <w:rPr>
            <w:rStyle w:val="Hyperlink"/>
            <w:rFonts w:eastAsiaTheme="minorHAnsi"/>
            <w:lang w:val="en-AU"/>
          </w:rPr>
          <w:t>egulation</w:t>
        </w:r>
      </w:hyperlink>
      <w:r w:rsidR="0037556E" w:rsidRPr="0037556E">
        <w:rPr>
          <w:rFonts w:eastAsiaTheme="minorHAnsi"/>
          <w:lang w:val="en-AU"/>
        </w:rPr>
        <w:t xml:space="preserve"> (MMDR</w:t>
      </w:r>
      <w:r w:rsidR="004B6A55">
        <w:rPr>
          <w:rFonts w:eastAsiaTheme="minorHAnsi"/>
          <w:lang w:val="en-AU"/>
        </w:rPr>
        <w:t xml:space="preserve">; </w:t>
      </w:r>
      <w:hyperlink r:id="rId19" w:anchor="recommendations" w:history="1">
        <w:r w:rsidR="00AC3AA6" w:rsidRPr="00C410CA">
          <w:rPr>
            <w:rStyle w:val="Hyperlink"/>
            <w:rFonts w:eastAsiaTheme="minorHAnsi"/>
            <w:lang w:val="en-AU"/>
          </w:rPr>
          <w:t>http://www.health.gov.au/internet/main/publishing.nsf/content/expert-review-of-medicines-and-medical-devices-regulation#recommendations</w:t>
        </w:r>
      </w:hyperlink>
      <w:r w:rsidR="00A44F36">
        <w:rPr>
          <w:rFonts w:eastAsiaTheme="minorHAnsi"/>
          <w:lang w:val="en-AU"/>
        </w:rPr>
        <w:t>)</w:t>
      </w:r>
      <w:r w:rsidR="004B6A55">
        <w:rPr>
          <w:rFonts w:eastAsiaTheme="minorHAnsi"/>
          <w:lang w:val="en-AU"/>
        </w:rPr>
        <w:t>:</w:t>
      </w:r>
    </w:p>
    <w:p w:rsidR="004B6A55" w:rsidRPr="00C63558" w:rsidRDefault="004B6A55" w:rsidP="004B6A55">
      <w:pPr>
        <w:framePr w:hSpace="180" w:wrap="around" w:vAnchor="text" w:hAnchor="margin" w:y="1"/>
        <w:spacing w:line="259" w:lineRule="auto"/>
        <w:ind w:left="720"/>
        <w:rPr>
          <w:b/>
          <w:color w:val="C0504D" w:themeColor="accent2"/>
        </w:rPr>
      </w:pPr>
      <w:r w:rsidRPr="00C63558">
        <w:rPr>
          <w:b/>
          <w:color w:val="C0504D" w:themeColor="accent2"/>
        </w:rPr>
        <w:t>Recommendation Twelve</w:t>
      </w:r>
    </w:p>
    <w:p w:rsidR="004B6A55" w:rsidRPr="00811191" w:rsidRDefault="004B6A55" w:rsidP="004B6A55">
      <w:pPr>
        <w:framePr w:hSpace="180" w:wrap="around" w:vAnchor="text" w:hAnchor="margin" w:y="1"/>
        <w:spacing w:after="200" w:line="259" w:lineRule="auto"/>
        <w:ind w:left="720"/>
        <w:rPr>
          <w:b/>
        </w:rPr>
      </w:pPr>
      <w:r w:rsidRPr="00811191">
        <w:t xml:space="preserve">The Panel recommends that the </w:t>
      </w:r>
      <w:r w:rsidRPr="00811191">
        <w:rPr>
          <w:i/>
        </w:rPr>
        <w:t>Schedule 3 Advertising Guidelines</w:t>
      </w:r>
      <w:r w:rsidRPr="00811191">
        <w:t xml:space="preserve"> be reviewed, in consultation with State and Territory Governments, and in concert with the review of the</w:t>
      </w:r>
      <w:r>
        <w:t xml:space="preserve"> </w:t>
      </w:r>
      <w:r w:rsidRPr="00811191">
        <w:rPr>
          <w:i/>
        </w:rPr>
        <w:t>Scheduling Policy Framework,</w:t>
      </w:r>
      <w:r>
        <w:rPr>
          <w:i/>
        </w:rPr>
        <w:t xml:space="preserve"> </w:t>
      </w:r>
      <w:r w:rsidRPr="00811191">
        <w:t>to:</w:t>
      </w:r>
      <w:r>
        <w:t xml:space="preserve"> </w:t>
      </w:r>
    </w:p>
    <w:p w:rsidR="00182FC0" w:rsidRDefault="004B6A55" w:rsidP="00182FC0">
      <w:pPr>
        <w:framePr w:hSpace="180" w:wrap="around" w:vAnchor="text" w:hAnchor="margin" w:y="1"/>
        <w:numPr>
          <w:ilvl w:val="0"/>
          <w:numId w:val="41"/>
        </w:numPr>
        <w:spacing w:before="0" w:line="259" w:lineRule="auto"/>
        <w:ind w:left="1145" w:hanging="425"/>
        <w:jc w:val="both"/>
        <w:rPr>
          <w:i/>
        </w:rPr>
      </w:pPr>
      <w:r w:rsidRPr="00811191">
        <w:t xml:space="preserve">Provide for the development and adoption of a formal risk-benefit methodology for the assessment of Schedule 3 substances for inclusion on Appendix H of the </w:t>
      </w:r>
      <w:r w:rsidRPr="00811191">
        <w:rPr>
          <w:i/>
        </w:rPr>
        <w:t xml:space="preserve">Poisons Standard; </w:t>
      </w:r>
      <w:r w:rsidRPr="00811191">
        <w:t xml:space="preserve">and </w:t>
      </w:r>
    </w:p>
    <w:p w:rsidR="004B6A55" w:rsidRPr="00182FC0" w:rsidRDefault="004B6A55" w:rsidP="00182FC0">
      <w:pPr>
        <w:framePr w:hSpace="180" w:wrap="around" w:vAnchor="text" w:hAnchor="margin" w:y="1"/>
        <w:numPr>
          <w:ilvl w:val="0"/>
          <w:numId w:val="41"/>
        </w:numPr>
        <w:spacing w:before="0" w:line="259" w:lineRule="auto"/>
        <w:ind w:left="1145" w:hanging="425"/>
        <w:jc w:val="both"/>
        <w:rPr>
          <w:i/>
        </w:rPr>
      </w:pPr>
      <w:r w:rsidRPr="002A2A10">
        <w:t>Identify synergies between application requirements for re-scheduling and for inclusion of a Schedule 3 substance on Appendix H, so as to streamline these processes and reduce duplication.</w:t>
      </w:r>
    </w:p>
    <w:p w:rsidR="004923D0" w:rsidRDefault="00905C92" w:rsidP="00A75B97">
      <w:pPr>
        <w:ind w:right="-766"/>
        <w:rPr>
          <w:rFonts w:eastAsiaTheme="minorHAnsi"/>
          <w:lang w:val="en-AU"/>
        </w:rPr>
      </w:pPr>
      <w:r>
        <w:rPr>
          <w:rFonts w:eastAsiaTheme="minorHAnsi"/>
          <w:lang w:val="en-AU"/>
        </w:rPr>
        <w:t>To facilitate the transition of substances to Appendix H, a</w:t>
      </w:r>
      <w:r w:rsidRPr="00905C92">
        <w:rPr>
          <w:rFonts w:eastAsiaTheme="minorHAnsi"/>
          <w:lang w:val="en-AU"/>
        </w:rPr>
        <w:t xml:space="preserve"> </w:t>
      </w:r>
      <w:hyperlink r:id="rId20" w:anchor="what-will-happen" w:history="1">
        <w:r w:rsidRPr="00905C92">
          <w:rPr>
            <w:rStyle w:val="Hyperlink"/>
            <w:rFonts w:eastAsiaTheme="minorHAnsi"/>
            <w:lang w:val="en-AU"/>
          </w:rPr>
          <w:t>consultation paper</w:t>
        </w:r>
      </w:hyperlink>
      <w:r w:rsidRPr="00905C92">
        <w:rPr>
          <w:rFonts w:eastAsiaTheme="minorHAnsi"/>
          <w:lang w:val="en-AU"/>
        </w:rPr>
        <w:t xml:space="preserve"> inviting comments on proposals to add a number of Schedule 3 substances to Appendix H of the Poisons Standard was published on the TGA website on 4 June 2018, and closed on 9 July 2018</w:t>
      </w:r>
      <w:r>
        <w:rPr>
          <w:rFonts w:eastAsiaTheme="minorHAnsi"/>
          <w:lang w:val="en-AU"/>
        </w:rPr>
        <w:t xml:space="preserve">. </w:t>
      </w:r>
      <w:r w:rsidRPr="00905C92">
        <w:rPr>
          <w:rFonts w:eastAsiaTheme="minorHAnsi"/>
          <w:lang w:val="en-AU"/>
        </w:rPr>
        <w:t>This consultation was the culmination of input from stakeholders at targeted consultation activities held at the TGA in February and March of 2018, and led to the development of draft Guidelines for advertisements for medicines co</w:t>
      </w:r>
      <w:r w:rsidR="00B70677">
        <w:rPr>
          <w:rFonts w:eastAsiaTheme="minorHAnsi"/>
          <w:lang w:val="en-AU"/>
        </w:rPr>
        <w:t>ntaining Schedule 3 Substances.</w:t>
      </w:r>
      <w:r w:rsidRPr="00905C92">
        <w:rPr>
          <w:rFonts w:eastAsiaTheme="minorHAnsi"/>
          <w:lang w:val="en-AU"/>
        </w:rPr>
        <w:t xml:space="preserve"> </w:t>
      </w:r>
      <w:bookmarkStart w:id="0" w:name="_GoBack"/>
      <w:bookmarkEnd w:id="0"/>
    </w:p>
    <w:p w:rsidR="00BE3775" w:rsidRDefault="00B70677" w:rsidP="00A75B97">
      <w:pPr>
        <w:ind w:right="-766"/>
        <w:rPr>
          <w:rFonts w:eastAsiaTheme="minorHAnsi"/>
          <w:lang w:val="en-AU"/>
        </w:rPr>
      </w:pPr>
      <w:r>
        <w:rPr>
          <w:rFonts w:eastAsiaTheme="minorHAnsi"/>
          <w:lang w:val="en-AU"/>
        </w:rPr>
        <w:t>Following the consultation,</w:t>
      </w:r>
      <w:r w:rsidR="00F234ED">
        <w:rPr>
          <w:rFonts w:eastAsiaTheme="minorHAnsi"/>
          <w:lang w:val="en-AU"/>
        </w:rPr>
        <w:t xml:space="preserve"> a delegate-only decision was made to include adrenaline, </w:t>
      </w:r>
      <w:proofErr w:type="spellStart"/>
      <w:r w:rsidR="00F234ED">
        <w:rPr>
          <w:rFonts w:eastAsiaTheme="minorHAnsi"/>
          <w:lang w:val="en-AU"/>
        </w:rPr>
        <w:t>ciclopirox</w:t>
      </w:r>
      <w:proofErr w:type="spellEnd"/>
      <w:r w:rsidR="00F234ED">
        <w:rPr>
          <w:rFonts w:eastAsiaTheme="minorHAnsi"/>
          <w:lang w:val="en-AU"/>
        </w:rPr>
        <w:t xml:space="preserve">, </w:t>
      </w:r>
      <w:proofErr w:type="spellStart"/>
      <w:r w:rsidR="00F234ED">
        <w:rPr>
          <w:rFonts w:eastAsiaTheme="minorHAnsi"/>
          <w:lang w:val="en-AU"/>
        </w:rPr>
        <w:t>clobetasone</w:t>
      </w:r>
      <w:proofErr w:type="spellEnd"/>
      <w:r w:rsidR="00F234ED">
        <w:rPr>
          <w:rFonts w:eastAsiaTheme="minorHAnsi"/>
          <w:lang w:val="en-AU"/>
        </w:rPr>
        <w:t xml:space="preserve">, </w:t>
      </w:r>
      <w:proofErr w:type="spellStart"/>
      <w:r w:rsidR="00F234ED">
        <w:rPr>
          <w:rFonts w:eastAsiaTheme="minorHAnsi"/>
          <w:lang w:val="en-AU"/>
        </w:rPr>
        <w:t>famciclovir</w:t>
      </w:r>
      <w:proofErr w:type="spellEnd"/>
      <w:r w:rsidR="00F234ED">
        <w:rPr>
          <w:rFonts w:eastAsiaTheme="minorHAnsi"/>
          <w:lang w:val="en-AU"/>
        </w:rPr>
        <w:t xml:space="preserve">, fluorides, glucagon, </w:t>
      </w:r>
      <w:proofErr w:type="spellStart"/>
      <w:r w:rsidR="00F234ED">
        <w:rPr>
          <w:rFonts w:eastAsiaTheme="minorHAnsi"/>
          <w:lang w:val="en-AU"/>
        </w:rPr>
        <w:t>isoconazole</w:t>
      </w:r>
      <w:proofErr w:type="spellEnd"/>
      <w:r w:rsidR="00F234ED">
        <w:rPr>
          <w:rFonts w:eastAsiaTheme="minorHAnsi"/>
          <w:lang w:val="en-AU"/>
        </w:rPr>
        <w:t xml:space="preserve">, ketoprofen, </w:t>
      </w:r>
      <w:proofErr w:type="spellStart"/>
      <w:r w:rsidR="00F234ED">
        <w:rPr>
          <w:rFonts w:eastAsiaTheme="minorHAnsi"/>
          <w:lang w:val="en-AU"/>
        </w:rPr>
        <w:t>levonorgestrel</w:t>
      </w:r>
      <w:proofErr w:type="spellEnd"/>
      <w:r w:rsidR="00F234ED">
        <w:rPr>
          <w:rFonts w:eastAsiaTheme="minorHAnsi"/>
          <w:lang w:val="en-AU"/>
        </w:rPr>
        <w:t xml:space="preserve">, naloxone, </w:t>
      </w:r>
      <w:proofErr w:type="spellStart"/>
      <w:r w:rsidR="00F234ED">
        <w:rPr>
          <w:rFonts w:eastAsiaTheme="minorHAnsi"/>
          <w:lang w:val="en-AU"/>
        </w:rPr>
        <w:t>oxiconazole</w:t>
      </w:r>
      <w:proofErr w:type="spellEnd"/>
      <w:r w:rsidR="00F234ED">
        <w:rPr>
          <w:rFonts w:eastAsiaTheme="minorHAnsi"/>
          <w:lang w:val="en-AU"/>
        </w:rPr>
        <w:t xml:space="preserve">, paracetamol, </w:t>
      </w:r>
      <w:proofErr w:type="spellStart"/>
      <w:r w:rsidR="00F234ED">
        <w:rPr>
          <w:rFonts w:eastAsiaTheme="minorHAnsi"/>
          <w:lang w:val="en-AU"/>
        </w:rPr>
        <w:t>podophyllotoxin</w:t>
      </w:r>
      <w:proofErr w:type="spellEnd"/>
      <w:r w:rsidR="00F234ED">
        <w:rPr>
          <w:rFonts w:eastAsiaTheme="minorHAnsi"/>
          <w:lang w:val="en-AU"/>
        </w:rPr>
        <w:t xml:space="preserve">, </w:t>
      </w:r>
      <w:proofErr w:type="spellStart"/>
      <w:r w:rsidR="00F234ED">
        <w:rPr>
          <w:rFonts w:eastAsiaTheme="minorHAnsi"/>
          <w:lang w:val="en-AU"/>
        </w:rPr>
        <w:t>podophyllum</w:t>
      </w:r>
      <w:proofErr w:type="spellEnd"/>
      <w:r w:rsidR="00F234ED">
        <w:rPr>
          <w:rFonts w:eastAsiaTheme="minorHAnsi"/>
          <w:lang w:val="en-AU"/>
        </w:rPr>
        <w:t xml:space="preserve"> </w:t>
      </w:r>
      <w:proofErr w:type="spellStart"/>
      <w:r w:rsidR="00F234ED">
        <w:rPr>
          <w:rFonts w:eastAsiaTheme="minorHAnsi"/>
          <w:lang w:val="en-AU"/>
        </w:rPr>
        <w:t>emodi</w:t>
      </w:r>
      <w:proofErr w:type="spellEnd"/>
      <w:r w:rsidR="00F234ED">
        <w:rPr>
          <w:rFonts w:eastAsiaTheme="minorHAnsi"/>
          <w:lang w:val="en-AU"/>
        </w:rPr>
        <w:t xml:space="preserve">, </w:t>
      </w:r>
      <w:proofErr w:type="spellStart"/>
      <w:r w:rsidR="00F234ED">
        <w:rPr>
          <w:rFonts w:eastAsiaTheme="minorHAnsi"/>
          <w:lang w:val="en-AU"/>
        </w:rPr>
        <w:t>podophyllum</w:t>
      </w:r>
      <w:proofErr w:type="spellEnd"/>
      <w:r w:rsidR="00F234ED">
        <w:rPr>
          <w:rFonts w:eastAsiaTheme="minorHAnsi"/>
          <w:lang w:val="en-AU"/>
        </w:rPr>
        <w:t xml:space="preserve"> </w:t>
      </w:r>
      <w:proofErr w:type="spellStart"/>
      <w:r w:rsidR="00F234ED">
        <w:rPr>
          <w:rFonts w:eastAsiaTheme="minorHAnsi"/>
          <w:lang w:val="en-AU"/>
        </w:rPr>
        <w:t>peltatum</w:t>
      </w:r>
      <w:proofErr w:type="spellEnd"/>
      <w:r w:rsidR="00F234ED">
        <w:rPr>
          <w:rFonts w:eastAsiaTheme="minorHAnsi"/>
          <w:lang w:val="en-AU"/>
        </w:rPr>
        <w:t xml:space="preserve">, salicylic acid, </w:t>
      </w:r>
      <w:proofErr w:type="spellStart"/>
      <w:r w:rsidR="00F234ED">
        <w:rPr>
          <w:rFonts w:eastAsiaTheme="minorHAnsi"/>
          <w:lang w:val="en-AU"/>
        </w:rPr>
        <w:t>tioconazole</w:t>
      </w:r>
      <w:proofErr w:type="spellEnd"/>
      <w:r w:rsidR="00F234ED">
        <w:rPr>
          <w:rFonts w:eastAsiaTheme="minorHAnsi"/>
          <w:lang w:val="en-AU"/>
        </w:rPr>
        <w:t xml:space="preserve"> and triamcinolone </w:t>
      </w:r>
      <w:r w:rsidR="000A49A9">
        <w:rPr>
          <w:rFonts w:eastAsiaTheme="minorHAnsi"/>
          <w:lang w:val="en-AU"/>
        </w:rPr>
        <w:t xml:space="preserve">in Appendix H, thereby permitting </w:t>
      </w:r>
      <w:r w:rsidR="000A49A9" w:rsidRPr="0017322A">
        <w:rPr>
          <w:rFonts w:eastAsiaTheme="minorHAnsi"/>
          <w:color w:val="000000"/>
          <w:lang w:val="en-AU"/>
        </w:rPr>
        <w:t>the publication or broadcasting of advertisements to consumers about Schedule 3</w:t>
      </w:r>
      <w:r w:rsidR="000A49A9">
        <w:rPr>
          <w:rFonts w:eastAsiaTheme="minorHAnsi"/>
          <w:color w:val="000000"/>
          <w:lang w:val="en-AU"/>
        </w:rPr>
        <w:t xml:space="preserve"> medicines containing these substances</w:t>
      </w:r>
      <w:r>
        <w:rPr>
          <w:rFonts w:eastAsiaTheme="minorHAnsi"/>
          <w:lang w:val="en-AU"/>
        </w:rPr>
        <w:t xml:space="preserve">. </w:t>
      </w:r>
    </w:p>
    <w:p w:rsidR="00406246" w:rsidRDefault="004923D0" w:rsidP="00A75B97">
      <w:pPr>
        <w:ind w:right="-766"/>
        <w:rPr>
          <w:rFonts w:eastAsiaTheme="minorHAnsi"/>
          <w:lang w:val="en-AU"/>
        </w:rPr>
      </w:pPr>
      <w:r>
        <w:rPr>
          <w:rFonts w:eastAsiaTheme="minorHAnsi"/>
          <w:lang w:val="en-AU"/>
        </w:rPr>
        <w:t>T</w:t>
      </w:r>
      <w:r w:rsidR="001008D7">
        <w:rPr>
          <w:rFonts w:eastAsiaTheme="minorHAnsi"/>
          <w:lang w:val="en-AU"/>
        </w:rPr>
        <w:t xml:space="preserve">he </w:t>
      </w:r>
      <w:r w:rsidRPr="00A75B97">
        <w:rPr>
          <w:rFonts w:eastAsiaTheme="minorHAnsi"/>
          <w:i/>
          <w:lang w:val="en-AU"/>
        </w:rPr>
        <w:t>Poisons Standard February 2019</w:t>
      </w:r>
      <w:r>
        <w:rPr>
          <w:rFonts w:eastAsiaTheme="minorHAnsi"/>
          <w:lang w:val="en-AU"/>
        </w:rPr>
        <w:t xml:space="preserve"> also introduces Appendix M to the Poisons Standard for the first time</w:t>
      </w:r>
      <w:r w:rsidR="001008D7">
        <w:rPr>
          <w:rFonts w:eastAsiaTheme="minorHAnsi"/>
          <w:lang w:val="en-AU"/>
        </w:rPr>
        <w:t>.</w:t>
      </w:r>
      <w:r w:rsidR="00406246">
        <w:rPr>
          <w:rFonts w:eastAsiaTheme="minorHAnsi"/>
          <w:lang w:val="en-AU"/>
        </w:rPr>
        <w:t xml:space="preserve"> </w:t>
      </w:r>
      <w:r w:rsidR="00406246" w:rsidRPr="00406246">
        <w:rPr>
          <w:rFonts w:eastAsiaTheme="minorHAnsi"/>
          <w:lang w:val="en-AU"/>
        </w:rPr>
        <w:t xml:space="preserve">This Appendix is intended to facilitate </w:t>
      </w:r>
      <w:r>
        <w:rPr>
          <w:rFonts w:eastAsiaTheme="minorHAnsi"/>
          <w:lang w:val="en-AU"/>
        </w:rPr>
        <w:t xml:space="preserve">the </w:t>
      </w:r>
      <w:r w:rsidR="00406246" w:rsidRPr="00406246">
        <w:rPr>
          <w:rFonts w:eastAsiaTheme="minorHAnsi"/>
          <w:lang w:val="en-AU"/>
        </w:rPr>
        <w:t>down</w:t>
      </w:r>
      <w:r>
        <w:rPr>
          <w:rFonts w:eastAsiaTheme="minorHAnsi"/>
          <w:lang w:val="en-AU"/>
        </w:rPr>
        <w:t>-</w:t>
      </w:r>
      <w:r w:rsidR="00406246" w:rsidRPr="00406246">
        <w:rPr>
          <w:rFonts w:eastAsiaTheme="minorHAnsi"/>
          <w:lang w:val="en-AU"/>
        </w:rPr>
        <w:t xml:space="preserve">scheduling </w:t>
      </w:r>
      <w:r w:rsidR="001008D7">
        <w:rPr>
          <w:rFonts w:eastAsiaTheme="minorHAnsi"/>
          <w:lang w:val="en-AU"/>
        </w:rPr>
        <w:t xml:space="preserve">of substances </w:t>
      </w:r>
      <w:r w:rsidR="00406246" w:rsidRPr="00406246">
        <w:rPr>
          <w:rFonts w:eastAsiaTheme="minorHAnsi"/>
          <w:lang w:val="en-AU"/>
        </w:rPr>
        <w:t xml:space="preserve">from Schedule 4 to Schedule 3 where, for example, there is </w:t>
      </w:r>
      <w:r>
        <w:rPr>
          <w:rFonts w:eastAsiaTheme="minorHAnsi"/>
          <w:lang w:val="en-AU"/>
        </w:rPr>
        <w:t xml:space="preserve">a </w:t>
      </w:r>
      <w:r w:rsidR="00406246" w:rsidRPr="00406246">
        <w:rPr>
          <w:rFonts w:eastAsiaTheme="minorHAnsi"/>
          <w:lang w:val="en-AU"/>
        </w:rPr>
        <w:t>community need for access to a medicine</w:t>
      </w:r>
      <w:r>
        <w:rPr>
          <w:rFonts w:eastAsiaTheme="minorHAnsi"/>
          <w:lang w:val="en-AU"/>
        </w:rPr>
        <w:t xml:space="preserve"> that has previously only been accessible with a prescription</w:t>
      </w:r>
      <w:r w:rsidR="001008D7">
        <w:rPr>
          <w:rFonts w:eastAsiaTheme="minorHAnsi"/>
          <w:lang w:val="en-AU"/>
        </w:rPr>
        <w:t>,</w:t>
      </w:r>
      <w:r w:rsidR="00406246" w:rsidRPr="00406246">
        <w:rPr>
          <w:rFonts w:eastAsiaTheme="minorHAnsi"/>
          <w:lang w:val="en-AU"/>
        </w:rPr>
        <w:t xml:space="preserve"> but </w:t>
      </w:r>
      <w:r>
        <w:rPr>
          <w:rFonts w:eastAsiaTheme="minorHAnsi"/>
          <w:lang w:val="en-AU"/>
        </w:rPr>
        <w:t xml:space="preserve">where it is considered that </w:t>
      </w:r>
      <w:r w:rsidR="00406246" w:rsidRPr="00406246">
        <w:rPr>
          <w:rFonts w:eastAsiaTheme="minorHAnsi"/>
          <w:lang w:val="en-AU"/>
        </w:rPr>
        <w:t xml:space="preserve">additional controls and oversight by </w:t>
      </w:r>
      <w:r>
        <w:rPr>
          <w:rFonts w:eastAsiaTheme="minorHAnsi"/>
          <w:lang w:val="en-AU"/>
        </w:rPr>
        <w:t>a</w:t>
      </w:r>
      <w:r w:rsidR="00406246" w:rsidRPr="00406246">
        <w:rPr>
          <w:rFonts w:eastAsiaTheme="minorHAnsi"/>
          <w:lang w:val="en-AU"/>
        </w:rPr>
        <w:t xml:space="preserve"> dispensing pharmacist are needed</w:t>
      </w:r>
      <w:r>
        <w:rPr>
          <w:rFonts w:eastAsiaTheme="minorHAnsi"/>
          <w:lang w:val="en-AU"/>
        </w:rPr>
        <w:t>, in the interests of protecting public health</w:t>
      </w:r>
      <w:r w:rsidR="00406246" w:rsidRPr="00406246">
        <w:rPr>
          <w:rFonts w:eastAsiaTheme="minorHAnsi"/>
          <w:lang w:val="en-AU"/>
        </w:rPr>
        <w:t xml:space="preserve">. </w:t>
      </w:r>
      <w:r w:rsidR="001008D7">
        <w:rPr>
          <w:rFonts w:eastAsiaTheme="minorHAnsi"/>
          <w:lang w:val="en-AU"/>
        </w:rPr>
        <w:t xml:space="preserve">No substances have been included in Appendix M in the </w:t>
      </w:r>
      <w:r w:rsidRPr="00A75B97">
        <w:rPr>
          <w:rFonts w:eastAsiaTheme="minorHAnsi"/>
          <w:i/>
          <w:lang w:val="en-AU"/>
        </w:rPr>
        <w:t>Poisons Standard February 2019</w:t>
      </w:r>
      <w:r w:rsidR="001008D7">
        <w:rPr>
          <w:rFonts w:eastAsiaTheme="minorHAnsi"/>
          <w:lang w:val="en-AU"/>
        </w:rPr>
        <w:t xml:space="preserve">. </w:t>
      </w:r>
      <w:r w:rsidR="003B5BE6">
        <w:rPr>
          <w:rFonts w:eastAsiaTheme="minorHAnsi"/>
          <w:lang w:val="en-AU"/>
        </w:rPr>
        <w:t>As</w:t>
      </w:r>
      <w:r>
        <w:rPr>
          <w:rFonts w:eastAsiaTheme="minorHAnsi"/>
          <w:lang w:val="en-AU"/>
        </w:rPr>
        <w:t xml:space="preserve"> </w:t>
      </w:r>
      <w:r w:rsidR="003B5BE6">
        <w:rPr>
          <w:rFonts w:eastAsiaTheme="minorHAnsi"/>
          <w:lang w:val="en-AU"/>
        </w:rPr>
        <w:t xml:space="preserve">required in the </w:t>
      </w:r>
      <w:r w:rsidR="003B5BE6" w:rsidRPr="00811191">
        <w:rPr>
          <w:i/>
        </w:rPr>
        <w:t>Scheduling Policy Framework</w:t>
      </w:r>
      <w:r w:rsidR="003B5BE6">
        <w:t>,</w:t>
      </w:r>
      <w:r w:rsidR="003B5BE6" w:rsidRPr="00406246">
        <w:rPr>
          <w:rFonts w:eastAsiaTheme="minorHAnsi"/>
          <w:lang w:val="en-AU"/>
        </w:rPr>
        <w:t xml:space="preserve"> </w:t>
      </w:r>
      <w:r w:rsidR="003B5BE6">
        <w:rPr>
          <w:rFonts w:eastAsiaTheme="minorHAnsi"/>
          <w:lang w:val="en-AU"/>
        </w:rPr>
        <w:t xml:space="preserve">any </w:t>
      </w:r>
      <w:r w:rsidR="00406246" w:rsidRPr="00406246">
        <w:rPr>
          <w:rFonts w:eastAsiaTheme="minorHAnsi"/>
          <w:lang w:val="en-AU"/>
        </w:rPr>
        <w:t xml:space="preserve">proposals for </w:t>
      </w:r>
      <w:r>
        <w:rPr>
          <w:rFonts w:eastAsiaTheme="minorHAnsi"/>
          <w:lang w:val="en-AU"/>
        </w:rPr>
        <w:t xml:space="preserve">the </w:t>
      </w:r>
      <w:r w:rsidR="00406246" w:rsidRPr="00406246">
        <w:rPr>
          <w:rFonts w:eastAsiaTheme="minorHAnsi"/>
          <w:lang w:val="en-AU"/>
        </w:rPr>
        <w:t xml:space="preserve">inclusion </w:t>
      </w:r>
      <w:r>
        <w:rPr>
          <w:rFonts w:eastAsiaTheme="minorHAnsi"/>
          <w:lang w:val="en-AU"/>
        </w:rPr>
        <w:t xml:space="preserve">of substances </w:t>
      </w:r>
      <w:r w:rsidR="00406246" w:rsidRPr="00406246">
        <w:rPr>
          <w:rFonts w:eastAsiaTheme="minorHAnsi"/>
          <w:lang w:val="en-AU"/>
        </w:rPr>
        <w:t xml:space="preserve">in Appendix M </w:t>
      </w:r>
      <w:r w:rsidR="00406246">
        <w:rPr>
          <w:rFonts w:eastAsiaTheme="minorHAnsi"/>
          <w:lang w:val="en-AU"/>
        </w:rPr>
        <w:t>will</w:t>
      </w:r>
      <w:r w:rsidR="00406246" w:rsidRPr="00406246">
        <w:rPr>
          <w:rFonts w:eastAsiaTheme="minorHAnsi"/>
          <w:lang w:val="en-AU"/>
        </w:rPr>
        <w:t xml:space="preserve"> be referred to ACMS</w:t>
      </w:r>
      <w:r>
        <w:rPr>
          <w:rFonts w:eastAsiaTheme="minorHAnsi"/>
          <w:lang w:val="en-AU"/>
        </w:rPr>
        <w:t xml:space="preserve"> for its expert advice,</w:t>
      </w:r>
      <w:r w:rsidR="00406246" w:rsidRPr="00406246">
        <w:rPr>
          <w:rFonts w:eastAsiaTheme="minorHAnsi"/>
          <w:lang w:val="en-AU"/>
        </w:rPr>
        <w:t xml:space="preserve"> and </w:t>
      </w:r>
      <w:r>
        <w:rPr>
          <w:rFonts w:eastAsiaTheme="minorHAnsi"/>
          <w:lang w:val="en-AU"/>
        </w:rPr>
        <w:t xml:space="preserve">will also </w:t>
      </w:r>
      <w:r w:rsidR="00406246" w:rsidRPr="00406246">
        <w:rPr>
          <w:rFonts w:eastAsiaTheme="minorHAnsi"/>
          <w:lang w:val="en-AU"/>
        </w:rPr>
        <w:t>undergo public consultation.</w:t>
      </w:r>
    </w:p>
    <w:p w:rsidR="00C35036" w:rsidRPr="00C35036" w:rsidRDefault="00C35036" w:rsidP="00A75B97">
      <w:pPr>
        <w:ind w:right="-766"/>
        <w:rPr>
          <w:rFonts w:eastAsiaTheme="minorHAnsi"/>
          <w:color w:val="000000"/>
          <w:sz w:val="23"/>
          <w:szCs w:val="23"/>
          <w:lang w:val="en-AU"/>
        </w:rPr>
      </w:pPr>
      <w:r w:rsidRPr="00B350FA">
        <w:rPr>
          <w:rFonts w:eastAsiaTheme="minorHAnsi"/>
        </w:rPr>
        <w:t xml:space="preserve">The </w:t>
      </w:r>
      <w:r w:rsidR="004923D0" w:rsidRPr="00A75B97">
        <w:rPr>
          <w:rFonts w:eastAsiaTheme="minorHAnsi"/>
          <w:i/>
          <w:lang w:val="en-AU"/>
        </w:rPr>
        <w:t xml:space="preserve">Poisons Standard February </w:t>
      </w:r>
      <w:r w:rsidR="00DE614A" w:rsidRPr="00A75B97">
        <w:rPr>
          <w:rFonts w:eastAsiaTheme="minorHAnsi"/>
          <w:i/>
          <w:lang w:val="en-AU"/>
        </w:rPr>
        <w:t>2019</w:t>
      </w:r>
      <w:r w:rsidR="00DE614A">
        <w:rPr>
          <w:rFonts w:eastAsiaTheme="minorHAnsi"/>
          <w:lang w:val="en-AU"/>
        </w:rPr>
        <w:t xml:space="preserve"> </w:t>
      </w:r>
      <w:r w:rsidR="00DE614A" w:rsidRPr="00B350FA">
        <w:rPr>
          <w:rFonts w:eastAsiaTheme="minorHAnsi"/>
        </w:rPr>
        <w:t>is</w:t>
      </w:r>
      <w:r w:rsidRPr="00B350FA">
        <w:rPr>
          <w:rFonts w:eastAsiaTheme="minorHAnsi"/>
        </w:rPr>
        <w:t xml:space="preserve"> a legislative instrument for the purposes of the </w:t>
      </w:r>
      <w:r w:rsidRPr="00280FDD">
        <w:rPr>
          <w:rFonts w:eastAsiaTheme="minorHAnsi"/>
          <w:i/>
        </w:rPr>
        <w:t>Legislation Act 2003</w:t>
      </w:r>
      <w:r w:rsidRPr="00B350FA">
        <w:rPr>
          <w:rFonts w:eastAsiaTheme="minorHAnsi"/>
        </w:rPr>
        <w:t xml:space="preserve"> (the LA). However, section 42 (disallowance) of the LA does not apply (refer to subsection </w:t>
      </w:r>
      <w:proofErr w:type="gramStart"/>
      <w:r w:rsidRPr="00B350FA">
        <w:rPr>
          <w:rFonts w:eastAsiaTheme="minorHAnsi"/>
        </w:rPr>
        <w:t>52D(</w:t>
      </w:r>
      <w:proofErr w:type="gramEnd"/>
      <w:r w:rsidRPr="00B350FA">
        <w:rPr>
          <w:rFonts w:eastAsiaTheme="minorHAnsi"/>
        </w:rPr>
        <w:t xml:space="preserve">4A) of the TG Act). Because it is not disallowable, subsection 9(1) of the </w:t>
      </w:r>
      <w:r w:rsidRPr="00280FDD">
        <w:rPr>
          <w:rFonts w:eastAsiaTheme="minorHAnsi"/>
          <w:i/>
        </w:rPr>
        <w:t>Human Rights (Parliamentary Scrutiny) Act 2011</w:t>
      </w:r>
      <w:r w:rsidRPr="00B350FA">
        <w:rPr>
          <w:rFonts w:eastAsiaTheme="minorHAnsi"/>
        </w:rPr>
        <w:t xml:space="preserve"> does not require that the instrument be accompanied by a statement of compatibility with the human rights recognised under that</w:t>
      </w:r>
      <w:r w:rsidRPr="00C35036">
        <w:rPr>
          <w:rFonts w:eastAsiaTheme="minorHAnsi"/>
          <w:color w:val="000000"/>
          <w:sz w:val="23"/>
          <w:szCs w:val="23"/>
          <w:lang w:val="en-AU"/>
        </w:rPr>
        <w:t xml:space="preserve"> Act. </w:t>
      </w:r>
    </w:p>
    <w:p w:rsidR="00F15F2D" w:rsidRPr="00484CED" w:rsidRDefault="00B70677" w:rsidP="00A75B97">
      <w:pPr>
        <w:ind w:right="-766"/>
      </w:pPr>
      <w:r>
        <w:t xml:space="preserve">The </w:t>
      </w:r>
      <w:r w:rsidR="004923D0" w:rsidRPr="00A75B97">
        <w:rPr>
          <w:rFonts w:eastAsiaTheme="minorHAnsi"/>
          <w:i/>
          <w:lang w:val="en-AU"/>
        </w:rPr>
        <w:t>Poisons Standard February 2019</w:t>
      </w:r>
      <w:r w:rsidR="004923D0">
        <w:rPr>
          <w:rFonts w:eastAsiaTheme="minorHAnsi"/>
          <w:lang w:val="en-AU"/>
        </w:rPr>
        <w:t xml:space="preserve"> </w:t>
      </w:r>
      <w:r>
        <w:t>commences on 1</w:t>
      </w:r>
      <w:r w:rsidR="00C35036" w:rsidRPr="00C35036">
        <w:t xml:space="preserve"> </w:t>
      </w:r>
      <w:r>
        <w:t>February</w:t>
      </w:r>
      <w:r w:rsidR="00D36DE0" w:rsidRPr="00C35036">
        <w:t xml:space="preserve"> </w:t>
      </w:r>
      <w:r w:rsidR="00C35036" w:rsidRPr="00C35036">
        <w:t>201</w:t>
      </w:r>
      <w:r>
        <w:t>9</w:t>
      </w:r>
      <w:r w:rsidR="00C35036" w:rsidRPr="00C35036">
        <w:t>.</w:t>
      </w:r>
    </w:p>
    <w:sectPr w:rsidR="00F15F2D" w:rsidRPr="00484CED" w:rsidSect="00872BB1">
      <w:footerReference w:type="default" r:id="rId21"/>
      <w:pgSz w:w="11906" w:h="16838" w:code="9"/>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D63F33" w15:done="0"/>
  <w15:commentEx w15:paraId="0C436A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1C" w:rsidRDefault="00433F1C" w:rsidP="00002885">
      <w:r>
        <w:separator/>
      </w:r>
    </w:p>
  </w:endnote>
  <w:endnote w:type="continuationSeparator" w:id="0">
    <w:p w:rsidR="00433F1C" w:rsidRDefault="00433F1C"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067469"/>
      <w:docPartObj>
        <w:docPartGallery w:val="Page Numbers (Bottom of Page)"/>
        <w:docPartUnique/>
      </w:docPartObj>
    </w:sdtPr>
    <w:sdtEndPr>
      <w:rPr>
        <w:noProof/>
      </w:rPr>
    </w:sdtEndPr>
    <w:sdtContent>
      <w:p w:rsidR="00117231" w:rsidRDefault="00117231">
        <w:pPr>
          <w:pStyle w:val="Footer"/>
          <w:jc w:val="center"/>
        </w:pPr>
        <w:r>
          <w:fldChar w:fldCharType="begin"/>
        </w:r>
        <w:r>
          <w:instrText xml:space="preserve"> PAGE   \* MERGEFORMAT </w:instrText>
        </w:r>
        <w:r>
          <w:fldChar w:fldCharType="separate"/>
        </w:r>
        <w:r w:rsidR="009A02A3">
          <w:rPr>
            <w:noProof/>
          </w:rPr>
          <w:t>3</w:t>
        </w:r>
        <w:r>
          <w:rPr>
            <w:noProof/>
          </w:rPr>
          <w:fldChar w:fldCharType="end"/>
        </w:r>
      </w:p>
    </w:sdtContent>
  </w:sdt>
  <w:p w:rsidR="00117231" w:rsidRDefault="00117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1C" w:rsidRDefault="00433F1C" w:rsidP="00002885">
      <w:r>
        <w:separator/>
      </w:r>
    </w:p>
  </w:footnote>
  <w:footnote w:type="continuationSeparator" w:id="0">
    <w:p w:rsidR="00433F1C" w:rsidRDefault="00433F1C" w:rsidP="00002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5E2"/>
    <w:multiLevelType w:val="hybridMultilevel"/>
    <w:tmpl w:val="F16C839C"/>
    <w:lvl w:ilvl="0" w:tplc="745EC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CA3E2E"/>
    <w:multiLevelType w:val="hybridMultilevel"/>
    <w:tmpl w:val="5F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B16C5E"/>
    <w:multiLevelType w:val="hybridMultilevel"/>
    <w:tmpl w:val="627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CF4E53"/>
    <w:multiLevelType w:val="hybridMultilevel"/>
    <w:tmpl w:val="2A22A1F0"/>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3F1BCC"/>
    <w:multiLevelType w:val="multilevel"/>
    <w:tmpl w:val="787CB7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E9F2EBD"/>
    <w:multiLevelType w:val="hybridMultilevel"/>
    <w:tmpl w:val="D424246C"/>
    <w:lvl w:ilvl="0" w:tplc="CDAE01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4962D3"/>
    <w:multiLevelType w:val="hybridMultilevel"/>
    <w:tmpl w:val="ED58D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4660FAE"/>
    <w:multiLevelType w:val="hybridMultilevel"/>
    <w:tmpl w:val="84148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C963AE"/>
    <w:multiLevelType w:val="hybridMultilevel"/>
    <w:tmpl w:val="8F0C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6F3B81"/>
    <w:multiLevelType w:val="hybridMultilevel"/>
    <w:tmpl w:val="29029846"/>
    <w:lvl w:ilvl="0" w:tplc="1EDC6928">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nsid w:val="2CD34958"/>
    <w:multiLevelType w:val="hybridMultilevel"/>
    <w:tmpl w:val="118EE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7E3C61"/>
    <w:multiLevelType w:val="hybridMultilevel"/>
    <w:tmpl w:val="491C1ADC"/>
    <w:lvl w:ilvl="0" w:tplc="B076168C">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2E1C79"/>
    <w:multiLevelType w:val="hybridMultilevel"/>
    <w:tmpl w:val="B83C5CDC"/>
    <w:lvl w:ilvl="0" w:tplc="FC447268">
      <w:start w:val="1"/>
      <w:numFmt w:val="decimal"/>
      <w:lvlText w:val="%1."/>
      <w:lvlJc w:val="left"/>
      <w:pPr>
        <w:ind w:left="360" w:hanging="360"/>
      </w:pPr>
      <w:rPr>
        <w:b w:val="0"/>
        <w:i w:val="0"/>
      </w:rPr>
    </w:lvl>
    <w:lvl w:ilvl="1" w:tplc="0C09000F">
      <w:start w:val="1"/>
      <w:numFmt w:val="decimal"/>
      <w:lvlText w:val="%2."/>
      <w:lvlJc w:val="left"/>
      <w:pPr>
        <w:ind w:left="644" w:hanging="360"/>
      </w:pPr>
      <w:rPr>
        <w:b w:val="0"/>
      </w:rPr>
    </w:lvl>
    <w:lvl w:ilvl="2" w:tplc="212C1112">
      <w:start w:val="1"/>
      <w:numFmt w:val="bullet"/>
      <w:lvlText w:val="•"/>
      <w:lvlJc w:val="left"/>
      <w:pPr>
        <w:ind w:left="1980" w:hanging="360"/>
      </w:pPr>
      <w:rPr>
        <w:rFonts w:ascii="Calibri" w:eastAsiaTheme="minorHAnsi" w:hAnsi="Calibri" w:cstheme="minorBidi"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34C34BBA"/>
    <w:multiLevelType w:val="hybridMultilevel"/>
    <w:tmpl w:val="765C3B7C"/>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A819D4"/>
    <w:multiLevelType w:val="hybridMultilevel"/>
    <w:tmpl w:val="07A8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A5C1256"/>
    <w:multiLevelType w:val="hybridMultilevel"/>
    <w:tmpl w:val="5CD4B3AE"/>
    <w:lvl w:ilvl="0" w:tplc="35C2C3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ACC5542"/>
    <w:multiLevelType w:val="hybridMultilevel"/>
    <w:tmpl w:val="6A023EA0"/>
    <w:lvl w:ilvl="0" w:tplc="0C090017">
      <w:start w:val="1"/>
      <w:numFmt w:val="lowerLetter"/>
      <w:lvlText w:val="%1)"/>
      <w:lvlJc w:val="left"/>
      <w:pPr>
        <w:ind w:left="930" w:hanging="570"/>
      </w:pPr>
      <w:rPr>
        <w:rFonts w:hint="default"/>
      </w:r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D0D555C"/>
    <w:multiLevelType w:val="hybridMultilevel"/>
    <w:tmpl w:val="13AC2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3E85329F"/>
    <w:multiLevelType w:val="hybridMultilevel"/>
    <w:tmpl w:val="3CC83160"/>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A44BBB"/>
    <w:multiLevelType w:val="hybridMultilevel"/>
    <w:tmpl w:val="7DA48650"/>
    <w:lvl w:ilvl="0" w:tplc="745EC56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43D032B4"/>
    <w:multiLevelType w:val="hybridMultilevel"/>
    <w:tmpl w:val="79B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D60FB0"/>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A0D183E"/>
    <w:multiLevelType w:val="hybridMultilevel"/>
    <w:tmpl w:val="57C0F9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8118FE"/>
    <w:multiLevelType w:val="hybridMultilevel"/>
    <w:tmpl w:val="03C4B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4284409"/>
    <w:multiLevelType w:val="hybridMultilevel"/>
    <w:tmpl w:val="BCD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7534772"/>
    <w:multiLevelType w:val="hybridMultilevel"/>
    <w:tmpl w:val="3B745BB8"/>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DC937F8"/>
    <w:multiLevelType w:val="hybridMultilevel"/>
    <w:tmpl w:val="21D689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60FD0D69"/>
    <w:multiLevelType w:val="hybridMultilevel"/>
    <w:tmpl w:val="84F67A9E"/>
    <w:lvl w:ilvl="0" w:tplc="0C090017">
      <w:start w:val="1"/>
      <w:numFmt w:val="lowerLetter"/>
      <w:lvlText w:val="%1)"/>
      <w:lvlJc w:val="left"/>
      <w:pPr>
        <w:ind w:left="720" w:hanging="360"/>
      </w:p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AC55A48"/>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F9A47F9"/>
    <w:multiLevelType w:val="hybridMultilevel"/>
    <w:tmpl w:val="82C2DF1A"/>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3B3653C"/>
    <w:multiLevelType w:val="hybridMultilevel"/>
    <w:tmpl w:val="EC984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6B0089F"/>
    <w:multiLevelType w:val="hybridMultilevel"/>
    <w:tmpl w:val="CF5234C4"/>
    <w:lvl w:ilvl="0" w:tplc="5C3A9BF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213278"/>
    <w:multiLevelType w:val="hybridMultilevel"/>
    <w:tmpl w:val="F56CD2E8"/>
    <w:lvl w:ilvl="0" w:tplc="745EC560">
      <w:start w:val="1"/>
      <w:numFmt w:val="lowerRoman"/>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DD060D7"/>
    <w:multiLevelType w:val="hybridMultilevel"/>
    <w:tmpl w:val="C99043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26"/>
  </w:num>
  <w:num w:numId="3">
    <w:abstractNumId w:val="31"/>
  </w:num>
  <w:num w:numId="4">
    <w:abstractNumId w:val="16"/>
  </w:num>
  <w:num w:numId="5">
    <w:abstractNumId w:val="7"/>
  </w:num>
  <w:num w:numId="6">
    <w:abstractNumId w:val="36"/>
  </w:num>
  <w:num w:numId="7">
    <w:abstractNumId w:val="17"/>
  </w:num>
  <w:num w:numId="8">
    <w:abstractNumId w:val="29"/>
  </w:num>
  <w:num w:numId="9">
    <w:abstractNumId w:val="23"/>
  </w:num>
  <w:num w:numId="10">
    <w:abstractNumId w:val="1"/>
  </w:num>
  <w:num w:numId="11">
    <w:abstractNumId w:val="37"/>
  </w:num>
  <w:num w:numId="12">
    <w:abstractNumId w:val="8"/>
  </w:num>
  <w:num w:numId="13">
    <w:abstractNumId w:val="24"/>
  </w:num>
  <w:num w:numId="14">
    <w:abstractNumId w:val="27"/>
  </w:num>
  <w:num w:numId="15">
    <w:abstractNumId w:val="40"/>
  </w:num>
  <w:num w:numId="16">
    <w:abstractNumId w:val="25"/>
  </w:num>
  <w:num w:numId="17">
    <w:abstractNumId w:val="18"/>
  </w:num>
  <w:num w:numId="18">
    <w:abstractNumId w:val="0"/>
  </w:num>
  <w:num w:numId="19">
    <w:abstractNumId w:val="34"/>
  </w:num>
  <w:num w:numId="20">
    <w:abstractNumId w:val="3"/>
  </w:num>
  <w:num w:numId="21">
    <w:abstractNumId w:val="14"/>
  </w:num>
  <w:num w:numId="22">
    <w:abstractNumId w:val="39"/>
  </w:num>
  <w:num w:numId="23">
    <w:abstractNumId w:val="35"/>
  </w:num>
  <w:num w:numId="24">
    <w:abstractNumId w:val="19"/>
  </w:num>
  <w:num w:numId="25">
    <w:abstractNumId w:val="22"/>
  </w:num>
  <w:num w:numId="26">
    <w:abstractNumId w:val="33"/>
  </w:num>
  <w:num w:numId="27">
    <w:abstractNumId w:val="10"/>
  </w:num>
  <w:num w:numId="28">
    <w:abstractNumId w:val="2"/>
  </w:num>
  <w:num w:numId="29">
    <w:abstractNumId w:val="4"/>
    <w:lvlOverride w:ilvl="0"/>
    <w:lvlOverride w:ilvl="1">
      <w:startOverride w:val="1"/>
    </w:lvlOverride>
    <w:lvlOverride w:ilvl="2"/>
    <w:lvlOverride w:ilvl="3"/>
    <w:lvlOverride w:ilvl="4"/>
    <w:lvlOverride w:ilvl="5"/>
    <w:lvlOverride w:ilvl="6"/>
    <w:lvlOverride w:ilvl="7"/>
    <w:lvlOverride w:ilvl="8"/>
  </w:num>
  <w:num w:numId="30">
    <w:abstractNumId w:val="38"/>
  </w:num>
  <w:num w:numId="31">
    <w:abstractNumId w:val="32"/>
  </w:num>
  <w:num w:numId="32">
    <w:abstractNumId w:val="20"/>
  </w:num>
  <w:num w:numId="33">
    <w:abstractNumId w:val="15"/>
  </w:num>
  <w:num w:numId="34">
    <w:abstractNumId w:val="9"/>
  </w:num>
  <w:num w:numId="35">
    <w:abstractNumId w:val="5"/>
  </w:num>
  <w:num w:numId="36">
    <w:abstractNumId w:val="21"/>
  </w:num>
  <w:num w:numId="37">
    <w:abstractNumId w:val="30"/>
  </w:num>
  <w:num w:numId="38">
    <w:abstractNumId w:val="11"/>
  </w:num>
  <w:num w:numId="39">
    <w:abstractNumId w:val="12"/>
  </w:num>
  <w:num w:numId="40">
    <w:abstractNumId w:val="6"/>
  </w:num>
  <w:num w:numId="4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anna Gallagher">
    <w15:presenceInfo w15:providerId="Windows Live" w15:userId="ecac43fffe8dcf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CD"/>
    <w:rsid w:val="000014DC"/>
    <w:rsid w:val="00002787"/>
    <w:rsid w:val="00002885"/>
    <w:rsid w:val="000031D3"/>
    <w:rsid w:val="00003F40"/>
    <w:rsid w:val="00011147"/>
    <w:rsid w:val="00011923"/>
    <w:rsid w:val="00013101"/>
    <w:rsid w:val="0001344B"/>
    <w:rsid w:val="00013E1A"/>
    <w:rsid w:val="0001557A"/>
    <w:rsid w:val="00015D91"/>
    <w:rsid w:val="00015F7D"/>
    <w:rsid w:val="000163D5"/>
    <w:rsid w:val="00016497"/>
    <w:rsid w:val="00020B01"/>
    <w:rsid w:val="0002378A"/>
    <w:rsid w:val="000245BC"/>
    <w:rsid w:val="00024DBC"/>
    <w:rsid w:val="000410C1"/>
    <w:rsid w:val="000416AC"/>
    <w:rsid w:val="00044A0E"/>
    <w:rsid w:val="000461D2"/>
    <w:rsid w:val="00047A51"/>
    <w:rsid w:val="00050EB5"/>
    <w:rsid w:val="000547AB"/>
    <w:rsid w:val="00057A65"/>
    <w:rsid w:val="00060D54"/>
    <w:rsid w:val="000611B6"/>
    <w:rsid w:val="00065A55"/>
    <w:rsid w:val="000723FA"/>
    <w:rsid w:val="000810CF"/>
    <w:rsid w:val="00083426"/>
    <w:rsid w:val="00083B34"/>
    <w:rsid w:val="00085CAB"/>
    <w:rsid w:val="00085F57"/>
    <w:rsid w:val="0008693E"/>
    <w:rsid w:val="00090731"/>
    <w:rsid w:val="0009240B"/>
    <w:rsid w:val="00093D59"/>
    <w:rsid w:val="00096CF4"/>
    <w:rsid w:val="00097388"/>
    <w:rsid w:val="000A1AE9"/>
    <w:rsid w:val="000A26F2"/>
    <w:rsid w:val="000A30D2"/>
    <w:rsid w:val="000A433D"/>
    <w:rsid w:val="000A49A9"/>
    <w:rsid w:val="000A54E1"/>
    <w:rsid w:val="000A665B"/>
    <w:rsid w:val="000B5294"/>
    <w:rsid w:val="000C0B6E"/>
    <w:rsid w:val="000C1920"/>
    <w:rsid w:val="000C1F50"/>
    <w:rsid w:val="000C2B11"/>
    <w:rsid w:val="000C6AC7"/>
    <w:rsid w:val="000D0790"/>
    <w:rsid w:val="000D07F2"/>
    <w:rsid w:val="000D084B"/>
    <w:rsid w:val="000D1217"/>
    <w:rsid w:val="000D589B"/>
    <w:rsid w:val="000D5B0D"/>
    <w:rsid w:val="000D5C26"/>
    <w:rsid w:val="000D7D58"/>
    <w:rsid w:val="000E10D0"/>
    <w:rsid w:val="000E1A37"/>
    <w:rsid w:val="000E1D7F"/>
    <w:rsid w:val="000E2752"/>
    <w:rsid w:val="000E3A76"/>
    <w:rsid w:val="000F10CF"/>
    <w:rsid w:val="000F4187"/>
    <w:rsid w:val="000F46C6"/>
    <w:rsid w:val="000F5B73"/>
    <w:rsid w:val="000F66E3"/>
    <w:rsid w:val="001008D7"/>
    <w:rsid w:val="00101113"/>
    <w:rsid w:val="00103637"/>
    <w:rsid w:val="00107427"/>
    <w:rsid w:val="00107A47"/>
    <w:rsid w:val="001100E5"/>
    <w:rsid w:val="0011193B"/>
    <w:rsid w:val="00112C17"/>
    <w:rsid w:val="00113B8C"/>
    <w:rsid w:val="001147B1"/>
    <w:rsid w:val="0011569B"/>
    <w:rsid w:val="00115C3B"/>
    <w:rsid w:val="00117231"/>
    <w:rsid w:val="001178E6"/>
    <w:rsid w:val="001247BF"/>
    <w:rsid w:val="001263E3"/>
    <w:rsid w:val="00131841"/>
    <w:rsid w:val="00133E6E"/>
    <w:rsid w:val="00136ECD"/>
    <w:rsid w:val="0013744B"/>
    <w:rsid w:val="00137A4D"/>
    <w:rsid w:val="0014023B"/>
    <w:rsid w:val="00140CDD"/>
    <w:rsid w:val="0015058D"/>
    <w:rsid w:val="00150B6E"/>
    <w:rsid w:val="00152DCA"/>
    <w:rsid w:val="00154877"/>
    <w:rsid w:val="00154918"/>
    <w:rsid w:val="00154F69"/>
    <w:rsid w:val="0015733E"/>
    <w:rsid w:val="00160B52"/>
    <w:rsid w:val="00160DD7"/>
    <w:rsid w:val="00161FAA"/>
    <w:rsid w:val="00164241"/>
    <w:rsid w:val="001642AC"/>
    <w:rsid w:val="00164EBF"/>
    <w:rsid w:val="001671AC"/>
    <w:rsid w:val="00172990"/>
    <w:rsid w:val="0017322A"/>
    <w:rsid w:val="0017679F"/>
    <w:rsid w:val="00177D93"/>
    <w:rsid w:val="001816D7"/>
    <w:rsid w:val="00182FC0"/>
    <w:rsid w:val="0018373F"/>
    <w:rsid w:val="00184ED7"/>
    <w:rsid w:val="00192452"/>
    <w:rsid w:val="00195B6C"/>
    <w:rsid w:val="001963A6"/>
    <w:rsid w:val="001A1BAA"/>
    <w:rsid w:val="001A1DA8"/>
    <w:rsid w:val="001A7ABF"/>
    <w:rsid w:val="001B16FE"/>
    <w:rsid w:val="001B1A51"/>
    <w:rsid w:val="001B25B0"/>
    <w:rsid w:val="001B2819"/>
    <w:rsid w:val="001B79E5"/>
    <w:rsid w:val="001C0CF6"/>
    <w:rsid w:val="001C2836"/>
    <w:rsid w:val="001C28B3"/>
    <w:rsid w:val="001C5ED4"/>
    <w:rsid w:val="001C6BB5"/>
    <w:rsid w:val="001D0B9A"/>
    <w:rsid w:val="001D22AC"/>
    <w:rsid w:val="001D5F61"/>
    <w:rsid w:val="001E16D6"/>
    <w:rsid w:val="001E2BA3"/>
    <w:rsid w:val="001E3F97"/>
    <w:rsid w:val="001E5AF0"/>
    <w:rsid w:val="001E7A9B"/>
    <w:rsid w:val="001F2A71"/>
    <w:rsid w:val="001F75C8"/>
    <w:rsid w:val="00200F2D"/>
    <w:rsid w:val="00202E44"/>
    <w:rsid w:val="00202F89"/>
    <w:rsid w:val="00203D86"/>
    <w:rsid w:val="00204AB8"/>
    <w:rsid w:val="0020549C"/>
    <w:rsid w:val="00205E56"/>
    <w:rsid w:val="00206991"/>
    <w:rsid w:val="002112E6"/>
    <w:rsid w:val="00213C33"/>
    <w:rsid w:val="00214730"/>
    <w:rsid w:val="00215C67"/>
    <w:rsid w:val="002167F3"/>
    <w:rsid w:val="002173F5"/>
    <w:rsid w:val="002244F4"/>
    <w:rsid w:val="002305C1"/>
    <w:rsid w:val="00231DF6"/>
    <w:rsid w:val="0023235D"/>
    <w:rsid w:val="00235B34"/>
    <w:rsid w:val="00237639"/>
    <w:rsid w:val="00240DB3"/>
    <w:rsid w:val="00245C64"/>
    <w:rsid w:val="00250856"/>
    <w:rsid w:val="0025421D"/>
    <w:rsid w:val="00260B7A"/>
    <w:rsid w:val="002617D0"/>
    <w:rsid w:val="0026204F"/>
    <w:rsid w:val="0026226E"/>
    <w:rsid w:val="00272528"/>
    <w:rsid w:val="00277672"/>
    <w:rsid w:val="00280FDD"/>
    <w:rsid w:val="00281B78"/>
    <w:rsid w:val="00283416"/>
    <w:rsid w:val="00283679"/>
    <w:rsid w:val="00283C62"/>
    <w:rsid w:val="00290C61"/>
    <w:rsid w:val="00290E42"/>
    <w:rsid w:val="00294647"/>
    <w:rsid w:val="0029630A"/>
    <w:rsid w:val="00296A3C"/>
    <w:rsid w:val="002A1A5D"/>
    <w:rsid w:val="002A39A8"/>
    <w:rsid w:val="002A39B3"/>
    <w:rsid w:val="002A5D82"/>
    <w:rsid w:val="002B1352"/>
    <w:rsid w:val="002B1B8E"/>
    <w:rsid w:val="002B61BD"/>
    <w:rsid w:val="002C2A05"/>
    <w:rsid w:val="002C3D2F"/>
    <w:rsid w:val="002C6882"/>
    <w:rsid w:val="002D3F55"/>
    <w:rsid w:val="002D4673"/>
    <w:rsid w:val="002D7553"/>
    <w:rsid w:val="002E232E"/>
    <w:rsid w:val="002E2BD8"/>
    <w:rsid w:val="002E4A7A"/>
    <w:rsid w:val="002E7354"/>
    <w:rsid w:val="002F3F6D"/>
    <w:rsid w:val="002F73CA"/>
    <w:rsid w:val="002F74C7"/>
    <w:rsid w:val="00300AA5"/>
    <w:rsid w:val="00300D5F"/>
    <w:rsid w:val="003034DA"/>
    <w:rsid w:val="0030383A"/>
    <w:rsid w:val="00305CB9"/>
    <w:rsid w:val="003101C1"/>
    <w:rsid w:val="00313AAD"/>
    <w:rsid w:val="00321DB4"/>
    <w:rsid w:val="00330DF9"/>
    <w:rsid w:val="0033255C"/>
    <w:rsid w:val="00334356"/>
    <w:rsid w:val="00335590"/>
    <w:rsid w:val="00337BC6"/>
    <w:rsid w:val="003404D7"/>
    <w:rsid w:val="00341179"/>
    <w:rsid w:val="003415EF"/>
    <w:rsid w:val="003431F9"/>
    <w:rsid w:val="0034329C"/>
    <w:rsid w:val="003459BA"/>
    <w:rsid w:val="003466A5"/>
    <w:rsid w:val="00346FBD"/>
    <w:rsid w:val="00350A18"/>
    <w:rsid w:val="00350AD4"/>
    <w:rsid w:val="0035375C"/>
    <w:rsid w:val="00357276"/>
    <w:rsid w:val="003572D8"/>
    <w:rsid w:val="00357B5C"/>
    <w:rsid w:val="00362F90"/>
    <w:rsid w:val="00366B0C"/>
    <w:rsid w:val="003715A7"/>
    <w:rsid w:val="00372064"/>
    <w:rsid w:val="00373423"/>
    <w:rsid w:val="00374974"/>
    <w:rsid w:val="0037556E"/>
    <w:rsid w:val="00377830"/>
    <w:rsid w:val="00377F14"/>
    <w:rsid w:val="003806A8"/>
    <w:rsid w:val="003829DB"/>
    <w:rsid w:val="00383160"/>
    <w:rsid w:val="00383A12"/>
    <w:rsid w:val="00384D93"/>
    <w:rsid w:val="00391AB4"/>
    <w:rsid w:val="00394A4C"/>
    <w:rsid w:val="003A342F"/>
    <w:rsid w:val="003A3C28"/>
    <w:rsid w:val="003B2E72"/>
    <w:rsid w:val="003B4FB7"/>
    <w:rsid w:val="003B5A6F"/>
    <w:rsid w:val="003B5BE6"/>
    <w:rsid w:val="003C2E82"/>
    <w:rsid w:val="003C33DB"/>
    <w:rsid w:val="003C3801"/>
    <w:rsid w:val="003C5E79"/>
    <w:rsid w:val="003C777B"/>
    <w:rsid w:val="003D2B5B"/>
    <w:rsid w:val="003D34C8"/>
    <w:rsid w:val="003D3A8B"/>
    <w:rsid w:val="003D5C29"/>
    <w:rsid w:val="003D6ADB"/>
    <w:rsid w:val="003E3086"/>
    <w:rsid w:val="003E7057"/>
    <w:rsid w:val="003E7B33"/>
    <w:rsid w:val="003F14CE"/>
    <w:rsid w:val="003F596A"/>
    <w:rsid w:val="003F692D"/>
    <w:rsid w:val="003F73B6"/>
    <w:rsid w:val="003F7446"/>
    <w:rsid w:val="004022F0"/>
    <w:rsid w:val="00405296"/>
    <w:rsid w:val="00406039"/>
    <w:rsid w:val="00406246"/>
    <w:rsid w:val="00410E46"/>
    <w:rsid w:val="0041139F"/>
    <w:rsid w:val="00414125"/>
    <w:rsid w:val="004148D3"/>
    <w:rsid w:val="004176E8"/>
    <w:rsid w:val="00420580"/>
    <w:rsid w:val="004215C5"/>
    <w:rsid w:val="00421ACA"/>
    <w:rsid w:val="0042243B"/>
    <w:rsid w:val="004252A3"/>
    <w:rsid w:val="0042581B"/>
    <w:rsid w:val="00426846"/>
    <w:rsid w:val="00427401"/>
    <w:rsid w:val="00431392"/>
    <w:rsid w:val="004320B6"/>
    <w:rsid w:val="00433C18"/>
    <w:rsid w:val="00433F1C"/>
    <w:rsid w:val="00435D1D"/>
    <w:rsid w:val="00436D9A"/>
    <w:rsid w:val="00436FDA"/>
    <w:rsid w:val="004414F1"/>
    <w:rsid w:val="00441682"/>
    <w:rsid w:val="004422DD"/>
    <w:rsid w:val="0044300D"/>
    <w:rsid w:val="00454A9A"/>
    <w:rsid w:val="0045536F"/>
    <w:rsid w:val="00455694"/>
    <w:rsid w:val="0045683A"/>
    <w:rsid w:val="004658E5"/>
    <w:rsid w:val="00472B86"/>
    <w:rsid w:val="0047404B"/>
    <w:rsid w:val="00474C57"/>
    <w:rsid w:val="004819F8"/>
    <w:rsid w:val="00482482"/>
    <w:rsid w:val="00483395"/>
    <w:rsid w:val="00484116"/>
    <w:rsid w:val="00484CED"/>
    <w:rsid w:val="00490962"/>
    <w:rsid w:val="004923D0"/>
    <w:rsid w:val="004A0446"/>
    <w:rsid w:val="004A465D"/>
    <w:rsid w:val="004A5607"/>
    <w:rsid w:val="004B5EB7"/>
    <w:rsid w:val="004B6A55"/>
    <w:rsid w:val="004C252D"/>
    <w:rsid w:val="004C39ED"/>
    <w:rsid w:val="004C4F67"/>
    <w:rsid w:val="004C6F14"/>
    <w:rsid w:val="004D69B3"/>
    <w:rsid w:val="004E19E1"/>
    <w:rsid w:val="004E3EF7"/>
    <w:rsid w:val="004E43B8"/>
    <w:rsid w:val="004E4891"/>
    <w:rsid w:val="004E4ABE"/>
    <w:rsid w:val="004F03F3"/>
    <w:rsid w:val="004F2DF2"/>
    <w:rsid w:val="004F6243"/>
    <w:rsid w:val="00500BCA"/>
    <w:rsid w:val="00501333"/>
    <w:rsid w:val="00503FCA"/>
    <w:rsid w:val="0050787F"/>
    <w:rsid w:val="00507EF5"/>
    <w:rsid w:val="00510AE8"/>
    <w:rsid w:val="00510AF0"/>
    <w:rsid w:val="00513ADE"/>
    <w:rsid w:val="005166A2"/>
    <w:rsid w:val="005177AA"/>
    <w:rsid w:val="005219A0"/>
    <w:rsid w:val="005275E7"/>
    <w:rsid w:val="0053185D"/>
    <w:rsid w:val="00532734"/>
    <w:rsid w:val="005329BF"/>
    <w:rsid w:val="00533303"/>
    <w:rsid w:val="0053481F"/>
    <w:rsid w:val="00535D66"/>
    <w:rsid w:val="005442AA"/>
    <w:rsid w:val="00544A86"/>
    <w:rsid w:val="00556156"/>
    <w:rsid w:val="0055736A"/>
    <w:rsid w:val="00562CF6"/>
    <w:rsid w:val="005648B1"/>
    <w:rsid w:val="00571CFB"/>
    <w:rsid w:val="00571FE7"/>
    <w:rsid w:val="00573390"/>
    <w:rsid w:val="0057652A"/>
    <w:rsid w:val="00577AB0"/>
    <w:rsid w:val="0058128A"/>
    <w:rsid w:val="00581F00"/>
    <w:rsid w:val="00582C07"/>
    <w:rsid w:val="005834A3"/>
    <w:rsid w:val="005841EF"/>
    <w:rsid w:val="005859B8"/>
    <w:rsid w:val="00585A4E"/>
    <w:rsid w:val="005863AE"/>
    <w:rsid w:val="00586D23"/>
    <w:rsid w:val="005A0235"/>
    <w:rsid w:val="005A0442"/>
    <w:rsid w:val="005A3441"/>
    <w:rsid w:val="005A48DF"/>
    <w:rsid w:val="005A5956"/>
    <w:rsid w:val="005A6755"/>
    <w:rsid w:val="005B105A"/>
    <w:rsid w:val="005B5A77"/>
    <w:rsid w:val="005B740C"/>
    <w:rsid w:val="005B78B8"/>
    <w:rsid w:val="005C0632"/>
    <w:rsid w:val="005C14D8"/>
    <w:rsid w:val="005C2846"/>
    <w:rsid w:val="005C291D"/>
    <w:rsid w:val="005C5A61"/>
    <w:rsid w:val="005C5F22"/>
    <w:rsid w:val="005C63C4"/>
    <w:rsid w:val="005D31AD"/>
    <w:rsid w:val="005D5CC9"/>
    <w:rsid w:val="005F03F6"/>
    <w:rsid w:val="005F11D2"/>
    <w:rsid w:val="005F18DC"/>
    <w:rsid w:val="005F19BF"/>
    <w:rsid w:val="005F28D9"/>
    <w:rsid w:val="005F3654"/>
    <w:rsid w:val="005F3E4F"/>
    <w:rsid w:val="006027E8"/>
    <w:rsid w:val="00606156"/>
    <w:rsid w:val="00610B80"/>
    <w:rsid w:val="00610B92"/>
    <w:rsid w:val="00611298"/>
    <w:rsid w:val="00613493"/>
    <w:rsid w:val="006168B4"/>
    <w:rsid w:val="00617BC2"/>
    <w:rsid w:val="00624509"/>
    <w:rsid w:val="00626D35"/>
    <w:rsid w:val="00635828"/>
    <w:rsid w:val="00637558"/>
    <w:rsid w:val="00641497"/>
    <w:rsid w:val="00642AAD"/>
    <w:rsid w:val="00646A14"/>
    <w:rsid w:val="006516DC"/>
    <w:rsid w:val="00652C3D"/>
    <w:rsid w:val="00652DD6"/>
    <w:rsid w:val="00653930"/>
    <w:rsid w:val="00654054"/>
    <w:rsid w:val="00654789"/>
    <w:rsid w:val="00656D45"/>
    <w:rsid w:val="006619F5"/>
    <w:rsid w:val="006625B0"/>
    <w:rsid w:val="006627BE"/>
    <w:rsid w:val="006634B6"/>
    <w:rsid w:val="006675BC"/>
    <w:rsid w:val="00667949"/>
    <w:rsid w:val="0067367E"/>
    <w:rsid w:val="00677858"/>
    <w:rsid w:val="0068178C"/>
    <w:rsid w:val="00684FFC"/>
    <w:rsid w:val="00686402"/>
    <w:rsid w:val="00690EE6"/>
    <w:rsid w:val="00691169"/>
    <w:rsid w:val="00691AC4"/>
    <w:rsid w:val="006930BB"/>
    <w:rsid w:val="0069607D"/>
    <w:rsid w:val="006A17A3"/>
    <w:rsid w:val="006A5826"/>
    <w:rsid w:val="006A5A26"/>
    <w:rsid w:val="006B19FA"/>
    <w:rsid w:val="006B277A"/>
    <w:rsid w:val="006B4940"/>
    <w:rsid w:val="006B7E6E"/>
    <w:rsid w:val="006B7EBA"/>
    <w:rsid w:val="006C079A"/>
    <w:rsid w:val="006C4875"/>
    <w:rsid w:val="006C5047"/>
    <w:rsid w:val="006C5FB1"/>
    <w:rsid w:val="006D528D"/>
    <w:rsid w:val="006D5BBC"/>
    <w:rsid w:val="006E0D8F"/>
    <w:rsid w:val="006E3701"/>
    <w:rsid w:val="006E5047"/>
    <w:rsid w:val="006F0BDB"/>
    <w:rsid w:val="006F3284"/>
    <w:rsid w:val="006F6B94"/>
    <w:rsid w:val="00701DAD"/>
    <w:rsid w:val="00705A13"/>
    <w:rsid w:val="00705C26"/>
    <w:rsid w:val="007105C1"/>
    <w:rsid w:val="0071553E"/>
    <w:rsid w:val="00716CBF"/>
    <w:rsid w:val="00717271"/>
    <w:rsid w:val="00717E89"/>
    <w:rsid w:val="00722370"/>
    <w:rsid w:val="00724A06"/>
    <w:rsid w:val="007264AE"/>
    <w:rsid w:val="00731D65"/>
    <w:rsid w:val="007363BC"/>
    <w:rsid w:val="00741A10"/>
    <w:rsid w:val="00742626"/>
    <w:rsid w:val="00751790"/>
    <w:rsid w:val="007558A1"/>
    <w:rsid w:val="00766E05"/>
    <w:rsid w:val="00772DC1"/>
    <w:rsid w:val="00774020"/>
    <w:rsid w:val="007764BA"/>
    <w:rsid w:val="007812DD"/>
    <w:rsid w:val="00786F66"/>
    <w:rsid w:val="007905DA"/>
    <w:rsid w:val="007A1CE0"/>
    <w:rsid w:val="007A2F37"/>
    <w:rsid w:val="007A7E1A"/>
    <w:rsid w:val="007B0E29"/>
    <w:rsid w:val="007B1199"/>
    <w:rsid w:val="007B7932"/>
    <w:rsid w:val="007C21EE"/>
    <w:rsid w:val="007C4E7D"/>
    <w:rsid w:val="007C4FD6"/>
    <w:rsid w:val="007C618D"/>
    <w:rsid w:val="007C67C0"/>
    <w:rsid w:val="007D1171"/>
    <w:rsid w:val="007D2DAE"/>
    <w:rsid w:val="007D7863"/>
    <w:rsid w:val="007E000E"/>
    <w:rsid w:val="007E171B"/>
    <w:rsid w:val="007E3722"/>
    <w:rsid w:val="007E37CC"/>
    <w:rsid w:val="007E542E"/>
    <w:rsid w:val="007E78A7"/>
    <w:rsid w:val="007E78F5"/>
    <w:rsid w:val="007F0B79"/>
    <w:rsid w:val="007F2131"/>
    <w:rsid w:val="007F2B19"/>
    <w:rsid w:val="007F4E20"/>
    <w:rsid w:val="007F5859"/>
    <w:rsid w:val="008006B0"/>
    <w:rsid w:val="008037F0"/>
    <w:rsid w:val="008068F0"/>
    <w:rsid w:val="008114DC"/>
    <w:rsid w:val="0081650B"/>
    <w:rsid w:val="00820F33"/>
    <w:rsid w:val="00822447"/>
    <w:rsid w:val="0082407F"/>
    <w:rsid w:val="00824745"/>
    <w:rsid w:val="00835916"/>
    <w:rsid w:val="008373D9"/>
    <w:rsid w:val="00840E77"/>
    <w:rsid w:val="00844FE2"/>
    <w:rsid w:val="00845076"/>
    <w:rsid w:val="0085088D"/>
    <w:rsid w:val="00851C12"/>
    <w:rsid w:val="00854598"/>
    <w:rsid w:val="00854D98"/>
    <w:rsid w:val="00860B95"/>
    <w:rsid w:val="0086586C"/>
    <w:rsid w:val="00865A56"/>
    <w:rsid w:val="0087140C"/>
    <w:rsid w:val="00872BB1"/>
    <w:rsid w:val="00873E9D"/>
    <w:rsid w:val="008745CB"/>
    <w:rsid w:val="00876201"/>
    <w:rsid w:val="00884E9E"/>
    <w:rsid w:val="00884F67"/>
    <w:rsid w:val="008850E3"/>
    <w:rsid w:val="00891014"/>
    <w:rsid w:val="00894F11"/>
    <w:rsid w:val="008957C7"/>
    <w:rsid w:val="00896BD9"/>
    <w:rsid w:val="00897C3E"/>
    <w:rsid w:val="008A0C55"/>
    <w:rsid w:val="008A2541"/>
    <w:rsid w:val="008B45FD"/>
    <w:rsid w:val="008B6C25"/>
    <w:rsid w:val="008C17E6"/>
    <w:rsid w:val="008C3C3D"/>
    <w:rsid w:val="008D02D1"/>
    <w:rsid w:val="008D22F6"/>
    <w:rsid w:val="008D28A9"/>
    <w:rsid w:val="008D3A8C"/>
    <w:rsid w:val="008D3C37"/>
    <w:rsid w:val="008D543F"/>
    <w:rsid w:val="008D73F1"/>
    <w:rsid w:val="008E0492"/>
    <w:rsid w:val="008E45A8"/>
    <w:rsid w:val="008E5AE6"/>
    <w:rsid w:val="008F0EF8"/>
    <w:rsid w:val="008F1C3D"/>
    <w:rsid w:val="008F2166"/>
    <w:rsid w:val="008F286C"/>
    <w:rsid w:val="008F4CC4"/>
    <w:rsid w:val="008F6969"/>
    <w:rsid w:val="00901014"/>
    <w:rsid w:val="00905C92"/>
    <w:rsid w:val="0091081B"/>
    <w:rsid w:val="00910872"/>
    <w:rsid w:val="00913421"/>
    <w:rsid w:val="00931D18"/>
    <w:rsid w:val="009345CC"/>
    <w:rsid w:val="00941F86"/>
    <w:rsid w:val="00942C8E"/>
    <w:rsid w:val="009454E9"/>
    <w:rsid w:val="009466E7"/>
    <w:rsid w:val="00951EF4"/>
    <w:rsid w:val="009536FA"/>
    <w:rsid w:val="0095670F"/>
    <w:rsid w:val="0095778D"/>
    <w:rsid w:val="00957D58"/>
    <w:rsid w:val="0096156F"/>
    <w:rsid w:val="00963E74"/>
    <w:rsid w:val="009640DD"/>
    <w:rsid w:val="009675A4"/>
    <w:rsid w:val="00967ADD"/>
    <w:rsid w:val="009701C7"/>
    <w:rsid w:val="00971D37"/>
    <w:rsid w:val="00974E0D"/>
    <w:rsid w:val="00975799"/>
    <w:rsid w:val="00975E7E"/>
    <w:rsid w:val="00976823"/>
    <w:rsid w:val="00980DDF"/>
    <w:rsid w:val="0098658A"/>
    <w:rsid w:val="00987018"/>
    <w:rsid w:val="00987D93"/>
    <w:rsid w:val="00992167"/>
    <w:rsid w:val="009A02A3"/>
    <w:rsid w:val="009A09FA"/>
    <w:rsid w:val="009A0C5C"/>
    <w:rsid w:val="009A5873"/>
    <w:rsid w:val="009B0616"/>
    <w:rsid w:val="009B06E4"/>
    <w:rsid w:val="009B3927"/>
    <w:rsid w:val="009B4CAD"/>
    <w:rsid w:val="009C45A6"/>
    <w:rsid w:val="009C691B"/>
    <w:rsid w:val="009C6D2D"/>
    <w:rsid w:val="009C6FD8"/>
    <w:rsid w:val="009C7D27"/>
    <w:rsid w:val="009D032D"/>
    <w:rsid w:val="009D12ED"/>
    <w:rsid w:val="009D20B2"/>
    <w:rsid w:val="009D3F95"/>
    <w:rsid w:val="009D4397"/>
    <w:rsid w:val="009E0D0D"/>
    <w:rsid w:val="009E3E4C"/>
    <w:rsid w:val="009E4F47"/>
    <w:rsid w:val="009E71A8"/>
    <w:rsid w:val="009F098A"/>
    <w:rsid w:val="009F155A"/>
    <w:rsid w:val="009F2D80"/>
    <w:rsid w:val="009F37AA"/>
    <w:rsid w:val="00A01AD4"/>
    <w:rsid w:val="00A02ADD"/>
    <w:rsid w:val="00A04832"/>
    <w:rsid w:val="00A0521D"/>
    <w:rsid w:val="00A07769"/>
    <w:rsid w:val="00A10F60"/>
    <w:rsid w:val="00A152AC"/>
    <w:rsid w:val="00A15A43"/>
    <w:rsid w:val="00A16144"/>
    <w:rsid w:val="00A21AD4"/>
    <w:rsid w:val="00A23DF3"/>
    <w:rsid w:val="00A25937"/>
    <w:rsid w:val="00A34F15"/>
    <w:rsid w:val="00A3794D"/>
    <w:rsid w:val="00A41B89"/>
    <w:rsid w:val="00A44F36"/>
    <w:rsid w:val="00A45D17"/>
    <w:rsid w:val="00A45F20"/>
    <w:rsid w:val="00A46295"/>
    <w:rsid w:val="00A5277E"/>
    <w:rsid w:val="00A55862"/>
    <w:rsid w:val="00A561CC"/>
    <w:rsid w:val="00A63D13"/>
    <w:rsid w:val="00A66966"/>
    <w:rsid w:val="00A669E6"/>
    <w:rsid w:val="00A673ED"/>
    <w:rsid w:val="00A70D69"/>
    <w:rsid w:val="00A72D44"/>
    <w:rsid w:val="00A7379F"/>
    <w:rsid w:val="00A739CD"/>
    <w:rsid w:val="00A73D19"/>
    <w:rsid w:val="00A752CC"/>
    <w:rsid w:val="00A75B97"/>
    <w:rsid w:val="00A83B2B"/>
    <w:rsid w:val="00A933EE"/>
    <w:rsid w:val="00A93D87"/>
    <w:rsid w:val="00A95B55"/>
    <w:rsid w:val="00A97C8E"/>
    <w:rsid w:val="00AA24BD"/>
    <w:rsid w:val="00AA2FAB"/>
    <w:rsid w:val="00AA41BA"/>
    <w:rsid w:val="00AB750B"/>
    <w:rsid w:val="00AB7BEE"/>
    <w:rsid w:val="00AC3AA6"/>
    <w:rsid w:val="00AC68E0"/>
    <w:rsid w:val="00AD0D97"/>
    <w:rsid w:val="00AD4080"/>
    <w:rsid w:val="00AD4AED"/>
    <w:rsid w:val="00AD5706"/>
    <w:rsid w:val="00AE511D"/>
    <w:rsid w:val="00AE6F29"/>
    <w:rsid w:val="00AE769C"/>
    <w:rsid w:val="00AF0581"/>
    <w:rsid w:val="00AF08DE"/>
    <w:rsid w:val="00AF2751"/>
    <w:rsid w:val="00AF4F78"/>
    <w:rsid w:val="00AF678D"/>
    <w:rsid w:val="00B01BF2"/>
    <w:rsid w:val="00B03BC0"/>
    <w:rsid w:val="00B03D28"/>
    <w:rsid w:val="00B04122"/>
    <w:rsid w:val="00B04B79"/>
    <w:rsid w:val="00B04DCD"/>
    <w:rsid w:val="00B070F8"/>
    <w:rsid w:val="00B12ACE"/>
    <w:rsid w:val="00B1398E"/>
    <w:rsid w:val="00B147AF"/>
    <w:rsid w:val="00B14BDC"/>
    <w:rsid w:val="00B21732"/>
    <w:rsid w:val="00B2406E"/>
    <w:rsid w:val="00B2741F"/>
    <w:rsid w:val="00B32E0B"/>
    <w:rsid w:val="00B350FA"/>
    <w:rsid w:val="00B47D2D"/>
    <w:rsid w:val="00B55E28"/>
    <w:rsid w:val="00B55FA4"/>
    <w:rsid w:val="00B60F34"/>
    <w:rsid w:val="00B612C5"/>
    <w:rsid w:val="00B61E27"/>
    <w:rsid w:val="00B64681"/>
    <w:rsid w:val="00B70677"/>
    <w:rsid w:val="00B7255E"/>
    <w:rsid w:val="00B73FA6"/>
    <w:rsid w:val="00B744FA"/>
    <w:rsid w:val="00B8213A"/>
    <w:rsid w:val="00B8369D"/>
    <w:rsid w:val="00B846D4"/>
    <w:rsid w:val="00B85810"/>
    <w:rsid w:val="00B9062C"/>
    <w:rsid w:val="00B90ED1"/>
    <w:rsid w:val="00B914EF"/>
    <w:rsid w:val="00B92384"/>
    <w:rsid w:val="00B95B78"/>
    <w:rsid w:val="00B97687"/>
    <w:rsid w:val="00B97A05"/>
    <w:rsid w:val="00BA7B0F"/>
    <w:rsid w:val="00BB061C"/>
    <w:rsid w:val="00BB1719"/>
    <w:rsid w:val="00BB2A8F"/>
    <w:rsid w:val="00BB3EC1"/>
    <w:rsid w:val="00BB5C25"/>
    <w:rsid w:val="00BB6CE0"/>
    <w:rsid w:val="00BB770B"/>
    <w:rsid w:val="00BC0581"/>
    <w:rsid w:val="00BC211B"/>
    <w:rsid w:val="00BC3E69"/>
    <w:rsid w:val="00BC6C9E"/>
    <w:rsid w:val="00BD08E3"/>
    <w:rsid w:val="00BD25C3"/>
    <w:rsid w:val="00BD70E4"/>
    <w:rsid w:val="00BD7292"/>
    <w:rsid w:val="00BE3775"/>
    <w:rsid w:val="00BE3859"/>
    <w:rsid w:val="00BE4750"/>
    <w:rsid w:val="00BE64EA"/>
    <w:rsid w:val="00BE6C5A"/>
    <w:rsid w:val="00BF02AC"/>
    <w:rsid w:val="00BF12D8"/>
    <w:rsid w:val="00BF2E43"/>
    <w:rsid w:val="00BF5186"/>
    <w:rsid w:val="00BF51CE"/>
    <w:rsid w:val="00BF5B86"/>
    <w:rsid w:val="00C00573"/>
    <w:rsid w:val="00C01184"/>
    <w:rsid w:val="00C03383"/>
    <w:rsid w:val="00C06E4C"/>
    <w:rsid w:val="00C122E7"/>
    <w:rsid w:val="00C1277C"/>
    <w:rsid w:val="00C15631"/>
    <w:rsid w:val="00C1765E"/>
    <w:rsid w:val="00C21B5F"/>
    <w:rsid w:val="00C268A7"/>
    <w:rsid w:val="00C27263"/>
    <w:rsid w:val="00C35036"/>
    <w:rsid w:val="00C37534"/>
    <w:rsid w:val="00C41CB7"/>
    <w:rsid w:val="00C439EC"/>
    <w:rsid w:val="00C44B89"/>
    <w:rsid w:val="00C46096"/>
    <w:rsid w:val="00C5094E"/>
    <w:rsid w:val="00C55D64"/>
    <w:rsid w:val="00C5697D"/>
    <w:rsid w:val="00C5761D"/>
    <w:rsid w:val="00C57A06"/>
    <w:rsid w:val="00C614B5"/>
    <w:rsid w:val="00C62668"/>
    <w:rsid w:val="00C62E4A"/>
    <w:rsid w:val="00C6436A"/>
    <w:rsid w:val="00C643FC"/>
    <w:rsid w:val="00C645BC"/>
    <w:rsid w:val="00C67E84"/>
    <w:rsid w:val="00C731D6"/>
    <w:rsid w:val="00C90C94"/>
    <w:rsid w:val="00C91FAA"/>
    <w:rsid w:val="00C9448C"/>
    <w:rsid w:val="00C94C5D"/>
    <w:rsid w:val="00C95A45"/>
    <w:rsid w:val="00CA004A"/>
    <w:rsid w:val="00CA200C"/>
    <w:rsid w:val="00CA7590"/>
    <w:rsid w:val="00CB1879"/>
    <w:rsid w:val="00CB2C04"/>
    <w:rsid w:val="00CB46EF"/>
    <w:rsid w:val="00CB4ECE"/>
    <w:rsid w:val="00CB69F3"/>
    <w:rsid w:val="00CC33B5"/>
    <w:rsid w:val="00CD116B"/>
    <w:rsid w:val="00CD15B8"/>
    <w:rsid w:val="00CD7DDE"/>
    <w:rsid w:val="00CE19E3"/>
    <w:rsid w:val="00CE2276"/>
    <w:rsid w:val="00CE7CE9"/>
    <w:rsid w:val="00CF08F8"/>
    <w:rsid w:val="00CF3212"/>
    <w:rsid w:val="00CF46CD"/>
    <w:rsid w:val="00CF53E0"/>
    <w:rsid w:val="00CF763E"/>
    <w:rsid w:val="00D01F8F"/>
    <w:rsid w:val="00D0429E"/>
    <w:rsid w:val="00D04864"/>
    <w:rsid w:val="00D055BE"/>
    <w:rsid w:val="00D115AD"/>
    <w:rsid w:val="00D11BCB"/>
    <w:rsid w:val="00D12DE6"/>
    <w:rsid w:val="00D142C6"/>
    <w:rsid w:val="00D17AEF"/>
    <w:rsid w:val="00D20DAC"/>
    <w:rsid w:val="00D21F88"/>
    <w:rsid w:val="00D2671C"/>
    <w:rsid w:val="00D26DAA"/>
    <w:rsid w:val="00D308CE"/>
    <w:rsid w:val="00D320D7"/>
    <w:rsid w:val="00D36DE0"/>
    <w:rsid w:val="00D41FF8"/>
    <w:rsid w:val="00D430D5"/>
    <w:rsid w:val="00D45EC3"/>
    <w:rsid w:val="00D46429"/>
    <w:rsid w:val="00D4703A"/>
    <w:rsid w:val="00D476B4"/>
    <w:rsid w:val="00D47DB6"/>
    <w:rsid w:val="00D5187C"/>
    <w:rsid w:val="00D54FCC"/>
    <w:rsid w:val="00D558AC"/>
    <w:rsid w:val="00D60302"/>
    <w:rsid w:val="00D61187"/>
    <w:rsid w:val="00D63D34"/>
    <w:rsid w:val="00D64960"/>
    <w:rsid w:val="00D71601"/>
    <w:rsid w:val="00D72E47"/>
    <w:rsid w:val="00D73DC3"/>
    <w:rsid w:val="00D746C8"/>
    <w:rsid w:val="00D74E66"/>
    <w:rsid w:val="00D74EC5"/>
    <w:rsid w:val="00D772C3"/>
    <w:rsid w:val="00D80BCB"/>
    <w:rsid w:val="00D80CB9"/>
    <w:rsid w:val="00D9082D"/>
    <w:rsid w:val="00D93FF8"/>
    <w:rsid w:val="00D95079"/>
    <w:rsid w:val="00D9666F"/>
    <w:rsid w:val="00D967AC"/>
    <w:rsid w:val="00DA44CD"/>
    <w:rsid w:val="00DA4825"/>
    <w:rsid w:val="00DA71BC"/>
    <w:rsid w:val="00DA73DF"/>
    <w:rsid w:val="00DB25D2"/>
    <w:rsid w:val="00DB7345"/>
    <w:rsid w:val="00DC0D00"/>
    <w:rsid w:val="00DC4BA9"/>
    <w:rsid w:val="00DD0506"/>
    <w:rsid w:val="00DD5B84"/>
    <w:rsid w:val="00DD769D"/>
    <w:rsid w:val="00DE0A79"/>
    <w:rsid w:val="00DE1363"/>
    <w:rsid w:val="00DE1713"/>
    <w:rsid w:val="00DE508A"/>
    <w:rsid w:val="00DE614A"/>
    <w:rsid w:val="00DE7E47"/>
    <w:rsid w:val="00DF3F6E"/>
    <w:rsid w:val="00DF70A4"/>
    <w:rsid w:val="00E00574"/>
    <w:rsid w:val="00E011F8"/>
    <w:rsid w:val="00E01223"/>
    <w:rsid w:val="00E01B71"/>
    <w:rsid w:val="00E046EC"/>
    <w:rsid w:val="00E04D54"/>
    <w:rsid w:val="00E05A0A"/>
    <w:rsid w:val="00E06DC2"/>
    <w:rsid w:val="00E10EE3"/>
    <w:rsid w:val="00E172FE"/>
    <w:rsid w:val="00E17C39"/>
    <w:rsid w:val="00E24C18"/>
    <w:rsid w:val="00E27834"/>
    <w:rsid w:val="00E303FB"/>
    <w:rsid w:val="00E32B5E"/>
    <w:rsid w:val="00E344E2"/>
    <w:rsid w:val="00E36723"/>
    <w:rsid w:val="00E43AFC"/>
    <w:rsid w:val="00E4549E"/>
    <w:rsid w:val="00E51EC9"/>
    <w:rsid w:val="00E53D6D"/>
    <w:rsid w:val="00E54684"/>
    <w:rsid w:val="00E56164"/>
    <w:rsid w:val="00E562EA"/>
    <w:rsid w:val="00E56DEF"/>
    <w:rsid w:val="00E64E0D"/>
    <w:rsid w:val="00E663CF"/>
    <w:rsid w:val="00E70991"/>
    <w:rsid w:val="00E715EB"/>
    <w:rsid w:val="00E71B69"/>
    <w:rsid w:val="00E71EB8"/>
    <w:rsid w:val="00E767BF"/>
    <w:rsid w:val="00E76F77"/>
    <w:rsid w:val="00E800CA"/>
    <w:rsid w:val="00E812D4"/>
    <w:rsid w:val="00E84809"/>
    <w:rsid w:val="00E90B1F"/>
    <w:rsid w:val="00E9250B"/>
    <w:rsid w:val="00E925D0"/>
    <w:rsid w:val="00E93155"/>
    <w:rsid w:val="00E96CA2"/>
    <w:rsid w:val="00E96F43"/>
    <w:rsid w:val="00E9736D"/>
    <w:rsid w:val="00E97424"/>
    <w:rsid w:val="00EA065A"/>
    <w:rsid w:val="00EA5236"/>
    <w:rsid w:val="00EA69F9"/>
    <w:rsid w:val="00EA7920"/>
    <w:rsid w:val="00EA797E"/>
    <w:rsid w:val="00EB0B37"/>
    <w:rsid w:val="00EB25FB"/>
    <w:rsid w:val="00EB573E"/>
    <w:rsid w:val="00EB59A4"/>
    <w:rsid w:val="00EB69DE"/>
    <w:rsid w:val="00EB6EA7"/>
    <w:rsid w:val="00EC2144"/>
    <w:rsid w:val="00EC7C04"/>
    <w:rsid w:val="00ED0BE3"/>
    <w:rsid w:val="00ED4603"/>
    <w:rsid w:val="00ED46A4"/>
    <w:rsid w:val="00EE5E9B"/>
    <w:rsid w:val="00EF0A4D"/>
    <w:rsid w:val="00EF2557"/>
    <w:rsid w:val="00EF4B08"/>
    <w:rsid w:val="00EF4C3B"/>
    <w:rsid w:val="00EF68C1"/>
    <w:rsid w:val="00EF6D47"/>
    <w:rsid w:val="00EF6DC9"/>
    <w:rsid w:val="00EF7158"/>
    <w:rsid w:val="00F005FD"/>
    <w:rsid w:val="00F06843"/>
    <w:rsid w:val="00F10F62"/>
    <w:rsid w:val="00F12898"/>
    <w:rsid w:val="00F148D3"/>
    <w:rsid w:val="00F14E11"/>
    <w:rsid w:val="00F15F2D"/>
    <w:rsid w:val="00F172C7"/>
    <w:rsid w:val="00F178D3"/>
    <w:rsid w:val="00F234ED"/>
    <w:rsid w:val="00F25789"/>
    <w:rsid w:val="00F44088"/>
    <w:rsid w:val="00F45316"/>
    <w:rsid w:val="00F461CE"/>
    <w:rsid w:val="00F46EEC"/>
    <w:rsid w:val="00F47DA1"/>
    <w:rsid w:val="00F5028D"/>
    <w:rsid w:val="00F50F84"/>
    <w:rsid w:val="00F52208"/>
    <w:rsid w:val="00F53CEB"/>
    <w:rsid w:val="00F553A9"/>
    <w:rsid w:val="00F63C7A"/>
    <w:rsid w:val="00F700C6"/>
    <w:rsid w:val="00F7033A"/>
    <w:rsid w:val="00F71948"/>
    <w:rsid w:val="00F721AC"/>
    <w:rsid w:val="00F743AC"/>
    <w:rsid w:val="00F7539B"/>
    <w:rsid w:val="00F772D9"/>
    <w:rsid w:val="00F8056E"/>
    <w:rsid w:val="00F81E5C"/>
    <w:rsid w:val="00F826B8"/>
    <w:rsid w:val="00F84A17"/>
    <w:rsid w:val="00F8545A"/>
    <w:rsid w:val="00F870FA"/>
    <w:rsid w:val="00F874A3"/>
    <w:rsid w:val="00F90D94"/>
    <w:rsid w:val="00F94C31"/>
    <w:rsid w:val="00F9518D"/>
    <w:rsid w:val="00FA5900"/>
    <w:rsid w:val="00FA7893"/>
    <w:rsid w:val="00FB0777"/>
    <w:rsid w:val="00FB1BCD"/>
    <w:rsid w:val="00FB3FA0"/>
    <w:rsid w:val="00FB7236"/>
    <w:rsid w:val="00FC116A"/>
    <w:rsid w:val="00FC3BA0"/>
    <w:rsid w:val="00FC51D8"/>
    <w:rsid w:val="00FC60F7"/>
    <w:rsid w:val="00FD00DD"/>
    <w:rsid w:val="00FD04C0"/>
    <w:rsid w:val="00FD0C58"/>
    <w:rsid w:val="00FD490F"/>
    <w:rsid w:val="00FD4F3B"/>
    <w:rsid w:val="00FD76BB"/>
    <w:rsid w:val="00FE19ED"/>
    <w:rsid w:val="00FF09BF"/>
    <w:rsid w:val="00FF2658"/>
    <w:rsid w:val="00FF2736"/>
    <w:rsid w:val="00FF5948"/>
    <w:rsid w:val="00FF6B3F"/>
    <w:rsid w:val="00FF755C"/>
    <w:rsid w:val="00FF75C1"/>
    <w:rsid w:val="00FF75DF"/>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book-page/28-resorcinol" TargetMode="External"/><Relationship Id="rId18" Type="http://schemas.openxmlformats.org/officeDocument/2006/relationships/hyperlink" Target="http://www.health.gov.au/internet/main/publishing.nsf/content/expert-review-of-medicines-and-medical-devices-regulation" TargetMode="External"/><Relationship Id="rId3" Type="http://schemas.openxmlformats.org/officeDocument/2006/relationships/styles" Target="styles.xml"/><Relationship Id="rId21" Type="http://schemas.openxmlformats.org/officeDocument/2006/relationships/footer" Target="footer1.xm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tga.gov.au/consultation-invitation/consultation-proposed-amendments-poisons-standard-being-referred-june-2018-meetings-accs-acms-and-joint-accsacms" TargetMode="External"/><Relationship Id="rId17" Type="http://schemas.openxmlformats.org/officeDocument/2006/relationships/hyperlink" Target="https://www.tga.gov.au/publication/ahmac-scheduling-policy-framework-medicines-and-chemicals" TargetMode="External"/><Relationship Id="rId2" Type="http://schemas.openxmlformats.org/officeDocument/2006/relationships/numbering" Target="numbering.xml"/><Relationship Id="rId16" Type="http://schemas.openxmlformats.org/officeDocument/2006/relationships/hyperlink" Target="https://www.tga.gov.au/scheduling-decision-final/final-decisions-amending-or-not-amending-current-poisons-standard-november-2018" TargetMode="External"/><Relationship Id="rId20" Type="http://schemas.openxmlformats.org/officeDocument/2006/relationships/hyperlink" Target="https://www.tga.gov.au/consultation/consultation-proposed-schedule-3-substances-be-added-appendix-h-poisons-standard"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ga.gov.au/consultation-invitation/consultation-further-proposed-amendments-poisons-standard-joint-accs-and-acms-meeting-and-accs-meeting-march-2017" TargetMode="External"/><Relationship Id="rId5" Type="http://schemas.openxmlformats.org/officeDocument/2006/relationships/settings" Target="settings.xml"/><Relationship Id="rId15" Type="http://schemas.openxmlformats.org/officeDocument/2006/relationships/hyperlink" Target="https://www.tga.gov.au/book-page/44-resorcinol" TargetMode="External"/><Relationship Id="rId23" Type="http://schemas.openxmlformats.org/officeDocument/2006/relationships/theme" Target="theme/theme1.xml"/><Relationship Id="rId10" Type="http://schemas.openxmlformats.org/officeDocument/2006/relationships/hyperlink" Target="http://www.tga.gov.au" TargetMode="External"/><Relationship Id="rId19" Type="http://schemas.openxmlformats.org/officeDocument/2006/relationships/hyperlink" Target="http://www.health.gov.au/internet/main/publishing.nsf/content/expert-review-of-medicines-and-medical-devices-regulation" TargetMode="External"/><Relationship Id="rId4" Type="http://schemas.microsoft.com/office/2007/relationships/stylesWithEffects" Target="stylesWithEffects.xml"/><Relationship Id="rId9" Type="http://schemas.openxmlformats.org/officeDocument/2006/relationships/hyperlink" Target="https://www.tga.gov.au/publication/ahmac-scheduling-policy-framework-medicines-and-chemicals" TargetMode="External"/><Relationship Id="rId14" Type="http://schemas.openxmlformats.org/officeDocument/2006/relationships/hyperlink" Target="https://www.tga.gov.au/scheduling-decision-interim/publication-interim-decisions-proposing-amend-or-not-amend-current-poisons-standard-september-201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C769101-7B37-4851-B72C-AA083872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3</cp:revision>
  <cp:lastPrinted>2019-01-07T04:17:00Z</cp:lastPrinted>
  <dcterms:created xsi:type="dcterms:W3CDTF">2019-01-07T04:56:00Z</dcterms:created>
  <dcterms:modified xsi:type="dcterms:W3CDTF">2019-01-07T23:03:00Z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