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F9AAC" w14:textId="77777777" w:rsidR="002F5620" w:rsidRDefault="002F5620" w:rsidP="00FA7ED1">
      <w:pPr>
        <w:rPr>
          <w:i/>
        </w:rPr>
      </w:pPr>
    </w:p>
    <w:p w14:paraId="63B19A88" w14:textId="7D82AACE" w:rsidR="00FA7ED1" w:rsidRDefault="00FA7ED1" w:rsidP="00FA7ED1">
      <w:pPr>
        <w:rPr>
          <w:i/>
        </w:rPr>
      </w:pPr>
      <w:r w:rsidRPr="00F66C2B">
        <w:rPr>
          <w:noProof/>
          <w:lang w:eastAsia="en-GB" w:bidi="ar-SA"/>
        </w:rPr>
        <w:drawing>
          <wp:inline distT="0" distB="0" distL="0" distR="0" wp14:anchorId="63B19ACA" wp14:editId="63B19ACB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19A89" w14:textId="77777777" w:rsidR="00FA7ED1" w:rsidRPr="0093078A" w:rsidRDefault="00FA7ED1" w:rsidP="00FA7ED1"/>
    <w:p w14:paraId="63B19A8A" w14:textId="4FDC481C" w:rsidR="00FA7ED1" w:rsidRDefault="00FA7ED1" w:rsidP="00FA7ED1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Application A</w:t>
      </w:r>
      <w:r>
        <w:rPr>
          <w:b/>
          <w:sz w:val="20"/>
        </w:rPr>
        <w:t>1129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Monk Fruit Extract as a Food Additive)</w:t>
      </w:r>
      <w:r w:rsidRPr="00C0014E">
        <w:rPr>
          <w:b/>
          <w:sz w:val="20"/>
        </w:rPr>
        <w:t xml:space="preserve"> Variation</w:t>
      </w:r>
    </w:p>
    <w:p w14:paraId="50C74638" w14:textId="77777777" w:rsidR="00C042CD" w:rsidRPr="00C0014E" w:rsidRDefault="00C042CD" w:rsidP="00FA7ED1">
      <w:pPr>
        <w:pBdr>
          <w:bottom w:val="single" w:sz="4" w:space="1" w:color="auto"/>
        </w:pBdr>
        <w:rPr>
          <w:b/>
          <w:sz w:val="20"/>
        </w:rPr>
      </w:pPr>
    </w:p>
    <w:p w14:paraId="63B19A8B" w14:textId="77777777" w:rsidR="00FA7ED1" w:rsidRPr="008F2616" w:rsidRDefault="00FA7ED1" w:rsidP="00FA7ED1">
      <w:pPr>
        <w:rPr>
          <w:sz w:val="20"/>
        </w:rPr>
      </w:pPr>
    </w:p>
    <w:p w14:paraId="63B19A8C" w14:textId="77777777" w:rsidR="00FA7ED1" w:rsidRPr="008F2616" w:rsidRDefault="00FA7ED1" w:rsidP="00FA7ED1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63B19A8D" w14:textId="77777777" w:rsidR="00FA7ED1" w:rsidRPr="008F2616" w:rsidRDefault="00FA7ED1" w:rsidP="00FA7ED1">
      <w:pPr>
        <w:rPr>
          <w:sz w:val="20"/>
        </w:rPr>
      </w:pPr>
    </w:p>
    <w:p w14:paraId="63B19A8E" w14:textId="623CC735" w:rsidR="00FA7ED1" w:rsidRPr="008F2616" w:rsidRDefault="00FA7ED1" w:rsidP="00FA7ED1">
      <w:pPr>
        <w:rPr>
          <w:sz w:val="20"/>
        </w:rPr>
      </w:pPr>
      <w:r w:rsidRPr="008F2616">
        <w:rPr>
          <w:sz w:val="20"/>
        </w:rPr>
        <w:t xml:space="preserve">Dated </w:t>
      </w:r>
      <w:r w:rsidR="00456BCE">
        <w:rPr>
          <w:sz w:val="20"/>
        </w:rPr>
        <w:t>10</w:t>
      </w:r>
      <w:r w:rsidR="00BC2525">
        <w:rPr>
          <w:sz w:val="20"/>
        </w:rPr>
        <w:t xml:space="preserve"> January 2019</w:t>
      </w:r>
    </w:p>
    <w:p w14:paraId="63B19A93" w14:textId="5F9DF2BE" w:rsidR="00FA7ED1" w:rsidRPr="008F2616" w:rsidRDefault="00456BCE" w:rsidP="00FA7ED1">
      <w:pPr>
        <w:rPr>
          <w:sz w:val="20"/>
        </w:rPr>
      </w:pPr>
      <w:r>
        <w:rPr>
          <w:noProof/>
          <w:sz w:val="20"/>
          <w:lang w:eastAsia="en-GB" w:bidi="ar-SA"/>
        </w:rPr>
        <w:drawing>
          <wp:inline distT="0" distB="0" distL="0" distR="0" wp14:anchorId="1DA8CAF5" wp14:editId="6F7EDCBD">
            <wp:extent cx="966963" cy="1376362"/>
            <wp:effectExtent l="476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5560" cy="138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9A94" w14:textId="0B2801EE" w:rsidR="00FA7ED1" w:rsidRPr="008F2616" w:rsidRDefault="00BC2525" w:rsidP="00FA7ED1">
      <w:pPr>
        <w:rPr>
          <w:sz w:val="20"/>
        </w:rPr>
      </w:pPr>
      <w:r>
        <w:rPr>
          <w:sz w:val="20"/>
        </w:rPr>
        <w:t>Standards Management Officer</w:t>
      </w:r>
    </w:p>
    <w:p w14:paraId="63B19A95" w14:textId="77777777" w:rsidR="00FA7ED1" w:rsidRPr="008F2616" w:rsidRDefault="00FA7ED1" w:rsidP="00FA7ED1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63B19A96" w14:textId="77777777" w:rsidR="00FA7ED1" w:rsidRDefault="00FA7ED1" w:rsidP="00FA7ED1">
      <w:pPr>
        <w:rPr>
          <w:sz w:val="20"/>
        </w:rPr>
      </w:pPr>
    </w:p>
    <w:p w14:paraId="63B19A97" w14:textId="77777777" w:rsidR="00FA7ED1" w:rsidRDefault="00FA7ED1" w:rsidP="00FA7ED1">
      <w:pPr>
        <w:rPr>
          <w:sz w:val="20"/>
        </w:rPr>
      </w:pPr>
    </w:p>
    <w:p w14:paraId="63B19A98" w14:textId="77777777" w:rsidR="00FA7ED1" w:rsidRDefault="00FA7ED1" w:rsidP="00FA7ED1">
      <w:pPr>
        <w:rPr>
          <w:sz w:val="20"/>
        </w:rPr>
      </w:pPr>
    </w:p>
    <w:p w14:paraId="63B19A99" w14:textId="77777777" w:rsidR="00FA7ED1" w:rsidRDefault="00FA7ED1" w:rsidP="00FA7ED1">
      <w:pPr>
        <w:rPr>
          <w:sz w:val="20"/>
        </w:rPr>
      </w:pPr>
    </w:p>
    <w:p w14:paraId="63B19A9A" w14:textId="77777777" w:rsidR="00FA7ED1" w:rsidRDefault="00FA7ED1" w:rsidP="00FA7ED1">
      <w:pPr>
        <w:rPr>
          <w:sz w:val="20"/>
        </w:rPr>
      </w:pPr>
    </w:p>
    <w:p w14:paraId="63B19A9B" w14:textId="77777777" w:rsidR="00FA7ED1" w:rsidRPr="00360C8F" w:rsidRDefault="00FA7ED1" w:rsidP="00FA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63B19A9C" w14:textId="77777777" w:rsidR="00FA7ED1" w:rsidRPr="00360C8F" w:rsidRDefault="00FA7ED1" w:rsidP="00FA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63B19A9D" w14:textId="6C937F59" w:rsidR="00FA7ED1" w:rsidRPr="00BC2525" w:rsidRDefault="00FA7ED1" w:rsidP="00FA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</w:t>
      </w:r>
      <w:r w:rsidRPr="00BC2525">
        <w:rPr>
          <w:sz w:val="20"/>
          <w:lang w:val="en-AU"/>
        </w:rPr>
        <w:t xml:space="preserve">Gazette No. FSC </w:t>
      </w:r>
      <w:r w:rsidR="00BC2525" w:rsidRPr="00BC2525">
        <w:rPr>
          <w:sz w:val="20"/>
          <w:lang w:val="en-AU"/>
        </w:rPr>
        <w:t>124</w:t>
      </w:r>
      <w:r w:rsidRPr="00BC2525">
        <w:rPr>
          <w:sz w:val="20"/>
          <w:lang w:val="en-AU"/>
        </w:rPr>
        <w:t xml:space="preserve"> on </w:t>
      </w:r>
      <w:r w:rsidR="00BC2525" w:rsidRPr="00BC2525">
        <w:rPr>
          <w:sz w:val="20"/>
          <w:lang w:val="en-AU"/>
        </w:rPr>
        <w:t>23 January 2019</w:t>
      </w:r>
      <w:r w:rsidRPr="00BC2525">
        <w:rPr>
          <w:sz w:val="20"/>
          <w:lang w:val="en-AU"/>
        </w:rPr>
        <w:t xml:space="preserve"> This means that this date is the gazettal date for the purposes of clause 3 of the variation. </w:t>
      </w:r>
    </w:p>
    <w:p w14:paraId="63B19A9E" w14:textId="77777777" w:rsidR="00FA7ED1" w:rsidRPr="00BC2525" w:rsidRDefault="00FA7ED1" w:rsidP="00FA7ED1">
      <w:pPr>
        <w:rPr>
          <w:sz w:val="20"/>
        </w:rPr>
      </w:pPr>
    </w:p>
    <w:p w14:paraId="63B19A9F" w14:textId="77777777" w:rsidR="00FA7ED1" w:rsidRDefault="00FA7ED1" w:rsidP="00FA7ED1">
      <w:pPr>
        <w:widowControl/>
        <w:rPr>
          <w:sz w:val="20"/>
        </w:rPr>
      </w:pPr>
      <w:r>
        <w:rPr>
          <w:sz w:val="20"/>
        </w:rPr>
        <w:br w:type="page"/>
      </w:r>
    </w:p>
    <w:p w14:paraId="63B19AA0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b/>
          <w:sz w:val="20"/>
          <w:szCs w:val="22"/>
          <w:lang w:eastAsia="en-GB" w:bidi="ar-SA"/>
        </w:rPr>
      </w:pPr>
      <w:r w:rsidRPr="00946A72">
        <w:rPr>
          <w:rFonts w:eastAsiaTheme="minorHAnsi" w:cstheme="minorBidi"/>
          <w:b/>
          <w:sz w:val="20"/>
          <w:szCs w:val="22"/>
          <w:lang w:eastAsia="en-GB" w:bidi="ar-SA"/>
        </w:rPr>
        <w:lastRenderedPageBreak/>
        <w:t>1</w:t>
      </w:r>
      <w:r w:rsidRPr="00946A72">
        <w:rPr>
          <w:rFonts w:eastAsiaTheme="minorHAnsi" w:cstheme="minorBidi"/>
          <w:b/>
          <w:sz w:val="20"/>
          <w:szCs w:val="22"/>
          <w:lang w:eastAsia="en-GB" w:bidi="ar-SA"/>
        </w:rPr>
        <w:tab/>
        <w:t>Name</w:t>
      </w:r>
    </w:p>
    <w:p w14:paraId="63B19AA1" w14:textId="77777777" w:rsidR="00FA7ED1" w:rsidRPr="00946A72" w:rsidRDefault="00FA7ED1" w:rsidP="00FA7ED1">
      <w:pPr>
        <w:widowControl/>
        <w:spacing w:before="120" w:after="120"/>
        <w:rPr>
          <w:rFonts w:eastAsiaTheme="minorHAnsi" w:cstheme="minorBidi"/>
          <w:sz w:val="20"/>
          <w:szCs w:val="22"/>
          <w:lang w:eastAsia="en-GB" w:bidi="ar-SA"/>
        </w:rPr>
      </w:pPr>
      <w:r w:rsidRPr="00946A72">
        <w:rPr>
          <w:rFonts w:eastAsiaTheme="minorHAnsi" w:cstheme="minorBidi"/>
          <w:sz w:val="20"/>
          <w:szCs w:val="22"/>
          <w:lang w:eastAsia="en-GB" w:bidi="ar-SA"/>
        </w:rPr>
        <w:t xml:space="preserve">This instrument is the </w:t>
      </w:r>
      <w:r w:rsidRPr="00946A72">
        <w:rPr>
          <w:rFonts w:eastAsiaTheme="minorHAnsi" w:cstheme="minorBidi"/>
          <w:i/>
          <w:sz w:val="20"/>
          <w:szCs w:val="22"/>
          <w:lang w:eastAsia="en-GB" w:bidi="ar-SA"/>
        </w:rPr>
        <w:t>Food Standards (Application A1129 – Monk Fruit Extract as a Food Additive) Variation</w:t>
      </w:r>
      <w:r w:rsidRPr="00946A72">
        <w:rPr>
          <w:rFonts w:eastAsiaTheme="minorHAnsi" w:cstheme="minorBidi"/>
          <w:sz w:val="20"/>
          <w:szCs w:val="22"/>
          <w:lang w:eastAsia="en-GB" w:bidi="ar-SA"/>
        </w:rPr>
        <w:t>.</w:t>
      </w:r>
    </w:p>
    <w:p w14:paraId="63B19AA2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b/>
          <w:sz w:val="20"/>
          <w:szCs w:val="22"/>
          <w:lang w:eastAsia="en-GB" w:bidi="ar-SA"/>
        </w:rPr>
      </w:pPr>
      <w:r w:rsidRPr="00946A72">
        <w:rPr>
          <w:rFonts w:eastAsiaTheme="minorHAnsi" w:cstheme="minorBidi"/>
          <w:b/>
          <w:sz w:val="20"/>
          <w:szCs w:val="22"/>
          <w:lang w:eastAsia="en-GB" w:bidi="ar-SA"/>
        </w:rPr>
        <w:t>2</w:t>
      </w:r>
      <w:r w:rsidRPr="00946A72">
        <w:rPr>
          <w:rFonts w:eastAsiaTheme="minorHAnsi" w:cstheme="minorBidi"/>
          <w:b/>
          <w:sz w:val="20"/>
          <w:szCs w:val="22"/>
          <w:lang w:eastAsia="en-GB" w:bidi="ar-SA"/>
        </w:rPr>
        <w:tab/>
        <w:t xml:space="preserve">Variation to standards in the </w:t>
      </w:r>
      <w:r w:rsidRPr="00946A72">
        <w:rPr>
          <w:rFonts w:eastAsiaTheme="minorHAnsi" w:cstheme="minorBidi"/>
          <w:b/>
          <w:i/>
          <w:sz w:val="20"/>
          <w:szCs w:val="22"/>
          <w:lang w:eastAsia="en-GB" w:bidi="ar-SA"/>
        </w:rPr>
        <w:t>Australia New Zealand Food Standards Code</w:t>
      </w:r>
    </w:p>
    <w:p w14:paraId="63B19AA3" w14:textId="77777777" w:rsidR="00FA7ED1" w:rsidRPr="00946A72" w:rsidRDefault="00FA7ED1" w:rsidP="00FA7ED1">
      <w:pPr>
        <w:widowControl/>
        <w:spacing w:before="120" w:after="120"/>
        <w:rPr>
          <w:rFonts w:eastAsiaTheme="minorHAnsi" w:cstheme="minorBidi"/>
          <w:sz w:val="20"/>
          <w:szCs w:val="22"/>
          <w:lang w:eastAsia="en-GB" w:bidi="ar-SA"/>
        </w:rPr>
      </w:pPr>
      <w:r w:rsidRPr="00946A72">
        <w:rPr>
          <w:rFonts w:eastAsiaTheme="minorHAnsi" w:cstheme="minorBidi"/>
          <w:sz w:val="20"/>
          <w:szCs w:val="22"/>
          <w:lang w:eastAsia="en-GB" w:bidi="ar-SA"/>
        </w:rPr>
        <w:t>The Schedule varies Standards</w:t>
      </w:r>
      <w:r w:rsidRPr="00946A72">
        <w:rPr>
          <w:rFonts w:eastAsiaTheme="minorHAnsi" w:cstheme="minorBidi"/>
          <w:color w:val="FF0000"/>
          <w:sz w:val="20"/>
          <w:szCs w:val="22"/>
          <w:lang w:eastAsia="en-GB" w:bidi="ar-SA"/>
        </w:rPr>
        <w:t xml:space="preserve"> </w:t>
      </w:r>
      <w:r w:rsidRPr="00946A72">
        <w:rPr>
          <w:rFonts w:eastAsiaTheme="minorHAnsi" w:cstheme="minorBidi"/>
          <w:sz w:val="20"/>
          <w:szCs w:val="22"/>
          <w:lang w:eastAsia="en-GB" w:bidi="ar-SA"/>
        </w:rPr>
        <w:t xml:space="preserve">in the </w:t>
      </w:r>
      <w:r w:rsidRPr="00946A72">
        <w:rPr>
          <w:rFonts w:eastAsiaTheme="minorHAnsi" w:cstheme="minorBidi"/>
          <w:i/>
          <w:sz w:val="20"/>
          <w:szCs w:val="22"/>
          <w:lang w:eastAsia="en-GB" w:bidi="ar-SA"/>
        </w:rPr>
        <w:t>Australia New Zealand Food Standards Code</w:t>
      </w:r>
      <w:r w:rsidRPr="00946A72">
        <w:rPr>
          <w:rFonts w:eastAsiaTheme="minorHAnsi" w:cstheme="minorBidi"/>
          <w:sz w:val="20"/>
          <w:szCs w:val="22"/>
          <w:lang w:eastAsia="en-GB" w:bidi="ar-SA"/>
        </w:rPr>
        <w:t>.</w:t>
      </w:r>
    </w:p>
    <w:p w14:paraId="63B19AA4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b/>
          <w:sz w:val="20"/>
          <w:szCs w:val="22"/>
          <w:lang w:eastAsia="en-GB" w:bidi="ar-SA"/>
        </w:rPr>
      </w:pPr>
      <w:r w:rsidRPr="00946A72">
        <w:rPr>
          <w:rFonts w:eastAsiaTheme="minorHAnsi" w:cstheme="minorBidi"/>
          <w:b/>
          <w:sz w:val="20"/>
          <w:szCs w:val="22"/>
          <w:lang w:eastAsia="en-GB" w:bidi="ar-SA"/>
        </w:rPr>
        <w:t>3</w:t>
      </w:r>
      <w:r w:rsidRPr="00946A72">
        <w:rPr>
          <w:rFonts w:eastAsiaTheme="minorHAnsi" w:cstheme="minorBidi"/>
          <w:b/>
          <w:sz w:val="20"/>
          <w:szCs w:val="22"/>
          <w:lang w:eastAsia="en-GB" w:bidi="ar-SA"/>
        </w:rPr>
        <w:tab/>
        <w:t>Commencement</w:t>
      </w:r>
    </w:p>
    <w:p w14:paraId="63B19AA5" w14:textId="77777777" w:rsidR="00FA7ED1" w:rsidRPr="00946A72" w:rsidRDefault="00FA7ED1" w:rsidP="00FA7ED1">
      <w:pPr>
        <w:widowControl/>
        <w:spacing w:before="120" w:after="120"/>
        <w:rPr>
          <w:rFonts w:eastAsiaTheme="minorHAnsi" w:cstheme="minorBidi"/>
          <w:sz w:val="20"/>
          <w:szCs w:val="22"/>
          <w:lang w:eastAsia="en-GB" w:bidi="ar-SA"/>
        </w:rPr>
      </w:pPr>
      <w:r w:rsidRPr="00946A72">
        <w:rPr>
          <w:rFonts w:eastAsiaTheme="minorHAnsi" w:cstheme="minorBidi"/>
          <w:sz w:val="20"/>
          <w:szCs w:val="22"/>
          <w:lang w:eastAsia="en-GB" w:bidi="ar-SA"/>
        </w:rPr>
        <w:t>The variation commences on the date of gazettal.</w:t>
      </w:r>
    </w:p>
    <w:p w14:paraId="63B19AA6" w14:textId="77777777" w:rsidR="00FA7ED1" w:rsidRPr="00946A72" w:rsidRDefault="00FA7ED1" w:rsidP="00FA7ED1">
      <w:pPr>
        <w:widowControl/>
        <w:jc w:val="center"/>
        <w:rPr>
          <w:rFonts w:eastAsiaTheme="minorHAnsi" w:cstheme="minorBidi"/>
          <w:b/>
          <w:sz w:val="20"/>
          <w:szCs w:val="22"/>
          <w:lang w:eastAsia="en-GB" w:bidi="ar-SA"/>
        </w:rPr>
      </w:pPr>
      <w:r w:rsidRPr="00946A72">
        <w:rPr>
          <w:rFonts w:eastAsiaTheme="minorHAnsi" w:cstheme="minorBidi"/>
          <w:b/>
          <w:sz w:val="20"/>
          <w:szCs w:val="22"/>
          <w:lang w:eastAsia="en-GB" w:bidi="ar-SA"/>
        </w:rPr>
        <w:t>Schedule</w:t>
      </w:r>
    </w:p>
    <w:p w14:paraId="63B19AA7" w14:textId="77777777" w:rsidR="00FA7ED1" w:rsidRPr="00946A72" w:rsidRDefault="00FA7ED1" w:rsidP="00FA7ED1">
      <w:pPr>
        <w:widowControl/>
        <w:spacing w:before="120" w:after="120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b/>
          <w:sz w:val="20"/>
          <w:szCs w:val="22"/>
          <w:lang w:eastAsia="en-GB"/>
        </w:rPr>
        <w:t>[1]</w:t>
      </w:r>
      <w:r w:rsidRPr="00946A72">
        <w:rPr>
          <w:rFonts w:eastAsiaTheme="minorHAnsi" w:cstheme="minorBidi"/>
          <w:b/>
          <w:sz w:val="20"/>
          <w:szCs w:val="22"/>
          <w:lang w:eastAsia="en-GB"/>
        </w:rPr>
        <w:tab/>
        <w:t>Schedule 8</w:t>
      </w:r>
      <w:r w:rsidRPr="00946A72">
        <w:rPr>
          <w:rFonts w:eastAsiaTheme="minorHAnsi" w:cstheme="minorBidi"/>
          <w:sz w:val="20"/>
          <w:szCs w:val="22"/>
          <w:lang w:eastAsia="en-GB"/>
        </w:rPr>
        <w:t xml:space="preserve"> is varied by </w:t>
      </w:r>
    </w:p>
    <w:p w14:paraId="63B19AA8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sz w:val="20"/>
          <w:szCs w:val="22"/>
          <w:lang w:eastAsia="en-GB"/>
        </w:rPr>
        <w:t>[1.1]</w:t>
      </w:r>
      <w:r w:rsidRPr="00946A72">
        <w:rPr>
          <w:rFonts w:eastAsiaTheme="minorHAnsi" w:cstheme="minorBidi"/>
          <w:sz w:val="20"/>
          <w:szCs w:val="22"/>
          <w:lang w:eastAsia="en-GB"/>
        </w:rPr>
        <w:tab/>
        <w:t>inserting in the table in section S8–2 entitled ‘</w:t>
      </w:r>
      <w:r w:rsidRPr="00946A72">
        <w:rPr>
          <w:rFonts w:eastAsiaTheme="minorHAnsi" w:cstheme="minorBidi"/>
          <w:sz w:val="20"/>
          <w:szCs w:val="20"/>
          <w:lang w:eastAsia="en-GB"/>
        </w:rPr>
        <w:t>Food additive names—alphabetical listing’,</w:t>
      </w:r>
      <w:r w:rsidRPr="00946A72">
        <w:rPr>
          <w:rFonts w:eastAsiaTheme="minorHAnsi" w:cstheme="minorBidi"/>
          <w:sz w:val="20"/>
          <w:szCs w:val="22"/>
          <w:lang w:eastAsia="en-GB"/>
        </w:rPr>
        <w:t xml:space="preserve"> in alphabetical order</w:t>
      </w:r>
    </w:p>
    <w:tbl>
      <w:tblPr>
        <w:tblStyle w:val="TableGrid21"/>
        <w:tblW w:w="3463" w:type="dxa"/>
        <w:tblInd w:w="959" w:type="dxa"/>
        <w:tblLook w:val="04A0" w:firstRow="1" w:lastRow="0" w:firstColumn="1" w:lastColumn="0" w:noHBand="0" w:noVBand="1"/>
      </w:tblPr>
      <w:tblGrid>
        <w:gridCol w:w="2443"/>
        <w:gridCol w:w="1020"/>
      </w:tblGrid>
      <w:tr w:rsidR="00FA7ED1" w:rsidRPr="00946A72" w14:paraId="63B19AAB" w14:textId="77777777" w:rsidTr="00A512A7">
        <w:trPr>
          <w:cantSplit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19AA9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0"/>
                <w:lang w:eastAsia="en-AU" w:bidi="ar-SA"/>
              </w:rPr>
            </w:pPr>
            <w:r w:rsidRPr="00946A72">
              <w:rPr>
                <w:sz w:val="18"/>
                <w:szCs w:val="22"/>
                <w:lang w:eastAsia="en-AU"/>
              </w:rPr>
              <w:t>monk fruit extract or luo han guo extract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19AAA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0"/>
                <w:lang w:eastAsia="en-AU" w:bidi="ar-SA"/>
              </w:rPr>
            </w:pPr>
          </w:p>
        </w:tc>
      </w:tr>
    </w:tbl>
    <w:p w14:paraId="63B19AAC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sz w:val="20"/>
          <w:szCs w:val="22"/>
          <w:lang w:eastAsia="en-GB"/>
        </w:rPr>
        <w:t>[1.2]</w:t>
      </w:r>
      <w:r w:rsidRPr="00946A72">
        <w:rPr>
          <w:rFonts w:eastAsiaTheme="minorHAnsi" w:cstheme="minorBidi"/>
          <w:sz w:val="20"/>
          <w:szCs w:val="22"/>
          <w:lang w:eastAsia="en-GB"/>
        </w:rPr>
        <w:tab/>
        <w:t>inserting in the table in section S8–2 entitled ‘</w:t>
      </w:r>
      <w:r w:rsidRPr="00946A72">
        <w:rPr>
          <w:rFonts w:eastAsiaTheme="minorHAnsi" w:cstheme="minorBidi"/>
          <w:sz w:val="20"/>
          <w:szCs w:val="20"/>
          <w:lang w:eastAsia="en-GB"/>
        </w:rPr>
        <w:t xml:space="preserve">Food additive names—numerical listing’, above the entry for </w:t>
      </w:r>
      <w:bookmarkStart w:id="0" w:name="_GoBack"/>
      <w:bookmarkEnd w:id="0"/>
      <w:r w:rsidRPr="00946A72">
        <w:rPr>
          <w:rFonts w:eastAsiaTheme="minorHAnsi" w:cstheme="minorBidi"/>
          <w:sz w:val="20"/>
          <w:szCs w:val="20"/>
          <w:lang w:eastAsia="en-GB"/>
        </w:rPr>
        <w:t>‘Sodium hydrosulphite’</w:t>
      </w:r>
    </w:p>
    <w:tbl>
      <w:tblPr>
        <w:tblStyle w:val="TableGrid41"/>
        <w:tblW w:w="363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3321"/>
      </w:tblGrid>
      <w:tr w:rsidR="00FA7ED1" w:rsidRPr="00946A72" w14:paraId="63B19AAF" w14:textId="77777777" w:rsidTr="00A512A7">
        <w:trPr>
          <w:cantSplit/>
        </w:trPr>
        <w:tc>
          <w:tcPr>
            <w:tcW w:w="317" w:type="dxa"/>
            <w:hideMark/>
          </w:tcPr>
          <w:p w14:paraId="63B19AAD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bidi="ar-SA"/>
              </w:rPr>
            </w:pPr>
          </w:p>
        </w:tc>
        <w:tc>
          <w:tcPr>
            <w:tcW w:w="3321" w:type="dxa"/>
            <w:hideMark/>
          </w:tcPr>
          <w:p w14:paraId="63B19AAE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bidi="ar-SA"/>
              </w:rPr>
            </w:pPr>
            <w:r w:rsidRPr="00946A72">
              <w:rPr>
                <w:sz w:val="18"/>
                <w:szCs w:val="22"/>
                <w:lang w:eastAsia="en-AU"/>
              </w:rPr>
              <w:t>monk fruit extract or luo han guo extract</w:t>
            </w:r>
          </w:p>
        </w:tc>
      </w:tr>
    </w:tbl>
    <w:p w14:paraId="63B19AB0" w14:textId="77777777" w:rsidR="00FA7ED1" w:rsidRPr="00946A72" w:rsidRDefault="00FA7ED1" w:rsidP="00FA7ED1">
      <w:pPr>
        <w:widowControl/>
        <w:spacing w:before="120" w:after="120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b/>
          <w:sz w:val="20"/>
          <w:szCs w:val="22"/>
          <w:lang w:eastAsia="en-GB"/>
        </w:rPr>
        <w:t>[2]</w:t>
      </w:r>
      <w:r w:rsidRPr="00946A72">
        <w:rPr>
          <w:rFonts w:eastAsiaTheme="minorHAnsi" w:cstheme="minorBidi"/>
          <w:b/>
          <w:sz w:val="20"/>
          <w:szCs w:val="22"/>
          <w:lang w:eastAsia="en-GB"/>
        </w:rPr>
        <w:tab/>
        <w:t>Schedule 15</w:t>
      </w:r>
      <w:r w:rsidRPr="00946A72">
        <w:rPr>
          <w:rFonts w:eastAsiaTheme="minorHAnsi" w:cstheme="minorBidi"/>
          <w:sz w:val="20"/>
          <w:szCs w:val="22"/>
          <w:lang w:eastAsia="en-GB"/>
        </w:rPr>
        <w:t xml:space="preserve"> is varied by </w:t>
      </w:r>
    </w:p>
    <w:p w14:paraId="63B19AB1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sz w:val="20"/>
          <w:szCs w:val="22"/>
          <w:lang w:eastAsia="en-GB"/>
        </w:rPr>
        <w:t>[2.1]</w:t>
      </w:r>
      <w:r w:rsidRPr="00946A72">
        <w:rPr>
          <w:rFonts w:eastAsiaTheme="minorHAnsi" w:cstheme="minorBidi"/>
          <w:sz w:val="20"/>
          <w:szCs w:val="22"/>
          <w:lang w:eastAsia="en-GB"/>
        </w:rPr>
        <w:tab/>
      </w:r>
      <w:r w:rsidRPr="00946A72">
        <w:rPr>
          <w:rFonts w:eastAsiaTheme="minorHAnsi" w:cstheme="minorBidi"/>
          <w:sz w:val="20"/>
          <w:szCs w:val="20"/>
          <w:lang w:eastAsia="en-GB" w:bidi="ar-SA"/>
        </w:rPr>
        <w:t xml:space="preserve">inserting in item 5 of </w:t>
      </w:r>
      <w:r w:rsidRPr="00946A72">
        <w:rPr>
          <w:rFonts w:eastAsiaTheme="minorHAnsi" w:cstheme="minorBidi"/>
          <w:sz w:val="20"/>
          <w:szCs w:val="22"/>
          <w:lang w:eastAsia="en-GB"/>
        </w:rPr>
        <w:t xml:space="preserve">the table to section S15–5, </w:t>
      </w:r>
      <w:r w:rsidRPr="00946A72">
        <w:rPr>
          <w:rFonts w:eastAsiaTheme="minorHAnsi" w:cstheme="minorBidi"/>
          <w:sz w:val="20"/>
          <w:szCs w:val="20"/>
          <w:lang w:eastAsia="en-GB" w:bidi="ar-SA"/>
        </w:rPr>
        <w:t>after the heading</w:t>
      </w:r>
      <w:r w:rsidRPr="00946A72">
        <w:rPr>
          <w:rFonts w:eastAsiaTheme="minorHAnsi" w:cstheme="minorBidi"/>
          <w:sz w:val="20"/>
          <w:szCs w:val="22"/>
          <w:lang w:eastAsia="en-GB"/>
        </w:rPr>
        <w:t xml:space="preserve"> ‘Confectionery’ </w:t>
      </w:r>
    </w:p>
    <w:tbl>
      <w:tblPr>
        <w:tblStyle w:val="TableGrid121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FA7ED1" w:rsidRPr="00946A72" w14:paraId="63B19AB6" w14:textId="77777777" w:rsidTr="00A512A7">
        <w:trPr>
          <w:cantSplit/>
        </w:trPr>
        <w:tc>
          <w:tcPr>
            <w:tcW w:w="1668" w:type="dxa"/>
            <w:hideMark/>
          </w:tcPr>
          <w:p w14:paraId="63B19AB2" w14:textId="77777777" w:rsidR="00FA7ED1" w:rsidRPr="00946A72" w:rsidRDefault="00FA7ED1" w:rsidP="00A512A7">
            <w:pPr>
              <w:keepLines/>
              <w:widowControl/>
              <w:spacing w:before="20" w:after="20"/>
              <w:rPr>
                <w:sz w:val="18"/>
                <w:szCs w:val="22"/>
                <w:lang w:bidi="ar-SA"/>
              </w:rPr>
            </w:pPr>
          </w:p>
        </w:tc>
        <w:tc>
          <w:tcPr>
            <w:tcW w:w="4252" w:type="dxa"/>
            <w:hideMark/>
          </w:tcPr>
          <w:p w14:paraId="63B19AB3" w14:textId="77777777" w:rsidR="00FA7ED1" w:rsidRPr="00946A72" w:rsidRDefault="00FA7ED1" w:rsidP="00A512A7">
            <w:pPr>
              <w:keepLines/>
              <w:widowControl/>
              <w:spacing w:before="20" w:after="20"/>
              <w:rPr>
                <w:sz w:val="18"/>
                <w:szCs w:val="22"/>
                <w:lang w:bidi="ar-SA"/>
              </w:rPr>
            </w:pPr>
            <w:r w:rsidRPr="00946A72">
              <w:rPr>
                <w:sz w:val="18"/>
                <w:szCs w:val="22"/>
              </w:rPr>
              <w:t>monk fruit extract (luo han guo extract)</w:t>
            </w:r>
          </w:p>
        </w:tc>
        <w:tc>
          <w:tcPr>
            <w:tcW w:w="992" w:type="dxa"/>
            <w:hideMark/>
          </w:tcPr>
          <w:p w14:paraId="63B19AB4" w14:textId="77777777" w:rsidR="00FA7ED1" w:rsidRPr="00946A72" w:rsidRDefault="00FA7ED1" w:rsidP="00A512A7">
            <w:pPr>
              <w:keepLines/>
              <w:widowControl/>
              <w:spacing w:before="20" w:after="20"/>
              <w:jc w:val="right"/>
              <w:rPr>
                <w:sz w:val="18"/>
                <w:szCs w:val="22"/>
                <w:lang w:bidi="ar-SA"/>
              </w:rPr>
            </w:pPr>
            <w:r w:rsidRPr="00946A72">
              <w:rPr>
                <w:sz w:val="18"/>
                <w:szCs w:val="22"/>
                <w:lang w:bidi="ar-SA"/>
              </w:rPr>
              <w:t>GMP</w:t>
            </w:r>
          </w:p>
        </w:tc>
        <w:tc>
          <w:tcPr>
            <w:tcW w:w="2160" w:type="dxa"/>
          </w:tcPr>
          <w:p w14:paraId="63B19AB5" w14:textId="77777777" w:rsidR="00FA7ED1" w:rsidRPr="00946A72" w:rsidRDefault="00FA7ED1" w:rsidP="00A512A7">
            <w:pPr>
              <w:keepLines/>
              <w:widowControl/>
              <w:spacing w:before="20" w:after="20"/>
              <w:rPr>
                <w:sz w:val="18"/>
                <w:szCs w:val="22"/>
                <w:lang w:bidi="ar-SA"/>
              </w:rPr>
            </w:pPr>
          </w:p>
        </w:tc>
      </w:tr>
    </w:tbl>
    <w:p w14:paraId="63B19AB7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sz w:val="20"/>
          <w:szCs w:val="22"/>
          <w:lang w:eastAsia="en-GB"/>
        </w:rPr>
        <w:t>[2.2]</w:t>
      </w:r>
      <w:r w:rsidRPr="00946A72">
        <w:rPr>
          <w:rFonts w:eastAsiaTheme="minorHAnsi" w:cstheme="minorBidi"/>
          <w:sz w:val="20"/>
          <w:szCs w:val="22"/>
          <w:lang w:eastAsia="en-GB"/>
        </w:rPr>
        <w:tab/>
        <w:t xml:space="preserve">inserting in item 14.1.4 of the table to section S15–5, </w:t>
      </w:r>
      <w:r w:rsidRPr="00946A72">
        <w:rPr>
          <w:rFonts w:eastAsiaTheme="minorHAnsi" w:cstheme="minorBidi"/>
          <w:sz w:val="20"/>
          <w:szCs w:val="20"/>
          <w:lang w:eastAsia="en-GB" w:bidi="ar-SA"/>
        </w:rPr>
        <w:t xml:space="preserve">after the entry for </w:t>
      </w:r>
      <w:r w:rsidRPr="00946A72">
        <w:rPr>
          <w:rFonts w:eastAsiaTheme="minorHAnsi" w:cstheme="minorBidi"/>
          <w:sz w:val="20"/>
          <w:szCs w:val="22"/>
          <w:lang w:eastAsia="en-GB"/>
        </w:rPr>
        <w:t>‘Colourings permitted to a maximum level’</w:t>
      </w:r>
    </w:p>
    <w:tbl>
      <w:tblPr>
        <w:tblStyle w:val="TableGrid121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FA7ED1" w:rsidRPr="00946A72" w14:paraId="63B19ABC" w14:textId="77777777" w:rsidTr="00A512A7">
        <w:trPr>
          <w:cantSplit/>
        </w:trPr>
        <w:tc>
          <w:tcPr>
            <w:tcW w:w="1668" w:type="dxa"/>
            <w:hideMark/>
          </w:tcPr>
          <w:p w14:paraId="63B19AB8" w14:textId="77777777" w:rsidR="00FA7ED1" w:rsidRPr="00946A72" w:rsidRDefault="00FA7ED1" w:rsidP="00A512A7">
            <w:pPr>
              <w:keepLines/>
              <w:widowControl/>
              <w:spacing w:before="20" w:after="20"/>
              <w:rPr>
                <w:sz w:val="18"/>
                <w:szCs w:val="22"/>
                <w:lang w:bidi="ar-SA"/>
              </w:rPr>
            </w:pPr>
          </w:p>
        </w:tc>
        <w:tc>
          <w:tcPr>
            <w:tcW w:w="4252" w:type="dxa"/>
            <w:hideMark/>
          </w:tcPr>
          <w:p w14:paraId="63B19AB9" w14:textId="77777777" w:rsidR="00FA7ED1" w:rsidRPr="00946A72" w:rsidRDefault="00FA7ED1" w:rsidP="00A512A7">
            <w:pPr>
              <w:keepLines/>
              <w:widowControl/>
              <w:spacing w:before="20" w:after="20"/>
              <w:rPr>
                <w:sz w:val="18"/>
                <w:szCs w:val="22"/>
                <w:lang w:bidi="ar-SA"/>
              </w:rPr>
            </w:pPr>
            <w:r w:rsidRPr="00946A72">
              <w:rPr>
                <w:sz w:val="18"/>
                <w:szCs w:val="22"/>
              </w:rPr>
              <w:t>monk fruit extract (luo han guo extract)</w:t>
            </w:r>
          </w:p>
        </w:tc>
        <w:tc>
          <w:tcPr>
            <w:tcW w:w="992" w:type="dxa"/>
            <w:hideMark/>
          </w:tcPr>
          <w:p w14:paraId="63B19ABA" w14:textId="77777777" w:rsidR="00FA7ED1" w:rsidRPr="00946A72" w:rsidRDefault="00FA7ED1" w:rsidP="00A512A7">
            <w:pPr>
              <w:keepLines/>
              <w:widowControl/>
              <w:spacing w:before="20" w:after="20"/>
              <w:jc w:val="right"/>
              <w:rPr>
                <w:sz w:val="18"/>
                <w:szCs w:val="22"/>
                <w:lang w:bidi="ar-SA"/>
              </w:rPr>
            </w:pPr>
            <w:r w:rsidRPr="00946A72">
              <w:rPr>
                <w:sz w:val="18"/>
                <w:szCs w:val="22"/>
                <w:lang w:bidi="ar-SA"/>
              </w:rPr>
              <w:t>GMP</w:t>
            </w:r>
          </w:p>
        </w:tc>
        <w:tc>
          <w:tcPr>
            <w:tcW w:w="2160" w:type="dxa"/>
          </w:tcPr>
          <w:p w14:paraId="63B19ABB" w14:textId="77777777" w:rsidR="00FA7ED1" w:rsidRPr="00946A72" w:rsidRDefault="00FA7ED1" w:rsidP="00A512A7">
            <w:pPr>
              <w:keepLines/>
              <w:widowControl/>
              <w:spacing w:before="20" w:after="20"/>
              <w:rPr>
                <w:sz w:val="18"/>
                <w:szCs w:val="22"/>
                <w:lang w:bidi="ar-SA"/>
              </w:rPr>
            </w:pPr>
            <w:r w:rsidRPr="00946A72">
              <w:rPr>
                <w:sz w:val="18"/>
                <w:szCs w:val="22"/>
                <w:lang w:bidi="ar-SA"/>
              </w:rPr>
              <w:t>Section 1.3.1—5 does not apply</w:t>
            </w:r>
          </w:p>
        </w:tc>
      </w:tr>
    </w:tbl>
    <w:p w14:paraId="63B19ABD" w14:textId="77777777" w:rsidR="00FA7ED1" w:rsidRPr="00946A72" w:rsidRDefault="00FA7ED1" w:rsidP="00FA7ED1">
      <w:pPr>
        <w:widowControl/>
        <w:spacing w:before="120" w:after="120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b/>
          <w:sz w:val="20"/>
          <w:szCs w:val="22"/>
          <w:lang w:eastAsia="en-GB"/>
        </w:rPr>
        <w:t>[3]</w:t>
      </w:r>
      <w:r w:rsidRPr="00946A72">
        <w:rPr>
          <w:rFonts w:eastAsiaTheme="minorHAnsi" w:cstheme="minorBidi"/>
          <w:b/>
          <w:sz w:val="20"/>
          <w:szCs w:val="22"/>
          <w:lang w:eastAsia="en-GB"/>
        </w:rPr>
        <w:tab/>
        <w:t>Schedule 16</w:t>
      </w:r>
      <w:r w:rsidRPr="00946A72">
        <w:rPr>
          <w:rFonts w:eastAsiaTheme="minorHAnsi" w:cstheme="minorBidi"/>
          <w:sz w:val="20"/>
          <w:szCs w:val="22"/>
          <w:lang w:eastAsia="en-GB"/>
        </w:rPr>
        <w:t xml:space="preserve"> is varied by </w:t>
      </w:r>
    </w:p>
    <w:p w14:paraId="63B19ABE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sz w:val="20"/>
          <w:szCs w:val="22"/>
          <w:lang w:eastAsia="en-GB"/>
        </w:rPr>
        <w:t>[3.1]</w:t>
      </w:r>
      <w:r w:rsidRPr="00946A72">
        <w:rPr>
          <w:rFonts w:eastAsiaTheme="minorHAnsi" w:cstheme="minorBidi"/>
          <w:sz w:val="20"/>
          <w:szCs w:val="22"/>
          <w:lang w:eastAsia="en-GB"/>
        </w:rPr>
        <w:tab/>
        <w:t>inserting in the table in section S16–2 entitled ‘</w:t>
      </w:r>
      <w:r w:rsidRPr="00946A72">
        <w:rPr>
          <w:rFonts w:eastAsiaTheme="minorHAnsi" w:cstheme="minorBidi"/>
          <w:sz w:val="20"/>
          <w:szCs w:val="20"/>
          <w:lang w:eastAsia="en-GB"/>
        </w:rPr>
        <w:t>Additives permitted at GMP—alphabetical listing’,</w:t>
      </w:r>
      <w:r w:rsidRPr="00946A72">
        <w:rPr>
          <w:rFonts w:eastAsiaTheme="minorHAnsi" w:cstheme="minorBidi"/>
          <w:sz w:val="20"/>
          <w:szCs w:val="22"/>
          <w:lang w:eastAsia="en-GB"/>
        </w:rPr>
        <w:t xml:space="preserve"> in alphabetical order</w:t>
      </w:r>
    </w:p>
    <w:tbl>
      <w:tblPr>
        <w:tblStyle w:val="TableGrid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020"/>
      </w:tblGrid>
      <w:tr w:rsidR="00FA7ED1" w:rsidRPr="00946A72" w14:paraId="63B19AC1" w14:textId="77777777" w:rsidTr="00A512A7">
        <w:trPr>
          <w:cantSplit/>
        </w:trPr>
        <w:tc>
          <w:tcPr>
            <w:tcW w:w="3403" w:type="dxa"/>
          </w:tcPr>
          <w:p w14:paraId="63B19ABF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eastAsia="en-AU" w:bidi="ar-SA"/>
              </w:rPr>
            </w:pPr>
            <w:r w:rsidRPr="00946A72">
              <w:rPr>
                <w:sz w:val="18"/>
                <w:szCs w:val="22"/>
                <w:lang w:eastAsia="en-AU" w:bidi="ar-SA"/>
              </w:rPr>
              <w:t>Monk fruit extract (luo han guo extract)</w:t>
            </w:r>
          </w:p>
        </w:tc>
        <w:tc>
          <w:tcPr>
            <w:tcW w:w="1020" w:type="dxa"/>
          </w:tcPr>
          <w:p w14:paraId="63B19AC0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jc w:val="right"/>
              <w:rPr>
                <w:sz w:val="18"/>
                <w:szCs w:val="22"/>
                <w:lang w:bidi="ar-SA"/>
              </w:rPr>
            </w:pPr>
          </w:p>
        </w:tc>
      </w:tr>
    </w:tbl>
    <w:p w14:paraId="63B19AC2" w14:textId="77777777" w:rsidR="00FA7ED1" w:rsidRPr="00946A72" w:rsidRDefault="00FA7ED1" w:rsidP="00FA7ED1">
      <w:pPr>
        <w:widowControl/>
        <w:spacing w:before="120" w:after="120"/>
        <w:ind w:left="851" w:hanging="851"/>
        <w:rPr>
          <w:rFonts w:eastAsiaTheme="minorHAnsi" w:cstheme="minorBidi"/>
          <w:sz w:val="20"/>
          <w:szCs w:val="22"/>
          <w:lang w:eastAsia="en-GB"/>
        </w:rPr>
      </w:pPr>
      <w:r w:rsidRPr="00946A72">
        <w:rPr>
          <w:rFonts w:eastAsiaTheme="minorHAnsi" w:cstheme="minorBidi"/>
          <w:sz w:val="20"/>
          <w:szCs w:val="22"/>
          <w:lang w:eastAsia="en-GB"/>
        </w:rPr>
        <w:t>[3.2]</w:t>
      </w:r>
      <w:r w:rsidRPr="00946A72">
        <w:rPr>
          <w:rFonts w:eastAsiaTheme="minorHAnsi" w:cstheme="minorBidi"/>
          <w:sz w:val="20"/>
          <w:szCs w:val="22"/>
          <w:lang w:eastAsia="en-GB"/>
        </w:rPr>
        <w:tab/>
        <w:t>inserting in the table in section S16–2 entitled ‘</w:t>
      </w:r>
      <w:r w:rsidRPr="00946A72">
        <w:rPr>
          <w:rFonts w:eastAsiaTheme="minorHAnsi" w:cstheme="minorBidi"/>
          <w:sz w:val="20"/>
          <w:szCs w:val="20"/>
          <w:lang w:eastAsia="en-GB"/>
        </w:rPr>
        <w:t>Additives permitted at GMP—numerical listing’, above the entry for ‘Permitted Flavouring substances, excluding quinine and caffeine’</w:t>
      </w:r>
    </w:p>
    <w:tbl>
      <w:tblPr>
        <w:tblStyle w:val="TableGrid3"/>
        <w:tblW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3"/>
      </w:tblGrid>
      <w:tr w:rsidR="00FA7ED1" w:rsidRPr="00946A72" w14:paraId="63B19AC5" w14:textId="77777777" w:rsidTr="00A512A7">
        <w:trPr>
          <w:cantSplit/>
        </w:trPr>
        <w:tc>
          <w:tcPr>
            <w:tcW w:w="1020" w:type="dxa"/>
          </w:tcPr>
          <w:p w14:paraId="63B19AC3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eastAsia="en-AU" w:bidi="ar-SA"/>
              </w:rPr>
            </w:pPr>
          </w:p>
        </w:tc>
        <w:tc>
          <w:tcPr>
            <w:tcW w:w="3403" w:type="dxa"/>
          </w:tcPr>
          <w:p w14:paraId="63B19AC4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eastAsia="en-AU" w:bidi="ar-SA"/>
              </w:rPr>
            </w:pPr>
            <w:r w:rsidRPr="00946A72">
              <w:rPr>
                <w:sz w:val="18"/>
                <w:szCs w:val="22"/>
                <w:lang w:eastAsia="en-AU" w:bidi="ar-SA"/>
              </w:rPr>
              <w:t>Monk fruit extract (luo han guo extract)</w:t>
            </w:r>
          </w:p>
        </w:tc>
      </w:tr>
    </w:tbl>
    <w:tbl>
      <w:tblPr>
        <w:tblStyle w:val="TableGrid41"/>
        <w:tblW w:w="363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3321"/>
      </w:tblGrid>
      <w:tr w:rsidR="00FA7ED1" w:rsidRPr="00946A72" w14:paraId="63B19AC8" w14:textId="77777777" w:rsidTr="00A512A7">
        <w:trPr>
          <w:cantSplit/>
        </w:trPr>
        <w:tc>
          <w:tcPr>
            <w:tcW w:w="317" w:type="dxa"/>
          </w:tcPr>
          <w:p w14:paraId="63B19AC6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bidi="ar-SA"/>
              </w:rPr>
            </w:pPr>
          </w:p>
        </w:tc>
        <w:tc>
          <w:tcPr>
            <w:tcW w:w="3321" w:type="dxa"/>
          </w:tcPr>
          <w:p w14:paraId="63B19AC7" w14:textId="77777777" w:rsidR="00FA7ED1" w:rsidRPr="00946A72" w:rsidRDefault="00FA7ED1" w:rsidP="00A512A7">
            <w:pPr>
              <w:keepLines/>
              <w:widowControl/>
              <w:tabs>
                <w:tab w:val="right" w:pos="3969"/>
              </w:tabs>
              <w:spacing w:before="60" w:after="60"/>
              <w:rPr>
                <w:sz w:val="18"/>
                <w:szCs w:val="22"/>
                <w:lang w:bidi="ar-SA"/>
              </w:rPr>
            </w:pPr>
          </w:p>
        </w:tc>
      </w:tr>
    </w:tbl>
    <w:p w14:paraId="63B19AC9" w14:textId="77777777" w:rsidR="00D5526B" w:rsidRPr="003A01FB" w:rsidRDefault="00D5526B" w:rsidP="003A01FB"/>
    <w:sectPr w:rsidR="00D5526B" w:rsidRPr="003A01FB" w:rsidSect="008E2339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DED28" w14:textId="77777777" w:rsidR="00811C08" w:rsidRDefault="00811C08" w:rsidP="00FA7ED1">
      <w:r>
        <w:separator/>
      </w:r>
    </w:p>
  </w:endnote>
  <w:endnote w:type="continuationSeparator" w:id="0">
    <w:p w14:paraId="3DC79D32" w14:textId="77777777" w:rsidR="00811C08" w:rsidRDefault="00811C08" w:rsidP="00F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315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48874" w14:textId="08CE8546" w:rsidR="00456BCE" w:rsidRDefault="00456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36E3D5" w14:textId="77777777" w:rsidR="00456BCE" w:rsidRDefault="00456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1D807" w14:textId="77777777" w:rsidR="00811C08" w:rsidRDefault="00811C08" w:rsidP="00FA7ED1">
      <w:r>
        <w:separator/>
      </w:r>
    </w:p>
  </w:footnote>
  <w:footnote w:type="continuationSeparator" w:id="0">
    <w:p w14:paraId="14013427" w14:textId="77777777" w:rsidR="00811C08" w:rsidRDefault="00811C08" w:rsidP="00FA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F5620"/>
    <w:rsid w:val="0033021F"/>
    <w:rsid w:val="00341D25"/>
    <w:rsid w:val="003A01FB"/>
    <w:rsid w:val="00404702"/>
    <w:rsid w:val="00441D77"/>
    <w:rsid w:val="00443F05"/>
    <w:rsid w:val="00456BCE"/>
    <w:rsid w:val="00486619"/>
    <w:rsid w:val="004D3868"/>
    <w:rsid w:val="004E6694"/>
    <w:rsid w:val="0054036E"/>
    <w:rsid w:val="005B578D"/>
    <w:rsid w:val="005C1996"/>
    <w:rsid w:val="006B6900"/>
    <w:rsid w:val="006D473E"/>
    <w:rsid w:val="006E53F9"/>
    <w:rsid w:val="007201F8"/>
    <w:rsid w:val="00793DE6"/>
    <w:rsid w:val="007F6456"/>
    <w:rsid w:val="00811C08"/>
    <w:rsid w:val="00830393"/>
    <w:rsid w:val="00833D5A"/>
    <w:rsid w:val="0084141B"/>
    <w:rsid w:val="00860EE7"/>
    <w:rsid w:val="00877A81"/>
    <w:rsid w:val="008931F6"/>
    <w:rsid w:val="008E2339"/>
    <w:rsid w:val="00935023"/>
    <w:rsid w:val="00967BC8"/>
    <w:rsid w:val="009806A5"/>
    <w:rsid w:val="009E265A"/>
    <w:rsid w:val="00A25B29"/>
    <w:rsid w:val="00A26F82"/>
    <w:rsid w:val="00A808E9"/>
    <w:rsid w:val="00B53154"/>
    <w:rsid w:val="00B72074"/>
    <w:rsid w:val="00BC2133"/>
    <w:rsid w:val="00BC2525"/>
    <w:rsid w:val="00BE4F3A"/>
    <w:rsid w:val="00C019A6"/>
    <w:rsid w:val="00C042CD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36222"/>
    <w:rsid w:val="00E4001E"/>
    <w:rsid w:val="00E53ACA"/>
    <w:rsid w:val="00E9409E"/>
    <w:rsid w:val="00EC65E9"/>
    <w:rsid w:val="00F4105E"/>
    <w:rsid w:val="00F616DA"/>
    <w:rsid w:val="00F76F95"/>
    <w:rsid w:val="00FA7ED1"/>
    <w:rsid w:val="00FD274B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9A87"/>
  <w15:chartTrackingRefBased/>
  <w15:docId w15:val="{0A4D5F71-8704-4D11-82E9-8D7217A1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FA7ED1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FA7ED1"/>
    <w:rPr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1">
    <w:name w:val="Table Grid121"/>
    <w:basedOn w:val="TableNormal"/>
    <w:uiPriority w:val="59"/>
    <w:rsid w:val="00FA7E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A7ED1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FA7ED1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A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X3VAMR3A5FUY-552-7145</_dlc_DocId>
    <_dlc_DocIdUrl xmlns="ff5de93e-c5e8-4efc-a1bd-21450292fcfe">
      <Url>http://teams/Sections/RAP/_layouts/15/DocIdRedir.aspx?ID=X3VAMR3A5FUY-552-7145</Url>
      <Description>X3VAMR3A5FUY-552-7145</Description>
    </_dlc_DocIdUrl>
  </documentManagement>
</p:properti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A9E0-91C0-4C51-B902-42725846AF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7F859D2-E248-40AF-95B7-40CDA55A96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C2888A-DADD-4DEF-AAF4-FD62BBEDD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02558A-914F-4FB1-BCDE-1C84CCBC2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53CD61-2943-42AC-B95F-11E14BE3BE40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6.xml><?xml version="1.0" encoding="utf-8"?>
<ds:datastoreItem xmlns:ds="http://schemas.openxmlformats.org/officeDocument/2006/customXml" ds:itemID="{EC1697A1-843A-4040-B6F4-5CDC0EC60755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979E8882-BD2D-4C91-B6C6-902AC2CE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Coughlan</dc:creator>
  <cp:keywords/>
  <dc:description/>
  <cp:lastModifiedBy>Joanna Richards</cp:lastModifiedBy>
  <cp:revision>3</cp:revision>
  <dcterms:created xsi:type="dcterms:W3CDTF">2019-01-09T21:59:00Z</dcterms:created>
  <dcterms:modified xsi:type="dcterms:W3CDTF">2019-01-09T22:00:00Z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73b65f3a-78ef-4271-ac61-c703df6fd5f7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34b229bb-020b-4dfe-9db4-74b96d312d74</vt:lpwstr>
  </property>
  <property fmtid="{D5CDD505-2E9C-101B-9397-08002B2CF9AE}" pid="6" name="DisposalClass">
    <vt:lpwstr/>
  </property>
  <property fmtid="{D5CDD505-2E9C-101B-9397-08002B2CF9AE}" pid="7" name="BCS_">
    <vt:lpwstr>846;#Instruments|4a8ff5e5-1f0e-4751-ab44-bc0d33b46a80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OFFICIAL:Sensitive</vt:lpwstr>
  </property>
</Properties>
</file>