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615020" w:rsidP="00554826">
      <w:pPr>
        <w:pStyle w:val="ShortT"/>
      </w:pPr>
      <w:r>
        <w:t>Therapeutic Goods</w:t>
      </w:r>
      <w:r w:rsidR="00554826" w:rsidRPr="00177988">
        <w:t xml:space="preserve"> (</w:t>
      </w:r>
      <w:r w:rsidR="00177988">
        <w:t xml:space="preserve">Advertising </w:t>
      </w:r>
      <w:r w:rsidR="00730F3F">
        <w:t xml:space="preserve">Complaints and </w:t>
      </w:r>
      <w:r w:rsidR="00D1772B">
        <w:t>Investigation</w:t>
      </w:r>
      <w:r w:rsidR="00ED573D">
        <w:t>s</w:t>
      </w:r>
      <w:r w:rsidR="00D1772B">
        <w:t xml:space="preserve"> </w:t>
      </w:r>
      <w:r>
        <w:t>Information</w:t>
      </w:r>
      <w:r w:rsidR="00554826" w:rsidRPr="00177988">
        <w:t xml:space="preserve">) </w:t>
      </w:r>
      <w:r w:rsidR="00F069F4">
        <w:t>Specification</w:t>
      </w:r>
      <w:r w:rsidR="00177988">
        <w:t xml:space="preserve"> 201</w:t>
      </w:r>
      <w:r w:rsidR="0073671F">
        <w:t>9</w:t>
      </w:r>
    </w:p>
    <w:p w:rsidR="00554826" w:rsidRPr="00DA182D" w:rsidRDefault="00CA2832" w:rsidP="00554826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 xml:space="preserve">I, Gillian Mitchell, </w:t>
      </w:r>
      <w:r w:rsidR="003D044A">
        <w:rPr>
          <w:szCs w:val="22"/>
        </w:rPr>
        <w:t>as delegate of the Minister for Health</w:t>
      </w:r>
      <w:r w:rsidR="00F069F4">
        <w:rPr>
          <w:szCs w:val="22"/>
        </w:rPr>
        <w:t>,</w:t>
      </w:r>
      <w:r w:rsidR="00554826" w:rsidRPr="00DA182D">
        <w:rPr>
          <w:szCs w:val="22"/>
        </w:rPr>
        <w:t xml:space="preserve"> </w:t>
      </w:r>
      <w:r w:rsidR="00F069F4">
        <w:rPr>
          <w:szCs w:val="22"/>
        </w:rPr>
        <w:t xml:space="preserve">make the following </w:t>
      </w:r>
      <w:r w:rsidR="003D044A">
        <w:rPr>
          <w:szCs w:val="22"/>
        </w:rPr>
        <w:t>s</w:t>
      </w:r>
      <w:r w:rsidR="00F069F4">
        <w:rPr>
          <w:szCs w:val="22"/>
        </w:rPr>
        <w:t>pecification</w:t>
      </w:r>
      <w:r w:rsidR="00554826" w:rsidRPr="00DA182D">
        <w:rPr>
          <w:szCs w:val="22"/>
        </w:rPr>
        <w:t>.</w:t>
      </w:r>
    </w:p>
    <w:p w:rsidR="003D044A" w:rsidRDefault="00AC266B" w:rsidP="003D044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18 </w:t>
      </w:r>
      <w:bookmarkStart w:id="0" w:name="_GoBack"/>
      <w:bookmarkEnd w:id="0"/>
      <w:r w:rsidR="0073671F">
        <w:rPr>
          <w:szCs w:val="22"/>
        </w:rPr>
        <w:t>January 2019</w:t>
      </w:r>
    </w:p>
    <w:p w:rsidR="003D044A" w:rsidRDefault="003D044A" w:rsidP="003D044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Gillian Mitchell </w:t>
      </w:r>
    </w:p>
    <w:p w:rsidR="003D044A" w:rsidRPr="0073671F" w:rsidRDefault="003D044A" w:rsidP="0073671F">
      <w:r w:rsidRPr="0073671F">
        <w:t>First Assistant Secretary</w:t>
      </w:r>
    </w:p>
    <w:p w:rsidR="003D044A" w:rsidRPr="0073671F" w:rsidRDefault="003D044A" w:rsidP="0073671F">
      <w:r w:rsidRPr="0073671F">
        <w:t>Regulatory Practice and Support Division</w:t>
      </w:r>
    </w:p>
    <w:p w:rsidR="003D044A" w:rsidRPr="0073671F" w:rsidRDefault="003D044A" w:rsidP="0073671F">
      <w:r w:rsidRPr="0073671F">
        <w:t>Health Products Regulation Group</w:t>
      </w:r>
    </w:p>
    <w:p w:rsidR="003D044A" w:rsidRPr="0073671F" w:rsidRDefault="003D044A" w:rsidP="0073671F">
      <w:r w:rsidRPr="0073671F">
        <w:t>Department of Health</w:t>
      </w:r>
    </w:p>
    <w:p w:rsidR="00554826" w:rsidRPr="0073671F" w:rsidRDefault="00554826" w:rsidP="0073671F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00069F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00069F">
        <w:rPr>
          <w:noProof/>
        </w:rPr>
        <w:t>1  Name</w:t>
      </w:r>
      <w:r w:rsidR="0000069F">
        <w:rPr>
          <w:noProof/>
        </w:rPr>
        <w:tab/>
      </w:r>
      <w:r w:rsidR="0000069F">
        <w:rPr>
          <w:noProof/>
        </w:rPr>
        <w:fldChar w:fldCharType="begin"/>
      </w:r>
      <w:r w:rsidR="0000069F">
        <w:rPr>
          <w:noProof/>
        </w:rPr>
        <w:instrText xml:space="preserve"> PAGEREF _Toc532477731 \h </w:instrText>
      </w:r>
      <w:r w:rsidR="0000069F">
        <w:rPr>
          <w:noProof/>
        </w:rPr>
      </w:r>
      <w:r w:rsidR="0000069F">
        <w:rPr>
          <w:noProof/>
        </w:rPr>
        <w:fldChar w:fldCharType="separate"/>
      </w:r>
      <w:r w:rsidR="003C25C2">
        <w:rPr>
          <w:noProof/>
        </w:rPr>
        <w:t>1</w:t>
      </w:r>
      <w:r w:rsidR="0000069F">
        <w:rPr>
          <w:noProof/>
        </w:rPr>
        <w:fldChar w:fldCharType="end"/>
      </w:r>
    </w:p>
    <w:p w:rsidR="0000069F" w:rsidRDefault="0000069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_Toc532477732 \h </w:instrText>
      </w:r>
      <w:r>
        <w:rPr>
          <w:noProof/>
        </w:rPr>
      </w:r>
      <w:r>
        <w:rPr>
          <w:noProof/>
        </w:rPr>
        <w:fldChar w:fldCharType="separate"/>
      </w:r>
      <w:r w:rsidR="003C25C2">
        <w:rPr>
          <w:noProof/>
        </w:rPr>
        <w:t>1</w:t>
      </w:r>
      <w:r>
        <w:rPr>
          <w:noProof/>
        </w:rPr>
        <w:fldChar w:fldCharType="end"/>
      </w:r>
    </w:p>
    <w:p w:rsidR="0000069F" w:rsidRDefault="0000069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_Toc532477733 \h </w:instrText>
      </w:r>
      <w:r>
        <w:rPr>
          <w:noProof/>
        </w:rPr>
      </w:r>
      <w:r>
        <w:rPr>
          <w:noProof/>
        </w:rPr>
        <w:fldChar w:fldCharType="separate"/>
      </w:r>
      <w:r w:rsidR="003C25C2">
        <w:rPr>
          <w:noProof/>
        </w:rPr>
        <w:t>1</w:t>
      </w:r>
      <w:r>
        <w:rPr>
          <w:noProof/>
        </w:rPr>
        <w:fldChar w:fldCharType="end"/>
      </w:r>
    </w:p>
    <w:p w:rsidR="0000069F" w:rsidRDefault="0000069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_Toc532477734 \h </w:instrText>
      </w:r>
      <w:r>
        <w:rPr>
          <w:noProof/>
        </w:rPr>
      </w:r>
      <w:r>
        <w:rPr>
          <w:noProof/>
        </w:rPr>
        <w:fldChar w:fldCharType="separate"/>
      </w:r>
      <w:r w:rsidR="003C25C2">
        <w:rPr>
          <w:noProof/>
        </w:rPr>
        <w:t>1</w:t>
      </w:r>
      <w:r>
        <w:rPr>
          <w:noProof/>
        </w:rPr>
        <w:fldChar w:fldCharType="end"/>
      </w:r>
    </w:p>
    <w:p w:rsidR="0000069F" w:rsidRDefault="0000069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_Toc532477735 \h </w:instrText>
      </w:r>
      <w:r>
        <w:rPr>
          <w:noProof/>
        </w:rPr>
      </w:r>
      <w:r>
        <w:rPr>
          <w:noProof/>
        </w:rPr>
        <w:fldChar w:fldCharType="separate"/>
      </w:r>
      <w:r w:rsidR="003C25C2">
        <w:rPr>
          <w:noProof/>
        </w:rPr>
        <w:t>3</w:t>
      </w:r>
      <w:r>
        <w:rPr>
          <w:noProof/>
        </w:rPr>
        <w:fldChar w:fldCharType="end"/>
      </w:r>
    </w:p>
    <w:p w:rsidR="0000069F" w:rsidRDefault="0000069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_Toc532477736 \h </w:instrText>
      </w:r>
      <w:r>
        <w:rPr>
          <w:noProof/>
        </w:rPr>
      </w:r>
      <w:r>
        <w:rPr>
          <w:noProof/>
        </w:rPr>
        <w:fldChar w:fldCharType="separate"/>
      </w:r>
      <w:r w:rsidR="003C25C2">
        <w:rPr>
          <w:noProof/>
        </w:rPr>
        <w:t>3</w:t>
      </w:r>
      <w:r>
        <w:rPr>
          <w:noProof/>
        </w:rPr>
        <w:fldChar w:fldCharType="end"/>
      </w:r>
    </w:p>
    <w:p w:rsidR="0000069F" w:rsidRDefault="0000069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F14B1">
        <w:rPr>
          <w:rFonts w:cs="Arial"/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_Toc532477737 \h </w:instrText>
      </w:r>
      <w:r>
        <w:rPr>
          <w:noProof/>
        </w:rPr>
      </w:r>
      <w:r>
        <w:rPr>
          <w:noProof/>
        </w:rPr>
        <w:fldChar w:fldCharType="separate"/>
      </w:r>
      <w:r w:rsidR="003C25C2">
        <w:rPr>
          <w:noProof/>
        </w:rPr>
        <w:t>4</w:t>
      </w:r>
      <w:r>
        <w:rPr>
          <w:noProof/>
        </w:rPr>
        <w:fldChar w:fldCharType="end"/>
      </w:r>
    </w:p>
    <w:p w:rsidR="0000069F" w:rsidRDefault="0000069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Information (Outcomes of Advertising Complaints Investigations) Specification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_Toc532477738 \h </w:instrText>
      </w:r>
      <w:r>
        <w:rPr>
          <w:noProof/>
        </w:rPr>
      </w:r>
      <w:r>
        <w:rPr>
          <w:noProof/>
        </w:rPr>
        <w:fldChar w:fldCharType="separate"/>
      </w:r>
      <w:r w:rsidR="003C25C2">
        <w:rPr>
          <w:noProof/>
        </w:rPr>
        <w:t>4</w:t>
      </w:r>
      <w:r>
        <w:rPr>
          <w:noProof/>
        </w:rPr>
        <w:fldChar w:fldCharType="end"/>
      </w:r>
    </w:p>
    <w:p w:rsidR="0000069F" w:rsidRDefault="0000069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F14B1">
        <w:rPr>
          <w:rFonts w:cs="Arial"/>
          <w:noProof/>
        </w:rPr>
        <w:t>Schedule 2—Specified kinds of 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_Toc532477739 \h </w:instrText>
      </w:r>
      <w:r>
        <w:rPr>
          <w:noProof/>
        </w:rPr>
      </w:r>
      <w:r>
        <w:rPr>
          <w:noProof/>
        </w:rPr>
        <w:fldChar w:fldCharType="separate"/>
      </w:r>
      <w:r w:rsidR="003C25C2">
        <w:rPr>
          <w:noProof/>
        </w:rPr>
        <w:t>5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532477731"/>
      <w:proofErr w:type="gramStart"/>
      <w:r w:rsidRPr="00554826">
        <w:lastRenderedPageBreak/>
        <w:t>1  Name</w:t>
      </w:r>
      <w:bookmarkEnd w:id="1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</w:t>
      </w:r>
      <w:bookmarkStart w:id="2" w:name="BKCheck15B_3"/>
      <w:bookmarkEnd w:id="2"/>
      <w:r w:rsidR="00B25ABD">
        <w:t xml:space="preserve">e </w:t>
      </w:r>
      <w:r w:rsidR="00615020">
        <w:rPr>
          <w:i/>
        </w:rPr>
        <w:t>Therapeutic Goods</w:t>
      </w:r>
      <w:r w:rsidR="00B25ABD">
        <w:rPr>
          <w:i/>
        </w:rPr>
        <w:t xml:space="preserve"> (Advertising </w:t>
      </w:r>
      <w:r w:rsidR="00730F3F">
        <w:rPr>
          <w:i/>
        </w:rPr>
        <w:t xml:space="preserve">Complaints and </w:t>
      </w:r>
      <w:r w:rsidR="005A0C80">
        <w:rPr>
          <w:i/>
        </w:rPr>
        <w:t>Investigation</w:t>
      </w:r>
      <w:r w:rsidR="00ED573D">
        <w:rPr>
          <w:i/>
        </w:rPr>
        <w:t>s</w:t>
      </w:r>
      <w:r w:rsidR="005A0C80">
        <w:rPr>
          <w:i/>
        </w:rPr>
        <w:t xml:space="preserve"> </w:t>
      </w:r>
      <w:r w:rsidR="00615020">
        <w:rPr>
          <w:i/>
        </w:rPr>
        <w:t>Information</w:t>
      </w:r>
      <w:r w:rsidR="0073671F">
        <w:rPr>
          <w:i/>
        </w:rPr>
        <w:t>) Specification 2019</w:t>
      </w:r>
      <w:r w:rsidRPr="009C2562">
        <w:t>.</w:t>
      </w:r>
    </w:p>
    <w:p w:rsidR="00B25ABD" w:rsidRDefault="00554826" w:rsidP="00FD5CB7">
      <w:pPr>
        <w:pStyle w:val="ActHead5"/>
      </w:pPr>
      <w:bookmarkStart w:id="3" w:name="_Toc532477732"/>
      <w:proofErr w:type="gramStart"/>
      <w:r w:rsidRPr="00554826">
        <w:t>2  Commencement</w:t>
      </w:r>
      <w:bookmarkEnd w:id="3"/>
      <w:proofErr w:type="gramEnd"/>
    </w:p>
    <w:p w:rsidR="00FD5CB7" w:rsidRPr="00274759" w:rsidRDefault="00FD5CB7" w:rsidP="00FD5CB7">
      <w:pPr>
        <w:pStyle w:val="subsection"/>
      </w:pPr>
      <w:r w:rsidRPr="00274759">
        <w:tab/>
        <w:t>(1)</w:t>
      </w:r>
      <w:r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D5CB7" w:rsidRPr="00274759" w:rsidRDefault="00FD5CB7" w:rsidP="009016BF">
      <w:pPr>
        <w:pStyle w:val="Tabletext"/>
        <w:ind w:left="720"/>
      </w:pPr>
    </w:p>
    <w:tbl>
      <w:tblPr>
        <w:tblW w:w="0" w:type="auto"/>
        <w:tblInd w:w="82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FD5CB7" w:rsidRPr="00274759" w:rsidTr="009016BF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D5CB7" w:rsidRPr="00274759" w:rsidRDefault="00FD5CB7" w:rsidP="001A1D0D">
            <w:pPr>
              <w:pStyle w:val="TableHeading"/>
            </w:pPr>
            <w:r w:rsidRPr="00274759">
              <w:t>Commencement information</w:t>
            </w:r>
          </w:p>
        </w:tc>
      </w:tr>
      <w:tr w:rsidR="00FD5CB7" w:rsidRPr="00274759" w:rsidTr="009016BF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D5CB7" w:rsidRPr="00274759" w:rsidRDefault="00FD5CB7" w:rsidP="001A1D0D">
            <w:pPr>
              <w:pStyle w:val="TableHeading"/>
            </w:pPr>
            <w:r w:rsidRPr="0027475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D5CB7" w:rsidRPr="00274759" w:rsidRDefault="00FD5CB7" w:rsidP="001A1D0D">
            <w:pPr>
              <w:pStyle w:val="TableHeading"/>
            </w:pPr>
            <w:r w:rsidRPr="00274759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D5CB7" w:rsidRPr="00274759" w:rsidRDefault="00FD5CB7" w:rsidP="001A1D0D">
            <w:pPr>
              <w:pStyle w:val="TableHeading"/>
            </w:pPr>
            <w:r w:rsidRPr="00274759">
              <w:t>Column 3</w:t>
            </w:r>
          </w:p>
        </w:tc>
      </w:tr>
      <w:tr w:rsidR="00FD5CB7" w:rsidRPr="00274759" w:rsidTr="009016BF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D5CB7" w:rsidRPr="00274759" w:rsidRDefault="00FD5CB7" w:rsidP="001A1D0D">
            <w:pPr>
              <w:pStyle w:val="TableHeading"/>
            </w:pPr>
            <w:r w:rsidRPr="0027475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D5CB7" w:rsidRPr="00274759" w:rsidRDefault="00FD5CB7" w:rsidP="001A1D0D">
            <w:pPr>
              <w:pStyle w:val="TableHeading"/>
            </w:pPr>
            <w:r w:rsidRPr="00274759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D5CB7" w:rsidRPr="00274759" w:rsidRDefault="00FD5CB7" w:rsidP="001A1D0D">
            <w:pPr>
              <w:pStyle w:val="TableHeading"/>
            </w:pPr>
            <w:r w:rsidRPr="00274759">
              <w:t>Date/Details</w:t>
            </w:r>
          </w:p>
        </w:tc>
      </w:tr>
      <w:tr w:rsidR="00FD5CB7" w:rsidRPr="00274759" w:rsidTr="009016BF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D5CB7" w:rsidRPr="00274759" w:rsidRDefault="00FD5CB7" w:rsidP="001A1D0D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D5CB7" w:rsidRPr="00274759" w:rsidRDefault="00FD5CB7" w:rsidP="001A1D0D">
            <w:pPr>
              <w:pStyle w:val="Tabletext"/>
            </w:pPr>
            <w:r>
              <w:t>The day after this instrument is registered</w:t>
            </w:r>
            <w:r w:rsidRPr="00274759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D5CB7" w:rsidRPr="00274759" w:rsidRDefault="00FD5CB7" w:rsidP="001A1D0D">
            <w:pPr>
              <w:pStyle w:val="Tabletext"/>
            </w:pPr>
          </w:p>
        </w:tc>
      </w:tr>
    </w:tbl>
    <w:p w:rsidR="00FD5CB7" w:rsidRPr="00274759" w:rsidRDefault="00FD5CB7" w:rsidP="00FD5CB7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B25ABD" w:rsidRPr="00232984" w:rsidRDefault="00FD5CB7" w:rsidP="00FD5CB7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bookmarkStart w:id="4" w:name="_Toc532477733"/>
      <w:proofErr w:type="gramStart"/>
      <w:r w:rsidRPr="00554826">
        <w:t>3  Authority</w:t>
      </w:r>
      <w:bookmarkEnd w:id="4"/>
      <w:proofErr w:type="gramEnd"/>
    </w:p>
    <w:p w:rsidR="00554826" w:rsidRPr="009C2562" w:rsidRDefault="00FC573B" w:rsidP="00554826">
      <w:pPr>
        <w:pStyle w:val="subsection"/>
      </w:pPr>
      <w:r>
        <w:tab/>
      </w:r>
      <w:r>
        <w:tab/>
        <w:t xml:space="preserve">This instrument is made under subsection 61(5D) of the </w:t>
      </w:r>
      <w:r w:rsidR="00F81FE0" w:rsidRPr="00504D2D">
        <w:rPr>
          <w:i/>
        </w:rPr>
        <w:t xml:space="preserve">Therapeutic Goods </w:t>
      </w:r>
      <w:r w:rsidRPr="00504D2D">
        <w:rPr>
          <w:i/>
        </w:rPr>
        <w:t>Act</w:t>
      </w:r>
      <w:r w:rsidR="00F81FE0" w:rsidRPr="00504D2D">
        <w:rPr>
          <w:i/>
        </w:rPr>
        <w:t xml:space="preserve"> 1989</w:t>
      </w:r>
      <w:r w:rsidR="00FC0301">
        <w:t>.</w:t>
      </w:r>
    </w:p>
    <w:p w:rsidR="00554826" w:rsidRPr="00554826" w:rsidRDefault="00554826" w:rsidP="00554826">
      <w:pPr>
        <w:pStyle w:val="ActHead5"/>
      </w:pPr>
      <w:bookmarkStart w:id="5" w:name="_Toc532477734"/>
      <w:proofErr w:type="gramStart"/>
      <w:r w:rsidRPr="00554826">
        <w:t>4  Definitions</w:t>
      </w:r>
      <w:bookmarkEnd w:id="5"/>
      <w:proofErr w:type="gramEnd"/>
    </w:p>
    <w:p w:rsidR="00554826" w:rsidRPr="009C2562" w:rsidRDefault="00554826" w:rsidP="008C7C52">
      <w:pPr>
        <w:pStyle w:val="notetext"/>
        <w:spacing w:before="240"/>
      </w:pPr>
      <w:r w:rsidRPr="009C2562">
        <w:t>Note:</w:t>
      </w:r>
      <w:r w:rsidRPr="009C2562">
        <w:tab/>
        <w:t>A number of expressions used in</w:t>
      </w:r>
      <w:r w:rsidR="00FC573B">
        <w:t xml:space="preserve"> this instrument are defined in section</w:t>
      </w:r>
      <w:r>
        <w:t xml:space="preserve"> </w:t>
      </w:r>
      <w:r w:rsidR="005F3069">
        <w:t xml:space="preserve">3 </w:t>
      </w:r>
      <w:r>
        <w:t>of the Act</w:t>
      </w:r>
      <w:r w:rsidRPr="009C2562">
        <w:t>, including the following:</w:t>
      </w:r>
    </w:p>
    <w:p w:rsidR="00554826" w:rsidRDefault="00FC573B" w:rsidP="003A7CE6">
      <w:pPr>
        <w:pStyle w:val="notepara"/>
        <w:numPr>
          <w:ilvl w:val="0"/>
          <w:numId w:val="17"/>
        </w:numPr>
      </w:pPr>
      <w:r>
        <w:t>advertise</w:t>
      </w:r>
      <w:r w:rsidR="00554826" w:rsidRPr="00FC573B">
        <w:t>;</w:t>
      </w:r>
    </w:p>
    <w:p w:rsidR="00D0485B" w:rsidRDefault="00D0485B" w:rsidP="003A7CE6">
      <w:pPr>
        <w:pStyle w:val="notepara"/>
        <w:numPr>
          <w:ilvl w:val="0"/>
          <w:numId w:val="17"/>
        </w:numPr>
      </w:pPr>
      <w:r>
        <w:t>device number</w:t>
      </w:r>
      <w:r w:rsidR="005F3069">
        <w:t>;</w:t>
      </w:r>
    </w:p>
    <w:p w:rsidR="003A7CE6" w:rsidRPr="00FC573B" w:rsidRDefault="003A7CE6" w:rsidP="003A7CE6">
      <w:pPr>
        <w:pStyle w:val="notepara"/>
        <w:numPr>
          <w:ilvl w:val="0"/>
          <w:numId w:val="17"/>
        </w:numPr>
      </w:pPr>
      <w:r>
        <w:t>listing number</w:t>
      </w:r>
      <w:r w:rsidR="005F3069">
        <w:t>;</w:t>
      </w:r>
    </w:p>
    <w:p w:rsidR="00D13857" w:rsidRDefault="00FC573B" w:rsidP="003A7CE6">
      <w:pPr>
        <w:pStyle w:val="notepara"/>
        <w:numPr>
          <w:ilvl w:val="0"/>
          <w:numId w:val="17"/>
        </w:numPr>
      </w:pPr>
      <w:r>
        <w:t>Register;</w:t>
      </w:r>
    </w:p>
    <w:p w:rsidR="003A7CE6" w:rsidRDefault="003A7CE6" w:rsidP="003A7CE6">
      <w:pPr>
        <w:pStyle w:val="notepara"/>
        <w:numPr>
          <w:ilvl w:val="0"/>
          <w:numId w:val="17"/>
        </w:numPr>
      </w:pPr>
      <w:r>
        <w:t>registration number</w:t>
      </w:r>
      <w:r w:rsidR="005F3069">
        <w:t>;</w:t>
      </w:r>
    </w:p>
    <w:p w:rsidR="00D13857" w:rsidRDefault="003A7CE6" w:rsidP="00FC573B">
      <w:pPr>
        <w:pStyle w:val="notepara"/>
      </w:pPr>
      <w:r>
        <w:t>(</w:t>
      </w:r>
      <w:r w:rsidR="00D0485B">
        <w:t>f</w:t>
      </w:r>
      <w:r w:rsidR="00D13857">
        <w:t>)</w:t>
      </w:r>
      <w:r w:rsidR="00D13857">
        <w:tab/>
        <w:t>Secretary;</w:t>
      </w:r>
    </w:p>
    <w:p w:rsidR="00FC573B" w:rsidRDefault="003A7CE6" w:rsidP="00FC573B">
      <w:pPr>
        <w:pStyle w:val="notepara"/>
      </w:pPr>
      <w:r>
        <w:t>(</w:t>
      </w:r>
      <w:r w:rsidR="00D0485B">
        <w:t>g</w:t>
      </w:r>
      <w:r w:rsidR="00FC573B">
        <w:t>)</w:t>
      </w:r>
      <w:r w:rsidR="00FC573B">
        <w:tab/>
      </w:r>
      <w:proofErr w:type="gramStart"/>
      <w:r w:rsidR="00FC573B">
        <w:t>therapeutic</w:t>
      </w:r>
      <w:proofErr w:type="gramEnd"/>
      <w:r w:rsidR="00FC573B">
        <w:t xml:space="preserve"> goods</w:t>
      </w:r>
      <w:r w:rsidR="00D13857">
        <w:t>;</w:t>
      </w:r>
      <w:r w:rsidR="006505B9">
        <w:t xml:space="preserve"> and</w:t>
      </w:r>
    </w:p>
    <w:p w:rsidR="00FC573B" w:rsidRDefault="00D13857" w:rsidP="00FC573B">
      <w:pPr>
        <w:pStyle w:val="notepara"/>
      </w:pPr>
      <w:r>
        <w:t>(</w:t>
      </w:r>
      <w:r w:rsidR="00D0485B">
        <w:t>h</w:t>
      </w:r>
      <w:r w:rsidR="00FC573B">
        <w:t>)</w:t>
      </w:r>
      <w:r w:rsidR="00FC573B">
        <w:tab/>
        <w:t>Therapeutic Goods Advertising Code</w:t>
      </w:r>
      <w:r w:rsidR="00FC0301">
        <w:t>.</w:t>
      </w:r>
    </w:p>
    <w:p w:rsidR="00554826" w:rsidRPr="009C2562" w:rsidRDefault="00554826" w:rsidP="008C7C52">
      <w:pPr>
        <w:pStyle w:val="subsection"/>
        <w:spacing w:before="240"/>
      </w:pPr>
      <w:r w:rsidRPr="009C2562">
        <w:tab/>
      </w:r>
      <w:r w:rsidRPr="009C2562">
        <w:tab/>
        <w:t>In this instrument:</w:t>
      </w:r>
    </w:p>
    <w:p w:rsidR="00FC573B" w:rsidRPr="00FC0301" w:rsidRDefault="00554826" w:rsidP="00FC573B">
      <w:pPr>
        <w:pStyle w:val="Definition"/>
      </w:pPr>
      <w:r w:rsidRPr="009C2562">
        <w:rPr>
          <w:b/>
          <w:i/>
        </w:rPr>
        <w:t>Act</w:t>
      </w:r>
      <w:r w:rsidR="00FC573B">
        <w:t xml:space="preserve"> means the </w:t>
      </w:r>
      <w:r w:rsidR="00FC573B">
        <w:rPr>
          <w:i/>
        </w:rPr>
        <w:t>Therapeutic Goods Act 1989</w:t>
      </w:r>
      <w:r w:rsidR="00FC0301">
        <w:t>.</w:t>
      </w:r>
    </w:p>
    <w:p w:rsidR="00963B44" w:rsidRDefault="00963B44" w:rsidP="00963B44">
      <w:pPr>
        <w:pStyle w:val="Definition"/>
      </w:pPr>
      <w:proofErr w:type="gramStart"/>
      <w:r>
        <w:rPr>
          <w:b/>
          <w:i/>
        </w:rPr>
        <w:t>case</w:t>
      </w:r>
      <w:proofErr w:type="gramEnd"/>
      <w:r w:rsidRPr="003F4A83">
        <w:rPr>
          <w:b/>
          <w:i/>
        </w:rPr>
        <w:t xml:space="preserve"> </w:t>
      </w:r>
      <w:r w:rsidRPr="00A42044">
        <w:t xml:space="preserve">means </w:t>
      </w:r>
      <w:r>
        <w:t xml:space="preserve">a case created </w:t>
      </w:r>
      <w:r w:rsidRPr="003F4A83">
        <w:t>by the Therapeutic Goods Administration</w:t>
      </w:r>
      <w:r>
        <w:t>:</w:t>
      </w:r>
    </w:p>
    <w:p w:rsidR="00963B44" w:rsidRPr="0044754F" w:rsidRDefault="00963B44" w:rsidP="00963B44">
      <w:pPr>
        <w:pStyle w:val="Definition"/>
        <w:spacing w:before="40"/>
        <w:ind w:left="1701" w:hanging="425"/>
      </w:pPr>
      <w:r>
        <w:t>(a)</w:t>
      </w:r>
      <w:r>
        <w:tab/>
      </w:r>
      <w:proofErr w:type="gramStart"/>
      <w:r>
        <w:t>in</w:t>
      </w:r>
      <w:proofErr w:type="gramEnd"/>
      <w:r>
        <w:t xml:space="preserve"> response to a complaint; or</w:t>
      </w:r>
    </w:p>
    <w:p w:rsidR="00963B44" w:rsidRPr="0044754F" w:rsidRDefault="00963B44" w:rsidP="00963B44">
      <w:pPr>
        <w:pStyle w:val="Definition"/>
        <w:spacing w:before="40"/>
        <w:ind w:left="1701" w:hanging="425"/>
      </w:pPr>
      <w:r>
        <w:t>(b)</w:t>
      </w:r>
      <w:r>
        <w:tab/>
      </w:r>
      <w:proofErr w:type="gramStart"/>
      <w:r>
        <w:t>following</w:t>
      </w:r>
      <w:proofErr w:type="gramEnd"/>
      <w:r>
        <w:t xml:space="preserve"> a decision of the </w:t>
      </w:r>
      <w:r w:rsidRPr="0044754F">
        <w:t xml:space="preserve">Therapeutic Goods Administration </w:t>
      </w:r>
      <w:r>
        <w:t>to undertake an investigation on its own initiative</w:t>
      </w:r>
      <w:r w:rsidR="00B320FD">
        <w:t>,</w:t>
      </w:r>
      <w:r>
        <w:t xml:space="preserve"> where it </w:t>
      </w:r>
      <w:r w:rsidRPr="0044754F">
        <w:t xml:space="preserve">reasonably </w:t>
      </w:r>
      <w:r w:rsidRPr="0044754F">
        <w:lastRenderedPageBreak/>
        <w:t>suspects that an advertisement or dissemination of generic information contravenes the Act, Regulations or Therapeutic Goods Advertising Code.</w:t>
      </w:r>
    </w:p>
    <w:p w:rsidR="008A3FFD" w:rsidRDefault="00407861" w:rsidP="008A3FFD">
      <w:pPr>
        <w:pStyle w:val="Definition"/>
      </w:pPr>
      <w:proofErr w:type="gramStart"/>
      <w:r w:rsidRPr="009C2562">
        <w:rPr>
          <w:b/>
          <w:i/>
        </w:rPr>
        <w:t>c</w:t>
      </w:r>
      <w:r>
        <w:rPr>
          <w:b/>
          <w:i/>
        </w:rPr>
        <w:t>ase</w:t>
      </w:r>
      <w:proofErr w:type="gramEnd"/>
      <w:r>
        <w:rPr>
          <w:b/>
          <w:i/>
        </w:rPr>
        <w:t xml:space="preserve"> number</w:t>
      </w:r>
      <w:r w:rsidR="0044754F">
        <w:rPr>
          <w:b/>
          <w:i/>
        </w:rPr>
        <w:t xml:space="preserve"> </w:t>
      </w:r>
      <w:r w:rsidRPr="0044754F">
        <w:t>means</w:t>
      </w:r>
      <w:r w:rsidR="008A3FFD" w:rsidRPr="008A3FFD">
        <w:t xml:space="preserve"> </w:t>
      </w:r>
      <w:r w:rsidR="008A3FFD">
        <w:t xml:space="preserve">any combination of numbers, symbols and letters assigned </w:t>
      </w:r>
      <w:r w:rsidR="0044754F">
        <w:t>by the Therapeutic Goods Administration</w:t>
      </w:r>
      <w:r w:rsidR="0044754F" w:rsidRPr="003F3E44">
        <w:t xml:space="preserve"> </w:t>
      </w:r>
      <w:r w:rsidR="008A3FFD" w:rsidRPr="003F3E44">
        <w:t>to a case</w:t>
      </w:r>
      <w:r w:rsidR="008A3FFD">
        <w:t>.</w:t>
      </w:r>
    </w:p>
    <w:p w:rsidR="00FC573B" w:rsidRDefault="00156BDA" w:rsidP="008C7C52">
      <w:pPr>
        <w:pStyle w:val="Definition"/>
        <w:keepNext/>
      </w:pPr>
      <w:proofErr w:type="gramStart"/>
      <w:r>
        <w:rPr>
          <w:b/>
          <w:i/>
        </w:rPr>
        <w:t>c</w:t>
      </w:r>
      <w:r w:rsidR="00FC573B">
        <w:rPr>
          <w:b/>
          <w:i/>
        </w:rPr>
        <w:t>omplaint</w:t>
      </w:r>
      <w:proofErr w:type="gramEnd"/>
      <w:r>
        <w:t xml:space="preserve"> means</w:t>
      </w:r>
      <w:r w:rsidR="00254378">
        <w:t xml:space="preserve"> </w:t>
      </w:r>
      <w:r>
        <w:t>a complaint alleging</w:t>
      </w:r>
      <w:r w:rsidR="00B248D7">
        <w:t xml:space="preserve"> that</w:t>
      </w:r>
      <w:r>
        <w:t xml:space="preserve"> </w:t>
      </w:r>
      <w:r w:rsidR="00925C1A">
        <w:t xml:space="preserve">an advertisement or the dissemination of generic information </w:t>
      </w:r>
      <w:r w:rsidR="00C96C1E">
        <w:t xml:space="preserve">contravenes </w:t>
      </w:r>
      <w:r w:rsidR="00925C1A">
        <w:t>the Act, Regulations or Th</w:t>
      </w:r>
      <w:r w:rsidR="00254378">
        <w:t>erapeutic Goods Advertising Code, which was:</w:t>
      </w:r>
    </w:p>
    <w:p w:rsidR="00FC573B" w:rsidRDefault="00495A33" w:rsidP="008C7C52">
      <w:pPr>
        <w:pStyle w:val="paragraph"/>
        <w:keepNext/>
      </w:pPr>
      <w:r>
        <w:tab/>
        <w:t>(a)</w:t>
      </w:r>
      <w:r>
        <w:tab/>
      </w:r>
      <w:proofErr w:type="gramStart"/>
      <w:r w:rsidR="00254378">
        <w:t>made</w:t>
      </w:r>
      <w:proofErr w:type="gramEnd"/>
      <w:r w:rsidR="00254378">
        <w:t xml:space="preserve"> by a person </w:t>
      </w:r>
      <w:r w:rsidR="00FC573B">
        <w:t xml:space="preserve">to the </w:t>
      </w:r>
      <w:r w:rsidR="003A496C">
        <w:t>Therapeutic Goods Administration</w:t>
      </w:r>
      <w:r w:rsidR="00FC573B">
        <w:t>; or</w:t>
      </w:r>
    </w:p>
    <w:p w:rsidR="00B320FD" w:rsidRDefault="00495A33" w:rsidP="00E509CB">
      <w:pPr>
        <w:pStyle w:val="paragraph"/>
      </w:pPr>
      <w:r>
        <w:tab/>
        <w:t>(b)</w:t>
      </w:r>
      <w:r>
        <w:tab/>
      </w:r>
      <w:r w:rsidR="00EB7C28" w:rsidRPr="00EB2B58">
        <w:t xml:space="preserve">made by a person to the Complaints Resolution Panel </w:t>
      </w:r>
      <w:r w:rsidR="00EB7C28">
        <w:t>and</w:t>
      </w:r>
      <w:r w:rsidR="00EB7C28" w:rsidRPr="00EB2B58">
        <w:t xml:space="preserve"> </w:t>
      </w:r>
      <w:r w:rsidR="00972E89">
        <w:t>led to</w:t>
      </w:r>
      <w:r w:rsidR="00EB7C28">
        <w:t xml:space="preserve"> a recommendation being made by the </w:t>
      </w:r>
      <w:r w:rsidR="003A496C" w:rsidRPr="00EB2B58">
        <w:t xml:space="preserve">Complaints Resolution </w:t>
      </w:r>
      <w:r w:rsidR="00FC0301" w:rsidRPr="00EB2B58">
        <w:t>Panel</w:t>
      </w:r>
      <w:r w:rsidR="00FB60BF" w:rsidRPr="00EB2B58">
        <w:t xml:space="preserve"> to the Secretary</w:t>
      </w:r>
      <w:r w:rsidR="00D13857" w:rsidRPr="00EB2B58">
        <w:t xml:space="preserve"> under regulation 42ZCAI of the</w:t>
      </w:r>
      <w:r w:rsidR="00BA04EE" w:rsidRPr="00EB2B58">
        <w:t xml:space="preserve"> </w:t>
      </w:r>
      <w:r w:rsidR="003A496C" w:rsidRPr="00EB2B58">
        <w:t xml:space="preserve">old </w:t>
      </w:r>
      <w:r w:rsidR="00D13857" w:rsidRPr="00B3238D">
        <w:t>Regulations</w:t>
      </w:r>
      <w:r w:rsidR="00B320FD">
        <w:t>; or</w:t>
      </w:r>
    </w:p>
    <w:p w:rsidR="00FC573B" w:rsidRPr="0046257B" w:rsidRDefault="00B320FD" w:rsidP="00E509CB">
      <w:pPr>
        <w:pStyle w:val="paragraph"/>
      </w:pPr>
      <w:r>
        <w:tab/>
        <w:t>(c)</w:t>
      </w:r>
      <w:r>
        <w:tab/>
      </w:r>
      <w:proofErr w:type="gramStart"/>
      <w:r>
        <w:t>referred</w:t>
      </w:r>
      <w:proofErr w:type="gramEnd"/>
      <w:r>
        <w:t xml:space="preserve"> to the Therapeutic Goods Administration by a body or an authority</w:t>
      </w:r>
      <w:r w:rsidR="001B1D2F">
        <w:t>.</w:t>
      </w:r>
    </w:p>
    <w:p w:rsidR="00FC0363" w:rsidRDefault="00FC0363" w:rsidP="00554826">
      <w:pPr>
        <w:pStyle w:val="Definition"/>
        <w:rPr>
          <w:b/>
          <w:i/>
        </w:rPr>
      </w:pPr>
      <w:r>
        <w:rPr>
          <w:b/>
          <w:i/>
        </w:rPr>
        <w:t xml:space="preserve">Complaints Resolution Panel </w:t>
      </w:r>
      <w:r w:rsidRPr="00EB2B58">
        <w:t xml:space="preserve">has the same meaning </w:t>
      </w:r>
      <w:r w:rsidR="00EB2B58">
        <w:t>as in the old R</w:t>
      </w:r>
      <w:r w:rsidRPr="00EB2B58">
        <w:t>egulations</w:t>
      </w:r>
      <w:r w:rsidR="003A496C">
        <w:rPr>
          <w:i/>
        </w:rPr>
        <w:t>.</w:t>
      </w:r>
    </w:p>
    <w:p w:rsidR="00C00EC7" w:rsidRDefault="00C00EC7" w:rsidP="00554826">
      <w:pPr>
        <w:pStyle w:val="Definition"/>
      </w:pPr>
      <w:proofErr w:type="gramStart"/>
      <w:r>
        <w:rPr>
          <w:b/>
          <w:i/>
        </w:rPr>
        <w:t>generic</w:t>
      </w:r>
      <w:proofErr w:type="gramEnd"/>
      <w:r>
        <w:rPr>
          <w:b/>
          <w:i/>
        </w:rPr>
        <w:t xml:space="preserve"> information</w:t>
      </w:r>
      <w:r>
        <w:rPr>
          <w:i/>
        </w:rPr>
        <w:t xml:space="preserve"> </w:t>
      </w:r>
      <w:r>
        <w:t>has the same meaning as in section 42B of the Act.</w:t>
      </w:r>
    </w:p>
    <w:p w:rsidR="0044754F" w:rsidRDefault="0044754F" w:rsidP="0044754F">
      <w:pPr>
        <w:pStyle w:val="Definition"/>
      </w:pPr>
      <w:r>
        <w:rPr>
          <w:b/>
          <w:i/>
        </w:rPr>
        <w:t>old Regulations</w:t>
      </w:r>
      <w:r>
        <w:rPr>
          <w:b/>
        </w:rPr>
        <w:t xml:space="preserve"> </w:t>
      </w:r>
      <w:r>
        <w:t xml:space="preserve">means the </w:t>
      </w:r>
      <w:r>
        <w:rPr>
          <w:i/>
        </w:rPr>
        <w:t xml:space="preserve">Therapeutic Goods Regulations 1990 </w:t>
      </w:r>
      <w:r>
        <w:t xml:space="preserve">as in force immediately before the commencement of Part 3 of Schedule 4 to the </w:t>
      </w:r>
      <w:r>
        <w:rPr>
          <w:i/>
        </w:rPr>
        <w:t>Therapeutic Goods Legislation Amendment (2018 Measures No. 1) Regulations 2018</w:t>
      </w:r>
      <w:r w:rsidRPr="00FC573B">
        <w:t>.</w:t>
      </w:r>
    </w:p>
    <w:p w:rsidR="0044754F" w:rsidRPr="0002719F" w:rsidRDefault="0044754F" w:rsidP="0044754F">
      <w:pPr>
        <w:pStyle w:val="Definition"/>
        <w:ind w:left="2127" w:hanging="993"/>
        <w:rPr>
          <w:sz w:val="18"/>
          <w:szCs w:val="18"/>
        </w:rPr>
      </w:pPr>
      <w:r>
        <w:rPr>
          <w:sz w:val="18"/>
          <w:szCs w:val="18"/>
        </w:rPr>
        <w:t>Note</w:t>
      </w:r>
      <w:r w:rsidRPr="00941F67">
        <w:rPr>
          <w:sz w:val="18"/>
          <w:szCs w:val="18"/>
        </w:rPr>
        <w:t>:</w:t>
      </w:r>
      <w:r w:rsidRPr="00941F67">
        <w:rPr>
          <w:sz w:val="18"/>
          <w:szCs w:val="18"/>
        </w:rPr>
        <w:tab/>
      </w:r>
      <w:r w:rsidRPr="00B46F20">
        <w:rPr>
          <w:sz w:val="18"/>
          <w:szCs w:val="18"/>
        </w:rPr>
        <w:t xml:space="preserve">Part 3 of Schedule 4 to the </w:t>
      </w:r>
      <w:r w:rsidRPr="00C54C4F">
        <w:rPr>
          <w:i/>
          <w:sz w:val="18"/>
          <w:szCs w:val="18"/>
        </w:rPr>
        <w:t>Therapeutic Goods Legislation Amendment (2018 Measures No. 1) Regulations 2018</w:t>
      </w:r>
      <w:r>
        <w:rPr>
          <w:sz w:val="18"/>
          <w:szCs w:val="18"/>
        </w:rPr>
        <w:t xml:space="preserve"> commenced on 1 July 2018</w:t>
      </w:r>
      <w:r w:rsidRPr="00941F67">
        <w:rPr>
          <w:sz w:val="18"/>
          <w:szCs w:val="18"/>
        </w:rPr>
        <w:t>.</w:t>
      </w:r>
    </w:p>
    <w:p w:rsidR="00C00EC7" w:rsidRDefault="008F5AD8" w:rsidP="00554826">
      <w:pPr>
        <w:pStyle w:val="Definition"/>
      </w:pPr>
      <w:proofErr w:type="gramStart"/>
      <w:r w:rsidRPr="003F4A83">
        <w:rPr>
          <w:b/>
          <w:i/>
        </w:rPr>
        <w:t>outcome</w:t>
      </w:r>
      <w:proofErr w:type="gramEnd"/>
      <w:r>
        <w:rPr>
          <w:i/>
        </w:rPr>
        <w:t xml:space="preserve"> </w:t>
      </w:r>
      <w:r w:rsidR="00C00EC7">
        <w:t xml:space="preserve">means the outcome of </w:t>
      </w:r>
      <w:r w:rsidR="00A3502E">
        <w:t xml:space="preserve">a </w:t>
      </w:r>
      <w:r w:rsidR="00B6739E">
        <w:t>case</w:t>
      </w:r>
      <w:r w:rsidR="0044754F">
        <w:t xml:space="preserve">, </w:t>
      </w:r>
      <w:r w:rsidR="000A6947">
        <w:t>or subsequent related action or proceedings</w:t>
      </w:r>
      <w:r w:rsidR="00B6739E">
        <w:t xml:space="preserve"> in relation to that case</w:t>
      </w:r>
      <w:r w:rsidR="00C00EC7">
        <w:t>, including:</w:t>
      </w:r>
    </w:p>
    <w:p w:rsidR="00C00EC7" w:rsidRDefault="00495A33" w:rsidP="00EB6985">
      <w:pPr>
        <w:pStyle w:val="Definition"/>
        <w:spacing w:before="40"/>
        <w:ind w:left="1701" w:hanging="425"/>
      </w:pPr>
      <w:r>
        <w:t>(a)</w:t>
      </w:r>
      <w:r>
        <w:tab/>
      </w:r>
      <w:proofErr w:type="gramStart"/>
      <w:r w:rsidR="00C00EC7">
        <w:t>a</w:t>
      </w:r>
      <w:proofErr w:type="gramEnd"/>
      <w:r w:rsidR="00C00EC7">
        <w:t xml:space="preserve"> finding </w:t>
      </w:r>
      <w:r w:rsidR="00291F34">
        <w:t>that</w:t>
      </w:r>
      <w:r w:rsidR="00C00EC7">
        <w:t xml:space="preserve"> there is no contravention</w:t>
      </w:r>
      <w:r w:rsidR="00E17CBC">
        <w:t xml:space="preserve"> </w:t>
      </w:r>
      <w:r w:rsidR="00C00EC7">
        <w:t>of the Act, Regulations or Therapeutic Goods Advertising Code;</w:t>
      </w:r>
    </w:p>
    <w:p w:rsidR="00C00EC7" w:rsidRPr="00C00EC7" w:rsidRDefault="00495A33" w:rsidP="00495A33">
      <w:pPr>
        <w:pStyle w:val="Definition"/>
        <w:spacing w:before="40"/>
        <w:ind w:left="1701" w:hanging="425"/>
        <w:rPr>
          <w:i/>
        </w:rPr>
      </w:pPr>
      <w:r>
        <w:t>(b)</w:t>
      </w:r>
      <w:r>
        <w:tab/>
      </w:r>
      <w:proofErr w:type="gramStart"/>
      <w:r w:rsidR="007E1DE3">
        <w:t>action</w:t>
      </w:r>
      <w:proofErr w:type="gramEnd"/>
      <w:r w:rsidR="007E1DE3">
        <w:t xml:space="preserve"> </w:t>
      </w:r>
      <w:r w:rsidR="00C00EC7">
        <w:t xml:space="preserve">taken by a responsible </w:t>
      </w:r>
      <w:r w:rsidR="00D460D1">
        <w:t xml:space="preserve">person </w:t>
      </w:r>
      <w:r w:rsidR="00C00EC7">
        <w:t xml:space="preserve">in relation to </w:t>
      </w:r>
      <w:r w:rsidR="00BE72C4">
        <w:t>the advertisement or dissemination of generic information</w:t>
      </w:r>
      <w:r w:rsidR="00C00EC7">
        <w:t>;</w:t>
      </w:r>
    </w:p>
    <w:p w:rsidR="00C00EC7" w:rsidRPr="00C00EC7" w:rsidRDefault="00495A33" w:rsidP="00495A33">
      <w:pPr>
        <w:pStyle w:val="Definition"/>
        <w:spacing w:before="40"/>
        <w:ind w:left="1701" w:hanging="425"/>
        <w:rPr>
          <w:i/>
        </w:rPr>
      </w:pPr>
      <w:r>
        <w:t>(c)</w:t>
      </w:r>
      <w:r>
        <w:tab/>
      </w:r>
      <w:proofErr w:type="gramStart"/>
      <w:r w:rsidR="009B7F1D">
        <w:t>action</w:t>
      </w:r>
      <w:proofErr w:type="gramEnd"/>
      <w:r w:rsidR="009B7F1D">
        <w:t xml:space="preserve"> taken or </w:t>
      </w:r>
      <w:r w:rsidR="00C00EC7">
        <w:t>a decision</w:t>
      </w:r>
      <w:r w:rsidR="009B7F1D">
        <w:t xml:space="preserve"> made</w:t>
      </w:r>
      <w:r w:rsidR="00C00EC7">
        <w:t xml:space="preserve"> by the Secretary </w:t>
      </w:r>
      <w:r w:rsidR="0044754F">
        <w:t>in</w:t>
      </w:r>
      <w:r w:rsidR="00C00EC7">
        <w:t xml:space="preserve"> relation to </w:t>
      </w:r>
      <w:r w:rsidR="00BE72C4">
        <w:t>the advertisement or dissemination of generic information</w:t>
      </w:r>
      <w:r w:rsidR="00C00EC7">
        <w:t>;</w:t>
      </w:r>
    </w:p>
    <w:p w:rsidR="00C00EC7" w:rsidRPr="00BE72C4" w:rsidRDefault="00495A33" w:rsidP="00495A33">
      <w:pPr>
        <w:pStyle w:val="Definition"/>
        <w:spacing w:before="40"/>
        <w:ind w:left="1701" w:hanging="425"/>
        <w:rPr>
          <w:i/>
        </w:rPr>
      </w:pPr>
      <w:r w:rsidRPr="006E2A4B">
        <w:t>(d)</w:t>
      </w:r>
      <w:r w:rsidRPr="006E2A4B">
        <w:tab/>
      </w:r>
      <w:r w:rsidR="00C00EC7" w:rsidRPr="006E2A4B">
        <w:t>a decision of a Court that a person has committed an offence</w:t>
      </w:r>
      <w:r w:rsidR="005D1B38">
        <w:t xml:space="preserve">, or </w:t>
      </w:r>
      <w:r w:rsidR="005D1B38" w:rsidRPr="006E2A4B">
        <w:t>contravened a civil penalty provision</w:t>
      </w:r>
      <w:r w:rsidR="005D1B38">
        <w:t>,</w:t>
      </w:r>
      <w:r w:rsidR="005D1B38" w:rsidRPr="006E2A4B">
        <w:t xml:space="preserve"> </w:t>
      </w:r>
      <w:r w:rsidR="00C00EC7" w:rsidRPr="006E2A4B">
        <w:t xml:space="preserve">under Part 5-1 of the Act in relation to </w:t>
      </w:r>
      <w:r w:rsidR="00BE72C4">
        <w:t>the</w:t>
      </w:r>
      <w:r w:rsidR="00BE72C4" w:rsidRPr="006E2A4B">
        <w:t xml:space="preserve"> </w:t>
      </w:r>
      <w:r w:rsidR="00C00EC7" w:rsidRPr="006E2A4B">
        <w:t>advertisement or the dissemination of generic information;</w:t>
      </w:r>
      <w:r w:rsidR="00830023">
        <w:t xml:space="preserve"> and</w:t>
      </w:r>
    </w:p>
    <w:p w:rsidR="008A1A3E" w:rsidRPr="00495A33" w:rsidRDefault="00495A33" w:rsidP="00495A33">
      <w:pPr>
        <w:pStyle w:val="Definition"/>
        <w:spacing w:before="40"/>
        <w:ind w:left="1701" w:hanging="425"/>
        <w:rPr>
          <w:i/>
        </w:rPr>
      </w:pPr>
      <w:r w:rsidRPr="006E2A4B">
        <w:t>(</w:t>
      </w:r>
      <w:r w:rsidR="005D1B38">
        <w:t>e</w:t>
      </w:r>
      <w:r w:rsidRPr="006E2A4B">
        <w:t>)</w:t>
      </w:r>
      <w:r w:rsidRPr="006E2A4B">
        <w:tab/>
      </w:r>
      <w:proofErr w:type="gramStart"/>
      <w:r w:rsidR="008A1A3E" w:rsidRPr="006E2A4B">
        <w:t>a</w:t>
      </w:r>
      <w:proofErr w:type="gramEnd"/>
      <w:r w:rsidR="008A1A3E" w:rsidRPr="006E2A4B">
        <w:t xml:space="preserve"> decision of a Court ordering an injunction under Part 5A-4 of the Act in response to an application by the Secretary in relation to </w:t>
      </w:r>
      <w:r w:rsidR="00BE72C4">
        <w:t>the</w:t>
      </w:r>
      <w:r w:rsidR="00BE72C4" w:rsidRPr="006E2A4B">
        <w:t xml:space="preserve"> </w:t>
      </w:r>
      <w:r w:rsidR="008A1A3E" w:rsidRPr="006E2A4B">
        <w:t>advertisement or the dissemination of generic informatio</w:t>
      </w:r>
      <w:r w:rsidR="008A1A3E" w:rsidRPr="00BE72C4">
        <w:t>n.</w:t>
      </w:r>
    </w:p>
    <w:p w:rsidR="007209C5" w:rsidRDefault="007209C5" w:rsidP="007209C5">
      <w:pPr>
        <w:pStyle w:val="Definition"/>
      </w:pPr>
      <w:proofErr w:type="gramStart"/>
      <w:r>
        <w:rPr>
          <w:b/>
          <w:i/>
        </w:rPr>
        <w:t>reference</w:t>
      </w:r>
      <w:proofErr w:type="gramEnd"/>
      <w:r>
        <w:rPr>
          <w:b/>
          <w:i/>
        </w:rPr>
        <w:t xml:space="preserve"> number </w:t>
      </w:r>
      <w:r w:rsidRPr="007209C5">
        <w:t>means</w:t>
      </w:r>
      <w:r>
        <w:t xml:space="preserve"> any combination of numbers, symbols and letters assigned </w:t>
      </w:r>
      <w:r w:rsidR="0044754F">
        <w:t xml:space="preserve">by the Therapeutic Goods Administration </w:t>
      </w:r>
      <w:r>
        <w:t xml:space="preserve">to </w:t>
      </w:r>
      <w:r w:rsidR="0095374A">
        <w:t xml:space="preserve">a </w:t>
      </w:r>
      <w:r w:rsidR="00B6739E">
        <w:t xml:space="preserve">complaint or an investigation </w:t>
      </w:r>
      <w:r w:rsidR="0095374A">
        <w:t xml:space="preserve">of </w:t>
      </w:r>
      <w:r w:rsidR="00B6739E">
        <w:t>the Therapeutic Goods Administration</w:t>
      </w:r>
      <w:r w:rsidR="0095374A">
        <w:t xml:space="preserve"> on its own initiative</w:t>
      </w:r>
      <w:r>
        <w:t>.</w:t>
      </w:r>
    </w:p>
    <w:p w:rsidR="00C00EC7" w:rsidRDefault="008A1A3E" w:rsidP="00554826">
      <w:pPr>
        <w:pStyle w:val="Definition"/>
      </w:pPr>
      <w:proofErr w:type="gramStart"/>
      <w:r>
        <w:rPr>
          <w:b/>
          <w:i/>
        </w:rPr>
        <w:t>Regulations</w:t>
      </w:r>
      <w:r>
        <w:rPr>
          <w:i/>
        </w:rPr>
        <w:t xml:space="preserve"> </w:t>
      </w:r>
      <w:r>
        <w:t>means</w:t>
      </w:r>
      <w:proofErr w:type="gramEnd"/>
      <w:r>
        <w:t xml:space="preserve"> the </w:t>
      </w:r>
      <w:r>
        <w:rPr>
          <w:i/>
        </w:rPr>
        <w:t>Therapeutic Goods Regulations 1990</w:t>
      </w:r>
      <w:r>
        <w:t>.</w:t>
      </w:r>
    </w:p>
    <w:p w:rsidR="0003490D" w:rsidRDefault="008A1A3E" w:rsidP="00554826">
      <w:pPr>
        <w:pStyle w:val="Definition"/>
      </w:pPr>
      <w:proofErr w:type="gramStart"/>
      <w:r>
        <w:rPr>
          <w:b/>
          <w:i/>
        </w:rPr>
        <w:t>responsible</w:t>
      </w:r>
      <w:proofErr w:type="gramEnd"/>
      <w:r>
        <w:rPr>
          <w:b/>
          <w:i/>
        </w:rPr>
        <w:t xml:space="preserve"> </w:t>
      </w:r>
      <w:r w:rsidR="00BE72C4">
        <w:rPr>
          <w:b/>
          <w:i/>
        </w:rPr>
        <w:t>person</w:t>
      </w:r>
      <w:r w:rsidR="00BE72C4">
        <w:t xml:space="preserve"> </w:t>
      </w:r>
      <w:r>
        <w:t>means the</w:t>
      </w:r>
      <w:r w:rsidR="0003490D">
        <w:t xml:space="preserve"> person </w:t>
      </w:r>
      <w:r w:rsidR="0003490D" w:rsidRPr="00387C4E">
        <w:t>who</w:t>
      </w:r>
      <w:r w:rsidR="005D1B38" w:rsidRPr="00387C4E">
        <w:t xml:space="preserve"> </w:t>
      </w:r>
      <w:r w:rsidR="005D1B38" w:rsidRPr="00E509CB">
        <w:t>appears to be responsible for</w:t>
      </w:r>
      <w:r w:rsidR="0003490D" w:rsidRPr="00E509CB">
        <w:t>:</w:t>
      </w:r>
    </w:p>
    <w:p w:rsidR="0003490D" w:rsidRPr="00EB6985" w:rsidRDefault="00EB6985" w:rsidP="00EB6985">
      <w:pPr>
        <w:pStyle w:val="Definition"/>
        <w:tabs>
          <w:tab w:val="left" w:pos="1276"/>
        </w:tabs>
        <w:spacing w:before="40"/>
        <w:ind w:left="1701" w:hanging="425"/>
      </w:pPr>
      <w:r>
        <w:lastRenderedPageBreak/>
        <w:t xml:space="preserve">(a) </w:t>
      </w:r>
      <w:r>
        <w:tab/>
      </w:r>
      <w:proofErr w:type="gramStart"/>
      <w:r w:rsidR="0003490D">
        <w:t>advertis</w:t>
      </w:r>
      <w:r w:rsidR="005D1B38">
        <w:t>ing</w:t>
      </w:r>
      <w:proofErr w:type="gramEnd"/>
      <w:r w:rsidR="0003490D">
        <w:t>, by any means, therapeutic goods or caus</w:t>
      </w:r>
      <w:r w:rsidR="005D1B38">
        <w:t>ing</w:t>
      </w:r>
      <w:r w:rsidR="0003490D">
        <w:t xml:space="preserve"> the advertising, by any means, of therapeutic goods; or</w:t>
      </w:r>
    </w:p>
    <w:p w:rsidR="008A1A3E" w:rsidRDefault="00EB6985" w:rsidP="00EB6985">
      <w:pPr>
        <w:pStyle w:val="Definition"/>
        <w:tabs>
          <w:tab w:val="left" w:pos="1276"/>
        </w:tabs>
        <w:spacing w:before="40"/>
        <w:ind w:left="1701" w:hanging="425"/>
      </w:pPr>
      <w:r>
        <w:t>(b)</w:t>
      </w:r>
      <w:r>
        <w:tab/>
      </w:r>
      <w:proofErr w:type="gramStart"/>
      <w:r w:rsidR="0003490D">
        <w:t>disseminat</w:t>
      </w:r>
      <w:r w:rsidR="005D1B38">
        <w:t>ing</w:t>
      </w:r>
      <w:proofErr w:type="gramEnd"/>
      <w:r w:rsidR="0003490D">
        <w:t>, by any means, generic info</w:t>
      </w:r>
      <w:r w:rsidR="00A8173A">
        <w:t>rmation about therapeutic goods</w:t>
      </w:r>
      <w:r w:rsidR="0003490D">
        <w:t xml:space="preserve"> to the public or a section of the public. </w:t>
      </w:r>
    </w:p>
    <w:p w:rsidR="008A1A3E" w:rsidRDefault="003A496C" w:rsidP="00554826">
      <w:pPr>
        <w:pStyle w:val="Definition"/>
      </w:pPr>
      <w:r>
        <w:rPr>
          <w:b/>
          <w:i/>
        </w:rPr>
        <w:t xml:space="preserve">Therapeutic Goods Administration </w:t>
      </w:r>
      <w:r w:rsidRPr="008B1ABA">
        <w:t>has</w:t>
      </w:r>
      <w:r>
        <w:t xml:space="preserve"> the same meaning as in the Regulations.</w:t>
      </w:r>
    </w:p>
    <w:p w:rsidR="00554826" w:rsidRPr="00554826" w:rsidRDefault="00554826" w:rsidP="00554826">
      <w:pPr>
        <w:pStyle w:val="ActHead5"/>
      </w:pPr>
      <w:bookmarkStart w:id="6" w:name="_Toc454781205"/>
      <w:bookmarkStart w:id="7" w:name="_Toc532477735"/>
      <w:proofErr w:type="gramStart"/>
      <w:r w:rsidRPr="00554826">
        <w:t xml:space="preserve">5  </w:t>
      </w:r>
      <w:bookmarkEnd w:id="6"/>
      <w:r w:rsidR="005A6510">
        <w:t>Repeal</w:t>
      </w:r>
      <w:r w:rsidR="00EE1E10">
        <w:t>s</w:t>
      </w:r>
      <w:bookmarkEnd w:id="7"/>
      <w:proofErr w:type="gramEnd"/>
    </w:p>
    <w:p w:rsidR="00554826" w:rsidRDefault="00554826" w:rsidP="00554826">
      <w:pPr>
        <w:pStyle w:val="subsection"/>
      </w:pPr>
      <w:r w:rsidRPr="006065DA">
        <w:tab/>
      </w:r>
      <w:r w:rsidRPr="006065DA">
        <w:tab/>
      </w:r>
      <w:r w:rsidRPr="00D53146">
        <w:t>Each i</w:t>
      </w:r>
      <w:r w:rsidR="00291F34" w:rsidRPr="00D53146">
        <w:t>nstrument that is specified in</w:t>
      </w:r>
      <w:r w:rsidRPr="00D53146">
        <w:t xml:space="preserve"> Schedule</w:t>
      </w:r>
      <w:r w:rsidR="00F069F4" w:rsidRPr="00D53146">
        <w:t xml:space="preserve"> 1</w:t>
      </w:r>
      <w:r w:rsidRPr="00D53146">
        <w:t xml:space="preserve"> </w:t>
      </w:r>
      <w:r w:rsidR="00A84735" w:rsidRPr="00D53146">
        <w:t>to this instrument is</w:t>
      </w:r>
      <w:r w:rsidRPr="00D53146">
        <w:t xml:space="preserve"> repealed as set ou</w:t>
      </w:r>
      <w:r w:rsidR="00291F34" w:rsidRPr="00D53146">
        <w:t xml:space="preserve">t in </w:t>
      </w:r>
      <w:r w:rsidR="0044754F">
        <w:t xml:space="preserve">the applicable items in that </w:t>
      </w:r>
      <w:r w:rsidR="00291F34" w:rsidRPr="00D53146">
        <w:t>Schedule</w:t>
      </w:r>
      <w:r w:rsidRPr="00D53146">
        <w:t>.</w:t>
      </w:r>
    </w:p>
    <w:p w:rsidR="00554826" w:rsidRPr="00B25ABD" w:rsidRDefault="00554826" w:rsidP="00554826">
      <w:pPr>
        <w:pStyle w:val="ActHead5"/>
      </w:pPr>
      <w:bookmarkStart w:id="8" w:name="_Toc532477736"/>
      <w:proofErr w:type="gramStart"/>
      <w:r w:rsidRPr="00B25ABD">
        <w:t>6  Th</w:t>
      </w:r>
      <w:r w:rsidR="00F91AB1">
        <w:t>erapeutic</w:t>
      </w:r>
      <w:proofErr w:type="gramEnd"/>
      <w:r w:rsidR="00F91AB1">
        <w:t xml:space="preserve"> goods information</w:t>
      </w:r>
      <w:bookmarkEnd w:id="8"/>
    </w:p>
    <w:p w:rsidR="0002719F" w:rsidRDefault="008D4EC7" w:rsidP="008D4EC7">
      <w:pPr>
        <w:pStyle w:val="subsection"/>
        <w:ind w:firstLine="0"/>
      </w:pPr>
      <w:r>
        <w:t xml:space="preserve">The kinds of therapeutic goods information </w:t>
      </w:r>
      <w:r w:rsidR="005A6510">
        <w:t xml:space="preserve">set out </w:t>
      </w:r>
      <w:r>
        <w:t>in</w:t>
      </w:r>
      <w:r w:rsidR="00927DC8">
        <w:t xml:space="preserve"> column 2 of the table in</w:t>
      </w:r>
      <w:r>
        <w:t xml:space="preserve"> Schedule 2</w:t>
      </w:r>
      <w:r w:rsidR="00927DC8">
        <w:t>, as described in column 3 of the corresponding item,</w:t>
      </w:r>
      <w:r>
        <w:t xml:space="preserve"> are specified for the purpose of subsection 61(5</w:t>
      </w:r>
      <w:r w:rsidR="005A6510">
        <w:t>C</w:t>
      </w:r>
      <w:r>
        <w:t>) of the Act.</w:t>
      </w:r>
    </w:p>
    <w:p w:rsidR="0002719F" w:rsidRPr="0002719F" w:rsidRDefault="0002719F" w:rsidP="0002719F">
      <w:pPr>
        <w:pStyle w:val="Definition"/>
        <w:ind w:left="2127" w:hanging="993"/>
        <w:rPr>
          <w:sz w:val="18"/>
          <w:szCs w:val="18"/>
        </w:rPr>
      </w:pPr>
      <w:r w:rsidRPr="008B1ABA">
        <w:rPr>
          <w:sz w:val="18"/>
          <w:szCs w:val="18"/>
        </w:rPr>
        <w:t>Note:</w:t>
      </w:r>
      <w:r w:rsidRPr="008B1ABA">
        <w:rPr>
          <w:sz w:val="18"/>
          <w:szCs w:val="18"/>
        </w:rPr>
        <w:tab/>
        <w:t>Kinds of therapeutic goods information specified under subsection 61(5D) of the Act may be released by the Secretary to the public under subsection 61(5C).</w:t>
      </w:r>
    </w:p>
    <w:p w:rsidR="0002719F" w:rsidRPr="008A1A3E" w:rsidRDefault="0002719F" w:rsidP="0002719F">
      <w:pPr>
        <w:pStyle w:val="Definition"/>
        <w:ind w:left="2127" w:hanging="993"/>
        <w:rPr>
          <w:sz w:val="18"/>
          <w:szCs w:val="18"/>
        </w:rPr>
      </w:pPr>
    </w:p>
    <w:p w:rsidR="00554826" w:rsidRDefault="00554826" w:rsidP="008D4EC7">
      <w:pPr>
        <w:pStyle w:val="subsection"/>
        <w:ind w:firstLine="0"/>
      </w:pPr>
      <w:r>
        <w:br w:type="page"/>
      </w:r>
    </w:p>
    <w:p w:rsidR="00D6537E" w:rsidRPr="0012460E" w:rsidRDefault="004E1307" w:rsidP="0012460E">
      <w:pPr>
        <w:pStyle w:val="ActHead6"/>
        <w:rPr>
          <w:rStyle w:val="CharChapNo"/>
          <w:rFonts w:cs="Arial"/>
          <w:szCs w:val="32"/>
        </w:rPr>
      </w:pPr>
      <w:bookmarkStart w:id="9" w:name="_Toc532477737"/>
      <w:r w:rsidRPr="0012460E">
        <w:rPr>
          <w:rStyle w:val="CharChapNo"/>
          <w:rFonts w:cs="Arial"/>
          <w:szCs w:val="32"/>
        </w:rPr>
        <w:lastRenderedPageBreak/>
        <w:t xml:space="preserve">Schedule </w:t>
      </w:r>
      <w:r w:rsidR="00D6537E" w:rsidRPr="0012460E">
        <w:rPr>
          <w:rStyle w:val="CharChapNo"/>
          <w:rFonts w:cs="Arial"/>
          <w:szCs w:val="32"/>
        </w:rPr>
        <w:t>1—Repeals</w:t>
      </w:r>
      <w:bookmarkEnd w:id="9"/>
    </w:p>
    <w:p w:rsidR="009D2CB4" w:rsidRPr="00F4319E" w:rsidRDefault="009D2CB4" w:rsidP="009D2CB4">
      <w:pPr>
        <w:pStyle w:val="notemargin"/>
      </w:pPr>
      <w:r w:rsidRPr="00FC4418">
        <w:t>Note:</w:t>
      </w:r>
      <w:r w:rsidRPr="00FC4418">
        <w:tab/>
        <w:t>See section 5.</w:t>
      </w:r>
    </w:p>
    <w:p w:rsidR="00D6537E" w:rsidRPr="00D6537E" w:rsidRDefault="00615020" w:rsidP="009016BF">
      <w:pPr>
        <w:pStyle w:val="ActHead9"/>
      </w:pPr>
      <w:bookmarkStart w:id="10" w:name="_Toc532477738"/>
      <w:r>
        <w:t>Therapeutic Goods</w:t>
      </w:r>
      <w:r w:rsidR="00291F34">
        <w:t xml:space="preserve"> Information</w:t>
      </w:r>
      <w:r>
        <w:t xml:space="preserve"> (</w:t>
      </w:r>
      <w:r w:rsidR="00580B37">
        <w:t>Outcomes of Advertising Complaints Investigations</w:t>
      </w:r>
      <w:r>
        <w:t>)</w:t>
      </w:r>
      <w:r w:rsidR="00B25ABD">
        <w:t xml:space="preserve"> Specification 2018</w:t>
      </w:r>
      <w:bookmarkEnd w:id="10"/>
    </w:p>
    <w:p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:rsidR="004E1307" w:rsidRDefault="00D6537E" w:rsidP="00D6537E">
      <w:pPr>
        <w:pStyle w:val="Item"/>
      </w:pPr>
      <w:r>
        <w:t>Repeal the instrument</w:t>
      </w:r>
      <w:r w:rsidR="00BB16E1">
        <w:t>.</w:t>
      </w:r>
    </w:p>
    <w:p w:rsidR="00554826" w:rsidRPr="00554826" w:rsidRDefault="00554826" w:rsidP="00554826"/>
    <w:p w:rsidR="00B20514" w:rsidRDefault="00B20514">
      <w:pPr>
        <w:spacing w:line="240" w:lineRule="auto"/>
      </w:pPr>
      <w:r>
        <w:br w:type="page"/>
      </w:r>
    </w:p>
    <w:p w:rsidR="00554826" w:rsidRPr="00DA1731" w:rsidRDefault="00B20514" w:rsidP="0012460E">
      <w:pPr>
        <w:pStyle w:val="ActHead6"/>
        <w:rPr>
          <w:rStyle w:val="CharChapText"/>
        </w:rPr>
      </w:pPr>
      <w:bookmarkStart w:id="11" w:name="_Toc532477739"/>
      <w:r w:rsidRPr="00DA1731">
        <w:rPr>
          <w:rStyle w:val="CharChapText"/>
        </w:rPr>
        <w:lastRenderedPageBreak/>
        <w:t>Schedule 2—</w:t>
      </w:r>
      <w:r w:rsidR="00C53120" w:rsidRPr="00DA1731">
        <w:rPr>
          <w:rStyle w:val="CharChapText"/>
        </w:rPr>
        <w:t>Specified kinds of therapeutic goods information</w:t>
      </w:r>
      <w:bookmarkEnd w:id="11"/>
    </w:p>
    <w:p w:rsidR="009D2CB4" w:rsidRDefault="009D2CB4" w:rsidP="009D2CB4">
      <w:pPr>
        <w:pStyle w:val="notemargin"/>
      </w:pPr>
      <w:r w:rsidRPr="00FC4418">
        <w:t>Note:</w:t>
      </w:r>
      <w:r w:rsidRPr="00FC4418">
        <w:tab/>
        <w:t>See section </w:t>
      </w:r>
      <w:r w:rsidR="008F5AD8">
        <w:t>6</w:t>
      </w:r>
      <w:r w:rsidRPr="00FC4418">
        <w:t>.</w:t>
      </w:r>
    </w:p>
    <w:p w:rsidR="00BB16E1" w:rsidRPr="00BC0462" w:rsidRDefault="00BB16E1" w:rsidP="00E509CB">
      <w:pPr>
        <w:spacing w:before="120" w:line="360" w:lineRule="auto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8472" w:type="dxa"/>
        <w:tblBorders>
          <w:top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3544"/>
      </w:tblGrid>
      <w:tr w:rsidR="00BB16E1" w:rsidRPr="001E33CF" w:rsidTr="00EB098C">
        <w:trPr>
          <w:trHeight w:val="322"/>
          <w:tblHeader/>
        </w:trPr>
        <w:tc>
          <w:tcPr>
            <w:tcW w:w="4928" w:type="dxa"/>
            <w:hideMark/>
          </w:tcPr>
          <w:p w:rsidR="00BB16E1" w:rsidRPr="001E33CF" w:rsidRDefault="00C92BD8" w:rsidP="00C92BD8">
            <w:pPr>
              <w:spacing w:before="6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Kinds of t</w:t>
            </w:r>
            <w:r w:rsidR="00BB16E1">
              <w:rPr>
                <w:b/>
                <w:sz w:val="20"/>
              </w:rPr>
              <w:t xml:space="preserve">herapeutic </w:t>
            </w:r>
            <w:r w:rsidR="00BB16E1" w:rsidRPr="001E33CF">
              <w:rPr>
                <w:b/>
                <w:sz w:val="20"/>
              </w:rPr>
              <w:t>goods</w:t>
            </w:r>
            <w:r>
              <w:rPr>
                <w:b/>
                <w:sz w:val="20"/>
              </w:rPr>
              <w:t xml:space="preserve"> information</w:t>
            </w:r>
          </w:p>
        </w:tc>
        <w:tc>
          <w:tcPr>
            <w:tcW w:w="3544" w:type="dxa"/>
          </w:tcPr>
          <w:p w:rsidR="00BB16E1" w:rsidRPr="001E33CF" w:rsidRDefault="00BB16E1" w:rsidP="00EB098C">
            <w:pPr>
              <w:spacing w:before="60" w:line="276" w:lineRule="auto"/>
              <w:ind w:right="34"/>
              <w:rPr>
                <w:b/>
                <w:sz w:val="20"/>
              </w:rPr>
            </w:pPr>
          </w:p>
        </w:tc>
      </w:tr>
    </w:tbl>
    <w:tbl>
      <w:tblPr>
        <w:tblW w:w="496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2584"/>
        <w:gridCol w:w="4679"/>
      </w:tblGrid>
      <w:tr w:rsidR="00DF1ECF" w:rsidTr="00EB098C">
        <w:trPr>
          <w:tblHeader/>
        </w:trPr>
        <w:tc>
          <w:tcPr>
            <w:tcW w:w="714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F1ECF" w:rsidRDefault="00DF1EC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  <w:p w:rsidR="00DF1ECF" w:rsidRDefault="00DF1EC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 xml:space="preserve">Item </w:t>
            </w:r>
          </w:p>
        </w:tc>
        <w:tc>
          <w:tcPr>
            <w:tcW w:w="1525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F1ECF" w:rsidRDefault="00DF1EC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  <w:p w:rsidR="00DF1ECF" w:rsidRDefault="00DF1EC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Information</w:t>
            </w:r>
          </w:p>
        </w:tc>
        <w:tc>
          <w:tcPr>
            <w:tcW w:w="276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F1ECF" w:rsidRDefault="00DF1ECF" w:rsidP="00EB098C">
            <w:pPr>
              <w:pStyle w:val="TableHeading"/>
              <w:ind w:left="34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  <w:p w:rsidR="00DF1ECF" w:rsidRDefault="00DF1ECF" w:rsidP="00EB098C">
            <w:pPr>
              <w:pStyle w:val="TableHeading"/>
              <w:ind w:left="34"/>
              <w:rPr>
                <w:lang w:eastAsia="en-US"/>
              </w:rPr>
            </w:pPr>
            <w:r>
              <w:rPr>
                <w:lang w:eastAsia="en-US"/>
              </w:rPr>
              <w:t>Description</w:t>
            </w:r>
          </w:p>
        </w:tc>
      </w:tr>
      <w:tr w:rsidR="00DF1ECF" w:rsidTr="00EB098C"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ECF" w:rsidRDefault="00DF1EC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2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ECF" w:rsidRDefault="00F57A8C" w:rsidP="00B248D7">
            <w:pPr>
              <w:pStyle w:val="Tabletext"/>
              <w:rPr>
                <w:lang w:eastAsia="en-US"/>
              </w:rPr>
            </w:pPr>
            <w:r w:rsidRPr="00954B9F">
              <w:rPr>
                <w:lang w:eastAsia="en-US"/>
              </w:rPr>
              <w:t>r</w:t>
            </w:r>
            <w:r w:rsidR="00DF1ECF" w:rsidRPr="00954B9F">
              <w:rPr>
                <w:lang w:eastAsia="en-US"/>
              </w:rPr>
              <w:t xml:space="preserve">esponsible </w:t>
            </w:r>
            <w:r w:rsidR="00B248D7" w:rsidRPr="00954B9F">
              <w:rPr>
                <w:lang w:eastAsia="en-US"/>
              </w:rPr>
              <w:t>person</w:t>
            </w:r>
          </w:p>
        </w:tc>
        <w:tc>
          <w:tcPr>
            <w:tcW w:w="276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F1ECF" w:rsidRDefault="00F57A8C" w:rsidP="009B7F1D">
            <w:pPr>
              <w:pStyle w:val="Tabletext"/>
              <w:ind w:left="34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="00DF1ECF">
              <w:rPr>
                <w:lang w:eastAsia="en-US"/>
              </w:rPr>
              <w:t xml:space="preserve">he </w:t>
            </w:r>
            <w:r w:rsidR="0046257B">
              <w:rPr>
                <w:lang w:eastAsia="en-US"/>
              </w:rPr>
              <w:t xml:space="preserve">name of the </w:t>
            </w:r>
            <w:r w:rsidR="009B7F1D">
              <w:rPr>
                <w:lang w:eastAsia="en-US"/>
              </w:rPr>
              <w:t xml:space="preserve">responsible </w:t>
            </w:r>
            <w:r w:rsidR="00B248D7">
              <w:rPr>
                <w:lang w:eastAsia="en-US"/>
              </w:rPr>
              <w:t>person</w:t>
            </w:r>
            <w:r w:rsidR="00DF1ECF">
              <w:rPr>
                <w:lang w:eastAsia="en-US"/>
              </w:rPr>
              <w:t xml:space="preserve">  </w:t>
            </w:r>
            <w:r w:rsidR="009B7F1D">
              <w:rPr>
                <w:lang w:eastAsia="en-US"/>
              </w:rPr>
              <w:t xml:space="preserve">in relation to </w:t>
            </w:r>
            <w:r w:rsidR="00DF1ECF">
              <w:rPr>
                <w:lang w:eastAsia="en-US"/>
              </w:rPr>
              <w:t xml:space="preserve">the </w:t>
            </w:r>
            <w:r w:rsidR="0046257B">
              <w:rPr>
                <w:lang w:eastAsia="en-US"/>
              </w:rPr>
              <w:t xml:space="preserve">advertisement or </w:t>
            </w:r>
            <w:r w:rsidR="00316EB7">
              <w:rPr>
                <w:lang w:eastAsia="en-US"/>
              </w:rPr>
              <w:t xml:space="preserve">dissemination of </w:t>
            </w:r>
            <w:r w:rsidR="00DF1ECF">
              <w:rPr>
                <w:lang w:eastAsia="en-US"/>
              </w:rPr>
              <w:t xml:space="preserve">generic information </w:t>
            </w:r>
            <w:r w:rsidR="00247B7A">
              <w:rPr>
                <w:lang w:eastAsia="en-US"/>
              </w:rPr>
              <w:t>that</w:t>
            </w:r>
            <w:r w:rsidR="00DF1EC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is the subject of the </w:t>
            </w:r>
            <w:r w:rsidR="00B6739E">
              <w:rPr>
                <w:lang w:eastAsia="en-US"/>
              </w:rPr>
              <w:t>case</w:t>
            </w:r>
          </w:p>
        </w:tc>
      </w:tr>
      <w:tr w:rsidR="00DF1ECF" w:rsidTr="00EB098C"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ECF" w:rsidRDefault="00DF1EC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ECF" w:rsidRDefault="00F57A8C">
            <w:pPr>
              <w:pStyle w:val="Tabletext"/>
              <w:rPr>
                <w:lang w:eastAsia="en-US"/>
              </w:rPr>
            </w:pPr>
            <w:r w:rsidRPr="00954B9F">
              <w:rPr>
                <w:lang w:eastAsia="en-US"/>
              </w:rPr>
              <w:t>t</w:t>
            </w:r>
            <w:r w:rsidR="00DF1ECF" w:rsidRPr="00954B9F">
              <w:rPr>
                <w:lang w:eastAsia="en-US"/>
              </w:rPr>
              <w:t>herapeutic</w:t>
            </w:r>
            <w:r w:rsidR="00584035" w:rsidRPr="00954B9F">
              <w:rPr>
                <w:lang w:eastAsia="en-US"/>
              </w:rPr>
              <w:t xml:space="preserve"> goods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ECF" w:rsidRDefault="00F57A8C" w:rsidP="00B6739E">
            <w:pPr>
              <w:pStyle w:val="Tabletext"/>
              <w:ind w:left="34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="00584035">
              <w:rPr>
                <w:lang w:eastAsia="en-US"/>
              </w:rPr>
              <w:t xml:space="preserve">he name of the therapeutic goods </w:t>
            </w:r>
            <w:r w:rsidR="0046257B">
              <w:rPr>
                <w:lang w:eastAsia="en-US"/>
              </w:rPr>
              <w:t>relating to the advertisement or</w:t>
            </w:r>
            <w:r w:rsidR="008F1743">
              <w:rPr>
                <w:lang w:eastAsia="en-US"/>
              </w:rPr>
              <w:t xml:space="preserve"> dissemination of</w:t>
            </w:r>
            <w:r w:rsidR="0046257B">
              <w:rPr>
                <w:lang w:eastAsia="en-US"/>
              </w:rPr>
              <w:t xml:space="preserve"> generic information </w:t>
            </w:r>
            <w:r w:rsidR="00584035">
              <w:rPr>
                <w:lang w:eastAsia="en-US"/>
              </w:rPr>
              <w:t xml:space="preserve">that </w:t>
            </w:r>
            <w:r w:rsidR="0046257B">
              <w:rPr>
                <w:lang w:eastAsia="en-US"/>
              </w:rPr>
              <w:t xml:space="preserve">is </w:t>
            </w:r>
            <w:r w:rsidR="00584035">
              <w:rPr>
                <w:lang w:eastAsia="en-US"/>
              </w:rPr>
              <w:t xml:space="preserve">the subject of the </w:t>
            </w:r>
            <w:r w:rsidR="00B6739E">
              <w:rPr>
                <w:lang w:eastAsia="en-US"/>
              </w:rPr>
              <w:t xml:space="preserve">case </w:t>
            </w:r>
            <w:r w:rsidR="008F1743" w:rsidRPr="00DB35A4">
              <w:rPr>
                <w:lang w:eastAsia="en-US"/>
              </w:rPr>
              <w:t>(the</w:t>
            </w:r>
            <w:r w:rsidR="008F1743" w:rsidRPr="00504D2D">
              <w:rPr>
                <w:b/>
                <w:i/>
                <w:lang w:eastAsia="en-US"/>
              </w:rPr>
              <w:t xml:space="preserve"> relevant </w:t>
            </w:r>
            <w:r w:rsidR="00152466" w:rsidRPr="00504D2D">
              <w:rPr>
                <w:b/>
                <w:i/>
                <w:lang w:eastAsia="en-US"/>
              </w:rPr>
              <w:t>goods</w:t>
            </w:r>
            <w:r w:rsidR="008F1743" w:rsidRPr="00504D2D">
              <w:rPr>
                <w:b/>
                <w:i/>
                <w:lang w:eastAsia="en-US"/>
              </w:rPr>
              <w:t>)</w:t>
            </w:r>
            <w:r w:rsidR="00B248D7" w:rsidRPr="00982CCB">
              <w:rPr>
                <w:lang w:eastAsia="en-US"/>
              </w:rPr>
              <w:t xml:space="preserve"> </w:t>
            </w:r>
            <w:r w:rsidR="00584035" w:rsidRPr="00982CCB">
              <w:rPr>
                <w:lang w:eastAsia="en-US"/>
              </w:rPr>
              <w:t>a</w:t>
            </w:r>
            <w:r w:rsidR="00584035">
              <w:rPr>
                <w:lang w:eastAsia="en-US"/>
              </w:rPr>
              <w:t>nd any other information necessary to</w:t>
            </w:r>
            <w:r>
              <w:rPr>
                <w:lang w:eastAsia="en-US"/>
              </w:rPr>
              <w:t xml:space="preserve"> identify th</w:t>
            </w:r>
            <w:r w:rsidR="00E92800">
              <w:rPr>
                <w:lang w:eastAsia="en-US"/>
              </w:rPr>
              <w:t>e relevant</w:t>
            </w:r>
            <w:r>
              <w:rPr>
                <w:lang w:eastAsia="en-US"/>
              </w:rPr>
              <w:t xml:space="preserve"> goods</w:t>
            </w:r>
          </w:p>
        </w:tc>
      </w:tr>
      <w:tr w:rsidR="00DF1ECF" w:rsidTr="00EB098C"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ECF" w:rsidRPr="00177889" w:rsidRDefault="00DF1ECF">
            <w:pPr>
              <w:pStyle w:val="Tabletext"/>
              <w:rPr>
                <w:lang w:eastAsia="en-US"/>
              </w:rPr>
            </w:pPr>
            <w:r w:rsidRPr="00177889">
              <w:rPr>
                <w:lang w:eastAsia="en-US"/>
              </w:rPr>
              <w:t>3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ECF" w:rsidRPr="00177889" w:rsidRDefault="00F57A8C">
            <w:pPr>
              <w:pStyle w:val="Tabletext"/>
              <w:rPr>
                <w:lang w:eastAsia="en-US"/>
              </w:rPr>
            </w:pPr>
            <w:r w:rsidRPr="00177889">
              <w:rPr>
                <w:lang w:eastAsia="en-US"/>
              </w:rPr>
              <w:t>R</w:t>
            </w:r>
            <w:r w:rsidR="00584035" w:rsidRPr="00177889">
              <w:rPr>
                <w:lang w:eastAsia="en-US"/>
              </w:rPr>
              <w:t>egister number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ECF" w:rsidRDefault="00F57A8C" w:rsidP="00EB098C">
            <w:pPr>
              <w:pStyle w:val="Tabletext"/>
              <w:ind w:left="34"/>
              <w:rPr>
                <w:lang w:eastAsia="en-US"/>
              </w:rPr>
            </w:pPr>
            <w:r w:rsidRPr="00177889">
              <w:rPr>
                <w:lang w:eastAsia="en-US"/>
              </w:rPr>
              <w:t>t</w:t>
            </w:r>
            <w:r w:rsidR="007041C8" w:rsidRPr="00177889">
              <w:rPr>
                <w:lang w:eastAsia="en-US"/>
              </w:rPr>
              <w:t>h</w:t>
            </w:r>
            <w:r w:rsidR="003A7CE6" w:rsidRPr="00177889">
              <w:rPr>
                <w:lang w:eastAsia="en-US"/>
              </w:rPr>
              <w:t xml:space="preserve">e </w:t>
            </w:r>
            <w:r w:rsidR="00D0485B" w:rsidRPr="00177889">
              <w:rPr>
                <w:lang w:eastAsia="en-US"/>
              </w:rPr>
              <w:t xml:space="preserve">device number, listing number or registration number of the </w:t>
            </w:r>
            <w:r w:rsidR="00982CCB" w:rsidRPr="00E21B25">
              <w:rPr>
                <w:lang w:eastAsia="en-US"/>
              </w:rPr>
              <w:t>relevant</w:t>
            </w:r>
            <w:r w:rsidR="00D0485B" w:rsidRPr="00E21B25">
              <w:rPr>
                <w:lang w:eastAsia="en-US"/>
              </w:rPr>
              <w:t xml:space="preserve"> goods</w:t>
            </w:r>
          </w:p>
        </w:tc>
      </w:tr>
      <w:tr w:rsidR="006A0913" w:rsidTr="00EB098C"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913" w:rsidRDefault="006A091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4529" w:rsidRDefault="00982CCB" w:rsidP="00BC0462">
            <w:pPr>
              <w:pStyle w:val="Tabletext"/>
              <w:rPr>
                <w:lang w:eastAsia="en-US"/>
              </w:rPr>
            </w:pPr>
            <w:r w:rsidRPr="00954B9F">
              <w:rPr>
                <w:lang w:eastAsia="en-US"/>
              </w:rPr>
              <w:t>r</w:t>
            </w:r>
            <w:r w:rsidR="009D4A04" w:rsidRPr="00954B9F">
              <w:rPr>
                <w:lang w:eastAsia="en-US"/>
              </w:rPr>
              <w:t>eference</w:t>
            </w:r>
            <w:r w:rsidRPr="00954B9F">
              <w:rPr>
                <w:lang w:eastAsia="en-US"/>
              </w:rPr>
              <w:t xml:space="preserve"> </w:t>
            </w:r>
            <w:r w:rsidR="002E46F3" w:rsidRPr="00954B9F">
              <w:rPr>
                <w:lang w:eastAsia="en-US"/>
              </w:rPr>
              <w:t>number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913" w:rsidRDefault="00230FDE" w:rsidP="004654E8">
            <w:pPr>
              <w:pStyle w:val="Tabletext"/>
              <w:ind w:left="34"/>
              <w:rPr>
                <w:lang w:eastAsia="en-US"/>
              </w:rPr>
            </w:pPr>
            <w:r w:rsidRPr="00225B39">
              <w:rPr>
                <w:lang w:eastAsia="en-US"/>
              </w:rPr>
              <w:t xml:space="preserve">the </w:t>
            </w:r>
            <w:r w:rsidR="00520581" w:rsidRPr="00225B39">
              <w:rPr>
                <w:lang w:eastAsia="en-US"/>
              </w:rPr>
              <w:t xml:space="preserve">relevant </w:t>
            </w:r>
            <w:r w:rsidRPr="00225B39">
              <w:rPr>
                <w:lang w:eastAsia="en-US"/>
              </w:rPr>
              <w:t>reference number</w:t>
            </w:r>
            <w:r w:rsidR="00225B39">
              <w:rPr>
                <w:lang w:eastAsia="en-US"/>
              </w:rPr>
              <w:t xml:space="preserve"> </w:t>
            </w:r>
          </w:p>
        </w:tc>
      </w:tr>
      <w:tr w:rsidR="00407861" w:rsidTr="00EB098C"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861" w:rsidRDefault="00CA43D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861" w:rsidRPr="00954B9F" w:rsidRDefault="00407861" w:rsidP="00230FD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case number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861" w:rsidDel="00230FDE" w:rsidRDefault="00520581" w:rsidP="00EB098C">
            <w:pPr>
              <w:pStyle w:val="Tabletext"/>
              <w:ind w:left="34"/>
              <w:rPr>
                <w:lang w:eastAsia="en-US"/>
              </w:rPr>
            </w:pPr>
            <w:r w:rsidRPr="00225B39">
              <w:rPr>
                <w:lang w:eastAsia="en-US"/>
              </w:rPr>
              <w:t>the relevant case number</w:t>
            </w:r>
          </w:p>
        </w:tc>
      </w:tr>
      <w:tr w:rsidR="00E21B25" w:rsidTr="00EB098C"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1B25" w:rsidRDefault="00E86B62" w:rsidP="00793020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1B25" w:rsidRDefault="00E21B25" w:rsidP="00793020">
            <w:pPr>
              <w:pStyle w:val="Tabletext"/>
              <w:rPr>
                <w:lang w:eastAsia="en-US"/>
              </w:rPr>
            </w:pPr>
            <w:r w:rsidRPr="00954B9F">
              <w:rPr>
                <w:lang w:eastAsia="en-US"/>
              </w:rPr>
              <w:t>risk category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1B25" w:rsidRDefault="00E21B25" w:rsidP="004654E8">
            <w:pPr>
              <w:pStyle w:val="Tabletext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the level of risk </w:t>
            </w:r>
            <w:r w:rsidR="00225B39">
              <w:rPr>
                <w:lang w:eastAsia="en-US"/>
              </w:rPr>
              <w:t>assigned</w:t>
            </w:r>
            <w:r>
              <w:rPr>
                <w:lang w:eastAsia="en-US"/>
              </w:rPr>
              <w:t xml:space="preserve"> to the relevant </w:t>
            </w:r>
            <w:r w:rsidR="004654E8">
              <w:rPr>
                <w:lang w:eastAsia="en-US"/>
              </w:rPr>
              <w:t>case</w:t>
            </w:r>
            <w:r>
              <w:rPr>
                <w:lang w:eastAsia="en-US"/>
              </w:rPr>
              <w:t xml:space="preserve"> by the Therapeutic Goods Administration</w:t>
            </w:r>
          </w:p>
        </w:tc>
      </w:tr>
      <w:tr w:rsidR="00DF1ECF" w:rsidTr="00EB098C"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ECF" w:rsidRDefault="00E86B62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ECF" w:rsidRDefault="00B6739E">
            <w:pPr>
              <w:pStyle w:val="Tabletext"/>
              <w:rPr>
                <w:strike/>
                <w:lang w:eastAsia="en-US"/>
              </w:rPr>
            </w:pPr>
            <w:r>
              <w:rPr>
                <w:lang w:eastAsia="en-US"/>
              </w:rPr>
              <w:t>case details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B30" w:rsidRDefault="00457B30" w:rsidP="00387C4E">
            <w:pPr>
              <w:pStyle w:val="Tabletext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 xml:space="preserve">the details of the case, </w:t>
            </w:r>
            <w:r w:rsidR="005A1704">
              <w:rPr>
                <w:lang w:eastAsia="en-US"/>
              </w:rPr>
              <w:t>including</w:t>
            </w:r>
            <w:r>
              <w:rPr>
                <w:lang w:eastAsia="en-US"/>
              </w:rPr>
              <w:t>:</w:t>
            </w:r>
          </w:p>
          <w:p w:rsidR="00457B30" w:rsidRDefault="00457B30" w:rsidP="00387C4E">
            <w:pPr>
              <w:pStyle w:val="Tabletext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(a)</w:t>
            </w:r>
            <w:r>
              <w:rPr>
                <w:lang w:eastAsia="en-US"/>
              </w:rPr>
              <w:tab/>
              <w:t>the alleged breach of the Act, Regulations or Therapeutic Goods Advertising Code;</w:t>
            </w:r>
          </w:p>
          <w:p w:rsidR="00457B30" w:rsidRDefault="00457B30" w:rsidP="00387C4E">
            <w:pPr>
              <w:pStyle w:val="Tabletext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(b)</w:t>
            </w:r>
            <w:r>
              <w:rPr>
                <w:lang w:eastAsia="en-US"/>
              </w:rPr>
              <w:tab/>
              <w:t xml:space="preserve">the circumstances in which the relevant goods were advertised or the generic information was disseminated, such as </w:t>
            </w:r>
            <w:r w:rsidR="00A3502E">
              <w:rPr>
                <w:lang w:eastAsia="en-US"/>
              </w:rPr>
              <w:t xml:space="preserve">means </w:t>
            </w:r>
            <w:r>
              <w:rPr>
                <w:lang w:eastAsia="en-US"/>
              </w:rPr>
              <w:t>and location;</w:t>
            </w:r>
          </w:p>
          <w:p w:rsidR="00B320FD" w:rsidRDefault="00457B30">
            <w:pPr>
              <w:pStyle w:val="Tabletext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(c)</w:t>
            </w:r>
            <w:r>
              <w:rPr>
                <w:lang w:eastAsia="en-US"/>
              </w:rPr>
              <w:tab/>
            </w:r>
            <w:r w:rsidR="00F57A8C">
              <w:rPr>
                <w:lang w:eastAsia="en-US"/>
              </w:rPr>
              <w:t>t</w:t>
            </w:r>
            <w:r w:rsidR="00584035">
              <w:rPr>
                <w:lang w:eastAsia="en-US"/>
              </w:rPr>
              <w:t>he complaint, or a summary of the complaint,</w:t>
            </w:r>
            <w:r w:rsidR="00610A31">
              <w:rPr>
                <w:lang w:eastAsia="en-US"/>
              </w:rPr>
              <w:t xml:space="preserve"> or </w:t>
            </w:r>
            <w:r w:rsidR="00E6514A">
              <w:rPr>
                <w:lang w:eastAsia="en-US"/>
              </w:rPr>
              <w:t>reason for</w:t>
            </w:r>
            <w:r w:rsidR="00610A31">
              <w:rPr>
                <w:lang w:eastAsia="en-US"/>
              </w:rPr>
              <w:t xml:space="preserve"> </w:t>
            </w:r>
            <w:r w:rsidR="009B7F1D">
              <w:rPr>
                <w:lang w:eastAsia="en-US"/>
              </w:rPr>
              <w:t xml:space="preserve">the </w:t>
            </w:r>
            <w:r w:rsidR="00610A31">
              <w:rPr>
                <w:lang w:eastAsia="en-US"/>
              </w:rPr>
              <w:t xml:space="preserve">investigation </w:t>
            </w:r>
            <w:r w:rsidR="00B33B6E">
              <w:rPr>
                <w:lang w:eastAsia="en-US"/>
              </w:rPr>
              <w:t xml:space="preserve">commenced </w:t>
            </w:r>
            <w:r w:rsidR="00610A31">
              <w:rPr>
                <w:lang w:eastAsia="en-US"/>
              </w:rPr>
              <w:t>by the Therapeutic Goods Administration on its own initiative,</w:t>
            </w:r>
            <w:r w:rsidR="00584035">
              <w:rPr>
                <w:lang w:eastAsia="en-US"/>
              </w:rPr>
              <w:t xml:space="preserve"> relating to the advertisement or</w:t>
            </w:r>
            <w:r w:rsidR="002625F0">
              <w:rPr>
                <w:lang w:eastAsia="en-US"/>
              </w:rPr>
              <w:t xml:space="preserve"> dissemination of</w:t>
            </w:r>
            <w:r w:rsidR="00584035">
              <w:rPr>
                <w:lang w:eastAsia="en-US"/>
              </w:rPr>
              <w:t xml:space="preserve"> generic information</w:t>
            </w:r>
            <w:r w:rsidR="00B320FD">
              <w:rPr>
                <w:lang w:eastAsia="en-US"/>
              </w:rPr>
              <w:t>; and</w:t>
            </w:r>
          </w:p>
          <w:p w:rsidR="00B320FD" w:rsidRPr="00B320FD" w:rsidRDefault="00B320FD" w:rsidP="00B320FD">
            <w:pPr>
              <w:pStyle w:val="Tabletext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(d)</w:t>
            </w:r>
            <w:r>
              <w:rPr>
                <w:lang w:eastAsia="en-US"/>
              </w:rPr>
              <w:tab/>
              <w:t xml:space="preserve">where the complaint led to a recommendation being made </w:t>
            </w:r>
            <w:r w:rsidRPr="00B320FD">
              <w:rPr>
                <w:lang w:eastAsia="en-US"/>
              </w:rPr>
              <w:t>to the Secretary under regulation 42ZCAI of the old Regulations:</w:t>
            </w:r>
          </w:p>
          <w:p w:rsidR="00B320FD" w:rsidRPr="00B320FD" w:rsidRDefault="00B320FD" w:rsidP="00E509CB">
            <w:pPr>
              <w:pStyle w:val="Tabletext"/>
              <w:ind w:left="601" w:hanging="284"/>
            </w:pPr>
            <w:r w:rsidRPr="00B320FD">
              <w:t>(</w:t>
            </w:r>
            <w:proofErr w:type="spellStart"/>
            <w:r w:rsidRPr="00B320FD">
              <w:t>i</w:t>
            </w:r>
            <w:proofErr w:type="spellEnd"/>
            <w:r w:rsidRPr="00B320FD">
              <w:t>)</w:t>
            </w:r>
            <w:r w:rsidRPr="00B320FD">
              <w:tab/>
              <w:t>a summary of, and website link to, the Complaints Resolution Panel’s determination and recommendation; and</w:t>
            </w:r>
          </w:p>
          <w:p w:rsidR="002625F0" w:rsidRDefault="00B320FD" w:rsidP="009B7F1D">
            <w:pPr>
              <w:pStyle w:val="Tabletext"/>
              <w:ind w:left="601" w:hanging="284"/>
              <w:rPr>
                <w:lang w:eastAsia="en-US"/>
              </w:rPr>
            </w:pPr>
            <w:r w:rsidRPr="00B320FD">
              <w:t>(ii)</w:t>
            </w:r>
            <w:r w:rsidRPr="00B320FD">
              <w:tab/>
              <w:t xml:space="preserve">any </w:t>
            </w:r>
            <w:r w:rsidR="009B7F1D">
              <w:t>identifying</w:t>
            </w:r>
            <w:r w:rsidR="009B7F1D" w:rsidRPr="00B320FD">
              <w:t xml:space="preserve"> </w:t>
            </w:r>
            <w:r w:rsidRPr="00B320FD">
              <w:t xml:space="preserve">number assigned to the complaint by </w:t>
            </w:r>
            <w:r>
              <w:t>the Complaints Resolution Panel</w:t>
            </w:r>
          </w:p>
        </w:tc>
      </w:tr>
      <w:tr w:rsidR="00DF1ECF" w:rsidTr="00EB098C"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ECF" w:rsidRDefault="00AA0D01" w:rsidP="00AA0D0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ECF" w:rsidRDefault="00651BC7" w:rsidP="002E46F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o</w:t>
            </w:r>
            <w:r w:rsidR="00584035" w:rsidRPr="00954B9F">
              <w:rPr>
                <w:lang w:eastAsia="en-US"/>
              </w:rPr>
              <w:t>utcome</w:t>
            </w:r>
            <w:r w:rsidR="00954B9F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 including actions and decisions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BC7" w:rsidRDefault="00F57A8C" w:rsidP="00651BC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="00584035">
              <w:rPr>
                <w:lang w:eastAsia="en-US"/>
              </w:rPr>
              <w:t>he outcome</w:t>
            </w:r>
            <w:r w:rsidR="001D5A75">
              <w:rPr>
                <w:lang w:eastAsia="en-US"/>
              </w:rPr>
              <w:t>s</w:t>
            </w:r>
            <w:r w:rsidR="00457B30">
              <w:rPr>
                <w:lang w:eastAsia="en-US"/>
              </w:rPr>
              <w:t xml:space="preserve"> of the case</w:t>
            </w:r>
            <w:r w:rsidR="00584035">
              <w:rPr>
                <w:lang w:eastAsia="en-US"/>
              </w:rPr>
              <w:t>, including</w:t>
            </w:r>
            <w:r w:rsidR="00651BC7">
              <w:rPr>
                <w:lang w:eastAsia="en-US"/>
              </w:rPr>
              <w:t>:</w:t>
            </w:r>
          </w:p>
          <w:p w:rsidR="00651BC7" w:rsidRDefault="00651BC7" w:rsidP="00651BC7">
            <w:pPr>
              <w:pStyle w:val="Tabletext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(a)</w:t>
            </w:r>
            <w:r w:rsidR="00457B30">
              <w:rPr>
                <w:lang w:eastAsia="en-US"/>
              </w:rPr>
              <w:tab/>
            </w:r>
            <w:r w:rsidR="002625F0">
              <w:rPr>
                <w:lang w:eastAsia="en-US"/>
              </w:rPr>
              <w:t xml:space="preserve">the findings that led to </w:t>
            </w:r>
            <w:r w:rsidR="001D5A75">
              <w:rPr>
                <w:lang w:eastAsia="en-US"/>
              </w:rPr>
              <w:t>the</w:t>
            </w:r>
            <w:r w:rsidR="002625F0">
              <w:rPr>
                <w:lang w:eastAsia="en-US"/>
              </w:rPr>
              <w:t xml:space="preserve"> outcome</w:t>
            </w:r>
            <w:r w:rsidR="001D5A75">
              <w:rPr>
                <w:lang w:eastAsia="en-US"/>
              </w:rPr>
              <w:t>s</w:t>
            </w:r>
            <w:r w:rsidR="002625F0">
              <w:rPr>
                <w:lang w:eastAsia="en-US"/>
              </w:rPr>
              <w:t xml:space="preserve"> and</w:t>
            </w:r>
            <w:r w:rsidR="00584035">
              <w:rPr>
                <w:lang w:eastAsia="en-US"/>
              </w:rPr>
              <w:t xml:space="preserve"> a summary of, and reasons for, the outc</w:t>
            </w:r>
            <w:r w:rsidR="00F57A8C">
              <w:rPr>
                <w:lang w:eastAsia="en-US"/>
              </w:rPr>
              <w:t>ome</w:t>
            </w:r>
            <w:r w:rsidR="001D5A75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; </w:t>
            </w:r>
          </w:p>
          <w:p w:rsidR="00651BC7" w:rsidRDefault="00651BC7" w:rsidP="00411CE2">
            <w:pPr>
              <w:pStyle w:val="Tabletext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(b)</w:t>
            </w:r>
            <w:r>
              <w:rPr>
                <w:lang w:eastAsia="en-US"/>
              </w:rPr>
              <w:tab/>
              <w:t xml:space="preserve">actions taken </w:t>
            </w:r>
            <w:r w:rsidR="00411CE2">
              <w:rPr>
                <w:lang w:eastAsia="en-US"/>
              </w:rPr>
              <w:t xml:space="preserve">and decisions made </w:t>
            </w:r>
            <w:r>
              <w:rPr>
                <w:lang w:eastAsia="en-US"/>
              </w:rPr>
              <w:t>in relation to the case</w:t>
            </w:r>
            <w:r w:rsidR="00247B7A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="00411CE2">
              <w:rPr>
                <w:lang w:eastAsia="en-US"/>
              </w:rPr>
              <w:t xml:space="preserve">including </w:t>
            </w:r>
            <w:r>
              <w:rPr>
                <w:lang w:eastAsia="en-US"/>
              </w:rPr>
              <w:t xml:space="preserve">a summary of a decision made by </w:t>
            </w:r>
            <w:r>
              <w:rPr>
                <w:lang w:eastAsia="en-US"/>
              </w:rPr>
              <w:lastRenderedPageBreak/>
              <w:t>the Secretary under the Act</w:t>
            </w:r>
            <w:r w:rsidR="006828F4">
              <w:rPr>
                <w:lang w:eastAsia="en-US"/>
              </w:rPr>
              <w:t xml:space="preserve"> or Regulations</w:t>
            </w:r>
            <w:r w:rsidR="00411CE2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and any notice or statement of reasons given for th</w:t>
            </w:r>
            <w:r w:rsidR="00387C4E">
              <w:rPr>
                <w:lang w:eastAsia="en-US"/>
              </w:rPr>
              <w:t>at</w:t>
            </w:r>
            <w:r>
              <w:rPr>
                <w:lang w:eastAsia="en-US"/>
              </w:rPr>
              <w:t xml:space="preserve"> decision</w:t>
            </w:r>
            <w:r w:rsidR="00411CE2">
              <w:rPr>
                <w:lang w:eastAsia="en-US"/>
              </w:rPr>
              <w:t>; and</w:t>
            </w:r>
          </w:p>
          <w:p w:rsidR="00457B30" w:rsidRDefault="00411CE2" w:rsidP="00387C4E">
            <w:pPr>
              <w:pStyle w:val="Tabletext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5A1704">
              <w:rPr>
                <w:lang w:eastAsia="en-US"/>
              </w:rPr>
              <w:t>c</w:t>
            </w:r>
            <w:r>
              <w:rPr>
                <w:lang w:eastAsia="en-US"/>
              </w:rPr>
              <w:t>)</w:t>
            </w:r>
            <w:r>
              <w:rPr>
                <w:lang w:eastAsia="en-US"/>
              </w:rPr>
              <w:tab/>
              <w:t xml:space="preserve">a reference or </w:t>
            </w:r>
            <w:r w:rsidR="00B320FD">
              <w:rPr>
                <w:lang w:eastAsia="en-US"/>
              </w:rPr>
              <w:t xml:space="preserve">website </w:t>
            </w:r>
            <w:r>
              <w:rPr>
                <w:lang w:eastAsia="en-US"/>
              </w:rPr>
              <w:t xml:space="preserve">link to an Administrative Appeals Tribunal decision or Court decision in relation to an advertisement or dissemination of generic information that was the subject of the </w:t>
            </w:r>
            <w:r w:rsidR="005A1704">
              <w:rPr>
                <w:lang w:eastAsia="en-US"/>
              </w:rPr>
              <w:t>case</w:t>
            </w:r>
          </w:p>
        </w:tc>
      </w:tr>
      <w:tr w:rsidR="00212401" w:rsidTr="00EB098C"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401" w:rsidRDefault="00AA0D01" w:rsidP="0040391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401" w:rsidRDefault="0073671F" w:rsidP="00403916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relevant </w:t>
            </w:r>
            <w:r w:rsidR="00212401" w:rsidRPr="00954B9F">
              <w:rPr>
                <w:lang w:eastAsia="en-US"/>
              </w:rPr>
              <w:t>date</w:t>
            </w:r>
            <w:r>
              <w:rPr>
                <w:lang w:eastAsia="en-US"/>
              </w:rPr>
              <w:t>s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43F" w:rsidRDefault="00321E6E" w:rsidP="00DA173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dates relating to the case, including:</w:t>
            </w:r>
          </w:p>
          <w:p w:rsidR="00321E6E" w:rsidRDefault="00DA1731" w:rsidP="00321E6E">
            <w:pPr>
              <w:pStyle w:val="Tabletext"/>
              <w:tabs>
                <w:tab w:val="left" w:pos="317"/>
                <w:tab w:val="left" w:pos="2302"/>
              </w:tabs>
              <w:ind w:left="317" w:hanging="317"/>
              <w:rPr>
                <w:lang w:eastAsia="en-US"/>
              </w:rPr>
            </w:pPr>
            <w:r>
              <w:rPr>
                <w:lang w:eastAsia="en-US"/>
              </w:rPr>
              <w:t>(a)</w:t>
            </w:r>
            <w:r w:rsidR="00321E6E">
              <w:rPr>
                <w:lang w:eastAsia="en-US"/>
              </w:rPr>
              <w:tab/>
              <w:t xml:space="preserve">the date that the </w:t>
            </w:r>
            <w:r w:rsidR="001E043F">
              <w:rPr>
                <w:lang w:eastAsia="en-US"/>
              </w:rPr>
              <w:t xml:space="preserve">complaint was </w:t>
            </w:r>
            <w:r w:rsidR="0073671F">
              <w:rPr>
                <w:lang w:eastAsia="en-US"/>
              </w:rPr>
              <w:t>received by the Therapeutic Goods Administration</w:t>
            </w:r>
            <w:r w:rsidR="00321E6E">
              <w:rPr>
                <w:lang w:eastAsia="en-US"/>
              </w:rPr>
              <w:t>;</w:t>
            </w:r>
          </w:p>
          <w:p w:rsidR="00B320FD" w:rsidRDefault="00321E6E" w:rsidP="00321E6E">
            <w:pPr>
              <w:pStyle w:val="Tabletext"/>
              <w:tabs>
                <w:tab w:val="left" w:pos="317"/>
                <w:tab w:val="left" w:pos="2302"/>
              </w:tabs>
              <w:ind w:left="317" w:hanging="317"/>
              <w:rPr>
                <w:lang w:eastAsia="en-US"/>
              </w:rPr>
            </w:pPr>
            <w:r>
              <w:rPr>
                <w:lang w:eastAsia="en-US"/>
              </w:rPr>
              <w:t>(b)</w:t>
            </w:r>
            <w:r>
              <w:rPr>
                <w:lang w:eastAsia="en-US"/>
              </w:rPr>
              <w:tab/>
            </w:r>
            <w:r w:rsidR="00B320FD" w:rsidRPr="00B320FD">
              <w:rPr>
                <w:lang w:eastAsia="en-US"/>
              </w:rPr>
              <w:t>the date that the recommendation under regulation 42ZCAI of the old Regulations was made</w:t>
            </w:r>
            <w:r w:rsidR="00387C4E">
              <w:rPr>
                <w:lang w:eastAsia="en-US"/>
              </w:rPr>
              <w:t xml:space="preserve"> </w:t>
            </w:r>
            <w:r w:rsidR="00E509CB">
              <w:rPr>
                <w:lang w:eastAsia="en-US"/>
              </w:rPr>
              <w:t xml:space="preserve">by the Complaints Resolution Panel </w:t>
            </w:r>
            <w:r w:rsidR="00387C4E">
              <w:rPr>
                <w:lang w:eastAsia="en-US"/>
              </w:rPr>
              <w:t>to the Secretary</w:t>
            </w:r>
            <w:r w:rsidR="00B320FD" w:rsidRPr="00B320FD">
              <w:rPr>
                <w:lang w:eastAsia="en-US"/>
              </w:rPr>
              <w:t>;</w:t>
            </w:r>
          </w:p>
          <w:p w:rsidR="001E043F" w:rsidRDefault="00B320FD" w:rsidP="00321E6E">
            <w:pPr>
              <w:pStyle w:val="Tabletext"/>
              <w:tabs>
                <w:tab w:val="left" w:pos="317"/>
                <w:tab w:val="left" w:pos="2302"/>
              </w:tabs>
              <w:ind w:left="317" w:hanging="317"/>
              <w:rPr>
                <w:lang w:eastAsia="en-US"/>
              </w:rPr>
            </w:pPr>
            <w:r>
              <w:rPr>
                <w:lang w:eastAsia="en-US"/>
              </w:rPr>
              <w:t>(c)</w:t>
            </w:r>
            <w:r>
              <w:rPr>
                <w:lang w:eastAsia="en-US"/>
              </w:rPr>
              <w:tab/>
            </w:r>
            <w:r w:rsidR="0073671F">
              <w:rPr>
                <w:lang w:eastAsia="en-US"/>
              </w:rPr>
              <w:t xml:space="preserve">the </w:t>
            </w:r>
            <w:r w:rsidR="00321E6E">
              <w:rPr>
                <w:lang w:eastAsia="en-US"/>
              </w:rPr>
              <w:t xml:space="preserve">date that the </w:t>
            </w:r>
            <w:r w:rsidR="0073671F">
              <w:rPr>
                <w:lang w:eastAsia="en-US"/>
              </w:rPr>
              <w:t>investigation was commenced by the Therapeutic Goods Administration on its own initiative</w:t>
            </w:r>
            <w:r w:rsidR="001E043F">
              <w:rPr>
                <w:lang w:eastAsia="en-US"/>
              </w:rPr>
              <w:t>;</w:t>
            </w:r>
          </w:p>
          <w:p w:rsidR="00457B30" w:rsidRDefault="00DA1731" w:rsidP="00321E6E">
            <w:pPr>
              <w:pStyle w:val="Tabletext"/>
              <w:tabs>
                <w:tab w:val="left" w:pos="2302"/>
              </w:tabs>
              <w:ind w:left="317" w:hanging="317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387C4E">
              <w:rPr>
                <w:lang w:eastAsia="en-US"/>
              </w:rPr>
              <w:t>d</w:t>
            </w:r>
            <w:r>
              <w:rPr>
                <w:lang w:eastAsia="en-US"/>
              </w:rPr>
              <w:t>)</w:t>
            </w:r>
            <w:r w:rsidR="00321E6E">
              <w:rPr>
                <w:lang w:eastAsia="en-US"/>
              </w:rPr>
              <w:tab/>
            </w:r>
            <w:r w:rsidR="00457B30">
              <w:rPr>
                <w:lang w:eastAsia="en-US"/>
              </w:rPr>
              <w:t xml:space="preserve">the </w:t>
            </w:r>
            <w:r w:rsidR="00B320FD">
              <w:rPr>
                <w:lang w:eastAsia="en-US"/>
              </w:rPr>
              <w:t>date</w:t>
            </w:r>
            <w:r w:rsidR="00387C4E">
              <w:rPr>
                <w:lang w:eastAsia="en-US"/>
              </w:rPr>
              <w:t xml:space="preserve"> or dates</w:t>
            </w:r>
            <w:r w:rsidR="00457B30">
              <w:rPr>
                <w:lang w:eastAsia="en-US"/>
              </w:rPr>
              <w:t xml:space="preserve"> of the alleged breach of the Act, Regulations or Therapeutic Goods Advertising Code;</w:t>
            </w:r>
          </w:p>
          <w:p w:rsidR="00321E6E" w:rsidRDefault="00457B30" w:rsidP="00321E6E">
            <w:pPr>
              <w:pStyle w:val="Tabletext"/>
              <w:tabs>
                <w:tab w:val="left" w:pos="2302"/>
              </w:tabs>
              <w:ind w:left="317" w:hanging="317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387C4E">
              <w:rPr>
                <w:lang w:eastAsia="en-US"/>
              </w:rPr>
              <w:t>e</w:t>
            </w:r>
            <w:r>
              <w:rPr>
                <w:lang w:eastAsia="en-US"/>
              </w:rPr>
              <w:t>)</w:t>
            </w:r>
            <w:r>
              <w:rPr>
                <w:lang w:eastAsia="en-US"/>
              </w:rPr>
              <w:tab/>
            </w:r>
            <w:r w:rsidR="00321E6E">
              <w:rPr>
                <w:lang w:eastAsia="en-US"/>
              </w:rPr>
              <w:t>the date</w:t>
            </w:r>
            <w:r w:rsidR="00B320FD">
              <w:rPr>
                <w:lang w:eastAsia="en-US"/>
              </w:rPr>
              <w:t>s</w:t>
            </w:r>
            <w:r w:rsidR="00321E6E">
              <w:rPr>
                <w:lang w:eastAsia="en-US"/>
              </w:rPr>
              <w:t xml:space="preserve"> </w:t>
            </w:r>
            <w:r w:rsidR="00B320FD">
              <w:rPr>
                <w:lang w:eastAsia="en-US"/>
              </w:rPr>
              <w:t xml:space="preserve">of </w:t>
            </w:r>
            <w:r w:rsidR="00387C4E">
              <w:rPr>
                <w:lang w:eastAsia="en-US"/>
              </w:rPr>
              <w:t xml:space="preserve">the </w:t>
            </w:r>
            <w:r w:rsidR="00B320FD">
              <w:rPr>
                <w:lang w:eastAsia="en-US"/>
              </w:rPr>
              <w:t xml:space="preserve">outcomes, including the dates </w:t>
            </w:r>
            <w:r w:rsidR="00321E6E">
              <w:rPr>
                <w:lang w:eastAsia="en-US"/>
              </w:rPr>
              <w:t>that action</w:t>
            </w:r>
            <w:r w:rsidR="00E86B62">
              <w:rPr>
                <w:lang w:eastAsia="en-US"/>
              </w:rPr>
              <w:t>s</w:t>
            </w:r>
            <w:r w:rsidR="00321E6E">
              <w:rPr>
                <w:lang w:eastAsia="en-US"/>
              </w:rPr>
              <w:t xml:space="preserve"> </w:t>
            </w:r>
            <w:r w:rsidR="00E86B62">
              <w:rPr>
                <w:lang w:eastAsia="en-US"/>
              </w:rPr>
              <w:t xml:space="preserve">were </w:t>
            </w:r>
            <w:r w:rsidR="00321E6E">
              <w:rPr>
                <w:lang w:eastAsia="en-US"/>
              </w:rPr>
              <w:t xml:space="preserve">taken </w:t>
            </w:r>
            <w:r w:rsidR="00B320FD">
              <w:rPr>
                <w:lang w:eastAsia="en-US"/>
              </w:rPr>
              <w:t>and</w:t>
            </w:r>
            <w:r w:rsidR="004654E8">
              <w:rPr>
                <w:lang w:eastAsia="en-US"/>
              </w:rPr>
              <w:t xml:space="preserve"> decisions </w:t>
            </w:r>
            <w:r w:rsidR="00B320FD">
              <w:rPr>
                <w:lang w:eastAsia="en-US"/>
              </w:rPr>
              <w:t xml:space="preserve">were </w:t>
            </w:r>
            <w:r w:rsidR="004654E8">
              <w:rPr>
                <w:lang w:eastAsia="en-US"/>
              </w:rPr>
              <w:t>made</w:t>
            </w:r>
            <w:r w:rsidR="00D528CB">
              <w:rPr>
                <w:lang w:eastAsia="en-US"/>
              </w:rPr>
              <w:t xml:space="preserve"> </w:t>
            </w:r>
            <w:r w:rsidR="00321E6E">
              <w:rPr>
                <w:lang w:eastAsia="en-US"/>
              </w:rPr>
              <w:t>in relation to the case; and</w:t>
            </w:r>
          </w:p>
          <w:p w:rsidR="00212401" w:rsidRDefault="00321E6E" w:rsidP="004654E8">
            <w:pPr>
              <w:pStyle w:val="Tabletext"/>
              <w:tabs>
                <w:tab w:val="left" w:pos="2302"/>
              </w:tabs>
              <w:ind w:left="317" w:hanging="317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387C4E">
              <w:rPr>
                <w:lang w:eastAsia="en-US"/>
              </w:rPr>
              <w:t>f</w:t>
            </w:r>
            <w:r>
              <w:rPr>
                <w:lang w:eastAsia="en-US"/>
              </w:rPr>
              <w:t>)</w:t>
            </w:r>
            <w:r>
              <w:rPr>
                <w:lang w:eastAsia="en-US"/>
              </w:rPr>
              <w:tab/>
              <w:t xml:space="preserve">the date that the </w:t>
            </w:r>
            <w:r w:rsidR="001E7228">
              <w:rPr>
                <w:lang w:eastAsia="en-US"/>
              </w:rPr>
              <w:t>case</w:t>
            </w:r>
            <w:r w:rsidR="00212401">
              <w:rPr>
                <w:lang w:eastAsia="en-US"/>
              </w:rPr>
              <w:t xml:space="preserve"> was finalised</w:t>
            </w:r>
            <w:r w:rsidR="00D528CB">
              <w:rPr>
                <w:lang w:eastAsia="en-US"/>
              </w:rPr>
              <w:t xml:space="preserve"> by the Therapeutic Goods Administration</w:t>
            </w:r>
          </w:p>
        </w:tc>
      </w:tr>
    </w:tbl>
    <w:p w:rsidR="00CF0E22" w:rsidRPr="00BC0462" w:rsidRDefault="00CF0E22" w:rsidP="00BC0462">
      <w:pPr>
        <w:spacing w:before="60" w:line="360" w:lineRule="auto"/>
        <w:rPr>
          <w:sz w:val="16"/>
          <w:szCs w:val="16"/>
        </w:rPr>
      </w:pPr>
    </w:p>
    <w:sectPr w:rsidR="00CF0E22" w:rsidRPr="00BC0462" w:rsidSect="008C2EAC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C1" w:rsidRDefault="00C61FC1" w:rsidP="00715914">
      <w:pPr>
        <w:spacing w:line="240" w:lineRule="auto"/>
      </w:pPr>
      <w:r>
        <w:separator/>
      </w:r>
    </w:p>
  </w:endnote>
  <w:endnote w:type="continuationSeparator" w:id="0">
    <w:p w:rsidR="00C61FC1" w:rsidRDefault="00C61FC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C25C2">
            <w:rPr>
              <w:i/>
              <w:noProof/>
              <w:sz w:val="18"/>
            </w:rPr>
            <w:t>Therapeutic Goods (Advertising Investigations Information) Specification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C25C2">
            <w:rPr>
              <w:i/>
              <w:noProof/>
              <w:sz w:val="18"/>
            </w:rPr>
            <w:t>Therapeutic Goods (Advertising Investigations Information) Specification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C25C2">
            <w:rPr>
              <w:i/>
              <w:noProof/>
              <w:sz w:val="18"/>
            </w:rPr>
            <w:t>Therapeutic Goods (Advertising Investigations Information) Specification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5"/>
      <w:gridCol w:w="6292"/>
      <w:gridCol w:w="796"/>
    </w:tblGrid>
    <w:tr w:rsidR="00F6696E" w:rsidTr="00F57A8C">
      <w:tc>
        <w:tcPr>
          <w:tcW w:w="81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713" w:type="pct"/>
        </w:tcPr>
        <w:p w:rsidR="00F6696E" w:rsidRDefault="00F6696E" w:rsidP="00E509C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266B">
            <w:rPr>
              <w:i/>
              <w:noProof/>
              <w:sz w:val="18"/>
            </w:rPr>
            <w:t>Therapeutic Goods (Advertising Complaints and Investigations Information) Specification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469" w:type="pct"/>
        </w:tcPr>
        <w:p w:rsidR="00F6696E" w:rsidRDefault="00F6696E" w:rsidP="00F57A8C">
          <w:pPr>
            <w:spacing w:line="0" w:lineRule="atLeast"/>
            <w:ind w:right="-107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266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F57A8C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F57A8C" w:rsidRDefault="00F6696E" w:rsidP="00F57A8C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36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6290"/>
      <w:gridCol w:w="1616"/>
    </w:tblGrid>
    <w:tr w:rsidR="008C2EAC" w:rsidTr="00F57A8C">
      <w:tc>
        <w:tcPr>
          <w:tcW w:w="679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266B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438" w:type="pct"/>
        </w:tcPr>
        <w:p w:rsidR="008C2EAC" w:rsidRDefault="008C2EAC" w:rsidP="00265D1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266B">
            <w:rPr>
              <w:i/>
              <w:noProof/>
              <w:sz w:val="18"/>
            </w:rPr>
            <w:t>Therapeutic Goods (Advertising Complaints and Investigations Information) Specification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83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F57A8C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F57A8C" w:rsidRDefault="008C2EAC" w:rsidP="00F57A8C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5"/>
      <w:gridCol w:w="6292"/>
      <w:gridCol w:w="796"/>
    </w:tblGrid>
    <w:tr w:rsidR="008C2EAC" w:rsidTr="00F57A8C">
      <w:tc>
        <w:tcPr>
          <w:tcW w:w="81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713" w:type="pct"/>
        </w:tcPr>
        <w:p w:rsidR="008C2EAC" w:rsidRDefault="008C2EAC" w:rsidP="00E509C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266B">
            <w:rPr>
              <w:i/>
              <w:noProof/>
              <w:sz w:val="18"/>
            </w:rPr>
            <w:t>Therapeutic Goods (Advertising Complaints and Investigations Information) Specification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470" w:type="pct"/>
        </w:tcPr>
        <w:p w:rsidR="008C2EAC" w:rsidRDefault="008C2EAC" w:rsidP="00F57A8C">
          <w:pPr>
            <w:spacing w:line="0" w:lineRule="atLeast"/>
            <w:ind w:right="-107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266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F57A8C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F57A8C" w:rsidRDefault="008C2EAC" w:rsidP="00F57A8C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C1" w:rsidRDefault="00C61FC1" w:rsidP="00715914">
      <w:pPr>
        <w:spacing w:line="240" w:lineRule="auto"/>
      </w:pPr>
      <w:r>
        <w:separator/>
      </w:r>
    </w:p>
  </w:footnote>
  <w:footnote w:type="continuationSeparator" w:id="0">
    <w:p w:rsidR="00C61FC1" w:rsidRDefault="00C61FC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BB" w:rsidRDefault="008461B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BA772B"/>
    <w:multiLevelType w:val="hybridMultilevel"/>
    <w:tmpl w:val="984638C6"/>
    <w:lvl w:ilvl="0" w:tplc="EF344E42">
      <w:start w:val="1"/>
      <w:numFmt w:val="lowerRoman"/>
      <w:lvlText w:val="(%1)"/>
      <w:lvlJc w:val="left"/>
      <w:pPr>
        <w:ind w:left="7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8" w:hanging="360"/>
      </w:pPr>
    </w:lvl>
    <w:lvl w:ilvl="2" w:tplc="0C09001B" w:tentative="1">
      <w:start w:val="1"/>
      <w:numFmt w:val="lowerRoman"/>
      <w:lvlText w:val="%3."/>
      <w:lvlJc w:val="right"/>
      <w:pPr>
        <w:ind w:left="1868" w:hanging="180"/>
      </w:pPr>
    </w:lvl>
    <w:lvl w:ilvl="3" w:tplc="0C09000F" w:tentative="1">
      <w:start w:val="1"/>
      <w:numFmt w:val="decimal"/>
      <w:lvlText w:val="%4."/>
      <w:lvlJc w:val="left"/>
      <w:pPr>
        <w:ind w:left="2588" w:hanging="360"/>
      </w:pPr>
    </w:lvl>
    <w:lvl w:ilvl="4" w:tplc="0C090019" w:tentative="1">
      <w:start w:val="1"/>
      <w:numFmt w:val="lowerLetter"/>
      <w:lvlText w:val="%5."/>
      <w:lvlJc w:val="left"/>
      <w:pPr>
        <w:ind w:left="3308" w:hanging="360"/>
      </w:pPr>
    </w:lvl>
    <w:lvl w:ilvl="5" w:tplc="0C09001B" w:tentative="1">
      <w:start w:val="1"/>
      <w:numFmt w:val="lowerRoman"/>
      <w:lvlText w:val="%6."/>
      <w:lvlJc w:val="right"/>
      <w:pPr>
        <w:ind w:left="4028" w:hanging="180"/>
      </w:pPr>
    </w:lvl>
    <w:lvl w:ilvl="6" w:tplc="0C09000F" w:tentative="1">
      <w:start w:val="1"/>
      <w:numFmt w:val="decimal"/>
      <w:lvlText w:val="%7."/>
      <w:lvlJc w:val="left"/>
      <w:pPr>
        <w:ind w:left="4748" w:hanging="360"/>
      </w:pPr>
    </w:lvl>
    <w:lvl w:ilvl="7" w:tplc="0C090019" w:tentative="1">
      <w:start w:val="1"/>
      <w:numFmt w:val="lowerLetter"/>
      <w:lvlText w:val="%8."/>
      <w:lvlJc w:val="left"/>
      <w:pPr>
        <w:ind w:left="5468" w:hanging="360"/>
      </w:pPr>
    </w:lvl>
    <w:lvl w:ilvl="8" w:tplc="0C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24340B"/>
    <w:multiLevelType w:val="hybridMultilevel"/>
    <w:tmpl w:val="F698D9BE"/>
    <w:lvl w:ilvl="0" w:tplc="95C2DA30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23E0062C"/>
    <w:multiLevelType w:val="hybridMultilevel"/>
    <w:tmpl w:val="FFE82840"/>
    <w:lvl w:ilvl="0" w:tplc="7870F156">
      <w:start w:val="1"/>
      <w:numFmt w:val="lowerLetter"/>
      <w:lvlText w:val="(%1)"/>
      <w:lvlJc w:val="left"/>
      <w:pPr>
        <w:ind w:left="163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3522066"/>
    <w:multiLevelType w:val="hybridMultilevel"/>
    <w:tmpl w:val="FFE82840"/>
    <w:lvl w:ilvl="0" w:tplc="7870F156">
      <w:start w:val="1"/>
      <w:numFmt w:val="lowerLetter"/>
      <w:lvlText w:val="(%1)"/>
      <w:lvlJc w:val="left"/>
      <w:pPr>
        <w:ind w:left="163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5B743D38"/>
    <w:multiLevelType w:val="hybridMultilevel"/>
    <w:tmpl w:val="A4E46C04"/>
    <w:lvl w:ilvl="0" w:tplc="1902C734">
      <w:start w:val="1"/>
      <w:numFmt w:val="lowerLetter"/>
      <w:lvlText w:val="(%1)"/>
      <w:lvlJc w:val="left"/>
      <w:pPr>
        <w:ind w:left="4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8" w:hanging="360"/>
      </w:pPr>
    </w:lvl>
    <w:lvl w:ilvl="2" w:tplc="0C09001B" w:tentative="1">
      <w:start w:val="1"/>
      <w:numFmt w:val="lowerRoman"/>
      <w:lvlText w:val="%3."/>
      <w:lvlJc w:val="right"/>
      <w:pPr>
        <w:ind w:left="1868" w:hanging="180"/>
      </w:pPr>
    </w:lvl>
    <w:lvl w:ilvl="3" w:tplc="0C09000F" w:tentative="1">
      <w:start w:val="1"/>
      <w:numFmt w:val="decimal"/>
      <w:lvlText w:val="%4."/>
      <w:lvlJc w:val="left"/>
      <w:pPr>
        <w:ind w:left="2588" w:hanging="360"/>
      </w:pPr>
    </w:lvl>
    <w:lvl w:ilvl="4" w:tplc="0C090019" w:tentative="1">
      <w:start w:val="1"/>
      <w:numFmt w:val="lowerLetter"/>
      <w:lvlText w:val="%5."/>
      <w:lvlJc w:val="left"/>
      <w:pPr>
        <w:ind w:left="3308" w:hanging="360"/>
      </w:pPr>
    </w:lvl>
    <w:lvl w:ilvl="5" w:tplc="0C09001B" w:tentative="1">
      <w:start w:val="1"/>
      <w:numFmt w:val="lowerRoman"/>
      <w:lvlText w:val="%6."/>
      <w:lvlJc w:val="right"/>
      <w:pPr>
        <w:ind w:left="4028" w:hanging="180"/>
      </w:pPr>
    </w:lvl>
    <w:lvl w:ilvl="6" w:tplc="0C09000F" w:tentative="1">
      <w:start w:val="1"/>
      <w:numFmt w:val="decimal"/>
      <w:lvlText w:val="%7."/>
      <w:lvlJc w:val="left"/>
      <w:pPr>
        <w:ind w:left="4748" w:hanging="360"/>
      </w:pPr>
    </w:lvl>
    <w:lvl w:ilvl="7" w:tplc="0C090019" w:tentative="1">
      <w:start w:val="1"/>
      <w:numFmt w:val="lowerLetter"/>
      <w:lvlText w:val="%8."/>
      <w:lvlJc w:val="left"/>
      <w:pPr>
        <w:ind w:left="5468" w:hanging="360"/>
      </w:pPr>
    </w:lvl>
    <w:lvl w:ilvl="8" w:tplc="0C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8">
    <w:nsid w:val="658A2352"/>
    <w:multiLevelType w:val="hybridMultilevel"/>
    <w:tmpl w:val="FFE82840"/>
    <w:lvl w:ilvl="0" w:tplc="7870F156">
      <w:start w:val="1"/>
      <w:numFmt w:val="lowerLetter"/>
      <w:lvlText w:val="(%1)"/>
      <w:lvlJc w:val="left"/>
      <w:pPr>
        <w:ind w:left="163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6C6401C9"/>
    <w:multiLevelType w:val="hybridMultilevel"/>
    <w:tmpl w:val="097A0468"/>
    <w:lvl w:ilvl="0" w:tplc="7870F15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78494E12"/>
    <w:multiLevelType w:val="hybridMultilevel"/>
    <w:tmpl w:val="ADECC87A"/>
    <w:lvl w:ilvl="0" w:tplc="8536CB9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7FE71EFE"/>
    <w:multiLevelType w:val="hybridMultilevel"/>
    <w:tmpl w:val="097A0468"/>
    <w:lvl w:ilvl="0" w:tplc="7870F15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2"/>
  </w:num>
  <w:num w:numId="14">
    <w:abstractNumId w:val="19"/>
  </w:num>
  <w:num w:numId="15">
    <w:abstractNumId w:val="21"/>
  </w:num>
  <w:num w:numId="16">
    <w:abstractNumId w:val="15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4E"/>
    <w:rsid w:val="0000069F"/>
    <w:rsid w:val="000024C2"/>
    <w:rsid w:val="0000334C"/>
    <w:rsid w:val="00004110"/>
    <w:rsid w:val="00004174"/>
    <w:rsid w:val="0000427B"/>
    <w:rsid w:val="00004470"/>
    <w:rsid w:val="00007D2A"/>
    <w:rsid w:val="00007F8C"/>
    <w:rsid w:val="000136AF"/>
    <w:rsid w:val="00024243"/>
    <w:rsid w:val="000258B1"/>
    <w:rsid w:val="0002719F"/>
    <w:rsid w:val="0003490D"/>
    <w:rsid w:val="00040A89"/>
    <w:rsid w:val="000437C1"/>
    <w:rsid w:val="0004455A"/>
    <w:rsid w:val="0005365D"/>
    <w:rsid w:val="00054AA2"/>
    <w:rsid w:val="000563CB"/>
    <w:rsid w:val="00056FD4"/>
    <w:rsid w:val="000614BF"/>
    <w:rsid w:val="0006709C"/>
    <w:rsid w:val="00074376"/>
    <w:rsid w:val="000978F5"/>
    <w:rsid w:val="000A6947"/>
    <w:rsid w:val="000A694C"/>
    <w:rsid w:val="000A7975"/>
    <w:rsid w:val="000B12E6"/>
    <w:rsid w:val="000B15CD"/>
    <w:rsid w:val="000B2FED"/>
    <w:rsid w:val="000B35EB"/>
    <w:rsid w:val="000B4A42"/>
    <w:rsid w:val="000B5368"/>
    <w:rsid w:val="000C3E40"/>
    <w:rsid w:val="000D05EF"/>
    <w:rsid w:val="000D091C"/>
    <w:rsid w:val="000E10E1"/>
    <w:rsid w:val="000E2261"/>
    <w:rsid w:val="000E78B7"/>
    <w:rsid w:val="000F21C1"/>
    <w:rsid w:val="0010745C"/>
    <w:rsid w:val="0012460E"/>
    <w:rsid w:val="00126EFC"/>
    <w:rsid w:val="00132CEB"/>
    <w:rsid w:val="001339B0"/>
    <w:rsid w:val="00137B1A"/>
    <w:rsid w:val="00140F71"/>
    <w:rsid w:val="00142B62"/>
    <w:rsid w:val="001441B7"/>
    <w:rsid w:val="001516CB"/>
    <w:rsid w:val="00152336"/>
    <w:rsid w:val="00152466"/>
    <w:rsid w:val="00154020"/>
    <w:rsid w:val="0015684E"/>
    <w:rsid w:val="00156BDA"/>
    <w:rsid w:val="00157B8B"/>
    <w:rsid w:val="00166C2F"/>
    <w:rsid w:val="001711F6"/>
    <w:rsid w:val="00173CB3"/>
    <w:rsid w:val="00177889"/>
    <w:rsid w:val="00177988"/>
    <w:rsid w:val="001809D7"/>
    <w:rsid w:val="00181079"/>
    <w:rsid w:val="00192524"/>
    <w:rsid w:val="001939E1"/>
    <w:rsid w:val="00194C3E"/>
    <w:rsid w:val="00195382"/>
    <w:rsid w:val="00197F24"/>
    <w:rsid w:val="001A41BD"/>
    <w:rsid w:val="001B1D2F"/>
    <w:rsid w:val="001B2CB6"/>
    <w:rsid w:val="001C61C5"/>
    <w:rsid w:val="001C69C4"/>
    <w:rsid w:val="001D008F"/>
    <w:rsid w:val="001D37EF"/>
    <w:rsid w:val="001D5547"/>
    <w:rsid w:val="001D5A75"/>
    <w:rsid w:val="001D7B85"/>
    <w:rsid w:val="001E043F"/>
    <w:rsid w:val="001E2953"/>
    <w:rsid w:val="001E2D89"/>
    <w:rsid w:val="001E3590"/>
    <w:rsid w:val="001E5F01"/>
    <w:rsid w:val="001E7228"/>
    <w:rsid w:val="001E7407"/>
    <w:rsid w:val="001F5D5E"/>
    <w:rsid w:val="001F6219"/>
    <w:rsid w:val="001F6CD4"/>
    <w:rsid w:val="00205C9D"/>
    <w:rsid w:val="00206C4D"/>
    <w:rsid w:val="00207F93"/>
    <w:rsid w:val="00212401"/>
    <w:rsid w:val="00213C69"/>
    <w:rsid w:val="00215AF1"/>
    <w:rsid w:val="00225B39"/>
    <w:rsid w:val="00230FDE"/>
    <w:rsid w:val="002321E8"/>
    <w:rsid w:val="00232984"/>
    <w:rsid w:val="0024010F"/>
    <w:rsid w:val="00240749"/>
    <w:rsid w:val="00243018"/>
    <w:rsid w:val="00247B7A"/>
    <w:rsid w:val="00254378"/>
    <w:rsid w:val="002564A4"/>
    <w:rsid w:val="002625F0"/>
    <w:rsid w:val="00265D18"/>
    <w:rsid w:val="0026736C"/>
    <w:rsid w:val="00273514"/>
    <w:rsid w:val="00281308"/>
    <w:rsid w:val="00284719"/>
    <w:rsid w:val="00291F34"/>
    <w:rsid w:val="0029774A"/>
    <w:rsid w:val="00297ECB"/>
    <w:rsid w:val="002A7BCF"/>
    <w:rsid w:val="002B37EE"/>
    <w:rsid w:val="002C3FD1"/>
    <w:rsid w:val="002D043A"/>
    <w:rsid w:val="002D266B"/>
    <w:rsid w:val="002D6224"/>
    <w:rsid w:val="002E43CE"/>
    <w:rsid w:val="002E46F3"/>
    <w:rsid w:val="002E7C7C"/>
    <w:rsid w:val="00304F8B"/>
    <w:rsid w:val="003127BE"/>
    <w:rsid w:val="003148FC"/>
    <w:rsid w:val="00316D59"/>
    <w:rsid w:val="00316EB7"/>
    <w:rsid w:val="00321E6E"/>
    <w:rsid w:val="00335BC6"/>
    <w:rsid w:val="00340E5A"/>
    <w:rsid w:val="003415D3"/>
    <w:rsid w:val="00344338"/>
    <w:rsid w:val="00344701"/>
    <w:rsid w:val="0035044B"/>
    <w:rsid w:val="00352B0F"/>
    <w:rsid w:val="00360459"/>
    <w:rsid w:val="00373577"/>
    <w:rsid w:val="00373ACC"/>
    <w:rsid w:val="0038049F"/>
    <w:rsid w:val="003854D6"/>
    <w:rsid w:val="00387C4E"/>
    <w:rsid w:val="003A496C"/>
    <w:rsid w:val="003A6100"/>
    <w:rsid w:val="003A7CE6"/>
    <w:rsid w:val="003B4605"/>
    <w:rsid w:val="003B6F26"/>
    <w:rsid w:val="003C25C2"/>
    <w:rsid w:val="003C6231"/>
    <w:rsid w:val="003D044A"/>
    <w:rsid w:val="003D0BFE"/>
    <w:rsid w:val="003D2870"/>
    <w:rsid w:val="003D5700"/>
    <w:rsid w:val="003E341B"/>
    <w:rsid w:val="003E4D00"/>
    <w:rsid w:val="003E77B8"/>
    <w:rsid w:val="003F3E44"/>
    <w:rsid w:val="003F4A83"/>
    <w:rsid w:val="00401DD7"/>
    <w:rsid w:val="0040261E"/>
    <w:rsid w:val="00403241"/>
    <w:rsid w:val="00407861"/>
    <w:rsid w:val="004116CD"/>
    <w:rsid w:val="00411CE2"/>
    <w:rsid w:val="00417EB9"/>
    <w:rsid w:val="00424CA9"/>
    <w:rsid w:val="004276DF"/>
    <w:rsid w:val="00431E9B"/>
    <w:rsid w:val="00433500"/>
    <w:rsid w:val="004379E3"/>
    <w:rsid w:val="0044015E"/>
    <w:rsid w:val="0044291A"/>
    <w:rsid w:val="0044754F"/>
    <w:rsid w:val="00457B30"/>
    <w:rsid w:val="0046257B"/>
    <w:rsid w:val="00463A18"/>
    <w:rsid w:val="004654E8"/>
    <w:rsid w:val="00467661"/>
    <w:rsid w:val="00472DBE"/>
    <w:rsid w:val="00474A19"/>
    <w:rsid w:val="0047643D"/>
    <w:rsid w:val="00477830"/>
    <w:rsid w:val="00486778"/>
    <w:rsid w:val="00487743"/>
    <w:rsid w:val="00487764"/>
    <w:rsid w:val="00490163"/>
    <w:rsid w:val="00495A33"/>
    <w:rsid w:val="00496F97"/>
    <w:rsid w:val="004978DF"/>
    <w:rsid w:val="004B0BE9"/>
    <w:rsid w:val="004B6C48"/>
    <w:rsid w:val="004C4E59"/>
    <w:rsid w:val="004C6809"/>
    <w:rsid w:val="004D102C"/>
    <w:rsid w:val="004D6703"/>
    <w:rsid w:val="004E063A"/>
    <w:rsid w:val="004E1307"/>
    <w:rsid w:val="004E7BEC"/>
    <w:rsid w:val="004F6E7A"/>
    <w:rsid w:val="00504D2D"/>
    <w:rsid w:val="00505D3D"/>
    <w:rsid w:val="00506AF6"/>
    <w:rsid w:val="00510BFA"/>
    <w:rsid w:val="00516B8D"/>
    <w:rsid w:val="00520581"/>
    <w:rsid w:val="00522752"/>
    <w:rsid w:val="005303C8"/>
    <w:rsid w:val="00537FBC"/>
    <w:rsid w:val="00544B85"/>
    <w:rsid w:val="00546202"/>
    <w:rsid w:val="00551BE3"/>
    <w:rsid w:val="00552E5A"/>
    <w:rsid w:val="00554826"/>
    <w:rsid w:val="0055688B"/>
    <w:rsid w:val="00562877"/>
    <w:rsid w:val="00566AED"/>
    <w:rsid w:val="00580B37"/>
    <w:rsid w:val="00584035"/>
    <w:rsid w:val="00584811"/>
    <w:rsid w:val="00585784"/>
    <w:rsid w:val="00593AA6"/>
    <w:rsid w:val="00594161"/>
    <w:rsid w:val="00594749"/>
    <w:rsid w:val="005A0C80"/>
    <w:rsid w:val="005A1704"/>
    <w:rsid w:val="005A6510"/>
    <w:rsid w:val="005A65D5"/>
    <w:rsid w:val="005B4067"/>
    <w:rsid w:val="005B6400"/>
    <w:rsid w:val="005C341A"/>
    <w:rsid w:val="005C3F41"/>
    <w:rsid w:val="005D1B38"/>
    <w:rsid w:val="005D1D92"/>
    <w:rsid w:val="005D2D09"/>
    <w:rsid w:val="005D509B"/>
    <w:rsid w:val="005E1605"/>
    <w:rsid w:val="005E222B"/>
    <w:rsid w:val="005E288F"/>
    <w:rsid w:val="005E38C8"/>
    <w:rsid w:val="005F3069"/>
    <w:rsid w:val="005F5C8F"/>
    <w:rsid w:val="00600219"/>
    <w:rsid w:val="006026C2"/>
    <w:rsid w:val="00604F2A"/>
    <w:rsid w:val="00610A31"/>
    <w:rsid w:val="00612996"/>
    <w:rsid w:val="00615020"/>
    <w:rsid w:val="00620076"/>
    <w:rsid w:val="00620D3D"/>
    <w:rsid w:val="0062599D"/>
    <w:rsid w:val="00627E0A"/>
    <w:rsid w:val="006500A8"/>
    <w:rsid w:val="006505B9"/>
    <w:rsid w:val="00651BC7"/>
    <w:rsid w:val="0065488B"/>
    <w:rsid w:val="00670EA1"/>
    <w:rsid w:val="00677CC2"/>
    <w:rsid w:val="006828F4"/>
    <w:rsid w:val="0068744B"/>
    <w:rsid w:val="00690338"/>
    <w:rsid w:val="006905DE"/>
    <w:rsid w:val="0069207B"/>
    <w:rsid w:val="00694DE8"/>
    <w:rsid w:val="006963E3"/>
    <w:rsid w:val="006A0913"/>
    <w:rsid w:val="006A154F"/>
    <w:rsid w:val="006A366C"/>
    <w:rsid w:val="006A3D2D"/>
    <w:rsid w:val="006A437B"/>
    <w:rsid w:val="006B44F5"/>
    <w:rsid w:val="006B5789"/>
    <w:rsid w:val="006C1AD8"/>
    <w:rsid w:val="006C30C5"/>
    <w:rsid w:val="006C6153"/>
    <w:rsid w:val="006C6F42"/>
    <w:rsid w:val="006C7F8C"/>
    <w:rsid w:val="006D6BA3"/>
    <w:rsid w:val="006E2A4B"/>
    <w:rsid w:val="006E2E1C"/>
    <w:rsid w:val="006E6246"/>
    <w:rsid w:val="006E69C2"/>
    <w:rsid w:val="006E6DCC"/>
    <w:rsid w:val="006F318F"/>
    <w:rsid w:val="0070017E"/>
    <w:rsid w:val="00700B2C"/>
    <w:rsid w:val="007041C8"/>
    <w:rsid w:val="007050A2"/>
    <w:rsid w:val="00713084"/>
    <w:rsid w:val="00714F20"/>
    <w:rsid w:val="0071590F"/>
    <w:rsid w:val="00715914"/>
    <w:rsid w:val="007209C5"/>
    <w:rsid w:val="0072147A"/>
    <w:rsid w:val="00723791"/>
    <w:rsid w:val="00730E6A"/>
    <w:rsid w:val="00730F3F"/>
    <w:rsid w:val="00731E00"/>
    <w:rsid w:val="0073671F"/>
    <w:rsid w:val="00737FFA"/>
    <w:rsid w:val="007440B7"/>
    <w:rsid w:val="007500C8"/>
    <w:rsid w:val="0075106E"/>
    <w:rsid w:val="00756272"/>
    <w:rsid w:val="007605BE"/>
    <w:rsid w:val="00761D2A"/>
    <w:rsid w:val="00762D38"/>
    <w:rsid w:val="00763310"/>
    <w:rsid w:val="00764758"/>
    <w:rsid w:val="007715C9"/>
    <w:rsid w:val="00771613"/>
    <w:rsid w:val="00771A72"/>
    <w:rsid w:val="00774EDD"/>
    <w:rsid w:val="007757EC"/>
    <w:rsid w:val="00783E89"/>
    <w:rsid w:val="00793915"/>
    <w:rsid w:val="007959A9"/>
    <w:rsid w:val="007A3F5F"/>
    <w:rsid w:val="007A5CFE"/>
    <w:rsid w:val="007C1A0A"/>
    <w:rsid w:val="007C2253"/>
    <w:rsid w:val="007D7911"/>
    <w:rsid w:val="007E163D"/>
    <w:rsid w:val="007E1883"/>
    <w:rsid w:val="007E1DE3"/>
    <w:rsid w:val="007E667A"/>
    <w:rsid w:val="007F28C9"/>
    <w:rsid w:val="007F51B2"/>
    <w:rsid w:val="008040DD"/>
    <w:rsid w:val="008117E9"/>
    <w:rsid w:val="00824498"/>
    <w:rsid w:val="00826BD1"/>
    <w:rsid w:val="00830023"/>
    <w:rsid w:val="00834D43"/>
    <w:rsid w:val="008461BB"/>
    <w:rsid w:val="00852534"/>
    <w:rsid w:val="00853A45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1A3E"/>
    <w:rsid w:val="008A3FFD"/>
    <w:rsid w:val="008A46E1"/>
    <w:rsid w:val="008A4F43"/>
    <w:rsid w:val="008A5D69"/>
    <w:rsid w:val="008B1ABA"/>
    <w:rsid w:val="008B2706"/>
    <w:rsid w:val="008C0320"/>
    <w:rsid w:val="008C2EAC"/>
    <w:rsid w:val="008C41C2"/>
    <w:rsid w:val="008C7757"/>
    <w:rsid w:val="008C7C52"/>
    <w:rsid w:val="008D0EE0"/>
    <w:rsid w:val="008D4EC7"/>
    <w:rsid w:val="008E0027"/>
    <w:rsid w:val="008E6067"/>
    <w:rsid w:val="008F1743"/>
    <w:rsid w:val="008F473C"/>
    <w:rsid w:val="008F54E7"/>
    <w:rsid w:val="008F5AD8"/>
    <w:rsid w:val="009016BF"/>
    <w:rsid w:val="00903422"/>
    <w:rsid w:val="009131B5"/>
    <w:rsid w:val="009254C3"/>
    <w:rsid w:val="00925C1A"/>
    <w:rsid w:val="00925E8C"/>
    <w:rsid w:val="00927DC8"/>
    <w:rsid w:val="00932377"/>
    <w:rsid w:val="00941236"/>
    <w:rsid w:val="00943FD5"/>
    <w:rsid w:val="009474B5"/>
    <w:rsid w:val="00947D5A"/>
    <w:rsid w:val="009521F2"/>
    <w:rsid w:val="009532A5"/>
    <w:rsid w:val="0095374A"/>
    <w:rsid w:val="009545BD"/>
    <w:rsid w:val="00954B9F"/>
    <w:rsid w:val="00963B44"/>
    <w:rsid w:val="00964CF0"/>
    <w:rsid w:val="00972E89"/>
    <w:rsid w:val="00975ADF"/>
    <w:rsid w:val="00977806"/>
    <w:rsid w:val="00980D50"/>
    <w:rsid w:val="009810A2"/>
    <w:rsid w:val="00982242"/>
    <w:rsid w:val="00982CCB"/>
    <w:rsid w:val="009868E9"/>
    <w:rsid w:val="00986A10"/>
    <w:rsid w:val="009900A3"/>
    <w:rsid w:val="009A033A"/>
    <w:rsid w:val="009B7997"/>
    <w:rsid w:val="009B7F1D"/>
    <w:rsid w:val="009C3413"/>
    <w:rsid w:val="009C36E2"/>
    <w:rsid w:val="009D2CB4"/>
    <w:rsid w:val="009D4A04"/>
    <w:rsid w:val="009E4119"/>
    <w:rsid w:val="00A0441E"/>
    <w:rsid w:val="00A12128"/>
    <w:rsid w:val="00A14DB1"/>
    <w:rsid w:val="00A16E32"/>
    <w:rsid w:val="00A22C98"/>
    <w:rsid w:val="00A231E2"/>
    <w:rsid w:val="00A3502E"/>
    <w:rsid w:val="00A369E3"/>
    <w:rsid w:val="00A42044"/>
    <w:rsid w:val="00A45A84"/>
    <w:rsid w:val="00A57600"/>
    <w:rsid w:val="00A64912"/>
    <w:rsid w:val="00A70A74"/>
    <w:rsid w:val="00A75FE9"/>
    <w:rsid w:val="00A8173A"/>
    <w:rsid w:val="00A84735"/>
    <w:rsid w:val="00A848BE"/>
    <w:rsid w:val="00A9424A"/>
    <w:rsid w:val="00AA0D01"/>
    <w:rsid w:val="00AC266B"/>
    <w:rsid w:val="00AD53CC"/>
    <w:rsid w:val="00AD5641"/>
    <w:rsid w:val="00AE40C0"/>
    <w:rsid w:val="00AF06CF"/>
    <w:rsid w:val="00AF1CBC"/>
    <w:rsid w:val="00B07CDB"/>
    <w:rsid w:val="00B16A31"/>
    <w:rsid w:val="00B17DFD"/>
    <w:rsid w:val="00B20514"/>
    <w:rsid w:val="00B248D7"/>
    <w:rsid w:val="00B24BCC"/>
    <w:rsid w:val="00B25306"/>
    <w:rsid w:val="00B25ABD"/>
    <w:rsid w:val="00B269A4"/>
    <w:rsid w:val="00B27831"/>
    <w:rsid w:val="00B308FE"/>
    <w:rsid w:val="00B31D3C"/>
    <w:rsid w:val="00B320FD"/>
    <w:rsid w:val="00B3238D"/>
    <w:rsid w:val="00B33709"/>
    <w:rsid w:val="00B33B3C"/>
    <w:rsid w:val="00B33B6E"/>
    <w:rsid w:val="00B36392"/>
    <w:rsid w:val="00B418CB"/>
    <w:rsid w:val="00B46F20"/>
    <w:rsid w:val="00B47444"/>
    <w:rsid w:val="00B50ADC"/>
    <w:rsid w:val="00B566B1"/>
    <w:rsid w:val="00B575CA"/>
    <w:rsid w:val="00B6043D"/>
    <w:rsid w:val="00B63834"/>
    <w:rsid w:val="00B6739E"/>
    <w:rsid w:val="00B80199"/>
    <w:rsid w:val="00B83204"/>
    <w:rsid w:val="00B856E7"/>
    <w:rsid w:val="00BA04EE"/>
    <w:rsid w:val="00BA220B"/>
    <w:rsid w:val="00BA3A57"/>
    <w:rsid w:val="00BB05C8"/>
    <w:rsid w:val="00BB1533"/>
    <w:rsid w:val="00BB16E1"/>
    <w:rsid w:val="00BB4E1A"/>
    <w:rsid w:val="00BC015E"/>
    <w:rsid w:val="00BC0462"/>
    <w:rsid w:val="00BC76AC"/>
    <w:rsid w:val="00BD0ECB"/>
    <w:rsid w:val="00BE2155"/>
    <w:rsid w:val="00BE719A"/>
    <w:rsid w:val="00BE720A"/>
    <w:rsid w:val="00BE72C4"/>
    <w:rsid w:val="00BF0D73"/>
    <w:rsid w:val="00BF13E0"/>
    <w:rsid w:val="00BF2465"/>
    <w:rsid w:val="00C00EC7"/>
    <w:rsid w:val="00C04367"/>
    <w:rsid w:val="00C13289"/>
    <w:rsid w:val="00C14AB7"/>
    <w:rsid w:val="00C16619"/>
    <w:rsid w:val="00C25E7F"/>
    <w:rsid w:val="00C2746F"/>
    <w:rsid w:val="00C323D6"/>
    <w:rsid w:val="00C324A0"/>
    <w:rsid w:val="00C42BF8"/>
    <w:rsid w:val="00C43ED2"/>
    <w:rsid w:val="00C4768D"/>
    <w:rsid w:val="00C50043"/>
    <w:rsid w:val="00C53120"/>
    <w:rsid w:val="00C54C4F"/>
    <w:rsid w:val="00C57A59"/>
    <w:rsid w:val="00C61FC1"/>
    <w:rsid w:val="00C67AC0"/>
    <w:rsid w:val="00C7134D"/>
    <w:rsid w:val="00C71D55"/>
    <w:rsid w:val="00C7573B"/>
    <w:rsid w:val="00C772B4"/>
    <w:rsid w:val="00C82FD7"/>
    <w:rsid w:val="00C8464B"/>
    <w:rsid w:val="00C92BD8"/>
    <w:rsid w:val="00C96C1E"/>
    <w:rsid w:val="00C97A54"/>
    <w:rsid w:val="00CA2832"/>
    <w:rsid w:val="00CA43DE"/>
    <w:rsid w:val="00CA5B23"/>
    <w:rsid w:val="00CB602E"/>
    <w:rsid w:val="00CB7CC1"/>
    <w:rsid w:val="00CB7E90"/>
    <w:rsid w:val="00CE051D"/>
    <w:rsid w:val="00CE1335"/>
    <w:rsid w:val="00CE493D"/>
    <w:rsid w:val="00CF07FA"/>
    <w:rsid w:val="00CF0BB2"/>
    <w:rsid w:val="00CF0E22"/>
    <w:rsid w:val="00CF3EE8"/>
    <w:rsid w:val="00CF5D50"/>
    <w:rsid w:val="00D019D7"/>
    <w:rsid w:val="00D0485B"/>
    <w:rsid w:val="00D054BF"/>
    <w:rsid w:val="00D13441"/>
    <w:rsid w:val="00D13857"/>
    <w:rsid w:val="00D150E7"/>
    <w:rsid w:val="00D1772B"/>
    <w:rsid w:val="00D23633"/>
    <w:rsid w:val="00D25A5B"/>
    <w:rsid w:val="00D31A4E"/>
    <w:rsid w:val="00D34E91"/>
    <w:rsid w:val="00D460D1"/>
    <w:rsid w:val="00D47237"/>
    <w:rsid w:val="00D514B7"/>
    <w:rsid w:val="00D528CB"/>
    <w:rsid w:val="00D52DC2"/>
    <w:rsid w:val="00D53146"/>
    <w:rsid w:val="00D53BCC"/>
    <w:rsid w:val="00D54C9E"/>
    <w:rsid w:val="00D63083"/>
    <w:rsid w:val="00D6537E"/>
    <w:rsid w:val="00D70DFB"/>
    <w:rsid w:val="00D741B5"/>
    <w:rsid w:val="00D766DF"/>
    <w:rsid w:val="00D8206C"/>
    <w:rsid w:val="00D82E29"/>
    <w:rsid w:val="00D91F10"/>
    <w:rsid w:val="00DA1731"/>
    <w:rsid w:val="00DA186E"/>
    <w:rsid w:val="00DA2802"/>
    <w:rsid w:val="00DA2D35"/>
    <w:rsid w:val="00DA3D44"/>
    <w:rsid w:val="00DA4116"/>
    <w:rsid w:val="00DB205F"/>
    <w:rsid w:val="00DB251C"/>
    <w:rsid w:val="00DB35A4"/>
    <w:rsid w:val="00DB4630"/>
    <w:rsid w:val="00DC4F88"/>
    <w:rsid w:val="00DC50F9"/>
    <w:rsid w:val="00DD1008"/>
    <w:rsid w:val="00DE107C"/>
    <w:rsid w:val="00DF1ECF"/>
    <w:rsid w:val="00DF2388"/>
    <w:rsid w:val="00E05704"/>
    <w:rsid w:val="00E07279"/>
    <w:rsid w:val="00E075E7"/>
    <w:rsid w:val="00E17CBC"/>
    <w:rsid w:val="00E211CF"/>
    <w:rsid w:val="00E21B25"/>
    <w:rsid w:val="00E262D5"/>
    <w:rsid w:val="00E338EF"/>
    <w:rsid w:val="00E40615"/>
    <w:rsid w:val="00E509CB"/>
    <w:rsid w:val="00E544BB"/>
    <w:rsid w:val="00E61994"/>
    <w:rsid w:val="00E61BB9"/>
    <w:rsid w:val="00E6514A"/>
    <w:rsid w:val="00E74DC7"/>
    <w:rsid w:val="00E76A06"/>
    <w:rsid w:val="00E8075A"/>
    <w:rsid w:val="00E86B62"/>
    <w:rsid w:val="00E92800"/>
    <w:rsid w:val="00E940D8"/>
    <w:rsid w:val="00E94D5E"/>
    <w:rsid w:val="00EA46D5"/>
    <w:rsid w:val="00EA7100"/>
    <w:rsid w:val="00EA7F9F"/>
    <w:rsid w:val="00EB098C"/>
    <w:rsid w:val="00EB1274"/>
    <w:rsid w:val="00EB142A"/>
    <w:rsid w:val="00EB2B58"/>
    <w:rsid w:val="00EB6985"/>
    <w:rsid w:val="00EB7C28"/>
    <w:rsid w:val="00EC29A7"/>
    <w:rsid w:val="00ED2BB6"/>
    <w:rsid w:val="00ED34E1"/>
    <w:rsid w:val="00ED3B8D"/>
    <w:rsid w:val="00ED573D"/>
    <w:rsid w:val="00EE026E"/>
    <w:rsid w:val="00EE1E10"/>
    <w:rsid w:val="00EE5E36"/>
    <w:rsid w:val="00EF2E3A"/>
    <w:rsid w:val="00F02C7C"/>
    <w:rsid w:val="00F069F4"/>
    <w:rsid w:val="00F072A7"/>
    <w:rsid w:val="00F078DC"/>
    <w:rsid w:val="00F17A93"/>
    <w:rsid w:val="00F221C9"/>
    <w:rsid w:val="00F30B2C"/>
    <w:rsid w:val="00F32BA8"/>
    <w:rsid w:val="00F32EE0"/>
    <w:rsid w:val="00F34502"/>
    <w:rsid w:val="00F349F1"/>
    <w:rsid w:val="00F37C4C"/>
    <w:rsid w:val="00F37DEB"/>
    <w:rsid w:val="00F4350D"/>
    <w:rsid w:val="00F479C4"/>
    <w:rsid w:val="00F567F7"/>
    <w:rsid w:val="00F56DA0"/>
    <w:rsid w:val="00F57A8C"/>
    <w:rsid w:val="00F6696E"/>
    <w:rsid w:val="00F73BD6"/>
    <w:rsid w:val="00F73CF2"/>
    <w:rsid w:val="00F81FE0"/>
    <w:rsid w:val="00F83989"/>
    <w:rsid w:val="00F85099"/>
    <w:rsid w:val="00F86D29"/>
    <w:rsid w:val="00F91AB1"/>
    <w:rsid w:val="00F9379C"/>
    <w:rsid w:val="00F9632C"/>
    <w:rsid w:val="00FA1E52"/>
    <w:rsid w:val="00FA31B4"/>
    <w:rsid w:val="00FB5A08"/>
    <w:rsid w:val="00FB60BF"/>
    <w:rsid w:val="00FC0301"/>
    <w:rsid w:val="00FC0363"/>
    <w:rsid w:val="00FC573B"/>
    <w:rsid w:val="00FC6A80"/>
    <w:rsid w:val="00FD5CB7"/>
    <w:rsid w:val="00FE4688"/>
    <w:rsid w:val="00FE7165"/>
    <w:rsid w:val="00FF4529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chedulepara">
    <w:name w:val="Schedule para"/>
    <w:basedOn w:val="Normal"/>
    <w:rsid w:val="00694DE8"/>
    <w:pPr>
      <w:tabs>
        <w:tab w:val="right" w:pos="567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table" w:styleId="LightList">
    <w:name w:val="Light List"/>
    <w:basedOn w:val="TableNormal"/>
    <w:uiPriority w:val="61"/>
    <w:rsid w:val="00694DE8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6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84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8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84E"/>
    <w:rPr>
      <w:b/>
      <w:bCs/>
    </w:rPr>
  </w:style>
  <w:style w:type="paragraph" w:styleId="Revision">
    <w:name w:val="Revision"/>
    <w:hidden/>
    <w:uiPriority w:val="99"/>
    <w:semiHidden/>
    <w:rsid w:val="00E075E7"/>
    <w:rPr>
      <w:sz w:val="22"/>
    </w:rPr>
  </w:style>
  <w:style w:type="character" w:customStyle="1" w:styleId="paragraphChar">
    <w:name w:val="paragraph Char"/>
    <w:aliases w:val="a Char"/>
    <w:link w:val="paragraph"/>
    <w:locked/>
    <w:rsid w:val="00495A33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chedulepara">
    <w:name w:val="Schedule para"/>
    <w:basedOn w:val="Normal"/>
    <w:rsid w:val="00694DE8"/>
    <w:pPr>
      <w:tabs>
        <w:tab w:val="right" w:pos="567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table" w:styleId="LightList">
    <w:name w:val="Light List"/>
    <w:basedOn w:val="TableNormal"/>
    <w:uiPriority w:val="61"/>
    <w:rsid w:val="00694DE8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6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84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8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84E"/>
    <w:rPr>
      <w:b/>
      <w:bCs/>
    </w:rPr>
  </w:style>
  <w:style w:type="paragraph" w:styleId="Revision">
    <w:name w:val="Revision"/>
    <w:hidden/>
    <w:uiPriority w:val="99"/>
    <w:semiHidden/>
    <w:rsid w:val="00E075E7"/>
    <w:rPr>
      <w:sz w:val="22"/>
    </w:rPr>
  </w:style>
  <w:style w:type="character" w:customStyle="1" w:styleId="paragraphChar">
    <w:name w:val="paragraph Char"/>
    <w:aliases w:val="a Char"/>
    <w:link w:val="paragraph"/>
    <w:locked/>
    <w:rsid w:val="00495A33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do\Desktop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A721-24BB-4B11-81B4-9A3856BB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</Template>
  <TotalTime>8</TotalTime>
  <Pages>10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SHANAHAN, Bart</dc:creator>
  <cp:lastModifiedBy>EDLINGTON, Mandy</cp:lastModifiedBy>
  <cp:revision>3</cp:revision>
  <cp:lastPrinted>2019-01-14T22:35:00Z</cp:lastPrinted>
  <dcterms:created xsi:type="dcterms:W3CDTF">2019-01-18T04:14:00Z</dcterms:created>
  <dcterms:modified xsi:type="dcterms:W3CDTF">2019-01-18T06:02:00Z</dcterms:modified>
</cp:coreProperties>
</file>