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5B" w:rsidRPr="006C175B" w:rsidRDefault="001462E6" w:rsidP="006C175B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bookmarkStart w:id="2" w:name="_GoBack"/>
      <w:bookmarkEnd w:id="2"/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5B" w:rsidRPr="006C175B" w:rsidRDefault="006C175B" w:rsidP="006C175B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C175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4 of 2019 </w:t>
      </w:r>
    </w:p>
    <w:p w:rsidR="006C175B" w:rsidRPr="006C175B" w:rsidRDefault="006C175B" w:rsidP="006C175B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C175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Reporting Standard ARS 720.2 ABS/RBA Deposits </w:t>
      </w:r>
    </w:p>
    <w:p w:rsidR="006C175B" w:rsidRPr="006C175B" w:rsidRDefault="006C175B" w:rsidP="006C175B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C175B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:rsidR="006C175B" w:rsidRPr="006C175B" w:rsidRDefault="006C175B" w:rsidP="006C175B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175B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C175B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C175B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C175B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DETERMINE Reporting Standard ARS 720.2 ABS/RBA Deposits</w:t>
      </w:r>
      <w:r w:rsidRPr="006C175B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6C175B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:rsidR="006C175B" w:rsidRPr="006C175B" w:rsidRDefault="006C175B" w:rsidP="006C175B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 on 8 February 2019. </w:t>
      </w: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on 8 February 2019.</w:t>
      </w: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sz w:val="24"/>
          <w:szCs w:val="24"/>
          <w:lang w:val="en-US" w:eastAsia="en-AU"/>
        </w:rPr>
        <w:t>Dated: 1 February 2019</w:t>
      </w: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sz w:val="24"/>
          <w:szCs w:val="24"/>
          <w:lang w:val="en-US" w:eastAsia="en-AU"/>
        </w:rPr>
        <w:t>Data Analytics Division</w:t>
      </w: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:rsidR="006C175B" w:rsidRPr="006C175B" w:rsidRDefault="006C175B" w:rsidP="006C175B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:rsidR="006C175B" w:rsidRPr="006C175B" w:rsidRDefault="006C175B" w:rsidP="006C175B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175B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:rsidR="006C175B" w:rsidRPr="006C175B" w:rsidRDefault="006C175B" w:rsidP="006C175B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175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C175B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:rsidR="006C175B" w:rsidRPr="006C175B" w:rsidRDefault="006C175B" w:rsidP="006C175B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175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C175B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:rsidR="006C175B" w:rsidRPr="006C175B" w:rsidRDefault="006C175B" w:rsidP="006C175B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175B" w:rsidRPr="006C175B" w:rsidRDefault="006C175B" w:rsidP="006C175B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:rsidR="006C175B" w:rsidRPr="006C175B" w:rsidRDefault="006C175B" w:rsidP="006C175B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C1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:rsidR="006C175B" w:rsidRPr="006C175B" w:rsidRDefault="006C175B" w:rsidP="006C175B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:rsidR="006C175B" w:rsidRPr="006C175B" w:rsidRDefault="006C175B" w:rsidP="006C175B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C175B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Reporting Standard ARS 720.2 ABS/RBA Deposits </w:t>
      </w:r>
      <w:r w:rsidRPr="006C175B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 the document commencing on the following page.</w:t>
      </w:r>
      <w:bookmarkEnd w:id="0"/>
    </w:p>
    <w:p w:rsidR="006C175B" w:rsidRPr="006C175B" w:rsidRDefault="006C175B" w:rsidP="006C175B">
      <w:pPr>
        <w:keepNext/>
        <w:jc w:val="both"/>
        <w:outlineLvl w:val="1"/>
        <w:rPr>
          <w:rFonts w:ascii="Arial" w:eastAsia="Times New Roman" w:hAnsi="Arial"/>
          <w:b/>
          <w:sz w:val="32"/>
          <w:szCs w:val="20"/>
          <w:lang w:eastAsia="en-AU"/>
        </w:rPr>
      </w:pPr>
    </w:p>
    <w:p w:rsidR="006C175B" w:rsidRDefault="006C175B" w:rsidP="00040594">
      <w:pPr>
        <w:jc w:val="both"/>
        <w:rPr>
          <w:rFonts w:eastAsia="Times"/>
          <w:szCs w:val="20"/>
        </w:rPr>
        <w:sectPr w:rsidR="006C175B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AF103C" w:rsidRPr="00AB4984" w:rsidRDefault="001462E6" w:rsidP="00040594">
      <w:pPr>
        <w:jc w:val="both"/>
        <w:rPr>
          <w:rFonts w:eastAsia="Times"/>
          <w:szCs w:val="20"/>
        </w:rPr>
      </w:pPr>
      <w:r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>
            <wp:extent cx="14287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3C" w:rsidRPr="00AB4984" w:rsidRDefault="00AF103C" w:rsidP="00040594">
      <w:pPr>
        <w:jc w:val="both"/>
        <w:rPr>
          <w:rFonts w:eastAsia="Times"/>
          <w:szCs w:val="20"/>
        </w:rPr>
      </w:pPr>
    </w:p>
    <w:p w:rsidR="00AF103C" w:rsidRPr="00AB4984" w:rsidRDefault="00B90C07" w:rsidP="00B83893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F3301E">
        <w:rPr>
          <w:rFonts w:ascii="Arial" w:eastAsia="Times New Roman" w:hAnsi="Arial" w:cs="Arial"/>
          <w:b/>
          <w:sz w:val="40"/>
          <w:szCs w:val="40"/>
          <w:lang w:eastAsia="en-AU"/>
        </w:rPr>
        <w:t>720.2</w:t>
      </w:r>
    </w:p>
    <w:p w:rsidR="00AF103C" w:rsidRPr="00AB4984" w:rsidRDefault="00C8047C" w:rsidP="00B83893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F3301E">
        <w:rPr>
          <w:rFonts w:ascii="Arial" w:eastAsia="Times New Roman" w:hAnsi="Arial" w:cs="Arial"/>
          <w:b/>
          <w:sz w:val="40"/>
          <w:szCs w:val="40"/>
          <w:lang w:eastAsia="en-AU"/>
        </w:rPr>
        <w:t>Deposits</w:t>
      </w:r>
    </w:p>
    <w:bookmarkEnd w:id="3"/>
    <w:p w:rsidR="00CD3512" w:rsidRPr="00CD6287" w:rsidRDefault="00CD3512" w:rsidP="00B83893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:rsidR="00CD3512" w:rsidRDefault="00CD3512" w:rsidP="00B83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E2A2D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E2A2D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F3301E">
        <w:rPr>
          <w:rFonts w:ascii="Times New Roman" w:hAnsi="Times New Roman"/>
          <w:sz w:val="24"/>
          <w:szCs w:val="24"/>
        </w:rPr>
        <w:t>deposits</w:t>
      </w:r>
      <w:r w:rsidR="00B83893">
        <w:rPr>
          <w:rFonts w:ascii="Times New Roman" w:eastAsia="Times" w:hAnsi="Times New Roman"/>
          <w:sz w:val="24"/>
          <w:szCs w:val="24"/>
        </w:rPr>
        <w:t>.</w:t>
      </w:r>
    </w:p>
    <w:p w:rsidR="00CD3512" w:rsidRPr="00B83893" w:rsidRDefault="00CD3512" w:rsidP="00B83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>Form ARF 720.</w:t>
      </w:r>
      <w:r w:rsidR="00F3301E">
        <w:rPr>
          <w:rFonts w:ascii="Times New Roman" w:eastAsia="Times" w:hAnsi="Times New Roman"/>
          <w:i/>
          <w:sz w:val="24"/>
          <w:szCs w:val="24"/>
        </w:rPr>
        <w:t>2A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F3301E">
        <w:rPr>
          <w:rFonts w:ascii="Times New Roman" w:eastAsia="Times" w:hAnsi="Times New Roman"/>
          <w:i/>
          <w:sz w:val="24"/>
          <w:szCs w:val="24"/>
        </w:rPr>
        <w:t>Deposits (</w:t>
      </w:r>
      <w:r w:rsidR="00CA169D">
        <w:rPr>
          <w:rFonts w:ascii="Times New Roman" w:eastAsia="Times" w:hAnsi="Times New Roman"/>
          <w:i/>
          <w:sz w:val="24"/>
          <w:szCs w:val="24"/>
        </w:rPr>
        <w:t>Standard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F3301E" w:rsidRPr="00F3301E">
        <w:rPr>
          <w:rFonts w:ascii="Times New Roman" w:eastAsia="Times" w:hAnsi="Times New Roman"/>
          <w:sz w:val="24"/>
          <w:szCs w:val="24"/>
        </w:rPr>
        <w:t>and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Form ARF 720.2B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Reduced</w:t>
      </w:r>
      <w:r w:rsidR="00F3301E">
        <w:rPr>
          <w:rFonts w:ascii="Times New Roman" w:eastAsia="Times" w:hAnsi="Times New Roman"/>
          <w:i/>
          <w:sz w:val="24"/>
          <w:szCs w:val="24"/>
        </w:rPr>
        <w:t>)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B83893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:rsidR="00CD3512" w:rsidRPr="00CD6287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:rsidR="00CD3512" w:rsidRPr="00287C7B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Form ARF 720.2A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Standard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F3301E">
        <w:rPr>
          <w:rFonts w:ascii="Times New Roman" w:eastAsia="Times" w:hAnsi="Times New Roman"/>
          <w:sz w:val="24"/>
          <w:szCs w:val="24"/>
        </w:rPr>
        <w:t xml:space="preserve">(ARF 720.2A) </w:t>
      </w:r>
      <w:r w:rsidR="00F3301E" w:rsidRPr="00F3301E">
        <w:rPr>
          <w:rFonts w:ascii="Times New Roman" w:eastAsia="Times" w:hAnsi="Times New Roman"/>
          <w:sz w:val="24"/>
          <w:szCs w:val="24"/>
        </w:rPr>
        <w:t>and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F3301E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F3301E">
        <w:rPr>
          <w:rFonts w:ascii="Times New Roman" w:eastAsia="Times" w:hAnsi="Times New Roman"/>
          <w:sz w:val="24"/>
          <w:szCs w:val="24"/>
        </w:rPr>
        <w:t xml:space="preserve"> </w:t>
      </w:r>
      <w:r w:rsidR="00F3301E">
        <w:rPr>
          <w:rFonts w:ascii="Times New Roman" w:eastAsia="Times" w:hAnsi="Times New Roman"/>
          <w:i/>
          <w:sz w:val="24"/>
          <w:szCs w:val="24"/>
        </w:rPr>
        <w:t>Form ARF 720.2B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Reduced</w:t>
      </w:r>
      <w:r w:rsidR="00F3301E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E52250">
        <w:rPr>
          <w:rFonts w:ascii="Times New Roman"/>
          <w:i/>
          <w:sz w:val="24"/>
        </w:rPr>
        <w:t xml:space="preserve"> </w:t>
      </w:r>
      <w:r>
        <w:rPr>
          <w:rFonts w:ascii="Times New Roman"/>
          <w:sz w:val="24"/>
        </w:rPr>
        <w:t xml:space="preserve">(ARF </w:t>
      </w:r>
      <w:r w:rsidR="00F3301E">
        <w:rPr>
          <w:rFonts w:ascii="Times New Roman"/>
          <w:sz w:val="24"/>
        </w:rPr>
        <w:t>720.2B</w:t>
      </w:r>
      <w:r>
        <w:rPr>
          <w:rFonts w:ascii="Times New Roman"/>
          <w:sz w:val="24"/>
        </w:rPr>
        <w:t>)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for various purposes, including the compilation of Australia’s National Accounts and the calculation of the monetary aggregates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5278EA">
        <w:rPr>
          <w:rFonts w:ascii="Times New Roman" w:eastAsia="Times New Roman" w:hAnsi="Times New Roman"/>
          <w:iCs/>
          <w:sz w:val="24"/>
          <w:szCs w:val="24"/>
        </w:rPr>
        <w:t xml:space="preserve">  This information may also be used by </w:t>
      </w:r>
      <w:r w:rsidR="005278EA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5278EA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5278EA">
        <w:rPr>
          <w:rFonts w:ascii="Times New Roman" w:hAnsi="Times New Roman"/>
          <w:sz w:val="24"/>
          <w:szCs w:val="24"/>
        </w:rPr>
        <w:t>ion purposes.</w:t>
      </w:r>
    </w:p>
    <w:p w:rsidR="00781C78" w:rsidRPr="00781C78" w:rsidRDefault="00781C78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Reporting Standard is an Economic and Financial Statistics (EFS) Reporting Standard for the purposes</w:t>
      </w:r>
      <w:r w:rsidR="00D7489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794CB4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:rsidR="00A70B45" w:rsidRPr="00574601" w:rsidRDefault="00CD3512" w:rsidP="00B83893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574601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06492E">
        <w:rPr>
          <w:rFonts w:ascii="Times New Roman" w:eastAsia="Times New Roman" w:hAnsi="Times New Roman"/>
          <w:iCs/>
          <w:sz w:val="24"/>
          <w:szCs w:val="24"/>
        </w:rPr>
        <w:t>(</w:t>
      </w:r>
      <w:r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06492E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 w:rsidRPr="00574601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70062C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70062C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70062C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06492E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57460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06492E">
        <w:rPr>
          <w:rFonts w:ascii="Times New Roman" w:eastAsia="Times New Roman" w:hAnsi="Times New Roman"/>
          <w:iCs/>
          <w:sz w:val="24"/>
          <w:szCs w:val="24"/>
        </w:rPr>
        <w:t>)</w:t>
      </w:r>
      <w:r w:rsidRPr="00574601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5278EA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2D2E92">
        <w:rPr>
          <w:rFonts w:ascii="Times New Roman" w:eastAsia="Times New Roman" w:hAnsi="Times New Roman"/>
          <w:iCs/>
          <w:sz w:val="24"/>
          <w:szCs w:val="24"/>
        </w:rPr>
        <w:t>w</w:t>
      </w:r>
      <w:r w:rsidR="005278EA">
        <w:rPr>
          <w:rFonts w:ascii="Times New Roman" w:eastAsia="Times New Roman" w:hAnsi="Times New Roman"/>
          <w:iCs/>
          <w:sz w:val="24"/>
          <w:szCs w:val="24"/>
        </w:rPr>
        <w:t xml:space="preserve">here ‘total assets’ are measured by the value reported in item 13 (column 1) on </w:t>
      </w:r>
      <w:r w:rsidR="005278EA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5278EA" w:rsidRPr="007610C0">
        <w:rPr>
          <w:rFonts w:ascii="Times New Roman" w:eastAsia="Times New Roman" w:hAnsi="Times New Roman"/>
          <w:iCs/>
          <w:sz w:val="24"/>
          <w:szCs w:val="24"/>
        </w:rPr>
        <w:t>(A</w:t>
      </w:r>
      <w:r w:rsidR="005278EA">
        <w:rPr>
          <w:rFonts w:ascii="Times New Roman" w:eastAsia="Times New Roman" w:hAnsi="Times New Roman"/>
          <w:iCs/>
          <w:sz w:val="24"/>
          <w:szCs w:val="24"/>
        </w:rPr>
        <w:t xml:space="preserve">RF 720.0A/B) or the value reported in item 11 (column 1) on </w:t>
      </w:r>
      <w:r w:rsidR="005278EA">
        <w:rPr>
          <w:rFonts w:ascii="Times New Roman" w:eastAsia="Times New Roman" w:hAnsi="Times New Roman"/>
          <w:i/>
          <w:iCs/>
          <w:sz w:val="24"/>
          <w:szCs w:val="24"/>
        </w:rPr>
        <w:t>Reporting Form ARF 323.0 Statement of Financial Position (Licensed ADI)</w:t>
      </w:r>
      <w:r w:rsidR="005278EA">
        <w:rPr>
          <w:rFonts w:ascii="Times New Roman" w:eastAsia="Times New Roman" w:hAnsi="Times New Roman"/>
          <w:iCs/>
          <w:sz w:val="24"/>
          <w:szCs w:val="24"/>
        </w:rPr>
        <w:t xml:space="preserve"> (ARF 323.0)</w:t>
      </w:r>
      <w:r w:rsidR="005278EA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5278EA">
        <w:rPr>
          <w:rFonts w:ascii="Times New Roman" w:eastAsia="Times New Roman" w:hAnsi="Times New Roman"/>
          <w:iCs/>
          <w:sz w:val="24"/>
          <w:szCs w:val="24"/>
        </w:rPr>
        <w:t>as at 31 December of the prior calendar year.</w:t>
      </w:r>
    </w:p>
    <w:p w:rsidR="00346449" w:rsidRDefault="0034644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8"/>
        <w:gridCol w:w="3037"/>
      </w:tblGrid>
      <w:tr w:rsidR="00F3301E" w:rsidRPr="00D77B51" w:rsidTr="00287C7B">
        <w:tc>
          <w:tcPr>
            <w:tcW w:w="1746" w:type="pct"/>
            <w:shd w:val="clear" w:color="auto" w:fill="BFBFBF"/>
          </w:tcPr>
          <w:p w:rsidR="00F3301E" w:rsidRPr="00D77B51" w:rsidRDefault="00F3301E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2A4385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11" w:type="pct"/>
            <w:shd w:val="clear" w:color="auto" w:fill="BFBFBF"/>
          </w:tcPr>
          <w:p w:rsidR="00F3301E" w:rsidRPr="00D77B51" w:rsidRDefault="00F3301E" w:rsidP="001B76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720.2A</w:t>
            </w:r>
          </w:p>
        </w:tc>
        <w:tc>
          <w:tcPr>
            <w:tcW w:w="1643" w:type="pct"/>
            <w:shd w:val="clear" w:color="auto" w:fill="BFBFBF"/>
          </w:tcPr>
          <w:p w:rsidR="00F3301E" w:rsidRPr="00D77B51" w:rsidRDefault="00F3301E" w:rsidP="001B76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720.2</w:t>
            </w:r>
            <w:r w:rsidR="0070062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4552E0" w:rsidRPr="00D77B51" w:rsidTr="00287C7B">
        <w:tc>
          <w:tcPr>
            <w:tcW w:w="1746" w:type="pct"/>
            <w:shd w:val="clear" w:color="auto" w:fill="auto"/>
          </w:tcPr>
          <w:p w:rsidR="004552E0" w:rsidRPr="004F0698" w:rsidDel="00265931" w:rsidRDefault="004552E0" w:rsidP="004552E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11" w:type="pct"/>
            <w:shd w:val="clear" w:color="auto" w:fill="auto"/>
          </w:tcPr>
          <w:p w:rsidR="004552E0" w:rsidRPr="00D77B51" w:rsidRDefault="004552E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3" w:type="pct"/>
          </w:tcPr>
          <w:p w:rsidR="004552E0" w:rsidRDefault="004552E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total assets ≥ $200m</w:t>
            </w:r>
          </w:p>
        </w:tc>
      </w:tr>
      <w:tr w:rsidR="00F3301E" w:rsidRPr="00D77B51" w:rsidTr="00287C7B">
        <w:tc>
          <w:tcPr>
            <w:tcW w:w="1746" w:type="pct"/>
            <w:shd w:val="clear" w:color="auto" w:fill="auto"/>
          </w:tcPr>
          <w:p w:rsidR="00F3301E" w:rsidRPr="004F0698" w:rsidRDefault="00331D83" w:rsidP="004552E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ADI Reporting Category </w:t>
            </w:r>
            <w:r w:rsidR="004552E0"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</w:p>
        </w:tc>
        <w:tc>
          <w:tcPr>
            <w:tcW w:w="1611" w:type="pct"/>
            <w:shd w:val="clear" w:color="auto" w:fill="auto"/>
          </w:tcPr>
          <w:p w:rsidR="00F3301E" w:rsidRPr="00D77B51" w:rsidRDefault="00F3301E" w:rsidP="00574EB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B51">
              <w:rPr>
                <w:rFonts w:ascii="Times New Roman" w:hAnsi="Times New Roman"/>
                <w:sz w:val="24"/>
                <w:szCs w:val="24"/>
              </w:rPr>
              <w:t>Yes</w:t>
            </w:r>
            <w:r w:rsidR="00574EB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643" w:type="pct"/>
          </w:tcPr>
          <w:p w:rsidR="00F3301E" w:rsidRPr="00D77B51" w:rsidRDefault="003E1FA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3301E" w:rsidRPr="00D77B51" w:rsidTr="00287C7B">
        <w:tc>
          <w:tcPr>
            <w:tcW w:w="1746" w:type="pct"/>
            <w:shd w:val="clear" w:color="auto" w:fill="auto"/>
          </w:tcPr>
          <w:p w:rsidR="00F3301E" w:rsidRPr="004F0698" w:rsidRDefault="00F3301E" w:rsidP="00A8330F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0698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11" w:type="pct"/>
            <w:shd w:val="clear" w:color="auto" w:fill="auto"/>
          </w:tcPr>
          <w:p w:rsidR="00F3301E" w:rsidRDefault="003E1FA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643" w:type="pct"/>
          </w:tcPr>
          <w:p w:rsidR="00F3301E" w:rsidRDefault="003E1FA0" w:rsidP="00A8330F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781C78">
              <w:rPr>
                <w:rFonts w:ascii="Times New Roman" w:hAnsi="Times New Roman"/>
                <w:sz w:val="24"/>
                <w:szCs w:val="24"/>
              </w:rPr>
              <w:t xml:space="preserve"> if total assets ≥ $</w:t>
            </w:r>
            <w:r w:rsidR="000372D1">
              <w:rPr>
                <w:rFonts w:ascii="Times New Roman" w:hAnsi="Times New Roman"/>
                <w:sz w:val="24"/>
                <w:szCs w:val="24"/>
              </w:rPr>
              <w:t>50</w:t>
            </w:r>
            <w:r w:rsidR="00B5017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</w:tbl>
    <w:p w:rsidR="00220932" w:rsidRDefault="00220932" w:rsidP="00EC6027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</w:t>
      </w:r>
      <w:r w:rsidR="00EE3ED3">
        <w:rPr>
          <w:rFonts w:ascii="Times New Roman" w:eastAsia="Times New Roman" w:hAnsi="Times New Roman"/>
          <w:iCs/>
          <w:sz w:val="24"/>
          <w:szCs w:val="24"/>
        </w:rPr>
        <w:t>Reporting S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706EF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.  </w:t>
      </w:r>
      <w:r w:rsidR="00706EFB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:rsidR="00CD3512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4D01E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062C">
        <w:rPr>
          <w:rFonts w:ascii="Times New Roman" w:eastAsia="Times New Roman" w:hAnsi="Times New Roman"/>
          <w:iCs/>
          <w:sz w:val="24"/>
          <w:szCs w:val="24"/>
        </w:rPr>
        <w:t>31 </w:t>
      </w:r>
      <w:r w:rsidR="00AB2F11">
        <w:rPr>
          <w:rFonts w:ascii="Times New Roman" w:eastAsia="Times New Roman" w:hAnsi="Times New Roman"/>
          <w:iCs/>
          <w:sz w:val="24"/>
          <w:szCs w:val="24"/>
        </w:rPr>
        <w:t>March 2019</w:t>
      </w:r>
      <w:r w:rsidR="004D01E6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:rsidR="00CD3512" w:rsidRPr="00CD6287" w:rsidRDefault="00CD3512" w:rsidP="00B83893">
      <w:pPr>
        <w:keepNext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:rsidR="00CD3512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AB2F1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</w:t>
      </w:r>
      <w:r w:rsidR="003E1FA0">
        <w:rPr>
          <w:rFonts w:ascii="Times New Roman" w:eastAsia="Times New Roman" w:hAnsi="Times New Roman"/>
          <w:iCs/>
          <w:sz w:val="24"/>
          <w:szCs w:val="24"/>
        </w:rPr>
        <w:t xml:space="preserve">nformation required by </w:t>
      </w:r>
      <w:r w:rsidR="00AB2F11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="003E1FA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for each </w:t>
      </w:r>
      <w:r w:rsidRPr="00115DF2">
        <w:rPr>
          <w:rFonts w:ascii="Times New Roman" w:eastAsia="Times New Roman" w:hAnsi="Times New Roman"/>
          <w:b/>
          <w:i/>
          <w:iCs/>
          <w:sz w:val="24"/>
          <w:szCs w:val="24"/>
        </w:rPr>
        <w:t>reporting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115DF2">
        <w:rPr>
          <w:rFonts w:ascii="Times New Roman" w:eastAsia="Times New Roman" w:hAnsi="Times New Roman"/>
          <w:b/>
          <w:i/>
          <w:iCs/>
          <w:sz w:val="24"/>
          <w:szCs w:val="24"/>
        </w:rPr>
        <w:t>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on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D96EBC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D96EBC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CD3512" w:rsidRPr="00CD6287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:rsidR="00685DA9" w:rsidRDefault="00685DA9" w:rsidP="00EC6027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submission.</w:t>
      </w:r>
    </w:p>
    <w:p w:rsidR="00CD3512" w:rsidRPr="00DC4E62" w:rsidRDefault="00CD3512" w:rsidP="00B83893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685DA9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685DA9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:rsidR="00CD3512" w:rsidRPr="00135A22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:rsidR="007940FD" w:rsidRPr="00EF230F" w:rsidRDefault="007940FD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706EFB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>5</w:t>
      </w:r>
      <w:r w:rsidR="00706EFB">
        <w:rPr>
          <w:rFonts w:ascii="Times New Roman" w:eastAsia="Times New Roman" w:hAnsi="Times New Roman"/>
          <w:iCs/>
          <w:sz w:val="24"/>
          <w:szCs w:val="24"/>
        </w:rPr>
        <w:t>, where ‘total assets’ are measured by the value reported in item 13 (column 1) on ARF 720.0A/B or the value reported in item 11 (column 1) on ARF 323.0 as at 31 December of the prior calendar year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: </w:t>
      </w:r>
    </w:p>
    <w:p w:rsidR="007940FD" w:rsidRPr="00EF230F" w:rsidRDefault="007940FD" w:rsidP="00B8389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in respect of each calendar month by a</w:t>
      </w:r>
      <w:r w:rsidR="002F6A0F">
        <w:rPr>
          <w:rFonts w:ascii="Times New Roman" w:eastAsia="Times New Roman" w:hAnsi="Times New Roman"/>
          <w:iCs/>
          <w:sz w:val="24"/>
          <w:szCs w:val="24"/>
        </w:rPr>
        <w:t>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="00E57274" w:rsidRPr="001911CD">
        <w:rPr>
          <w:rFonts w:ascii="Times New Roman" w:eastAsia="Times New Roman" w:hAnsi="Times New Roman"/>
          <w:iCs/>
          <w:sz w:val="24"/>
          <w:szCs w:val="24"/>
        </w:rPr>
        <w:t xml:space="preserve">in </w:t>
      </w:r>
      <w:r w:rsidR="00E5727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>ADI Reporting Category B</w:t>
      </w:r>
      <w:r w:rsidR="00E57274" w:rsidRPr="001911CD">
        <w:rPr>
          <w:rFonts w:ascii="Times New Roman" w:eastAsia="Times New Roman" w:hAnsi="Times New Roman"/>
          <w:iCs/>
          <w:sz w:val="24"/>
          <w:szCs w:val="24"/>
        </w:rPr>
        <w:t>, an</w:t>
      </w:r>
      <w:r w:rsidR="00E5727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</w:t>
      </w:r>
      <w:r w:rsidR="00E57274" w:rsidRPr="001911CD">
        <w:rPr>
          <w:rFonts w:ascii="Times New Roman" w:eastAsia="Times New Roman" w:hAnsi="Times New Roman"/>
          <w:iCs/>
          <w:sz w:val="24"/>
          <w:szCs w:val="24"/>
        </w:rPr>
        <w:t xml:space="preserve"> in</w:t>
      </w:r>
      <w:r w:rsidR="00E57274" w:rsidRPr="001911C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ADI Reporting Category A</w:t>
      </w:r>
      <w:r w:rsidR="00E57274" w:rsidRPr="001D5E8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with total assets ≥ $200 million and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>with total assets ≥ $</w:t>
      </w:r>
      <w:r w:rsidR="00120E7B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00 million; and </w:t>
      </w:r>
    </w:p>
    <w:p w:rsidR="007940FD" w:rsidRPr="00907F9A" w:rsidRDefault="007940FD" w:rsidP="002C1B0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287C7B">
        <w:rPr>
          <w:rFonts w:ascii="Times New Roman" w:eastAsia="Times New Roman" w:hAnsi="Times New Roman"/>
          <w:iCs/>
          <w:sz w:val="24"/>
          <w:szCs w:val="24"/>
        </w:rPr>
        <w:t xml:space="preserve">calendar month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ended 31 December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>with total assets &lt; $</w:t>
      </w:r>
      <w:r w:rsidR="00120E7B">
        <w:rPr>
          <w:rFonts w:ascii="Times New Roman" w:eastAsia="Times New Roman" w:hAnsi="Times New Roman"/>
          <w:iCs/>
          <w:sz w:val="24"/>
          <w:szCs w:val="24"/>
        </w:rPr>
        <w:t>4</w:t>
      </w:r>
      <w:r>
        <w:rPr>
          <w:rFonts w:ascii="Times New Roman" w:eastAsia="Times New Roman" w:hAnsi="Times New Roman"/>
          <w:iCs/>
          <w:sz w:val="24"/>
          <w:szCs w:val="24"/>
        </w:rPr>
        <w:t>00 million.</w:t>
      </w:r>
    </w:p>
    <w:p w:rsidR="00CD3512" w:rsidRPr="00D65D94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lastRenderedPageBreak/>
        <w:t xml:space="preserve">The information required by this Reporting Standard must be provided to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</w:t>
      </w:r>
      <w:r w:rsidR="00BE1EB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C434FC">
        <w:rPr>
          <w:rFonts w:ascii="Times New Roman" w:eastAsia="Times New Roman" w:hAnsi="Times New Roman"/>
          <w:iCs/>
          <w:sz w:val="24"/>
          <w:szCs w:val="24"/>
        </w:rPr>
        <w:t>10 business</w:t>
      </w:r>
      <w:r w:rsidR="00B10E9E" w:rsidRPr="00BE1EB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="00B10E9E" w:rsidRPr="00BE1EB6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="00B10E9E" w:rsidRPr="00BE1EB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D96EBC">
        <w:rPr>
          <w:rFonts w:ascii="Times New Roman" w:eastAsia="Times New Roman" w:hAnsi="Times New Roman"/>
          <w:iCs/>
          <w:sz w:val="24"/>
          <w:szCs w:val="24"/>
        </w:rPr>
        <w:t>.</w:t>
      </w:r>
      <w:bookmarkEnd w:id="6"/>
    </w:p>
    <w:p w:rsidR="00CD3512" w:rsidRPr="00135A22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:rsidR="00CD3512" w:rsidRPr="00135A22" w:rsidRDefault="00CD3512" w:rsidP="00B8389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:rsidR="00CD3512" w:rsidRPr="00135A22" w:rsidRDefault="00CD3512" w:rsidP="00B83893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he extent to which the information is required for the purposes of the </w:t>
      </w:r>
      <w:r w:rsidR="002A4385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2A4385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A4385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</w:p>
    <w:p w:rsidR="00CD3512" w:rsidRPr="004D01E6" w:rsidRDefault="00CD3512" w:rsidP="00B83893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</w:t>
      </w:r>
      <w:r w:rsidRPr="004D01E6">
        <w:rPr>
          <w:rFonts w:ascii="Times New Roman" w:eastAsia="Times New Roman" w:hAnsi="Times New Roman"/>
          <w:iCs/>
          <w:sz w:val="24"/>
          <w:szCs w:val="24"/>
          <w:lang w:val="x-none"/>
        </w:rPr>
        <w:t>extension.</w:t>
      </w:r>
    </w:p>
    <w:bookmarkEnd w:id="8"/>
    <w:bookmarkEnd w:id="9"/>
    <w:p w:rsidR="00CD3512" w:rsidRPr="007940FD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4D01E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:rsidR="00D50365" w:rsidRPr="00552EBB" w:rsidRDefault="00D50365" w:rsidP="00D50365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007EB6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007EB6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007EB6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007EB6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007EB6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007EB6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D50365" w:rsidRPr="00552EBB" w:rsidRDefault="00D50365" w:rsidP="00D50365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:rsidR="00CD3512" w:rsidRPr="004D01E6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4D01E6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:rsidR="00CD3512" w:rsidRPr="008817DC" w:rsidRDefault="00CD3512" w:rsidP="00B83893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4D01E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AB348B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4D01E6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="0019029E" w:rsidRPr="004D01E6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4D01E6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5727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="00E57274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it will be necessary for the officer </w:t>
      </w:r>
      <w:r w:rsidR="00AE74D5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to digitally sign the relevant information using a digital certificate </w:t>
      </w:r>
      <w:r w:rsidR="00E5727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or other digital identity credential 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acceptable to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:rsidR="00CD3512" w:rsidRPr="008817DC" w:rsidRDefault="00CD3512" w:rsidP="00B83893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8817D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:rsidR="00CD3512" w:rsidRPr="00761D2C" w:rsidRDefault="00CD3512" w:rsidP="002B0748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:rsidR="00CD3512" w:rsidRPr="00761D2C" w:rsidRDefault="00CD3512" w:rsidP="00040594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 w:rsidR="00D96EBC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D96EBC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tandard, and the instructions to such a form, to correct technical, programming or logical errors, inconsistencies or anomalies; or</w:t>
      </w:r>
    </w:p>
    <w:p w:rsidR="00CD3512" w:rsidRPr="00761D2C" w:rsidRDefault="00CD3512" w:rsidP="00040594">
      <w:pPr>
        <w:numPr>
          <w:ilvl w:val="1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:rsidR="00CD3512" w:rsidRPr="00761D2C" w:rsidRDefault="00CD3512" w:rsidP="00040594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:rsidR="00CD3512" w:rsidRPr="00761D2C" w:rsidRDefault="00CD3512" w:rsidP="00040594">
      <w:pPr>
        <w:numPr>
          <w:ilvl w:val="0"/>
          <w:numId w:val="9"/>
        </w:numPr>
        <w:spacing w:before="240"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BF07D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BF07D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that is required to report under this </w:t>
      </w:r>
      <w:r w:rsidR="00D96EBC">
        <w:rPr>
          <w:rFonts w:ascii="Times New Roman" w:eastAsia="Times New Roman" w:hAnsi="Times New Roman"/>
          <w:iCs/>
          <w:sz w:val="24"/>
          <w:szCs w:val="24"/>
        </w:rPr>
        <w:t>R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D96EBC">
        <w:rPr>
          <w:rFonts w:ascii="Times New Roman" w:eastAsia="Times New Roman" w:hAnsi="Times New Roman"/>
          <w:iCs/>
          <w:sz w:val="24"/>
          <w:szCs w:val="24"/>
        </w:rPr>
        <w:t>S</w:t>
      </w:r>
      <w:r w:rsidRPr="00761D2C">
        <w:rPr>
          <w:rFonts w:ascii="Times New Roman" w:eastAsia="Times New Roman" w:hAnsi="Times New Roman"/>
          <w:iCs/>
          <w:sz w:val="24"/>
          <w:szCs w:val="24"/>
          <w:lang w:val="x-none"/>
        </w:rPr>
        <w:t>tandard.</w:t>
      </w:r>
    </w:p>
    <w:p w:rsidR="00CD3512" w:rsidRPr="00761D2C" w:rsidRDefault="00CD3512" w:rsidP="00040594">
      <w:pPr>
        <w:keepNext/>
        <w:keepLines/>
        <w:spacing w:before="120"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:rsidR="007940FD" w:rsidRPr="00B83893" w:rsidRDefault="002E0397" w:rsidP="00B83893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Terms that are defined in ARS 701.1 appear in bold and italics in this Reporting Standard. </w:t>
      </w:r>
    </w:p>
    <w:p w:rsidR="00CD3512" w:rsidRPr="00B83893" w:rsidRDefault="00CD3512" w:rsidP="0006492E">
      <w:pPr>
        <w:keepNext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D96EBC"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D96EBC"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B83893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:rsidR="00CD3512" w:rsidRPr="00BE1EB6" w:rsidRDefault="00CD3512" w:rsidP="00040594">
      <w:pPr>
        <w:pStyle w:val="Default"/>
        <w:ind w:left="560"/>
        <w:jc w:val="both"/>
      </w:pPr>
      <w:r w:rsidRPr="00BE1EB6">
        <w:rPr>
          <w:b/>
          <w:bCs/>
          <w:i/>
          <w:iCs/>
        </w:rPr>
        <w:t xml:space="preserve">due date </w:t>
      </w:r>
      <w:r w:rsidRPr="00BE1EB6">
        <w:t xml:space="preserve">means the last day of the </w:t>
      </w:r>
      <w:r w:rsidR="00794160">
        <w:t>10 business</w:t>
      </w:r>
      <w:r w:rsidRPr="00BE1EB6">
        <w:t xml:space="preserve"> days provided for in paragraph </w:t>
      </w:r>
      <w:r w:rsidR="007940FD" w:rsidRPr="00BE1EB6">
        <w:t xml:space="preserve">10 </w:t>
      </w:r>
      <w:r w:rsidRPr="00BE1EB6">
        <w:t xml:space="preserve">or, if applicable, </w:t>
      </w:r>
      <w:r w:rsidR="002E0397" w:rsidRPr="002E0397">
        <w:rPr>
          <w:szCs w:val="22"/>
        </w:rPr>
        <w:t xml:space="preserve"> </w:t>
      </w:r>
      <w:r w:rsidR="002E0397">
        <w:rPr>
          <w:szCs w:val="22"/>
        </w:rPr>
        <w:t>the date on a notice of extension given under paragraph 12</w:t>
      </w:r>
      <w:r w:rsidRPr="00BE1EB6">
        <w:t>.</w:t>
      </w:r>
    </w:p>
    <w:p w:rsidR="00CD3512" w:rsidRDefault="00CD3512" w:rsidP="00040594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BE1EB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7940FD"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9 </w:t>
      </w:r>
      <w:r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2E0397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BE1EB6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:rsidR="00086CE5" w:rsidRPr="00A8330F" w:rsidRDefault="006B4D31" w:rsidP="00366973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>Unless the contrary intention appears, any reference to an Act, Prudential Standard, Reporting Standard, Australian Accounting or Auditing Standard is a reference to the instrument as in force</w:t>
      </w:r>
      <w:r>
        <w:rPr>
          <w:rFonts w:ascii="Times New Roman" w:hAnsi="Times New Roman"/>
          <w:sz w:val="24"/>
          <w:szCs w:val="24"/>
        </w:rPr>
        <w:t xml:space="preserve"> or existing from time to time.</w:t>
      </w:r>
    </w:p>
    <w:p w:rsidR="00086CE5" w:rsidRDefault="00086CE5" w:rsidP="00040594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:rsidR="00086CE5" w:rsidRPr="00BE1EB6" w:rsidRDefault="00086CE5" w:rsidP="00040594">
      <w:pPr>
        <w:spacing w:before="240"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:rsidR="007940FD" w:rsidRPr="00086CE5" w:rsidRDefault="007940FD" w:rsidP="00086CE5">
      <w:pPr>
        <w:spacing w:before="240"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7940FD" w:rsidRPr="00086CE5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394B57" w:rsidRPr="00FC3309" w:rsidTr="00CB59CE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:rsidR="00394B57" w:rsidRPr="007874D6" w:rsidRDefault="00394B57" w:rsidP="00CA169D">
            <w:pPr>
              <w:pStyle w:val="D2Aform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_720_2A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ABS/RBA Deposits (</w:t>
            </w:r>
            <w:r w:rsidR="00CA169D">
              <w:rPr>
                <w:b/>
                <w:sz w:val="32"/>
                <w:szCs w:val="32"/>
              </w:rPr>
              <w:t>Standard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394B57" w:rsidRPr="00FC3309" w:rsidRDefault="00394B57" w:rsidP="00394B5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394B57" w:rsidRPr="00FC3309" w:rsidTr="00CB59CE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394B57" w:rsidRPr="00FC3309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B57" w:rsidRPr="00FC3309" w:rsidRDefault="00394B57" w:rsidP="00CB59CE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B57" w:rsidRPr="00FC3309" w:rsidRDefault="00394B57" w:rsidP="00CB59CE">
            <w:pPr>
              <w:pStyle w:val="D2Aform"/>
            </w:pPr>
          </w:p>
        </w:tc>
      </w:tr>
      <w:tr w:rsidR="00394B57" w:rsidRPr="00FC3309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 xml:space="preserve">Scale Factor </w:t>
            </w:r>
          </w:p>
        </w:tc>
      </w:tr>
      <w:tr w:rsidR="00394B57" w:rsidRPr="00FC3309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B57" w:rsidRPr="00FC3309" w:rsidRDefault="00394B57" w:rsidP="00CB59CE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B57" w:rsidRPr="00FC3309" w:rsidRDefault="00394B57" w:rsidP="00CB59CE">
            <w:pPr>
              <w:pStyle w:val="D2Aform"/>
            </w:pPr>
          </w:p>
        </w:tc>
      </w:tr>
      <w:tr w:rsidR="00394B57" w:rsidRPr="00FC3309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394B57" w:rsidRPr="007874D6" w:rsidRDefault="00394B57" w:rsidP="00CB59C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394B57" w:rsidRPr="00FC3309" w:rsidRDefault="00394B57" w:rsidP="00CB59CE">
            <w:pPr>
              <w:pStyle w:val="D2Aform"/>
            </w:pPr>
          </w:p>
        </w:tc>
      </w:tr>
      <w:tr w:rsidR="00394B57" w:rsidRPr="00FC3309" w:rsidTr="00CB59C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B57" w:rsidRPr="00FC3309" w:rsidRDefault="00394B57" w:rsidP="00DD17E1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:rsidR="00394B57" w:rsidRPr="00FC3309" w:rsidRDefault="00394B57" w:rsidP="00CB59CE">
            <w:pPr>
              <w:pStyle w:val="D2Aform"/>
            </w:pPr>
          </w:p>
        </w:tc>
      </w:tr>
    </w:tbl>
    <w:p w:rsidR="00394B57" w:rsidRPr="00FC3309" w:rsidRDefault="00394B57" w:rsidP="00394B57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4"/>
        <w:gridCol w:w="735"/>
        <w:gridCol w:w="1559"/>
        <w:gridCol w:w="1134"/>
        <w:gridCol w:w="1559"/>
        <w:gridCol w:w="1418"/>
        <w:gridCol w:w="1559"/>
        <w:gridCol w:w="1134"/>
      </w:tblGrid>
      <w:tr w:rsidR="00394B57" w:rsidRPr="00FC3309" w:rsidTr="0006492E">
        <w:trPr>
          <w:trHeight w:val="39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FC3309" w:rsidRDefault="00394B57" w:rsidP="00CB59CE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Transaction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Non-transaction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  <w:tr w:rsidR="00AB2F11" w:rsidRPr="00FC3309" w:rsidTr="0006492E">
        <w:trPr>
          <w:trHeight w:val="397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57" w:rsidRPr="00FC3309" w:rsidRDefault="00394B57" w:rsidP="00CB59CE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Pr="00484C4F">
              <w:rPr>
                <w:b/>
                <w:i/>
                <w:sz w:val="20"/>
                <w:szCs w:val="20"/>
              </w:rPr>
              <w:t>f which:</w:t>
            </w:r>
            <w:r w:rsidRPr="00484C4F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Fixed-t</w:t>
            </w:r>
            <w:r w:rsidRPr="00332A1E">
              <w:rPr>
                <w:b/>
                <w:sz w:val="20"/>
                <w:szCs w:val="20"/>
              </w:rPr>
              <w:t xml:space="preserve">erm </w:t>
            </w:r>
            <w:r>
              <w:rPr>
                <w:b/>
                <w:sz w:val="20"/>
                <w:szCs w:val="20"/>
              </w:rPr>
              <w:t>d</w:t>
            </w:r>
            <w:r w:rsidRPr="00332A1E">
              <w:rPr>
                <w:b/>
                <w:sz w:val="20"/>
                <w:szCs w:val="20"/>
              </w:rPr>
              <w:t>eposits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Pr="00484C4F">
              <w:rPr>
                <w:b/>
                <w:i/>
                <w:sz w:val="20"/>
                <w:szCs w:val="20"/>
              </w:rPr>
              <w:t>f which:</w:t>
            </w:r>
            <w:r w:rsidRPr="00484C4F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Other non-transaction deposit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</w:t>
            </w:r>
            <w:r w:rsidRPr="00484C4F">
              <w:rPr>
                <w:b/>
                <w:i/>
                <w:sz w:val="20"/>
                <w:szCs w:val="20"/>
              </w:rPr>
              <w:t>f which:</w:t>
            </w:r>
            <w:r w:rsidRPr="00484C4F">
              <w:rPr>
                <w:b/>
                <w:sz w:val="20"/>
                <w:szCs w:val="20"/>
              </w:rPr>
              <w:t xml:space="preserve"> Denominated in FX (AUD equivalent)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Total deposit</w:t>
            </w:r>
            <w:r>
              <w:rPr>
                <w:b/>
                <w:sz w:val="20"/>
                <w:szCs w:val="20"/>
              </w:rPr>
              <w:t>s</w:t>
            </w:r>
            <w:r w:rsidRPr="00332A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57" w:rsidRPr="00FC3309" w:rsidRDefault="00394B57" w:rsidP="00CB59CE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B57" w:rsidRPr="007874D6" w:rsidRDefault="00394B57" w:rsidP="00CB59C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(7)</w:t>
            </w: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B57" w:rsidRPr="006B7165" w:rsidRDefault="00394B57" w:rsidP="00394B57">
            <w:pPr>
              <w:pStyle w:val="D2Aform"/>
              <w:numPr>
                <w:ilvl w:val="0"/>
                <w:numId w:val="32"/>
              </w:numPr>
              <w:rPr>
                <w:b/>
              </w:rPr>
            </w:pPr>
            <w:r w:rsidRPr="00332A1E">
              <w:rPr>
                <w:b/>
              </w:rPr>
              <w:t>Total deposit</w:t>
            </w:r>
            <w:r>
              <w:rPr>
                <w:b/>
              </w:rPr>
              <w:t>s</w:t>
            </w:r>
            <w:r w:rsidRPr="00332A1E">
              <w:rPr>
                <w:b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1"/>
                <w:numId w:val="32"/>
              </w:numPr>
            </w:pPr>
            <w:r>
              <w:t xml:space="preserve">Resident deposits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 w:rsidRPr="00332A1E">
              <w:t>Households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Housing loan offset accounts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Retirement savings accounts</w:t>
            </w:r>
            <w: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>
              <w:rPr>
                <w:i/>
              </w:rPr>
              <w:t xml:space="preserve">of which: </w:t>
            </w:r>
            <w:r>
              <w:t>Non-interest-bearing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Pr="00323313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 w:rsidRPr="00332A1E">
              <w:t xml:space="preserve">Community </w:t>
            </w:r>
            <w:r>
              <w:t>s</w:t>
            </w:r>
            <w:r w:rsidRPr="00332A1E">
              <w:t xml:space="preserve">ervice </w:t>
            </w:r>
            <w:r>
              <w:t>o</w:t>
            </w:r>
            <w:r w:rsidRPr="00332A1E">
              <w:t>rganisations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>
              <w:t>Non-financial businesses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Private non-financial investment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Other private non-financial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Private unincorporated businesses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AB2F11">
            <w:pPr>
              <w:pStyle w:val="D2Aform"/>
              <w:numPr>
                <w:ilvl w:val="3"/>
                <w:numId w:val="32"/>
              </w:numPr>
            </w:pPr>
            <w:r>
              <w:t>S</w:t>
            </w:r>
            <w:r w:rsidRPr="00332A1E">
              <w:t xml:space="preserve">tate, territory </w:t>
            </w:r>
            <w:r>
              <w:t>and</w:t>
            </w:r>
            <w:r w:rsidRPr="00332A1E">
              <w:t xml:space="preserve"> local government</w:t>
            </w:r>
            <w:r w:rsidR="00AB2F11">
              <w:t xml:space="preserve"> non-financial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AB2F11">
            <w:pPr>
              <w:pStyle w:val="D2Aform"/>
              <w:numPr>
                <w:ilvl w:val="3"/>
                <w:numId w:val="32"/>
              </w:numPr>
            </w:pPr>
            <w:r w:rsidRPr="00332A1E">
              <w:t xml:space="preserve">Commonwealth </w:t>
            </w:r>
            <w:r w:rsidR="00AB2F11">
              <w:t>G</w:t>
            </w:r>
            <w:r w:rsidRPr="00332A1E">
              <w:t>overnment non-financial</w:t>
            </w:r>
            <w:r>
              <w:t xml:space="preserve">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>
              <w:t>General government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>
              <w:t>S</w:t>
            </w:r>
            <w:r w:rsidRPr="00332A1E">
              <w:t xml:space="preserve">tate, territory </w:t>
            </w:r>
            <w:r>
              <w:t>and</w:t>
            </w:r>
            <w:r w:rsidRPr="00332A1E">
              <w:t xml:space="preserve"> local general government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AB2F11">
            <w:pPr>
              <w:pStyle w:val="D2Aform"/>
              <w:numPr>
                <w:ilvl w:val="3"/>
                <w:numId w:val="32"/>
              </w:numPr>
            </w:pPr>
            <w:r w:rsidRPr="00332A1E">
              <w:t xml:space="preserve">Commonwealth </w:t>
            </w:r>
            <w:r w:rsidR="00AB2F11">
              <w:t xml:space="preserve">general </w:t>
            </w:r>
            <w:r w:rsidRPr="00332A1E">
              <w:t>government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2"/>
                <w:numId w:val="32"/>
              </w:numPr>
            </w:pPr>
            <w:r>
              <w:t xml:space="preserve">Financial </w:t>
            </w:r>
            <w:r w:rsidR="00AB2F11">
              <w:t>i</w:t>
            </w:r>
            <w:r>
              <w:t>nstitutions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RBA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A45809" w:rsidP="00394B57">
            <w:pPr>
              <w:pStyle w:val="D2Aform"/>
              <w:numPr>
                <w:ilvl w:val="3"/>
                <w:numId w:val="32"/>
              </w:numPr>
            </w:pPr>
            <w:r>
              <w:t>ADIs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Registered financial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Central borrowing authorities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Life insurance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Other insurance corporations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Self-managed superannuation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 w:rsidRPr="00332A1E">
              <w:t>Other superannuation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394B57">
            <w:pPr>
              <w:pStyle w:val="D2Aform"/>
              <w:numPr>
                <w:ilvl w:val="3"/>
                <w:numId w:val="32"/>
              </w:numPr>
            </w:pPr>
            <w:r>
              <w:t>Financial auxiliaries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Del="003D54D8" w:rsidRDefault="00C030DC" w:rsidP="00C030DC">
            <w:pPr>
              <w:pStyle w:val="D2Aform"/>
              <w:ind w:left="1134"/>
            </w:pPr>
            <w:r>
              <w:t xml:space="preserve">   </w:t>
            </w:r>
            <w:r w:rsidRPr="00C030DC">
              <w:t>1.1.5.9.1.</w:t>
            </w:r>
            <w:r>
              <w:rPr>
                <w:i/>
              </w:rPr>
              <w:t xml:space="preserve"> </w:t>
            </w:r>
            <w:r w:rsidR="00394B57">
              <w:rPr>
                <w:i/>
              </w:rPr>
              <w:t>of which:</w:t>
            </w:r>
            <w:r w:rsidR="005A1A3C">
              <w:rPr>
                <w:i/>
              </w:rPr>
              <w:t xml:space="preserve"> </w:t>
            </w:r>
            <w:r w:rsidR="00394B57">
              <w:t>Clearing houses</w:t>
            </w:r>
            <w:r w:rsidR="00AB2F11">
              <w:t xml:space="preserve"> and central counterparties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>Securitisers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>Money-market investment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332A1E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 xml:space="preserve">Non-money-market </w:t>
            </w:r>
            <w:r w:rsidR="00AB2F11">
              <w:t xml:space="preserve">financial </w:t>
            </w:r>
            <w:r>
              <w:t>investment funds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E10C95" w:rsidRDefault="00394B57" w:rsidP="00C030DC">
            <w:pPr>
              <w:pStyle w:val="D2Aform"/>
              <w:numPr>
                <w:ilvl w:val="3"/>
                <w:numId w:val="37"/>
              </w:numPr>
            </w:pPr>
            <w:r>
              <w:t>F</w:t>
            </w:r>
            <w:r w:rsidRPr="00E10C95">
              <w:t>inancial institutions</w:t>
            </w:r>
            <w:r>
              <w:t xml:space="preserve"> n.e.c.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Pr="00E10C95" w:rsidRDefault="00394B57" w:rsidP="00C030DC">
            <w:pPr>
              <w:pStyle w:val="D2Aform"/>
              <w:numPr>
                <w:ilvl w:val="1"/>
                <w:numId w:val="37"/>
              </w:numPr>
            </w:pPr>
            <w:r>
              <w:t xml:space="preserve">Non-resident deposits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  <w:tr w:rsidR="00AB2F11" w:rsidRPr="00FC3309" w:rsidTr="0006492E">
        <w:trPr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4B57" w:rsidRDefault="00394B57" w:rsidP="00394B57">
            <w:pPr>
              <w:pStyle w:val="D2Aform"/>
              <w:numPr>
                <w:ilvl w:val="2"/>
                <w:numId w:val="34"/>
              </w:numPr>
            </w:pPr>
            <w:r>
              <w:rPr>
                <w:i/>
              </w:rPr>
              <w:t xml:space="preserve">of which: </w:t>
            </w:r>
            <w:r>
              <w:t>Clearing houses</w:t>
            </w:r>
            <w:r w:rsidR="00AB2F11">
              <w:t xml:space="preserve"> and central counterparties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94B57" w:rsidRDefault="00394B57" w:rsidP="00CB59CE">
            <w:pPr>
              <w:pStyle w:val="D2Aform"/>
              <w:jc w:val="center"/>
            </w:pPr>
          </w:p>
        </w:tc>
      </w:tr>
    </w:tbl>
    <w:p w:rsidR="00394B57" w:rsidRDefault="00394B57" w:rsidP="002A46AF">
      <w:pPr>
        <w:pStyle w:val="D2Aform"/>
        <w:sectPr w:rsidR="00394B57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B04B20" w:rsidRPr="00AB4984" w:rsidRDefault="00054C93" w:rsidP="00B83893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C8047C" w:rsidRPr="00AB4984">
        <w:rPr>
          <w:rFonts w:ascii="Arial" w:hAnsi="Arial" w:cs="Arial"/>
          <w:b/>
          <w:sz w:val="40"/>
          <w:szCs w:val="40"/>
        </w:rPr>
        <w:t>7</w:t>
      </w:r>
      <w:r w:rsidR="005A2A0B">
        <w:rPr>
          <w:rFonts w:ascii="Arial" w:hAnsi="Arial" w:cs="Arial"/>
          <w:b/>
          <w:sz w:val="40"/>
          <w:szCs w:val="40"/>
        </w:rPr>
        <w:t xml:space="preserve">20.2A </w:t>
      </w:r>
    </w:p>
    <w:p w:rsidR="00054C93" w:rsidRPr="00AB4984" w:rsidRDefault="00C8047C" w:rsidP="00B83893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5A2A0B">
        <w:rPr>
          <w:rFonts w:ascii="Arial" w:hAnsi="Arial" w:cs="Arial"/>
          <w:b/>
          <w:sz w:val="40"/>
          <w:szCs w:val="40"/>
        </w:rPr>
        <w:t xml:space="preserve">Deposits </w:t>
      </w:r>
      <w:r w:rsidR="00086CE5">
        <w:rPr>
          <w:rFonts w:ascii="Arial" w:hAnsi="Arial" w:cs="Arial"/>
          <w:b/>
          <w:sz w:val="40"/>
          <w:szCs w:val="40"/>
        </w:rPr>
        <w:t>(</w:t>
      </w:r>
      <w:r w:rsidR="00A45809">
        <w:rPr>
          <w:rFonts w:ascii="Arial" w:hAnsi="Arial" w:cs="Arial"/>
          <w:b/>
          <w:sz w:val="40"/>
          <w:szCs w:val="40"/>
        </w:rPr>
        <w:t>Standard</w:t>
      </w:r>
      <w:r w:rsidR="00086CE5">
        <w:rPr>
          <w:rFonts w:ascii="Arial" w:hAnsi="Arial" w:cs="Arial"/>
          <w:b/>
          <w:sz w:val="40"/>
          <w:szCs w:val="40"/>
        </w:rPr>
        <w:t>)</w:t>
      </w:r>
    </w:p>
    <w:p w:rsidR="00054C93" w:rsidRPr="00B83893" w:rsidRDefault="00054C93" w:rsidP="00B83893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83893">
        <w:rPr>
          <w:rFonts w:ascii="Arial" w:hAnsi="Arial" w:cs="Arial"/>
          <w:b/>
          <w:sz w:val="32"/>
          <w:szCs w:val="40"/>
        </w:rPr>
        <w:t>Instruction</w:t>
      </w:r>
      <w:r w:rsidR="002A0B6A" w:rsidRPr="00B83893">
        <w:rPr>
          <w:rFonts w:ascii="Arial" w:hAnsi="Arial" w:cs="Arial"/>
          <w:b/>
          <w:sz w:val="32"/>
          <w:szCs w:val="40"/>
        </w:rPr>
        <w:t>s</w:t>
      </w:r>
    </w:p>
    <w:p w:rsidR="00C8047C" w:rsidRPr="00AB4984" w:rsidRDefault="00C53458" w:rsidP="00B8389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191C91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191C91">
        <w:rPr>
          <w:rFonts w:ascii="Times New Roman" w:eastAsia="Times" w:hAnsi="Times New Roman"/>
          <w:sz w:val="24"/>
          <w:szCs w:val="24"/>
        </w:rPr>
        <w:t xml:space="preserve"> </w:t>
      </w:r>
      <w:r w:rsidR="00191C91">
        <w:rPr>
          <w:rFonts w:ascii="Times New Roman" w:eastAsia="Times" w:hAnsi="Times New Roman"/>
          <w:i/>
          <w:sz w:val="24"/>
          <w:szCs w:val="24"/>
        </w:rPr>
        <w:t>Form ARF 720.2A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Standard</w:t>
      </w:r>
      <w:r w:rsidR="00191C91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191C91">
        <w:rPr>
          <w:rFonts w:ascii="Times New Roman" w:eastAsia="Times" w:hAnsi="Times New Roman"/>
          <w:sz w:val="24"/>
          <w:szCs w:val="24"/>
        </w:rPr>
        <w:t>(</w:t>
      </w:r>
      <w:r w:rsidR="00C8047C" w:rsidRPr="00AB4984">
        <w:rPr>
          <w:rFonts w:ascii="Times New Roman" w:hAnsi="Times New Roman"/>
          <w:sz w:val="24"/>
          <w:szCs w:val="24"/>
        </w:rPr>
        <w:t>A</w:t>
      </w:r>
      <w:r w:rsidR="00041673" w:rsidRPr="00AB4984">
        <w:rPr>
          <w:rFonts w:ascii="Times New Roman" w:hAnsi="Times New Roman"/>
          <w:sz w:val="24"/>
          <w:szCs w:val="24"/>
        </w:rPr>
        <w:t xml:space="preserve">RF </w:t>
      </w:r>
      <w:r w:rsidR="005A2A0B">
        <w:rPr>
          <w:rFonts w:ascii="Times New Roman" w:hAnsi="Times New Roman"/>
          <w:sz w:val="24"/>
          <w:szCs w:val="24"/>
        </w:rPr>
        <w:t>720.2A</w:t>
      </w:r>
      <w:r w:rsidR="00191C91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BF07D1">
        <w:rPr>
          <w:rFonts w:ascii="Times New Roman" w:hAnsi="Times New Roman"/>
          <w:sz w:val="24"/>
          <w:szCs w:val="24"/>
        </w:rPr>
        <w:t>A</w:t>
      </w:r>
      <w:r w:rsidR="00BB17AE" w:rsidRPr="00BF07D1">
        <w:rPr>
          <w:rFonts w:ascii="Times New Roman" w:hAnsi="Times New Roman"/>
          <w:sz w:val="24"/>
          <w:szCs w:val="24"/>
        </w:rPr>
        <w:t xml:space="preserve">RF </w:t>
      </w:r>
      <w:r w:rsidR="00C8047C" w:rsidRPr="00BF07D1">
        <w:rPr>
          <w:rFonts w:ascii="Times New Roman" w:hAnsi="Times New Roman"/>
          <w:sz w:val="24"/>
          <w:szCs w:val="24"/>
        </w:rPr>
        <w:t>720.</w:t>
      </w:r>
      <w:r w:rsidR="005A2A0B" w:rsidRPr="00BF07D1">
        <w:rPr>
          <w:rFonts w:ascii="Times New Roman" w:hAnsi="Times New Roman"/>
          <w:sz w:val="24"/>
          <w:szCs w:val="24"/>
        </w:rPr>
        <w:t>2A</w:t>
      </w:r>
      <w:r w:rsidR="00BB17AE" w:rsidRPr="00BF07D1">
        <w:rPr>
          <w:rFonts w:ascii="Arial" w:hAnsi="Arial" w:cs="Arial"/>
          <w:b/>
          <w:sz w:val="40"/>
          <w:szCs w:val="40"/>
        </w:rPr>
        <w:t xml:space="preserve"> </w:t>
      </w:r>
      <w:r w:rsidR="004072D6" w:rsidRPr="002220F3">
        <w:rPr>
          <w:rFonts w:ascii="Times New Roman" w:hAnsi="Times New Roman"/>
          <w:sz w:val="24"/>
          <w:szCs w:val="24"/>
        </w:rPr>
        <w:t>collects</w:t>
      </w:r>
      <w:r w:rsidR="004072D6" w:rsidRPr="00AB4984">
        <w:rPr>
          <w:rFonts w:ascii="Times New Roman" w:hAnsi="Times New Roman"/>
          <w:sz w:val="24"/>
          <w:szCs w:val="24"/>
        </w:rPr>
        <w:t xml:space="preserve">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5A2A0B">
        <w:rPr>
          <w:rFonts w:ascii="Times New Roman" w:hAnsi="Times New Roman"/>
          <w:b/>
          <w:i/>
          <w:sz w:val="24"/>
          <w:szCs w:val="24"/>
        </w:rPr>
        <w:t>deposits</w:t>
      </w:r>
      <w:r w:rsidR="00C8047C" w:rsidRPr="00115DF2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072D6" w:rsidRPr="00BF07D1" w:rsidRDefault="004072D6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BF07D1">
        <w:rPr>
          <w:rFonts w:ascii="Times New Roman" w:hAnsi="Times New Roman"/>
          <w:sz w:val="24"/>
          <w:szCs w:val="24"/>
        </w:rPr>
        <w:t>A</w:t>
      </w:r>
      <w:r w:rsidR="009E4BEE" w:rsidRPr="00BF07D1">
        <w:rPr>
          <w:rFonts w:ascii="Times New Roman" w:hAnsi="Times New Roman"/>
          <w:sz w:val="24"/>
          <w:szCs w:val="24"/>
        </w:rPr>
        <w:t xml:space="preserve">RF </w:t>
      </w:r>
      <w:r w:rsidR="005A2A0B" w:rsidRPr="00BF07D1">
        <w:rPr>
          <w:rFonts w:ascii="Times New Roman" w:hAnsi="Times New Roman"/>
          <w:sz w:val="24"/>
          <w:szCs w:val="24"/>
        </w:rPr>
        <w:t>720.2A</w:t>
      </w:r>
      <w:r w:rsidR="009E4BEE" w:rsidRPr="00BF07D1">
        <w:rPr>
          <w:rFonts w:ascii="Times New Roman" w:hAnsi="Times New Roman"/>
          <w:sz w:val="24"/>
          <w:szCs w:val="24"/>
        </w:rPr>
        <w:t xml:space="preserve"> </w:t>
      </w:r>
      <w:r w:rsidRPr="002220F3">
        <w:rPr>
          <w:rFonts w:ascii="Times New Roman" w:hAnsi="Times New Roman"/>
          <w:sz w:val="24"/>
          <w:szCs w:val="24"/>
        </w:rPr>
        <w:t xml:space="preserve">is required </w:t>
      </w:r>
      <w:r w:rsidR="00BF37AB" w:rsidRPr="002220F3">
        <w:rPr>
          <w:rFonts w:ascii="Times New Roman" w:hAnsi="Times New Roman"/>
          <w:sz w:val="24"/>
          <w:szCs w:val="24"/>
        </w:rPr>
        <w:t>primarily</w:t>
      </w:r>
      <w:r w:rsidR="00BF37AB" w:rsidRPr="00AB4984">
        <w:rPr>
          <w:rFonts w:ascii="Times New Roman" w:hAnsi="Times New Roman"/>
          <w:sz w:val="24"/>
          <w:szCs w:val="24"/>
        </w:rPr>
        <w:t xml:space="preserve">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BF07D1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2220F3" w:rsidRPr="00115DF2">
        <w:rPr>
          <w:rFonts w:ascii="Times New Roman" w:hAnsi="Times New Roman"/>
          <w:i/>
          <w:sz w:val="24"/>
          <w:szCs w:val="24"/>
        </w:rPr>
        <w:t>.</w:t>
      </w:r>
      <w:r w:rsidR="002220F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220F3">
        <w:rPr>
          <w:rFonts w:ascii="Times New Roman" w:hAnsi="Times New Roman"/>
          <w:sz w:val="24"/>
          <w:szCs w:val="24"/>
        </w:rPr>
        <w:t xml:space="preserve">Items on </w:t>
      </w:r>
      <w:r w:rsidR="00086CE5">
        <w:rPr>
          <w:rFonts w:ascii="Times New Roman" w:hAnsi="Times New Roman"/>
          <w:sz w:val="24"/>
          <w:szCs w:val="24"/>
        </w:rPr>
        <w:t>ARF 720.2A</w:t>
      </w:r>
      <w:r w:rsidR="002220F3" w:rsidRPr="002220F3">
        <w:rPr>
          <w:rFonts w:ascii="Times New Roman" w:hAnsi="Times New Roman"/>
          <w:sz w:val="24"/>
          <w:szCs w:val="24"/>
        </w:rPr>
        <w:t xml:space="preserve"> </w:t>
      </w:r>
      <w:r w:rsidR="002220F3" w:rsidRPr="00AB4984">
        <w:rPr>
          <w:rFonts w:ascii="Times New Roman" w:hAnsi="Times New Roman"/>
          <w:sz w:val="24"/>
          <w:szCs w:val="24"/>
        </w:rPr>
        <w:t>are required for various purposes, including the compilation of Australia’s National Accounts and the calculation of the monetary aggregates.</w:t>
      </w:r>
      <w:r w:rsidR="002220F3">
        <w:rPr>
          <w:rFonts w:ascii="Times New Roman" w:hAnsi="Times New Roman"/>
          <w:sz w:val="24"/>
          <w:szCs w:val="24"/>
        </w:rPr>
        <w:t xml:space="preserve">  Information reported in </w:t>
      </w:r>
      <w:r w:rsidR="00086CE5">
        <w:rPr>
          <w:rFonts w:ascii="Times New Roman" w:hAnsi="Times New Roman"/>
          <w:sz w:val="24"/>
          <w:szCs w:val="24"/>
        </w:rPr>
        <w:t>ARF 720.2A</w:t>
      </w:r>
      <w:r w:rsidR="002220F3" w:rsidRPr="00BF07D1">
        <w:rPr>
          <w:rFonts w:ascii="Times New Roman" w:hAnsi="Times New Roman"/>
          <w:sz w:val="24"/>
          <w:szCs w:val="24"/>
        </w:rPr>
        <w:t xml:space="preserve"> </w:t>
      </w:r>
      <w:r w:rsidR="00C8047C" w:rsidRPr="002220F3">
        <w:rPr>
          <w:rFonts w:ascii="Times New Roman" w:hAnsi="Times New Roman"/>
          <w:sz w:val="24"/>
          <w:szCs w:val="24"/>
        </w:rPr>
        <w:t>may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2220F3">
        <w:rPr>
          <w:rFonts w:ascii="Times New Roman" w:hAnsi="Times New Roman"/>
          <w:sz w:val="24"/>
          <w:szCs w:val="24"/>
        </w:rPr>
        <w:t xml:space="preserve">also </w:t>
      </w:r>
      <w:r w:rsidR="00C8047C" w:rsidRPr="00AB4984">
        <w:rPr>
          <w:rFonts w:ascii="Times New Roman" w:hAnsi="Times New Roman"/>
          <w:sz w:val="24"/>
          <w:szCs w:val="24"/>
        </w:rPr>
        <w:t xml:space="preserve">be used by </w:t>
      </w:r>
      <w:r w:rsidR="00C8047C" w:rsidRPr="00115DF2">
        <w:rPr>
          <w:rFonts w:ascii="Times New Roman" w:hAnsi="Times New Roman"/>
          <w:b/>
          <w:i/>
          <w:sz w:val="24"/>
          <w:szCs w:val="24"/>
        </w:rPr>
        <w:t>APRA</w:t>
      </w:r>
      <w:r w:rsidR="00C8047C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5A2A0B">
        <w:rPr>
          <w:rFonts w:ascii="Times New Roman" w:hAnsi="Times New Roman"/>
          <w:sz w:val="24"/>
          <w:szCs w:val="24"/>
        </w:rPr>
        <w:t xml:space="preserve">ion purposes. </w:t>
      </w:r>
    </w:p>
    <w:p w:rsidR="00135C27" w:rsidRPr="00B83893" w:rsidRDefault="00135C27" w:rsidP="00B83893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4072D6" w:rsidRDefault="00C8047C" w:rsidP="00B83893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BF07D1">
        <w:rPr>
          <w:rFonts w:ascii="Times New Roman" w:hAnsi="Times New Roman"/>
          <w:sz w:val="24"/>
          <w:szCs w:val="24"/>
        </w:rPr>
        <w:t>A</w:t>
      </w:r>
      <w:r w:rsidR="009E4BEE" w:rsidRPr="00BF07D1">
        <w:rPr>
          <w:rFonts w:ascii="Times New Roman" w:hAnsi="Times New Roman"/>
          <w:sz w:val="24"/>
          <w:szCs w:val="24"/>
        </w:rPr>
        <w:t xml:space="preserve">RF </w:t>
      </w:r>
      <w:r w:rsidR="005A2A0B" w:rsidRPr="00BF07D1">
        <w:rPr>
          <w:rFonts w:ascii="Times New Roman" w:hAnsi="Times New Roman"/>
          <w:sz w:val="24"/>
          <w:szCs w:val="24"/>
        </w:rPr>
        <w:t>720.2A</w:t>
      </w:r>
      <w:r w:rsidR="009E4BEE" w:rsidRPr="00BF07D1">
        <w:rPr>
          <w:rFonts w:ascii="Times New Roman" w:hAnsi="Times New Roman"/>
          <w:sz w:val="24"/>
          <w:szCs w:val="24"/>
        </w:rPr>
        <w:t xml:space="preserve"> </w:t>
      </w:r>
      <w:r w:rsidR="00135C27" w:rsidRPr="002220F3">
        <w:rPr>
          <w:rFonts w:ascii="Times New Roman" w:hAnsi="Times New Roman"/>
          <w:sz w:val="24"/>
          <w:szCs w:val="24"/>
        </w:rPr>
        <w:t>must</w:t>
      </w:r>
      <w:r w:rsidR="00135C27" w:rsidRPr="00AB4984">
        <w:rPr>
          <w:rFonts w:ascii="Times New Roman" w:hAnsi="Times New Roman"/>
          <w:sz w:val="24"/>
          <w:szCs w:val="24"/>
        </w:rPr>
        <w:t xml:space="preserve"> be completed </w:t>
      </w:r>
      <w:r w:rsidR="00DB5634">
        <w:rPr>
          <w:rFonts w:ascii="Times New Roman" w:hAnsi="Times New Roman"/>
          <w:sz w:val="24"/>
          <w:szCs w:val="24"/>
        </w:rPr>
        <w:t>by</w:t>
      </w:r>
      <w:r w:rsidR="00DB5634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907F9A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DB5634" w:rsidRPr="00115DF2">
        <w:rPr>
          <w:rFonts w:ascii="Times New Roman" w:hAnsi="Times New Roman"/>
          <w:sz w:val="24"/>
          <w:szCs w:val="24"/>
        </w:rPr>
        <w:t xml:space="preserve">to which this </w:t>
      </w:r>
      <w:r w:rsidR="00565E5C" w:rsidRPr="00115DF2">
        <w:rPr>
          <w:rFonts w:ascii="Times New Roman" w:hAnsi="Times New Roman"/>
          <w:sz w:val="24"/>
          <w:szCs w:val="24"/>
        </w:rPr>
        <w:t>Reporting Standard</w:t>
      </w:r>
      <w:r w:rsidR="00DB5634" w:rsidRPr="00115DF2">
        <w:rPr>
          <w:rFonts w:ascii="Times New Roman" w:hAnsi="Times New Roman"/>
          <w:sz w:val="24"/>
          <w:szCs w:val="24"/>
        </w:rPr>
        <w:t xml:space="preserve"> applies under paragraph 4 </w:t>
      </w:r>
      <w:r w:rsidR="00563539">
        <w:rPr>
          <w:rFonts w:ascii="Times New Roman" w:hAnsi="Times New Roman"/>
          <w:sz w:val="24"/>
          <w:szCs w:val="24"/>
        </w:rPr>
        <w:t>or</w:t>
      </w:r>
      <w:r w:rsidR="00563539" w:rsidRPr="00115DF2">
        <w:rPr>
          <w:rFonts w:ascii="Times New Roman" w:hAnsi="Times New Roman"/>
          <w:sz w:val="24"/>
          <w:szCs w:val="24"/>
        </w:rPr>
        <w:t xml:space="preserve"> </w:t>
      </w:r>
      <w:r w:rsidR="00DB5634" w:rsidRPr="00115DF2">
        <w:rPr>
          <w:rFonts w:ascii="Times New Roman" w:hAnsi="Times New Roman"/>
          <w:sz w:val="24"/>
          <w:szCs w:val="24"/>
        </w:rPr>
        <w:t>5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42206" w:rsidRPr="00B83893" w:rsidRDefault="00B42206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B83893">
        <w:rPr>
          <w:rFonts w:ascii="Arial" w:hAnsi="Arial" w:cs="Arial"/>
          <w:b/>
          <w:sz w:val="24"/>
          <w:szCs w:val="32"/>
        </w:rPr>
        <w:t>unit of measurement</w:t>
      </w:r>
    </w:p>
    <w:p w:rsidR="00CF0B8C" w:rsidRDefault="00CF0B8C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A9197E" w:rsidRPr="00472F9F" w:rsidRDefault="00A9197E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Pr="0016769B">
        <w:rPr>
          <w:rFonts w:ascii="Times New Roman" w:hAnsi="Times New Roman"/>
          <w:sz w:val="24"/>
          <w:szCs w:val="24"/>
        </w:rPr>
        <w:t>ARF 720.2A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0D70B1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9197E" w:rsidRDefault="00A9197E" w:rsidP="00B83893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reporting purposes, unless specified otherwise,</w:t>
      </w:r>
      <w:r w:rsidR="00007EB6">
        <w:rPr>
          <w:rFonts w:ascii="Times New Roman" w:hAnsi="Times New Roman"/>
          <w:sz w:val="24"/>
          <w:szCs w:val="24"/>
        </w:rPr>
        <w:t xml:space="preserve"> enter</w:t>
      </w:r>
      <w:r>
        <w:rPr>
          <w:rFonts w:ascii="Times New Roman" w:hAnsi="Times New Roman"/>
          <w:sz w:val="24"/>
          <w:szCs w:val="24"/>
        </w:rPr>
        <w:t xml:space="preserve"> data </w:t>
      </w:r>
      <w:r w:rsidR="005F409E">
        <w:rPr>
          <w:rFonts w:ascii="Times New Roman" w:hAnsi="Times New Roman"/>
          <w:sz w:val="24"/>
          <w:szCs w:val="24"/>
        </w:rPr>
        <w:t xml:space="preserve">as a positive number. </w:t>
      </w:r>
    </w:p>
    <w:p w:rsidR="005D1CAB" w:rsidRPr="005F409E" w:rsidRDefault="005D1CAB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 xml:space="preserve">Counterparties </w:t>
      </w:r>
    </w:p>
    <w:p w:rsidR="008F496C" w:rsidRPr="00040594" w:rsidRDefault="008F496C" w:rsidP="00B83893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deposits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intra-group deposits</w:t>
      </w:r>
      <w:r>
        <w:rPr>
          <w:rFonts w:ascii="Times New Roman" w:hAnsi="Times New Roman"/>
          <w:sz w:val="24"/>
          <w:szCs w:val="24"/>
        </w:rPr>
        <w:t xml:space="preserve">).  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</w:t>
      </w:r>
      <w:r w:rsidR="00DB5634">
        <w:rPr>
          <w:rFonts w:ascii="Times New Roman" w:hAnsi="Times New Roman"/>
          <w:b/>
          <w:i/>
          <w:sz w:val="24"/>
          <w:szCs w:val="24"/>
        </w:rPr>
        <w:t xml:space="preserve">deposits </w:t>
      </w:r>
      <w:r w:rsidR="00494A12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 xml:space="preserve">reported on </w:t>
      </w:r>
      <w:r w:rsidR="00DA2157">
        <w:rPr>
          <w:rFonts w:ascii="Times New Roman" w:hAnsi="Times New Roman"/>
          <w:i/>
          <w:sz w:val="24"/>
          <w:szCs w:val="24"/>
        </w:rPr>
        <w:t>Reporting F</w:t>
      </w:r>
      <w:r>
        <w:rPr>
          <w:rFonts w:ascii="Times New Roman" w:hAnsi="Times New Roman"/>
          <w:i/>
          <w:sz w:val="24"/>
          <w:szCs w:val="24"/>
        </w:rPr>
        <w:t xml:space="preserve">orm ARF 720.3 ABS/RBA Intra-group </w:t>
      </w:r>
      <w:r w:rsidR="002B0748">
        <w:rPr>
          <w:rFonts w:ascii="Times New Roman" w:hAnsi="Times New Roman"/>
          <w:i/>
          <w:sz w:val="24"/>
          <w:szCs w:val="24"/>
        </w:rPr>
        <w:t>Assets and Liabilities</w:t>
      </w:r>
      <w:r w:rsidR="002220F3">
        <w:rPr>
          <w:rFonts w:ascii="Times New Roman" w:hAnsi="Times New Roman"/>
          <w:i/>
          <w:sz w:val="24"/>
          <w:szCs w:val="24"/>
        </w:rPr>
        <w:t xml:space="preserve"> </w:t>
      </w:r>
      <w:r w:rsidR="002220F3">
        <w:rPr>
          <w:rFonts w:ascii="Times New Roman" w:hAnsi="Times New Roman"/>
          <w:sz w:val="24"/>
          <w:szCs w:val="24"/>
        </w:rPr>
        <w:t>(ARF 720.3)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8F496C" w:rsidRPr="00040594" w:rsidRDefault="008F496C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="00AB2F11"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="00DB5634"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 w:rsidR="00DA2157">
        <w:rPr>
          <w:rFonts w:ascii="Times New Roman" w:hAnsi="Times New Roman"/>
          <w:i/>
          <w:sz w:val="24"/>
          <w:szCs w:val="24"/>
        </w:rPr>
        <w:t xml:space="preserve">Reporting Form </w:t>
      </w:r>
      <w:r w:rsidRPr="00F82EAA">
        <w:rPr>
          <w:rFonts w:ascii="Times New Roman" w:hAnsi="Times New Roman"/>
          <w:i/>
          <w:sz w:val="24"/>
          <w:szCs w:val="24"/>
        </w:rPr>
        <w:t>ARF 720.0</w:t>
      </w:r>
      <w:r w:rsidR="008E2EFE">
        <w:rPr>
          <w:rFonts w:ascii="Times New Roman" w:hAnsi="Times New Roman"/>
          <w:i/>
          <w:sz w:val="24"/>
          <w:szCs w:val="24"/>
        </w:rPr>
        <w:t>A/B</w:t>
      </w:r>
      <w:r w:rsidR="00DA2157">
        <w:rPr>
          <w:rFonts w:ascii="Times New Roman" w:hAnsi="Times New Roman"/>
          <w:i/>
          <w:sz w:val="24"/>
          <w:szCs w:val="24"/>
        </w:rPr>
        <w:t xml:space="preserve"> Statement of Financial Position</w:t>
      </w:r>
      <w:r w:rsidR="002220F3">
        <w:rPr>
          <w:rFonts w:ascii="Times New Roman" w:hAnsi="Times New Roman"/>
          <w:i/>
          <w:sz w:val="24"/>
          <w:szCs w:val="24"/>
        </w:rPr>
        <w:t xml:space="preserve"> (</w:t>
      </w:r>
      <w:r w:rsidR="00A45809">
        <w:rPr>
          <w:rFonts w:ascii="Times New Roman" w:hAnsi="Times New Roman"/>
          <w:i/>
          <w:sz w:val="24"/>
          <w:szCs w:val="24"/>
        </w:rPr>
        <w:t>Standard</w:t>
      </w:r>
      <w:r w:rsidR="002220F3">
        <w:rPr>
          <w:rFonts w:ascii="Times New Roman" w:hAnsi="Times New Roman"/>
          <w:i/>
          <w:sz w:val="24"/>
          <w:szCs w:val="24"/>
        </w:rPr>
        <w:t>)</w:t>
      </w:r>
      <w:r w:rsidR="00086CE5">
        <w:rPr>
          <w:rFonts w:ascii="Times New Roman" w:hAnsi="Times New Roman"/>
          <w:i/>
          <w:sz w:val="24"/>
          <w:szCs w:val="24"/>
        </w:rPr>
        <w:t xml:space="preserve"> </w:t>
      </w:r>
      <w:r w:rsidR="00086CE5">
        <w:rPr>
          <w:rFonts w:ascii="Times New Roman" w:hAnsi="Times New Roman"/>
          <w:sz w:val="24"/>
          <w:szCs w:val="24"/>
        </w:rPr>
        <w:t>(ARF </w:t>
      </w:r>
      <w:r w:rsidR="00DA2157">
        <w:rPr>
          <w:rFonts w:ascii="Times New Roman" w:hAnsi="Times New Roman"/>
          <w:sz w:val="24"/>
          <w:szCs w:val="24"/>
        </w:rPr>
        <w:t>720.0</w:t>
      </w:r>
      <w:r w:rsidR="00086CE5">
        <w:rPr>
          <w:rFonts w:ascii="Times New Roman" w:hAnsi="Times New Roman"/>
          <w:sz w:val="24"/>
          <w:szCs w:val="24"/>
        </w:rPr>
        <w:t>A</w:t>
      </w:r>
      <w:r w:rsidR="00DA21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7F4E77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:rsidR="008F496C" w:rsidRPr="005F409E" w:rsidRDefault="008F496C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>Values</w:t>
      </w:r>
    </w:p>
    <w:p w:rsidR="008F496C" w:rsidRDefault="008F496C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all items on the </w:t>
      </w:r>
      <w:r w:rsidRPr="00BF07D1">
        <w:rPr>
          <w:rFonts w:ascii="Times New Roman" w:hAnsi="Times New Roman"/>
          <w:sz w:val="24"/>
          <w:szCs w:val="24"/>
        </w:rPr>
        <w:t>ARF 720.2A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accordance with Australian Accounting Standards unless otherwise specified.  </w:t>
      </w:r>
    </w:p>
    <w:p w:rsidR="008F496C" w:rsidRPr="00040594" w:rsidRDefault="008F496C" w:rsidP="00B83893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Pr="00BF07D1">
        <w:rPr>
          <w:rFonts w:ascii="Times New Roman" w:hAnsi="Times New Roman"/>
          <w:sz w:val="24"/>
          <w:szCs w:val="24"/>
        </w:rPr>
        <w:t>ARF 720.2A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007EB6">
        <w:rPr>
          <w:rFonts w:ascii="Times New Roman" w:hAnsi="Times New Roman"/>
          <w:sz w:val="24"/>
          <w:szCs w:val="24"/>
        </w:rPr>
        <w:t>Convert a</w:t>
      </w:r>
      <w:r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F82EAA">
        <w:rPr>
          <w:rFonts w:ascii="Times New Roman" w:hAnsi="Times New Roman"/>
          <w:i/>
          <w:sz w:val="24"/>
          <w:szCs w:val="24"/>
        </w:rPr>
        <w:t>AASB 121 The Effects of Changes in Foreign</w:t>
      </w:r>
      <w:r w:rsidRPr="008F496C">
        <w:rPr>
          <w:rFonts w:ascii="Times New Roman" w:hAnsi="Times New Roman"/>
          <w:i/>
          <w:sz w:val="24"/>
          <w:szCs w:val="24"/>
        </w:rPr>
        <w:t xml:space="preserve"> </w:t>
      </w:r>
      <w:r w:rsidRPr="00F82EAA">
        <w:rPr>
          <w:rFonts w:ascii="Times New Roman" w:hAnsi="Times New Roman"/>
          <w:i/>
          <w:sz w:val="24"/>
          <w:szCs w:val="24"/>
        </w:rPr>
        <w:t>Exchange Rates</w:t>
      </w:r>
      <w:r w:rsidRPr="00056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F07D1">
        <w:rPr>
          <w:rFonts w:ascii="Times New Roman" w:hAnsi="Times New Roman"/>
          <w:sz w:val="24"/>
          <w:szCs w:val="24"/>
        </w:rPr>
        <w:t>AASB 121</w:t>
      </w:r>
      <w:r w:rsidR="00BF07D1">
        <w:rPr>
          <w:rFonts w:ascii="Times New Roman" w:hAnsi="Times New Roman"/>
          <w:sz w:val="24"/>
          <w:szCs w:val="24"/>
        </w:rPr>
        <w:t xml:space="preserve">).  </w:t>
      </w:r>
    </w:p>
    <w:p w:rsidR="008F496C" w:rsidRDefault="00007EB6" w:rsidP="00B8389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</w:t>
      </w:r>
      <w:r w:rsidR="008F496C" w:rsidRPr="00AB4984">
        <w:rPr>
          <w:rFonts w:ascii="Times New Roman" w:hAnsi="Times New Roman"/>
          <w:sz w:val="24"/>
          <w:szCs w:val="24"/>
        </w:rPr>
        <w:t xml:space="preserve">tems on </w:t>
      </w:r>
      <w:r w:rsidR="008F496C" w:rsidRPr="00BF07D1">
        <w:rPr>
          <w:rFonts w:ascii="Times New Roman" w:hAnsi="Times New Roman"/>
          <w:sz w:val="24"/>
          <w:szCs w:val="24"/>
        </w:rPr>
        <w:t>ARF 720.2A</w:t>
      </w:r>
      <w:r w:rsidR="008F496C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4583D">
        <w:rPr>
          <w:rFonts w:ascii="Times New Roman" w:hAnsi="Times New Roman"/>
          <w:sz w:val="24"/>
          <w:szCs w:val="24"/>
        </w:rPr>
        <w:t>in whole dollars</w:t>
      </w:r>
      <w:r w:rsidR="008F496C" w:rsidRPr="00AB4984">
        <w:rPr>
          <w:rFonts w:ascii="Times New Roman" w:hAnsi="Times New Roman"/>
          <w:sz w:val="24"/>
          <w:szCs w:val="24"/>
        </w:rPr>
        <w:t xml:space="preserve">. </w:t>
      </w:r>
    </w:p>
    <w:p w:rsidR="002220F3" w:rsidRPr="005F409E" w:rsidRDefault="00A9197E" w:rsidP="005F409E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>Standard Business Reporting (SBR)</w:t>
      </w:r>
    </w:p>
    <w:p w:rsidR="00394B57" w:rsidRDefault="00A9197E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items on </w:t>
      </w:r>
      <w:r w:rsidRPr="00766229">
        <w:rPr>
          <w:rFonts w:ascii="Times New Roman" w:hAnsi="Times New Roman"/>
          <w:sz w:val="24"/>
          <w:szCs w:val="24"/>
        </w:rPr>
        <w:t>ARF 7</w:t>
      </w:r>
      <w:r>
        <w:rPr>
          <w:rFonts w:ascii="Times New Roman" w:hAnsi="Times New Roman"/>
          <w:sz w:val="24"/>
          <w:szCs w:val="24"/>
        </w:rPr>
        <w:t>20</w:t>
      </w:r>
      <w:r w:rsidRPr="00766229">
        <w:rPr>
          <w:rFonts w:ascii="Times New Roman" w:hAnsi="Times New Roman"/>
          <w:sz w:val="24"/>
          <w:szCs w:val="24"/>
        </w:rPr>
        <w:t>.</w:t>
      </w:r>
      <w:r w:rsidR="00086CE5">
        <w:rPr>
          <w:rFonts w:ascii="Times New Roman" w:hAnsi="Times New Roman"/>
          <w:sz w:val="24"/>
          <w:szCs w:val="24"/>
        </w:rPr>
        <w:t>2A</w:t>
      </w:r>
      <w:r w:rsidRPr="00BF0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accounting type of credit</w:t>
      </w:r>
      <w:r w:rsidRPr="00BF07D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liabilities). The accounting type (i.e. credit or debit) applies to all monetary items and represents the natural accounting </w:t>
      </w:r>
      <w:r w:rsidRPr="00BF07D1">
        <w:rPr>
          <w:rFonts w:ascii="Times New Roman" w:hAnsi="Times New Roman"/>
          <w:sz w:val="24"/>
          <w:szCs w:val="24"/>
        </w:rPr>
        <w:t xml:space="preserve">treatment </w:t>
      </w:r>
      <w:r w:rsidR="00BF07D1">
        <w:rPr>
          <w:rFonts w:ascii="Times New Roman" w:hAnsi="Times New Roman"/>
          <w:sz w:val="24"/>
          <w:szCs w:val="24"/>
        </w:rPr>
        <w:t>of the item collected.</w:t>
      </w:r>
    </w:p>
    <w:p w:rsidR="00401EFB" w:rsidRPr="00AB4984" w:rsidRDefault="00B95FF0" w:rsidP="00B83893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356B98">
        <w:rPr>
          <w:rFonts w:ascii="Arial" w:hAnsi="Arial" w:cs="Arial"/>
          <w:b/>
          <w:sz w:val="32"/>
          <w:szCs w:val="32"/>
        </w:rPr>
        <w:t xml:space="preserve"> </w:t>
      </w:r>
    </w:p>
    <w:p w:rsidR="00827675" w:rsidRPr="00AB4984" w:rsidRDefault="000952DD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457B5E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ARS </w:t>
      </w:r>
      <w:r w:rsidR="00CF0B8C">
        <w:rPr>
          <w:rFonts w:ascii="Times New Roman" w:hAnsi="Times New Roman"/>
          <w:sz w:val="24"/>
          <w:szCs w:val="24"/>
        </w:rPr>
        <w:t>7</w:t>
      </w:r>
      <w:r w:rsidR="00033032" w:rsidRPr="00AB4984">
        <w:rPr>
          <w:rFonts w:ascii="Times New Roman" w:hAnsi="Times New Roman"/>
          <w:sz w:val="24"/>
          <w:szCs w:val="24"/>
        </w:rPr>
        <w:t>01</w:t>
      </w:r>
      <w:r w:rsidR="00CF0B8C">
        <w:rPr>
          <w:rFonts w:ascii="Times New Roman" w:hAnsi="Times New Roman"/>
          <w:sz w:val="24"/>
          <w:szCs w:val="24"/>
        </w:rPr>
        <w:t>.0</w:t>
      </w:r>
      <w:r w:rsidR="00572EDD">
        <w:rPr>
          <w:rFonts w:ascii="Times New Roman" w:hAnsi="Times New Roman"/>
          <w:sz w:val="24"/>
          <w:szCs w:val="24"/>
        </w:rPr>
        <w:t xml:space="preserve">.  </w:t>
      </w:r>
    </w:p>
    <w:p w:rsidR="000952DD" w:rsidRPr="00AB4984" w:rsidRDefault="00827675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</w:t>
      </w:r>
      <w:r w:rsidR="008F496C">
        <w:rPr>
          <w:rFonts w:ascii="Times New Roman" w:hAnsi="Times New Roman"/>
          <w:sz w:val="24"/>
          <w:szCs w:val="24"/>
        </w:rPr>
        <w:t xml:space="preserve">and </w:t>
      </w:r>
      <w:r w:rsidR="0088018D" w:rsidRPr="00AB4984">
        <w:rPr>
          <w:rFonts w:ascii="Times New Roman" w:hAnsi="Times New Roman"/>
          <w:sz w:val="24"/>
          <w:szCs w:val="24"/>
        </w:rPr>
        <w:t xml:space="preserve">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:rsidR="00987AD6" w:rsidRDefault="003D2EFF" w:rsidP="00B8389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1A07E8">
        <w:rPr>
          <w:rFonts w:ascii="Times New Roman" w:hAnsi="Times New Roman"/>
          <w:sz w:val="24"/>
          <w:szCs w:val="24"/>
        </w:rPr>
        <w:t xml:space="preserve">must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:rsidR="006806F8" w:rsidRPr="00AB4984" w:rsidRDefault="00532BDF" w:rsidP="005F409E">
      <w:pPr>
        <w:numPr>
          <w:ilvl w:val="0"/>
          <w:numId w:val="31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deposit</w:t>
      </w:r>
      <w:r w:rsidR="00F8152D">
        <w:rPr>
          <w:rFonts w:ascii="Arial" w:hAnsi="Arial" w:cs="Arial"/>
          <w:b/>
          <w:sz w:val="24"/>
          <w:szCs w:val="24"/>
        </w:rPr>
        <w:t>s</w:t>
      </w:r>
    </w:p>
    <w:p w:rsidR="00BF07D1" w:rsidRPr="00BF07D1" w:rsidRDefault="007D3260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I</w:t>
      </w:r>
      <w:r w:rsidR="00B95FF0" w:rsidRPr="00AB4984">
        <w:rPr>
          <w:rFonts w:ascii="Times New Roman" w:hAnsi="Times New Roman"/>
          <w:sz w:val="24"/>
          <w:szCs w:val="24"/>
        </w:rPr>
        <w:t>tem 1 collect</w:t>
      </w:r>
      <w:r w:rsidRPr="00AB4984">
        <w:rPr>
          <w:rFonts w:ascii="Times New Roman" w:hAnsi="Times New Roman"/>
          <w:sz w:val="24"/>
          <w:szCs w:val="24"/>
        </w:rPr>
        <w:t>s</w:t>
      </w:r>
      <w:r w:rsidR="00B95FF0" w:rsidRPr="00AB4984">
        <w:rPr>
          <w:rFonts w:ascii="Times New Roman" w:hAnsi="Times New Roman"/>
          <w:sz w:val="24"/>
          <w:szCs w:val="24"/>
        </w:rPr>
        <w:t xml:space="preserve"> information </w:t>
      </w:r>
      <w:r w:rsidR="00033032" w:rsidRPr="00AB4984">
        <w:rPr>
          <w:rFonts w:ascii="Times New Roman" w:hAnsi="Times New Roman"/>
          <w:sz w:val="24"/>
          <w:szCs w:val="24"/>
        </w:rPr>
        <w:t xml:space="preserve">on the value of </w:t>
      </w:r>
      <w:r w:rsidR="00532BDF">
        <w:rPr>
          <w:rFonts w:ascii="Times New Roman" w:hAnsi="Times New Roman"/>
          <w:b/>
          <w:i/>
          <w:sz w:val="24"/>
          <w:szCs w:val="24"/>
        </w:rPr>
        <w:t>deposits</w:t>
      </w:r>
      <w:r w:rsidR="00033032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by </w:t>
      </w:r>
      <w:r w:rsidR="00532BDF">
        <w:rPr>
          <w:rFonts w:ascii="Times New Roman" w:hAnsi="Times New Roman"/>
          <w:sz w:val="24"/>
          <w:szCs w:val="24"/>
        </w:rPr>
        <w:t xml:space="preserve">counterparty of the depositor and type of </w:t>
      </w:r>
      <w:r w:rsidR="00532BDF">
        <w:rPr>
          <w:rFonts w:ascii="Times New Roman" w:hAnsi="Times New Roman"/>
          <w:b/>
          <w:i/>
          <w:sz w:val="24"/>
          <w:szCs w:val="24"/>
        </w:rPr>
        <w:t xml:space="preserve">deposit </w:t>
      </w:r>
      <w:r w:rsidR="00532BDF">
        <w:rPr>
          <w:rFonts w:ascii="Times New Roman" w:hAnsi="Times New Roman"/>
          <w:sz w:val="24"/>
          <w:szCs w:val="24"/>
        </w:rPr>
        <w:t>account</w:t>
      </w:r>
      <w:r w:rsidR="00BF07D1" w:rsidRPr="00115DF2">
        <w:rPr>
          <w:rFonts w:ascii="Times New Roman" w:hAnsi="Times New Roman"/>
          <w:sz w:val="24"/>
          <w:szCs w:val="24"/>
        </w:rPr>
        <w:t>.</w:t>
      </w:r>
      <w:r w:rsidR="00BF07D1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532BDF" w:rsidRPr="00AB4984" w:rsidTr="00766866">
        <w:tc>
          <w:tcPr>
            <w:tcW w:w="1701" w:type="dxa"/>
            <w:shd w:val="clear" w:color="auto" w:fill="auto"/>
          </w:tcPr>
          <w:p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532BDF" w:rsidRPr="005F409E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transaction deposit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B2F11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32BDF" w:rsidRPr="00AB4984" w:rsidTr="00532BDF">
        <w:tc>
          <w:tcPr>
            <w:tcW w:w="1701" w:type="dxa"/>
            <w:shd w:val="clear" w:color="auto" w:fill="auto"/>
          </w:tcPr>
          <w:p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1,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report</w:t>
            </w:r>
            <w:r w:rsidR="008F496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0250A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  <w:tr w:rsidR="00532BDF" w:rsidRPr="00AB4984" w:rsidTr="00532BDF">
        <w:tc>
          <w:tcPr>
            <w:tcW w:w="1701" w:type="dxa"/>
            <w:shd w:val="clear" w:color="auto" w:fill="auto"/>
          </w:tcPr>
          <w:p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90250A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="000F1E5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term deposit </w:t>
            </w:r>
            <w:r w:rsidRPr="00650C8C">
              <w:rPr>
                <w:rFonts w:ascii="Times New Roman" w:hAnsi="Times New Roman"/>
                <w:sz w:val="24"/>
                <w:szCs w:val="24"/>
              </w:rPr>
              <w:t>balances</w:t>
            </w:r>
            <w:r w:rsidR="005F40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32BDF" w:rsidRPr="00AB4984" w:rsidTr="00532BDF">
        <w:tc>
          <w:tcPr>
            <w:tcW w:w="1701" w:type="dxa"/>
            <w:shd w:val="clear" w:color="auto" w:fill="auto"/>
          </w:tcPr>
          <w:p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shd w:val="clear" w:color="auto" w:fill="auto"/>
          </w:tcPr>
          <w:p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3,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report</w:t>
            </w:r>
            <w:r w:rsidR="008F496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50A">
              <w:rPr>
                <w:rFonts w:ascii="Times New Roman" w:hAnsi="Times New Roman"/>
                <w:sz w:val="24"/>
                <w:szCs w:val="24"/>
              </w:rPr>
              <w:t xml:space="preserve">the 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  <w:tr w:rsidR="00532BDF" w:rsidRPr="00AB4984" w:rsidTr="00532BDF">
        <w:tc>
          <w:tcPr>
            <w:tcW w:w="1701" w:type="dxa"/>
            <w:shd w:val="clear" w:color="auto" w:fill="auto"/>
          </w:tcPr>
          <w:p w:rsidR="00532BDF" w:rsidRPr="00AB4984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5</w:t>
            </w:r>
          </w:p>
        </w:tc>
        <w:tc>
          <w:tcPr>
            <w:tcW w:w="7370" w:type="dxa"/>
            <w:shd w:val="clear" w:color="auto" w:fill="auto"/>
          </w:tcPr>
          <w:p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non-transaction deposit </w:t>
            </w:r>
            <w:r w:rsidRPr="00650C8C">
              <w:rPr>
                <w:rFonts w:ascii="Times New Roman" w:hAnsi="Times New Roman"/>
                <w:sz w:val="24"/>
                <w:szCs w:val="24"/>
              </w:rPr>
              <w:t>balances</w:t>
            </w:r>
            <w:r w:rsidR="005F40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32BDF" w:rsidRPr="00AB4984" w:rsidTr="00532BDF">
        <w:tc>
          <w:tcPr>
            <w:tcW w:w="1701" w:type="dxa"/>
            <w:shd w:val="clear" w:color="auto" w:fill="auto"/>
          </w:tcPr>
          <w:p w:rsidR="00532BDF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6</w:t>
            </w:r>
          </w:p>
        </w:tc>
        <w:tc>
          <w:tcPr>
            <w:tcW w:w="7370" w:type="dxa"/>
            <w:shd w:val="clear" w:color="auto" w:fill="auto"/>
          </w:tcPr>
          <w:p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6CC">
              <w:rPr>
                <w:rFonts w:ascii="Times New Roman" w:hAnsi="Times New Roman"/>
                <w:sz w:val="24"/>
                <w:szCs w:val="24"/>
              </w:rPr>
              <w:t xml:space="preserve">Of the amount reported in column 5,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report</w:t>
            </w:r>
            <w:r w:rsidR="008F496C"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90250A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that is denominated in a foreign currency. </w:t>
            </w:r>
          </w:p>
        </w:tc>
      </w:tr>
      <w:tr w:rsidR="00532BDF" w:rsidRPr="00AB4984" w:rsidTr="00E603BA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32BDF" w:rsidRDefault="00532BDF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7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532BDF" w:rsidRPr="007656CC" w:rsidRDefault="00532BDF" w:rsidP="0096605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8F496C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C8C">
              <w:rPr>
                <w:rFonts w:ascii="Times New Roman" w:hAnsi="Times New Roman"/>
                <w:sz w:val="24"/>
                <w:szCs w:val="24"/>
              </w:rPr>
              <w:t>balances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  <w:r w:rsidR="0090250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32BDF" w:rsidRPr="005F409E" w:rsidRDefault="00532BDF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7 is a derived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column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Report the value of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>column 7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column 1</w:t>
            </w:r>
            <w:r w:rsidR="00F151F4">
              <w:rPr>
                <w:rFonts w:ascii="Times New Roman" w:hAnsi="Times New Roman"/>
                <w:sz w:val="24"/>
                <w:szCs w:val="24"/>
              </w:rPr>
              <w:t>,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column 3</w:t>
            </w:r>
            <w:r w:rsidR="00F151F4">
              <w:rPr>
                <w:rFonts w:ascii="Times New Roman" w:hAnsi="Times New Roman"/>
                <w:sz w:val="24"/>
                <w:szCs w:val="24"/>
              </w:rPr>
              <w:t>,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532BDF">
              <w:rPr>
                <w:rFonts w:ascii="Times New Roman" w:hAnsi="Times New Roman"/>
                <w:sz w:val="24"/>
                <w:szCs w:val="24"/>
              </w:rPr>
              <w:t xml:space="preserve"> column 5.   </w:t>
            </w:r>
          </w:p>
        </w:tc>
      </w:tr>
    </w:tbl>
    <w:p w:rsidR="000952DD" w:rsidRPr="00AB4984" w:rsidRDefault="000952DD" w:rsidP="00B8389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AB4984" w:rsidRPr="00AB4984" w:rsidTr="00AB4984">
        <w:tc>
          <w:tcPr>
            <w:tcW w:w="1701" w:type="dxa"/>
            <w:shd w:val="clear" w:color="auto" w:fill="auto"/>
          </w:tcPr>
          <w:p w:rsidR="00EC46FD" w:rsidRPr="00AB4984" w:rsidRDefault="00EC46FD" w:rsidP="00A8330F">
            <w:pPr>
              <w:numPr>
                <w:ilvl w:val="0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32BDF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8F496C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650C8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7B1B29" w:rsidRDefault="003F38D8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Report the value of total </w:t>
            </w:r>
            <w:r w:rsidR="00532BDF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 as the sum of</w:t>
            </w:r>
            <w:r w:rsidR="00532BDF"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32BDF">
              <w:rPr>
                <w:rFonts w:ascii="Times New Roman" w:hAnsi="Times New Roman"/>
                <w:sz w:val="24"/>
                <w:szCs w:val="24"/>
              </w:rPr>
              <w:t>item 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F496C" w:rsidRPr="002B4478" w:rsidRDefault="000E1704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column 7, item 1 </w:t>
            </w:r>
            <w:r w:rsidR="00220F5F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sz w:val="24"/>
                <w:szCs w:val="24"/>
              </w:rPr>
              <w:t>equal</w:t>
            </w:r>
            <w:r w:rsidR="00C3760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96C">
              <w:rPr>
                <w:rFonts w:ascii="Times New Roman" w:hAnsi="Times New Roman"/>
                <w:sz w:val="24"/>
                <w:szCs w:val="24"/>
              </w:rPr>
              <w:t>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>reported in item 14</w:t>
            </w:r>
            <w:r w:rsidR="000F1E54">
              <w:rPr>
                <w:rFonts w:ascii="Times New Roman" w:hAnsi="Times New Roman"/>
                <w:sz w:val="24"/>
                <w:szCs w:val="24"/>
              </w:rPr>
              <w:t xml:space="preserve"> (column 1)</w:t>
            </w:r>
            <w:r w:rsidR="008F4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BF07D1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572EDD" w:rsidRPr="00BF07D1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  <w:tr w:rsidR="00532BDF" w:rsidRPr="00AB4984" w:rsidTr="00AB4984">
        <w:tc>
          <w:tcPr>
            <w:tcW w:w="1701" w:type="dxa"/>
            <w:shd w:val="clear" w:color="auto" w:fill="auto"/>
          </w:tcPr>
          <w:p w:rsidR="00532BDF" w:rsidRPr="00AB4984" w:rsidRDefault="00532BDF" w:rsidP="00A8330F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32BDF" w:rsidRPr="007656CC" w:rsidRDefault="00532BDF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32BDF" w:rsidRDefault="00532BDF" w:rsidP="00A8330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 w:rsidR="0055702C"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 as the sum of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item</w:t>
            </w:r>
            <w:r w:rsidR="00F151F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55702C">
              <w:rPr>
                <w:rFonts w:ascii="Times New Roman" w:hAnsi="Times New Roman"/>
                <w:sz w:val="24"/>
                <w:szCs w:val="24"/>
              </w:rPr>
              <w:t>.1</w:t>
            </w:r>
            <w:r w:rsidR="001204F6">
              <w:rPr>
                <w:rFonts w:ascii="Times New Roman" w:hAnsi="Times New Roman"/>
                <w:sz w:val="24"/>
                <w:szCs w:val="24"/>
              </w:rPr>
              <w:t>, 1.1.2, 1.1.3, 1.1.4 and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02C" w:rsidRPr="0055702C">
              <w:rPr>
                <w:rFonts w:ascii="Times New Roman" w:hAnsi="Times New Roman"/>
                <w:sz w:val="24"/>
                <w:szCs w:val="24"/>
              </w:rPr>
              <w:t xml:space="preserve">1.1.5.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90250A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F496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0250A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of that is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offset accounts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linked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5F409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F496C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90250A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the value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8F49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etirement savings accounts</w:t>
            </w:r>
            <w:r w:rsidR="005F409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report the </w:t>
            </w:r>
            <w:r w:rsidRPr="00AA1D3C"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90250A">
              <w:rPr>
                <w:rFonts w:ascii="Times New Roman" w:hAnsi="Times New Roman"/>
                <w:bCs/>
                <w:sz w:val="24"/>
                <w:szCs w:val="24"/>
              </w:rPr>
              <w:t xml:space="preserve">that is 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</w:t>
            </w:r>
            <w:r w:rsidR="000F1E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Pr="00CD27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ommunity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ervice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rganisations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572E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businesses</w:t>
            </w:r>
            <w:r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5702C" w:rsidRPr="005F409E" w:rsidRDefault="0055702C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F151F4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1.1.3.1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F151F4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non-financial investment funds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unincorporated businesses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F815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tate, territory 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and</w:t>
            </w:r>
            <w:r w:rsidR="00AB2F11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local government non-financial corporations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Commonwealth </w:t>
            </w:r>
            <w:r w:rsidR="00F815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="00F8152D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non-financial corporations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government</w:t>
            </w:r>
            <w:r w:rsidRPr="00115DF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55702C" w:rsidRPr="005F409E" w:rsidRDefault="0055702C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1.1.4.1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item 1.1.4.2.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CB0D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</w:t>
            </w:r>
            <w:r w:rsidR="00CB0D1B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tate, territory and local general government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Pr="007656C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0D1B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5F40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5702C" w:rsidRPr="00AB4984" w:rsidTr="00AB4984">
        <w:tc>
          <w:tcPr>
            <w:tcW w:w="1701" w:type="dxa"/>
            <w:shd w:val="clear" w:color="auto" w:fill="auto"/>
          </w:tcPr>
          <w:p w:rsidR="0055702C" w:rsidRPr="00AB4984" w:rsidRDefault="0055702C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55702C" w:rsidRDefault="0055702C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5702C" w:rsidRPr="00382B00" w:rsidRDefault="0055702C" w:rsidP="00B5217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51681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1.1.5.1</w:t>
            </w:r>
            <w:r w:rsidR="0051681B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B5217E">
              <w:rPr>
                <w:rFonts w:ascii="Times New Roman" w:hAnsi="Times New Roman"/>
                <w:sz w:val="24"/>
                <w:szCs w:val="24"/>
              </w:rPr>
              <w:t>1.1.5.9</w:t>
            </w:r>
            <w:r w:rsidR="001204F6">
              <w:rPr>
                <w:rFonts w:ascii="Times New Roman" w:hAnsi="Times New Roman"/>
                <w:sz w:val="24"/>
                <w:szCs w:val="24"/>
              </w:rPr>
              <w:t xml:space="preserve"> inclusive and items </w:t>
            </w:r>
            <w:r w:rsidR="00B5217E">
              <w:rPr>
                <w:rFonts w:ascii="Times New Roman" w:hAnsi="Times New Roman"/>
                <w:sz w:val="24"/>
                <w:szCs w:val="24"/>
              </w:rPr>
              <w:t>1.1.5.10</w:t>
            </w:r>
            <w:r w:rsidR="001204F6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2E1C95" w:rsidDel="002E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17E">
              <w:rPr>
                <w:rFonts w:ascii="Times New Roman" w:hAnsi="Times New Roman"/>
                <w:sz w:val="24"/>
                <w:szCs w:val="24"/>
              </w:rPr>
              <w:t>1.1.5.13</w:t>
            </w:r>
            <w:r w:rsidR="002E1C95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RBA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B5217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521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ife insurance corporations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insurance corporations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9025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elf-managed superannuation funds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F0C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superannuation funds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C66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auxiliaries</w:t>
            </w:r>
            <w:r w:rsidRPr="00115DF2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D118CA" w:rsidRPr="00AB4984" w:rsidTr="00AB4984">
        <w:tc>
          <w:tcPr>
            <w:tcW w:w="1701" w:type="dxa"/>
            <w:shd w:val="clear" w:color="auto" w:fill="auto"/>
          </w:tcPr>
          <w:p w:rsidR="00D118CA" w:rsidRPr="00AB4984" w:rsidRDefault="00D118CA" w:rsidP="00A8330F">
            <w:pPr>
              <w:numPr>
                <w:ilvl w:val="4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D118CA" w:rsidRPr="007656CC" w:rsidRDefault="00D118CA" w:rsidP="00B5217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amount reported in item </w:t>
            </w:r>
            <w:r w:rsidR="00B5217E">
              <w:rPr>
                <w:rFonts w:ascii="Times New Roman" w:hAnsi="Times New Roman"/>
                <w:bCs/>
                <w:sz w:val="24"/>
                <w:szCs w:val="24"/>
              </w:rPr>
              <w:t>1.1.5.9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</w:t>
            </w:r>
            <w:r w:rsidRPr="00040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clearing houses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C66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securitisers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FC66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money-market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E13B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non-money-market financial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A83B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0B6B87" w:rsidDel="002408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n.e.c</w:t>
            </w:r>
            <w:r w:rsidRPr="00D118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AB4984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1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A83B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013C4" w:rsidRPr="00AB4984" w:rsidTr="00AB4984">
        <w:tc>
          <w:tcPr>
            <w:tcW w:w="1701" w:type="dxa"/>
            <w:shd w:val="clear" w:color="auto" w:fill="auto"/>
          </w:tcPr>
          <w:p w:rsidR="001013C4" w:rsidRPr="00AB4984" w:rsidRDefault="001013C4" w:rsidP="00A8330F">
            <w:pPr>
              <w:numPr>
                <w:ilvl w:val="2"/>
                <w:numId w:val="22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1013C4" w:rsidRPr="007656CC" w:rsidRDefault="001013C4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Of the total reported in </w:t>
            </w:r>
            <w:r w:rsidR="00A83B8A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tem 1.2, </w:t>
            </w:r>
            <w:r w:rsidR="008F0C68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A83B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8F0C68" w:rsidRPr="0004059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deposits</w:t>
            </w:r>
            <w:r w:rsidR="00A83B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 clearing houses</w:t>
            </w:r>
            <w:r w:rsidR="00AB2F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central counterparties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56080" w:rsidRDefault="00056080" w:rsidP="00B83893">
      <w:pPr>
        <w:spacing w:after="240"/>
        <w:jc w:val="both"/>
        <w:rPr>
          <w:rFonts w:ascii="Times New Roman" w:hAnsi="Times New Roman"/>
          <w:sz w:val="24"/>
          <w:szCs w:val="24"/>
        </w:rPr>
        <w:sectPr w:rsidR="00056080" w:rsidSect="00086CE5">
          <w:footerReference w:type="default" r:id="rId22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86CE5" w:rsidRPr="00FC3309" w:rsidTr="00C80BDB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:rsidR="00086CE5" w:rsidRPr="007874D6" w:rsidRDefault="00086CE5" w:rsidP="00A45809">
            <w:pPr>
              <w:pStyle w:val="D2Aform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_720_2B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ABS/RBA Deposits</w:t>
            </w:r>
            <w:r w:rsidRPr="00F95B7E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</w:t>
            </w:r>
            <w:r w:rsidR="00A45809">
              <w:rPr>
                <w:b/>
                <w:sz w:val="32"/>
                <w:szCs w:val="32"/>
              </w:rPr>
              <w:t>Reduced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</w:tbl>
    <w:p w:rsidR="00086CE5" w:rsidRPr="00FC3309" w:rsidRDefault="00086CE5" w:rsidP="00086CE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86CE5" w:rsidRPr="00FC3309" w:rsidTr="00C80BDB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86CE5" w:rsidRPr="00FC3309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CE5" w:rsidRPr="00FC3309" w:rsidRDefault="00086CE5" w:rsidP="00C80BDB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CE5" w:rsidRPr="00FC3309" w:rsidRDefault="00086CE5" w:rsidP="00C80BDB">
            <w:pPr>
              <w:pStyle w:val="D2Aform"/>
            </w:pPr>
          </w:p>
        </w:tc>
      </w:tr>
      <w:tr w:rsidR="00086CE5" w:rsidRPr="00FC3309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 xml:space="preserve">Scale Factor </w:t>
            </w:r>
          </w:p>
        </w:tc>
      </w:tr>
      <w:tr w:rsidR="00086CE5" w:rsidRPr="00FC3309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CE5" w:rsidRPr="00FC3309" w:rsidRDefault="00086CE5" w:rsidP="00C80BDB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CE5" w:rsidRPr="00FC3309" w:rsidRDefault="00086CE5" w:rsidP="00C80BDB">
            <w:pPr>
              <w:pStyle w:val="D2Aform"/>
            </w:pPr>
          </w:p>
        </w:tc>
      </w:tr>
      <w:tr w:rsidR="00086CE5" w:rsidRPr="00FC3309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86CE5" w:rsidRPr="007874D6" w:rsidRDefault="00086CE5" w:rsidP="00C80BDB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:rsidR="00086CE5" w:rsidRPr="00FC3309" w:rsidRDefault="00086CE5" w:rsidP="00C80BDB">
            <w:pPr>
              <w:pStyle w:val="D2Aform"/>
            </w:pPr>
          </w:p>
        </w:tc>
      </w:tr>
      <w:tr w:rsidR="00086CE5" w:rsidRPr="00FC3309" w:rsidTr="00C80BDB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CE5" w:rsidRPr="00FC3309" w:rsidRDefault="00086CE5" w:rsidP="00DD17E1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:rsidR="00086CE5" w:rsidRPr="00FC3309" w:rsidRDefault="00086CE5" w:rsidP="00C80BDB">
            <w:pPr>
              <w:pStyle w:val="D2Aform"/>
            </w:pPr>
          </w:p>
        </w:tc>
      </w:tr>
    </w:tbl>
    <w:p w:rsidR="00086CE5" w:rsidRPr="00FC3309" w:rsidRDefault="00086CE5" w:rsidP="00086CE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559"/>
        <w:gridCol w:w="1559"/>
        <w:gridCol w:w="1559"/>
        <w:gridCol w:w="1560"/>
      </w:tblGrid>
      <w:tr w:rsidR="00086CE5" w:rsidRPr="00FC3309" w:rsidTr="00C80BDB">
        <w:trPr>
          <w:trHeight w:val="39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FC3309" w:rsidRDefault="00086CE5" w:rsidP="00C80B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Transaction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Non-transaction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</w:tr>
      <w:tr w:rsidR="00086CE5" w:rsidRPr="00FC3309" w:rsidTr="00C80BDB">
        <w:trPr>
          <w:trHeight w:val="39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E5" w:rsidRPr="00FC3309" w:rsidRDefault="00086CE5" w:rsidP="00C80B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Fixed-t</w:t>
            </w:r>
            <w:r w:rsidRPr="00332A1E">
              <w:rPr>
                <w:b/>
                <w:sz w:val="20"/>
                <w:szCs w:val="20"/>
              </w:rPr>
              <w:t xml:space="preserve">erm </w:t>
            </w:r>
            <w:r>
              <w:rPr>
                <w:b/>
                <w:sz w:val="20"/>
                <w:szCs w:val="20"/>
              </w:rPr>
              <w:t>d</w:t>
            </w:r>
            <w:r w:rsidRPr="00332A1E">
              <w:rPr>
                <w:b/>
                <w:sz w:val="20"/>
                <w:szCs w:val="20"/>
              </w:rPr>
              <w:t>eposits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Other non-transaction deposit</w:t>
            </w:r>
            <w:r>
              <w:rPr>
                <w:b/>
                <w:sz w:val="20"/>
                <w:szCs w:val="20"/>
              </w:rPr>
              <w:t>s</w:t>
            </w:r>
            <w:r w:rsidRPr="00332A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332A1E">
              <w:rPr>
                <w:b/>
                <w:sz w:val="20"/>
                <w:szCs w:val="20"/>
              </w:rPr>
              <w:t>Total deposit</w:t>
            </w:r>
            <w:r>
              <w:rPr>
                <w:b/>
                <w:sz w:val="20"/>
                <w:szCs w:val="20"/>
              </w:rPr>
              <w:t>s</w:t>
            </w:r>
            <w:r w:rsidRPr="00332A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E5" w:rsidRPr="00FC3309" w:rsidRDefault="00086CE5" w:rsidP="00C80BDB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CE5" w:rsidRPr="007874D6" w:rsidRDefault="00086CE5" w:rsidP="00C80BDB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CE5" w:rsidRPr="006B7165" w:rsidRDefault="00086CE5" w:rsidP="00C80BDB">
            <w:pPr>
              <w:pStyle w:val="D2Aform"/>
              <w:numPr>
                <w:ilvl w:val="0"/>
                <w:numId w:val="36"/>
              </w:numPr>
              <w:rPr>
                <w:b/>
              </w:rPr>
            </w:pPr>
            <w:r w:rsidRPr="00332A1E">
              <w:rPr>
                <w:b/>
              </w:rPr>
              <w:t>Total deposit</w:t>
            </w:r>
            <w:r>
              <w:rPr>
                <w:b/>
              </w:rPr>
              <w:t>s</w:t>
            </w:r>
            <w:r w:rsidRPr="00332A1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1"/>
                <w:numId w:val="36"/>
              </w:numPr>
            </w:pPr>
            <w:r>
              <w:t xml:space="preserve">Resident deposits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 w:rsidRPr="00332A1E">
              <w:t>Households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Housing loan offset accounts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E10C95">
              <w:rPr>
                <w:i/>
              </w:rPr>
              <w:t>of which:</w:t>
            </w:r>
            <w:r w:rsidRPr="00332A1E">
              <w:t xml:space="preserve"> Retirement savings accounts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rPr>
                <w:i/>
              </w:rPr>
              <w:t xml:space="preserve">of which: </w:t>
            </w:r>
            <w:r>
              <w:t>Non-interest-bearing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Pr="00323313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Pr="00323313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Pr="00323313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Pr="00323313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 w:rsidRPr="00332A1E">
              <w:t xml:space="preserve">Community </w:t>
            </w:r>
            <w:r>
              <w:t>s</w:t>
            </w:r>
            <w:r w:rsidRPr="00332A1E">
              <w:t xml:space="preserve">ervice </w:t>
            </w:r>
            <w:r>
              <w:t>o</w:t>
            </w:r>
            <w:r w:rsidRPr="00332A1E">
              <w:t>rganisations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>
              <w:t>Non-financial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Private non-financial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Other private non-financial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Private unincorporated businesses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 xml:space="preserve">State, territory </w:t>
            </w:r>
            <w:r>
              <w:t>and</w:t>
            </w:r>
            <w:r w:rsidRPr="00332A1E">
              <w:t xml:space="preserve"> local government non-financial</w:t>
            </w:r>
            <w:r>
              <w:t xml:space="preserve">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 xml:space="preserve">Commonwealth </w:t>
            </w:r>
            <w:r>
              <w:t>G</w:t>
            </w:r>
            <w:r w:rsidRPr="00332A1E">
              <w:t xml:space="preserve">overnment non-financial </w:t>
            </w:r>
            <w:r>
              <w:t>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>
              <w:t>General government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>S</w:t>
            </w:r>
            <w:r w:rsidRPr="00332A1E">
              <w:t xml:space="preserve">tate, territory </w:t>
            </w:r>
            <w:r>
              <w:t>and</w:t>
            </w:r>
            <w:r w:rsidRPr="00332A1E">
              <w:t xml:space="preserve"> local general government</w:t>
            </w:r>
            <w:r w:rsidRPr="00332A1E" w:rsidDel="002C5B65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Commonwealth general government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2"/>
                <w:numId w:val="36"/>
              </w:numPr>
            </w:pPr>
            <w:r>
              <w:t xml:space="preserve">Financial </w:t>
            </w:r>
            <w:r w:rsidR="00AB2F11">
              <w:t>i</w:t>
            </w:r>
            <w:r>
              <w:t>nstitutions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EA3C79" w:rsidP="00EA3C79">
            <w:pPr>
              <w:pStyle w:val="D2Aform"/>
              <w:numPr>
                <w:ilvl w:val="3"/>
                <w:numId w:val="36"/>
              </w:numPr>
            </w:pPr>
            <w:r>
              <w:t>RBA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ADIs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Registered financial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Central borrowing authorities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Life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Other insurance corporations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Self-managed superannuation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Other superannuation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 xml:space="preserve">Financial auxiliaries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>Securitisers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332A1E">
              <w:t>Money</w:t>
            </w:r>
            <w:r>
              <w:t>-</w:t>
            </w:r>
            <w:r w:rsidRPr="00332A1E">
              <w:t>market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332A1E" w:rsidRDefault="00086CE5" w:rsidP="00C80BDB">
            <w:pPr>
              <w:pStyle w:val="D2Aform"/>
              <w:numPr>
                <w:ilvl w:val="3"/>
                <w:numId w:val="36"/>
              </w:numPr>
            </w:pPr>
            <w:r w:rsidRPr="00E10C95">
              <w:t>Non-money</w:t>
            </w:r>
            <w:r>
              <w:t>-</w:t>
            </w:r>
            <w:r w:rsidRPr="00E10C95">
              <w:t>market</w:t>
            </w:r>
            <w:r>
              <w:t xml:space="preserve"> financial</w:t>
            </w:r>
            <w:r w:rsidRPr="00E10C95">
              <w:t xml:space="preserve"> investment funds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E10C95" w:rsidRDefault="00086CE5" w:rsidP="00C80BDB">
            <w:pPr>
              <w:pStyle w:val="D2Aform"/>
              <w:numPr>
                <w:ilvl w:val="3"/>
                <w:numId w:val="36"/>
              </w:numPr>
            </w:pPr>
            <w:r>
              <w:t>F</w:t>
            </w:r>
            <w:r w:rsidRPr="00E10C95">
              <w:t>inancial institutions</w:t>
            </w:r>
            <w:r>
              <w:t xml:space="preserve"> n.e.c.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  <w:tr w:rsidR="00086CE5" w:rsidRPr="00FC3309" w:rsidTr="00C80BDB">
        <w:trPr>
          <w:trHeight w:val="31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CE5" w:rsidRPr="00E10C95" w:rsidRDefault="00086CE5" w:rsidP="00C80BDB">
            <w:pPr>
              <w:pStyle w:val="D2Aform"/>
              <w:numPr>
                <w:ilvl w:val="1"/>
                <w:numId w:val="36"/>
              </w:numPr>
            </w:pPr>
            <w:r>
              <w:t xml:space="preserve">Non-resident deposits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086CE5" w:rsidRDefault="00086CE5" w:rsidP="00C80BDB">
            <w:pPr>
              <w:pStyle w:val="D2Aform"/>
              <w:jc w:val="center"/>
            </w:pPr>
          </w:p>
        </w:tc>
      </w:tr>
    </w:tbl>
    <w:p w:rsidR="00415E32" w:rsidRDefault="00415E32" w:rsidP="00382B00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  <w:sectPr w:rsidR="00415E32" w:rsidSect="00086CE5">
          <w:footerReference w:type="default" r:id="rId23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086CE5" w:rsidRPr="00AB4984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Reporting Form </w:t>
      </w:r>
      <w:r>
        <w:rPr>
          <w:rFonts w:ascii="Arial" w:hAnsi="Arial" w:cs="Arial"/>
          <w:b/>
          <w:sz w:val="40"/>
          <w:szCs w:val="40"/>
        </w:rPr>
        <w:t>720.2B</w:t>
      </w:r>
    </w:p>
    <w:p w:rsidR="00086CE5" w:rsidRPr="00AB4984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Deposits (</w:t>
      </w:r>
      <w:r w:rsidR="00A45809">
        <w:rPr>
          <w:rFonts w:ascii="Arial" w:hAnsi="Arial" w:cs="Arial"/>
          <w:b/>
          <w:sz w:val="40"/>
          <w:szCs w:val="40"/>
        </w:rPr>
        <w:t>Reduced</w:t>
      </w:r>
      <w:r>
        <w:rPr>
          <w:rFonts w:ascii="Arial" w:hAnsi="Arial" w:cs="Arial"/>
          <w:b/>
          <w:sz w:val="40"/>
          <w:szCs w:val="40"/>
        </w:rPr>
        <w:t>)</w:t>
      </w:r>
    </w:p>
    <w:p w:rsidR="00086CE5" w:rsidRPr="00B83893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B83893">
        <w:rPr>
          <w:rFonts w:ascii="Arial" w:hAnsi="Arial" w:cs="Arial"/>
          <w:b/>
          <w:sz w:val="32"/>
          <w:szCs w:val="40"/>
        </w:rPr>
        <w:t>Instructions</w:t>
      </w:r>
    </w:p>
    <w:p w:rsidR="00086CE5" w:rsidRPr="00AB4984" w:rsidRDefault="00086CE5" w:rsidP="00086CE5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>Form ARF 720.2B ABS/RBA Deposits (</w:t>
      </w:r>
      <w:r w:rsidR="00A45809">
        <w:rPr>
          <w:rFonts w:ascii="Times New Roman" w:eastAsia="Times" w:hAnsi="Times New Roman"/>
          <w:i/>
          <w:sz w:val="24"/>
          <w:szCs w:val="24"/>
        </w:rPr>
        <w:t>Reduced</w:t>
      </w:r>
      <w:r>
        <w:rPr>
          <w:rFonts w:ascii="Times New Roman" w:eastAsia="Times" w:hAnsi="Times New Roman"/>
          <w:i/>
          <w:sz w:val="24"/>
          <w:szCs w:val="24"/>
        </w:rPr>
        <w:t xml:space="preserve">) </w:t>
      </w:r>
      <w:r>
        <w:rPr>
          <w:rFonts w:ascii="Times New Roman" w:eastAsia="Times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ARF 720.2B)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BF07D1">
        <w:rPr>
          <w:rFonts w:ascii="Times New Roman" w:hAnsi="Times New Roman"/>
          <w:sz w:val="24"/>
          <w:szCs w:val="24"/>
        </w:rPr>
        <w:t>ARF 720.</w:t>
      </w:r>
      <w:r>
        <w:rPr>
          <w:rFonts w:ascii="Times New Roman" w:hAnsi="Times New Roman"/>
          <w:sz w:val="24"/>
          <w:szCs w:val="24"/>
        </w:rPr>
        <w:t>2</w:t>
      </w:r>
      <w:r w:rsidRPr="00BF07D1">
        <w:rPr>
          <w:rFonts w:ascii="Times New Roman" w:hAnsi="Times New Roman"/>
          <w:sz w:val="24"/>
          <w:szCs w:val="24"/>
        </w:rPr>
        <w:t>B</w:t>
      </w:r>
      <w:r w:rsidRPr="00BF07D1">
        <w:rPr>
          <w:rFonts w:ascii="Arial" w:hAnsi="Arial" w:cs="Arial"/>
          <w:b/>
          <w:sz w:val="40"/>
          <w:szCs w:val="40"/>
        </w:rPr>
        <w:t xml:space="preserve"> </w:t>
      </w:r>
      <w:r w:rsidRPr="002220F3">
        <w:rPr>
          <w:rFonts w:ascii="Times New Roman" w:hAnsi="Times New Roman"/>
          <w:sz w:val="24"/>
          <w:szCs w:val="24"/>
        </w:rPr>
        <w:t>collects</w:t>
      </w:r>
      <w:r w:rsidRPr="00AB4984">
        <w:rPr>
          <w:rFonts w:ascii="Times New Roman" w:hAnsi="Times New Roman"/>
          <w:sz w:val="24"/>
          <w:szCs w:val="24"/>
        </w:rPr>
        <w:t xml:space="preserve"> information relating to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86CE5" w:rsidRPr="00BF07D1" w:rsidRDefault="00086CE5" w:rsidP="00086CE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BF07D1">
        <w:rPr>
          <w:rFonts w:ascii="Times New Roman" w:hAnsi="Times New Roman"/>
          <w:sz w:val="24"/>
          <w:szCs w:val="24"/>
        </w:rPr>
        <w:t xml:space="preserve">ARF </w:t>
      </w:r>
      <w:r>
        <w:rPr>
          <w:rFonts w:ascii="Times New Roman" w:hAnsi="Times New Roman"/>
          <w:sz w:val="24"/>
          <w:szCs w:val="24"/>
        </w:rPr>
        <w:t>720.2</w:t>
      </w:r>
      <w:r w:rsidRPr="00BF07D1">
        <w:rPr>
          <w:rFonts w:ascii="Times New Roman" w:hAnsi="Times New Roman"/>
          <w:sz w:val="24"/>
          <w:szCs w:val="24"/>
        </w:rPr>
        <w:t xml:space="preserve">B </w:t>
      </w:r>
      <w:r w:rsidRPr="002220F3">
        <w:rPr>
          <w:rFonts w:ascii="Times New Roman" w:hAnsi="Times New Roman"/>
          <w:sz w:val="24"/>
          <w:szCs w:val="24"/>
        </w:rPr>
        <w:t>is required primarily</w:t>
      </w:r>
      <w:r w:rsidRPr="00AB4984">
        <w:rPr>
          <w:rFonts w:ascii="Times New Roman" w:hAnsi="Times New Roman"/>
          <w:sz w:val="24"/>
          <w:szCs w:val="24"/>
        </w:rPr>
        <w:t xml:space="preserve"> for purposes of the </w:t>
      </w:r>
      <w:r w:rsidRPr="00BF07D1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 w:rsidRPr="00AB4984">
        <w:rPr>
          <w:rFonts w:ascii="Times New Roman" w:hAnsi="Times New Roman"/>
          <w:b/>
          <w:i/>
          <w:sz w:val="24"/>
          <w:szCs w:val="24"/>
        </w:rPr>
        <w:t>RBA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Items on ARF 720.2</w:t>
      </w:r>
      <w:r w:rsidRPr="00BF07D1">
        <w:rPr>
          <w:rFonts w:ascii="Times New Roman" w:hAnsi="Times New Roman"/>
          <w:sz w:val="24"/>
          <w:szCs w:val="24"/>
        </w:rPr>
        <w:t>B</w:t>
      </w:r>
      <w:r w:rsidRPr="002220F3">
        <w:rPr>
          <w:rFonts w:ascii="Times New Roman" w:hAnsi="Times New Roman"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>are required for various purposes, including the compilation of Australia’s National Accounts and the calculation of the monetary aggregates.</w:t>
      </w:r>
      <w:r>
        <w:rPr>
          <w:rFonts w:ascii="Times New Roman" w:hAnsi="Times New Roman"/>
          <w:sz w:val="24"/>
          <w:szCs w:val="24"/>
        </w:rPr>
        <w:t xml:space="preserve">  Information reported in </w:t>
      </w:r>
      <w:r w:rsidR="00283864">
        <w:rPr>
          <w:rFonts w:ascii="Times New Roman" w:hAnsi="Times New Roman"/>
          <w:sz w:val="24"/>
          <w:szCs w:val="24"/>
        </w:rPr>
        <w:t>ARF 720.2</w:t>
      </w:r>
      <w:r w:rsidRPr="00BF07D1">
        <w:rPr>
          <w:rFonts w:ascii="Times New Roman" w:hAnsi="Times New Roman"/>
          <w:sz w:val="24"/>
          <w:szCs w:val="24"/>
        </w:rPr>
        <w:t xml:space="preserve">B </w:t>
      </w:r>
      <w:r w:rsidRPr="002220F3">
        <w:rPr>
          <w:rFonts w:ascii="Times New Roman" w:hAnsi="Times New Roman"/>
          <w:sz w:val="24"/>
          <w:szCs w:val="24"/>
        </w:rPr>
        <w:t>may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115DF2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>
        <w:rPr>
          <w:rFonts w:ascii="Times New Roman" w:hAnsi="Times New Roman"/>
          <w:sz w:val="24"/>
          <w:szCs w:val="24"/>
        </w:rPr>
        <w:t xml:space="preserve">ion purposes. </w:t>
      </w:r>
    </w:p>
    <w:p w:rsidR="00086CE5" w:rsidRPr="00B83893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 xml:space="preserve">Reporting level </w:t>
      </w:r>
    </w:p>
    <w:p w:rsidR="00086CE5" w:rsidRPr="002220F3" w:rsidRDefault="00086CE5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F07D1">
        <w:rPr>
          <w:rFonts w:ascii="Times New Roman" w:hAnsi="Times New Roman"/>
          <w:sz w:val="24"/>
          <w:szCs w:val="24"/>
        </w:rPr>
        <w:t xml:space="preserve">ARF 720.2B </w:t>
      </w:r>
      <w:r w:rsidRPr="002220F3"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be completed be completed by each </w:t>
      </w:r>
      <w:r>
        <w:rPr>
          <w:rFonts w:ascii="Times New Roman" w:hAnsi="Times New Roman"/>
          <w:b/>
          <w:i/>
          <w:sz w:val="24"/>
          <w:szCs w:val="24"/>
        </w:rPr>
        <w:t xml:space="preserve">ADI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RFC </w:t>
      </w:r>
      <w:r w:rsidRPr="006A0E13">
        <w:rPr>
          <w:rFonts w:ascii="Times New Roman" w:hAnsi="Times New Roman"/>
          <w:sz w:val="24"/>
          <w:szCs w:val="24"/>
        </w:rPr>
        <w:t xml:space="preserve">to which this Reporting Standard applies under paragraph 4 </w:t>
      </w:r>
      <w:r w:rsidR="00563539">
        <w:rPr>
          <w:rFonts w:ascii="Times New Roman" w:hAnsi="Times New Roman"/>
          <w:sz w:val="24"/>
          <w:szCs w:val="24"/>
        </w:rPr>
        <w:t>or</w:t>
      </w:r>
      <w:r w:rsidR="00563539" w:rsidRPr="006A0E13">
        <w:rPr>
          <w:rFonts w:ascii="Times New Roman" w:hAnsi="Times New Roman"/>
          <w:sz w:val="24"/>
          <w:szCs w:val="24"/>
        </w:rPr>
        <w:t xml:space="preserve"> </w:t>
      </w:r>
      <w:r w:rsidRPr="006A0E13">
        <w:rPr>
          <w:rFonts w:ascii="Times New Roman" w:hAnsi="Times New Roman"/>
          <w:sz w:val="24"/>
          <w:szCs w:val="24"/>
        </w:rPr>
        <w:t>5</w:t>
      </w:r>
      <w:r w:rsidRPr="00115DF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086CE5" w:rsidRPr="00B83893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B83893">
        <w:rPr>
          <w:rFonts w:ascii="Arial" w:hAnsi="Arial" w:cs="Arial"/>
          <w:b/>
          <w:sz w:val="24"/>
          <w:szCs w:val="32"/>
        </w:rPr>
        <w:t>Reporting basis and unit of measurement</w:t>
      </w:r>
    </w:p>
    <w:p w:rsidR="00086CE5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 </w:t>
      </w:r>
    </w:p>
    <w:p w:rsidR="00086CE5" w:rsidRPr="00472F9F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</w:t>
      </w:r>
      <w:r w:rsidR="00023588">
        <w:rPr>
          <w:rFonts w:ascii="Times New Roman" w:hAnsi="Times New Roman"/>
          <w:sz w:val="24"/>
          <w:szCs w:val="24"/>
        </w:rPr>
        <w:t>ARF 720.2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must be reported as at the end of the </w:t>
      </w:r>
      <w:r w:rsidRPr="000D70B1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86CE5" w:rsidRDefault="00086CE5" w:rsidP="00086CE5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reporting purposes, unless specified otherwise, data are to be entered as a positive number. </w:t>
      </w:r>
    </w:p>
    <w:p w:rsidR="00086CE5" w:rsidRPr="005F409E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 xml:space="preserve">Counterparties </w:t>
      </w:r>
    </w:p>
    <w:p w:rsidR="00086CE5" w:rsidRPr="00040594" w:rsidRDefault="00086CE5" w:rsidP="00086CE5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>
        <w:rPr>
          <w:rFonts w:ascii="Times New Roman" w:hAnsi="Times New Roman"/>
          <w:b/>
          <w:i/>
          <w:sz w:val="24"/>
          <w:szCs w:val="24"/>
        </w:rPr>
        <w:t xml:space="preserve">deposits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intra-group deposits</w:t>
      </w:r>
      <w:r>
        <w:rPr>
          <w:rFonts w:ascii="Times New Roman" w:hAnsi="Times New Roman"/>
          <w:sz w:val="24"/>
          <w:szCs w:val="24"/>
        </w:rPr>
        <w:t xml:space="preserve">).  Detail on </w:t>
      </w:r>
      <w:r>
        <w:rPr>
          <w:rFonts w:ascii="Times New Roman" w:hAnsi="Times New Roman"/>
          <w:b/>
          <w:i/>
          <w:sz w:val="24"/>
          <w:szCs w:val="24"/>
        </w:rPr>
        <w:t xml:space="preserve">intra-group deposits </w:t>
      </w:r>
      <w:r w:rsidR="00494A12">
        <w:rPr>
          <w:rFonts w:ascii="Times New Roman" w:hAnsi="Times New Roman"/>
          <w:sz w:val="24"/>
          <w:szCs w:val="24"/>
        </w:rPr>
        <w:t>is r</w:t>
      </w:r>
      <w:r>
        <w:rPr>
          <w:rFonts w:ascii="Times New Roman" w:hAnsi="Times New Roman"/>
          <w:sz w:val="24"/>
          <w:szCs w:val="24"/>
        </w:rPr>
        <w:t xml:space="preserve">eported on </w:t>
      </w:r>
      <w:r>
        <w:rPr>
          <w:rFonts w:ascii="Times New Roman" w:hAnsi="Times New Roman"/>
          <w:i/>
          <w:sz w:val="24"/>
          <w:szCs w:val="24"/>
        </w:rPr>
        <w:t xml:space="preserve">Reporting Form ARF 720.3 ABS/RBA Intra-group Assets and Liabilities </w:t>
      </w:r>
      <w:r>
        <w:rPr>
          <w:rFonts w:ascii="Times New Roman" w:hAnsi="Times New Roman"/>
          <w:sz w:val="24"/>
          <w:szCs w:val="24"/>
        </w:rPr>
        <w:t>(ARF 720.3)</w:t>
      </w:r>
      <w:r>
        <w:rPr>
          <w:rFonts w:ascii="Times New Roman" w:hAnsi="Times New Roman"/>
          <w:i/>
          <w:sz w:val="24"/>
          <w:szCs w:val="24"/>
        </w:rPr>
        <w:t xml:space="preserve">.  </w:t>
      </w:r>
    </w:p>
    <w:p w:rsidR="00086CE5" w:rsidRPr="00040594" w:rsidRDefault="00086CE5" w:rsidP="00086CE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Data for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="006062C3"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7F4E77">
        <w:rPr>
          <w:rFonts w:ascii="Times New Roman" w:hAnsi="Times New Roman"/>
          <w:sz w:val="24"/>
          <w:szCs w:val="24"/>
        </w:rPr>
        <w:t xml:space="preserve"> are collected separately. Note that this treatment differs from </w:t>
      </w:r>
      <w:r>
        <w:rPr>
          <w:rFonts w:ascii="Times New Roman" w:hAnsi="Times New Roman"/>
          <w:i/>
          <w:sz w:val="24"/>
          <w:szCs w:val="24"/>
        </w:rPr>
        <w:t xml:space="preserve">Reporting Form </w:t>
      </w:r>
      <w:r w:rsidRPr="00F82EAA">
        <w:rPr>
          <w:rFonts w:ascii="Times New Roman" w:hAnsi="Times New Roman"/>
          <w:i/>
          <w:sz w:val="24"/>
          <w:szCs w:val="24"/>
        </w:rPr>
        <w:t>ARF 720.0</w:t>
      </w:r>
      <w:r>
        <w:rPr>
          <w:rFonts w:ascii="Times New Roman" w:hAnsi="Times New Roman"/>
          <w:i/>
          <w:sz w:val="24"/>
          <w:szCs w:val="24"/>
        </w:rPr>
        <w:t>A/B Statement of Financial Position (</w:t>
      </w:r>
      <w:r w:rsidR="00A45809">
        <w:rPr>
          <w:rFonts w:ascii="Times New Roman" w:hAnsi="Times New Roman"/>
          <w:i/>
          <w:sz w:val="24"/>
          <w:szCs w:val="24"/>
        </w:rPr>
        <w:t>Standard</w:t>
      </w:r>
      <w:r>
        <w:rPr>
          <w:rFonts w:ascii="Times New Roman" w:hAnsi="Times New Roman"/>
          <w:i/>
          <w:sz w:val="24"/>
          <w:szCs w:val="24"/>
        </w:rPr>
        <w:t>)/(</w:t>
      </w:r>
      <w:r w:rsidR="00A45809">
        <w:rPr>
          <w:rFonts w:ascii="Times New Roman" w:hAnsi="Times New Roman"/>
          <w:i/>
          <w:sz w:val="24"/>
          <w:szCs w:val="24"/>
        </w:rPr>
        <w:t>Reduced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(ARF 720.0A/B)</w:t>
      </w:r>
      <w:r>
        <w:rPr>
          <w:rFonts w:ascii="Times New Roman" w:hAnsi="Times New Roman"/>
          <w:i/>
          <w:sz w:val="24"/>
          <w:szCs w:val="24"/>
        </w:rPr>
        <w:t>,</w:t>
      </w:r>
      <w:r w:rsidRPr="00AB4984">
        <w:rPr>
          <w:rFonts w:ascii="Arial" w:hAnsi="Arial" w:cs="Arial"/>
          <w:b/>
          <w:i/>
          <w:sz w:val="40"/>
          <w:szCs w:val="40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where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7F4E77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b/>
          <w:i/>
          <w:sz w:val="24"/>
          <w:szCs w:val="24"/>
        </w:rPr>
        <w:t>non-residents</w:t>
      </w:r>
      <w:r w:rsidRPr="007F4E77">
        <w:rPr>
          <w:rFonts w:ascii="Times New Roman" w:hAnsi="Times New Roman"/>
          <w:sz w:val="24"/>
          <w:szCs w:val="24"/>
        </w:rPr>
        <w:t xml:space="preserve"> are not separately identified.  </w:t>
      </w:r>
    </w:p>
    <w:p w:rsidR="00086CE5" w:rsidRPr="005F409E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>Values</w:t>
      </w:r>
    </w:p>
    <w:p w:rsidR="00086CE5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all items on the </w:t>
      </w:r>
      <w:r w:rsidR="00023588">
        <w:rPr>
          <w:rFonts w:ascii="Times New Roman" w:hAnsi="Times New Roman"/>
          <w:sz w:val="24"/>
          <w:szCs w:val="24"/>
        </w:rPr>
        <w:t>ARF 720.2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accordance with Australian Accounting Standards unless otherwise specified.  </w:t>
      </w:r>
    </w:p>
    <w:p w:rsidR="00086CE5" w:rsidRPr="00040594" w:rsidRDefault="00086CE5" w:rsidP="00086CE5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monetary amounts on </w:t>
      </w:r>
      <w:r w:rsidR="00023588">
        <w:rPr>
          <w:rFonts w:ascii="Times New Roman" w:hAnsi="Times New Roman"/>
          <w:sz w:val="24"/>
          <w:szCs w:val="24"/>
        </w:rPr>
        <w:t>ARF 720.2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Australian dollars or the Australian dollar equivalent of the foreign currency. </w:t>
      </w:r>
      <w:r w:rsidR="00007EB6">
        <w:rPr>
          <w:rFonts w:ascii="Times New Roman" w:hAnsi="Times New Roman"/>
          <w:sz w:val="24"/>
          <w:szCs w:val="24"/>
        </w:rPr>
        <w:t>Convert a</w:t>
      </w:r>
      <w:r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BF07D1">
        <w:rPr>
          <w:rFonts w:ascii="Times New Roman" w:hAnsi="Times New Roman"/>
          <w:sz w:val="24"/>
          <w:szCs w:val="24"/>
        </w:rPr>
        <w:t>AASB 121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86CE5" w:rsidRPr="00AB4984" w:rsidRDefault="00086CE5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on ARF 720.2B are to be reported </w:t>
      </w:r>
      <w:r w:rsidR="00F4583D">
        <w:rPr>
          <w:rFonts w:ascii="Times New Roman" w:hAnsi="Times New Roman"/>
          <w:sz w:val="24"/>
          <w:szCs w:val="24"/>
        </w:rPr>
        <w:t>in whole</w:t>
      </w:r>
      <w:r>
        <w:rPr>
          <w:rFonts w:ascii="Times New Roman" w:hAnsi="Times New Roman"/>
          <w:sz w:val="24"/>
          <w:szCs w:val="24"/>
        </w:rPr>
        <w:t xml:space="preserve"> dollars for </w:t>
      </w:r>
      <w:r w:rsidRPr="00115DF2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sz w:val="24"/>
          <w:szCs w:val="24"/>
        </w:rPr>
        <w:t xml:space="preserve"> </w:t>
      </w:r>
      <w:r w:rsidR="006062C3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DF2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86CE5" w:rsidRPr="005F409E" w:rsidRDefault="00086CE5" w:rsidP="00086CE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5F409E">
        <w:rPr>
          <w:rFonts w:ascii="Arial" w:hAnsi="Arial" w:cs="Arial"/>
          <w:b/>
          <w:sz w:val="24"/>
          <w:szCs w:val="32"/>
        </w:rPr>
        <w:t>Standard Business Reporting (SBR)</w:t>
      </w:r>
    </w:p>
    <w:p w:rsidR="00086CE5" w:rsidRDefault="00086CE5" w:rsidP="00086CE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items on </w:t>
      </w:r>
      <w:r w:rsidRPr="00766229">
        <w:rPr>
          <w:rFonts w:ascii="Times New Roman" w:hAnsi="Times New Roman"/>
          <w:sz w:val="24"/>
          <w:szCs w:val="24"/>
        </w:rPr>
        <w:t>ARF 7</w:t>
      </w:r>
      <w:r>
        <w:rPr>
          <w:rFonts w:ascii="Times New Roman" w:hAnsi="Times New Roman"/>
          <w:sz w:val="24"/>
          <w:szCs w:val="24"/>
        </w:rPr>
        <w:t>20</w:t>
      </w:r>
      <w:r w:rsidRPr="00766229">
        <w:rPr>
          <w:rFonts w:ascii="Times New Roman" w:hAnsi="Times New Roman"/>
          <w:sz w:val="24"/>
          <w:szCs w:val="24"/>
        </w:rPr>
        <w:t>.</w:t>
      </w:r>
      <w:r w:rsidR="000235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B</w:t>
      </w:r>
      <w:r w:rsidRPr="00BF0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accounting type of credit</w:t>
      </w:r>
      <w:r w:rsidRPr="00BF07D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liabilities). The accounting type (i.e. credit or debit) applies to all monetary items and represents the natural accounting </w:t>
      </w:r>
      <w:r w:rsidRPr="00BF07D1">
        <w:rPr>
          <w:rFonts w:ascii="Times New Roman" w:hAnsi="Times New Roman"/>
          <w:sz w:val="24"/>
          <w:szCs w:val="24"/>
        </w:rPr>
        <w:t xml:space="preserve">treatment </w:t>
      </w:r>
      <w:r>
        <w:rPr>
          <w:rFonts w:ascii="Times New Roman" w:hAnsi="Times New Roman"/>
          <w:sz w:val="24"/>
          <w:szCs w:val="24"/>
        </w:rPr>
        <w:t>of the item collected.</w:t>
      </w:r>
    </w:p>
    <w:p w:rsidR="00056080" w:rsidRPr="00AB4984" w:rsidRDefault="00056080" w:rsidP="00382B00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572EDD">
        <w:rPr>
          <w:rFonts w:ascii="Arial" w:hAnsi="Arial" w:cs="Arial"/>
          <w:b/>
          <w:sz w:val="32"/>
          <w:szCs w:val="32"/>
        </w:rPr>
        <w:t xml:space="preserve"> </w:t>
      </w:r>
    </w:p>
    <w:p w:rsidR="00056080" w:rsidRPr="00AB4984" w:rsidRDefault="00056080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23414E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ARS </w:t>
      </w:r>
      <w:r w:rsidR="00472F9F">
        <w:rPr>
          <w:rFonts w:ascii="Times New Roman" w:hAnsi="Times New Roman"/>
          <w:sz w:val="24"/>
          <w:szCs w:val="24"/>
        </w:rPr>
        <w:t>7</w:t>
      </w:r>
      <w:r w:rsidRPr="00AB4984">
        <w:rPr>
          <w:rFonts w:ascii="Times New Roman" w:hAnsi="Times New Roman"/>
          <w:sz w:val="24"/>
          <w:szCs w:val="24"/>
        </w:rPr>
        <w:t>01</w:t>
      </w:r>
      <w:r w:rsidR="00472F9F">
        <w:rPr>
          <w:rFonts w:ascii="Times New Roman" w:hAnsi="Times New Roman"/>
          <w:sz w:val="24"/>
          <w:szCs w:val="24"/>
        </w:rPr>
        <w:t>.0</w:t>
      </w:r>
      <w:r w:rsidR="00572EDD">
        <w:rPr>
          <w:rFonts w:ascii="Times New Roman" w:hAnsi="Times New Roman"/>
          <w:sz w:val="24"/>
          <w:szCs w:val="24"/>
        </w:rPr>
        <w:t xml:space="preserve">.  </w:t>
      </w:r>
    </w:p>
    <w:p w:rsidR="00056080" w:rsidRPr="00AB4984" w:rsidRDefault="00056080" w:rsidP="00B83893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</w:t>
      </w:r>
      <w:r w:rsidR="00572EDD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sz w:val="24"/>
          <w:szCs w:val="24"/>
        </w:rPr>
        <w:t xml:space="preserve">are explained in words as a mathematical expression in these instructions.  </w:t>
      </w:r>
    </w:p>
    <w:p w:rsidR="00056080" w:rsidRPr="00AB4984" w:rsidRDefault="00056080" w:rsidP="00B83893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1A07E8">
        <w:rPr>
          <w:rFonts w:ascii="Times New Roman" w:hAnsi="Times New Roman"/>
          <w:sz w:val="24"/>
          <w:szCs w:val="24"/>
        </w:rPr>
        <w:t>must</w:t>
      </w:r>
      <w:r w:rsidR="001A07E8"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sz w:val="24"/>
          <w:szCs w:val="24"/>
        </w:rPr>
        <w:t xml:space="preserve">not be taken as an exhaustive list of items to be included or excluded.  </w:t>
      </w:r>
    </w:p>
    <w:p w:rsidR="00056080" w:rsidRPr="00AB4984" w:rsidRDefault="00056080" w:rsidP="00382B00">
      <w:pPr>
        <w:numPr>
          <w:ilvl w:val="6"/>
          <w:numId w:val="22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deposit</w:t>
      </w:r>
      <w:r w:rsidR="00E7027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07D1" w:rsidRPr="00BF07D1" w:rsidRDefault="00056080" w:rsidP="00B8389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Item 1 collects information on the value of </w:t>
      </w:r>
      <w:r>
        <w:rPr>
          <w:rFonts w:ascii="Times New Roman" w:hAnsi="Times New Roman"/>
          <w:b/>
          <w:i/>
          <w:sz w:val="24"/>
          <w:szCs w:val="24"/>
        </w:rPr>
        <w:t>deposits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 xml:space="preserve">counterparty of the depositor and type of </w:t>
      </w:r>
      <w:r>
        <w:rPr>
          <w:rFonts w:ascii="Times New Roman" w:hAnsi="Times New Roman"/>
          <w:b/>
          <w:i/>
          <w:sz w:val="24"/>
          <w:szCs w:val="24"/>
        </w:rPr>
        <w:t xml:space="preserve">deposit </w:t>
      </w:r>
      <w:r>
        <w:rPr>
          <w:rFonts w:ascii="Times New Roman" w:hAnsi="Times New Roman"/>
          <w:sz w:val="24"/>
          <w:szCs w:val="24"/>
        </w:rPr>
        <w:t>account</w:t>
      </w:r>
      <w:r w:rsidR="00BF07D1" w:rsidRPr="00D118CA">
        <w:rPr>
          <w:rFonts w:ascii="Times New Roman" w:hAnsi="Times New Roman"/>
          <w:sz w:val="24"/>
          <w:szCs w:val="24"/>
        </w:rPr>
        <w:t>.</w:t>
      </w:r>
      <w:r w:rsidR="00BF07D1">
        <w:rPr>
          <w:rFonts w:ascii="Times New Roman" w:hAnsi="Times New Roman"/>
          <w:b/>
          <w:i/>
          <w:sz w:val="24"/>
          <w:szCs w:val="24"/>
        </w:rPr>
        <w:t xml:space="preserve"> 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4984">
              <w:rPr>
                <w:rFonts w:ascii="Times New Roman" w:hAnsi="Times New Roman"/>
                <w:b/>
                <w:sz w:val="24"/>
                <w:szCs w:val="24"/>
              </w:rPr>
              <w:t xml:space="preserve">Column 1 </w:t>
            </w:r>
          </w:p>
        </w:tc>
        <w:tc>
          <w:tcPr>
            <w:tcW w:w="7370" w:type="dxa"/>
            <w:shd w:val="clear" w:color="auto" w:fill="auto"/>
          </w:tcPr>
          <w:p w:rsidR="00056080" w:rsidRPr="00382B0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the value 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transaction deposit</w:t>
            </w:r>
            <w:r w:rsidR="006062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F82EAA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2</w:t>
            </w: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472F9F">
              <w:rPr>
                <w:rFonts w:ascii="Times New Roman" w:hAnsi="Times New Roman"/>
                <w:b/>
                <w:i/>
                <w:sz w:val="24"/>
                <w:szCs w:val="24"/>
              </w:rPr>
              <w:t>fixed</w:t>
            </w:r>
            <w:r w:rsidR="00E70275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term deposit</w:t>
            </w:r>
            <w:r w:rsidR="006062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="00382B0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F82EAA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3</w:t>
            </w: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/>
                <w:i/>
                <w:sz w:val="24"/>
                <w:szCs w:val="24"/>
              </w:rPr>
              <w:t>non-transaction deposit</w:t>
            </w:r>
            <w:r w:rsidR="006062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>balances</w:t>
            </w:r>
            <w:r w:rsidR="00382B0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56080" w:rsidRDefault="00F82EAA" w:rsidP="00A8330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Column 4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</w:tcPr>
          <w:p w:rsidR="00056080" w:rsidRPr="007656CC" w:rsidRDefault="00056080" w:rsidP="0096605E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Pr="00CD27BA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6062C3">
              <w:rPr>
                <w:rFonts w:ascii="Times New Roman" w:hAnsi="Times New Roman"/>
                <w:bCs/>
                <w:sz w:val="24"/>
                <w:szCs w:val="24"/>
              </w:rPr>
              <w:t xml:space="preserve"> balances</w:t>
            </w:r>
            <w:r w:rsidRPr="007656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080" w:rsidRPr="0065494C" w:rsidRDefault="00F82EAA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Column 4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 is a derived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080">
              <w:rPr>
                <w:rFonts w:ascii="Times New Roman" w:hAnsi="Times New Roman"/>
                <w:sz w:val="24"/>
                <w:szCs w:val="24"/>
              </w:rPr>
              <w:t>column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.  Report the value of total </w:t>
            </w:r>
            <w:r w:rsidR="00056080"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="00056080"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column </w:t>
            </w:r>
            <w:r w:rsidR="00E70275">
              <w:rPr>
                <w:rFonts w:ascii="Times New Roman" w:hAnsi="Times New Roman"/>
                <w:sz w:val="24"/>
                <w:szCs w:val="24"/>
              </w:rPr>
              <w:t>4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 w:rsidR="0005608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to 3 inclusive.</w:t>
            </w:r>
            <w:r w:rsidR="00056080"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56080" w:rsidRPr="00AB4984" w:rsidRDefault="00056080" w:rsidP="008212A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0"/>
      </w:tblGrid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0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650C8C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056080" w:rsidRDefault="00056080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Item 1 is a derived item.  Report the value of total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in item 1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1.2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83C03" w:rsidRPr="00283C03" w:rsidRDefault="000E1704" w:rsidP="00A8330F">
            <w:pPr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column 4, item 1 </w:t>
            </w:r>
            <w:r w:rsidR="00220F5F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>
              <w:rPr>
                <w:rFonts w:ascii="Times New Roman" w:hAnsi="Times New Roman"/>
                <w:sz w:val="24"/>
                <w:szCs w:val="24"/>
              </w:rPr>
              <w:t>equal</w:t>
            </w:r>
            <w:r w:rsidR="00A4333F">
              <w:rPr>
                <w:rFonts w:ascii="Times New Roman" w:hAnsi="Times New Roman"/>
                <w:sz w:val="24"/>
                <w:szCs w:val="24"/>
              </w:rPr>
              <w:t>s</w:t>
            </w:r>
            <w:r w:rsidR="00DA2157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reported in item 14 on </w:t>
            </w:r>
            <w:r w:rsidRPr="00BF07D1">
              <w:rPr>
                <w:rFonts w:ascii="Times New Roman" w:hAnsi="Times New Roman"/>
                <w:sz w:val="24"/>
                <w:szCs w:val="24"/>
              </w:rPr>
              <w:t>ARF 720.0</w:t>
            </w:r>
            <w:r w:rsidR="00572EDD">
              <w:rPr>
                <w:rFonts w:ascii="Times New Roman" w:hAnsi="Times New Roman"/>
                <w:sz w:val="24"/>
                <w:szCs w:val="24"/>
              </w:rPr>
              <w:t>A/B</w:t>
            </w:r>
            <w:r w:rsidR="00283C03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1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0B6B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6080" w:rsidRDefault="00056080" w:rsidP="00A8330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  <w:r w:rsidR="00804088">
              <w:rPr>
                <w:rFonts w:ascii="Times New Roman" w:hAnsi="Times New Roman"/>
                <w:sz w:val="24"/>
                <w:szCs w:val="24"/>
              </w:rPr>
              <w:t>, 1.1.2, 1.1.3, 1.1.4 and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1.1.5.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0B6B87" w:rsidDel="002408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households</w:t>
            </w:r>
            <w:r w:rsidRPr="007656C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1822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offset accounts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linked to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1822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value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 xml:space="preserve">of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etirement savings accounts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tem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41822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0B3A8F"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AA1D3C">
              <w:rPr>
                <w:rFonts w:ascii="Times New Roman" w:hAnsi="Times New Roman"/>
                <w:bCs/>
                <w:sz w:val="24"/>
                <w:szCs w:val="24"/>
              </w:rPr>
              <w:t xml:space="preserve">value </w:t>
            </w:r>
            <w:r w:rsidR="000B3A8F">
              <w:rPr>
                <w:rFonts w:ascii="Times New Roman" w:hAnsi="Times New Roman"/>
                <w:bCs/>
                <w:sz w:val="24"/>
                <w:szCs w:val="24"/>
              </w:rPr>
              <w:t>that is</w:t>
            </w:r>
            <w:r w:rsidRPr="00AA1D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non-interest</w:t>
            </w:r>
            <w:r w:rsidR="00E702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650C8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bearing</w:t>
            </w:r>
            <w:r w:rsidRPr="00CD27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ommunity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ervice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rganisations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on-financial businesses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056080" w:rsidRPr="0065494C" w:rsidRDefault="00056080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1.1.3.1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>5</w:t>
            </w:r>
            <w:r w:rsidR="00804088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55702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non-financial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private non-financial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rivate unincorporated businesses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062C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state, territory and local government non-financial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overnment non-financial corporations</w:t>
            </w:r>
            <w:r w:rsidRPr="0006492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general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government</w:t>
            </w:r>
            <w:r w:rsidRPr="0006492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056080" w:rsidRPr="0065494C" w:rsidRDefault="00056080" w:rsidP="00A8330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 1.1.4.1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item 1.1.4.2.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tate, territory and loca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 general government</w:t>
            </w:r>
            <w:r w:rsidR="00824AA4"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Commonwealth general government</w:t>
            </w:r>
            <w:r w:rsidR="00824AA4" w:rsidRPr="00D118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2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financial institutions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6080" w:rsidRPr="0065494C" w:rsidRDefault="00056080" w:rsidP="00CA169D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984">
              <w:rPr>
                <w:rFonts w:ascii="Times New Roman" w:hAnsi="Times New Roman"/>
                <w:sz w:val="24"/>
                <w:szCs w:val="24"/>
              </w:rPr>
              <w:t>Item 1</w:t>
            </w:r>
            <w:r>
              <w:rPr>
                <w:rFonts w:ascii="Times New Roman" w:hAnsi="Times New Roman"/>
                <w:sz w:val="24"/>
                <w:szCs w:val="24"/>
              </w:rPr>
              <w:t>.1.5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is a derived item.  Report the 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deposits</w:t>
            </w:r>
            <w:r w:rsidRPr="00AB498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in item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EC67D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1.1.5.1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30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CA169D">
              <w:rPr>
                <w:rFonts w:ascii="Times New Roman" w:hAnsi="Times New Roman"/>
                <w:sz w:val="24"/>
                <w:szCs w:val="24"/>
              </w:rPr>
              <w:t>1.1.5.13</w:t>
            </w:r>
            <w:r w:rsidR="00EC67D8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RBA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CA169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CA16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ADIs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egistered financial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entral borrowing authorities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ife insurance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insurance corporations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0B3A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elf-managed superannuation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B41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ther superannuation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financial auxiliaries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securitisers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oney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investment funds</w:t>
            </w:r>
            <w:r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82B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on-money</w:t>
            </w:r>
            <w:r w:rsid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="00824AA4"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financial investment funds</w:t>
            </w:r>
            <w:r w:rsidR="00BF07D1" w:rsidRPr="00D118C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BF07D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3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deposit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>by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financial institutions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n.e.c</w:t>
            </w:r>
            <w:r w:rsidRPr="00D118C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24AA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56080" w:rsidRPr="00AB4984" w:rsidTr="00056080">
        <w:tc>
          <w:tcPr>
            <w:tcW w:w="1701" w:type="dxa"/>
            <w:shd w:val="clear" w:color="auto" w:fill="auto"/>
          </w:tcPr>
          <w:p w:rsidR="00056080" w:rsidRPr="00AB4984" w:rsidRDefault="00056080" w:rsidP="00A8330F">
            <w:pPr>
              <w:numPr>
                <w:ilvl w:val="1"/>
                <w:numId w:val="29"/>
              </w:num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shd w:val="clear" w:color="auto" w:fill="auto"/>
          </w:tcPr>
          <w:p w:rsidR="00056080" w:rsidRPr="007656CC" w:rsidRDefault="00056080" w:rsidP="00A833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deposit</w:t>
            </w:r>
            <w:r w:rsidR="00F528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656CC">
              <w:rPr>
                <w:rFonts w:ascii="Times New Roman" w:hAnsi="Times New Roman"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</w:t>
            </w:r>
            <w:r w:rsidRPr="007656C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382B0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56080" w:rsidRPr="00AB4984" w:rsidRDefault="00056080" w:rsidP="008212A3">
      <w:pPr>
        <w:pStyle w:val="Heading2"/>
      </w:pPr>
    </w:p>
    <w:sectPr w:rsidR="00056080" w:rsidRPr="00AB4984" w:rsidSect="00086CE5">
      <w:footerReference w:type="default" r:id="rId24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FC" w:rsidRDefault="00F110FC" w:rsidP="00054C93">
      <w:r>
        <w:separator/>
      </w:r>
    </w:p>
  </w:endnote>
  <w:endnote w:type="continuationSeparator" w:id="0">
    <w:p w:rsidR="00F110FC" w:rsidRDefault="00F110FC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80" w:rsidRPr="00045B98" w:rsidRDefault="0005608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5B" w:rsidRPr="00045B98" w:rsidRDefault="006C175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040594">
      <w:rPr>
        <w:rFonts w:ascii="Times New Roman" w:hAnsi="Times New Roman"/>
        <w:sz w:val="24"/>
        <w:szCs w:val="24"/>
        <w:lang w:val="en-AU"/>
      </w:rPr>
      <w:t>A</w:t>
    </w:r>
    <w:r w:rsidRPr="00040594">
      <w:rPr>
        <w:rFonts w:ascii="Times New Roman" w:hAnsi="Times New Roman"/>
        <w:sz w:val="24"/>
        <w:szCs w:val="24"/>
      </w:rPr>
      <w:t>R</w:t>
    </w:r>
    <w:r w:rsidRPr="00040594">
      <w:rPr>
        <w:rFonts w:ascii="Times New Roman" w:hAnsi="Times New Roman"/>
        <w:sz w:val="24"/>
        <w:szCs w:val="24"/>
        <w:lang w:val="en-AU"/>
      </w:rPr>
      <w:t>S</w:t>
    </w:r>
    <w:r w:rsidRPr="00040594">
      <w:rPr>
        <w:rFonts w:ascii="Times New Roman" w:hAnsi="Times New Roman"/>
        <w:sz w:val="24"/>
        <w:szCs w:val="24"/>
      </w:rPr>
      <w:t xml:space="preserve"> </w:t>
    </w:r>
    <w:r w:rsidRPr="00040594">
      <w:rPr>
        <w:rFonts w:ascii="Times New Roman" w:hAnsi="Times New Roman"/>
        <w:sz w:val="24"/>
        <w:szCs w:val="24"/>
        <w:lang w:val="en-AU"/>
      </w:rPr>
      <w:t>720.2</w:t>
    </w:r>
    <w:r w:rsidRPr="00040594">
      <w:rPr>
        <w:rFonts w:ascii="Times New Roman" w:hAnsi="Times New Roman"/>
        <w:sz w:val="24"/>
        <w:szCs w:val="24"/>
      </w:rPr>
      <w:t xml:space="preserve"> </w:t>
    </w:r>
    <w:r w:rsidRPr="005D1CAB">
      <w:rPr>
        <w:rFonts w:ascii="Times New Roman" w:hAnsi="Times New Roman"/>
        <w:sz w:val="24"/>
        <w:szCs w:val="24"/>
      </w:rPr>
      <w:t>-</w:t>
    </w:r>
    <w:r w:rsidRPr="00F750F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1462E6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80" w:rsidRDefault="0005608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056080" w:rsidRPr="00045B98" w:rsidRDefault="0005608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720.2</w:t>
    </w:r>
    <w:r w:rsidR="00F22950">
      <w:rPr>
        <w:rFonts w:ascii="Times New Roman" w:hAnsi="Times New Roman"/>
        <w:sz w:val="24"/>
        <w:szCs w:val="24"/>
        <w:lang w:val="en-AU"/>
      </w:rPr>
      <w:t>A</w:t>
    </w:r>
    <w:r w:rsidR="00D82542"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1462E6"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B57" w:rsidRPr="00045B98" w:rsidRDefault="00394B57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720.2</w:t>
    </w:r>
    <w:r w:rsidR="00086CE5">
      <w:rPr>
        <w:rFonts w:ascii="Times New Roman" w:hAnsi="Times New Roman"/>
        <w:sz w:val="24"/>
        <w:szCs w:val="24"/>
        <w:lang w:val="en-AU"/>
      </w:rPr>
      <w:t>A</w:t>
    </w:r>
    <w:r>
      <w:rPr>
        <w:rFonts w:ascii="Times New Roman" w:hAnsi="Times New Roman"/>
        <w:sz w:val="24"/>
        <w:szCs w:val="24"/>
        <w:lang w:val="en-AU"/>
      </w:rPr>
      <w:t xml:space="preserve">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1462E6"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50" w:rsidRDefault="00F2295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F22950" w:rsidRPr="00045B98" w:rsidRDefault="00F22950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720.2</w:t>
    </w:r>
    <w:r w:rsidR="00086CE5">
      <w:rPr>
        <w:rFonts w:ascii="Times New Roman" w:hAnsi="Times New Roman"/>
        <w:sz w:val="24"/>
        <w:szCs w:val="24"/>
        <w:lang w:val="en-AU"/>
      </w:rPr>
      <w:t xml:space="preserve">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1462E6"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92E" w:rsidRDefault="0006492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:rsidR="0006492E" w:rsidRPr="00045B98" w:rsidRDefault="0006492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720.2B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1462E6">
      <w:rPr>
        <w:rFonts w:ascii="Times New Roman" w:hAnsi="Times New Roman"/>
        <w:noProof/>
        <w:sz w:val="24"/>
        <w:szCs w:val="24"/>
      </w:rPr>
      <w:t>3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FC" w:rsidRDefault="00F110FC" w:rsidP="00054C93">
      <w:r>
        <w:separator/>
      </w:r>
    </w:p>
  </w:footnote>
  <w:footnote w:type="continuationSeparator" w:id="0">
    <w:p w:rsidR="00F110FC" w:rsidRDefault="00F110FC" w:rsidP="00054C93">
      <w:r>
        <w:continuationSeparator/>
      </w:r>
    </w:p>
  </w:footnote>
  <w:footnote w:id="1">
    <w:p w:rsidR="00574EB7" w:rsidRPr="00660CE8" w:rsidRDefault="00574EB7" w:rsidP="00574EB7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660CE8">
        <w:rPr>
          <w:rFonts w:ascii="Times New Roman" w:hAnsi="Times New Roman"/>
          <w:b/>
          <w:i/>
        </w:rPr>
        <w:t>APRA</w:t>
      </w:r>
      <w:r w:rsidRPr="00660CE8">
        <w:rPr>
          <w:rFonts w:ascii="Times New Roman" w:hAnsi="Times New Roman"/>
        </w:rPr>
        <w:t xml:space="preserve"> may exempt an</w:t>
      </w:r>
      <w:r w:rsidRPr="00660CE8">
        <w:rPr>
          <w:rFonts w:ascii="Times New Roman" w:hAnsi="Times New Roman"/>
          <w:b/>
          <w:i/>
        </w:rPr>
        <w:t xml:space="preserve"> ADI</w:t>
      </w:r>
      <w:r w:rsidRPr="00660CE8">
        <w:rPr>
          <w:rFonts w:ascii="Times New Roman" w:hAnsi="Times New Roman"/>
        </w:rPr>
        <w:t xml:space="preserve"> from providing information under this Reporting Standard on the condition that it provides other information required by this Reporting Standard. </w:t>
      </w:r>
      <w:r w:rsidRPr="00660CE8">
        <w:rPr>
          <w:rFonts w:ascii="Times New Roman" w:hAnsi="Times New Roman"/>
          <w:b/>
          <w:i/>
        </w:rPr>
        <w:t>APRA</w:t>
      </w:r>
      <w:r w:rsidRPr="00660CE8">
        <w:rPr>
          <w:rFonts w:ascii="Times New Roman" w:hAnsi="Times New Roman"/>
        </w:rPr>
        <w:t xml:space="preserve"> may exercise this discretion to ensure the information collected continues to accord with the Purpose.</w:t>
      </w:r>
    </w:p>
    <w:p w:rsidR="00574EB7" w:rsidRPr="00660CE8" w:rsidRDefault="00574EB7" w:rsidP="00574EB7">
      <w:pPr>
        <w:pStyle w:val="FootnoteText"/>
        <w:rPr>
          <w:rFonts w:ascii="Times New Roman" w:hAnsi="Times New Roman"/>
        </w:rPr>
      </w:pPr>
    </w:p>
    <w:p w:rsidR="00574EB7" w:rsidRPr="000538FD" w:rsidRDefault="00574EB7" w:rsidP="00574EB7">
      <w:pPr>
        <w:pStyle w:val="FootnoteText"/>
        <w:rPr>
          <w:lang w:val="en-AU"/>
        </w:rPr>
      </w:pPr>
      <w:r w:rsidRPr="00660CE8">
        <w:rPr>
          <w:rFonts w:ascii="Times New Roman" w:hAnsi="Times New Roman"/>
        </w:rPr>
        <w:t xml:space="preserve">For example, APRA may exempt an </w:t>
      </w:r>
      <w:r w:rsidRPr="00660CE8">
        <w:rPr>
          <w:rFonts w:ascii="Times New Roman" w:hAnsi="Times New Roman"/>
          <w:b/>
          <w:i/>
        </w:rPr>
        <w:t>ADI</w:t>
      </w:r>
      <w:r w:rsidRPr="00660CE8">
        <w:rPr>
          <w:rFonts w:ascii="Times New Roman" w:hAnsi="Times New Roman"/>
        </w:rPr>
        <w:t xml:space="preserve">, under paragraph 16(1)(b) of the </w:t>
      </w:r>
      <w:r w:rsidRPr="00780E3C">
        <w:rPr>
          <w:rFonts w:ascii="Times New Roman" w:hAnsi="Times New Roman"/>
          <w:i/>
        </w:rPr>
        <w:t>Financial Sector (Collection of Data) Act 2001</w:t>
      </w:r>
      <w:r w:rsidRPr="00660CE8">
        <w:rPr>
          <w:rFonts w:ascii="Times New Roman" w:hAnsi="Times New Roman"/>
        </w:rPr>
        <w:t>, from the requirement to provide information under ARF 720.</w:t>
      </w:r>
      <w:r w:rsidRPr="00660CE8">
        <w:rPr>
          <w:rFonts w:ascii="Times New Roman" w:hAnsi="Times New Roman"/>
          <w:lang w:val="en-AU"/>
        </w:rPr>
        <w:t>2</w:t>
      </w:r>
      <w:r w:rsidRPr="00660CE8">
        <w:rPr>
          <w:rFonts w:ascii="Times New Roman" w:hAnsi="Times New Roman"/>
        </w:rPr>
        <w:t>A, on the condition it provides information under ARF 720.</w:t>
      </w:r>
      <w:r w:rsidRPr="00660CE8">
        <w:rPr>
          <w:rFonts w:ascii="Times New Roman" w:hAnsi="Times New Roman"/>
          <w:lang w:val="en-AU"/>
        </w:rPr>
        <w:t>2</w:t>
      </w:r>
      <w:r w:rsidRPr="00660CE8">
        <w:rPr>
          <w:rFonts w:ascii="Times New Roman" w:hAnsi="Times New Roman"/>
        </w:rPr>
        <w:t>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80" w:rsidRPr="007F4E77" w:rsidRDefault="00056080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5B" w:rsidRPr="007F4E77" w:rsidRDefault="006C175B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February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4" w:rsidRPr="007F4E77" w:rsidRDefault="00DB5634" w:rsidP="00C6793F">
    <w:pPr>
      <w:pStyle w:val="Header"/>
      <w:tabs>
        <w:tab w:val="clear" w:pos="4513"/>
        <w:tab w:val="clear" w:pos="9026"/>
        <w:tab w:val="center" w:pos="6946"/>
        <w:tab w:val="right" w:pos="13892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  <w:r w:rsidR="00780E3C">
      <w:rPr>
        <w:rFonts w:ascii="Times New Roman" w:hAnsi="Times New Roman"/>
        <w:sz w:val="24"/>
        <w:szCs w:val="24"/>
        <w:lang w:val="en-AU"/>
      </w:rPr>
      <w:t>February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7A7B"/>
    <w:multiLevelType w:val="multilevel"/>
    <w:tmpl w:val="FD8C6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0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" w15:restartNumberingAfterBreak="0">
    <w:nsid w:val="0A3B1809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5D157B"/>
    <w:multiLevelType w:val="multilevel"/>
    <w:tmpl w:val="FD8C6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0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5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CCA"/>
    <w:multiLevelType w:val="multilevel"/>
    <w:tmpl w:val="47B43326"/>
    <w:numStyleLink w:val="D2Aformnumbering"/>
  </w:abstractNum>
  <w:abstractNum w:abstractNumId="7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0E31"/>
    <w:multiLevelType w:val="multilevel"/>
    <w:tmpl w:val="D7A448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2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0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10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FB571D"/>
    <w:multiLevelType w:val="hybridMultilevel"/>
    <w:tmpl w:val="B568CCCA"/>
    <w:lvl w:ilvl="0" w:tplc="730CED9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4278B"/>
    <w:multiLevelType w:val="hybridMultilevel"/>
    <w:tmpl w:val="6FF81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9728D"/>
    <w:multiLevelType w:val="multilevel"/>
    <w:tmpl w:val="47B43326"/>
    <w:numStyleLink w:val="D2Aformnumbering"/>
  </w:abstractNum>
  <w:abstractNum w:abstractNumId="15" w15:restartNumberingAfterBreak="0">
    <w:nsid w:val="2BED563E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16" w15:restartNumberingAfterBreak="0">
    <w:nsid w:val="32291551"/>
    <w:multiLevelType w:val="multilevel"/>
    <w:tmpl w:val="4A805F22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Item 1.1.5.%4.1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18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23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5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77396"/>
    <w:multiLevelType w:val="multilevel"/>
    <w:tmpl w:val="47B43326"/>
    <w:numStyleLink w:val="D2Aformnumbering"/>
  </w:abstractNum>
  <w:abstractNum w:abstractNumId="27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28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4A2F3D"/>
    <w:multiLevelType w:val="multilevel"/>
    <w:tmpl w:val="47B43326"/>
    <w:numStyleLink w:val="D2Aformnumbering"/>
  </w:abstractNum>
  <w:abstractNum w:abstractNumId="30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5B66CE"/>
    <w:multiLevelType w:val="hybridMultilevel"/>
    <w:tmpl w:val="990A7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3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FAB1621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25"/>
  </w:num>
  <w:num w:numId="5">
    <w:abstractNumId w:val="24"/>
  </w:num>
  <w:num w:numId="6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32"/>
  </w:num>
  <w:num w:numId="9">
    <w:abstractNumId w:val="7"/>
  </w:num>
  <w:num w:numId="10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27"/>
  </w:num>
  <w:num w:numId="13">
    <w:abstractNumId w:val="26"/>
  </w:num>
  <w:num w:numId="14">
    <w:abstractNumId w:val="22"/>
  </w:num>
  <w:num w:numId="15">
    <w:abstractNumId w:val="33"/>
  </w:num>
  <w:num w:numId="16">
    <w:abstractNumId w:val="18"/>
  </w:num>
  <w:num w:numId="17">
    <w:abstractNumId w:val="30"/>
  </w:num>
  <w:num w:numId="18">
    <w:abstractNumId w:val="17"/>
  </w:num>
  <w:num w:numId="19">
    <w:abstractNumId w:val="2"/>
  </w:num>
  <w:num w:numId="20">
    <w:abstractNumId w:val="12"/>
  </w:num>
  <w:num w:numId="21">
    <w:abstractNumId w:val="28"/>
  </w:num>
  <w:num w:numId="22">
    <w:abstractNumId w:val="16"/>
  </w:num>
  <w:num w:numId="23">
    <w:abstractNumId w:val="5"/>
  </w:num>
  <w:num w:numId="24">
    <w:abstractNumId w:val="8"/>
  </w:num>
  <w:num w:numId="25">
    <w:abstractNumId w:val="19"/>
  </w:num>
  <w:num w:numId="26">
    <w:abstractNumId w:val="21"/>
  </w:num>
  <w:num w:numId="27">
    <w:abstractNumId w:val="1"/>
  </w:num>
  <w:num w:numId="28">
    <w:abstractNumId w:val="31"/>
  </w:num>
  <w:num w:numId="29">
    <w:abstractNumId w:val="3"/>
  </w:num>
  <w:num w:numId="30">
    <w:abstractNumId w:val="34"/>
  </w:num>
  <w:num w:numId="31">
    <w:abstractNumId w:val="13"/>
  </w:num>
  <w:num w:numId="32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33">
    <w:abstractNumId w:val="0"/>
  </w:num>
  <w:num w:numId="34">
    <w:abstractNumId w:val="9"/>
  </w:num>
  <w:num w:numId="35">
    <w:abstractNumId w:val="29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hanging="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36">
    <w:abstractNumId w:val="15"/>
  </w:num>
  <w:num w:numId="37">
    <w:abstractNumId w:val="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93"/>
    <w:rsid w:val="00002653"/>
    <w:rsid w:val="00003E3C"/>
    <w:rsid w:val="00007500"/>
    <w:rsid w:val="00007EB6"/>
    <w:rsid w:val="00010EDD"/>
    <w:rsid w:val="000124FE"/>
    <w:rsid w:val="000154E9"/>
    <w:rsid w:val="00015BFF"/>
    <w:rsid w:val="00016C54"/>
    <w:rsid w:val="00021CC2"/>
    <w:rsid w:val="00023588"/>
    <w:rsid w:val="000243E2"/>
    <w:rsid w:val="00024E65"/>
    <w:rsid w:val="00030790"/>
    <w:rsid w:val="0003147A"/>
    <w:rsid w:val="000323F7"/>
    <w:rsid w:val="00033032"/>
    <w:rsid w:val="00033A92"/>
    <w:rsid w:val="00034ED5"/>
    <w:rsid w:val="000350EA"/>
    <w:rsid w:val="00036913"/>
    <w:rsid w:val="000372D1"/>
    <w:rsid w:val="00040147"/>
    <w:rsid w:val="00040594"/>
    <w:rsid w:val="00041673"/>
    <w:rsid w:val="00043807"/>
    <w:rsid w:val="000443E6"/>
    <w:rsid w:val="00044762"/>
    <w:rsid w:val="0004568A"/>
    <w:rsid w:val="00045B98"/>
    <w:rsid w:val="00047EFC"/>
    <w:rsid w:val="00051DD6"/>
    <w:rsid w:val="00051F2C"/>
    <w:rsid w:val="000533DB"/>
    <w:rsid w:val="000538FD"/>
    <w:rsid w:val="000547DD"/>
    <w:rsid w:val="00054C93"/>
    <w:rsid w:val="00056080"/>
    <w:rsid w:val="000610A4"/>
    <w:rsid w:val="00063A67"/>
    <w:rsid w:val="0006492E"/>
    <w:rsid w:val="00065EEB"/>
    <w:rsid w:val="00066DCD"/>
    <w:rsid w:val="00070A53"/>
    <w:rsid w:val="00075A37"/>
    <w:rsid w:val="00081BDA"/>
    <w:rsid w:val="00085E19"/>
    <w:rsid w:val="00086CE5"/>
    <w:rsid w:val="00086D15"/>
    <w:rsid w:val="00092B46"/>
    <w:rsid w:val="00095178"/>
    <w:rsid w:val="000952DD"/>
    <w:rsid w:val="000A09B6"/>
    <w:rsid w:val="000A1138"/>
    <w:rsid w:val="000A22CB"/>
    <w:rsid w:val="000A2490"/>
    <w:rsid w:val="000A398D"/>
    <w:rsid w:val="000A3CD6"/>
    <w:rsid w:val="000A5913"/>
    <w:rsid w:val="000B19F2"/>
    <w:rsid w:val="000B22C4"/>
    <w:rsid w:val="000B3A8F"/>
    <w:rsid w:val="000C0116"/>
    <w:rsid w:val="000C20B4"/>
    <w:rsid w:val="000C2175"/>
    <w:rsid w:val="000C2654"/>
    <w:rsid w:val="000C35FD"/>
    <w:rsid w:val="000C3BF6"/>
    <w:rsid w:val="000C51DB"/>
    <w:rsid w:val="000C59B9"/>
    <w:rsid w:val="000C75AD"/>
    <w:rsid w:val="000D2012"/>
    <w:rsid w:val="000D2A2D"/>
    <w:rsid w:val="000D3069"/>
    <w:rsid w:val="000D52A0"/>
    <w:rsid w:val="000D6FC4"/>
    <w:rsid w:val="000E03C9"/>
    <w:rsid w:val="000E0DC2"/>
    <w:rsid w:val="000E1704"/>
    <w:rsid w:val="000E21F0"/>
    <w:rsid w:val="000E5185"/>
    <w:rsid w:val="000E573E"/>
    <w:rsid w:val="000F1E54"/>
    <w:rsid w:val="000F2EAB"/>
    <w:rsid w:val="000F69EE"/>
    <w:rsid w:val="000F7039"/>
    <w:rsid w:val="000F76D1"/>
    <w:rsid w:val="000F7D64"/>
    <w:rsid w:val="001007BE"/>
    <w:rsid w:val="00101049"/>
    <w:rsid w:val="001013C4"/>
    <w:rsid w:val="001019F1"/>
    <w:rsid w:val="00101C0F"/>
    <w:rsid w:val="00102E6E"/>
    <w:rsid w:val="00106E8B"/>
    <w:rsid w:val="00107543"/>
    <w:rsid w:val="00107FE0"/>
    <w:rsid w:val="00110F7B"/>
    <w:rsid w:val="00112A37"/>
    <w:rsid w:val="00112C5B"/>
    <w:rsid w:val="0011363F"/>
    <w:rsid w:val="00114819"/>
    <w:rsid w:val="001148EE"/>
    <w:rsid w:val="00114AB5"/>
    <w:rsid w:val="0011562C"/>
    <w:rsid w:val="00115DF2"/>
    <w:rsid w:val="00116ECA"/>
    <w:rsid w:val="00117AF8"/>
    <w:rsid w:val="001204F6"/>
    <w:rsid w:val="00120E7B"/>
    <w:rsid w:val="0012377B"/>
    <w:rsid w:val="001246A0"/>
    <w:rsid w:val="00125A53"/>
    <w:rsid w:val="00126C09"/>
    <w:rsid w:val="00126CA5"/>
    <w:rsid w:val="0012775E"/>
    <w:rsid w:val="001358EF"/>
    <w:rsid w:val="00135C27"/>
    <w:rsid w:val="00143F88"/>
    <w:rsid w:val="001452E5"/>
    <w:rsid w:val="001462E6"/>
    <w:rsid w:val="00146C91"/>
    <w:rsid w:val="001505D1"/>
    <w:rsid w:val="00150CCF"/>
    <w:rsid w:val="00151135"/>
    <w:rsid w:val="00151BC8"/>
    <w:rsid w:val="0015213C"/>
    <w:rsid w:val="00154101"/>
    <w:rsid w:val="00156DB2"/>
    <w:rsid w:val="00160348"/>
    <w:rsid w:val="0016230C"/>
    <w:rsid w:val="00163140"/>
    <w:rsid w:val="0016495E"/>
    <w:rsid w:val="00171251"/>
    <w:rsid w:val="00177390"/>
    <w:rsid w:val="00177978"/>
    <w:rsid w:val="00182693"/>
    <w:rsid w:val="00182FA1"/>
    <w:rsid w:val="0018670F"/>
    <w:rsid w:val="00187213"/>
    <w:rsid w:val="0019029E"/>
    <w:rsid w:val="00191C91"/>
    <w:rsid w:val="00196F50"/>
    <w:rsid w:val="00197569"/>
    <w:rsid w:val="00197EB6"/>
    <w:rsid w:val="001A07E8"/>
    <w:rsid w:val="001A0F59"/>
    <w:rsid w:val="001A391D"/>
    <w:rsid w:val="001A79DB"/>
    <w:rsid w:val="001B224C"/>
    <w:rsid w:val="001B263B"/>
    <w:rsid w:val="001B281C"/>
    <w:rsid w:val="001B316F"/>
    <w:rsid w:val="001B5CAB"/>
    <w:rsid w:val="001B76FB"/>
    <w:rsid w:val="001C10D0"/>
    <w:rsid w:val="001C69A3"/>
    <w:rsid w:val="001C7904"/>
    <w:rsid w:val="001D1218"/>
    <w:rsid w:val="001D4482"/>
    <w:rsid w:val="001D6B38"/>
    <w:rsid w:val="001E0029"/>
    <w:rsid w:val="001E08FC"/>
    <w:rsid w:val="001E19FD"/>
    <w:rsid w:val="001E1DAA"/>
    <w:rsid w:val="001E20B2"/>
    <w:rsid w:val="001E465D"/>
    <w:rsid w:val="001E57F5"/>
    <w:rsid w:val="001E6CC6"/>
    <w:rsid w:val="001F0D8F"/>
    <w:rsid w:val="001F403B"/>
    <w:rsid w:val="001F5300"/>
    <w:rsid w:val="001F78BC"/>
    <w:rsid w:val="00201562"/>
    <w:rsid w:val="0020461D"/>
    <w:rsid w:val="00210D1D"/>
    <w:rsid w:val="00213E78"/>
    <w:rsid w:val="00214829"/>
    <w:rsid w:val="00220932"/>
    <w:rsid w:val="00220B8B"/>
    <w:rsid w:val="00220F5F"/>
    <w:rsid w:val="002220F3"/>
    <w:rsid w:val="002269D7"/>
    <w:rsid w:val="00227EBE"/>
    <w:rsid w:val="00231B4F"/>
    <w:rsid w:val="00232A15"/>
    <w:rsid w:val="0023334E"/>
    <w:rsid w:val="0023414E"/>
    <w:rsid w:val="002352E9"/>
    <w:rsid w:val="00236993"/>
    <w:rsid w:val="002409E5"/>
    <w:rsid w:val="00243624"/>
    <w:rsid w:val="00247A22"/>
    <w:rsid w:val="002577E5"/>
    <w:rsid w:val="00265931"/>
    <w:rsid w:val="00267EF8"/>
    <w:rsid w:val="0027000E"/>
    <w:rsid w:val="0027222C"/>
    <w:rsid w:val="00274333"/>
    <w:rsid w:val="002746A6"/>
    <w:rsid w:val="00276568"/>
    <w:rsid w:val="00276DDD"/>
    <w:rsid w:val="00280896"/>
    <w:rsid w:val="00280DFE"/>
    <w:rsid w:val="00282BF4"/>
    <w:rsid w:val="00283864"/>
    <w:rsid w:val="00283C03"/>
    <w:rsid w:val="002840E9"/>
    <w:rsid w:val="00286946"/>
    <w:rsid w:val="00287C7B"/>
    <w:rsid w:val="00287F8B"/>
    <w:rsid w:val="00290A85"/>
    <w:rsid w:val="0029123D"/>
    <w:rsid w:val="002912F4"/>
    <w:rsid w:val="002928A5"/>
    <w:rsid w:val="0029339F"/>
    <w:rsid w:val="00295D90"/>
    <w:rsid w:val="002A0B6A"/>
    <w:rsid w:val="002A4385"/>
    <w:rsid w:val="002A46AF"/>
    <w:rsid w:val="002A5E8E"/>
    <w:rsid w:val="002B0748"/>
    <w:rsid w:val="002B32DE"/>
    <w:rsid w:val="002B4478"/>
    <w:rsid w:val="002C1B0B"/>
    <w:rsid w:val="002C1B0F"/>
    <w:rsid w:val="002C1E1F"/>
    <w:rsid w:val="002C5188"/>
    <w:rsid w:val="002C5E95"/>
    <w:rsid w:val="002D0B07"/>
    <w:rsid w:val="002D16D4"/>
    <w:rsid w:val="002D16DA"/>
    <w:rsid w:val="002D18B2"/>
    <w:rsid w:val="002D27E5"/>
    <w:rsid w:val="002D2E92"/>
    <w:rsid w:val="002D3264"/>
    <w:rsid w:val="002D4C36"/>
    <w:rsid w:val="002E0397"/>
    <w:rsid w:val="002E0908"/>
    <w:rsid w:val="002E17B9"/>
    <w:rsid w:val="002E1C95"/>
    <w:rsid w:val="002E2A2D"/>
    <w:rsid w:val="002E601E"/>
    <w:rsid w:val="002E63EB"/>
    <w:rsid w:val="002E6781"/>
    <w:rsid w:val="002E71A2"/>
    <w:rsid w:val="002E733B"/>
    <w:rsid w:val="002F006A"/>
    <w:rsid w:val="002F2430"/>
    <w:rsid w:val="002F392F"/>
    <w:rsid w:val="002F4FF4"/>
    <w:rsid w:val="002F5AEC"/>
    <w:rsid w:val="002F5DD3"/>
    <w:rsid w:val="002F6A0F"/>
    <w:rsid w:val="0030160F"/>
    <w:rsid w:val="00303546"/>
    <w:rsid w:val="00307F75"/>
    <w:rsid w:val="0031406E"/>
    <w:rsid w:val="003144D6"/>
    <w:rsid w:val="00316591"/>
    <w:rsid w:val="003179BF"/>
    <w:rsid w:val="00324FE1"/>
    <w:rsid w:val="00325669"/>
    <w:rsid w:val="00327273"/>
    <w:rsid w:val="00331D83"/>
    <w:rsid w:val="003335D3"/>
    <w:rsid w:val="00336BAA"/>
    <w:rsid w:val="00337E17"/>
    <w:rsid w:val="00344003"/>
    <w:rsid w:val="003440AC"/>
    <w:rsid w:val="003461AA"/>
    <w:rsid w:val="003461EF"/>
    <w:rsid w:val="00346449"/>
    <w:rsid w:val="0034660D"/>
    <w:rsid w:val="00353862"/>
    <w:rsid w:val="00356B98"/>
    <w:rsid w:val="0035786A"/>
    <w:rsid w:val="00365C44"/>
    <w:rsid w:val="003666CC"/>
    <w:rsid w:val="00366973"/>
    <w:rsid w:val="0037044E"/>
    <w:rsid w:val="00371844"/>
    <w:rsid w:val="00372CAD"/>
    <w:rsid w:val="0037499D"/>
    <w:rsid w:val="003757CC"/>
    <w:rsid w:val="003758E0"/>
    <w:rsid w:val="0038205C"/>
    <w:rsid w:val="003823A5"/>
    <w:rsid w:val="00382B00"/>
    <w:rsid w:val="0038381F"/>
    <w:rsid w:val="00384C2A"/>
    <w:rsid w:val="0038760D"/>
    <w:rsid w:val="00390AD3"/>
    <w:rsid w:val="003916A1"/>
    <w:rsid w:val="003943CB"/>
    <w:rsid w:val="00394B57"/>
    <w:rsid w:val="00395940"/>
    <w:rsid w:val="003A224D"/>
    <w:rsid w:val="003A2952"/>
    <w:rsid w:val="003A2B1B"/>
    <w:rsid w:val="003A3EC5"/>
    <w:rsid w:val="003A3F9E"/>
    <w:rsid w:val="003A3FE3"/>
    <w:rsid w:val="003A6DD8"/>
    <w:rsid w:val="003A78E1"/>
    <w:rsid w:val="003B1182"/>
    <w:rsid w:val="003B4F52"/>
    <w:rsid w:val="003B5BE2"/>
    <w:rsid w:val="003C0CF4"/>
    <w:rsid w:val="003C2267"/>
    <w:rsid w:val="003C2C94"/>
    <w:rsid w:val="003C3DD1"/>
    <w:rsid w:val="003C5C9D"/>
    <w:rsid w:val="003C729B"/>
    <w:rsid w:val="003D04F3"/>
    <w:rsid w:val="003D0AE7"/>
    <w:rsid w:val="003D2EFF"/>
    <w:rsid w:val="003D5032"/>
    <w:rsid w:val="003D509B"/>
    <w:rsid w:val="003E0CF0"/>
    <w:rsid w:val="003E1FA0"/>
    <w:rsid w:val="003F2287"/>
    <w:rsid w:val="003F361F"/>
    <w:rsid w:val="003F38D8"/>
    <w:rsid w:val="003F3F71"/>
    <w:rsid w:val="003F45DF"/>
    <w:rsid w:val="003F51A1"/>
    <w:rsid w:val="003F6939"/>
    <w:rsid w:val="003F6C99"/>
    <w:rsid w:val="003F7A2F"/>
    <w:rsid w:val="00401EFB"/>
    <w:rsid w:val="00403DBC"/>
    <w:rsid w:val="00405EBB"/>
    <w:rsid w:val="004072D6"/>
    <w:rsid w:val="00414401"/>
    <w:rsid w:val="004159D3"/>
    <w:rsid w:val="00415E32"/>
    <w:rsid w:val="004215D9"/>
    <w:rsid w:val="00425E8F"/>
    <w:rsid w:val="00427587"/>
    <w:rsid w:val="00430819"/>
    <w:rsid w:val="0043082A"/>
    <w:rsid w:val="00430CF3"/>
    <w:rsid w:val="00432B87"/>
    <w:rsid w:val="00433159"/>
    <w:rsid w:val="00434569"/>
    <w:rsid w:val="00435790"/>
    <w:rsid w:val="00440A9F"/>
    <w:rsid w:val="00440E87"/>
    <w:rsid w:val="00441DF5"/>
    <w:rsid w:val="00443BD2"/>
    <w:rsid w:val="0044401C"/>
    <w:rsid w:val="00444548"/>
    <w:rsid w:val="004449C3"/>
    <w:rsid w:val="00450A8F"/>
    <w:rsid w:val="00452867"/>
    <w:rsid w:val="004539C9"/>
    <w:rsid w:val="004552DE"/>
    <w:rsid w:val="004552E0"/>
    <w:rsid w:val="004560F8"/>
    <w:rsid w:val="00457B5E"/>
    <w:rsid w:val="004620CD"/>
    <w:rsid w:val="00462924"/>
    <w:rsid w:val="00467A1C"/>
    <w:rsid w:val="00472F9F"/>
    <w:rsid w:val="00474953"/>
    <w:rsid w:val="0048225C"/>
    <w:rsid w:val="00482D12"/>
    <w:rsid w:val="004839A3"/>
    <w:rsid w:val="004901C7"/>
    <w:rsid w:val="004912D6"/>
    <w:rsid w:val="00492EC2"/>
    <w:rsid w:val="00494A12"/>
    <w:rsid w:val="00496353"/>
    <w:rsid w:val="004A0881"/>
    <w:rsid w:val="004A08BB"/>
    <w:rsid w:val="004A08D6"/>
    <w:rsid w:val="004A1685"/>
    <w:rsid w:val="004A652E"/>
    <w:rsid w:val="004B5230"/>
    <w:rsid w:val="004B7613"/>
    <w:rsid w:val="004C1508"/>
    <w:rsid w:val="004C2A9F"/>
    <w:rsid w:val="004C37B1"/>
    <w:rsid w:val="004C3D07"/>
    <w:rsid w:val="004C5BA4"/>
    <w:rsid w:val="004C71C9"/>
    <w:rsid w:val="004D01E6"/>
    <w:rsid w:val="004D06DF"/>
    <w:rsid w:val="004D0942"/>
    <w:rsid w:val="004D1C2D"/>
    <w:rsid w:val="004D351F"/>
    <w:rsid w:val="004E0281"/>
    <w:rsid w:val="004E295B"/>
    <w:rsid w:val="004E4209"/>
    <w:rsid w:val="004E5A2A"/>
    <w:rsid w:val="004E5ADC"/>
    <w:rsid w:val="004E74BD"/>
    <w:rsid w:val="004F0465"/>
    <w:rsid w:val="004F0698"/>
    <w:rsid w:val="004F372C"/>
    <w:rsid w:val="004F3F71"/>
    <w:rsid w:val="004F6B20"/>
    <w:rsid w:val="004F7786"/>
    <w:rsid w:val="0050171A"/>
    <w:rsid w:val="00501AC7"/>
    <w:rsid w:val="00502614"/>
    <w:rsid w:val="005042E6"/>
    <w:rsid w:val="005048B7"/>
    <w:rsid w:val="0050671E"/>
    <w:rsid w:val="00507EC4"/>
    <w:rsid w:val="00512761"/>
    <w:rsid w:val="005138ED"/>
    <w:rsid w:val="00513D8B"/>
    <w:rsid w:val="00514D2F"/>
    <w:rsid w:val="00515CE2"/>
    <w:rsid w:val="0051681B"/>
    <w:rsid w:val="00520FFA"/>
    <w:rsid w:val="00521AA9"/>
    <w:rsid w:val="0052285D"/>
    <w:rsid w:val="00522B3C"/>
    <w:rsid w:val="00524B40"/>
    <w:rsid w:val="005278EA"/>
    <w:rsid w:val="00532BDF"/>
    <w:rsid w:val="00533494"/>
    <w:rsid w:val="005368A8"/>
    <w:rsid w:val="005403F0"/>
    <w:rsid w:val="00541E50"/>
    <w:rsid w:val="00550E07"/>
    <w:rsid w:val="00551ED9"/>
    <w:rsid w:val="005542D4"/>
    <w:rsid w:val="00554C83"/>
    <w:rsid w:val="005557C3"/>
    <w:rsid w:val="00555CC4"/>
    <w:rsid w:val="0055702C"/>
    <w:rsid w:val="00563539"/>
    <w:rsid w:val="0056464E"/>
    <w:rsid w:val="00564B57"/>
    <w:rsid w:val="00565E5C"/>
    <w:rsid w:val="00570F9C"/>
    <w:rsid w:val="00572EDD"/>
    <w:rsid w:val="0057373B"/>
    <w:rsid w:val="00573EA5"/>
    <w:rsid w:val="00574601"/>
    <w:rsid w:val="00574EB7"/>
    <w:rsid w:val="005753C8"/>
    <w:rsid w:val="00576370"/>
    <w:rsid w:val="005774A0"/>
    <w:rsid w:val="005809B3"/>
    <w:rsid w:val="00580AAF"/>
    <w:rsid w:val="00581567"/>
    <w:rsid w:val="00584C17"/>
    <w:rsid w:val="00590058"/>
    <w:rsid w:val="00590594"/>
    <w:rsid w:val="005907BB"/>
    <w:rsid w:val="00591172"/>
    <w:rsid w:val="00593B85"/>
    <w:rsid w:val="005948FE"/>
    <w:rsid w:val="005967B4"/>
    <w:rsid w:val="00596FAF"/>
    <w:rsid w:val="005A0D55"/>
    <w:rsid w:val="005A10B1"/>
    <w:rsid w:val="005A1651"/>
    <w:rsid w:val="005A1A3C"/>
    <w:rsid w:val="005A2253"/>
    <w:rsid w:val="005A2A0B"/>
    <w:rsid w:val="005A3A16"/>
    <w:rsid w:val="005A61B2"/>
    <w:rsid w:val="005B17E6"/>
    <w:rsid w:val="005B211D"/>
    <w:rsid w:val="005B292E"/>
    <w:rsid w:val="005B4D27"/>
    <w:rsid w:val="005B5E2F"/>
    <w:rsid w:val="005C6229"/>
    <w:rsid w:val="005C737A"/>
    <w:rsid w:val="005D0699"/>
    <w:rsid w:val="005D1CAB"/>
    <w:rsid w:val="005D230C"/>
    <w:rsid w:val="005D2C38"/>
    <w:rsid w:val="005D446B"/>
    <w:rsid w:val="005E09A1"/>
    <w:rsid w:val="005E3121"/>
    <w:rsid w:val="005E500F"/>
    <w:rsid w:val="005E5910"/>
    <w:rsid w:val="005F1BE5"/>
    <w:rsid w:val="005F1F8B"/>
    <w:rsid w:val="005F2170"/>
    <w:rsid w:val="005F3D13"/>
    <w:rsid w:val="005F409E"/>
    <w:rsid w:val="005F5E2F"/>
    <w:rsid w:val="005F7104"/>
    <w:rsid w:val="005F7589"/>
    <w:rsid w:val="005F7FCF"/>
    <w:rsid w:val="006002B4"/>
    <w:rsid w:val="00600484"/>
    <w:rsid w:val="006062C3"/>
    <w:rsid w:val="0061130F"/>
    <w:rsid w:val="00611DF1"/>
    <w:rsid w:val="00622480"/>
    <w:rsid w:val="006231D8"/>
    <w:rsid w:val="00624C4C"/>
    <w:rsid w:val="006253D2"/>
    <w:rsid w:val="00625CE6"/>
    <w:rsid w:val="00627134"/>
    <w:rsid w:val="006353C8"/>
    <w:rsid w:val="00637AF0"/>
    <w:rsid w:val="006415F2"/>
    <w:rsid w:val="00644EE3"/>
    <w:rsid w:val="006455A7"/>
    <w:rsid w:val="006466FB"/>
    <w:rsid w:val="00647986"/>
    <w:rsid w:val="00647D58"/>
    <w:rsid w:val="00650CE6"/>
    <w:rsid w:val="00651BED"/>
    <w:rsid w:val="0065269F"/>
    <w:rsid w:val="006538D6"/>
    <w:rsid w:val="00654103"/>
    <w:rsid w:val="0065494C"/>
    <w:rsid w:val="006565CC"/>
    <w:rsid w:val="00660105"/>
    <w:rsid w:val="006609BC"/>
    <w:rsid w:val="00660CE8"/>
    <w:rsid w:val="00662B45"/>
    <w:rsid w:val="00664417"/>
    <w:rsid w:val="006722A6"/>
    <w:rsid w:val="006742B1"/>
    <w:rsid w:val="0067679C"/>
    <w:rsid w:val="00676862"/>
    <w:rsid w:val="0067736B"/>
    <w:rsid w:val="006806F8"/>
    <w:rsid w:val="00684F73"/>
    <w:rsid w:val="00685DA9"/>
    <w:rsid w:val="00690DA1"/>
    <w:rsid w:val="00691151"/>
    <w:rsid w:val="00691792"/>
    <w:rsid w:val="00692AF9"/>
    <w:rsid w:val="006934E1"/>
    <w:rsid w:val="00695943"/>
    <w:rsid w:val="006961BF"/>
    <w:rsid w:val="00696249"/>
    <w:rsid w:val="006969CC"/>
    <w:rsid w:val="006972C5"/>
    <w:rsid w:val="00697BE8"/>
    <w:rsid w:val="006A0A0F"/>
    <w:rsid w:val="006A395B"/>
    <w:rsid w:val="006A3BA3"/>
    <w:rsid w:val="006A4DB1"/>
    <w:rsid w:val="006A5BCD"/>
    <w:rsid w:val="006B13E0"/>
    <w:rsid w:val="006B31F5"/>
    <w:rsid w:val="006B3E9E"/>
    <w:rsid w:val="006B4D31"/>
    <w:rsid w:val="006B77EC"/>
    <w:rsid w:val="006C13B9"/>
    <w:rsid w:val="006C175B"/>
    <w:rsid w:val="006C30AF"/>
    <w:rsid w:val="006C5CB1"/>
    <w:rsid w:val="006C5EDA"/>
    <w:rsid w:val="006D0BC9"/>
    <w:rsid w:val="006D0D7B"/>
    <w:rsid w:val="006D1E74"/>
    <w:rsid w:val="006D2554"/>
    <w:rsid w:val="006D6C21"/>
    <w:rsid w:val="006E2274"/>
    <w:rsid w:val="006E40A0"/>
    <w:rsid w:val="006E6DD9"/>
    <w:rsid w:val="006F07C2"/>
    <w:rsid w:val="006F12B8"/>
    <w:rsid w:val="006F5D15"/>
    <w:rsid w:val="006F63FE"/>
    <w:rsid w:val="0070062C"/>
    <w:rsid w:val="007027AC"/>
    <w:rsid w:val="007031F4"/>
    <w:rsid w:val="007059DB"/>
    <w:rsid w:val="00706EFB"/>
    <w:rsid w:val="00710087"/>
    <w:rsid w:val="007114EA"/>
    <w:rsid w:val="00711A50"/>
    <w:rsid w:val="007134A0"/>
    <w:rsid w:val="00713B1B"/>
    <w:rsid w:val="00714707"/>
    <w:rsid w:val="00715C1F"/>
    <w:rsid w:val="007179C6"/>
    <w:rsid w:val="00722370"/>
    <w:rsid w:val="00723B77"/>
    <w:rsid w:val="00725561"/>
    <w:rsid w:val="00730521"/>
    <w:rsid w:val="00733292"/>
    <w:rsid w:val="00733BFC"/>
    <w:rsid w:val="00733E23"/>
    <w:rsid w:val="00735A08"/>
    <w:rsid w:val="007379AF"/>
    <w:rsid w:val="00737EF9"/>
    <w:rsid w:val="00742C1F"/>
    <w:rsid w:val="00753276"/>
    <w:rsid w:val="007540B3"/>
    <w:rsid w:val="00754B45"/>
    <w:rsid w:val="00760B0E"/>
    <w:rsid w:val="007610C0"/>
    <w:rsid w:val="007628EA"/>
    <w:rsid w:val="00766229"/>
    <w:rsid w:val="00766866"/>
    <w:rsid w:val="007700AD"/>
    <w:rsid w:val="0077683C"/>
    <w:rsid w:val="00780779"/>
    <w:rsid w:val="00780E3C"/>
    <w:rsid w:val="00781021"/>
    <w:rsid w:val="0078122B"/>
    <w:rsid w:val="00781334"/>
    <w:rsid w:val="007818CB"/>
    <w:rsid w:val="007819A8"/>
    <w:rsid w:val="00781C78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367B"/>
    <w:rsid w:val="007940FD"/>
    <w:rsid w:val="00794124"/>
    <w:rsid w:val="00794160"/>
    <w:rsid w:val="00794CB4"/>
    <w:rsid w:val="007A00AC"/>
    <w:rsid w:val="007A1512"/>
    <w:rsid w:val="007B0245"/>
    <w:rsid w:val="007B1B29"/>
    <w:rsid w:val="007B2B93"/>
    <w:rsid w:val="007B4396"/>
    <w:rsid w:val="007B63C8"/>
    <w:rsid w:val="007D0119"/>
    <w:rsid w:val="007D3260"/>
    <w:rsid w:val="007D58E6"/>
    <w:rsid w:val="007D6DBD"/>
    <w:rsid w:val="007E0042"/>
    <w:rsid w:val="007E1EE5"/>
    <w:rsid w:val="007E30AF"/>
    <w:rsid w:val="007E35C2"/>
    <w:rsid w:val="007E464D"/>
    <w:rsid w:val="007F37BC"/>
    <w:rsid w:val="007F4E77"/>
    <w:rsid w:val="007F67DC"/>
    <w:rsid w:val="00800E93"/>
    <w:rsid w:val="008024D9"/>
    <w:rsid w:val="00804088"/>
    <w:rsid w:val="008040B6"/>
    <w:rsid w:val="00804407"/>
    <w:rsid w:val="00804C6D"/>
    <w:rsid w:val="00805452"/>
    <w:rsid w:val="008056BD"/>
    <w:rsid w:val="00805F78"/>
    <w:rsid w:val="008062E4"/>
    <w:rsid w:val="008072AA"/>
    <w:rsid w:val="0081007C"/>
    <w:rsid w:val="00811815"/>
    <w:rsid w:val="008128CC"/>
    <w:rsid w:val="00814234"/>
    <w:rsid w:val="00820FB4"/>
    <w:rsid w:val="008212A3"/>
    <w:rsid w:val="00824AA4"/>
    <w:rsid w:val="00824B7B"/>
    <w:rsid w:val="008257CB"/>
    <w:rsid w:val="008257E9"/>
    <w:rsid w:val="00825A1C"/>
    <w:rsid w:val="00827642"/>
    <w:rsid w:val="00827675"/>
    <w:rsid w:val="00830DA1"/>
    <w:rsid w:val="00831CF8"/>
    <w:rsid w:val="00833B9C"/>
    <w:rsid w:val="00835B8E"/>
    <w:rsid w:val="00840714"/>
    <w:rsid w:val="00843EB3"/>
    <w:rsid w:val="0084580E"/>
    <w:rsid w:val="008464BD"/>
    <w:rsid w:val="00856D61"/>
    <w:rsid w:val="008614DA"/>
    <w:rsid w:val="008626A1"/>
    <w:rsid w:val="00863D16"/>
    <w:rsid w:val="0086460D"/>
    <w:rsid w:val="00864F50"/>
    <w:rsid w:val="008656CA"/>
    <w:rsid w:val="00870A12"/>
    <w:rsid w:val="008718AB"/>
    <w:rsid w:val="00874C80"/>
    <w:rsid w:val="00874FE5"/>
    <w:rsid w:val="0087560B"/>
    <w:rsid w:val="00875ECD"/>
    <w:rsid w:val="008763E8"/>
    <w:rsid w:val="0088018D"/>
    <w:rsid w:val="008820C9"/>
    <w:rsid w:val="008825E4"/>
    <w:rsid w:val="00882B8C"/>
    <w:rsid w:val="00883315"/>
    <w:rsid w:val="008834BF"/>
    <w:rsid w:val="008849E2"/>
    <w:rsid w:val="00886198"/>
    <w:rsid w:val="00890C0E"/>
    <w:rsid w:val="008A362A"/>
    <w:rsid w:val="008A5793"/>
    <w:rsid w:val="008A7368"/>
    <w:rsid w:val="008A7BAE"/>
    <w:rsid w:val="008A7DF3"/>
    <w:rsid w:val="008B03CB"/>
    <w:rsid w:val="008B1322"/>
    <w:rsid w:val="008B1B63"/>
    <w:rsid w:val="008B4076"/>
    <w:rsid w:val="008C368F"/>
    <w:rsid w:val="008C462B"/>
    <w:rsid w:val="008C686B"/>
    <w:rsid w:val="008C75C4"/>
    <w:rsid w:val="008D04FE"/>
    <w:rsid w:val="008D0DDF"/>
    <w:rsid w:val="008D4A02"/>
    <w:rsid w:val="008D4F3C"/>
    <w:rsid w:val="008D67B6"/>
    <w:rsid w:val="008E184E"/>
    <w:rsid w:val="008E2EFE"/>
    <w:rsid w:val="008E5192"/>
    <w:rsid w:val="008F0C68"/>
    <w:rsid w:val="008F438B"/>
    <w:rsid w:val="008F496C"/>
    <w:rsid w:val="008F792C"/>
    <w:rsid w:val="009017D8"/>
    <w:rsid w:val="0090250A"/>
    <w:rsid w:val="009061EE"/>
    <w:rsid w:val="00906A2E"/>
    <w:rsid w:val="00906B29"/>
    <w:rsid w:val="00907A08"/>
    <w:rsid w:val="00907F9A"/>
    <w:rsid w:val="00911E59"/>
    <w:rsid w:val="009155E6"/>
    <w:rsid w:val="009178AA"/>
    <w:rsid w:val="009179A3"/>
    <w:rsid w:val="00923C2A"/>
    <w:rsid w:val="00924E81"/>
    <w:rsid w:val="00927DDD"/>
    <w:rsid w:val="009415FA"/>
    <w:rsid w:val="00942C25"/>
    <w:rsid w:val="00943226"/>
    <w:rsid w:val="00946FA8"/>
    <w:rsid w:val="0095073B"/>
    <w:rsid w:val="00951131"/>
    <w:rsid w:val="0096108E"/>
    <w:rsid w:val="009613F2"/>
    <w:rsid w:val="00961DDB"/>
    <w:rsid w:val="0096605E"/>
    <w:rsid w:val="009660D9"/>
    <w:rsid w:val="00966ED3"/>
    <w:rsid w:val="009673CD"/>
    <w:rsid w:val="0097635C"/>
    <w:rsid w:val="00977269"/>
    <w:rsid w:val="00980856"/>
    <w:rsid w:val="00980883"/>
    <w:rsid w:val="0098194D"/>
    <w:rsid w:val="00985526"/>
    <w:rsid w:val="009864B2"/>
    <w:rsid w:val="00987AD6"/>
    <w:rsid w:val="00992476"/>
    <w:rsid w:val="00994ABA"/>
    <w:rsid w:val="00997A4F"/>
    <w:rsid w:val="009A01E3"/>
    <w:rsid w:val="009A097D"/>
    <w:rsid w:val="009A3892"/>
    <w:rsid w:val="009A3C68"/>
    <w:rsid w:val="009A6E27"/>
    <w:rsid w:val="009A7B3A"/>
    <w:rsid w:val="009B07EF"/>
    <w:rsid w:val="009B1E67"/>
    <w:rsid w:val="009B7296"/>
    <w:rsid w:val="009C118D"/>
    <w:rsid w:val="009C15F6"/>
    <w:rsid w:val="009C2ADA"/>
    <w:rsid w:val="009C4DFA"/>
    <w:rsid w:val="009C5368"/>
    <w:rsid w:val="009C5D31"/>
    <w:rsid w:val="009C6488"/>
    <w:rsid w:val="009D0EBF"/>
    <w:rsid w:val="009D151E"/>
    <w:rsid w:val="009D3200"/>
    <w:rsid w:val="009D47C6"/>
    <w:rsid w:val="009D5ED0"/>
    <w:rsid w:val="009D690D"/>
    <w:rsid w:val="009E05D1"/>
    <w:rsid w:val="009E1A76"/>
    <w:rsid w:val="009E3412"/>
    <w:rsid w:val="009E470A"/>
    <w:rsid w:val="009E4BEE"/>
    <w:rsid w:val="009E5754"/>
    <w:rsid w:val="009E5844"/>
    <w:rsid w:val="009E7FD1"/>
    <w:rsid w:val="009F40DA"/>
    <w:rsid w:val="009F6AA6"/>
    <w:rsid w:val="009F7A7A"/>
    <w:rsid w:val="00A00631"/>
    <w:rsid w:val="00A035A7"/>
    <w:rsid w:val="00A06640"/>
    <w:rsid w:val="00A06F9E"/>
    <w:rsid w:val="00A07BB0"/>
    <w:rsid w:val="00A139D6"/>
    <w:rsid w:val="00A14808"/>
    <w:rsid w:val="00A175C0"/>
    <w:rsid w:val="00A20FCF"/>
    <w:rsid w:val="00A22A69"/>
    <w:rsid w:val="00A23E31"/>
    <w:rsid w:val="00A323F8"/>
    <w:rsid w:val="00A33716"/>
    <w:rsid w:val="00A3378E"/>
    <w:rsid w:val="00A343B3"/>
    <w:rsid w:val="00A36FA5"/>
    <w:rsid w:val="00A41FC9"/>
    <w:rsid w:val="00A43165"/>
    <w:rsid w:val="00A4333F"/>
    <w:rsid w:val="00A447F4"/>
    <w:rsid w:val="00A45809"/>
    <w:rsid w:val="00A6186C"/>
    <w:rsid w:val="00A61F2B"/>
    <w:rsid w:val="00A61FC9"/>
    <w:rsid w:val="00A62EFD"/>
    <w:rsid w:val="00A635D6"/>
    <w:rsid w:val="00A63A2B"/>
    <w:rsid w:val="00A67C02"/>
    <w:rsid w:val="00A70B45"/>
    <w:rsid w:val="00A76DEE"/>
    <w:rsid w:val="00A8330F"/>
    <w:rsid w:val="00A83B8A"/>
    <w:rsid w:val="00A846A6"/>
    <w:rsid w:val="00A86D3C"/>
    <w:rsid w:val="00A87D37"/>
    <w:rsid w:val="00A9182A"/>
    <w:rsid w:val="00A9197E"/>
    <w:rsid w:val="00A95A34"/>
    <w:rsid w:val="00A95C27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9F9"/>
    <w:rsid w:val="00AA65BA"/>
    <w:rsid w:val="00AA67CF"/>
    <w:rsid w:val="00AA6966"/>
    <w:rsid w:val="00AA75D8"/>
    <w:rsid w:val="00AA7654"/>
    <w:rsid w:val="00AB2F11"/>
    <w:rsid w:val="00AB348B"/>
    <w:rsid w:val="00AB38BE"/>
    <w:rsid w:val="00AB4984"/>
    <w:rsid w:val="00AC0C84"/>
    <w:rsid w:val="00AC1317"/>
    <w:rsid w:val="00AC220D"/>
    <w:rsid w:val="00AC2517"/>
    <w:rsid w:val="00AC30CA"/>
    <w:rsid w:val="00AC329F"/>
    <w:rsid w:val="00AC6DA4"/>
    <w:rsid w:val="00AC7802"/>
    <w:rsid w:val="00AD6189"/>
    <w:rsid w:val="00AD7F1A"/>
    <w:rsid w:val="00AE02D7"/>
    <w:rsid w:val="00AE3602"/>
    <w:rsid w:val="00AE6424"/>
    <w:rsid w:val="00AE74D5"/>
    <w:rsid w:val="00AF103C"/>
    <w:rsid w:val="00AF1183"/>
    <w:rsid w:val="00AF3445"/>
    <w:rsid w:val="00AF58B3"/>
    <w:rsid w:val="00B023CA"/>
    <w:rsid w:val="00B038B3"/>
    <w:rsid w:val="00B0439D"/>
    <w:rsid w:val="00B04B20"/>
    <w:rsid w:val="00B05762"/>
    <w:rsid w:val="00B10E9E"/>
    <w:rsid w:val="00B1159A"/>
    <w:rsid w:val="00B11D38"/>
    <w:rsid w:val="00B146E3"/>
    <w:rsid w:val="00B14A20"/>
    <w:rsid w:val="00B2040D"/>
    <w:rsid w:val="00B265B6"/>
    <w:rsid w:val="00B26900"/>
    <w:rsid w:val="00B30091"/>
    <w:rsid w:val="00B30A13"/>
    <w:rsid w:val="00B315E6"/>
    <w:rsid w:val="00B32AD1"/>
    <w:rsid w:val="00B350BE"/>
    <w:rsid w:val="00B35E07"/>
    <w:rsid w:val="00B36F0C"/>
    <w:rsid w:val="00B41822"/>
    <w:rsid w:val="00B42206"/>
    <w:rsid w:val="00B5017C"/>
    <w:rsid w:val="00B5217E"/>
    <w:rsid w:val="00B53A03"/>
    <w:rsid w:val="00B56CFC"/>
    <w:rsid w:val="00B628CF"/>
    <w:rsid w:val="00B63494"/>
    <w:rsid w:val="00B643EB"/>
    <w:rsid w:val="00B64409"/>
    <w:rsid w:val="00B64DE1"/>
    <w:rsid w:val="00B65889"/>
    <w:rsid w:val="00B67369"/>
    <w:rsid w:val="00B71395"/>
    <w:rsid w:val="00B73680"/>
    <w:rsid w:val="00B73883"/>
    <w:rsid w:val="00B8000C"/>
    <w:rsid w:val="00B8284F"/>
    <w:rsid w:val="00B8346A"/>
    <w:rsid w:val="00B83893"/>
    <w:rsid w:val="00B85BE3"/>
    <w:rsid w:val="00B862D7"/>
    <w:rsid w:val="00B90C07"/>
    <w:rsid w:val="00B9123E"/>
    <w:rsid w:val="00B9260E"/>
    <w:rsid w:val="00B9343B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7C9A"/>
    <w:rsid w:val="00BC2080"/>
    <w:rsid w:val="00BC2302"/>
    <w:rsid w:val="00BC266D"/>
    <w:rsid w:val="00BC2B80"/>
    <w:rsid w:val="00BC3E0A"/>
    <w:rsid w:val="00BC3FF6"/>
    <w:rsid w:val="00BC73FC"/>
    <w:rsid w:val="00BD4357"/>
    <w:rsid w:val="00BD4BA8"/>
    <w:rsid w:val="00BE14E8"/>
    <w:rsid w:val="00BE1EB6"/>
    <w:rsid w:val="00BE6C22"/>
    <w:rsid w:val="00BF07D1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30DC"/>
    <w:rsid w:val="00C0455E"/>
    <w:rsid w:val="00C060B9"/>
    <w:rsid w:val="00C06421"/>
    <w:rsid w:val="00C06AF4"/>
    <w:rsid w:val="00C07EAA"/>
    <w:rsid w:val="00C1005B"/>
    <w:rsid w:val="00C1537A"/>
    <w:rsid w:val="00C15774"/>
    <w:rsid w:val="00C20C9D"/>
    <w:rsid w:val="00C26219"/>
    <w:rsid w:val="00C27F85"/>
    <w:rsid w:val="00C302FA"/>
    <w:rsid w:val="00C31BDD"/>
    <w:rsid w:val="00C329AD"/>
    <w:rsid w:val="00C32C4D"/>
    <w:rsid w:val="00C36440"/>
    <w:rsid w:val="00C37609"/>
    <w:rsid w:val="00C434FC"/>
    <w:rsid w:val="00C43C1D"/>
    <w:rsid w:val="00C44ED9"/>
    <w:rsid w:val="00C4547D"/>
    <w:rsid w:val="00C47549"/>
    <w:rsid w:val="00C50988"/>
    <w:rsid w:val="00C53458"/>
    <w:rsid w:val="00C54801"/>
    <w:rsid w:val="00C549D2"/>
    <w:rsid w:val="00C5598D"/>
    <w:rsid w:val="00C56C3E"/>
    <w:rsid w:val="00C6183E"/>
    <w:rsid w:val="00C6210E"/>
    <w:rsid w:val="00C643E3"/>
    <w:rsid w:val="00C664F4"/>
    <w:rsid w:val="00C6793F"/>
    <w:rsid w:val="00C71F51"/>
    <w:rsid w:val="00C72548"/>
    <w:rsid w:val="00C749EF"/>
    <w:rsid w:val="00C75064"/>
    <w:rsid w:val="00C7633F"/>
    <w:rsid w:val="00C770B3"/>
    <w:rsid w:val="00C77338"/>
    <w:rsid w:val="00C77F31"/>
    <w:rsid w:val="00C8047C"/>
    <w:rsid w:val="00C80BDB"/>
    <w:rsid w:val="00C84CEE"/>
    <w:rsid w:val="00C902ED"/>
    <w:rsid w:val="00C93F6A"/>
    <w:rsid w:val="00C960DE"/>
    <w:rsid w:val="00C96151"/>
    <w:rsid w:val="00C96631"/>
    <w:rsid w:val="00C97803"/>
    <w:rsid w:val="00CA0B42"/>
    <w:rsid w:val="00CA169D"/>
    <w:rsid w:val="00CA2CDB"/>
    <w:rsid w:val="00CA44F4"/>
    <w:rsid w:val="00CA64C1"/>
    <w:rsid w:val="00CA6CB3"/>
    <w:rsid w:val="00CB0D1B"/>
    <w:rsid w:val="00CB59CE"/>
    <w:rsid w:val="00CB6C83"/>
    <w:rsid w:val="00CB6F2F"/>
    <w:rsid w:val="00CC175E"/>
    <w:rsid w:val="00CC21A8"/>
    <w:rsid w:val="00CC336A"/>
    <w:rsid w:val="00CD3512"/>
    <w:rsid w:val="00CD4ADD"/>
    <w:rsid w:val="00CD5C6F"/>
    <w:rsid w:val="00CD6DE8"/>
    <w:rsid w:val="00CE05B0"/>
    <w:rsid w:val="00CE0F3B"/>
    <w:rsid w:val="00CE70E0"/>
    <w:rsid w:val="00CF04C3"/>
    <w:rsid w:val="00CF0B8C"/>
    <w:rsid w:val="00CF4BD9"/>
    <w:rsid w:val="00CF5040"/>
    <w:rsid w:val="00CF52A0"/>
    <w:rsid w:val="00D00732"/>
    <w:rsid w:val="00D02666"/>
    <w:rsid w:val="00D03BBA"/>
    <w:rsid w:val="00D043FA"/>
    <w:rsid w:val="00D05BFD"/>
    <w:rsid w:val="00D110BB"/>
    <w:rsid w:val="00D118CA"/>
    <w:rsid w:val="00D148D0"/>
    <w:rsid w:val="00D1658E"/>
    <w:rsid w:val="00D17A7E"/>
    <w:rsid w:val="00D17C99"/>
    <w:rsid w:val="00D206CC"/>
    <w:rsid w:val="00D20DC6"/>
    <w:rsid w:val="00D218D2"/>
    <w:rsid w:val="00D22030"/>
    <w:rsid w:val="00D22AB8"/>
    <w:rsid w:val="00D23AF9"/>
    <w:rsid w:val="00D23B18"/>
    <w:rsid w:val="00D2556C"/>
    <w:rsid w:val="00D272FC"/>
    <w:rsid w:val="00D32EE6"/>
    <w:rsid w:val="00D34354"/>
    <w:rsid w:val="00D3436A"/>
    <w:rsid w:val="00D40D25"/>
    <w:rsid w:val="00D4265C"/>
    <w:rsid w:val="00D42A0E"/>
    <w:rsid w:val="00D477FC"/>
    <w:rsid w:val="00D5034D"/>
    <w:rsid w:val="00D50365"/>
    <w:rsid w:val="00D50648"/>
    <w:rsid w:val="00D5160B"/>
    <w:rsid w:val="00D53E3E"/>
    <w:rsid w:val="00D553BE"/>
    <w:rsid w:val="00D56E67"/>
    <w:rsid w:val="00D56FCB"/>
    <w:rsid w:val="00D624F6"/>
    <w:rsid w:val="00D62E3C"/>
    <w:rsid w:val="00D64906"/>
    <w:rsid w:val="00D64983"/>
    <w:rsid w:val="00D700F5"/>
    <w:rsid w:val="00D723B7"/>
    <w:rsid w:val="00D73279"/>
    <w:rsid w:val="00D7489C"/>
    <w:rsid w:val="00D767D2"/>
    <w:rsid w:val="00D8015B"/>
    <w:rsid w:val="00D82542"/>
    <w:rsid w:val="00D82A03"/>
    <w:rsid w:val="00D834BD"/>
    <w:rsid w:val="00D841CD"/>
    <w:rsid w:val="00D844C4"/>
    <w:rsid w:val="00D84C72"/>
    <w:rsid w:val="00D90977"/>
    <w:rsid w:val="00D90F89"/>
    <w:rsid w:val="00D917F7"/>
    <w:rsid w:val="00D940E5"/>
    <w:rsid w:val="00D96EBC"/>
    <w:rsid w:val="00D97ED1"/>
    <w:rsid w:val="00DA2157"/>
    <w:rsid w:val="00DA24A2"/>
    <w:rsid w:val="00DA634C"/>
    <w:rsid w:val="00DA7763"/>
    <w:rsid w:val="00DB0552"/>
    <w:rsid w:val="00DB0C1B"/>
    <w:rsid w:val="00DB2B44"/>
    <w:rsid w:val="00DB32A5"/>
    <w:rsid w:val="00DB4869"/>
    <w:rsid w:val="00DB5634"/>
    <w:rsid w:val="00DC050F"/>
    <w:rsid w:val="00DC061C"/>
    <w:rsid w:val="00DC1E32"/>
    <w:rsid w:val="00DC2B6C"/>
    <w:rsid w:val="00DD17E1"/>
    <w:rsid w:val="00DD2BAD"/>
    <w:rsid w:val="00DD41B9"/>
    <w:rsid w:val="00DE184C"/>
    <w:rsid w:val="00DE1E29"/>
    <w:rsid w:val="00DE1E4E"/>
    <w:rsid w:val="00DE29EF"/>
    <w:rsid w:val="00DE300D"/>
    <w:rsid w:val="00DE50A2"/>
    <w:rsid w:val="00DF579E"/>
    <w:rsid w:val="00DF6093"/>
    <w:rsid w:val="00DF661D"/>
    <w:rsid w:val="00E00AF7"/>
    <w:rsid w:val="00E019FB"/>
    <w:rsid w:val="00E12B72"/>
    <w:rsid w:val="00E13B98"/>
    <w:rsid w:val="00E15497"/>
    <w:rsid w:val="00E1756A"/>
    <w:rsid w:val="00E201A8"/>
    <w:rsid w:val="00E2314C"/>
    <w:rsid w:val="00E2604A"/>
    <w:rsid w:val="00E26B16"/>
    <w:rsid w:val="00E3515E"/>
    <w:rsid w:val="00E3767D"/>
    <w:rsid w:val="00E40154"/>
    <w:rsid w:val="00E4171E"/>
    <w:rsid w:val="00E47566"/>
    <w:rsid w:val="00E518CB"/>
    <w:rsid w:val="00E52250"/>
    <w:rsid w:val="00E524CE"/>
    <w:rsid w:val="00E547EA"/>
    <w:rsid w:val="00E564F7"/>
    <w:rsid w:val="00E56BCF"/>
    <w:rsid w:val="00E57274"/>
    <w:rsid w:val="00E603BA"/>
    <w:rsid w:val="00E6113E"/>
    <w:rsid w:val="00E64577"/>
    <w:rsid w:val="00E6703A"/>
    <w:rsid w:val="00E70205"/>
    <w:rsid w:val="00E70275"/>
    <w:rsid w:val="00E71222"/>
    <w:rsid w:val="00E71CDA"/>
    <w:rsid w:val="00E7333D"/>
    <w:rsid w:val="00E73CF6"/>
    <w:rsid w:val="00E74CDF"/>
    <w:rsid w:val="00E75097"/>
    <w:rsid w:val="00E75D04"/>
    <w:rsid w:val="00E77EDA"/>
    <w:rsid w:val="00E802D6"/>
    <w:rsid w:val="00E8278C"/>
    <w:rsid w:val="00E85535"/>
    <w:rsid w:val="00E90C89"/>
    <w:rsid w:val="00E90D25"/>
    <w:rsid w:val="00E919D9"/>
    <w:rsid w:val="00E93160"/>
    <w:rsid w:val="00E9421B"/>
    <w:rsid w:val="00E968E9"/>
    <w:rsid w:val="00EA1CA7"/>
    <w:rsid w:val="00EA3C79"/>
    <w:rsid w:val="00EA3E3A"/>
    <w:rsid w:val="00EB2B2F"/>
    <w:rsid w:val="00EB53E2"/>
    <w:rsid w:val="00EC0515"/>
    <w:rsid w:val="00EC063D"/>
    <w:rsid w:val="00EC46FD"/>
    <w:rsid w:val="00EC5653"/>
    <w:rsid w:val="00EC6027"/>
    <w:rsid w:val="00EC65B6"/>
    <w:rsid w:val="00EC67D8"/>
    <w:rsid w:val="00ED20FF"/>
    <w:rsid w:val="00ED4964"/>
    <w:rsid w:val="00ED6500"/>
    <w:rsid w:val="00ED6BF5"/>
    <w:rsid w:val="00ED7A30"/>
    <w:rsid w:val="00EE2182"/>
    <w:rsid w:val="00EE3ED3"/>
    <w:rsid w:val="00EE767B"/>
    <w:rsid w:val="00EF240C"/>
    <w:rsid w:val="00EF394E"/>
    <w:rsid w:val="00F012AA"/>
    <w:rsid w:val="00F01371"/>
    <w:rsid w:val="00F017AC"/>
    <w:rsid w:val="00F05884"/>
    <w:rsid w:val="00F058B3"/>
    <w:rsid w:val="00F079BD"/>
    <w:rsid w:val="00F110FC"/>
    <w:rsid w:val="00F1170D"/>
    <w:rsid w:val="00F11A4C"/>
    <w:rsid w:val="00F140A7"/>
    <w:rsid w:val="00F14B1B"/>
    <w:rsid w:val="00F151F4"/>
    <w:rsid w:val="00F224BF"/>
    <w:rsid w:val="00F22950"/>
    <w:rsid w:val="00F22B0F"/>
    <w:rsid w:val="00F3081F"/>
    <w:rsid w:val="00F32A31"/>
    <w:rsid w:val="00F3301E"/>
    <w:rsid w:val="00F36E73"/>
    <w:rsid w:val="00F37C74"/>
    <w:rsid w:val="00F37F78"/>
    <w:rsid w:val="00F400D4"/>
    <w:rsid w:val="00F40F0D"/>
    <w:rsid w:val="00F42C0F"/>
    <w:rsid w:val="00F42E60"/>
    <w:rsid w:val="00F4359B"/>
    <w:rsid w:val="00F44D29"/>
    <w:rsid w:val="00F44E5E"/>
    <w:rsid w:val="00F4583D"/>
    <w:rsid w:val="00F4681F"/>
    <w:rsid w:val="00F47480"/>
    <w:rsid w:val="00F474B2"/>
    <w:rsid w:val="00F51EB2"/>
    <w:rsid w:val="00F5257B"/>
    <w:rsid w:val="00F528ED"/>
    <w:rsid w:val="00F53267"/>
    <w:rsid w:val="00F545B0"/>
    <w:rsid w:val="00F551D9"/>
    <w:rsid w:val="00F5779A"/>
    <w:rsid w:val="00F6148A"/>
    <w:rsid w:val="00F61DD4"/>
    <w:rsid w:val="00F6285A"/>
    <w:rsid w:val="00F65EAC"/>
    <w:rsid w:val="00F70FC4"/>
    <w:rsid w:val="00F74A43"/>
    <w:rsid w:val="00F750FC"/>
    <w:rsid w:val="00F7706D"/>
    <w:rsid w:val="00F7790A"/>
    <w:rsid w:val="00F77A37"/>
    <w:rsid w:val="00F81487"/>
    <w:rsid w:val="00F8152D"/>
    <w:rsid w:val="00F82EAA"/>
    <w:rsid w:val="00F83382"/>
    <w:rsid w:val="00F83859"/>
    <w:rsid w:val="00F852A5"/>
    <w:rsid w:val="00F85402"/>
    <w:rsid w:val="00F86BBC"/>
    <w:rsid w:val="00F95A92"/>
    <w:rsid w:val="00F95C71"/>
    <w:rsid w:val="00FA0337"/>
    <w:rsid w:val="00FA2AA7"/>
    <w:rsid w:val="00FA5345"/>
    <w:rsid w:val="00FA6B1D"/>
    <w:rsid w:val="00FB427B"/>
    <w:rsid w:val="00FB5CB1"/>
    <w:rsid w:val="00FB6B1C"/>
    <w:rsid w:val="00FC2093"/>
    <w:rsid w:val="00FC3D8C"/>
    <w:rsid w:val="00FC66CA"/>
    <w:rsid w:val="00FD1A9A"/>
    <w:rsid w:val="00FD1EEC"/>
    <w:rsid w:val="00FD5691"/>
    <w:rsid w:val="00FE03F3"/>
    <w:rsid w:val="00FE24AA"/>
    <w:rsid w:val="00FE4B40"/>
    <w:rsid w:val="00FF3235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D2313C5-4511-4396-AEDA-FC459A01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E08FC"/>
    <w:pPr>
      <w:spacing w:after="120"/>
    </w:pPr>
  </w:style>
  <w:style w:type="character" w:customStyle="1" w:styleId="BodyTextChar">
    <w:name w:val="Body Text Char"/>
    <w:link w:val="BodyText"/>
    <w:uiPriority w:val="99"/>
    <w:rsid w:val="001E08FC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5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</TermName>
          <TermId xmlns="http://schemas.microsoft.com/office/infopath/2007/PartnerControls">9c208ec1-acb8-4005-ba1a-e7d4ed62ea16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7276960b-cd04-4fd9-bbf6-f5b03d867772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48</Value>
      <Value>47</Value>
      <Value>20</Value>
      <Value>7</Value>
      <Value>38</Value>
      <Value>173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ADI</TermName>
          <TermId xmlns="http://schemas.microsoft.com/office/infopath/2007/PartnerControls">906b8d6f-8851-e311-9e2e-005056b54f10</TermId>
        </TermInfo>
        <TermInfo xmlns="http://schemas.microsoft.com/office/infopath/2007/PartnerControls">
          <TermName xmlns="http://schemas.microsoft.com/office/infopath/2007/PartnerControls">Registered Financial Corporations</TermName>
          <TermId xmlns="http://schemas.microsoft.com/office/infopath/2007/PartnerControls">c06b8d6f-8851-e311-9e2e-005056b54f10</TermId>
        </TermInfo>
      </Terms>
    </l003ee8eff60461aa1bd0027aba92ea4>
    <APRADescription xmlns="814d62cb-2db6-4c25-ab62-b9075facbc11">EFS reporting standard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d3a4eca2-678d-4407-b6b0-19c597d571b1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5.xml><?xml version="1.0" encoding="utf-8"?>
<LongProperties xmlns="http://schemas.microsoft.com/office/2006/metadata/longProperties">
  <LongProp xmlns="" name="TaxCatchAll"><![CDATA[48;#Development|7276960b-cd04-4fd9-bbf6-f5b03d867772;#47;#Data collection|9c208ec1-acb8-4005-ba1a-e7d4ed62ea16;#20;#2017|d3a4eca2-678d-4407-b6b0-19c597d571b1;#7;#ADI|906b8d6f-8851-e311-9e2e-005056b54f10;#38;#Registered Financial Corporations|c06b8d6f-8851-e311-9e2e-005056b54f10;#173;#Reporting standard|91896cd9-c8c4-4f0d-b59e-113a28881d1d;#1;#Draft|0e1556d2-3fe8-443a-ada7-3620563b46b3]]></LongProp>
</Long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4FB21-B933-4DCF-B320-D9E7A822E28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3ECF79-6D0B-4D7D-BBEC-2F5019318E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DACA73-3211-4B34-B6AC-CA3EFA40A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70262-7F71-48C3-BE62-A9C4A4F124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56097D3-53EF-4639-9EC1-195D5599F71D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98AEB14A-5E7D-4342-AA00-DB72325948B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D061BAB-0CC4-42BD-A493-DCF05C0AB9E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E38AB38-5419-426C-861C-BAAE471C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3455</Words>
  <Characters>19593</Characters>
  <Application>Microsoft Office Word</Application>
  <DocSecurity>0</DocSecurity>
  <Lines>979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720.2 ABSRBA Deposits</vt:lpstr>
    </vt:vector>
  </TitlesOfParts>
  <Company>APRA</Company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720.2 ABSRBA Deposits</dc:title>
  <dc:subject/>
  <dc:creator>David Shade</dc:creator>
  <cp:keywords>[SEC=UNCLASSIFIED]</cp:keywords>
  <cp:lastModifiedBy>APRA_Legal</cp:lastModifiedBy>
  <cp:revision>2</cp:revision>
  <cp:lastPrinted>2018-09-06T06:13:00Z</cp:lastPrinted>
  <dcterms:created xsi:type="dcterms:W3CDTF">2019-02-01T06:17:00Z</dcterms:created>
  <dcterms:modified xsi:type="dcterms:W3CDTF">2019-02-01T06:17:00Z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557EF7C4607BAC242DFA4DE2434DC12D4E1CBD2C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A3FA4E522B3ACEF49EF03921B6105E8828CAD800</vt:lpwstr>
  </property>
  <property fmtid="{D5CDD505-2E9C-101B-9397-08002B2CF9AE}" pid="7" name="PM_InsertionValue">
    <vt:lpwstr>UNCLASSIFIED</vt:lpwstr>
  </property>
  <property fmtid="{D5CDD505-2E9C-101B-9397-08002B2CF9AE}" pid="8" name="PM_Hash_Salt">
    <vt:lpwstr>724A876421594A8392D2EEC4B67D86F0</vt:lpwstr>
  </property>
  <property fmtid="{D5CDD505-2E9C-101B-9397-08002B2CF9AE}" pid="9" name="PM_Hash_Version">
    <vt:lpwstr>2016.1</vt:lpwstr>
  </property>
  <property fmtid="{D5CDD505-2E9C-101B-9397-08002B2CF9AE}" pid="10" name="PM_Hash_Salt_Prev">
    <vt:lpwstr>68C36258722C4393B8EAC5ED28308FE7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CB5166B072744D8B95703A74DBAFF6CE</vt:lpwstr>
  </property>
  <property fmtid="{D5CDD505-2E9C-101B-9397-08002B2CF9AE}" pid="21" name="PM_OriginationTimeStamp">
    <vt:lpwstr>2018-02-12T23:50:21Z</vt:lpwstr>
  </property>
  <property fmtid="{D5CDD505-2E9C-101B-9397-08002B2CF9AE}" pid="22" name="PM_MinimumSecurityClassification">
    <vt:lpwstr/>
  </property>
  <property fmtid="{D5CDD505-2E9C-101B-9397-08002B2CF9AE}" pid="23" name="IsLocked">
    <vt:lpwstr>Yes</vt:lpwstr>
  </property>
  <property fmtid="{D5CDD505-2E9C-101B-9397-08002B2CF9AE}" pid="24" name="APRAPeriod">
    <vt:lpwstr/>
  </property>
  <property fmtid="{D5CDD505-2E9C-101B-9397-08002B2CF9AE}" pid="25" name="APRAPRSG">
    <vt:lpwstr/>
  </property>
  <property fmtid="{D5CDD505-2E9C-101B-9397-08002B2CF9AE}" pid="26" name="APRAActivity">
    <vt:lpwstr>47;#Data collection|9c208ec1-acb8-4005-ba1a-e7d4ed62ea16;#48;#Development|7276960b-cd04-4fd9-bbf6-f5b03d867772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UniqueId">
    <vt:lpwstr>{262f4ebd-cda6-4828-aef5-e78fa75c143e}</vt:lpwstr>
  </property>
  <property fmtid="{D5CDD505-2E9C-101B-9397-08002B2CF9AE}" pid="29" name="RecordPoint_SubmissionCompleted">
    <vt:lpwstr>2019-02-01T11:33:50.4491378+11:00</vt:lpwstr>
  </property>
  <property fmtid="{D5CDD505-2E9C-101B-9397-08002B2CF9AE}" pid="30" name="APRAYear">
    <vt:lpwstr>20;#2017|d3a4eca2-678d-4407-b6b0-19c597d571b1</vt:lpwstr>
  </property>
  <property fmtid="{D5CDD505-2E9C-101B-9397-08002B2CF9AE}" pid="31" name="APRAIndustry">
    <vt:lpwstr>7;#ADI|906b8d6f-8851-e311-9e2e-005056b54f10;#38;#Registered Financial Corporations|c06b8d6f-8851-e311-9e2e-005056b54f10</vt:lpwstr>
  </property>
  <property fmtid="{D5CDD505-2E9C-101B-9397-08002B2CF9AE}" pid="32" name="_dlc_DocId">
    <vt:lpwstr>3W63SCYY7KA6-1565629875-11340</vt:lpwstr>
  </property>
  <property fmtid="{D5CDD505-2E9C-101B-9397-08002B2CF9AE}" pid="33" name="_dlc_DocIdUrl">
    <vt:lpwstr>https://im/teams/DA/_layouts/15/DocIdRedir.aspx?ID=3W63SCYY7KA6-1565629875-11340, 3W63SCYY7KA6-1565629875-11340</vt:lpwstr>
  </property>
  <property fmtid="{D5CDD505-2E9C-101B-9397-08002B2CF9AE}" pid="34" name="_dlc_DocIdItemGuid">
    <vt:lpwstr>262f4ebd-cda6-4828-aef5-e78fa75c143e</vt:lpwstr>
  </property>
  <property fmtid="{D5CDD505-2E9C-101B-9397-08002B2CF9AE}" pid="35" name="APRACostCentre">
    <vt:lpwstr/>
  </property>
  <property fmtid="{D5CDD505-2E9C-101B-9397-08002B2CF9AE}" pid="36" name="APRAEntityAdviceSupport">
    <vt:lpwstr/>
  </property>
  <property fmtid="{D5CDD505-2E9C-101B-9397-08002B2CF9AE}" pid="37" name="APRAExternalOrganisation">
    <vt:lpwstr/>
  </property>
  <property fmtid="{D5CDD505-2E9C-101B-9397-08002B2CF9AE}" pid="38" name="APRALegislation">
    <vt:lpwstr/>
  </property>
  <property fmtid="{D5CDD505-2E9C-101B-9397-08002B2CF9AE}" pid="39" name="APRAIRTR">
    <vt:lpwstr/>
  </property>
  <property fmtid="{D5CDD505-2E9C-101B-9397-08002B2CF9AE}" pid="40" name="APRACategory">
    <vt:lpwstr/>
  </property>
  <property fmtid="{D5CDD505-2E9C-101B-9397-08002B2CF9AE}" pid="41" name="APRADocumentType">
    <vt:lpwstr>173;#Reporting standard|91896cd9-c8c4-4f0d-b59e-113a28881d1d</vt:lpwstr>
  </property>
  <property fmtid="{D5CDD505-2E9C-101B-9397-08002B2CF9AE}" pid="42" name="APRAStatus">
    <vt:lpwstr>1;#Draft|0e1556d2-3fe8-443a-ada7-3620563b46b3</vt:lpwstr>
  </property>
  <property fmtid="{D5CDD505-2E9C-101B-9397-08002B2CF9AE}" pid="43" name="RecordPoint_ActiveItemSiteId">
    <vt:lpwstr>{99f7d170-f886-4b78-8389-87e4657e4bc8}</vt:lpwstr>
  </property>
  <property fmtid="{D5CDD505-2E9C-101B-9397-08002B2CF9AE}" pid="44" name="RecordPoint_ActiveItemListId">
    <vt:lpwstr>{61fbfb6e-bac9-459c-9569-360598f35847}</vt:lpwstr>
  </property>
  <property fmtid="{D5CDD505-2E9C-101B-9397-08002B2CF9AE}" pid="45" name="RecordPoint_ActiveItemWebId">
    <vt:lpwstr>{ad6dddf9-383b-42a4-9cb2-33e024a97839}</vt:lpwstr>
  </property>
  <property fmtid="{D5CDD505-2E9C-101B-9397-08002B2CF9AE}" pid="46" name="RecordPoint_RecordNumberSubmitted">
    <vt:lpwstr>R0000410659</vt:lpwstr>
  </property>
  <property fmtid="{D5CDD505-2E9C-101B-9397-08002B2CF9AE}" pid="47" name="_docset_NoMedatataSyncRequired">
    <vt:lpwstr>False</vt:lpwstr>
  </property>
  <property fmtid="{D5CDD505-2E9C-101B-9397-08002B2CF9AE}" pid="48" name="IT system type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Li, Joanne</vt:lpwstr>
  </property>
  <property fmtid="{D5CDD505-2E9C-101B-9397-08002B2CF9AE}" pid="53" name="Order">
    <vt:lpwstr>1134000.00000000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0x0101008CA7A4F8331B45C7B0D3158B4994D0CA0200BD2A692CFD66A941B2B82EF45B0E040E</vt:lpwstr>
  </property>
</Properties>
</file>