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34" w:rsidRPr="00687FE3" w:rsidRDefault="002A0E34" w:rsidP="002A0E34">
      <w:pPr>
        <w:jc w:val="center"/>
        <w:rPr>
          <w:rFonts w:asciiTheme="minorHAnsi" w:hAnsiTheme="minorHAnsi" w:cstheme="minorHAnsi"/>
          <w:b/>
          <w:lang w:val="en-GB"/>
        </w:rPr>
      </w:pPr>
      <w:r w:rsidRPr="00687FE3">
        <w:rPr>
          <w:rFonts w:asciiTheme="minorHAnsi" w:hAnsiTheme="minorHAnsi" w:cstheme="minorHAnsi"/>
          <w:b/>
          <w:lang w:val="en-GB"/>
        </w:rPr>
        <w:t>EXPLANATORY STATEMENT</w:t>
      </w:r>
    </w:p>
    <w:p w:rsidR="00E92107" w:rsidRPr="00687FE3" w:rsidRDefault="00381EC0" w:rsidP="00687FE3">
      <w:pPr>
        <w:jc w:val="center"/>
        <w:rPr>
          <w:i/>
        </w:rPr>
      </w:pPr>
      <w:r w:rsidRPr="00DF60A6">
        <w:rPr>
          <w:i/>
        </w:rPr>
        <w:t>Consumer Goo</w:t>
      </w:r>
      <w:r w:rsidR="002B15A7" w:rsidRPr="00DF60A6">
        <w:rPr>
          <w:i/>
        </w:rPr>
        <w:t>ds (Prams and Strollers</w:t>
      </w:r>
      <w:r w:rsidR="000A1397">
        <w:rPr>
          <w:i/>
        </w:rPr>
        <w:t>) Amendment Safety Standard 2019</w:t>
      </w:r>
    </w:p>
    <w:p w:rsidR="002A0E34" w:rsidRPr="00474D21" w:rsidRDefault="00687FE3" w:rsidP="00474D21">
      <w:pPr>
        <w:rPr>
          <w:b/>
        </w:rPr>
      </w:pPr>
      <w:r w:rsidRPr="00474D21">
        <w:rPr>
          <w:b/>
        </w:rPr>
        <w:t>Overview</w:t>
      </w:r>
    </w:p>
    <w:p w:rsidR="00514FBD" w:rsidRDefault="00A3100E" w:rsidP="0083686D">
      <w:pPr>
        <w:rPr>
          <w:rFonts w:cs="Arial"/>
          <w:lang w:val="en-GB"/>
        </w:rPr>
      </w:pPr>
      <w:r w:rsidRPr="002F6A17">
        <w:rPr>
          <w:rFonts w:cs="Arial"/>
          <w:lang w:val="en-GB"/>
        </w:rPr>
        <w:t xml:space="preserve">The </w:t>
      </w:r>
      <w:r>
        <w:rPr>
          <w:rFonts w:cs="Arial"/>
          <w:lang w:val="en-GB"/>
        </w:rPr>
        <w:t xml:space="preserve">Assistant Treasurer </w:t>
      </w:r>
      <w:r w:rsidRPr="002F6A17">
        <w:rPr>
          <w:rFonts w:cs="Arial"/>
          <w:lang w:val="en-GB"/>
        </w:rPr>
        <w:t xml:space="preserve">(the Minister) has </w:t>
      </w:r>
      <w:r w:rsidR="00D21E7F">
        <w:rPr>
          <w:rFonts w:cs="Arial"/>
          <w:lang w:val="en-GB"/>
        </w:rPr>
        <w:t>amended</w:t>
      </w:r>
      <w:r w:rsidR="00A524D5">
        <w:rPr>
          <w:rFonts w:cs="Arial"/>
          <w:lang w:val="en-GB"/>
        </w:rPr>
        <w:t xml:space="preserve"> the</w:t>
      </w:r>
      <w:r w:rsidR="00D21E7F">
        <w:rPr>
          <w:rFonts w:cs="Arial"/>
          <w:lang w:val="en-GB"/>
        </w:rPr>
        <w:t xml:space="preserve"> </w:t>
      </w:r>
      <w:r w:rsidR="009466D2">
        <w:rPr>
          <w:rFonts w:cs="Arial"/>
          <w:lang w:val="en-GB"/>
        </w:rPr>
        <w:t xml:space="preserve">safety standard for prams and strollers </w:t>
      </w:r>
      <w:r w:rsidRPr="002F6A17">
        <w:rPr>
          <w:rFonts w:cs="Arial"/>
          <w:lang w:val="en-GB"/>
        </w:rPr>
        <w:t>pursuant to section</w:t>
      </w:r>
      <w:r w:rsidR="00A524D5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105</w:t>
      </w:r>
      <w:r w:rsidRPr="002F6A17">
        <w:rPr>
          <w:rFonts w:cs="Arial"/>
          <w:lang w:val="en-GB"/>
        </w:rPr>
        <w:t xml:space="preserve"> of the Australian Consumer Law, which is Schedule 2 of the </w:t>
      </w:r>
      <w:r w:rsidRPr="002F6A17">
        <w:rPr>
          <w:rFonts w:cs="Arial"/>
          <w:i/>
          <w:lang w:val="en-GB"/>
        </w:rPr>
        <w:t>Competition and Consumer Act 2010 (Cth)</w:t>
      </w:r>
      <w:r w:rsidRPr="002F6A17">
        <w:rPr>
          <w:rFonts w:cs="Arial"/>
          <w:lang w:val="en-GB"/>
        </w:rPr>
        <w:t>.</w:t>
      </w:r>
    </w:p>
    <w:p w:rsidR="00D21E7F" w:rsidRDefault="00D21E7F" w:rsidP="0083686D">
      <w:pPr>
        <w:rPr>
          <w:rFonts w:cs="Arial"/>
          <w:i/>
        </w:rPr>
      </w:pPr>
      <w:r w:rsidRPr="00DF60A6">
        <w:rPr>
          <w:rFonts w:cs="Arial"/>
        </w:rPr>
        <w:t>This i</w:t>
      </w:r>
      <w:r w:rsidR="00CB2F23" w:rsidRPr="00DF60A6">
        <w:rPr>
          <w:rFonts w:cs="Arial"/>
        </w:rPr>
        <w:t>nstrument</w:t>
      </w:r>
      <w:r w:rsidR="00A524D5">
        <w:rPr>
          <w:rFonts w:cs="Arial"/>
        </w:rPr>
        <w:t xml:space="preserve"> is</w:t>
      </w:r>
      <w:r w:rsidR="00CB2F23" w:rsidRPr="00DF60A6">
        <w:rPr>
          <w:rFonts w:cs="Arial"/>
        </w:rPr>
        <w:t xml:space="preserve"> </w:t>
      </w:r>
      <w:r w:rsidR="00A524D5" w:rsidRPr="00A524D5">
        <w:rPr>
          <w:rFonts w:cs="Arial"/>
        </w:rPr>
        <w:t xml:space="preserve">the </w:t>
      </w:r>
      <w:r w:rsidR="00A524D5" w:rsidRPr="0083686D">
        <w:rPr>
          <w:rFonts w:cs="Arial"/>
          <w:i/>
        </w:rPr>
        <w:t>Consumer Goods (Prams and Strollers</w:t>
      </w:r>
      <w:r w:rsidR="000A1397">
        <w:rPr>
          <w:rFonts w:cs="Arial"/>
          <w:i/>
        </w:rPr>
        <w:t>) Amendment Safety Standard 2019</w:t>
      </w:r>
      <w:bookmarkStart w:id="0" w:name="_GoBack"/>
      <w:bookmarkEnd w:id="0"/>
      <w:r w:rsidR="009466D2">
        <w:rPr>
          <w:rFonts w:cs="Arial"/>
          <w:i/>
        </w:rPr>
        <w:t>.</w:t>
      </w:r>
    </w:p>
    <w:p w:rsidR="0083686D" w:rsidRPr="0083686D" w:rsidRDefault="0064694D" w:rsidP="0083686D">
      <w:pPr>
        <w:rPr>
          <w:rFonts w:cs="Arial"/>
        </w:rPr>
      </w:pPr>
      <w:r>
        <w:rPr>
          <w:rFonts w:cs="Arial"/>
        </w:rPr>
        <w:t>The</w:t>
      </w:r>
      <w:r w:rsidR="005F4350">
        <w:rPr>
          <w:rFonts w:cs="Arial"/>
        </w:rPr>
        <w:t xml:space="preserve"> purpose of th</w:t>
      </w:r>
      <w:r w:rsidR="009466D2">
        <w:rPr>
          <w:rFonts w:cs="Arial"/>
        </w:rPr>
        <w:t>is</w:t>
      </w:r>
      <w:r>
        <w:rPr>
          <w:rFonts w:cs="Arial"/>
        </w:rPr>
        <w:t xml:space="preserve"> amendment</w:t>
      </w:r>
      <w:r w:rsidR="005F4350">
        <w:rPr>
          <w:rFonts w:cs="Arial"/>
        </w:rPr>
        <w:t xml:space="preserve"> is to clarify</w:t>
      </w:r>
      <w:r w:rsidR="0083686D">
        <w:rPr>
          <w:rFonts w:cs="Arial"/>
        </w:rPr>
        <w:t xml:space="preserve"> the application of the safety standard to conv</w:t>
      </w:r>
      <w:r>
        <w:rPr>
          <w:rFonts w:cs="Arial"/>
        </w:rPr>
        <w:t>ertibl</w:t>
      </w:r>
      <w:r w:rsidR="005F4350">
        <w:rPr>
          <w:rFonts w:cs="Arial"/>
        </w:rPr>
        <w:t>e wheeled products</w:t>
      </w:r>
      <w:r w:rsidR="0083686D" w:rsidRPr="0083686D">
        <w:rPr>
          <w:rFonts w:cs="Arial"/>
        </w:rPr>
        <w:t>.</w:t>
      </w:r>
      <w:r w:rsidR="005F4350">
        <w:rPr>
          <w:rFonts w:cs="Arial"/>
        </w:rPr>
        <w:t xml:space="preserve"> These products have evolved from simple products with detachable handles to products that convert into one or more modes.</w:t>
      </w:r>
      <w:r w:rsidR="0083686D" w:rsidRPr="0083686D">
        <w:rPr>
          <w:rFonts w:cs="Arial"/>
        </w:rPr>
        <w:t xml:space="preserve"> Where a product</w:t>
      </w:r>
      <w:r>
        <w:rPr>
          <w:rFonts w:cs="Arial"/>
        </w:rPr>
        <w:t xml:space="preserve"> is a convertible product and that product</w:t>
      </w:r>
      <w:r w:rsidR="0083686D" w:rsidRPr="0083686D">
        <w:rPr>
          <w:rFonts w:cs="Arial"/>
        </w:rPr>
        <w:t xml:space="preserve"> has a mode designed to transport a child</w:t>
      </w:r>
      <w:r>
        <w:rPr>
          <w:rFonts w:cs="Arial"/>
        </w:rPr>
        <w:t xml:space="preserve"> in a seated position, and which may also be adjusted to a semi-reclined or fully reclined position, it is a stroller for</w:t>
      </w:r>
      <w:r w:rsidR="0083686D" w:rsidRPr="0083686D">
        <w:rPr>
          <w:rFonts w:cs="Arial"/>
        </w:rPr>
        <w:t xml:space="preserve"> the </w:t>
      </w:r>
      <w:r>
        <w:rPr>
          <w:rFonts w:cs="Arial"/>
        </w:rPr>
        <w:t xml:space="preserve">purpose of the </w:t>
      </w:r>
      <w:r w:rsidR="00514FBD">
        <w:rPr>
          <w:rFonts w:cs="Arial"/>
        </w:rPr>
        <w:t>safety standard.</w:t>
      </w:r>
    </w:p>
    <w:p w:rsidR="00E308CF" w:rsidRPr="00474D21" w:rsidRDefault="00474D21" w:rsidP="00474D21">
      <w:pPr>
        <w:rPr>
          <w:b/>
        </w:rPr>
      </w:pPr>
      <w:r>
        <w:rPr>
          <w:b/>
        </w:rPr>
        <w:t>Background</w:t>
      </w:r>
    </w:p>
    <w:p w:rsidR="00542C9E" w:rsidRPr="00514FBD" w:rsidRDefault="00542C9E" w:rsidP="00514FBD">
      <w:pPr>
        <w:rPr>
          <w:rFonts w:cs="Arial"/>
          <w:lang w:val="en-GB"/>
        </w:rPr>
      </w:pPr>
      <w:r w:rsidRPr="00514FBD">
        <w:rPr>
          <w:rFonts w:cs="Arial"/>
          <w:lang w:val="en-GB"/>
        </w:rPr>
        <w:t xml:space="preserve">The safety standard </w:t>
      </w:r>
      <w:r w:rsidR="009466D2">
        <w:rPr>
          <w:rFonts w:cs="Arial"/>
          <w:lang w:val="en-GB"/>
        </w:rPr>
        <w:t>references and varies</w:t>
      </w:r>
      <w:r w:rsidRPr="00514FBD">
        <w:rPr>
          <w:rFonts w:cs="Arial"/>
          <w:lang w:val="en-GB"/>
        </w:rPr>
        <w:t xml:space="preserve"> certain parts of t</w:t>
      </w:r>
      <w:r w:rsidR="005D79F1" w:rsidRPr="00514FBD">
        <w:rPr>
          <w:rFonts w:cs="Arial"/>
          <w:lang w:val="en-GB"/>
        </w:rPr>
        <w:t xml:space="preserve">he </w:t>
      </w:r>
      <w:r w:rsidR="0033490F" w:rsidRPr="00514FBD">
        <w:rPr>
          <w:rFonts w:cs="Arial"/>
          <w:lang w:val="en-GB"/>
        </w:rPr>
        <w:t xml:space="preserve">Australian/New Zealand standard AS/NZS </w:t>
      </w:r>
      <w:r w:rsidR="002B15A7" w:rsidRPr="00514FBD">
        <w:rPr>
          <w:rFonts w:cs="Arial"/>
          <w:lang w:val="en-GB"/>
        </w:rPr>
        <w:t xml:space="preserve">2088:2000, </w:t>
      </w:r>
      <w:r w:rsidR="002B15A7" w:rsidRPr="009466D2">
        <w:rPr>
          <w:rFonts w:cs="Arial"/>
          <w:i/>
          <w:lang w:val="en-GB"/>
        </w:rPr>
        <w:t xml:space="preserve">Prams and strollers – Safety </w:t>
      </w:r>
      <w:r w:rsidR="00EA1B12" w:rsidRPr="009466D2">
        <w:rPr>
          <w:rFonts w:cs="Arial"/>
          <w:i/>
          <w:lang w:val="en-GB"/>
        </w:rPr>
        <w:t>r</w:t>
      </w:r>
      <w:r w:rsidR="002B15A7" w:rsidRPr="009466D2">
        <w:rPr>
          <w:rFonts w:cs="Arial"/>
          <w:i/>
          <w:lang w:val="en-GB"/>
        </w:rPr>
        <w:t>equirements</w:t>
      </w:r>
      <w:r w:rsidR="009466D2">
        <w:rPr>
          <w:rFonts w:cs="Arial"/>
          <w:lang w:val="en-GB"/>
        </w:rPr>
        <w:t>.</w:t>
      </w:r>
      <w:r w:rsidRPr="00514FBD">
        <w:rPr>
          <w:rFonts w:cs="Arial"/>
          <w:lang w:val="en-GB"/>
        </w:rPr>
        <w:t xml:space="preserve"> The safety standard was introduced in 2007 following a number of deaths and other injuries as a result of unsafe prams or strollers. The </w:t>
      </w:r>
      <w:r w:rsidR="00F14D12">
        <w:rPr>
          <w:rFonts w:cs="Arial"/>
          <w:lang w:val="en-GB"/>
        </w:rPr>
        <w:t>safety standard specifies</w:t>
      </w:r>
      <w:r w:rsidRPr="00514FBD">
        <w:rPr>
          <w:rFonts w:cs="Arial"/>
          <w:lang w:val="en-GB"/>
        </w:rPr>
        <w:t xml:space="preserve"> requirements relating to the construction and performance of prams and strollers, together with warnings </w:t>
      </w:r>
      <w:r w:rsidR="00514FBD" w:rsidRPr="00514FBD">
        <w:rPr>
          <w:rFonts w:cs="Arial"/>
          <w:lang w:val="en-GB"/>
        </w:rPr>
        <w:t>and instructions for their use.</w:t>
      </w:r>
    </w:p>
    <w:p w:rsidR="002A0E34" w:rsidRPr="0003601C" w:rsidRDefault="005A0319" w:rsidP="0003601C">
      <w:pPr>
        <w:rPr>
          <w:b/>
        </w:rPr>
      </w:pPr>
      <w:r w:rsidRPr="0003601C">
        <w:rPr>
          <w:b/>
        </w:rPr>
        <w:t>The amendment</w:t>
      </w:r>
    </w:p>
    <w:p w:rsidR="0064694D" w:rsidRDefault="0064694D" w:rsidP="0064694D">
      <w:pPr>
        <w:rPr>
          <w:rFonts w:cs="Arial"/>
        </w:rPr>
      </w:pPr>
      <w:r>
        <w:rPr>
          <w:lang w:val="en"/>
        </w:rPr>
        <w:t>This safety standard</w:t>
      </w:r>
      <w:r w:rsidR="00397832" w:rsidRPr="00DF60A6">
        <w:rPr>
          <w:lang w:val="en"/>
        </w:rPr>
        <w:t xml:space="preserve"> </w:t>
      </w:r>
      <w:r w:rsidR="00BB74C6" w:rsidRPr="00DF60A6">
        <w:rPr>
          <w:lang w:val="en"/>
        </w:rPr>
        <w:t>amends</w:t>
      </w:r>
      <w:r w:rsidR="00397832" w:rsidRPr="00DF60A6">
        <w:rPr>
          <w:lang w:val="en"/>
        </w:rPr>
        <w:t xml:space="preserve"> the </w:t>
      </w:r>
      <w:r w:rsidRPr="0064694D">
        <w:rPr>
          <w:rFonts w:eastAsia="Arial" w:cs="Times New Roman"/>
          <w:i/>
        </w:rPr>
        <w:t>Consumer Product Safety Standard for Prams and Strollers (Consumer Protection Notice No.8 of 2007)</w:t>
      </w:r>
      <w:r w:rsidR="009466D2">
        <w:rPr>
          <w:rFonts w:eastAsia="Arial" w:cs="Times New Roman"/>
          <w:i/>
        </w:rPr>
        <w:t>,</w:t>
      </w:r>
      <w:r w:rsidRPr="0064694D">
        <w:rPr>
          <w:rFonts w:eastAsia="Arial" w:cs="Times New Roman"/>
          <w:i/>
        </w:rPr>
        <w:t xml:space="preserve"> </w:t>
      </w:r>
      <w:r w:rsidR="00BB74C6">
        <w:rPr>
          <w:rFonts w:cs="Arial"/>
        </w:rPr>
        <w:t>by</w:t>
      </w:r>
      <w:r>
        <w:rPr>
          <w:rFonts w:cs="Arial"/>
        </w:rPr>
        <w:t xml:space="preserve"> adding the following note:</w:t>
      </w:r>
    </w:p>
    <w:p w:rsidR="0064694D" w:rsidRPr="0064694D" w:rsidRDefault="0064694D" w:rsidP="009466D2">
      <w:pPr>
        <w:ind w:left="720"/>
        <w:rPr>
          <w:rFonts w:cs="Arial"/>
          <w:i/>
        </w:rPr>
      </w:pPr>
      <w:r w:rsidRPr="0064694D">
        <w:rPr>
          <w:rFonts w:cs="Arial"/>
          <w:i/>
        </w:rPr>
        <w:t>Strollers include wheeled vehicles that can operate in more than one mode, if one of those modes is designed to transport a child in a seated position (including, but not limited to, convertible tricycle strollers).</w:t>
      </w:r>
    </w:p>
    <w:p w:rsidR="0033490F" w:rsidRDefault="0033490F" w:rsidP="0064694D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Access to Australian and international standards</w:t>
      </w:r>
    </w:p>
    <w:p w:rsidR="0033490F" w:rsidRDefault="0033490F" w:rsidP="0033490F">
      <w:pPr>
        <w:rPr>
          <w:iCs/>
        </w:rPr>
      </w:pPr>
      <w:r w:rsidRPr="00BF6D5E">
        <w:rPr>
          <w:iCs/>
        </w:rPr>
        <w:t xml:space="preserve">Where practicable, product safety legislative instruments only reference extrinsic material that is readily accessible for free by the public. </w:t>
      </w:r>
      <w:r w:rsidR="004C45A2" w:rsidRPr="00BF6D5E">
        <w:rPr>
          <w:iCs/>
        </w:rPr>
        <w:t>However, as in the current case, many product safety legislative instruments need to incorporate extrinsic technical standards over</w:t>
      </w:r>
      <w:r w:rsidR="004C45A2">
        <w:rPr>
          <w:iCs/>
        </w:rPr>
        <w:t xml:space="preserve"> which certain bodies</w:t>
      </w:r>
      <w:r w:rsidR="004C45A2" w:rsidRPr="00BF6D5E">
        <w:rPr>
          <w:iCs/>
        </w:rPr>
        <w:t xml:space="preserve"> have copyright. </w:t>
      </w:r>
      <w:r w:rsidRPr="006635CB">
        <w:rPr>
          <w:iCs/>
        </w:rPr>
        <w:t>The</w:t>
      </w:r>
      <w:r>
        <w:rPr>
          <w:iCs/>
        </w:rPr>
        <w:t xml:space="preserve"> voluntary</w:t>
      </w:r>
      <w:r w:rsidRPr="006635CB">
        <w:rPr>
          <w:iCs/>
        </w:rPr>
        <w:t xml:space="preserve"> Australian </w:t>
      </w:r>
      <w:r>
        <w:rPr>
          <w:iCs/>
        </w:rPr>
        <w:t>standard</w:t>
      </w:r>
      <w:r w:rsidRPr="006635CB">
        <w:rPr>
          <w:iCs/>
        </w:rPr>
        <w:t xml:space="preserve"> referenced in this instrument is available for purchase </w:t>
      </w:r>
      <w:r>
        <w:rPr>
          <w:iCs/>
        </w:rPr>
        <w:t xml:space="preserve">at </w:t>
      </w:r>
      <w:r w:rsidRPr="006635CB">
        <w:rPr>
          <w:iCs/>
        </w:rPr>
        <w:t>SAI Global’s website (</w:t>
      </w:r>
      <w:hyperlink r:id="rId9" w:history="1">
        <w:r w:rsidRPr="00035DC6">
          <w:rPr>
            <w:rStyle w:val="Hyperlink"/>
            <w:iCs/>
          </w:rPr>
          <w:t>https://www.saiglobal.com</w:t>
        </w:r>
      </w:hyperlink>
      <w:r>
        <w:rPr>
          <w:iCs/>
        </w:rPr>
        <w:t>)</w:t>
      </w:r>
      <w:r w:rsidR="00955854">
        <w:rPr>
          <w:iCs/>
        </w:rPr>
        <w:t>.</w:t>
      </w:r>
    </w:p>
    <w:p w:rsidR="0033490F" w:rsidRPr="006635CB" w:rsidRDefault="0033490F" w:rsidP="0033490F">
      <w:pPr>
        <w:rPr>
          <w:rFonts w:cs="Arial"/>
          <w:lang w:val="en-GB"/>
        </w:rPr>
      </w:pPr>
      <w:r w:rsidRPr="006635CB">
        <w:rPr>
          <w:iCs/>
        </w:rPr>
        <w:t>The Australian Comp</w:t>
      </w:r>
      <w:r>
        <w:rPr>
          <w:iCs/>
        </w:rPr>
        <w:t xml:space="preserve">etition and Consumer Commission </w:t>
      </w:r>
      <w:r w:rsidRPr="006635CB">
        <w:rPr>
          <w:iCs/>
        </w:rPr>
        <w:t xml:space="preserve">can </w:t>
      </w:r>
      <w:r>
        <w:rPr>
          <w:iCs/>
        </w:rPr>
        <w:t xml:space="preserve">also </w:t>
      </w:r>
      <w:r w:rsidRPr="006635CB">
        <w:rPr>
          <w:iCs/>
        </w:rPr>
        <w:t xml:space="preserve">make a copy of the </w:t>
      </w:r>
      <w:r>
        <w:rPr>
          <w:iCs/>
        </w:rPr>
        <w:t xml:space="preserve">voluntary Australian </w:t>
      </w:r>
      <w:r w:rsidRPr="006635CB">
        <w:rPr>
          <w:iCs/>
        </w:rPr>
        <w:t>standard available for viewing at one of its offices, subject to licensing conditions.</w:t>
      </w:r>
    </w:p>
    <w:p w:rsidR="00474D21" w:rsidRPr="00636C20" w:rsidRDefault="00474D21" w:rsidP="00474D21">
      <w:pPr>
        <w:rPr>
          <w:lang w:val="en-GB"/>
        </w:rPr>
      </w:pPr>
      <w:r w:rsidRPr="00636C20">
        <w:rPr>
          <w:b/>
          <w:lang w:val="en-GB"/>
        </w:rPr>
        <w:t>Consultation</w:t>
      </w:r>
    </w:p>
    <w:p w:rsidR="000916C2" w:rsidRPr="00514FBD" w:rsidRDefault="00474D21" w:rsidP="00474D21">
      <w:pPr>
        <w:rPr>
          <w:lang w:val="en-GB"/>
        </w:rPr>
      </w:pPr>
      <w:r w:rsidRPr="00636C20">
        <w:rPr>
          <w:lang w:val="en-GB"/>
        </w:rPr>
        <w:t>The ACCC</w:t>
      </w:r>
      <w:r w:rsidR="00EA1B12">
        <w:rPr>
          <w:lang w:val="en-GB"/>
        </w:rPr>
        <w:t xml:space="preserve"> </w:t>
      </w:r>
      <w:r>
        <w:rPr>
          <w:lang w:val="en-GB"/>
        </w:rPr>
        <w:t>release</w:t>
      </w:r>
      <w:r w:rsidR="00EA1B12">
        <w:rPr>
          <w:lang w:val="en-GB"/>
        </w:rPr>
        <w:t>d</w:t>
      </w:r>
      <w:r>
        <w:rPr>
          <w:lang w:val="en-GB"/>
        </w:rPr>
        <w:t xml:space="preserve"> a consultation paper for this </w:t>
      </w:r>
      <w:r w:rsidR="00DF60A6">
        <w:rPr>
          <w:lang w:val="en-GB"/>
        </w:rPr>
        <w:t>amendment</w:t>
      </w:r>
      <w:r w:rsidR="003E3CA6">
        <w:rPr>
          <w:lang w:val="en-GB"/>
        </w:rPr>
        <w:t xml:space="preserve"> on 5 November 2018</w:t>
      </w:r>
      <w:r w:rsidR="00DF60A6">
        <w:rPr>
          <w:lang w:val="en-GB"/>
        </w:rPr>
        <w:t>.</w:t>
      </w:r>
      <w:r w:rsidR="00C41C51">
        <w:rPr>
          <w:lang w:val="en-GB"/>
        </w:rPr>
        <w:t xml:space="preserve"> </w:t>
      </w:r>
      <w:r w:rsidR="004C45A2">
        <w:rPr>
          <w:lang w:val="en-GB"/>
        </w:rPr>
        <w:t>Seventeen</w:t>
      </w:r>
      <w:r w:rsidR="00C41C51">
        <w:rPr>
          <w:lang w:val="en-GB"/>
        </w:rPr>
        <w:t xml:space="preserve"> submissions</w:t>
      </w:r>
      <w:r w:rsidR="004C45A2">
        <w:rPr>
          <w:lang w:val="en-GB"/>
        </w:rPr>
        <w:t xml:space="preserve"> were received,</w:t>
      </w:r>
      <w:r w:rsidR="00DF60A6" w:rsidRPr="00670413">
        <w:rPr>
          <w:lang w:val="en-GB"/>
        </w:rPr>
        <w:t xml:space="preserve"> all of which support</w:t>
      </w:r>
      <w:r w:rsidR="00C41C51">
        <w:rPr>
          <w:lang w:val="en-GB"/>
        </w:rPr>
        <w:t>ed the addition</w:t>
      </w:r>
      <w:r w:rsidR="00DF60A6" w:rsidRPr="00670413">
        <w:rPr>
          <w:lang w:val="en-GB"/>
        </w:rPr>
        <w:t xml:space="preserve"> of the explanatory note.</w:t>
      </w:r>
    </w:p>
    <w:p w:rsidR="00F971A0" w:rsidRPr="005A1DA5" w:rsidRDefault="00F971A0" w:rsidP="004C45A2">
      <w:pPr>
        <w:keepNext/>
        <w:rPr>
          <w:b/>
        </w:rPr>
      </w:pPr>
      <w:r w:rsidRPr="005A1DA5">
        <w:rPr>
          <w:b/>
        </w:rPr>
        <w:lastRenderedPageBreak/>
        <w:t>Disallowance</w:t>
      </w:r>
    </w:p>
    <w:p w:rsidR="00F971A0" w:rsidRPr="005A1DA5" w:rsidRDefault="00F971A0" w:rsidP="00F971A0">
      <w:r w:rsidRPr="00193244">
        <w:rPr>
          <w:lang w:val="en"/>
        </w:rPr>
        <w:t xml:space="preserve">This legislative instrument is not subject to disallowance due to section 44 of the </w:t>
      </w:r>
      <w:r w:rsidRPr="00193244">
        <w:rPr>
          <w:i/>
          <w:iCs/>
          <w:lang w:val="en"/>
        </w:rPr>
        <w:t>Legislation Act 2003</w:t>
      </w:r>
      <w:r w:rsidRPr="00193244">
        <w:rPr>
          <w:lang w:val="en"/>
        </w:rPr>
        <w:t>.</w:t>
      </w:r>
    </w:p>
    <w:p w:rsidR="002A0E34" w:rsidRPr="0003601C" w:rsidRDefault="00545D11" w:rsidP="00514FBD">
      <w:pPr>
        <w:keepNext/>
        <w:rPr>
          <w:b/>
        </w:rPr>
      </w:pPr>
      <w:r w:rsidRPr="0003601C">
        <w:rPr>
          <w:b/>
        </w:rPr>
        <w:t>Commencement</w:t>
      </w:r>
    </w:p>
    <w:p w:rsidR="00545D11" w:rsidRPr="0003601C" w:rsidRDefault="00545D11" w:rsidP="0003601C">
      <w:pPr>
        <w:rPr>
          <w:lang w:val="en"/>
        </w:rPr>
      </w:pPr>
      <w:r w:rsidRPr="0003601C">
        <w:rPr>
          <w:lang w:val="en"/>
        </w:rPr>
        <w:t xml:space="preserve">This </w:t>
      </w:r>
      <w:r w:rsidR="0003601C">
        <w:rPr>
          <w:lang w:val="en"/>
        </w:rPr>
        <w:t>l</w:t>
      </w:r>
      <w:r w:rsidRPr="0003601C">
        <w:rPr>
          <w:lang w:val="en"/>
        </w:rPr>
        <w:t xml:space="preserve">egislative </w:t>
      </w:r>
      <w:r w:rsidR="0003601C">
        <w:rPr>
          <w:lang w:val="en"/>
        </w:rPr>
        <w:t>i</w:t>
      </w:r>
      <w:r w:rsidRPr="0003601C">
        <w:rPr>
          <w:lang w:val="en"/>
        </w:rPr>
        <w:t>nstrument commence</w:t>
      </w:r>
      <w:r w:rsidR="00F971A0">
        <w:rPr>
          <w:lang w:val="en"/>
        </w:rPr>
        <w:t>s</w:t>
      </w:r>
      <w:r w:rsidRPr="0003601C">
        <w:rPr>
          <w:lang w:val="en"/>
        </w:rPr>
        <w:t xml:space="preserve"> on the day</w:t>
      </w:r>
      <w:r w:rsidR="0003601C" w:rsidRPr="0003601C">
        <w:rPr>
          <w:lang w:val="en"/>
        </w:rPr>
        <w:t xml:space="preserve"> after</w:t>
      </w:r>
      <w:r w:rsidRPr="0003601C">
        <w:rPr>
          <w:lang w:val="en"/>
        </w:rPr>
        <w:t xml:space="preserve"> it is registered on the </w:t>
      </w:r>
      <w:r w:rsidR="0003601C">
        <w:rPr>
          <w:lang w:val="en"/>
        </w:rPr>
        <w:t>F</w:t>
      </w:r>
      <w:r w:rsidR="00F971A0">
        <w:rPr>
          <w:lang w:val="en"/>
        </w:rPr>
        <w:t>ederal Register of Legislation.</w:t>
      </w:r>
    </w:p>
    <w:p w:rsidR="0003601C" w:rsidRPr="005A1DA5" w:rsidRDefault="0003601C" w:rsidP="0003601C">
      <w:pPr>
        <w:rPr>
          <w:b/>
        </w:rPr>
      </w:pPr>
      <w:r w:rsidRPr="005A1DA5">
        <w:rPr>
          <w:b/>
        </w:rPr>
        <w:t>Sunsetting</w:t>
      </w:r>
    </w:p>
    <w:p w:rsidR="0003601C" w:rsidRDefault="0003601C" w:rsidP="0003601C">
      <w:r w:rsidRPr="00193244">
        <w:rPr>
          <w:lang w:val="en"/>
        </w:rPr>
        <w:t>Th</w:t>
      </w:r>
      <w:r>
        <w:rPr>
          <w:lang w:val="en"/>
        </w:rPr>
        <w:t>is</w:t>
      </w:r>
      <w:r w:rsidRPr="00193244">
        <w:rPr>
          <w:lang w:val="en"/>
        </w:rPr>
        <w:t xml:space="preserve"> legislative instrument is not subject to sunsetting due to section 54 of the</w:t>
      </w:r>
      <w:r w:rsidRPr="00193244">
        <w:rPr>
          <w:i/>
          <w:iCs/>
          <w:lang w:val="en"/>
        </w:rPr>
        <w:t xml:space="preserve"> Legislation Act 2003.</w:t>
      </w:r>
    </w:p>
    <w:p w:rsidR="00CF08E4" w:rsidRDefault="00CF08E4" w:rsidP="00CF08E4">
      <w:pPr>
        <w:rPr>
          <w:rFonts w:cs="Arial"/>
          <w:b/>
        </w:rPr>
      </w:pPr>
      <w:r>
        <w:rPr>
          <w:rFonts w:cs="Arial"/>
          <w:b/>
        </w:rPr>
        <w:t>Regulation impact assessment</w:t>
      </w:r>
    </w:p>
    <w:p w:rsidR="00CF08E4" w:rsidRPr="007C7632" w:rsidRDefault="00CF08E4" w:rsidP="00CF08E4">
      <w:pPr>
        <w:rPr>
          <w:rFonts w:cs="Arial"/>
        </w:rPr>
      </w:pPr>
      <w:r>
        <w:rPr>
          <w:rFonts w:cs="Arial"/>
        </w:rPr>
        <w:t xml:space="preserve">The </w:t>
      </w:r>
      <w:r w:rsidRPr="007E1F40">
        <w:rPr>
          <w:rFonts w:cs="Arial"/>
        </w:rPr>
        <w:t>O</w:t>
      </w:r>
      <w:r>
        <w:rPr>
          <w:rFonts w:cs="Arial"/>
        </w:rPr>
        <w:t xml:space="preserve">ffice of </w:t>
      </w:r>
      <w:r w:rsidRPr="007E1F40">
        <w:rPr>
          <w:rFonts w:cs="Arial"/>
        </w:rPr>
        <w:t>B</w:t>
      </w:r>
      <w:r>
        <w:rPr>
          <w:rFonts w:cs="Arial"/>
        </w:rPr>
        <w:t xml:space="preserve">est </w:t>
      </w:r>
      <w:r w:rsidRPr="007E1F40">
        <w:rPr>
          <w:rFonts w:cs="Arial"/>
        </w:rPr>
        <w:t>P</w:t>
      </w:r>
      <w:r>
        <w:rPr>
          <w:rFonts w:cs="Arial"/>
        </w:rPr>
        <w:t xml:space="preserve">ractice </w:t>
      </w:r>
      <w:r w:rsidRPr="007E1F40">
        <w:rPr>
          <w:rFonts w:cs="Arial"/>
        </w:rPr>
        <w:t>R</w:t>
      </w:r>
      <w:r>
        <w:rPr>
          <w:rFonts w:cs="Arial"/>
        </w:rPr>
        <w:t>egulation</w:t>
      </w:r>
      <w:r w:rsidRPr="007E1F40">
        <w:rPr>
          <w:rFonts w:cs="Arial"/>
        </w:rPr>
        <w:t xml:space="preserve"> advised a Regulat</w:t>
      </w:r>
      <w:r>
        <w:rPr>
          <w:rFonts w:cs="Arial"/>
        </w:rPr>
        <w:t>ion Impact Statement was</w:t>
      </w:r>
      <w:r w:rsidR="00EA1B12">
        <w:rPr>
          <w:rFonts w:cs="Arial"/>
        </w:rPr>
        <w:t xml:space="preserve"> not required (</w:t>
      </w:r>
      <w:r w:rsidR="008D1F85">
        <w:rPr>
          <w:rFonts w:cs="Arial"/>
        </w:rPr>
        <w:t xml:space="preserve">OBPR ID </w:t>
      </w:r>
      <w:r w:rsidR="00EA1B12">
        <w:rPr>
          <w:rFonts w:cs="Arial"/>
        </w:rPr>
        <w:t>Reference No.</w:t>
      </w:r>
      <w:r w:rsidR="008D1F85">
        <w:rPr>
          <w:rFonts w:cs="Arial"/>
        </w:rPr>
        <w:t>24419)</w:t>
      </w:r>
      <w:r w:rsidR="00C41C51">
        <w:rPr>
          <w:rFonts w:cs="Arial"/>
        </w:rPr>
        <w:t>.</w:t>
      </w:r>
    </w:p>
    <w:sectPr w:rsidR="00CF08E4" w:rsidRPr="007C7632" w:rsidSect="00514FBD">
      <w:pgSz w:w="11906" w:h="16838"/>
      <w:pgMar w:top="113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EF" w:rsidRDefault="005152EF" w:rsidP="004B4412">
      <w:pPr>
        <w:spacing w:before="0"/>
      </w:pPr>
      <w:r>
        <w:separator/>
      </w:r>
    </w:p>
  </w:endnote>
  <w:endnote w:type="continuationSeparator" w:id="0">
    <w:p w:rsidR="005152EF" w:rsidRDefault="005152EF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EF" w:rsidRDefault="005152EF" w:rsidP="004B4412">
      <w:pPr>
        <w:spacing w:before="0"/>
      </w:pPr>
      <w:r>
        <w:separator/>
      </w:r>
    </w:p>
  </w:footnote>
  <w:footnote w:type="continuationSeparator" w:id="0">
    <w:p w:rsidR="005152EF" w:rsidRDefault="005152EF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D4297B"/>
    <w:multiLevelType w:val="hybridMultilevel"/>
    <w:tmpl w:val="09F2E248"/>
    <w:lvl w:ilvl="0" w:tplc="F85697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FE3C43"/>
    <w:multiLevelType w:val="hybridMultilevel"/>
    <w:tmpl w:val="3368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7590D"/>
    <w:multiLevelType w:val="hybridMultilevel"/>
    <w:tmpl w:val="45064C9A"/>
    <w:lvl w:ilvl="0" w:tplc="F8569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86F6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theme="minorBidi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F6528"/>
    <w:multiLevelType w:val="hybridMultilevel"/>
    <w:tmpl w:val="BB0C6598"/>
    <w:lvl w:ilvl="0" w:tplc="18F0F2C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48009B"/>
    <w:multiLevelType w:val="hybridMultilevel"/>
    <w:tmpl w:val="BC00CD50"/>
    <w:lvl w:ilvl="0" w:tplc="FFB0A63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4E435F"/>
    <w:multiLevelType w:val="hybridMultilevel"/>
    <w:tmpl w:val="F0CED3C2"/>
    <w:lvl w:ilvl="0" w:tplc="7AE4DD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751825"/>
    <w:multiLevelType w:val="hybridMultilevel"/>
    <w:tmpl w:val="BD0040D8"/>
    <w:lvl w:ilvl="0" w:tplc="0C09001B">
      <w:start w:val="1"/>
      <w:numFmt w:val="lowerRoman"/>
      <w:lvlText w:val="%1."/>
      <w:lvlJc w:val="right"/>
      <w:pPr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11466FFA"/>
    <w:multiLevelType w:val="hybridMultilevel"/>
    <w:tmpl w:val="2D2C5FF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B87A41"/>
    <w:multiLevelType w:val="hybridMultilevel"/>
    <w:tmpl w:val="4E1029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5D42239"/>
    <w:multiLevelType w:val="hybridMultilevel"/>
    <w:tmpl w:val="E12E6602"/>
    <w:lvl w:ilvl="0" w:tplc="E2EACE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FC575E"/>
    <w:multiLevelType w:val="hybridMultilevel"/>
    <w:tmpl w:val="891EE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5E04FB"/>
    <w:multiLevelType w:val="hybridMultilevel"/>
    <w:tmpl w:val="FCBEA4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A2B22"/>
    <w:multiLevelType w:val="hybridMultilevel"/>
    <w:tmpl w:val="DF94EF3C"/>
    <w:lvl w:ilvl="0" w:tplc="B8065F5C">
      <w:start w:val="1"/>
      <w:numFmt w:val="lowerRoman"/>
      <w:lvlText w:val="(%1)"/>
      <w:lvlJc w:val="left"/>
      <w:pPr>
        <w:ind w:left="23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64" w:hanging="360"/>
      </w:pPr>
    </w:lvl>
    <w:lvl w:ilvl="2" w:tplc="0C09001B" w:tentative="1">
      <w:start w:val="1"/>
      <w:numFmt w:val="lowerRoman"/>
      <w:lvlText w:val="%3."/>
      <w:lvlJc w:val="right"/>
      <w:pPr>
        <w:ind w:left="3384" w:hanging="180"/>
      </w:pPr>
    </w:lvl>
    <w:lvl w:ilvl="3" w:tplc="0C09000F" w:tentative="1">
      <w:start w:val="1"/>
      <w:numFmt w:val="decimal"/>
      <w:lvlText w:val="%4."/>
      <w:lvlJc w:val="left"/>
      <w:pPr>
        <w:ind w:left="4104" w:hanging="360"/>
      </w:pPr>
    </w:lvl>
    <w:lvl w:ilvl="4" w:tplc="0C090019" w:tentative="1">
      <w:start w:val="1"/>
      <w:numFmt w:val="lowerLetter"/>
      <w:lvlText w:val="%5."/>
      <w:lvlJc w:val="left"/>
      <w:pPr>
        <w:ind w:left="4824" w:hanging="360"/>
      </w:pPr>
    </w:lvl>
    <w:lvl w:ilvl="5" w:tplc="0C09001B" w:tentative="1">
      <w:start w:val="1"/>
      <w:numFmt w:val="lowerRoman"/>
      <w:lvlText w:val="%6."/>
      <w:lvlJc w:val="right"/>
      <w:pPr>
        <w:ind w:left="5544" w:hanging="180"/>
      </w:pPr>
    </w:lvl>
    <w:lvl w:ilvl="6" w:tplc="0C09000F" w:tentative="1">
      <w:start w:val="1"/>
      <w:numFmt w:val="decimal"/>
      <w:lvlText w:val="%7."/>
      <w:lvlJc w:val="left"/>
      <w:pPr>
        <w:ind w:left="6264" w:hanging="360"/>
      </w:pPr>
    </w:lvl>
    <w:lvl w:ilvl="7" w:tplc="0C090019" w:tentative="1">
      <w:start w:val="1"/>
      <w:numFmt w:val="lowerLetter"/>
      <w:lvlText w:val="%8."/>
      <w:lvlJc w:val="left"/>
      <w:pPr>
        <w:ind w:left="6984" w:hanging="360"/>
      </w:pPr>
    </w:lvl>
    <w:lvl w:ilvl="8" w:tplc="0C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5" w15:restartNumberingAfterBreak="0">
    <w:nsid w:val="2A470FA4"/>
    <w:multiLevelType w:val="hybridMultilevel"/>
    <w:tmpl w:val="93A24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54147B"/>
    <w:multiLevelType w:val="hybridMultilevel"/>
    <w:tmpl w:val="F178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90E28"/>
    <w:multiLevelType w:val="hybridMultilevel"/>
    <w:tmpl w:val="03E26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E3BE7"/>
    <w:multiLevelType w:val="hybridMultilevel"/>
    <w:tmpl w:val="E168DC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63458"/>
    <w:multiLevelType w:val="hybridMultilevel"/>
    <w:tmpl w:val="BD0040D8"/>
    <w:lvl w:ilvl="0" w:tplc="0C09001B">
      <w:start w:val="1"/>
      <w:numFmt w:val="lowerRoman"/>
      <w:lvlText w:val="%1."/>
      <w:lvlJc w:val="right"/>
      <w:pPr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4C48251C"/>
    <w:multiLevelType w:val="hybridMultilevel"/>
    <w:tmpl w:val="2D2C5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83A90"/>
    <w:multiLevelType w:val="hybridMultilevel"/>
    <w:tmpl w:val="B0ECE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67050"/>
    <w:multiLevelType w:val="hybridMultilevel"/>
    <w:tmpl w:val="08E45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805C4"/>
    <w:multiLevelType w:val="hybridMultilevel"/>
    <w:tmpl w:val="CFB83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F7217"/>
    <w:multiLevelType w:val="hybridMultilevel"/>
    <w:tmpl w:val="4502AAC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E7832"/>
    <w:multiLevelType w:val="hybridMultilevel"/>
    <w:tmpl w:val="C5D405B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6B1F404A"/>
    <w:multiLevelType w:val="hybridMultilevel"/>
    <w:tmpl w:val="8442605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880AA7"/>
    <w:multiLevelType w:val="hybridMultilevel"/>
    <w:tmpl w:val="CA50E27C"/>
    <w:lvl w:ilvl="0" w:tplc="873819EA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F00CF"/>
    <w:multiLevelType w:val="hybridMultilevel"/>
    <w:tmpl w:val="77EAEF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7"/>
  </w:num>
  <w:num w:numId="13">
    <w:abstractNumId w:val="27"/>
  </w:num>
  <w:num w:numId="14">
    <w:abstractNumId w:val="12"/>
  </w:num>
  <w:num w:numId="15">
    <w:abstractNumId w:val="22"/>
  </w:num>
  <w:num w:numId="16">
    <w:abstractNumId w:val="14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18"/>
  </w:num>
  <w:num w:numId="22">
    <w:abstractNumId w:val="16"/>
  </w:num>
  <w:num w:numId="23">
    <w:abstractNumId w:val="30"/>
  </w:num>
  <w:num w:numId="24">
    <w:abstractNumId w:val="15"/>
  </w:num>
  <w:num w:numId="25">
    <w:abstractNumId w:val="21"/>
  </w:num>
  <w:num w:numId="26">
    <w:abstractNumId w:val="25"/>
  </w:num>
  <w:num w:numId="27">
    <w:abstractNumId w:val="10"/>
  </w:num>
  <w:num w:numId="28">
    <w:abstractNumId w:val="29"/>
  </w:num>
  <w:num w:numId="29">
    <w:abstractNumId w:val="39"/>
  </w:num>
  <w:num w:numId="30">
    <w:abstractNumId w:val="40"/>
  </w:num>
  <w:num w:numId="31">
    <w:abstractNumId w:val="36"/>
  </w:num>
  <w:num w:numId="32">
    <w:abstractNumId w:val="35"/>
  </w:num>
  <w:num w:numId="33">
    <w:abstractNumId w:val="13"/>
  </w:num>
  <w:num w:numId="34">
    <w:abstractNumId w:val="31"/>
  </w:num>
  <w:num w:numId="35">
    <w:abstractNumId w:val="26"/>
  </w:num>
  <w:num w:numId="36">
    <w:abstractNumId w:val="17"/>
  </w:num>
  <w:num w:numId="37">
    <w:abstractNumId w:val="34"/>
  </w:num>
  <w:num w:numId="38">
    <w:abstractNumId w:val="38"/>
  </w:num>
  <w:num w:numId="39">
    <w:abstractNumId w:val="33"/>
  </w:num>
  <w:num w:numId="40">
    <w:abstractNumId w:val="32"/>
  </w:num>
  <w:num w:numId="41">
    <w:abstractNumId w:val="9"/>
  </w:num>
  <w:num w:numId="42">
    <w:abstractNumId w:val="11"/>
  </w:num>
  <w:num w:numId="43">
    <w:abstractNumId w:val="24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7704\D15 19084  ACCC Executive Minute 37 2015 - Consumer Product Safety Standard for bean bags - Minor and Machinery amendments.DOCX"/>
  </w:docVars>
  <w:rsids>
    <w:rsidRoot w:val="00DD75F0"/>
    <w:rsid w:val="00001079"/>
    <w:rsid w:val="000126D2"/>
    <w:rsid w:val="0001672E"/>
    <w:rsid w:val="00020B4D"/>
    <w:rsid w:val="00021202"/>
    <w:rsid w:val="00024C3F"/>
    <w:rsid w:val="00027282"/>
    <w:rsid w:val="0003578C"/>
    <w:rsid w:val="0003601C"/>
    <w:rsid w:val="000360CB"/>
    <w:rsid w:val="00040C7C"/>
    <w:rsid w:val="00042F5D"/>
    <w:rsid w:val="00057905"/>
    <w:rsid w:val="00062C11"/>
    <w:rsid w:val="00063247"/>
    <w:rsid w:val="00070F9F"/>
    <w:rsid w:val="0007137B"/>
    <w:rsid w:val="00081722"/>
    <w:rsid w:val="00085663"/>
    <w:rsid w:val="00085EBF"/>
    <w:rsid w:val="000916C2"/>
    <w:rsid w:val="00092ACC"/>
    <w:rsid w:val="000942A2"/>
    <w:rsid w:val="00094A21"/>
    <w:rsid w:val="00095514"/>
    <w:rsid w:val="00095EA8"/>
    <w:rsid w:val="000A092A"/>
    <w:rsid w:val="000A1397"/>
    <w:rsid w:val="000A3803"/>
    <w:rsid w:val="000A6521"/>
    <w:rsid w:val="000B0237"/>
    <w:rsid w:val="000C52D0"/>
    <w:rsid w:val="000C5D1F"/>
    <w:rsid w:val="000D122C"/>
    <w:rsid w:val="000D1A33"/>
    <w:rsid w:val="000D5C36"/>
    <w:rsid w:val="000E1819"/>
    <w:rsid w:val="000E5783"/>
    <w:rsid w:val="000E6C72"/>
    <w:rsid w:val="000E6D81"/>
    <w:rsid w:val="000F2922"/>
    <w:rsid w:val="001063D2"/>
    <w:rsid w:val="0010767B"/>
    <w:rsid w:val="0011108D"/>
    <w:rsid w:val="001133E2"/>
    <w:rsid w:val="00116EB2"/>
    <w:rsid w:val="00124609"/>
    <w:rsid w:val="001257E3"/>
    <w:rsid w:val="00125972"/>
    <w:rsid w:val="001309D5"/>
    <w:rsid w:val="001341EF"/>
    <w:rsid w:val="00134815"/>
    <w:rsid w:val="001502F3"/>
    <w:rsid w:val="00154DDF"/>
    <w:rsid w:val="00156CDE"/>
    <w:rsid w:val="001573E4"/>
    <w:rsid w:val="001576CB"/>
    <w:rsid w:val="00160756"/>
    <w:rsid w:val="00161B9D"/>
    <w:rsid w:val="00163DD9"/>
    <w:rsid w:val="00163E43"/>
    <w:rsid w:val="0016572B"/>
    <w:rsid w:val="001709B2"/>
    <w:rsid w:val="001717C5"/>
    <w:rsid w:val="001721D2"/>
    <w:rsid w:val="0017232E"/>
    <w:rsid w:val="00173314"/>
    <w:rsid w:val="00174102"/>
    <w:rsid w:val="00180157"/>
    <w:rsid w:val="0018085F"/>
    <w:rsid w:val="00184286"/>
    <w:rsid w:val="001842CE"/>
    <w:rsid w:val="00186C26"/>
    <w:rsid w:val="00186F77"/>
    <w:rsid w:val="001926A4"/>
    <w:rsid w:val="00195FEC"/>
    <w:rsid w:val="001B137E"/>
    <w:rsid w:val="001B45A0"/>
    <w:rsid w:val="001D04FD"/>
    <w:rsid w:val="001D055E"/>
    <w:rsid w:val="001E36CA"/>
    <w:rsid w:val="001E405E"/>
    <w:rsid w:val="001F0756"/>
    <w:rsid w:val="001F27F8"/>
    <w:rsid w:val="001F492E"/>
    <w:rsid w:val="001F6DA3"/>
    <w:rsid w:val="002000F2"/>
    <w:rsid w:val="0020039D"/>
    <w:rsid w:val="00201AD3"/>
    <w:rsid w:val="0020368E"/>
    <w:rsid w:val="00204E88"/>
    <w:rsid w:val="00213498"/>
    <w:rsid w:val="002222EA"/>
    <w:rsid w:val="0022276D"/>
    <w:rsid w:val="0022472B"/>
    <w:rsid w:val="00224DB9"/>
    <w:rsid w:val="002314DF"/>
    <w:rsid w:val="00237A18"/>
    <w:rsid w:val="00237F60"/>
    <w:rsid w:val="0024304F"/>
    <w:rsid w:val="002459CC"/>
    <w:rsid w:val="002501BE"/>
    <w:rsid w:val="00251745"/>
    <w:rsid w:val="0025666E"/>
    <w:rsid w:val="00263AC0"/>
    <w:rsid w:val="0026406A"/>
    <w:rsid w:val="002641F2"/>
    <w:rsid w:val="00264768"/>
    <w:rsid w:val="00265CEE"/>
    <w:rsid w:val="0026772D"/>
    <w:rsid w:val="00276E9B"/>
    <w:rsid w:val="00283079"/>
    <w:rsid w:val="002839BB"/>
    <w:rsid w:val="0028678F"/>
    <w:rsid w:val="00286874"/>
    <w:rsid w:val="00290E05"/>
    <w:rsid w:val="00291647"/>
    <w:rsid w:val="00295D9D"/>
    <w:rsid w:val="00296B65"/>
    <w:rsid w:val="002A0E34"/>
    <w:rsid w:val="002A4A6A"/>
    <w:rsid w:val="002A5D7F"/>
    <w:rsid w:val="002A7DEF"/>
    <w:rsid w:val="002B15A7"/>
    <w:rsid w:val="002C07F4"/>
    <w:rsid w:val="002C32D5"/>
    <w:rsid w:val="002E2FAB"/>
    <w:rsid w:val="002E4EEC"/>
    <w:rsid w:val="002E5295"/>
    <w:rsid w:val="002E7805"/>
    <w:rsid w:val="002E7B24"/>
    <w:rsid w:val="002F2A2A"/>
    <w:rsid w:val="002F3CEC"/>
    <w:rsid w:val="002F56CD"/>
    <w:rsid w:val="002F7986"/>
    <w:rsid w:val="0030012F"/>
    <w:rsid w:val="00307F6D"/>
    <w:rsid w:val="003104A1"/>
    <w:rsid w:val="00310CE3"/>
    <w:rsid w:val="003116C1"/>
    <w:rsid w:val="00313DD9"/>
    <w:rsid w:val="003164E8"/>
    <w:rsid w:val="003177A2"/>
    <w:rsid w:val="003206F4"/>
    <w:rsid w:val="00324F94"/>
    <w:rsid w:val="003271B5"/>
    <w:rsid w:val="00330D1B"/>
    <w:rsid w:val="00331264"/>
    <w:rsid w:val="0033490F"/>
    <w:rsid w:val="00334C8D"/>
    <w:rsid w:val="00336479"/>
    <w:rsid w:val="003518B3"/>
    <w:rsid w:val="00355BA8"/>
    <w:rsid w:val="00356048"/>
    <w:rsid w:val="00357B6A"/>
    <w:rsid w:val="00361631"/>
    <w:rsid w:val="00362FA2"/>
    <w:rsid w:val="00374F27"/>
    <w:rsid w:val="00381EC0"/>
    <w:rsid w:val="003846F1"/>
    <w:rsid w:val="00391104"/>
    <w:rsid w:val="00391569"/>
    <w:rsid w:val="0039403C"/>
    <w:rsid w:val="00394F9E"/>
    <w:rsid w:val="00397692"/>
    <w:rsid w:val="00397832"/>
    <w:rsid w:val="003B02A7"/>
    <w:rsid w:val="003B5B4A"/>
    <w:rsid w:val="003B6079"/>
    <w:rsid w:val="003B6091"/>
    <w:rsid w:val="003C1405"/>
    <w:rsid w:val="003C3384"/>
    <w:rsid w:val="003C693B"/>
    <w:rsid w:val="003D1268"/>
    <w:rsid w:val="003E3CA6"/>
    <w:rsid w:val="003E599E"/>
    <w:rsid w:val="003F0BA3"/>
    <w:rsid w:val="003F14A4"/>
    <w:rsid w:val="003F186A"/>
    <w:rsid w:val="003F5D1D"/>
    <w:rsid w:val="00401C01"/>
    <w:rsid w:val="00406E22"/>
    <w:rsid w:val="00410702"/>
    <w:rsid w:val="004140AB"/>
    <w:rsid w:val="00420702"/>
    <w:rsid w:val="00423003"/>
    <w:rsid w:val="004359AA"/>
    <w:rsid w:val="00437B9A"/>
    <w:rsid w:val="00442C17"/>
    <w:rsid w:val="0044608C"/>
    <w:rsid w:val="004470E2"/>
    <w:rsid w:val="004516E9"/>
    <w:rsid w:val="00457123"/>
    <w:rsid w:val="00465A7D"/>
    <w:rsid w:val="00466E91"/>
    <w:rsid w:val="0046773F"/>
    <w:rsid w:val="004704FB"/>
    <w:rsid w:val="004709AB"/>
    <w:rsid w:val="00471C61"/>
    <w:rsid w:val="004749E5"/>
    <w:rsid w:val="00474D21"/>
    <w:rsid w:val="00480B4B"/>
    <w:rsid w:val="004813C0"/>
    <w:rsid w:val="0048311C"/>
    <w:rsid w:val="00483342"/>
    <w:rsid w:val="00485DC4"/>
    <w:rsid w:val="00492ACB"/>
    <w:rsid w:val="00496599"/>
    <w:rsid w:val="004B2169"/>
    <w:rsid w:val="004B3C5B"/>
    <w:rsid w:val="004B4412"/>
    <w:rsid w:val="004B444D"/>
    <w:rsid w:val="004B57C4"/>
    <w:rsid w:val="004B5A15"/>
    <w:rsid w:val="004C2D90"/>
    <w:rsid w:val="004C348C"/>
    <w:rsid w:val="004C45A2"/>
    <w:rsid w:val="004C6918"/>
    <w:rsid w:val="004D55BA"/>
    <w:rsid w:val="004E2B96"/>
    <w:rsid w:val="004F79B9"/>
    <w:rsid w:val="00500805"/>
    <w:rsid w:val="00501268"/>
    <w:rsid w:val="00501284"/>
    <w:rsid w:val="00506512"/>
    <w:rsid w:val="00507175"/>
    <w:rsid w:val="005121CC"/>
    <w:rsid w:val="0051399F"/>
    <w:rsid w:val="00513E73"/>
    <w:rsid w:val="00514FBD"/>
    <w:rsid w:val="005152EF"/>
    <w:rsid w:val="00517642"/>
    <w:rsid w:val="0051791B"/>
    <w:rsid w:val="005218EC"/>
    <w:rsid w:val="00521E23"/>
    <w:rsid w:val="00524577"/>
    <w:rsid w:val="00530128"/>
    <w:rsid w:val="00532467"/>
    <w:rsid w:val="0053290E"/>
    <w:rsid w:val="00535387"/>
    <w:rsid w:val="0053754B"/>
    <w:rsid w:val="0054135C"/>
    <w:rsid w:val="00542C9E"/>
    <w:rsid w:val="00542F70"/>
    <w:rsid w:val="00543102"/>
    <w:rsid w:val="00543532"/>
    <w:rsid w:val="00545D11"/>
    <w:rsid w:val="00546162"/>
    <w:rsid w:val="00550076"/>
    <w:rsid w:val="0055007E"/>
    <w:rsid w:val="00555019"/>
    <w:rsid w:val="0055557A"/>
    <w:rsid w:val="00563DB4"/>
    <w:rsid w:val="00564A4D"/>
    <w:rsid w:val="005656B6"/>
    <w:rsid w:val="00571104"/>
    <w:rsid w:val="00571B35"/>
    <w:rsid w:val="00577A09"/>
    <w:rsid w:val="0058229F"/>
    <w:rsid w:val="00582A09"/>
    <w:rsid w:val="00584D8F"/>
    <w:rsid w:val="00586A05"/>
    <w:rsid w:val="00594325"/>
    <w:rsid w:val="00596E9B"/>
    <w:rsid w:val="00597EA3"/>
    <w:rsid w:val="005A0319"/>
    <w:rsid w:val="005A23EB"/>
    <w:rsid w:val="005A29AD"/>
    <w:rsid w:val="005A404D"/>
    <w:rsid w:val="005B0A8C"/>
    <w:rsid w:val="005B1E3C"/>
    <w:rsid w:val="005B268B"/>
    <w:rsid w:val="005C26CC"/>
    <w:rsid w:val="005C3E6A"/>
    <w:rsid w:val="005C4390"/>
    <w:rsid w:val="005D2548"/>
    <w:rsid w:val="005D79F1"/>
    <w:rsid w:val="005E75CA"/>
    <w:rsid w:val="005F34AD"/>
    <w:rsid w:val="005F4350"/>
    <w:rsid w:val="005F4F2D"/>
    <w:rsid w:val="005F563D"/>
    <w:rsid w:val="006028E2"/>
    <w:rsid w:val="006052A2"/>
    <w:rsid w:val="00614280"/>
    <w:rsid w:val="00615C6B"/>
    <w:rsid w:val="00616125"/>
    <w:rsid w:val="00616DD5"/>
    <w:rsid w:val="0062376A"/>
    <w:rsid w:val="00626C3C"/>
    <w:rsid w:val="00632D6D"/>
    <w:rsid w:val="006401B1"/>
    <w:rsid w:val="00642312"/>
    <w:rsid w:val="00642C3E"/>
    <w:rsid w:val="00644326"/>
    <w:rsid w:val="00644F2D"/>
    <w:rsid w:val="0064694D"/>
    <w:rsid w:val="00663DAD"/>
    <w:rsid w:val="006668A9"/>
    <w:rsid w:val="00667038"/>
    <w:rsid w:val="00670413"/>
    <w:rsid w:val="006712B7"/>
    <w:rsid w:val="00676679"/>
    <w:rsid w:val="00677EE7"/>
    <w:rsid w:val="006809D3"/>
    <w:rsid w:val="00687FE3"/>
    <w:rsid w:val="006A67C9"/>
    <w:rsid w:val="006A780C"/>
    <w:rsid w:val="006B4CF9"/>
    <w:rsid w:val="006B51AB"/>
    <w:rsid w:val="006B7AC8"/>
    <w:rsid w:val="006B7D87"/>
    <w:rsid w:val="006C26F7"/>
    <w:rsid w:val="006C5999"/>
    <w:rsid w:val="006D31C0"/>
    <w:rsid w:val="006D550F"/>
    <w:rsid w:val="006D68EC"/>
    <w:rsid w:val="006E448A"/>
    <w:rsid w:val="006F4D19"/>
    <w:rsid w:val="00701CAB"/>
    <w:rsid w:val="00701DDA"/>
    <w:rsid w:val="00702929"/>
    <w:rsid w:val="007053F9"/>
    <w:rsid w:val="007072F7"/>
    <w:rsid w:val="00707563"/>
    <w:rsid w:val="00714529"/>
    <w:rsid w:val="0072038D"/>
    <w:rsid w:val="0072348C"/>
    <w:rsid w:val="00724A37"/>
    <w:rsid w:val="007303C3"/>
    <w:rsid w:val="00741E48"/>
    <w:rsid w:val="00743223"/>
    <w:rsid w:val="00746E01"/>
    <w:rsid w:val="00747301"/>
    <w:rsid w:val="00757176"/>
    <w:rsid w:val="007619B1"/>
    <w:rsid w:val="00763E5D"/>
    <w:rsid w:val="00765562"/>
    <w:rsid w:val="00767740"/>
    <w:rsid w:val="00776B7F"/>
    <w:rsid w:val="00777EE6"/>
    <w:rsid w:val="007805D4"/>
    <w:rsid w:val="00780BF1"/>
    <w:rsid w:val="00782EEA"/>
    <w:rsid w:val="00785E65"/>
    <w:rsid w:val="0079615D"/>
    <w:rsid w:val="007A0213"/>
    <w:rsid w:val="007A5CB3"/>
    <w:rsid w:val="007B1723"/>
    <w:rsid w:val="007B2C72"/>
    <w:rsid w:val="007B58EA"/>
    <w:rsid w:val="007B5D9F"/>
    <w:rsid w:val="007C0E5D"/>
    <w:rsid w:val="007C14D5"/>
    <w:rsid w:val="007C1C53"/>
    <w:rsid w:val="007C2AB5"/>
    <w:rsid w:val="007C72AD"/>
    <w:rsid w:val="007D1468"/>
    <w:rsid w:val="007E4904"/>
    <w:rsid w:val="007E4CB5"/>
    <w:rsid w:val="007F066B"/>
    <w:rsid w:val="007F5631"/>
    <w:rsid w:val="007F70A1"/>
    <w:rsid w:val="008008FA"/>
    <w:rsid w:val="008033C4"/>
    <w:rsid w:val="00803E1D"/>
    <w:rsid w:val="008045D8"/>
    <w:rsid w:val="00806C88"/>
    <w:rsid w:val="0081034E"/>
    <w:rsid w:val="00811159"/>
    <w:rsid w:val="008276C5"/>
    <w:rsid w:val="00827F16"/>
    <w:rsid w:val="00831B0B"/>
    <w:rsid w:val="008344F6"/>
    <w:rsid w:val="0083510F"/>
    <w:rsid w:val="0083686D"/>
    <w:rsid w:val="00837A89"/>
    <w:rsid w:val="00841EB0"/>
    <w:rsid w:val="00842A8F"/>
    <w:rsid w:val="00847A4C"/>
    <w:rsid w:val="00851209"/>
    <w:rsid w:val="0086406E"/>
    <w:rsid w:val="00865A89"/>
    <w:rsid w:val="00866E31"/>
    <w:rsid w:val="00872383"/>
    <w:rsid w:val="00874A37"/>
    <w:rsid w:val="008837AC"/>
    <w:rsid w:val="00883E90"/>
    <w:rsid w:val="0088405D"/>
    <w:rsid w:val="008928FF"/>
    <w:rsid w:val="00895E59"/>
    <w:rsid w:val="008A27E7"/>
    <w:rsid w:val="008A42C8"/>
    <w:rsid w:val="008A587D"/>
    <w:rsid w:val="008A5987"/>
    <w:rsid w:val="008A79F8"/>
    <w:rsid w:val="008B0084"/>
    <w:rsid w:val="008B080F"/>
    <w:rsid w:val="008B5182"/>
    <w:rsid w:val="008C1CE7"/>
    <w:rsid w:val="008C5486"/>
    <w:rsid w:val="008D005E"/>
    <w:rsid w:val="008D1466"/>
    <w:rsid w:val="008D1F85"/>
    <w:rsid w:val="008D621C"/>
    <w:rsid w:val="008E10B8"/>
    <w:rsid w:val="008E7031"/>
    <w:rsid w:val="008F115A"/>
    <w:rsid w:val="009010C2"/>
    <w:rsid w:val="00906033"/>
    <w:rsid w:val="0091542F"/>
    <w:rsid w:val="00916F4A"/>
    <w:rsid w:val="009233EE"/>
    <w:rsid w:val="00925DBC"/>
    <w:rsid w:val="00925FC9"/>
    <w:rsid w:val="00932E0B"/>
    <w:rsid w:val="00935B70"/>
    <w:rsid w:val="00941F2F"/>
    <w:rsid w:val="00944D4E"/>
    <w:rsid w:val="009466D2"/>
    <w:rsid w:val="00955854"/>
    <w:rsid w:val="00956D00"/>
    <w:rsid w:val="009661DE"/>
    <w:rsid w:val="00970111"/>
    <w:rsid w:val="00977EA1"/>
    <w:rsid w:val="009852BB"/>
    <w:rsid w:val="009854F4"/>
    <w:rsid w:val="009856B7"/>
    <w:rsid w:val="00986E26"/>
    <w:rsid w:val="0099098F"/>
    <w:rsid w:val="00993B6E"/>
    <w:rsid w:val="009944DF"/>
    <w:rsid w:val="00994A68"/>
    <w:rsid w:val="009970B1"/>
    <w:rsid w:val="009A035C"/>
    <w:rsid w:val="009A0967"/>
    <w:rsid w:val="009B74B0"/>
    <w:rsid w:val="009C1E3A"/>
    <w:rsid w:val="009C2ACB"/>
    <w:rsid w:val="009C3EEC"/>
    <w:rsid w:val="009C730A"/>
    <w:rsid w:val="009C7D3B"/>
    <w:rsid w:val="009D0843"/>
    <w:rsid w:val="009D2DD4"/>
    <w:rsid w:val="009D2EA5"/>
    <w:rsid w:val="009D4938"/>
    <w:rsid w:val="009D6B46"/>
    <w:rsid w:val="009F4940"/>
    <w:rsid w:val="009F5E9A"/>
    <w:rsid w:val="009F78F3"/>
    <w:rsid w:val="00A0196E"/>
    <w:rsid w:val="00A1169D"/>
    <w:rsid w:val="00A13320"/>
    <w:rsid w:val="00A21BF2"/>
    <w:rsid w:val="00A231D7"/>
    <w:rsid w:val="00A3100E"/>
    <w:rsid w:val="00A348A8"/>
    <w:rsid w:val="00A37210"/>
    <w:rsid w:val="00A401AD"/>
    <w:rsid w:val="00A43C75"/>
    <w:rsid w:val="00A4478A"/>
    <w:rsid w:val="00A44852"/>
    <w:rsid w:val="00A524D5"/>
    <w:rsid w:val="00A558E5"/>
    <w:rsid w:val="00A57D04"/>
    <w:rsid w:val="00A60389"/>
    <w:rsid w:val="00A60A26"/>
    <w:rsid w:val="00A61598"/>
    <w:rsid w:val="00A617A0"/>
    <w:rsid w:val="00A62905"/>
    <w:rsid w:val="00A62FD2"/>
    <w:rsid w:val="00A63655"/>
    <w:rsid w:val="00A7193A"/>
    <w:rsid w:val="00A77577"/>
    <w:rsid w:val="00A7772B"/>
    <w:rsid w:val="00A803D0"/>
    <w:rsid w:val="00A839A4"/>
    <w:rsid w:val="00A84F46"/>
    <w:rsid w:val="00A86DB9"/>
    <w:rsid w:val="00A871F4"/>
    <w:rsid w:val="00A92859"/>
    <w:rsid w:val="00A939B4"/>
    <w:rsid w:val="00AA0384"/>
    <w:rsid w:val="00AA5F16"/>
    <w:rsid w:val="00AA6576"/>
    <w:rsid w:val="00AB00C0"/>
    <w:rsid w:val="00AB1866"/>
    <w:rsid w:val="00AB50F9"/>
    <w:rsid w:val="00AB620A"/>
    <w:rsid w:val="00AB697F"/>
    <w:rsid w:val="00AC1B2C"/>
    <w:rsid w:val="00AC1C3D"/>
    <w:rsid w:val="00AC3264"/>
    <w:rsid w:val="00AC409B"/>
    <w:rsid w:val="00AC524B"/>
    <w:rsid w:val="00AC5A4F"/>
    <w:rsid w:val="00AD1996"/>
    <w:rsid w:val="00AD32C3"/>
    <w:rsid w:val="00AD448E"/>
    <w:rsid w:val="00AD526F"/>
    <w:rsid w:val="00AE1BF1"/>
    <w:rsid w:val="00AE25CC"/>
    <w:rsid w:val="00AE458E"/>
    <w:rsid w:val="00AE4D60"/>
    <w:rsid w:val="00AF0CEC"/>
    <w:rsid w:val="00AF0DD2"/>
    <w:rsid w:val="00AF145E"/>
    <w:rsid w:val="00AF3CC8"/>
    <w:rsid w:val="00AF49A5"/>
    <w:rsid w:val="00B000D4"/>
    <w:rsid w:val="00B04674"/>
    <w:rsid w:val="00B1133C"/>
    <w:rsid w:val="00B13048"/>
    <w:rsid w:val="00B1716D"/>
    <w:rsid w:val="00B17A1D"/>
    <w:rsid w:val="00B207A0"/>
    <w:rsid w:val="00B2402F"/>
    <w:rsid w:val="00B26EB0"/>
    <w:rsid w:val="00B30988"/>
    <w:rsid w:val="00B46279"/>
    <w:rsid w:val="00B50C84"/>
    <w:rsid w:val="00B56E03"/>
    <w:rsid w:val="00B66DCA"/>
    <w:rsid w:val="00B66F35"/>
    <w:rsid w:val="00B7060F"/>
    <w:rsid w:val="00B72C9E"/>
    <w:rsid w:val="00B8080B"/>
    <w:rsid w:val="00B8545C"/>
    <w:rsid w:val="00B87B5F"/>
    <w:rsid w:val="00B87C39"/>
    <w:rsid w:val="00B9347D"/>
    <w:rsid w:val="00B93CD1"/>
    <w:rsid w:val="00B94241"/>
    <w:rsid w:val="00BA26BF"/>
    <w:rsid w:val="00BA3DA0"/>
    <w:rsid w:val="00BA4665"/>
    <w:rsid w:val="00BB1BD9"/>
    <w:rsid w:val="00BB2FB2"/>
    <w:rsid w:val="00BB3304"/>
    <w:rsid w:val="00BB74C6"/>
    <w:rsid w:val="00BC086F"/>
    <w:rsid w:val="00BD25D2"/>
    <w:rsid w:val="00BD2D55"/>
    <w:rsid w:val="00BD3446"/>
    <w:rsid w:val="00BD7FA9"/>
    <w:rsid w:val="00BE1F1B"/>
    <w:rsid w:val="00BE47B5"/>
    <w:rsid w:val="00BE63B6"/>
    <w:rsid w:val="00BF253F"/>
    <w:rsid w:val="00C122AD"/>
    <w:rsid w:val="00C224F2"/>
    <w:rsid w:val="00C23B71"/>
    <w:rsid w:val="00C2508C"/>
    <w:rsid w:val="00C25CA1"/>
    <w:rsid w:val="00C37D8D"/>
    <w:rsid w:val="00C41C51"/>
    <w:rsid w:val="00C444B8"/>
    <w:rsid w:val="00C46AA2"/>
    <w:rsid w:val="00C522EE"/>
    <w:rsid w:val="00C52827"/>
    <w:rsid w:val="00C538A9"/>
    <w:rsid w:val="00C53B5A"/>
    <w:rsid w:val="00C54162"/>
    <w:rsid w:val="00C54F5A"/>
    <w:rsid w:val="00C700BD"/>
    <w:rsid w:val="00C7691F"/>
    <w:rsid w:val="00C80FB1"/>
    <w:rsid w:val="00C85664"/>
    <w:rsid w:val="00C858D0"/>
    <w:rsid w:val="00C86679"/>
    <w:rsid w:val="00C9357E"/>
    <w:rsid w:val="00C976FD"/>
    <w:rsid w:val="00CA0D60"/>
    <w:rsid w:val="00CB2E22"/>
    <w:rsid w:val="00CB2F23"/>
    <w:rsid w:val="00CB666B"/>
    <w:rsid w:val="00CB7179"/>
    <w:rsid w:val="00CC3A7A"/>
    <w:rsid w:val="00CC5BA6"/>
    <w:rsid w:val="00CD117C"/>
    <w:rsid w:val="00CD230A"/>
    <w:rsid w:val="00CF08E4"/>
    <w:rsid w:val="00CF1A46"/>
    <w:rsid w:val="00D01CF0"/>
    <w:rsid w:val="00D0214F"/>
    <w:rsid w:val="00D03A77"/>
    <w:rsid w:val="00D0442A"/>
    <w:rsid w:val="00D21E7F"/>
    <w:rsid w:val="00D36F2E"/>
    <w:rsid w:val="00D37DB8"/>
    <w:rsid w:val="00D520CB"/>
    <w:rsid w:val="00D55CFF"/>
    <w:rsid w:val="00D606FD"/>
    <w:rsid w:val="00D61388"/>
    <w:rsid w:val="00D61A54"/>
    <w:rsid w:val="00D64DEA"/>
    <w:rsid w:val="00D65BCF"/>
    <w:rsid w:val="00D80893"/>
    <w:rsid w:val="00D82D8E"/>
    <w:rsid w:val="00D91976"/>
    <w:rsid w:val="00D92CF1"/>
    <w:rsid w:val="00D92D38"/>
    <w:rsid w:val="00D92E87"/>
    <w:rsid w:val="00D950F5"/>
    <w:rsid w:val="00D9757C"/>
    <w:rsid w:val="00DA1B32"/>
    <w:rsid w:val="00DA3F56"/>
    <w:rsid w:val="00DB0F93"/>
    <w:rsid w:val="00DB67BE"/>
    <w:rsid w:val="00DC056F"/>
    <w:rsid w:val="00DC5BE7"/>
    <w:rsid w:val="00DC7981"/>
    <w:rsid w:val="00DD2991"/>
    <w:rsid w:val="00DD75F0"/>
    <w:rsid w:val="00DE0232"/>
    <w:rsid w:val="00DE091D"/>
    <w:rsid w:val="00DE2EF4"/>
    <w:rsid w:val="00DE40EB"/>
    <w:rsid w:val="00DE4EFA"/>
    <w:rsid w:val="00DE5520"/>
    <w:rsid w:val="00DE5927"/>
    <w:rsid w:val="00DE5E9A"/>
    <w:rsid w:val="00DE63D1"/>
    <w:rsid w:val="00DF5258"/>
    <w:rsid w:val="00DF60A6"/>
    <w:rsid w:val="00E04818"/>
    <w:rsid w:val="00E05C02"/>
    <w:rsid w:val="00E06442"/>
    <w:rsid w:val="00E06497"/>
    <w:rsid w:val="00E07093"/>
    <w:rsid w:val="00E10AF1"/>
    <w:rsid w:val="00E10B7E"/>
    <w:rsid w:val="00E11300"/>
    <w:rsid w:val="00E12002"/>
    <w:rsid w:val="00E12E3D"/>
    <w:rsid w:val="00E16362"/>
    <w:rsid w:val="00E16788"/>
    <w:rsid w:val="00E23993"/>
    <w:rsid w:val="00E254B4"/>
    <w:rsid w:val="00E25B8C"/>
    <w:rsid w:val="00E308CF"/>
    <w:rsid w:val="00E329E3"/>
    <w:rsid w:val="00E357C6"/>
    <w:rsid w:val="00E37A0C"/>
    <w:rsid w:val="00E406D5"/>
    <w:rsid w:val="00E40EB8"/>
    <w:rsid w:val="00E42C61"/>
    <w:rsid w:val="00E44186"/>
    <w:rsid w:val="00E44AB2"/>
    <w:rsid w:val="00E50F75"/>
    <w:rsid w:val="00E53DEE"/>
    <w:rsid w:val="00E55426"/>
    <w:rsid w:val="00E64DA4"/>
    <w:rsid w:val="00E65C85"/>
    <w:rsid w:val="00E66199"/>
    <w:rsid w:val="00E7008E"/>
    <w:rsid w:val="00E71C11"/>
    <w:rsid w:val="00E72CC2"/>
    <w:rsid w:val="00E7506A"/>
    <w:rsid w:val="00E755EC"/>
    <w:rsid w:val="00E7624D"/>
    <w:rsid w:val="00E811DF"/>
    <w:rsid w:val="00E865C0"/>
    <w:rsid w:val="00E8701D"/>
    <w:rsid w:val="00E873F9"/>
    <w:rsid w:val="00E9037D"/>
    <w:rsid w:val="00E92107"/>
    <w:rsid w:val="00E955AA"/>
    <w:rsid w:val="00EA1B12"/>
    <w:rsid w:val="00EA3287"/>
    <w:rsid w:val="00EA3D42"/>
    <w:rsid w:val="00EA3D54"/>
    <w:rsid w:val="00EA4743"/>
    <w:rsid w:val="00EA6B1B"/>
    <w:rsid w:val="00EC0338"/>
    <w:rsid w:val="00ED286D"/>
    <w:rsid w:val="00ED28D4"/>
    <w:rsid w:val="00ED6A69"/>
    <w:rsid w:val="00EE28F3"/>
    <w:rsid w:val="00EF5110"/>
    <w:rsid w:val="00F1115B"/>
    <w:rsid w:val="00F14D12"/>
    <w:rsid w:val="00F15882"/>
    <w:rsid w:val="00F176B9"/>
    <w:rsid w:val="00F20BD3"/>
    <w:rsid w:val="00F23512"/>
    <w:rsid w:val="00F26036"/>
    <w:rsid w:val="00F2640A"/>
    <w:rsid w:val="00F30935"/>
    <w:rsid w:val="00F32268"/>
    <w:rsid w:val="00F322A0"/>
    <w:rsid w:val="00F332DF"/>
    <w:rsid w:val="00F33920"/>
    <w:rsid w:val="00F3657B"/>
    <w:rsid w:val="00F373A5"/>
    <w:rsid w:val="00F46625"/>
    <w:rsid w:val="00F47559"/>
    <w:rsid w:val="00F5257F"/>
    <w:rsid w:val="00F56190"/>
    <w:rsid w:val="00F60A84"/>
    <w:rsid w:val="00F64C7B"/>
    <w:rsid w:val="00F676DD"/>
    <w:rsid w:val="00F75A26"/>
    <w:rsid w:val="00F778FB"/>
    <w:rsid w:val="00F82B2E"/>
    <w:rsid w:val="00F83FAD"/>
    <w:rsid w:val="00F9124A"/>
    <w:rsid w:val="00F94BBB"/>
    <w:rsid w:val="00F952A0"/>
    <w:rsid w:val="00F971A0"/>
    <w:rsid w:val="00FA3C7F"/>
    <w:rsid w:val="00FB0767"/>
    <w:rsid w:val="00FB74E2"/>
    <w:rsid w:val="00FD01C3"/>
    <w:rsid w:val="00FD0529"/>
    <w:rsid w:val="00FD5614"/>
    <w:rsid w:val="00FE0BE1"/>
    <w:rsid w:val="00FE1DE9"/>
    <w:rsid w:val="00FE286C"/>
    <w:rsid w:val="00FE39C2"/>
    <w:rsid w:val="00FE612E"/>
    <w:rsid w:val="00FE64AE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2DC80"/>
  <w15:docId w15:val="{4ADC8B3E-1314-47F9-BA63-778F9CC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  <w:style w:type="paragraph" w:customStyle="1" w:styleId="zdefinition">
    <w:name w:val="zdefinition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1">
    <w:name w:val="zp1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">
    <w:name w:val="rc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aiglobal.co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D402EA-8334-4C51-BF28-A60DDF19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Abhinav Suresh</dc:creator>
  <cp:keywords/>
  <dc:description/>
  <cp:lastModifiedBy>Milne, Gary</cp:lastModifiedBy>
  <cp:revision>14</cp:revision>
  <cp:lastPrinted>2018-11-16T00:52:00Z</cp:lastPrinted>
  <dcterms:created xsi:type="dcterms:W3CDTF">2018-10-24T03:25:00Z</dcterms:created>
  <dcterms:modified xsi:type="dcterms:W3CDTF">2019-02-11T04:54:00Z</dcterms:modified>
</cp:coreProperties>
</file>