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15428D29" w14:textId="77777777" w:rsidR="0043632A" w:rsidRPr="00645B27" w:rsidRDefault="0043632A" w:rsidP="00D26ADA">
      <w:pPr>
        <w:spacing w:before="0"/>
        <w:ind w:right="40"/>
        <w:jc w:val="center"/>
        <w:rPr>
          <w:b/>
          <w:szCs w:val="24"/>
          <w:u w:val="single"/>
        </w:rPr>
      </w:pPr>
    </w:p>
    <w:p w14:paraId="465CB8A7" w14:textId="1050041A" w:rsidR="00BF6037" w:rsidRDefault="00BF6037" w:rsidP="00D26ADA">
      <w:pPr>
        <w:spacing w:before="0"/>
        <w:ind w:right="40"/>
        <w:jc w:val="center"/>
        <w:rPr>
          <w:szCs w:val="24"/>
        </w:rPr>
      </w:pPr>
      <w:r w:rsidRPr="00645B27">
        <w:rPr>
          <w:szCs w:val="24"/>
        </w:rPr>
        <w:t xml:space="preserve">Issued by the Minister for </w:t>
      </w:r>
      <w:r w:rsidR="00827293">
        <w:rPr>
          <w:szCs w:val="24"/>
        </w:rPr>
        <w:t>Home Affairs</w:t>
      </w:r>
    </w:p>
    <w:p w14:paraId="569B4350" w14:textId="0F30054C" w:rsidR="000417E8" w:rsidRDefault="000417E8" w:rsidP="00AD3443">
      <w:pPr>
        <w:spacing w:before="0"/>
        <w:ind w:right="91"/>
        <w:rPr>
          <w:i/>
        </w:rPr>
      </w:pPr>
    </w:p>
    <w:p w14:paraId="3C45CC2F" w14:textId="797FD79D" w:rsidR="000417E8" w:rsidRPr="00B65BF6" w:rsidRDefault="000417E8" w:rsidP="000417E8">
      <w:pPr>
        <w:spacing w:before="0"/>
        <w:ind w:right="91"/>
        <w:jc w:val="center"/>
        <w:rPr>
          <w:i/>
        </w:rPr>
      </w:pPr>
      <w:r>
        <w:rPr>
          <w:i/>
        </w:rPr>
        <w:t>Telecommunications (Interception and Access) Act 1979</w:t>
      </w:r>
    </w:p>
    <w:p w14:paraId="55EAADF4" w14:textId="77777777" w:rsidR="000417E8" w:rsidRDefault="000417E8" w:rsidP="000417E8">
      <w:pPr>
        <w:spacing w:before="0"/>
        <w:ind w:right="91"/>
        <w:jc w:val="center"/>
        <w:rPr>
          <w:i/>
          <w:szCs w:val="24"/>
        </w:rPr>
      </w:pPr>
    </w:p>
    <w:p w14:paraId="64D953F8" w14:textId="56D0AF0F" w:rsidR="00AD3443" w:rsidRPr="00B65BF6" w:rsidRDefault="00AD3443" w:rsidP="00AD3443">
      <w:pPr>
        <w:spacing w:before="0"/>
        <w:ind w:right="91"/>
        <w:jc w:val="center"/>
        <w:rPr>
          <w:i/>
        </w:rPr>
      </w:pPr>
      <w:r>
        <w:rPr>
          <w:i/>
        </w:rPr>
        <w:t>Telecommunications (Interception and Access) Amendment Regulations 201</w:t>
      </w:r>
      <w:r w:rsidR="00116CD8">
        <w:rPr>
          <w:i/>
        </w:rPr>
        <w:t>9</w:t>
      </w:r>
    </w:p>
    <w:p w14:paraId="221A85B8" w14:textId="32247848" w:rsidR="000417E8" w:rsidRDefault="000417E8" w:rsidP="000417E8">
      <w:pPr>
        <w:keepNext/>
        <w:keepLines/>
        <w:spacing w:before="0"/>
        <w:ind w:right="91"/>
      </w:pPr>
    </w:p>
    <w:p w14:paraId="6E88A687" w14:textId="43E92353" w:rsidR="000417E8" w:rsidRPr="00F31B19" w:rsidRDefault="000417E8" w:rsidP="000417E8">
      <w:pPr>
        <w:keepNext/>
        <w:keepLines/>
        <w:spacing w:before="0"/>
        <w:ind w:right="91"/>
      </w:pPr>
      <w:r>
        <w:t xml:space="preserve">The </w:t>
      </w:r>
      <w:r>
        <w:rPr>
          <w:i/>
        </w:rPr>
        <w:t xml:space="preserve">Telecommunications (Interception and Access) Act 1979 </w:t>
      </w:r>
      <w:r>
        <w:t xml:space="preserve">(the TIA Act) </w:t>
      </w:r>
      <w:r w:rsidR="00827293" w:rsidRPr="00827293">
        <w:t>regulates access to telecommunications content and data. It provides the legal framework for intelligence and law-enforcement agencies to access information held by communications providers for the investigation of criminal offences and other activities that threaten safety and security. The Act prohibits the interception of telecommunications, except in specified circumstances. The Act outlines the issue of warrants for authorising the interception of telecommunications.</w:t>
      </w:r>
    </w:p>
    <w:p w14:paraId="648B83D7" w14:textId="77777777" w:rsidR="00186DA1" w:rsidRPr="00186DA1" w:rsidRDefault="00186DA1" w:rsidP="00186DA1">
      <w:pPr>
        <w:keepNext/>
        <w:keepLines/>
        <w:spacing w:before="0"/>
        <w:ind w:right="91"/>
        <w:rPr>
          <w:szCs w:val="24"/>
        </w:rPr>
      </w:pPr>
    </w:p>
    <w:p w14:paraId="6DC328BF" w14:textId="77777777" w:rsidR="00AD3443" w:rsidRDefault="00AD3443" w:rsidP="00AD3443">
      <w:pPr>
        <w:keepNext/>
        <w:keepLines/>
        <w:spacing w:before="0"/>
        <w:ind w:right="91"/>
        <w:jc w:val="both"/>
      </w:pPr>
      <w:r>
        <w:t xml:space="preserve">Section 300 of the TIA Act </w:t>
      </w:r>
      <w:r w:rsidRPr="00F31B19">
        <w:t>relevantly provide that the Governor</w:t>
      </w:r>
      <w:r w:rsidRPr="00F31B19">
        <w:noBreakHyphen/>
        <w:t>General may make regulations prescribing matters required or permitted by the relevant Act to be prescribed, or necessary or convenient to be prescribed, for carry</w:t>
      </w:r>
      <w:r>
        <w:t xml:space="preserve">ing out or giving effect to </w:t>
      </w:r>
      <w:r w:rsidRPr="00F31B19">
        <w:t xml:space="preserve">the </w:t>
      </w:r>
      <w:r>
        <w:t>TIA Act</w:t>
      </w:r>
      <w:r w:rsidRPr="00F31B19">
        <w:t>.  </w:t>
      </w:r>
    </w:p>
    <w:p w14:paraId="72FF1C59" w14:textId="77777777" w:rsidR="00AD3443" w:rsidRDefault="00AD3443" w:rsidP="00AD3443">
      <w:pPr>
        <w:spacing w:before="0"/>
        <w:ind w:right="42"/>
        <w:rPr>
          <w:szCs w:val="24"/>
        </w:rPr>
      </w:pPr>
    </w:p>
    <w:p w14:paraId="3FEF7100" w14:textId="3076DE1B" w:rsidR="00AD3443" w:rsidRDefault="00AD3443" w:rsidP="00AD3443">
      <w:pPr>
        <w:spacing w:before="0"/>
        <w:ind w:right="43"/>
        <w:rPr>
          <w:szCs w:val="24"/>
        </w:rPr>
      </w:pPr>
      <w:r w:rsidRPr="0061423F">
        <w:rPr>
          <w:szCs w:val="24"/>
        </w:rPr>
        <w:t xml:space="preserve">In addition, </w:t>
      </w:r>
      <w:r>
        <w:rPr>
          <w:szCs w:val="24"/>
        </w:rPr>
        <w:t>s</w:t>
      </w:r>
      <w:r w:rsidRPr="00AD4A74">
        <w:rPr>
          <w:szCs w:val="24"/>
        </w:rPr>
        <w:t>ection 180X of the TIA Act provides that the Prime Minister shall declare, in writing, one or more persons to be Public Interest Advocates, with provision that the regulations may prescribe matters relating to the performance of the role of a Public Interest Advocate (subsection 180X(3)).</w:t>
      </w:r>
    </w:p>
    <w:p w14:paraId="5B3373AB" w14:textId="77777777" w:rsidR="00AD3443" w:rsidRDefault="00AD3443" w:rsidP="00AD3443">
      <w:pPr>
        <w:spacing w:before="0"/>
        <w:ind w:right="43"/>
        <w:rPr>
          <w:szCs w:val="24"/>
        </w:rPr>
      </w:pPr>
    </w:p>
    <w:p w14:paraId="3A30F9C1" w14:textId="01AEE2B7" w:rsidR="00AD3443" w:rsidRDefault="00AD3443" w:rsidP="00AD3443">
      <w:pPr>
        <w:keepNext/>
        <w:keepLines/>
        <w:spacing w:before="0" w:afterLines="100" w:after="240"/>
        <w:ind w:right="91"/>
      </w:pPr>
      <w:r w:rsidRPr="00407E9C">
        <w:rPr>
          <w:lang w:val="en"/>
        </w:rPr>
        <w:t xml:space="preserve">The </w:t>
      </w:r>
      <w:r>
        <w:rPr>
          <w:i/>
        </w:rPr>
        <w:t>Telecommunications (Interception and Access) Amendment Regulations 201</w:t>
      </w:r>
      <w:r w:rsidR="00116CD8">
        <w:rPr>
          <w:i/>
        </w:rPr>
        <w:t>9</w:t>
      </w:r>
      <w:r w:rsidRPr="006C1271">
        <w:t xml:space="preserve"> </w:t>
      </w:r>
      <w:r>
        <w:t>(the</w:t>
      </w:r>
      <w:r w:rsidR="00CA3FDD">
        <w:t> </w:t>
      </w:r>
      <w:r>
        <w:t xml:space="preserve">Regulations) amend the </w:t>
      </w:r>
      <w:r w:rsidRPr="00F31B19">
        <w:rPr>
          <w:i/>
        </w:rPr>
        <w:t>Telecommunica</w:t>
      </w:r>
      <w:r>
        <w:rPr>
          <w:i/>
        </w:rPr>
        <w:t xml:space="preserve">tions (Interception and Access) </w:t>
      </w:r>
      <w:r w:rsidRPr="00F31B19">
        <w:rPr>
          <w:i/>
        </w:rPr>
        <w:t>Regulations 2017</w:t>
      </w:r>
      <w:r>
        <w:t xml:space="preserve"> (the TIA Regulations) </w:t>
      </w:r>
      <w:r w:rsidRPr="005E549E">
        <w:t>to update references to authorities to reflect the transfer of responsibilities from the Attorney-General’s Department to the Department of Home Affairs.  </w:t>
      </w:r>
    </w:p>
    <w:p w14:paraId="65D7E8DA" w14:textId="78D594F7" w:rsidR="00AD3443" w:rsidRPr="00886A45" w:rsidRDefault="00AD3443" w:rsidP="00AD3443">
      <w:pPr>
        <w:keepNext/>
        <w:keepLines/>
        <w:spacing w:before="0" w:afterLines="100" w:after="240"/>
        <w:ind w:right="91"/>
      </w:pPr>
      <w:r w:rsidRPr="006A3720">
        <w:t>In particular</w:t>
      </w:r>
      <w:r>
        <w:t xml:space="preserve">, the Regulations </w:t>
      </w:r>
      <w:r w:rsidRPr="00FA21A3">
        <w:t xml:space="preserve">amend the </w:t>
      </w:r>
      <w:r>
        <w:t xml:space="preserve">TIA </w:t>
      </w:r>
      <w:r w:rsidRPr="00FA21A3">
        <w:t xml:space="preserve">Regulations so that provisions refer to the appropriate Minister following transfer of responsibility for the </w:t>
      </w:r>
      <w:r>
        <w:t>TIA Act</w:t>
      </w:r>
      <w:r w:rsidRPr="00FA21A3">
        <w:t xml:space="preserve"> from the Attorney</w:t>
      </w:r>
      <w:r w:rsidR="00CA3FDD">
        <w:noBreakHyphen/>
      </w:r>
      <w:r w:rsidRPr="00FA21A3">
        <w:t>General’s portfoli</w:t>
      </w:r>
      <w:r>
        <w:t xml:space="preserve">o to the Home Affairs portfolio. </w:t>
      </w:r>
    </w:p>
    <w:p w14:paraId="47700AC5" w14:textId="460FFFFC" w:rsidR="00FA21A3" w:rsidRDefault="00FA21A3" w:rsidP="00FA21A3">
      <w:pPr>
        <w:autoSpaceDE w:val="0"/>
        <w:autoSpaceDN w:val="0"/>
        <w:adjustRightInd w:val="0"/>
        <w:spacing w:before="0" w:after="164"/>
        <w:rPr>
          <w:color w:val="000000"/>
          <w:szCs w:val="24"/>
        </w:rPr>
      </w:pPr>
      <w:r w:rsidRPr="00FA21A3">
        <w:rPr>
          <w:color w:val="000000"/>
          <w:szCs w:val="24"/>
        </w:rPr>
        <w:t xml:space="preserve">The Administrative Arrangements Order was amended on 10 May 2018 to transfer responsibility for the </w:t>
      </w:r>
      <w:r w:rsidR="00E5058D">
        <w:rPr>
          <w:color w:val="000000"/>
          <w:szCs w:val="24"/>
        </w:rPr>
        <w:t xml:space="preserve">TIA </w:t>
      </w:r>
      <w:r w:rsidRPr="00FA21A3">
        <w:rPr>
          <w:color w:val="000000"/>
          <w:szCs w:val="24"/>
        </w:rPr>
        <w:t xml:space="preserve">Act from the Attorney-General’s Department to </w:t>
      </w:r>
      <w:r w:rsidR="00E5058D">
        <w:rPr>
          <w:color w:val="000000"/>
          <w:szCs w:val="24"/>
        </w:rPr>
        <w:t xml:space="preserve">the Department of Home Affairs. </w:t>
      </w:r>
      <w:r w:rsidRPr="00FA21A3">
        <w:rPr>
          <w:color w:val="000000"/>
          <w:szCs w:val="24"/>
        </w:rPr>
        <w:t xml:space="preserve">However, it was intended that certain powers in the </w:t>
      </w:r>
      <w:r w:rsidR="00E5058D">
        <w:rPr>
          <w:color w:val="000000"/>
          <w:szCs w:val="24"/>
        </w:rPr>
        <w:t xml:space="preserve">TIA </w:t>
      </w:r>
      <w:r w:rsidRPr="00FA21A3">
        <w:rPr>
          <w:color w:val="000000"/>
          <w:szCs w:val="24"/>
        </w:rPr>
        <w:t>Act, related to oversight of intelligence, security and law enforcement agencies, remain with the Attorney</w:t>
      </w:r>
      <w:r w:rsidR="00CA3FDD">
        <w:rPr>
          <w:color w:val="000000"/>
          <w:szCs w:val="24"/>
        </w:rPr>
        <w:noBreakHyphen/>
      </w:r>
      <w:r w:rsidRPr="00FA21A3">
        <w:rPr>
          <w:color w:val="000000"/>
          <w:szCs w:val="24"/>
        </w:rPr>
        <w:t xml:space="preserve">General. Accordingly, on 11 May 2018, the </w:t>
      </w:r>
      <w:r w:rsidRPr="00FA21A3">
        <w:rPr>
          <w:i/>
          <w:iCs/>
          <w:color w:val="000000"/>
          <w:szCs w:val="24"/>
        </w:rPr>
        <w:t>Home Affairs and Integrity Agencies Legislation Amendment Act 2018</w:t>
      </w:r>
      <w:r w:rsidRPr="00FA21A3">
        <w:rPr>
          <w:color w:val="000000"/>
          <w:szCs w:val="24"/>
        </w:rPr>
        <w:t xml:space="preserve"> amended a number of provisions in the </w:t>
      </w:r>
      <w:r w:rsidR="00E5058D">
        <w:rPr>
          <w:color w:val="000000"/>
          <w:szCs w:val="24"/>
        </w:rPr>
        <w:t xml:space="preserve">TIA </w:t>
      </w:r>
      <w:r w:rsidRPr="00FA21A3">
        <w:rPr>
          <w:color w:val="000000"/>
          <w:szCs w:val="24"/>
        </w:rPr>
        <w:t>Act to change the responsible Minister from ‘the Minister’ to ‘the Attorney-General’</w:t>
      </w:r>
      <w:r w:rsidR="00366271">
        <w:rPr>
          <w:color w:val="000000"/>
          <w:szCs w:val="24"/>
        </w:rPr>
        <w:t>, however the corresponding references to ‘the Minister’ in the Regulations</w:t>
      </w:r>
      <w:r w:rsidR="00366271" w:rsidRPr="00FA21A3">
        <w:rPr>
          <w:color w:val="000000"/>
          <w:szCs w:val="24"/>
        </w:rPr>
        <w:t xml:space="preserve"> </w:t>
      </w:r>
      <w:r w:rsidR="00366271">
        <w:rPr>
          <w:color w:val="000000"/>
          <w:szCs w:val="24"/>
        </w:rPr>
        <w:t>were not changed.  The purpose of the Regulations is to amend particular references to ‘the Minister’ in the Regulations to make clear on the face of the TIA Regulations that the particular Minister conc</w:t>
      </w:r>
      <w:r w:rsidR="00D1583C">
        <w:rPr>
          <w:color w:val="000000"/>
          <w:szCs w:val="24"/>
        </w:rPr>
        <w:t>e</w:t>
      </w:r>
      <w:r w:rsidR="00366271">
        <w:rPr>
          <w:color w:val="000000"/>
          <w:szCs w:val="24"/>
        </w:rPr>
        <w:t>r</w:t>
      </w:r>
      <w:r w:rsidR="00D1583C">
        <w:rPr>
          <w:color w:val="000000"/>
          <w:szCs w:val="24"/>
        </w:rPr>
        <w:t>ned is the At</w:t>
      </w:r>
      <w:r w:rsidR="00366271">
        <w:rPr>
          <w:color w:val="000000"/>
          <w:szCs w:val="24"/>
        </w:rPr>
        <w:t>torney-General.</w:t>
      </w:r>
    </w:p>
    <w:p w14:paraId="53278A09" w14:textId="111160CB" w:rsidR="00E440CF" w:rsidRDefault="00E440CF" w:rsidP="00AD3443">
      <w:pPr>
        <w:autoSpaceDE w:val="0"/>
        <w:autoSpaceDN w:val="0"/>
        <w:adjustRightInd w:val="0"/>
        <w:spacing w:before="0" w:after="164"/>
        <w:rPr>
          <w:color w:val="000000"/>
          <w:szCs w:val="24"/>
        </w:rPr>
      </w:pPr>
      <w:r>
        <w:rPr>
          <w:color w:val="000000"/>
          <w:szCs w:val="24"/>
        </w:rPr>
        <w:t xml:space="preserve">The Regulations amend </w:t>
      </w:r>
      <w:r w:rsidRPr="00FA21A3">
        <w:rPr>
          <w:color w:val="000000"/>
          <w:szCs w:val="24"/>
        </w:rPr>
        <w:t xml:space="preserve">provisions </w:t>
      </w:r>
      <w:r>
        <w:rPr>
          <w:color w:val="000000"/>
          <w:szCs w:val="24"/>
        </w:rPr>
        <w:t xml:space="preserve">in the TIA Regulations </w:t>
      </w:r>
      <w:r w:rsidRPr="00FA21A3">
        <w:rPr>
          <w:color w:val="000000"/>
          <w:szCs w:val="24"/>
        </w:rPr>
        <w:t xml:space="preserve">relating to </w:t>
      </w:r>
      <w:r>
        <w:rPr>
          <w:color w:val="000000"/>
          <w:szCs w:val="24"/>
        </w:rPr>
        <w:t xml:space="preserve">journalist information </w:t>
      </w:r>
      <w:r w:rsidRPr="00FA21A3">
        <w:rPr>
          <w:color w:val="000000"/>
          <w:szCs w:val="24"/>
        </w:rPr>
        <w:t xml:space="preserve">warrants issued under </w:t>
      </w:r>
      <w:r>
        <w:rPr>
          <w:color w:val="000000"/>
          <w:szCs w:val="24"/>
        </w:rPr>
        <w:t>Part 4-1 of the TIA Act</w:t>
      </w:r>
      <w:r w:rsidRPr="00FA21A3">
        <w:rPr>
          <w:color w:val="000000"/>
          <w:szCs w:val="24"/>
        </w:rPr>
        <w:t xml:space="preserve"> to make it clear that the Minister referred to is the Attorney-General, as the minister empowered to issue such warrants, rather than the Minister administer</w:t>
      </w:r>
      <w:r>
        <w:rPr>
          <w:color w:val="000000"/>
          <w:szCs w:val="24"/>
        </w:rPr>
        <w:t xml:space="preserve">ing the Act and the Regulations. </w:t>
      </w:r>
      <w:r w:rsidR="00AD3443">
        <w:rPr>
          <w:color w:val="000000"/>
          <w:szCs w:val="24"/>
        </w:rPr>
        <w:t xml:space="preserve">The Regulations also make </w:t>
      </w:r>
      <w:r w:rsidR="00366271">
        <w:rPr>
          <w:color w:val="000000"/>
          <w:szCs w:val="24"/>
        </w:rPr>
        <w:t>a</w:t>
      </w:r>
      <w:r w:rsidR="00AD3443">
        <w:rPr>
          <w:color w:val="000000"/>
          <w:szCs w:val="24"/>
        </w:rPr>
        <w:t xml:space="preserve"> minor </w:t>
      </w:r>
      <w:r w:rsidR="00AD3443">
        <w:rPr>
          <w:color w:val="000000"/>
          <w:szCs w:val="24"/>
        </w:rPr>
        <w:lastRenderedPageBreak/>
        <w:t>amendment to the heading of section 21 to ensure that the heading reflects the content of the section.</w:t>
      </w:r>
    </w:p>
    <w:p w14:paraId="2EE757E2" w14:textId="2BF8F1F8" w:rsidR="00E440CF" w:rsidRPr="00606679" w:rsidRDefault="00E440CF" w:rsidP="00E440CF">
      <w:pPr>
        <w:keepNext/>
        <w:shd w:val="clear" w:color="auto" w:fill="FFFFFF"/>
        <w:spacing w:before="0"/>
        <w:ind w:right="91"/>
        <w:rPr>
          <w:szCs w:val="24"/>
          <w:lang w:val="en-US"/>
        </w:rPr>
      </w:pPr>
      <w:r w:rsidRPr="00606679">
        <w:rPr>
          <w:szCs w:val="24"/>
        </w:rPr>
        <w:t xml:space="preserve">These changes </w:t>
      </w:r>
      <w:r>
        <w:rPr>
          <w:szCs w:val="24"/>
        </w:rPr>
        <w:t xml:space="preserve">are </w:t>
      </w:r>
      <w:r w:rsidRPr="00606679">
        <w:rPr>
          <w:szCs w:val="24"/>
        </w:rPr>
        <w:t xml:space="preserve">purely technical in nature and do not substantively affect the operation of the amended provisions. </w:t>
      </w:r>
    </w:p>
    <w:p w14:paraId="22C6E044" w14:textId="69346302" w:rsidR="006A3720" w:rsidRPr="00FA21A3" w:rsidRDefault="006A3720" w:rsidP="00E5058D">
      <w:pPr>
        <w:keepNext/>
        <w:keepLines/>
        <w:spacing w:before="0"/>
        <w:ind w:right="91"/>
        <w:contextualSpacing/>
      </w:pPr>
    </w:p>
    <w:p w14:paraId="3DC143CD" w14:textId="77777777" w:rsidR="00B37BDF" w:rsidRDefault="00B37BDF" w:rsidP="00D26ADA">
      <w:pPr>
        <w:spacing w:before="0"/>
        <w:ind w:right="42"/>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The overall assessment is that the Regulation</w:t>
      </w:r>
      <w:r w:rsidR="008D4431">
        <w:rPr>
          <w:szCs w:val="24"/>
        </w:rPr>
        <w:t>s are</w:t>
      </w:r>
      <w:r w:rsidRPr="00982FFE">
        <w:rPr>
          <w:szCs w:val="24"/>
        </w:rPr>
        <w:t xml:space="preserve"> compatible with human rig</w:t>
      </w:r>
      <w:r w:rsidR="00EA2117" w:rsidRPr="00982FFE">
        <w:rPr>
          <w:szCs w:val="24"/>
        </w:rPr>
        <w:t>hts. A copy of the Statement is </w:t>
      </w:r>
      <w:r w:rsidRPr="00982FFE">
        <w:rPr>
          <w:szCs w:val="24"/>
        </w:rPr>
        <w:t xml:space="preserve">at </w:t>
      </w:r>
      <w:r w:rsidRPr="00982FFE">
        <w:rPr>
          <w:szCs w:val="24"/>
          <w:u w:val="single"/>
        </w:rPr>
        <w:t>Attachment B</w:t>
      </w:r>
      <w:r w:rsidRPr="00982FFE">
        <w:rPr>
          <w:szCs w:val="24"/>
        </w:rPr>
        <w:t>.</w:t>
      </w:r>
    </w:p>
    <w:p w14:paraId="3A52F287" w14:textId="77777777" w:rsidR="00043DE4" w:rsidRDefault="00043DE4" w:rsidP="00D26ADA">
      <w:pPr>
        <w:spacing w:before="0"/>
        <w:ind w:right="42"/>
        <w:rPr>
          <w:szCs w:val="24"/>
        </w:rPr>
      </w:pPr>
    </w:p>
    <w:p w14:paraId="1B2F03D4" w14:textId="77777777" w:rsidR="00043DE4" w:rsidRPr="00043DE4" w:rsidRDefault="00043DE4" w:rsidP="00D26ADA">
      <w:pPr>
        <w:spacing w:before="0"/>
        <w:ind w:right="42"/>
        <w:rPr>
          <w:szCs w:val="24"/>
        </w:rPr>
      </w:pPr>
      <w:r>
        <w:rPr>
          <w:szCs w:val="24"/>
        </w:rPr>
        <w:t>Details of the Regulation</w:t>
      </w:r>
      <w:r w:rsidR="008D4431">
        <w:rPr>
          <w:szCs w:val="24"/>
        </w:rPr>
        <w:t>s</w:t>
      </w:r>
      <w:r>
        <w:rPr>
          <w:szCs w:val="24"/>
        </w:rPr>
        <w:t xml:space="preserve"> are set out in </w:t>
      </w:r>
      <w:r>
        <w:rPr>
          <w:szCs w:val="24"/>
          <w:u w:val="single"/>
        </w:rPr>
        <w:t>Attachment C</w:t>
      </w:r>
      <w:r>
        <w:rPr>
          <w:szCs w:val="24"/>
        </w:rPr>
        <w:t>.</w:t>
      </w:r>
    </w:p>
    <w:p w14:paraId="75B2AD3C" w14:textId="77777777" w:rsidR="00043DE4" w:rsidRDefault="00043DE4" w:rsidP="00D26ADA">
      <w:pPr>
        <w:spacing w:before="0"/>
        <w:ind w:right="42"/>
        <w:rPr>
          <w:color w:val="FF0000"/>
          <w:szCs w:val="24"/>
        </w:rPr>
      </w:pPr>
    </w:p>
    <w:p w14:paraId="64A39D62" w14:textId="172BE4FE" w:rsidR="006F5E08" w:rsidRDefault="009A063E" w:rsidP="00D26ADA">
      <w:pPr>
        <w:spacing w:before="0"/>
        <w:ind w:right="42"/>
        <w:rPr>
          <w:szCs w:val="24"/>
        </w:rPr>
      </w:pPr>
      <w:r w:rsidRPr="00FA1E24">
        <w:rPr>
          <w:szCs w:val="24"/>
        </w:rPr>
        <w:t>The Office of Best Practice Regulation (</w:t>
      </w:r>
      <w:r w:rsidR="0092731E" w:rsidRPr="00FA1E24">
        <w:rPr>
          <w:szCs w:val="24"/>
        </w:rPr>
        <w:t xml:space="preserve">the </w:t>
      </w:r>
      <w:r w:rsidRPr="00FA1E24">
        <w:rPr>
          <w:szCs w:val="24"/>
        </w:rPr>
        <w:t>OBPR) has been consulted in relation to the amendments made by the Regulation</w:t>
      </w:r>
      <w:r w:rsidR="008D4431">
        <w:rPr>
          <w:szCs w:val="24"/>
        </w:rPr>
        <w:t>s</w:t>
      </w:r>
      <w:r w:rsidR="00155EA4">
        <w:rPr>
          <w:szCs w:val="24"/>
        </w:rPr>
        <w:t>. No</w:t>
      </w:r>
      <w:r w:rsidR="0092731E" w:rsidRPr="00FA1E24">
        <w:rPr>
          <w:szCs w:val="24"/>
        </w:rPr>
        <w:t xml:space="preserve"> </w:t>
      </w:r>
      <w:r w:rsidR="00FA1E24" w:rsidRPr="00FA1E24">
        <w:rPr>
          <w:szCs w:val="24"/>
        </w:rPr>
        <w:t xml:space="preserve">Regulation Impact Statement </w:t>
      </w:r>
      <w:r w:rsidR="0092731E" w:rsidRPr="00FA1E24">
        <w:rPr>
          <w:szCs w:val="24"/>
        </w:rPr>
        <w:t>is required.</w:t>
      </w:r>
      <w:r w:rsidRPr="00FA1E24">
        <w:rPr>
          <w:szCs w:val="24"/>
        </w:rPr>
        <w:t xml:space="preserve"> </w:t>
      </w:r>
      <w:r w:rsidR="00A762E4">
        <w:rPr>
          <w:szCs w:val="24"/>
        </w:rPr>
        <w:t>The OBPR consultation referenc</w:t>
      </w:r>
      <w:r w:rsidR="00A762E4" w:rsidRPr="008309AB">
        <w:rPr>
          <w:szCs w:val="24"/>
        </w:rPr>
        <w:t>e</w:t>
      </w:r>
      <w:r w:rsidR="00AD3443" w:rsidRPr="008309AB">
        <w:rPr>
          <w:szCs w:val="24"/>
        </w:rPr>
        <w:t xml:space="preserve"> is</w:t>
      </w:r>
      <w:r w:rsidR="006F5E08" w:rsidRPr="008309AB">
        <w:rPr>
          <w:szCs w:val="24"/>
        </w:rPr>
        <w:t xml:space="preserve"> </w:t>
      </w:r>
      <w:r w:rsidR="008309AB" w:rsidRPr="008309AB">
        <w:rPr>
          <w:szCs w:val="24"/>
        </w:rPr>
        <w:t>24576</w:t>
      </w:r>
      <w:r w:rsidR="006F5E08" w:rsidRPr="008309AB">
        <w:rPr>
          <w:szCs w:val="24"/>
        </w:rPr>
        <w:t>.</w:t>
      </w:r>
    </w:p>
    <w:p w14:paraId="6D16A93C" w14:textId="77777777" w:rsidR="00AD3443" w:rsidRDefault="00AD3443" w:rsidP="00D26ADA">
      <w:pPr>
        <w:tabs>
          <w:tab w:val="left" w:pos="6521"/>
        </w:tabs>
        <w:spacing w:before="0"/>
        <w:ind w:right="42"/>
        <w:rPr>
          <w:i/>
          <w:szCs w:val="24"/>
          <w:u w:val="single"/>
        </w:rPr>
      </w:pPr>
    </w:p>
    <w:p w14:paraId="1163986F" w14:textId="478EF6CA" w:rsidR="006A3720" w:rsidRDefault="00FC3267" w:rsidP="00D26ADA">
      <w:pPr>
        <w:tabs>
          <w:tab w:val="left" w:pos="6521"/>
        </w:tabs>
        <w:spacing w:before="0"/>
        <w:ind w:right="42"/>
        <w:rPr>
          <w:szCs w:val="24"/>
        </w:rPr>
      </w:pPr>
      <w:r w:rsidRPr="00AD3443">
        <w:rPr>
          <w:szCs w:val="24"/>
        </w:rPr>
        <w:t>N</w:t>
      </w:r>
      <w:r w:rsidR="006F1AFF" w:rsidRPr="00AD3443">
        <w:rPr>
          <w:szCs w:val="24"/>
        </w:rPr>
        <w:t xml:space="preserve">o other consultation was considered appropriate as the amendment did not substantially change existing arrangements. This accords with subsection 17(1) of the </w:t>
      </w:r>
      <w:r w:rsidR="006F1AFF" w:rsidRPr="00AD3443">
        <w:rPr>
          <w:i/>
          <w:szCs w:val="24"/>
        </w:rPr>
        <w:t>Legislation Act 2003</w:t>
      </w:r>
      <w:r w:rsidR="006F1AFF" w:rsidRPr="00AD3443">
        <w:rPr>
          <w:szCs w:val="24"/>
        </w:rPr>
        <w:t xml:space="preserve"> (the Legislation Act) which envisages consultations where appropriate and reasonably practicable.</w:t>
      </w:r>
      <w:r w:rsidR="006F1AFF" w:rsidRPr="006F1AFF">
        <w:rPr>
          <w:szCs w:val="24"/>
        </w:rPr>
        <w:t xml:space="preserve"> </w:t>
      </w:r>
    </w:p>
    <w:p w14:paraId="34DBA687" w14:textId="77777777" w:rsidR="006A3720" w:rsidRDefault="006A3720" w:rsidP="00D26ADA">
      <w:pPr>
        <w:tabs>
          <w:tab w:val="left" w:pos="6521"/>
        </w:tabs>
        <w:spacing w:before="0"/>
        <w:ind w:right="42"/>
        <w:rPr>
          <w:szCs w:val="24"/>
        </w:rPr>
      </w:pPr>
    </w:p>
    <w:p w14:paraId="449166CA" w14:textId="35638884" w:rsidR="006C356F" w:rsidRPr="00B6180D" w:rsidRDefault="006C356F" w:rsidP="00D26ADA">
      <w:pPr>
        <w:tabs>
          <w:tab w:val="left" w:pos="6521"/>
        </w:tabs>
        <w:spacing w:before="0"/>
        <w:ind w:right="42"/>
        <w:rPr>
          <w:szCs w:val="24"/>
        </w:rPr>
      </w:pPr>
      <w:r w:rsidRPr="00B6180D">
        <w:rPr>
          <w:szCs w:val="24"/>
        </w:rPr>
        <w:t xml:space="preserve">The </w:t>
      </w:r>
      <w:r w:rsidR="00AD3443">
        <w:rPr>
          <w:szCs w:val="24"/>
        </w:rPr>
        <w:t>TIA Act specifies</w:t>
      </w:r>
      <w:r w:rsidRPr="00B6180D">
        <w:rPr>
          <w:szCs w:val="24"/>
        </w:rPr>
        <w:t xml:space="preserve"> no conditions that need to be satisfied before the power to make the Regulation</w:t>
      </w:r>
      <w:r w:rsidR="008D4431">
        <w:rPr>
          <w:szCs w:val="24"/>
        </w:rPr>
        <w:t>s</w:t>
      </w:r>
      <w:r w:rsidRPr="00B6180D">
        <w:rPr>
          <w:szCs w:val="24"/>
        </w:rPr>
        <w:t xml:space="preserve"> may be exercised. </w:t>
      </w:r>
    </w:p>
    <w:p w14:paraId="259C34C7" w14:textId="77777777" w:rsidR="002A4DB4" w:rsidRDefault="002A4DB4" w:rsidP="00D26ADA">
      <w:pPr>
        <w:tabs>
          <w:tab w:val="left" w:pos="6521"/>
        </w:tabs>
        <w:spacing w:before="0"/>
        <w:ind w:right="-2"/>
        <w:rPr>
          <w:szCs w:val="24"/>
        </w:rPr>
      </w:pPr>
    </w:p>
    <w:p w14:paraId="26D9AC03" w14:textId="7EFAEE1F" w:rsidR="006C356F" w:rsidRPr="0061423F" w:rsidRDefault="006C356F" w:rsidP="00D26ADA">
      <w:pPr>
        <w:tabs>
          <w:tab w:val="left" w:pos="6521"/>
        </w:tabs>
        <w:spacing w:before="0"/>
        <w:ind w:right="-2"/>
        <w:rPr>
          <w:szCs w:val="24"/>
        </w:rPr>
      </w:pPr>
      <w:r w:rsidRPr="005D7CFC">
        <w:rPr>
          <w:szCs w:val="24"/>
        </w:rPr>
        <w:t xml:space="preserve">The </w:t>
      </w:r>
      <w:r>
        <w:rPr>
          <w:szCs w:val="24"/>
        </w:rPr>
        <w:t>Regulation</w:t>
      </w:r>
      <w:r w:rsidR="008D4431">
        <w:rPr>
          <w:szCs w:val="24"/>
        </w:rPr>
        <w:t>s</w:t>
      </w:r>
      <w:r>
        <w:rPr>
          <w:szCs w:val="24"/>
        </w:rPr>
        <w:t xml:space="preserve"> </w:t>
      </w:r>
      <w:r w:rsidR="00D768EE">
        <w:rPr>
          <w:szCs w:val="24"/>
        </w:rPr>
        <w:t>are</w:t>
      </w:r>
      <w:r w:rsidRPr="0061423F">
        <w:rPr>
          <w:szCs w:val="24"/>
        </w:rPr>
        <w:t xml:space="preserve"> a legislative instrument for the purposes of the </w:t>
      </w:r>
      <w:r w:rsidRPr="008E0A24">
        <w:rPr>
          <w:szCs w:val="24"/>
        </w:rPr>
        <w:t>Legislat</w:t>
      </w:r>
      <w:r w:rsidR="00572D83">
        <w:rPr>
          <w:szCs w:val="24"/>
        </w:rPr>
        <w:t>ion Act</w:t>
      </w:r>
      <w:r w:rsidRPr="0061423F">
        <w:rPr>
          <w:szCs w:val="24"/>
        </w:rPr>
        <w:t>.</w:t>
      </w:r>
    </w:p>
    <w:p w14:paraId="07A8C0C4" w14:textId="77777777" w:rsidR="006C356F" w:rsidRDefault="006C356F" w:rsidP="00D26ADA">
      <w:pPr>
        <w:tabs>
          <w:tab w:val="left" w:pos="6521"/>
        </w:tabs>
        <w:spacing w:before="0"/>
        <w:ind w:right="521"/>
        <w:rPr>
          <w:szCs w:val="24"/>
        </w:rPr>
      </w:pPr>
    </w:p>
    <w:p w14:paraId="1466448B" w14:textId="4F4CB3C3" w:rsidR="006C356F" w:rsidRPr="00645B27" w:rsidRDefault="004426ED" w:rsidP="00BE58C5">
      <w:pPr>
        <w:tabs>
          <w:tab w:val="left" w:pos="6521"/>
        </w:tabs>
        <w:spacing w:before="0"/>
        <w:ind w:right="521"/>
        <w:rPr>
          <w:szCs w:val="24"/>
        </w:rPr>
        <w:sectPr w:rsidR="006C356F" w:rsidRPr="00645B27" w:rsidSect="00AD48DA">
          <w:headerReference w:type="default" r:id="rId11"/>
          <w:pgSz w:w="11906" w:h="16838"/>
          <w:pgMar w:top="1440" w:right="1418" w:bottom="1440" w:left="1418" w:header="709" w:footer="709" w:gutter="0"/>
          <w:cols w:space="708"/>
          <w:titlePg/>
          <w:docGrid w:linePitch="360"/>
        </w:sectPr>
      </w:pPr>
      <w:r>
        <w:rPr>
          <w:szCs w:val="24"/>
        </w:rPr>
        <w:t>The</w:t>
      </w:r>
      <w:r w:rsidR="00986CC9">
        <w:rPr>
          <w:szCs w:val="24"/>
        </w:rPr>
        <w:t xml:space="preserve"> Regulation</w:t>
      </w:r>
      <w:r w:rsidR="008D4431">
        <w:rPr>
          <w:szCs w:val="24"/>
        </w:rPr>
        <w:t>s commence</w:t>
      </w:r>
      <w:r w:rsidR="00986CC9">
        <w:rPr>
          <w:szCs w:val="24"/>
        </w:rPr>
        <w:t xml:space="preserve"> </w:t>
      </w:r>
      <w:r w:rsidR="00712A8B">
        <w:rPr>
          <w:szCs w:val="24"/>
        </w:rPr>
        <w:t xml:space="preserve">the day after registration on the Federal Register of Legislation.  </w:t>
      </w:r>
      <w:r w:rsidR="00712A8B" w:rsidRPr="00597E6C">
        <w:rPr>
          <w:szCs w:val="24"/>
        </w:rPr>
        <w:t xml:space="preserve">  </w:t>
      </w:r>
    </w:p>
    <w:p w14:paraId="0B6A05C1" w14:textId="72A09D87" w:rsidR="00F536DE" w:rsidRPr="00645B27" w:rsidRDefault="00F536DE" w:rsidP="00BE58C5">
      <w:pPr>
        <w:tabs>
          <w:tab w:val="left" w:pos="345"/>
        </w:tabs>
        <w:spacing w:before="0"/>
        <w:ind w:right="43"/>
        <w:contextualSpacing/>
        <w:rPr>
          <w:b/>
          <w:szCs w:val="24"/>
          <w:u w:val="single"/>
        </w:rPr>
      </w:pPr>
    </w:p>
    <w:p w14:paraId="4D102CAF" w14:textId="77777777" w:rsidR="00BE58C5" w:rsidRPr="00645B27" w:rsidRDefault="00BE58C5" w:rsidP="00BE58C5">
      <w:pPr>
        <w:tabs>
          <w:tab w:val="left" w:pos="345"/>
        </w:tabs>
        <w:spacing w:before="0"/>
        <w:ind w:right="43"/>
        <w:contextualSpacing/>
        <w:jc w:val="right"/>
        <w:rPr>
          <w:b/>
          <w:szCs w:val="24"/>
          <w:u w:val="single"/>
        </w:rPr>
      </w:pPr>
      <w:r w:rsidRPr="00FE4459">
        <w:rPr>
          <w:b/>
          <w:szCs w:val="24"/>
          <w:u w:val="single"/>
        </w:rPr>
        <w:t>ATTACHMENT B</w:t>
      </w:r>
    </w:p>
    <w:p w14:paraId="008F0142" w14:textId="77777777" w:rsidR="00BE58C5" w:rsidRPr="00645B27" w:rsidRDefault="00BE58C5" w:rsidP="00BE58C5">
      <w:pPr>
        <w:tabs>
          <w:tab w:val="left" w:pos="345"/>
        </w:tabs>
        <w:spacing w:before="0"/>
        <w:ind w:right="43"/>
        <w:contextualSpacing/>
        <w:jc w:val="right"/>
        <w:rPr>
          <w:b/>
          <w:szCs w:val="24"/>
          <w:u w:val="single"/>
        </w:rPr>
      </w:pPr>
    </w:p>
    <w:p w14:paraId="092FDFA0" w14:textId="77777777" w:rsidR="00BE58C5" w:rsidRPr="00645B27" w:rsidRDefault="00BE58C5" w:rsidP="00BE58C5">
      <w:pPr>
        <w:pStyle w:val="Default"/>
        <w:jc w:val="center"/>
        <w:rPr>
          <w:color w:val="auto"/>
        </w:rPr>
      </w:pPr>
      <w:r w:rsidRPr="00645B27">
        <w:rPr>
          <w:b/>
          <w:bCs/>
          <w:color w:val="auto"/>
        </w:rPr>
        <w:t>Statement of Compatibility with Human Rights</w:t>
      </w:r>
    </w:p>
    <w:p w14:paraId="0CA2BBC5" w14:textId="77777777" w:rsidR="00BE58C5" w:rsidRDefault="00BE58C5" w:rsidP="00BE58C5">
      <w:pPr>
        <w:pStyle w:val="Default"/>
        <w:jc w:val="center"/>
        <w:rPr>
          <w:i/>
          <w:iCs/>
          <w:color w:val="auto"/>
        </w:rPr>
      </w:pPr>
      <w:r w:rsidRPr="00645B27">
        <w:rPr>
          <w:i/>
          <w:iCs/>
          <w:color w:val="auto"/>
        </w:rPr>
        <w:t>Prepared in accordance with Part 3 of the Human Rights (Parliamentary Scrutiny) Act 2011</w:t>
      </w:r>
    </w:p>
    <w:p w14:paraId="5A0A2DD9" w14:textId="77777777" w:rsidR="00BE58C5" w:rsidRPr="00645B27" w:rsidRDefault="00BE58C5" w:rsidP="00BE58C5">
      <w:pPr>
        <w:pStyle w:val="Default"/>
        <w:jc w:val="center"/>
        <w:rPr>
          <w:i/>
          <w:iCs/>
          <w:color w:val="auto"/>
        </w:rPr>
      </w:pPr>
    </w:p>
    <w:p w14:paraId="538DC5A5" w14:textId="77777777" w:rsidR="00BE58C5" w:rsidRPr="00606679" w:rsidRDefault="00BE58C5" w:rsidP="00BE58C5">
      <w:pPr>
        <w:spacing w:before="0"/>
        <w:ind w:right="40"/>
        <w:jc w:val="center"/>
        <w:rPr>
          <w:b/>
          <w:i/>
          <w:szCs w:val="24"/>
        </w:rPr>
      </w:pPr>
      <w:r w:rsidRPr="00BE58C5">
        <w:rPr>
          <w:b/>
          <w:i/>
          <w:szCs w:val="24"/>
        </w:rPr>
        <w:t>Telecommunications (Interception and Access) Amendment Regulations 2018</w:t>
      </w:r>
    </w:p>
    <w:p w14:paraId="00E42B01" w14:textId="77777777" w:rsidR="00BE58C5" w:rsidRPr="00645B27" w:rsidRDefault="00BE58C5" w:rsidP="00BE58C5">
      <w:pPr>
        <w:pStyle w:val="Default"/>
        <w:jc w:val="center"/>
        <w:rPr>
          <w:color w:val="auto"/>
        </w:rPr>
      </w:pPr>
    </w:p>
    <w:p w14:paraId="4C527398" w14:textId="77777777" w:rsidR="00BE58C5" w:rsidRPr="00645B27" w:rsidRDefault="00BE58C5" w:rsidP="00BE58C5">
      <w:pPr>
        <w:pStyle w:val="Default"/>
        <w:jc w:val="center"/>
        <w:rPr>
          <w:color w:val="auto"/>
        </w:rPr>
      </w:pPr>
      <w:r w:rsidRPr="00645B27">
        <w:rPr>
          <w:color w:val="auto"/>
        </w:rPr>
        <w:t xml:space="preserve">This legislative instrument is compatible with the human rights and freedoms recognised or declared in the international instruments listed in section 3 of the </w:t>
      </w:r>
      <w:r w:rsidRPr="00645B27">
        <w:rPr>
          <w:i/>
          <w:iCs/>
          <w:color w:val="auto"/>
        </w:rPr>
        <w:t>Human Rights (Parliamentary Scrutiny) Act 2011</w:t>
      </w:r>
      <w:r w:rsidRPr="00645B27">
        <w:rPr>
          <w:color w:val="auto"/>
        </w:rPr>
        <w:t>.</w:t>
      </w:r>
    </w:p>
    <w:p w14:paraId="12296AD6" w14:textId="77777777" w:rsidR="00BE58C5" w:rsidRPr="00645B27" w:rsidRDefault="00BE58C5" w:rsidP="00BE58C5">
      <w:pPr>
        <w:spacing w:before="0"/>
        <w:contextualSpacing/>
        <w:rPr>
          <w:b/>
          <w:szCs w:val="24"/>
          <w:u w:val="single"/>
        </w:rPr>
      </w:pPr>
    </w:p>
    <w:p w14:paraId="59F43FCC" w14:textId="77777777" w:rsidR="00BE58C5" w:rsidRDefault="00BE58C5" w:rsidP="00BE58C5">
      <w:pPr>
        <w:tabs>
          <w:tab w:val="left" w:pos="601"/>
        </w:tabs>
        <w:spacing w:before="0" w:afterLines="100" w:after="240"/>
        <w:ind w:left="601" w:hanging="601"/>
        <w:rPr>
          <w:b/>
          <w:szCs w:val="24"/>
        </w:rPr>
      </w:pPr>
      <w:r>
        <w:rPr>
          <w:b/>
          <w:szCs w:val="24"/>
        </w:rPr>
        <w:t>Overview of the Legislative Instrument</w:t>
      </w:r>
    </w:p>
    <w:p w14:paraId="0A406DD3" w14:textId="5C1B3279" w:rsidR="00BE58C5" w:rsidRPr="005B1CEC" w:rsidRDefault="00BE58C5" w:rsidP="00BE58C5">
      <w:pPr>
        <w:keepNext/>
        <w:keepLines/>
        <w:spacing w:before="0" w:afterLines="100" w:after="240"/>
        <w:ind w:right="91"/>
      </w:pPr>
      <w:r w:rsidRPr="005B1CEC">
        <w:t xml:space="preserve">The </w:t>
      </w:r>
      <w:r w:rsidRPr="005B1CEC">
        <w:rPr>
          <w:i/>
        </w:rPr>
        <w:t xml:space="preserve">Telecommunications (Interception and Access) </w:t>
      </w:r>
      <w:r>
        <w:rPr>
          <w:i/>
        </w:rPr>
        <w:t xml:space="preserve">Amendment </w:t>
      </w:r>
      <w:r w:rsidRPr="005B1CEC">
        <w:rPr>
          <w:i/>
        </w:rPr>
        <w:t>Regulations 2018</w:t>
      </w:r>
      <w:r w:rsidRPr="005B1CEC">
        <w:t xml:space="preserve"> </w:t>
      </w:r>
      <w:r>
        <w:t>(the Regulations) will amend the</w:t>
      </w:r>
      <w:r w:rsidRPr="00F31B19">
        <w:t xml:space="preserve"> </w:t>
      </w:r>
      <w:r w:rsidRPr="005B1CEC">
        <w:rPr>
          <w:i/>
        </w:rPr>
        <w:t>Telecommunications (Interception and Access) Regulations 2017</w:t>
      </w:r>
      <w:r>
        <w:t xml:space="preserve"> (the TIA Regulations) </w:t>
      </w:r>
      <w:r w:rsidRPr="005E549E">
        <w:t>to update references to authorities to reflect the transfer of responsibilities from the Attorney-General’s Department to</w:t>
      </w:r>
      <w:r w:rsidR="00712A8B">
        <w:t xml:space="preserve"> the Department of Home Affairs.</w:t>
      </w:r>
    </w:p>
    <w:p w14:paraId="64C1DCAA" w14:textId="4BB2EAAB" w:rsidR="00BE58C5" w:rsidRPr="00886A45" w:rsidRDefault="00BE58C5" w:rsidP="00BE58C5">
      <w:pPr>
        <w:keepNext/>
        <w:keepLines/>
        <w:spacing w:before="0" w:afterLines="100" w:after="240"/>
        <w:ind w:right="91"/>
      </w:pPr>
      <w:r w:rsidRPr="006A3720">
        <w:t>In particular</w:t>
      </w:r>
      <w:r>
        <w:t xml:space="preserve">, the Regulations </w:t>
      </w:r>
      <w:r w:rsidRPr="00FA21A3">
        <w:t xml:space="preserve">amend the </w:t>
      </w:r>
      <w:r>
        <w:t xml:space="preserve">TIA </w:t>
      </w:r>
      <w:r w:rsidRPr="00FA21A3">
        <w:t xml:space="preserve">Regulations so that provisions refer to the appropriate Minister following transfer of responsibility for the </w:t>
      </w:r>
      <w:r w:rsidR="003A5280">
        <w:rPr>
          <w:i/>
        </w:rPr>
        <w:t xml:space="preserve">Telecommunications (Interception and Access) Act 1979 </w:t>
      </w:r>
      <w:r w:rsidR="003A5280">
        <w:t xml:space="preserve">(the </w:t>
      </w:r>
      <w:r>
        <w:t>TIA Act</w:t>
      </w:r>
      <w:r w:rsidR="003A5280">
        <w:t>)</w:t>
      </w:r>
      <w:r w:rsidRPr="00FA21A3">
        <w:t xml:space="preserve"> from the Attorney-General’s portfoli</w:t>
      </w:r>
      <w:r>
        <w:t xml:space="preserve">o to the Home Affairs portfolio. </w:t>
      </w:r>
    </w:p>
    <w:p w14:paraId="7C3B5B9E" w14:textId="77777777" w:rsidR="00BE58C5" w:rsidRDefault="00BE58C5" w:rsidP="00BE58C5">
      <w:pPr>
        <w:autoSpaceDE w:val="0"/>
        <w:autoSpaceDN w:val="0"/>
        <w:adjustRightInd w:val="0"/>
        <w:spacing w:before="0" w:afterLines="100" w:after="240"/>
        <w:rPr>
          <w:color w:val="000000"/>
          <w:szCs w:val="24"/>
        </w:rPr>
      </w:pPr>
      <w:r w:rsidRPr="00FA21A3">
        <w:rPr>
          <w:color w:val="000000"/>
          <w:szCs w:val="24"/>
        </w:rPr>
        <w:t xml:space="preserve">The Administrative Arrangements Order (AAO) was amended on 10 May 2018 to transfer responsibility for the </w:t>
      </w:r>
      <w:r>
        <w:rPr>
          <w:color w:val="000000"/>
          <w:szCs w:val="24"/>
        </w:rPr>
        <w:t xml:space="preserve">TIA </w:t>
      </w:r>
      <w:r w:rsidRPr="00FA21A3">
        <w:rPr>
          <w:color w:val="000000"/>
          <w:szCs w:val="24"/>
        </w:rPr>
        <w:t xml:space="preserve">Act from the Attorney-General’s Department to </w:t>
      </w:r>
      <w:r>
        <w:rPr>
          <w:color w:val="000000"/>
          <w:szCs w:val="24"/>
        </w:rPr>
        <w:t xml:space="preserve">the Department of Home Affairs. </w:t>
      </w:r>
      <w:r w:rsidRPr="00FA21A3">
        <w:rPr>
          <w:color w:val="000000"/>
          <w:szCs w:val="24"/>
        </w:rPr>
        <w:t xml:space="preserve">However, it was intended that certain powers in the </w:t>
      </w:r>
      <w:r>
        <w:rPr>
          <w:color w:val="000000"/>
          <w:szCs w:val="24"/>
        </w:rPr>
        <w:t xml:space="preserve">TIA </w:t>
      </w:r>
      <w:r w:rsidRPr="00FA21A3">
        <w:rPr>
          <w:color w:val="000000"/>
          <w:szCs w:val="24"/>
        </w:rPr>
        <w:t xml:space="preserve">Act, related to oversight of intelligence, security and law enforcement agencies, remain with the Attorney-General. Accordingly, on 11 May 2018, the </w:t>
      </w:r>
      <w:r w:rsidRPr="00FA21A3">
        <w:rPr>
          <w:i/>
          <w:iCs/>
          <w:color w:val="000000"/>
          <w:szCs w:val="24"/>
        </w:rPr>
        <w:t>Home Affairs and Integrity Agencies Legislation Amendment Act 2018</w:t>
      </w:r>
      <w:r w:rsidRPr="00FA21A3">
        <w:rPr>
          <w:color w:val="000000"/>
          <w:szCs w:val="24"/>
        </w:rPr>
        <w:t xml:space="preserve"> amended a number of provisions in the </w:t>
      </w:r>
      <w:r>
        <w:rPr>
          <w:color w:val="000000"/>
          <w:szCs w:val="24"/>
        </w:rPr>
        <w:t xml:space="preserve">TIA </w:t>
      </w:r>
      <w:r w:rsidRPr="00FA21A3">
        <w:rPr>
          <w:color w:val="000000"/>
          <w:szCs w:val="24"/>
        </w:rPr>
        <w:t xml:space="preserve">Act to </w:t>
      </w:r>
      <w:r>
        <w:rPr>
          <w:color w:val="000000"/>
          <w:szCs w:val="24"/>
        </w:rPr>
        <w:t>replace references to ‘the Minister’ with</w:t>
      </w:r>
      <w:r w:rsidRPr="00FA21A3">
        <w:rPr>
          <w:color w:val="000000"/>
          <w:szCs w:val="24"/>
        </w:rPr>
        <w:t xml:space="preserve"> ‘the Attorney-General’</w:t>
      </w:r>
      <w:r>
        <w:rPr>
          <w:color w:val="000000"/>
          <w:szCs w:val="24"/>
        </w:rPr>
        <w:t xml:space="preserve"> so that certain powers and functions would remain with the Attorney-General despite the TIA Act now being administered by the Minister for Home Affairs</w:t>
      </w:r>
      <w:r w:rsidRPr="00FA21A3">
        <w:rPr>
          <w:color w:val="000000"/>
          <w:szCs w:val="24"/>
        </w:rPr>
        <w:t xml:space="preserve">. </w:t>
      </w:r>
      <w:r>
        <w:rPr>
          <w:color w:val="000000"/>
          <w:szCs w:val="24"/>
        </w:rPr>
        <w:t xml:space="preserve">This included the power to </w:t>
      </w:r>
      <w:r w:rsidRPr="00FA21A3">
        <w:rPr>
          <w:color w:val="000000"/>
          <w:szCs w:val="24"/>
        </w:rPr>
        <w:t xml:space="preserve">issue journalist information warrants to ASIO under Part 4-1 of the </w:t>
      </w:r>
      <w:r>
        <w:rPr>
          <w:color w:val="000000"/>
          <w:szCs w:val="24"/>
        </w:rPr>
        <w:t xml:space="preserve">TIA </w:t>
      </w:r>
      <w:r w:rsidRPr="00FA21A3">
        <w:rPr>
          <w:color w:val="000000"/>
          <w:szCs w:val="24"/>
        </w:rPr>
        <w:t xml:space="preserve">Act. </w:t>
      </w:r>
    </w:p>
    <w:p w14:paraId="0C36B1E4" w14:textId="77777777" w:rsidR="00BE58C5" w:rsidRDefault="00BE58C5" w:rsidP="00BE58C5">
      <w:pPr>
        <w:autoSpaceDE w:val="0"/>
        <w:autoSpaceDN w:val="0"/>
        <w:adjustRightInd w:val="0"/>
        <w:spacing w:before="0" w:afterLines="100" w:after="240"/>
        <w:rPr>
          <w:color w:val="000000"/>
          <w:szCs w:val="24"/>
        </w:rPr>
      </w:pPr>
      <w:r>
        <w:rPr>
          <w:color w:val="000000"/>
          <w:szCs w:val="24"/>
        </w:rPr>
        <w:t xml:space="preserve">The Regulations amend </w:t>
      </w:r>
      <w:r w:rsidRPr="00FA21A3">
        <w:rPr>
          <w:color w:val="000000"/>
          <w:szCs w:val="24"/>
        </w:rPr>
        <w:t xml:space="preserve">provisions </w:t>
      </w:r>
      <w:r>
        <w:rPr>
          <w:color w:val="000000"/>
          <w:szCs w:val="24"/>
        </w:rPr>
        <w:t xml:space="preserve">in the TIA Regulations </w:t>
      </w:r>
      <w:r w:rsidRPr="00FA21A3">
        <w:rPr>
          <w:color w:val="000000"/>
          <w:szCs w:val="24"/>
        </w:rPr>
        <w:t xml:space="preserve">relating to </w:t>
      </w:r>
      <w:r>
        <w:rPr>
          <w:color w:val="000000"/>
          <w:szCs w:val="24"/>
        </w:rPr>
        <w:t xml:space="preserve">journalist information </w:t>
      </w:r>
      <w:r w:rsidRPr="00FA21A3">
        <w:rPr>
          <w:color w:val="000000"/>
          <w:szCs w:val="24"/>
        </w:rPr>
        <w:t xml:space="preserve">warrants issued under </w:t>
      </w:r>
      <w:r>
        <w:rPr>
          <w:color w:val="000000"/>
          <w:szCs w:val="24"/>
        </w:rPr>
        <w:t>Part 4-1 of the TIA Act</w:t>
      </w:r>
      <w:r w:rsidRPr="00FA21A3">
        <w:rPr>
          <w:color w:val="000000"/>
          <w:szCs w:val="24"/>
        </w:rPr>
        <w:t xml:space="preserve"> to make it clear that the Minister referred to is the Attorney-General, as the minister empowered to issue such warrants, rather than the Minister administer</w:t>
      </w:r>
      <w:r>
        <w:rPr>
          <w:color w:val="000000"/>
          <w:szCs w:val="24"/>
        </w:rPr>
        <w:t xml:space="preserve">ing the Act and the Regulations. It does this by replacing </w:t>
      </w:r>
      <w:r w:rsidRPr="00D15E4B">
        <w:rPr>
          <w:color w:val="000000"/>
          <w:szCs w:val="24"/>
        </w:rPr>
        <w:t xml:space="preserve">references to ‘Minister’ with ‘Attorney-General’ in </w:t>
      </w:r>
      <w:r>
        <w:rPr>
          <w:color w:val="000000"/>
          <w:szCs w:val="24"/>
        </w:rPr>
        <w:t>sections 13, 14, 16 and</w:t>
      </w:r>
      <w:r w:rsidRPr="00D15E4B">
        <w:rPr>
          <w:color w:val="000000"/>
          <w:szCs w:val="24"/>
        </w:rPr>
        <w:t xml:space="preserve"> 17 of the TIA Regulations.</w:t>
      </w:r>
      <w:r>
        <w:rPr>
          <w:color w:val="000000"/>
          <w:szCs w:val="24"/>
        </w:rPr>
        <w:t xml:space="preserve"> </w:t>
      </w:r>
    </w:p>
    <w:p w14:paraId="2953241D" w14:textId="77777777" w:rsidR="00BE58C5" w:rsidRDefault="00BE58C5" w:rsidP="00BE58C5">
      <w:pPr>
        <w:autoSpaceDE w:val="0"/>
        <w:autoSpaceDN w:val="0"/>
        <w:adjustRightInd w:val="0"/>
        <w:spacing w:before="0" w:afterLines="100" w:after="240"/>
        <w:rPr>
          <w:color w:val="000000"/>
          <w:szCs w:val="24"/>
        </w:rPr>
      </w:pPr>
      <w:r>
        <w:rPr>
          <w:color w:val="000000"/>
          <w:szCs w:val="24"/>
        </w:rPr>
        <w:t xml:space="preserve">The Regulations also make one other minor amendment to the heading of section 21 to ensure that the heading reflects the content of the section. </w:t>
      </w:r>
    </w:p>
    <w:p w14:paraId="759D2D6C" w14:textId="77777777" w:rsidR="00BE58C5" w:rsidRPr="00606679" w:rsidRDefault="00BE58C5" w:rsidP="00BE58C5">
      <w:pPr>
        <w:autoSpaceDE w:val="0"/>
        <w:autoSpaceDN w:val="0"/>
        <w:adjustRightInd w:val="0"/>
        <w:spacing w:before="0" w:afterLines="100" w:after="240"/>
        <w:rPr>
          <w:szCs w:val="24"/>
          <w:lang w:val="en-US"/>
        </w:rPr>
      </w:pPr>
      <w:r w:rsidRPr="00606679">
        <w:rPr>
          <w:szCs w:val="24"/>
        </w:rPr>
        <w:t xml:space="preserve">These changes do not </w:t>
      </w:r>
      <w:r w:rsidRPr="00886A45">
        <w:rPr>
          <w:color w:val="000000"/>
          <w:szCs w:val="24"/>
        </w:rPr>
        <w:t>substantively</w:t>
      </w:r>
      <w:r w:rsidRPr="00606679">
        <w:rPr>
          <w:szCs w:val="24"/>
        </w:rPr>
        <w:t xml:space="preserve"> affect the operation of the amended provisions. </w:t>
      </w:r>
    </w:p>
    <w:p w14:paraId="29E46D9D" w14:textId="77777777" w:rsidR="00BE58C5" w:rsidRPr="00606679" w:rsidRDefault="00BE58C5" w:rsidP="00BE58C5">
      <w:pPr>
        <w:shd w:val="clear" w:color="auto" w:fill="FFFFFF"/>
        <w:spacing w:before="0" w:afterLines="100" w:after="240"/>
        <w:rPr>
          <w:szCs w:val="24"/>
          <w:lang w:val="en-US"/>
        </w:rPr>
      </w:pPr>
      <w:r w:rsidRPr="00606679">
        <w:rPr>
          <w:b/>
          <w:bCs/>
          <w:szCs w:val="24"/>
        </w:rPr>
        <w:t>Human rights implications</w:t>
      </w:r>
    </w:p>
    <w:p w14:paraId="3B4DF0BC" w14:textId="77777777" w:rsidR="00BE58C5" w:rsidRPr="002B260F" w:rsidRDefault="00BE58C5" w:rsidP="00BE58C5">
      <w:pPr>
        <w:shd w:val="clear" w:color="auto" w:fill="FFFFFF"/>
        <w:spacing w:before="0" w:afterLines="100" w:after="240"/>
        <w:rPr>
          <w:szCs w:val="24"/>
          <w:lang w:val="en-US"/>
        </w:rPr>
      </w:pPr>
      <w:r w:rsidRPr="00606679">
        <w:rPr>
          <w:szCs w:val="24"/>
        </w:rPr>
        <w:t xml:space="preserve">These amendments do not engage any of the applicable rights or freedoms. </w:t>
      </w:r>
    </w:p>
    <w:p w14:paraId="381927D3" w14:textId="77777777" w:rsidR="00BE58C5" w:rsidRDefault="00BE58C5" w:rsidP="00BE58C5">
      <w:pPr>
        <w:shd w:val="clear" w:color="auto" w:fill="FFFFFF"/>
        <w:spacing w:before="0" w:afterLines="100" w:after="240"/>
        <w:rPr>
          <w:b/>
          <w:bCs/>
          <w:szCs w:val="24"/>
        </w:rPr>
      </w:pPr>
    </w:p>
    <w:p w14:paraId="3819A717" w14:textId="77777777" w:rsidR="00BE58C5" w:rsidRPr="00606679" w:rsidRDefault="00BE58C5" w:rsidP="00BE58C5">
      <w:pPr>
        <w:shd w:val="clear" w:color="auto" w:fill="FFFFFF"/>
        <w:spacing w:before="0" w:afterLines="100" w:after="240"/>
        <w:rPr>
          <w:szCs w:val="24"/>
          <w:lang w:val="en-US"/>
        </w:rPr>
      </w:pPr>
      <w:r w:rsidRPr="00606679">
        <w:rPr>
          <w:b/>
          <w:bCs/>
          <w:szCs w:val="24"/>
        </w:rPr>
        <w:t>Conclusion</w:t>
      </w:r>
    </w:p>
    <w:p w14:paraId="4B2BE43D" w14:textId="77777777" w:rsidR="00BE58C5" w:rsidRDefault="00BE58C5" w:rsidP="00BE58C5">
      <w:pPr>
        <w:shd w:val="clear" w:color="auto" w:fill="FFFFFF"/>
        <w:spacing w:before="0" w:afterLines="100" w:after="240"/>
        <w:rPr>
          <w:szCs w:val="24"/>
          <w:lang w:val="en-US"/>
        </w:rPr>
      </w:pPr>
      <w:r w:rsidRPr="00606679">
        <w:rPr>
          <w:szCs w:val="24"/>
        </w:rPr>
        <w:t>These amendments are compatible with human rights and they do not</w:t>
      </w:r>
      <w:r>
        <w:rPr>
          <w:szCs w:val="24"/>
        </w:rPr>
        <w:t xml:space="preserve"> raise any human rights issues.</w:t>
      </w:r>
    </w:p>
    <w:p w14:paraId="6DDFCB8E" w14:textId="77777777" w:rsidR="00BE58C5" w:rsidRPr="00886A45" w:rsidRDefault="00BE58C5" w:rsidP="00BE58C5">
      <w:pPr>
        <w:shd w:val="clear" w:color="auto" w:fill="FFFFFF"/>
        <w:spacing w:before="0" w:afterLines="100" w:after="240"/>
        <w:jc w:val="center"/>
        <w:rPr>
          <w:szCs w:val="24"/>
          <w:lang w:val="en-US"/>
        </w:rPr>
      </w:pPr>
      <w:r>
        <w:rPr>
          <w:rFonts w:eastAsiaTheme="minorHAnsi"/>
          <w:b/>
          <w:szCs w:val="24"/>
          <w:lang w:eastAsia="en-US"/>
        </w:rPr>
        <w:t>The Hon Peter Dutton MP, Minister for Home Affairs</w:t>
      </w:r>
    </w:p>
    <w:p w14:paraId="3D90E6CB" w14:textId="77777777" w:rsidR="00BE58C5" w:rsidRDefault="00BE58C5" w:rsidP="00BE58C5">
      <w:pPr>
        <w:keepNext/>
        <w:keepLines/>
        <w:spacing w:before="0"/>
        <w:jc w:val="center"/>
        <w:rPr>
          <w:b/>
          <w:szCs w:val="24"/>
          <w:u w:val="single"/>
        </w:rPr>
      </w:pPr>
    </w:p>
    <w:p w14:paraId="7AF2DC46" w14:textId="77777777" w:rsidR="00BE58C5" w:rsidRDefault="00BE58C5" w:rsidP="00BE58C5">
      <w:pPr>
        <w:spacing w:before="0"/>
        <w:rPr>
          <w:b/>
          <w:szCs w:val="24"/>
          <w:u w:val="single"/>
        </w:rPr>
      </w:pPr>
      <w:r>
        <w:rPr>
          <w:b/>
          <w:szCs w:val="24"/>
          <w:u w:val="single"/>
        </w:rPr>
        <w:br w:type="page"/>
      </w:r>
    </w:p>
    <w:p w14:paraId="51F96429" w14:textId="77777777" w:rsidR="00BE58C5" w:rsidRDefault="00BE58C5" w:rsidP="00BE58C5"/>
    <w:p w14:paraId="0D22EBD9" w14:textId="6991910D" w:rsidR="00781B14" w:rsidRPr="00B87B61" w:rsidRDefault="00781B14" w:rsidP="006B2A42">
      <w:pPr>
        <w:tabs>
          <w:tab w:val="left" w:pos="345"/>
        </w:tabs>
        <w:spacing w:before="0"/>
        <w:ind w:right="43"/>
        <w:jc w:val="right"/>
        <w:rPr>
          <w:b/>
          <w:szCs w:val="24"/>
          <w:u w:val="single"/>
        </w:rPr>
      </w:pPr>
      <w:r w:rsidRPr="00B87B61">
        <w:rPr>
          <w:b/>
          <w:szCs w:val="24"/>
          <w:u w:val="single"/>
        </w:rPr>
        <w:t xml:space="preserve">ATTACHMENT </w:t>
      </w:r>
      <w:r w:rsidR="005D2F8A" w:rsidRPr="00B87B61">
        <w:rPr>
          <w:b/>
          <w:szCs w:val="24"/>
          <w:u w:val="single"/>
        </w:rPr>
        <w:t>C</w:t>
      </w:r>
    </w:p>
    <w:p w14:paraId="7FE569EF" w14:textId="77777777" w:rsidR="003E362F" w:rsidRDefault="003E362F" w:rsidP="003E362F">
      <w:pPr>
        <w:spacing w:before="0"/>
        <w:ind w:right="40"/>
        <w:rPr>
          <w:b/>
          <w:u w:val="single"/>
        </w:rPr>
      </w:pPr>
    </w:p>
    <w:p w14:paraId="1EED55CB" w14:textId="7347CBD0" w:rsidR="006C1B9B" w:rsidRPr="003E362F" w:rsidRDefault="006C1B9B" w:rsidP="003E362F">
      <w:pPr>
        <w:spacing w:before="0"/>
        <w:ind w:right="40"/>
        <w:rPr>
          <w:b/>
          <w:i/>
          <w:szCs w:val="24"/>
          <w:u w:val="single"/>
        </w:rPr>
      </w:pPr>
      <w:r w:rsidRPr="00D50F97">
        <w:rPr>
          <w:b/>
          <w:u w:val="single"/>
        </w:rPr>
        <w:t xml:space="preserve">Details of the </w:t>
      </w:r>
      <w:r w:rsidR="003E362F" w:rsidRPr="003E362F">
        <w:rPr>
          <w:b/>
          <w:i/>
          <w:szCs w:val="24"/>
          <w:u w:val="single"/>
        </w:rPr>
        <w:t>Telecommunications (Interception and Access) Amendment Regulations 2018</w:t>
      </w:r>
    </w:p>
    <w:p w14:paraId="2462E825" w14:textId="77777777" w:rsidR="003E362F" w:rsidRPr="003E362F" w:rsidRDefault="003E362F" w:rsidP="003E362F">
      <w:pPr>
        <w:spacing w:before="0"/>
        <w:ind w:right="40"/>
        <w:rPr>
          <w:b/>
          <w:i/>
          <w:szCs w:val="24"/>
        </w:rPr>
      </w:pPr>
    </w:p>
    <w:p w14:paraId="4F85CD6F" w14:textId="564F989B" w:rsidR="006C1B9B" w:rsidRPr="00B87B61" w:rsidRDefault="006C1B9B" w:rsidP="00D26ADA">
      <w:pPr>
        <w:spacing w:before="0"/>
        <w:ind w:right="91"/>
        <w:jc w:val="both"/>
      </w:pPr>
      <w:r w:rsidRPr="00B87B61">
        <w:rPr>
          <w:u w:val="single"/>
        </w:rPr>
        <w:t xml:space="preserve">Section 1 – Name </w:t>
      </w:r>
    </w:p>
    <w:p w14:paraId="66477D98" w14:textId="1DE5441F" w:rsidR="00D97B81" w:rsidRPr="003E362F" w:rsidRDefault="006C1B9B" w:rsidP="00E50765">
      <w:pPr>
        <w:ind w:right="40"/>
        <w:rPr>
          <w:b/>
          <w:i/>
          <w:szCs w:val="24"/>
          <w:u w:val="single"/>
        </w:rPr>
      </w:pPr>
      <w:r w:rsidRPr="00B87B61">
        <w:t xml:space="preserve">This section provides that the title of the </w:t>
      </w:r>
      <w:r w:rsidR="003220C9" w:rsidRPr="00B87B61">
        <w:t>Regulation</w:t>
      </w:r>
      <w:r w:rsidR="008D4431">
        <w:t>s</w:t>
      </w:r>
      <w:r w:rsidR="003220C9" w:rsidRPr="00B87B61">
        <w:t xml:space="preserve"> </w:t>
      </w:r>
      <w:r w:rsidRPr="00B87B61">
        <w:t xml:space="preserve">is </w:t>
      </w:r>
      <w:r w:rsidRPr="003E362F">
        <w:t xml:space="preserve">the </w:t>
      </w:r>
      <w:r w:rsidR="003E362F" w:rsidRPr="003E362F">
        <w:rPr>
          <w:i/>
          <w:szCs w:val="24"/>
        </w:rPr>
        <w:t>Telecommunications (Interception and Access) Amendment Regulations 2018</w:t>
      </w:r>
      <w:r w:rsidR="00D97B81" w:rsidRPr="003E362F">
        <w:rPr>
          <w:i/>
        </w:rPr>
        <w:t xml:space="preserve"> </w:t>
      </w:r>
      <w:r w:rsidR="00D97B81" w:rsidRPr="003E362F">
        <w:t>(the</w:t>
      </w:r>
      <w:r w:rsidR="00D97B81">
        <w:t xml:space="preserve"> Regulations).</w:t>
      </w:r>
    </w:p>
    <w:p w14:paraId="008F7E52" w14:textId="6DEE33D6" w:rsidR="006C1B9B" w:rsidRPr="00B87B61" w:rsidRDefault="006C1B9B" w:rsidP="00D97B81">
      <w:pPr>
        <w:pStyle w:val="Default"/>
      </w:pPr>
    </w:p>
    <w:p w14:paraId="0D31E4D1" w14:textId="6D0D4BB1" w:rsidR="006C1B9B" w:rsidRPr="00D97B81" w:rsidRDefault="006C1B9B" w:rsidP="00D26ADA">
      <w:pPr>
        <w:spacing w:before="0"/>
        <w:ind w:right="91"/>
        <w:jc w:val="both"/>
        <w:rPr>
          <w:u w:val="single"/>
        </w:rPr>
      </w:pPr>
      <w:r w:rsidRPr="00B87B61">
        <w:rPr>
          <w:u w:val="single"/>
        </w:rPr>
        <w:t>Section 2 – Commencement</w:t>
      </w:r>
    </w:p>
    <w:p w14:paraId="5366DB00" w14:textId="601CFEBC" w:rsidR="00B14AD6" w:rsidRPr="00B87B61" w:rsidRDefault="00D97B81" w:rsidP="00D97B81">
      <w:pPr>
        <w:rPr>
          <w:szCs w:val="24"/>
        </w:rPr>
      </w:pPr>
      <w:r w:rsidRPr="00EF6A1F">
        <w:rPr>
          <w:szCs w:val="24"/>
        </w:rPr>
        <w:t>This</w:t>
      </w:r>
      <w:r>
        <w:rPr>
          <w:szCs w:val="24"/>
        </w:rPr>
        <w:t xml:space="preserve"> </w:t>
      </w:r>
      <w:r w:rsidRPr="00EF6A1F">
        <w:rPr>
          <w:szCs w:val="24"/>
        </w:rPr>
        <w:t xml:space="preserve">section </w:t>
      </w:r>
      <w:r>
        <w:rPr>
          <w:szCs w:val="24"/>
        </w:rPr>
        <w:t>provides</w:t>
      </w:r>
      <w:r w:rsidRPr="00EF6A1F">
        <w:rPr>
          <w:szCs w:val="24"/>
        </w:rPr>
        <w:t xml:space="preserve"> that the whole of the instrument is to commence the day after the instrument is registered.</w:t>
      </w:r>
    </w:p>
    <w:p w14:paraId="76D153CE" w14:textId="77777777" w:rsidR="00D97B81" w:rsidRPr="00EF6A1F" w:rsidRDefault="00D97B81" w:rsidP="00D97B81">
      <w:pPr>
        <w:rPr>
          <w:szCs w:val="24"/>
          <w:u w:val="single"/>
        </w:rPr>
      </w:pPr>
      <w:r w:rsidRPr="00EF6A1F">
        <w:rPr>
          <w:szCs w:val="24"/>
          <w:u w:val="single"/>
        </w:rPr>
        <w:t>Section 3 – Authority</w:t>
      </w:r>
    </w:p>
    <w:p w14:paraId="57890BBB" w14:textId="02896E9F" w:rsidR="00D97B81" w:rsidRPr="00EF6A1F" w:rsidRDefault="00D97B81" w:rsidP="00D97B81">
      <w:pPr>
        <w:rPr>
          <w:i/>
          <w:szCs w:val="24"/>
        </w:rPr>
      </w:pPr>
      <w:r w:rsidRPr="00EF6A1F">
        <w:rPr>
          <w:szCs w:val="24"/>
        </w:rPr>
        <w:t>This section provide</w:t>
      </w:r>
      <w:r>
        <w:rPr>
          <w:szCs w:val="24"/>
        </w:rPr>
        <w:t>s</w:t>
      </w:r>
      <w:r w:rsidRPr="00EF6A1F">
        <w:rPr>
          <w:szCs w:val="24"/>
        </w:rPr>
        <w:t xml:space="preserve"> that this instrument is made under the </w:t>
      </w:r>
      <w:r>
        <w:rPr>
          <w:i/>
          <w:szCs w:val="24"/>
        </w:rPr>
        <w:t>Telecommunications (Interception and Access) Act 1979</w:t>
      </w:r>
      <w:r w:rsidRPr="00EF6A1F">
        <w:rPr>
          <w:szCs w:val="24"/>
        </w:rPr>
        <w:t xml:space="preserve"> (the </w:t>
      </w:r>
      <w:r>
        <w:rPr>
          <w:szCs w:val="24"/>
        </w:rPr>
        <w:t xml:space="preserve">TIA </w:t>
      </w:r>
      <w:r w:rsidRPr="00EF6A1F">
        <w:rPr>
          <w:szCs w:val="24"/>
        </w:rPr>
        <w:t>Act)</w:t>
      </w:r>
      <w:r w:rsidRPr="00EF6A1F">
        <w:rPr>
          <w:i/>
          <w:szCs w:val="24"/>
        </w:rPr>
        <w:t>.</w:t>
      </w:r>
    </w:p>
    <w:p w14:paraId="3F93F58D" w14:textId="77777777" w:rsidR="00D97B81" w:rsidRPr="00EF6A1F" w:rsidRDefault="00D97B81" w:rsidP="00D97B81">
      <w:pPr>
        <w:rPr>
          <w:szCs w:val="24"/>
          <w:u w:val="single"/>
        </w:rPr>
      </w:pPr>
      <w:r>
        <w:rPr>
          <w:szCs w:val="24"/>
          <w:u w:val="single"/>
        </w:rPr>
        <w:t>Section 4 – Schedule 2</w:t>
      </w:r>
    </w:p>
    <w:p w14:paraId="0310138E" w14:textId="0F0CE0EC" w:rsidR="006C1B9B" w:rsidRPr="00D97B81" w:rsidRDefault="00D97B81" w:rsidP="00D97B81">
      <w:pPr>
        <w:rPr>
          <w:szCs w:val="24"/>
        </w:rPr>
      </w:pPr>
      <w:r w:rsidRPr="00EF6A1F">
        <w:rPr>
          <w:szCs w:val="24"/>
        </w:rPr>
        <w:t xml:space="preserve">This section </w:t>
      </w:r>
      <w:r>
        <w:rPr>
          <w:szCs w:val="24"/>
        </w:rPr>
        <w:t>provides</w:t>
      </w:r>
      <w:r w:rsidRPr="00EF6A1F">
        <w:rPr>
          <w:szCs w:val="24"/>
        </w:rPr>
        <w:t xml:space="preserve"> that each instrument specified in</w:t>
      </w:r>
      <w:r>
        <w:rPr>
          <w:szCs w:val="24"/>
        </w:rPr>
        <w:t xml:space="preserve"> a Schedule </w:t>
      </w:r>
      <w:r w:rsidRPr="00EF6A1F">
        <w:rPr>
          <w:szCs w:val="24"/>
        </w:rPr>
        <w:t xml:space="preserve">to this instrument is amended or repealed as set out in the applicable items in the Schedule concerned, and any other item in a Schedule to this instrument has effect according to its terms. </w:t>
      </w:r>
    </w:p>
    <w:p w14:paraId="772ABFDD" w14:textId="77777777" w:rsidR="00D97B81" w:rsidRPr="00D97B81" w:rsidRDefault="00D97B81" w:rsidP="00D97B81">
      <w:pPr>
        <w:rPr>
          <w:b/>
          <w:szCs w:val="24"/>
          <w:u w:val="single"/>
        </w:rPr>
      </w:pPr>
      <w:r w:rsidRPr="00D97B81">
        <w:rPr>
          <w:b/>
          <w:szCs w:val="24"/>
          <w:u w:val="single"/>
        </w:rPr>
        <w:t xml:space="preserve">Schedule 1 – Amendments </w:t>
      </w:r>
    </w:p>
    <w:p w14:paraId="155873F2" w14:textId="4ED8F2DE" w:rsidR="00D97B81" w:rsidRPr="003F42AE" w:rsidRDefault="00D97B81" w:rsidP="00D97B81">
      <w:pPr>
        <w:rPr>
          <w:szCs w:val="24"/>
          <w:u w:val="single"/>
        </w:rPr>
      </w:pPr>
      <w:r w:rsidRPr="00BE2097">
        <w:rPr>
          <w:szCs w:val="24"/>
          <w:u w:val="single"/>
        </w:rPr>
        <w:t>Item 1 – Amendments of listed provisions – substituting references to Minister with references to Attorney-General</w:t>
      </w:r>
    </w:p>
    <w:p w14:paraId="59721FA0" w14:textId="41332A53" w:rsidR="00D97B81" w:rsidRDefault="00D97B81" w:rsidP="00D97B81">
      <w:pPr>
        <w:rPr>
          <w:color w:val="000000"/>
          <w:szCs w:val="24"/>
        </w:rPr>
      </w:pPr>
      <w:r w:rsidRPr="00FA21A3">
        <w:rPr>
          <w:color w:val="000000"/>
          <w:szCs w:val="24"/>
        </w:rPr>
        <w:t xml:space="preserve">The </w:t>
      </w:r>
      <w:r w:rsidRPr="00D97B81">
        <w:rPr>
          <w:szCs w:val="24"/>
        </w:rPr>
        <w:t>Administrative</w:t>
      </w:r>
      <w:r w:rsidRPr="00FA21A3">
        <w:rPr>
          <w:color w:val="000000"/>
          <w:szCs w:val="24"/>
        </w:rPr>
        <w:t xml:space="preserve"> Arrangements Order was amended on 10 May 2018 to transfer responsibility for the </w:t>
      </w:r>
      <w:r>
        <w:rPr>
          <w:color w:val="000000"/>
          <w:szCs w:val="24"/>
        </w:rPr>
        <w:t xml:space="preserve">TIA </w:t>
      </w:r>
      <w:r w:rsidRPr="00FA21A3">
        <w:rPr>
          <w:color w:val="000000"/>
          <w:szCs w:val="24"/>
        </w:rPr>
        <w:t xml:space="preserve">Act from the Attorney-General’s Department to </w:t>
      </w:r>
      <w:r>
        <w:rPr>
          <w:color w:val="000000"/>
          <w:szCs w:val="24"/>
        </w:rPr>
        <w:t xml:space="preserve">the Department of Home Affairs. </w:t>
      </w:r>
      <w:r w:rsidRPr="00FA21A3">
        <w:rPr>
          <w:color w:val="000000"/>
          <w:szCs w:val="24"/>
        </w:rPr>
        <w:t xml:space="preserve">However, it was intended that certain powers in the </w:t>
      </w:r>
      <w:r>
        <w:rPr>
          <w:color w:val="000000"/>
          <w:szCs w:val="24"/>
        </w:rPr>
        <w:t xml:space="preserve">TIA </w:t>
      </w:r>
      <w:r w:rsidRPr="00FA21A3">
        <w:rPr>
          <w:color w:val="000000"/>
          <w:szCs w:val="24"/>
        </w:rPr>
        <w:t>Act, related to oversight of intelligence, security and law enforcement agencies, remain with the Attorney</w:t>
      </w:r>
      <w:r w:rsidR="00C675D6">
        <w:rPr>
          <w:color w:val="000000"/>
          <w:szCs w:val="24"/>
        </w:rPr>
        <w:noBreakHyphen/>
      </w:r>
      <w:r w:rsidRPr="00FA21A3">
        <w:rPr>
          <w:color w:val="000000"/>
          <w:szCs w:val="24"/>
        </w:rPr>
        <w:t xml:space="preserve">General. Accordingly, on 11 May 2018, the </w:t>
      </w:r>
      <w:r w:rsidRPr="00FA21A3">
        <w:rPr>
          <w:i/>
          <w:iCs/>
          <w:color w:val="000000"/>
          <w:szCs w:val="24"/>
        </w:rPr>
        <w:t>Home Affairs and Integrity Agencies Legislation Amendment Act 2018</w:t>
      </w:r>
      <w:r w:rsidRPr="00FA21A3">
        <w:rPr>
          <w:color w:val="000000"/>
          <w:szCs w:val="24"/>
        </w:rPr>
        <w:t xml:space="preserve"> amended a number of provisions in the </w:t>
      </w:r>
      <w:r>
        <w:rPr>
          <w:color w:val="000000"/>
          <w:szCs w:val="24"/>
        </w:rPr>
        <w:t xml:space="preserve">TIA </w:t>
      </w:r>
      <w:r w:rsidRPr="00FA21A3">
        <w:rPr>
          <w:color w:val="000000"/>
          <w:szCs w:val="24"/>
        </w:rPr>
        <w:t xml:space="preserve">Act to </w:t>
      </w:r>
      <w:r>
        <w:rPr>
          <w:color w:val="000000"/>
          <w:szCs w:val="24"/>
        </w:rPr>
        <w:t>replace references to “the Minister” with “</w:t>
      </w:r>
      <w:r w:rsidRPr="00FA21A3">
        <w:rPr>
          <w:color w:val="000000"/>
          <w:szCs w:val="24"/>
        </w:rPr>
        <w:t>the Attorney-Genera</w:t>
      </w:r>
      <w:r>
        <w:rPr>
          <w:color w:val="000000"/>
          <w:szCs w:val="24"/>
        </w:rPr>
        <w:t>l” so that certain powers and functions would remain with the Attorney-General despite the TIA Act now being administered by the Minister for Home Affairs</w:t>
      </w:r>
      <w:r w:rsidRPr="00FA21A3">
        <w:rPr>
          <w:color w:val="000000"/>
          <w:szCs w:val="24"/>
        </w:rPr>
        <w:t xml:space="preserve">. </w:t>
      </w:r>
      <w:r>
        <w:rPr>
          <w:color w:val="000000"/>
          <w:szCs w:val="24"/>
        </w:rPr>
        <w:t xml:space="preserve">This included the power to </w:t>
      </w:r>
      <w:r w:rsidRPr="00FA21A3">
        <w:rPr>
          <w:color w:val="000000"/>
          <w:szCs w:val="24"/>
        </w:rPr>
        <w:t xml:space="preserve">issue journalist information warrants to ASIO under Part 4-1 of the </w:t>
      </w:r>
      <w:r>
        <w:rPr>
          <w:color w:val="000000"/>
          <w:szCs w:val="24"/>
        </w:rPr>
        <w:t xml:space="preserve">TIA </w:t>
      </w:r>
      <w:r w:rsidRPr="00FA21A3">
        <w:rPr>
          <w:color w:val="000000"/>
          <w:szCs w:val="24"/>
        </w:rPr>
        <w:t xml:space="preserve">Act. </w:t>
      </w:r>
    </w:p>
    <w:p w14:paraId="0A341FF6" w14:textId="7635429F" w:rsidR="00D97B81" w:rsidRDefault="007C79AE" w:rsidP="00D97B81">
      <w:pPr>
        <w:rPr>
          <w:szCs w:val="24"/>
        </w:rPr>
      </w:pPr>
      <w:r>
        <w:rPr>
          <w:color w:val="000000"/>
          <w:szCs w:val="24"/>
        </w:rPr>
        <w:t>This item</w:t>
      </w:r>
      <w:r w:rsidR="00D97B81">
        <w:rPr>
          <w:color w:val="000000"/>
          <w:szCs w:val="24"/>
        </w:rPr>
        <w:t xml:space="preserve"> provide</w:t>
      </w:r>
      <w:r>
        <w:rPr>
          <w:color w:val="000000"/>
          <w:szCs w:val="24"/>
        </w:rPr>
        <w:t>s</w:t>
      </w:r>
      <w:r w:rsidR="00D97B81">
        <w:rPr>
          <w:color w:val="000000"/>
          <w:szCs w:val="24"/>
        </w:rPr>
        <w:t xml:space="preserve"> that certain provisions in the TIA Regulations </w:t>
      </w:r>
      <w:r w:rsidR="00D97B81" w:rsidRPr="00FA21A3">
        <w:rPr>
          <w:color w:val="000000"/>
          <w:szCs w:val="24"/>
        </w:rPr>
        <w:t xml:space="preserve">relating to </w:t>
      </w:r>
      <w:r w:rsidR="00D97B81">
        <w:rPr>
          <w:color w:val="000000"/>
          <w:szCs w:val="24"/>
        </w:rPr>
        <w:t xml:space="preserve">journalist information </w:t>
      </w:r>
      <w:r w:rsidR="00D97B81" w:rsidRPr="00FA21A3">
        <w:rPr>
          <w:color w:val="000000"/>
          <w:szCs w:val="24"/>
        </w:rPr>
        <w:t xml:space="preserve">warrants issued under </w:t>
      </w:r>
      <w:r w:rsidR="00D97B81">
        <w:rPr>
          <w:color w:val="000000"/>
          <w:szCs w:val="24"/>
        </w:rPr>
        <w:t>Part 4-1 of the TIA Act</w:t>
      </w:r>
      <w:r w:rsidR="00D97B81" w:rsidRPr="00FA21A3">
        <w:rPr>
          <w:color w:val="000000"/>
          <w:szCs w:val="24"/>
        </w:rPr>
        <w:t xml:space="preserve"> </w:t>
      </w:r>
      <w:r w:rsidR="00D97B81">
        <w:rPr>
          <w:color w:val="000000"/>
          <w:szCs w:val="24"/>
        </w:rPr>
        <w:t xml:space="preserve">be amended </w:t>
      </w:r>
      <w:r w:rsidR="00D97B81" w:rsidRPr="00FA21A3">
        <w:rPr>
          <w:color w:val="000000"/>
          <w:szCs w:val="24"/>
        </w:rPr>
        <w:t>to make it clear that the Minister referred to is the Attorney-General, as the minister empowered to issue such warrants, rather than the Minister administer</w:t>
      </w:r>
      <w:r w:rsidR="00D97B81">
        <w:rPr>
          <w:color w:val="000000"/>
          <w:szCs w:val="24"/>
        </w:rPr>
        <w:t xml:space="preserve">ing the Act and the Regulations, by substituting </w:t>
      </w:r>
      <w:r w:rsidR="00D97B81">
        <w:rPr>
          <w:szCs w:val="24"/>
        </w:rPr>
        <w:t xml:space="preserve">“Minister” with “Attorney-General” in specified provisions of the TIA Regulations. </w:t>
      </w:r>
    </w:p>
    <w:p w14:paraId="0CBAC3E3" w14:textId="5AA143C3" w:rsidR="00D97B81" w:rsidRDefault="00D97B81" w:rsidP="00D97B81">
      <w:r>
        <w:rPr>
          <w:szCs w:val="24"/>
        </w:rPr>
        <w:t xml:space="preserve">Paragraphs (a) to (e) </w:t>
      </w:r>
      <w:r w:rsidR="00C675D6">
        <w:rPr>
          <w:szCs w:val="24"/>
        </w:rPr>
        <w:t xml:space="preserve">of </w:t>
      </w:r>
      <w:r w:rsidR="007C79AE">
        <w:rPr>
          <w:szCs w:val="24"/>
        </w:rPr>
        <w:t>this item</w:t>
      </w:r>
      <w:r>
        <w:rPr>
          <w:szCs w:val="24"/>
        </w:rPr>
        <w:t xml:space="preserve"> substitute “Minister” with “Attorney-General” in </w:t>
      </w:r>
      <w:r w:rsidRPr="005F79E0">
        <w:t>subparagraph</w:t>
      </w:r>
      <w:r>
        <w:t>s</w:t>
      </w:r>
      <w:r w:rsidRPr="005F79E0">
        <w:t> 13(3)(a)(</w:t>
      </w:r>
      <w:proofErr w:type="spellStart"/>
      <w:r w:rsidRPr="005F79E0">
        <w:t>i</w:t>
      </w:r>
      <w:proofErr w:type="spellEnd"/>
      <w:r w:rsidRPr="005F79E0">
        <w:t>)</w:t>
      </w:r>
      <w:r>
        <w:t>, 14(6)(a)(</w:t>
      </w:r>
      <w:proofErr w:type="spellStart"/>
      <w:r>
        <w:t>i</w:t>
      </w:r>
      <w:proofErr w:type="spellEnd"/>
      <w:r>
        <w:t xml:space="preserve">) and </w:t>
      </w:r>
      <w:r w:rsidRPr="005F79E0">
        <w:t>17(2)(a)(</w:t>
      </w:r>
      <w:proofErr w:type="spellStart"/>
      <w:r w:rsidRPr="005F79E0">
        <w:t>i</w:t>
      </w:r>
      <w:proofErr w:type="spellEnd"/>
      <w:r w:rsidRPr="005F79E0">
        <w:t>)</w:t>
      </w:r>
      <w:r>
        <w:t xml:space="preserve"> and subsections 14(9), 16(1) and 16(2) </w:t>
      </w:r>
      <w:r>
        <w:lastRenderedPageBreak/>
        <w:t xml:space="preserve">of the TIA Regulations to make it clear that the Minister referred to is the Attorney-General. </w:t>
      </w:r>
      <w:r w:rsidR="00A415A2">
        <w:t>The effect of these amendments is to make clear that:</w:t>
      </w:r>
    </w:p>
    <w:p w14:paraId="77B169FA" w14:textId="6FAC8D98" w:rsidR="00A415A2" w:rsidRDefault="00A415A2" w:rsidP="00E50765">
      <w:pPr>
        <w:pStyle w:val="ListParagraph"/>
        <w:numPr>
          <w:ilvl w:val="0"/>
          <w:numId w:val="30"/>
        </w:numPr>
        <w:rPr>
          <w:szCs w:val="24"/>
        </w:rPr>
      </w:pPr>
      <w:r>
        <w:rPr>
          <w:szCs w:val="24"/>
        </w:rPr>
        <w:t>for the purposes of subparagraph 13(3)(a)(</w:t>
      </w:r>
      <w:proofErr w:type="spellStart"/>
      <w:r>
        <w:rPr>
          <w:szCs w:val="24"/>
        </w:rPr>
        <w:t>i</w:t>
      </w:r>
      <w:proofErr w:type="spellEnd"/>
      <w:r>
        <w:rPr>
          <w:szCs w:val="24"/>
        </w:rPr>
        <w:t>)—further information is given to the Attorney</w:t>
      </w:r>
      <w:r>
        <w:rPr>
          <w:szCs w:val="24"/>
        </w:rPr>
        <w:noBreakHyphen/>
        <w:t>General in relation to a request by the Director</w:t>
      </w:r>
      <w:r>
        <w:rPr>
          <w:szCs w:val="24"/>
        </w:rPr>
        <w:noBreakHyphen/>
        <w:t>General of Security;</w:t>
      </w:r>
    </w:p>
    <w:p w14:paraId="2EEF3095" w14:textId="4392BE93" w:rsidR="00A415A2" w:rsidRDefault="00A415A2" w:rsidP="00E50765">
      <w:pPr>
        <w:pStyle w:val="ListParagraph"/>
        <w:numPr>
          <w:ilvl w:val="0"/>
          <w:numId w:val="30"/>
        </w:numPr>
        <w:rPr>
          <w:szCs w:val="24"/>
        </w:rPr>
      </w:pPr>
      <w:r>
        <w:rPr>
          <w:szCs w:val="24"/>
        </w:rPr>
        <w:t>for the purposes of subparagraph 14(6)(a)(</w:t>
      </w:r>
      <w:proofErr w:type="spellStart"/>
      <w:r>
        <w:rPr>
          <w:szCs w:val="24"/>
        </w:rPr>
        <w:t>i</w:t>
      </w:r>
      <w:proofErr w:type="spellEnd"/>
      <w:r>
        <w:rPr>
          <w:szCs w:val="24"/>
        </w:rPr>
        <w:t>)—</w:t>
      </w:r>
      <w:r w:rsidRPr="00A415A2">
        <w:rPr>
          <w:szCs w:val="24"/>
        </w:rPr>
        <w:t xml:space="preserve"> </w:t>
      </w:r>
      <w:r>
        <w:rPr>
          <w:szCs w:val="24"/>
        </w:rPr>
        <w:t>further information is given to the Attorney</w:t>
      </w:r>
      <w:r>
        <w:rPr>
          <w:szCs w:val="24"/>
        </w:rPr>
        <w:noBreakHyphen/>
        <w:t>General in relation to a request by the Director</w:t>
      </w:r>
      <w:r>
        <w:rPr>
          <w:szCs w:val="24"/>
        </w:rPr>
        <w:noBreakHyphen/>
        <w:t>General of Security;</w:t>
      </w:r>
    </w:p>
    <w:p w14:paraId="01885890" w14:textId="44FE1261" w:rsidR="00A415A2" w:rsidRDefault="00A415A2" w:rsidP="00A415A2">
      <w:pPr>
        <w:pStyle w:val="ListParagraph"/>
        <w:numPr>
          <w:ilvl w:val="0"/>
          <w:numId w:val="30"/>
        </w:numPr>
        <w:rPr>
          <w:szCs w:val="24"/>
        </w:rPr>
      </w:pPr>
      <w:r>
        <w:rPr>
          <w:szCs w:val="24"/>
        </w:rPr>
        <w:t>for the purposes of subsection 14(9)—the Attorney</w:t>
      </w:r>
      <w:r>
        <w:rPr>
          <w:szCs w:val="24"/>
        </w:rPr>
        <w:noBreakHyphen/>
        <w:t>General may consider a late submission or updated submission;</w:t>
      </w:r>
    </w:p>
    <w:p w14:paraId="7824ACCC" w14:textId="77777777" w:rsidR="00D33F8C" w:rsidRPr="00D33F8C" w:rsidRDefault="00A415A2" w:rsidP="00E50765">
      <w:pPr>
        <w:pStyle w:val="ListParagraph"/>
        <w:numPr>
          <w:ilvl w:val="0"/>
          <w:numId w:val="30"/>
        </w:numPr>
        <w:rPr>
          <w:szCs w:val="24"/>
          <w:u w:val="single"/>
        </w:rPr>
      </w:pPr>
      <w:r>
        <w:rPr>
          <w:szCs w:val="24"/>
        </w:rPr>
        <w:t>for the purposes of subsection</w:t>
      </w:r>
      <w:r w:rsidR="00AE710C">
        <w:rPr>
          <w:szCs w:val="24"/>
        </w:rPr>
        <w:t>s</w:t>
      </w:r>
      <w:r>
        <w:rPr>
          <w:szCs w:val="24"/>
        </w:rPr>
        <w:t xml:space="preserve"> 16(1)</w:t>
      </w:r>
      <w:r w:rsidR="00AE710C">
        <w:rPr>
          <w:szCs w:val="24"/>
        </w:rPr>
        <w:t xml:space="preserve"> and (2)</w:t>
      </w:r>
      <w:r>
        <w:rPr>
          <w:szCs w:val="24"/>
        </w:rPr>
        <w:t>—</w:t>
      </w:r>
      <w:r w:rsidR="00684BCB">
        <w:rPr>
          <w:szCs w:val="24"/>
        </w:rPr>
        <w:t>the Attorney</w:t>
      </w:r>
      <w:r w:rsidR="00684BCB">
        <w:rPr>
          <w:szCs w:val="24"/>
        </w:rPr>
        <w:noBreakHyphen/>
        <w:t>General may require that further information is given to the Public Interest Advocate; and</w:t>
      </w:r>
    </w:p>
    <w:p w14:paraId="5E5AAF55" w14:textId="29BDF9CB" w:rsidR="00E50765" w:rsidRPr="00E50765" w:rsidRDefault="00A415A2" w:rsidP="00E50765">
      <w:pPr>
        <w:pStyle w:val="ListParagraph"/>
        <w:numPr>
          <w:ilvl w:val="0"/>
          <w:numId w:val="30"/>
        </w:numPr>
        <w:rPr>
          <w:szCs w:val="24"/>
          <w:u w:val="single"/>
        </w:rPr>
      </w:pPr>
      <w:proofErr w:type="gramStart"/>
      <w:r w:rsidRPr="00E50765">
        <w:rPr>
          <w:szCs w:val="24"/>
        </w:rPr>
        <w:t>for</w:t>
      </w:r>
      <w:proofErr w:type="gramEnd"/>
      <w:r w:rsidRPr="00E50765">
        <w:rPr>
          <w:szCs w:val="24"/>
        </w:rPr>
        <w:t xml:space="preserve"> the purposes of subparagraph 17(2)(a)(</w:t>
      </w:r>
      <w:proofErr w:type="spellStart"/>
      <w:r w:rsidRPr="00E50765">
        <w:rPr>
          <w:szCs w:val="24"/>
        </w:rPr>
        <w:t>i</w:t>
      </w:r>
      <w:proofErr w:type="spellEnd"/>
      <w:r w:rsidRPr="00E50765">
        <w:rPr>
          <w:szCs w:val="24"/>
        </w:rPr>
        <w:t>)— further information is given to the Attorney</w:t>
      </w:r>
      <w:r w:rsidRPr="00E50765">
        <w:rPr>
          <w:szCs w:val="24"/>
        </w:rPr>
        <w:noBreakHyphen/>
        <w:t>General in relation to a request by the Director</w:t>
      </w:r>
      <w:r w:rsidRPr="00E50765">
        <w:rPr>
          <w:szCs w:val="24"/>
        </w:rPr>
        <w:noBreakHyphen/>
        <w:t>General of Security.</w:t>
      </w:r>
    </w:p>
    <w:p w14:paraId="73F992AF" w14:textId="2093BA31" w:rsidR="00D97B81" w:rsidRPr="00BE2097" w:rsidRDefault="00D97B81" w:rsidP="00E50765">
      <w:pPr>
        <w:rPr>
          <w:szCs w:val="24"/>
          <w:u w:val="single"/>
        </w:rPr>
      </w:pPr>
      <w:r w:rsidRPr="00BE2097">
        <w:rPr>
          <w:szCs w:val="24"/>
          <w:u w:val="single"/>
        </w:rPr>
        <w:t xml:space="preserve">Item 2 – Section 21 (heading) </w:t>
      </w:r>
    </w:p>
    <w:p w14:paraId="487D3EC2" w14:textId="0A894F33" w:rsidR="00D97B81" w:rsidRDefault="00D97B81" w:rsidP="00D97B81">
      <w:pPr>
        <w:rPr>
          <w:szCs w:val="24"/>
        </w:rPr>
      </w:pPr>
      <w:r w:rsidRPr="00BE2097">
        <w:rPr>
          <w:szCs w:val="24"/>
        </w:rPr>
        <w:t xml:space="preserve">Section 21 provides that a Public Interest Advocate must give written notice to the </w:t>
      </w:r>
      <w:r w:rsidR="00C675D6" w:rsidRPr="00BE2097">
        <w:rPr>
          <w:szCs w:val="24"/>
        </w:rPr>
        <w:t>Prime </w:t>
      </w:r>
      <w:r w:rsidRPr="00BE2097">
        <w:rPr>
          <w:szCs w:val="24"/>
        </w:rPr>
        <w:t xml:space="preserve">Minister of all interests, pecuniary or otherwise, that the Public Interest Advocate has or acquires and that conflicts or could conflict with the proper performance of his or her functions. This item </w:t>
      </w:r>
      <w:r w:rsidR="007C79AE" w:rsidRPr="00BE2097">
        <w:rPr>
          <w:szCs w:val="24"/>
        </w:rPr>
        <w:t>omits</w:t>
      </w:r>
      <w:r w:rsidRPr="00BE2097">
        <w:rPr>
          <w:szCs w:val="24"/>
        </w:rPr>
        <w:t xml:space="preserve"> the words “to the Minister” in the</w:t>
      </w:r>
      <w:r>
        <w:rPr>
          <w:szCs w:val="24"/>
        </w:rPr>
        <w:t xml:space="preserve"> heading of section 21 to avoid a</w:t>
      </w:r>
      <w:r w:rsidR="00C675D6">
        <w:rPr>
          <w:szCs w:val="24"/>
        </w:rPr>
        <w:t>n inconsistency</w:t>
      </w:r>
      <w:r>
        <w:rPr>
          <w:szCs w:val="24"/>
        </w:rPr>
        <w:t xml:space="preserve"> between the heading to section 21, which refers to “the Minister”, and the text of section 21, which refers to “the Prime Minister”. </w:t>
      </w:r>
    </w:p>
    <w:p w14:paraId="7B6E436B" w14:textId="368096E1" w:rsidR="00110840" w:rsidRPr="003E362F" w:rsidRDefault="00110840" w:rsidP="003E362F">
      <w:pPr>
        <w:spacing w:before="0"/>
        <w:rPr>
          <w:rFonts w:eastAsiaTheme="minorHAnsi"/>
          <w:szCs w:val="24"/>
          <w:lang w:eastAsia="en-US"/>
        </w:rPr>
      </w:pPr>
    </w:p>
    <w:sectPr w:rsidR="00110840" w:rsidRPr="003E362F" w:rsidSect="00AD48DA">
      <w:headerReference w:type="default" r:id="rId12"/>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EC2DC7" w:rsidRDefault="00EC2DC7" w:rsidP="007A1709">
      <w:pPr>
        <w:spacing w:before="0"/>
      </w:pPr>
      <w:r>
        <w:separator/>
      </w:r>
    </w:p>
  </w:endnote>
  <w:endnote w:type="continuationSeparator" w:id="0">
    <w:p w14:paraId="01E00B58" w14:textId="77777777" w:rsidR="00EC2DC7" w:rsidRDefault="00EC2DC7"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EC2DC7" w:rsidRDefault="00EC2DC7" w:rsidP="007A1709">
      <w:pPr>
        <w:spacing w:before="0"/>
      </w:pPr>
      <w:r>
        <w:separator/>
      </w:r>
    </w:p>
  </w:footnote>
  <w:footnote w:type="continuationSeparator" w:id="0">
    <w:p w14:paraId="6DA68F3E" w14:textId="77777777" w:rsidR="00EC2DC7" w:rsidRDefault="00EC2DC7"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637F5728" w14:textId="1D6C7E1C" w:rsidR="00EC2DC7" w:rsidRDefault="00EC2DC7">
        <w:pPr>
          <w:pStyle w:val="Header"/>
          <w:jc w:val="center"/>
        </w:pPr>
        <w:r>
          <w:fldChar w:fldCharType="begin"/>
        </w:r>
        <w:r>
          <w:instrText xml:space="preserve"> PAGE   \* MERGEFORMAT </w:instrText>
        </w:r>
        <w:r>
          <w:fldChar w:fldCharType="separate"/>
        </w:r>
        <w:r w:rsidR="00BB656F">
          <w:rPr>
            <w:noProof/>
          </w:rPr>
          <w:t>2</w:t>
        </w:r>
        <w:r>
          <w:rPr>
            <w:noProof/>
          </w:rPr>
          <w:fldChar w:fldCharType="end"/>
        </w:r>
      </w:p>
    </w:sdtContent>
  </w:sdt>
  <w:p w14:paraId="273F8874" w14:textId="77777777" w:rsidR="00EC2DC7" w:rsidRDefault="00EC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5304E2A2" w:rsidR="00EC2DC7" w:rsidRDefault="00EC2DC7">
        <w:pPr>
          <w:pStyle w:val="Header"/>
          <w:jc w:val="center"/>
        </w:pPr>
        <w:r>
          <w:fldChar w:fldCharType="begin"/>
        </w:r>
        <w:r>
          <w:instrText xml:space="preserve"> PAGE   \* MERGEFORMAT </w:instrText>
        </w:r>
        <w:r>
          <w:fldChar w:fldCharType="separate"/>
        </w:r>
        <w:r w:rsidR="00BB656F">
          <w:rPr>
            <w:noProof/>
          </w:rPr>
          <w:t>4</w:t>
        </w:r>
        <w:r>
          <w:rPr>
            <w:noProof/>
          </w:rPr>
          <w:fldChar w:fldCharType="end"/>
        </w:r>
      </w:p>
    </w:sdtContent>
  </w:sdt>
  <w:p w14:paraId="55A328BF" w14:textId="77777777" w:rsidR="00EC2DC7" w:rsidRDefault="00EC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4887BDE"/>
    <w:multiLevelType w:val="hybridMultilevel"/>
    <w:tmpl w:val="8FF2AE5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8"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3"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C200A8"/>
    <w:multiLevelType w:val="hybridMultilevel"/>
    <w:tmpl w:val="C7906E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1" w15:restartNumberingAfterBreak="0">
    <w:nsid w:val="6C217CFB"/>
    <w:multiLevelType w:val="hybridMultilevel"/>
    <w:tmpl w:val="013C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1"/>
  </w:num>
  <w:num w:numId="5">
    <w:abstractNumId w:val="1"/>
  </w:num>
  <w:num w:numId="6">
    <w:abstractNumId w:val="27"/>
  </w:num>
  <w:num w:numId="7">
    <w:abstractNumId w:val="2"/>
  </w:num>
  <w:num w:numId="8">
    <w:abstractNumId w:val="24"/>
  </w:num>
  <w:num w:numId="9">
    <w:abstractNumId w:val="8"/>
  </w:num>
  <w:num w:numId="10">
    <w:abstractNumId w:val="28"/>
  </w:num>
  <w:num w:numId="11">
    <w:abstractNumId w:val="22"/>
  </w:num>
  <w:num w:numId="12">
    <w:abstractNumId w:val="26"/>
  </w:num>
  <w:num w:numId="13">
    <w:abstractNumId w:val="20"/>
  </w:num>
  <w:num w:numId="14">
    <w:abstractNumId w:val="7"/>
  </w:num>
  <w:num w:numId="15">
    <w:abstractNumId w:val="19"/>
  </w:num>
  <w:num w:numId="16">
    <w:abstractNumId w:val="12"/>
  </w:num>
  <w:num w:numId="17">
    <w:abstractNumId w:val="6"/>
  </w:num>
  <w:num w:numId="18">
    <w:abstractNumId w:val="13"/>
  </w:num>
  <w:num w:numId="19">
    <w:abstractNumId w:val="3"/>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23"/>
  </w:num>
  <w:num w:numId="24">
    <w:abstractNumId w:val="18"/>
  </w:num>
  <w:num w:numId="25">
    <w:abstractNumId w:val="9"/>
  </w:num>
  <w:num w:numId="26">
    <w:abstractNumId w:val="17"/>
  </w:num>
  <w:num w:numId="27">
    <w:abstractNumId w:val="4"/>
  </w:num>
  <w:num w:numId="28">
    <w:abstractNumId w:val="16"/>
  </w:num>
  <w:num w:numId="29">
    <w:abstractNumId w:val="5"/>
  </w:num>
  <w:num w:numId="3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7E8"/>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4D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10840"/>
    <w:rsid w:val="001117C9"/>
    <w:rsid w:val="0011251A"/>
    <w:rsid w:val="00113467"/>
    <w:rsid w:val="001135FD"/>
    <w:rsid w:val="00113F67"/>
    <w:rsid w:val="001140C8"/>
    <w:rsid w:val="00114B08"/>
    <w:rsid w:val="00114D73"/>
    <w:rsid w:val="001151DB"/>
    <w:rsid w:val="001166B6"/>
    <w:rsid w:val="00116CD8"/>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235B"/>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CDC"/>
    <w:rsid w:val="001B217A"/>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55AE"/>
    <w:rsid w:val="00285FD9"/>
    <w:rsid w:val="00291167"/>
    <w:rsid w:val="00291AAC"/>
    <w:rsid w:val="00291E10"/>
    <w:rsid w:val="00292FE8"/>
    <w:rsid w:val="00293053"/>
    <w:rsid w:val="002933DC"/>
    <w:rsid w:val="00294752"/>
    <w:rsid w:val="002969B4"/>
    <w:rsid w:val="002A111E"/>
    <w:rsid w:val="002A12FE"/>
    <w:rsid w:val="002A1454"/>
    <w:rsid w:val="002A1B42"/>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27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280"/>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362F"/>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49E"/>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69B"/>
    <w:rsid w:val="00603800"/>
    <w:rsid w:val="00603BC3"/>
    <w:rsid w:val="00603CDD"/>
    <w:rsid w:val="006045B9"/>
    <w:rsid w:val="0060602C"/>
    <w:rsid w:val="00606679"/>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CB"/>
    <w:rsid w:val="00684BF2"/>
    <w:rsid w:val="0068645B"/>
    <w:rsid w:val="006901A0"/>
    <w:rsid w:val="0069051F"/>
    <w:rsid w:val="00690F3D"/>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A42"/>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18F0"/>
    <w:rsid w:val="006F1AFF"/>
    <w:rsid w:val="006F22B5"/>
    <w:rsid w:val="006F2472"/>
    <w:rsid w:val="006F2722"/>
    <w:rsid w:val="006F3DE2"/>
    <w:rsid w:val="006F54B7"/>
    <w:rsid w:val="006F5AA6"/>
    <w:rsid w:val="006F5E08"/>
    <w:rsid w:val="006F5F2A"/>
    <w:rsid w:val="006F66BB"/>
    <w:rsid w:val="006F66C1"/>
    <w:rsid w:val="006F6E24"/>
    <w:rsid w:val="006F70C2"/>
    <w:rsid w:val="00700C0A"/>
    <w:rsid w:val="007014AD"/>
    <w:rsid w:val="00701895"/>
    <w:rsid w:val="0070365F"/>
    <w:rsid w:val="00704663"/>
    <w:rsid w:val="00704D4B"/>
    <w:rsid w:val="00706BD0"/>
    <w:rsid w:val="00707322"/>
    <w:rsid w:val="007106A3"/>
    <w:rsid w:val="007113F4"/>
    <w:rsid w:val="00712A47"/>
    <w:rsid w:val="00712A8B"/>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46D3"/>
    <w:rsid w:val="007478B7"/>
    <w:rsid w:val="0074790E"/>
    <w:rsid w:val="00747FA8"/>
    <w:rsid w:val="00750653"/>
    <w:rsid w:val="0075169F"/>
    <w:rsid w:val="00751BD6"/>
    <w:rsid w:val="00754915"/>
    <w:rsid w:val="007554E9"/>
    <w:rsid w:val="00755611"/>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C79AE"/>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3905"/>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293"/>
    <w:rsid w:val="0082748B"/>
    <w:rsid w:val="00830096"/>
    <w:rsid w:val="0083089A"/>
    <w:rsid w:val="008309AB"/>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657"/>
    <w:rsid w:val="009172C0"/>
    <w:rsid w:val="00917702"/>
    <w:rsid w:val="00917A94"/>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604D"/>
    <w:rsid w:val="00946ACF"/>
    <w:rsid w:val="00946C99"/>
    <w:rsid w:val="00950CC8"/>
    <w:rsid w:val="00951635"/>
    <w:rsid w:val="009549B7"/>
    <w:rsid w:val="00954A3B"/>
    <w:rsid w:val="0095523B"/>
    <w:rsid w:val="00956093"/>
    <w:rsid w:val="00956749"/>
    <w:rsid w:val="00957FBA"/>
    <w:rsid w:val="00963361"/>
    <w:rsid w:val="00964971"/>
    <w:rsid w:val="00964A21"/>
    <w:rsid w:val="00964A46"/>
    <w:rsid w:val="009651DB"/>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3A6D"/>
    <w:rsid w:val="00994E27"/>
    <w:rsid w:val="0099574B"/>
    <w:rsid w:val="009959DE"/>
    <w:rsid w:val="009966FE"/>
    <w:rsid w:val="00996CAC"/>
    <w:rsid w:val="00996D20"/>
    <w:rsid w:val="0099765B"/>
    <w:rsid w:val="009A0314"/>
    <w:rsid w:val="009A063E"/>
    <w:rsid w:val="009A0F56"/>
    <w:rsid w:val="009A113C"/>
    <w:rsid w:val="009A2095"/>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4DF"/>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5A2"/>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443"/>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10C"/>
    <w:rsid w:val="00AE7866"/>
    <w:rsid w:val="00AF0E46"/>
    <w:rsid w:val="00AF1638"/>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23C7"/>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4419"/>
    <w:rsid w:val="00B65415"/>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56F"/>
    <w:rsid w:val="00BB6C47"/>
    <w:rsid w:val="00BB754F"/>
    <w:rsid w:val="00BC0DF5"/>
    <w:rsid w:val="00BC19EF"/>
    <w:rsid w:val="00BC2511"/>
    <w:rsid w:val="00BC4360"/>
    <w:rsid w:val="00BC6090"/>
    <w:rsid w:val="00BC6539"/>
    <w:rsid w:val="00BC723B"/>
    <w:rsid w:val="00BD3BEA"/>
    <w:rsid w:val="00BD6C7D"/>
    <w:rsid w:val="00BD72D5"/>
    <w:rsid w:val="00BD7525"/>
    <w:rsid w:val="00BD7652"/>
    <w:rsid w:val="00BD7A01"/>
    <w:rsid w:val="00BE07E3"/>
    <w:rsid w:val="00BE0D0D"/>
    <w:rsid w:val="00BE1D9D"/>
    <w:rsid w:val="00BE2097"/>
    <w:rsid w:val="00BE2871"/>
    <w:rsid w:val="00BE3CAC"/>
    <w:rsid w:val="00BE3CB3"/>
    <w:rsid w:val="00BE4B70"/>
    <w:rsid w:val="00BE509F"/>
    <w:rsid w:val="00BE518F"/>
    <w:rsid w:val="00BE5239"/>
    <w:rsid w:val="00BE58C5"/>
    <w:rsid w:val="00BE6CD0"/>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675D6"/>
    <w:rsid w:val="00C70041"/>
    <w:rsid w:val="00C7041D"/>
    <w:rsid w:val="00C70CB4"/>
    <w:rsid w:val="00C710C4"/>
    <w:rsid w:val="00C715E4"/>
    <w:rsid w:val="00C71EA6"/>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218F"/>
    <w:rsid w:val="00CA34A7"/>
    <w:rsid w:val="00CA3FDD"/>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583C"/>
    <w:rsid w:val="00D15BCF"/>
    <w:rsid w:val="00D1635E"/>
    <w:rsid w:val="00D17C97"/>
    <w:rsid w:val="00D17D98"/>
    <w:rsid w:val="00D20238"/>
    <w:rsid w:val="00D22155"/>
    <w:rsid w:val="00D225DA"/>
    <w:rsid w:val="00D259CE"/>
    <w:rsid w:val="00D2600E"/>
    <w:rsid w:val="00D26127"/>
    <w:rsid w:val="00D26ADA"/>
    <w:rsid w:val="00D30457"/>
    <w:rsid w:val="00D304D9"/>
    <w:rsid w:val="00D30730"/>
    <w:rsid w:val="00D314EE"/>
    <w:rsid w:val="00D31532"/>
    <w:rsid w:val="00D318AC"/>
    <w:rsid w:val="00D31D8A"/>
    <w:rsid w:val="00D31E1E"/>
    <w:rsid w:val="00D33F8C"/>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97B8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DD9"/>
    <w:rsid w:val="00E277EF"/>
    <w:rsid w:val="00E30DB0"/>
    <w:rsid w:val="00E30FE2"/>
    <w:rsid w:val="00E326FF"/>
    <w:rsid w:val="00E3314A"/>
    <w:rsid w:val="00E3345C"/>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0CF"/>
    <w:rsid w:val="00E4475D"/>
    <w:rsid w:val="00E44EE2"/>
    <w:rsid w:val="00E45024"/>
    <w:rsid w:val="00E457AB"/>
    <w:rsid w:val="00E46011"/>
    <w:rsid w:val="00E46F3E"/>
    <w:rsid w:val="00E50391"/>
    <w:rsid w:val="00E5058D"/>
    <w:rsid w:val="00E50593"/>
    <w:rsid w:val="00E50765"/>
    <w:rsid w:val="00E51CF4"/>
    <w:rsid w:val="00E54642"/>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A4B"/>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2EBD"/>
    <w:rsid w:val="00F33066"/>
    <w:rsid w:val="00F354E9"/>
    <w:rsid w:val="00F358DC"/>
    <w:rsid w:val="00F359E9"/>
    <w:rsid w:val="00F3727E"/>
    <w:rsid w:val="00F417CB"/>
    <w:rsid w:val="00F41B75"/>
    <w:rsid w:val="00F434CF"/>
    <w:rsid w:val="00F43EC8"/>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57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1A3"/>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7E8"/>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26AA"/>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Item">
    <w:name w:val="Item"/>
    <w:aliases w:val="i"/>
    <w:basedOn w:val="Normal"/>
    <w:next w:val="ItemHead"/>
    <w:rsid w:val="009A2095"/>
    <w:pPr>
      <w:keepLines/>
      <w:spacing w:before="80"/>
      <w:ind w:left="709"/>
    </w:pPr>
    <w:rPr>
      <w:sz w:val="22"/>
    </w:rPr>
  </w:style>
  <w:style w:type="paragraph" w:customStyle="1" w:styleId="ItemHead">
    <w:name w:val="ItemHead"/>
    <w:aliases w:val="ih"/>
    <w:basedOn w:val="Normal"/>
    <w:next w:val="Item"/>
    <w:rsid w:val="009A2095"/>
    <w:pPr>
      <w:keepNext/>
      <w:keepLines/>
      <w:spacing w:before="220"/>
      <w:ind w:left="709" w:hanging="709"/>
    </w:pPr>
    <w:rPr>
      <w:rFonts w:ascii="Arial" w:hAnsi="Arial"/>
      <w:b/>
      <w:kern w:val="28"/>
    </w:rPr>
  </w:style>
  <w:style w:type="paragraph" w:customStyle="1" w:styleId="notedraft">
    <w:name w:val="note(draft)"/>
    <w:aliases w:val="nd"/>
    <w:basedOn w:val="Normal"/>
    <w:rsid w:val="009A2095"/>
    <w:pPr>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155">
      <w:bodyDiv w:val="1"/>
      <w:marLeft w:val="0"/>
      <w:marRight w:val="0"/>
      <w:marTop w:val="0"/>
      <w:marBottom w:val="0"/>
      <w:divBdr>
        <w:top w:val="none" w:sz="0" w:space="0" w:color="auto"/>
        <w:left w:val="none" w:sz="0" w:space="0" w:color="auto"/>
        <w:bottom w:val="none" w:sz="0" w:space="0" w:color="auto"/>
        <w:right w:val="none" w:sz="0" w:space="0" w:color="auto"/>
      </w:divBdr>
      <w:divsChild>
        <w:div w:id="755246937">
          <w:marLeft w:val="0"/>
          <w:marRight w:val="0"/>
          <w:marTop w:val="0"/>
          <w:marBottom w:val="0"/>
          <w:divBdr>
            <w:top w:val="none" w:sz="0" w:space="0" w:color="auto"/>
            <w:left w:val="none" w:sz="0" w:space="0" w:color="auto"/>
            <w:bottom w:val="none" w:sz="0" w:space="0" w:color="auto"/>
            <w:right w:val="none" w:sz="0" w:space="0" w:color="auto"/>
          </w:divBdr>
          <w:divsChild>
            <w:div w:id="5643090">
              <w:marLeft w:val="0"/>
              <w:marRight w:val="0"/>
              <w:marTop w:val="0"/>
              <w:marBottom w:val="0"/>
              <w:divBdr>
                <w:top w:val="none" w:sz="0" w:space="0" w:color="auto"/>
                <w:left w:val="none" w:sz="0" w:space="0" w:color="auto"/>
                <w:bottom w:val="none" w:sz="0" w:space="0" w:color="auto"/>
                <w:right w:val="none" w:sz="0" w:space="0" w:color="auto"/>
              </w:divBdr>
              <w:divsChild>
                <w:div w:id="1001004531">
                  <w:marLeft w:val="0"/>
                  <w:marRight w:val="0"/>
                  <w:marTop w:val="0"/>
                  <w:marBottom w:val="0"/>
                  <w:divBdr>
                    <w:top w:val="none" w:sz="0" w:space="0" w:color="auto"/>
                    <w:left w:val="none" w:sz="0" w:space="0" w:color="auto"/>
                    <w:bottom w:val="none" w:sz="0" w:space="0" w:color="auto"/>
                    <w:right w:val="none" w:sz="0" w:space="0" w:color="auto"/>
                  </w:divBdr>
                  <w:divsChild>
                    <w:div w:id="2134319902">
                      <w:marLeft w:val="0"/>
                      <w:marRight w:val="0"/>
                      <w:marTop w:val="0"/>
                      <w:marBottom w:val="0"/>
                      <w:divBdr>
                        <w:top w:val="none" w:sz="0" w:space="0" w:color="auto"/>
                        <w:left w:val="none" w:sz="0" w:space="0" w:color="auto"/>
                        <w:bottom w:val="none" w:sz="0" w:space="0" w:color="auto"/>
                        <w:right w:val="none" w:sz="0" w:space="0" w:color="auto"/>
                      </w:divBdr>
                      <w:divsChild>
                        <w:div w:id="1455096038">
                          <w:marLeft w:val="0"/>
                          <w:marRight w:val="0"/>
                          <w:marTop w:val="0"/>
                          <w:marBottom w:val="0"/>
                          <w:divBdr>
                            <w:top w:val="none" w:sz="0" w:space="0" w:color="auto"/>
                            <w:left w:val="none" w:sz="0" w:space="0" w:color="auto"/>
                            <w:bottom w:val="none" w:sz="0" w:space="0" w:color="auto"/>
                            <w:right w:val="none" w:sz="0" w:space="0" w:color="auto"/>
                          </w:divBdr>
                          <w:divsChild>
                            <w:div w:id="1756784176">
                              <w:marLeft w:val="0"/>
                              <w:marRight w:val="0"/>
                              <w:marTop w:val="0"/>
                              <w:marBottom w:val="0"/>
                              <w:divBdr>
                                <w:top w:val="none" w:sz="0" w:space="0" w:color="auto"/>
                                <w:left w:val="none" w:sz="0" w:space="0" w:color="auto"/>
                                <w:bottom w:val="none" w:sz="0" w:space="0" w:color="auto"/>
                                <w:right w:val="none" w:sz="0" w:space="0" w:color="auto"/>
                              </w:divBdr>
                              <w:divsChild>
                                <w:div w:id="1938634091">
                                  <w:marLeft w:val="0"/>
                                  <w:marRight w:val="0"/>
                                  <w:marTop w:val="0"/>
                                  <w:marBottom w:val="0"/>
                                  <w:divBdr>
                                    <w:top w:val="none" w:sz="0" w:space="0" w:color="auto"/>
                                    <w:left w:val="none" w:sz="0" w:space="0" w:color="auto"/>
                                    <w:bottom w:val="none" w:sz="0" w:space="0" w:color="auto"/>
                                    <w:right w:val="none" w:sz="0" w:space="0" w:color="auto"/>
                                  </w:divBdr>
                                  <w:divsChild>
                                    <w:div w:id="1327115">
                                      <w:marLeft w:val="0"/>
                                      <w:marRight w:val="0"/>
                                      <w:marTop w:val="0"/>
                                      <w:marBottom w:val="0"/>
                                      <w:divBdr>
                                        <w:top w:val="none" w:sz="0" w:space="0" w:color="auto"/>
                                        <w:left w:val="none" w:sz="0" w:space="0" w:color="auto"/>
                                        <w:bottom w:val="none" w:sz="0" w:space="0" w:color="auto"/>
                                        <w:right w:val="none" w:sz="0" w:space="0" w:color="auto"/>
                                      </w:divBdr>
                                      <w:divsChild>
                                        <w:div w:id="1659573479">
                                          <w:marLeft w:val="0"/>
                                          <w:marRight w:val="0"/>
                                          <w:marTop w:val="0"/>
                                          <w:marBottom w:val="0"/>
                                          <w:divBdr>
                                            <w:top w:val="none" w:sz="0" w:space="0" w:color="auto"/>
                                            <w:left w:val="none" w:sz="0" w:space="0" w:color="auto"/>
                                            <w:bottom w:val="none" w:sz="0" w:space="0" w:color="auto"/>
                                            <w:right w:val="none" w:sz="0" w:space="0" w:color="auto"/>
                                          </w:divBdr>
                                          <w:divsChild>
                                            <w:div w:id="1682394126">
                                              <w:marLeft w:val="0"/>
                                              <w:marRight w:val="0"/>
                                              <w:marTop w:val="0"/>
                                              <w:marBottom w:val="0"/>
                                              <w:divBdr>
                                                <w:top w:val="none" w:sz="0" w:space="0" w:color="auto"/>
                                                <w:left w:val="none" w:sz="0" w:space="0" w:color="auto"/>
                                                <w:bottom w:val="none" w:sz="0" w:space="0" w:color="auto"/>
                                                <w:right w:val="none" w:sz="0" w:space="0" w:color="auto"/>
                                              </w:divBdr>
                                              <w:divsChild>
                                                <w:div w:id="143393354">
                                                  <w:marLeft w:val="0"/>
                                                  <w:marRight w:val="0"/>
                                                  <w:marTop w:val="0"/>
                                                  <w:marBottom w:val="0"/>
                                                  <w:divBdr>
                                                    <w:top w:val="none" w:sz="0" w:space="0" w:color="auto"/>
                                                    <w:left w:val="none" w:sz="0" w:space="0" w:color="auto"/>
                                                    <w:bottom w:val="none" w:sz="0" w:space="0" w:color="auto"/>
                                                    <w:right w:val="none" w:sz="0" w:space="0" w:color="auto"/>
                                                  </w:divBdr>
                                                  <w:divsChild>
                                                    <w:div w:id="1559977904">
                                                      <w:marLeft w:val="0"/>
                                                      <w:marRight w:val="0"/>
                                                      <w:marTop w:val="0"/>
                                                      <w:marBottom w:val="0"/>
                                                      <w:divBdr>
                                                        <w:top w:val="none" w:sz="0" w:space="0" w:color="auto"/>
                                                        <w:left w:val="none" w:sz="0" w:space="0" w:color="auto"/>
                                                        <w:bottom w:val="none" w:sz="0" w:space="0" w:color="auto"/>
                                                        <w:right w:val="none" w:sz="0" w:space="0" w:color="auto"/>
                                                      </w:divBdr>
                                                      <w:divsChild>
                                                        <w:div w:id="19450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75097171">
      <w:bodyDiv w:val="1"/>
      <w:marLeft w:val="0"/>
      <w:marRight w:val="0"/>
      <w:marTop w:val="0"/>
      <w:marBottom w:val="0"/>
      <w:divBdr>
        <w:top w:val="none" w:sz="0" w:space="0" w:color="auto"/>
        <w:left w:val="none" w:sz="0" w:space="0" w:color="auto"/>
        <w:bottom w:val="none" w:sz="0" w:space="0" w:color="auto"/>
        <w:right w:val="none" w:sz="0" w:space="0" w:color="auto"/>
      </w:divBdr>
      <w:divsChild>
        <w:div w:id="1768766563">
          <w:marLeft w:val="0"/>
          <w:marRight w:val="0"/>
          <w:marTop w:val="0"/>
          <w:marBottom w:val="0"/>
          <w:divBdr>
            <w:top w:val="none" w:sz="0" w:space="0" w:color="auto"/>
            <w:left w:val="none" w:sz="0" w:space="0" w:color="auto"/>
            <w:bottom w:val="none" w:sz="0" w:space="0" w:color="auto"/>
            <w:right w:val="none" w:sz="0" w:space="0" w:color="auto"/>
          </w:divBdr>
          <w:divsChild>
            <w:div w:id="1773162247">
              <w:marLeft w:val="0"/>
              <w:marRight w:val="0"/>
              <w:marTop w:val="0"/>
              <w:marBottom w:val="0"/>
              <w:divBdr>
                <w:top w:val="none" w:sz="0" w:space="0" w:color="auto"/>
                <w:left w:val="none" w:sz="0" w:space="0" w:color="auto"/>
                <w:bottom w:val="none" w:sz="0" w:space="0" w:color="auto"/>
                <w:right w:val="none" w:sz="0" w:space="0" w:color="auto"/>
              </w:divBdr>
              <w:divsChild>
                <w:div w:id="341324743">
                  <w:marLeft w:val="0"/>
                  <w:marRight w:val="0"/>
                  <w:marTop w:val="0"/>
                  <w:marBottom w:val="0"/>
                  <w:divBdr>
                    <w:top w:val="none" w:sz="0" w:space="0" w:color="auto"/>
                    <w:left w:val="none" w:sz="0" w:space="0" w:color="auto"/>
                    <w:bottom w:val="none" w:sz="0" w:space="0" w:color="auto"/>
                    <w:right w:val="none" w:sz="0" w:space="0" w:color="auto"/>
                  </w:divBdr>
                  <w:divsChild>
                    <w:div w:id="723258696">
                      <w:marLeft w:val="0"/>
                      <w:marRight w:val="0"/>
                      <w:marTop w:val="0"/>
                      <w:marBottom w:val="0"/>
                      <w:divBdr>
                        <w:top w:val="none" w:sz="0" w:space="0" w:color="auto"/>
                        <w:left w:val="none" w:sz="0" w:space="0" w:color="auto"/>
                        <w:bottom w:val="none" w:sz="0" w:space="0" w:color="auto"/>
                        <w:right w:val="none" w:sz="0" w:space="0" w:color="auto"/>
                      </w:divBdr>
                      <w:divsChild>
                        <w:div w:id="1555776681">
                          <w:marLeft w:val="0"/>
                          <w:marRight w:val="0"/>
                          <w:marTop w:val="0"/>
                          <w:marBottom w:val="0"/>
                          <w:divBdr>
                            <w:top w:val="none" w:sz="0" w:space="0" w:color="auto"/>
                            <w:left w:val="none" w:sz="0" w:space="0" w:color="auto"/>
                            <w:bottom w:val="none" w:sz="0" w:space="0" w:color="auto"/>
                            <w:right w:val="none" w:sz="0" w:space="0" w:color="auto"/>
                          </w:divBdr>
                          <w:divsChild>
                            <w:div w:id="102846649">
                              <w:marLeft w:val="0"/>
                              <w:marRight w:val="0"/>
                              <w:marTop w:val="0"/>
                              <w:marBottom w:val="0"/>
                              <w:divBdr>
                                <w:top w:val="none" w:sz="0" w:space="0" w:color="auto"/>
                                <w:left w:val="none" w:sz="0" w:space="0" w:color="auto"/>
                                <w:bottom w:val="none" w:sz="0" w:space="0" w:color="auto"/>
                                <w:right w:val="none" w:sz="0" w:space="0" w:color="auto"/>
                              </w:divBdr>
                              <w:divsChild>
                                <w:div w:id="745152004">
                                  <w:marLeft w:val="0"/>
                                  <w:marRight w:val="0"/>
                                  <w:marTop w:val="0"/>
                                  <w:marBottom w:val="0"/>
                                  <w:divBdr>
                                    <w:top w:val="none" w:sz="0" w:space="0" w:color="auto"/>
                                    <w:left w:val="none" w:sz="0" w:space="0" w:color="auto"/>
                                    <w:bottom w:val="none" w:sz="0" w:space="0" w:color="auto"/>
                                    <w:right w:val="none" w:sz="0" w:space="0" w:color="auto"/>
                                  </w:divBdr>
                                  <w:divsChild>
                                    <w:div w:id="1499953845">
                                      <w:marLeft w:val="0"/>
                                      <w:marRight w:val="0"/>
                                      <w:marTop w:val="0"/>
                                      <w:marBottom w:val="0"/>
                                      <w:divBdr>
                                        <w:top w:val="none" w:sz="0" w:space="0" w:color="auto"/>
                                        <w:left w:val="none" w:sz="0" w:space="0" w:color="auto"/>
                                        <w:bottom w:val="none" w:sz="0" w:space="0" w:color="auto"/>
                                        <w:right w:val="none" w:sz="0" w:space="0" w:color="auto"/>
                                      </w:divBdr>
                                      <w:divsChild>
                                        <w:div w:id="1333485380">
                                          <w:marLeft w:val="0"/>
                                          <w:marRight w:val="0"/>
                                          <w:marTop w:val="0"/>
                                          <w:marBottom w:val="0"/>
                                          <w:divBdr>
                                            <w:top w:val="none" w:sz="0" w:space="0" w:color="auto"/>
                                            <w:left w:val="none" w:sz="0" w:space="0" w:color="auto"/>
                                            <w:bottom w:val="none" w:sz="0" w:space="0" w:color="auto"/>
                                            <w:right w:val="none" w:sz="0" w:space="0" w:color="auto"/>
                                          </w:divBdr>
                                          <w:divsChild>
                                            <w:div w:id="1084033740">
                                              <w:marLeft w:val="0"/>
                                              <w:marRight w:val="0"/>
                                              <w:marTop w:val="0"/>
                                              <w:marBottom w:val="0"/>
                                              <w:divBdr>
                                                <w:top w:val="none" w:sz="0" w:space="0" w:color="auto"/>
                                                <w:left w:val="none" w:sz="0" w:space="0" w:color="auto"/>
                                                <w:bottom w:val="none" w:sz="0" w:space="0" w:color="auto"/>
                                                <w:right w:val="none" w:sz="0" w:space="0" w:color="auto"/>
                                              </w:divBdr>
                                              <w:divsChild>
                                                <w:div w:id="230896382">
                                                  <w:marLeft w:val="0"/>
                                                  <w:marRight w:val="0"/>
                                                  <w:marTop w:val="0"/>
                                                  <w:marBottom w:val="0"/>
                                                  <w:divBdr>
                                                    <w:top w:val="none" w:sz="0" w:space="0" w:color="auto"/>
                                                    <w:left w:val="none" w:sz="0" w:space="0" w:color="auto"/>
                                                    <w:bottom w:val="none" w:sz="0" w:space="0" w:color="auto"/>
                                                    <w:right w:val="none" w:sz="0" w:space="0" w:color="auto"/>
                                                  </w:divBdr>
                                                  <w:divsChild>
                                                    <w:div w:id="436290598">
                                                      <w:marLeft w:val="0"/>
                                                      <w:marRight w:val="0"/>
                                                      <w:marTop w:val="0"/>
                                                      <w:marBottom w:val="0"/>
                                                      <w:divBdr>
                                                        <w:top w:val="none" w:sz="0" w:space="0" w:color="auto"/>
                                                        <w:left w:val="none" w:sz="0" w:space="0" w:color="auto"/>
                                                        <w:bottom w:val="none" w:sz="0" w:space="0" w:color="auto"/>
                                                        <w:right w:val="none" w:sz="0" w:space="0" w:color="auto"/>
                                                      </w:divBdr>
                                                      <w:divsChild>
                                                        <w:div w:id="607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6829DF9AFDFC4487545A32566C26F3" ma:contentTypeVersion="" ma:contentTypeDescription="PDMS Document Site Content Type" ma:contentTypeScope="" ma:versionID="5911ee42252c3fa04c4d22146c3393ce">
  <xsd:schema xmlns:xsd="http://www.w3.org/2001/XMLSchema" xmlns:xs="http://www.w3.org/2001/XMLSchema" xmlns:p="http://schemas.microsoft.com/office/2006/metadata/properties" xmlns:ns2="0ABA2F26-3815-41F2-AD8C-066987E34065" targetNamespace="http://schemas.microsoft.com/office/2006/metadata/properties" ma:root="true" ma:fieldsID="f1f37d0d54a9ffc5f4d4c25541278fb4" ns2:_="">
    <xsd:import namespace="0ABA2F26-3815-41F2-AD8C-066987E3406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A2F26-3815-41F2-AD8C-066987E340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ABA2F26-3815-41F2-AD8C-066987E340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3035-9796-4AC7-ADF0-EA64DC31F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A2F26-3815-41F2-AD8C-066987E34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8D096-8999-4FD7-B4EF-67A41342304E}">
  <ds:schemaRefs>
    <ds:schemaRef ds:uri="http://schemas.microsoft.com/sharepoint/v3/contenttype/forms"/>
  </ds:schemaRefs>
</ds:datastoreItem>
</file>

<file path=customXml/itemProps3.xml><?xml version="1.0" encoding="utf-8"?>
<ds:datastoreItem xmlns:ds="http://schemas.openxmlformats.org/officeDocument/2006/customXml" ds:itemID="{9EC7DAFE-E581-418F-B7AE-B90D2F85BA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BA2F26-3815-41F2-AD8C-066987E3406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1C7722F-1D33-460F-BCD6-D8307942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Juanita KAPEL</cp:lastModifiedBy>
  <cp:revision>2</cp:revision>
  <cp:lastPrinted>2016-09-08T00:58:00Z</cp:lastPrinted>
  <dcterms:created xsi:type="dcterms:W3CDTF">2019-02-18T02:50:00Z</dcterms:created>
  <dcterms:modified xsi:type="dcterms:W3CDTF">2019-02-18T02:50:00Z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0x010100266966F133664895A6EE3632470D45F500D56829DF9AFDFC4487545A32566C26F3</vt:lpwstr>
  </property>
</Properties>
</file>