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37BF" w14:textId="77777777" w:rsidR="003E571F" w:rsidRPr="003D1C5D" w:rsidRDefault="003E571F" w:rsidP="003E571F">
      <w:pPr>
        <w:pStyle w:val="Heading1"/>
        <w:ind w:left="284"/>
        <w:rPr>
          <w:szCs w:val="24"/>
        </w:rPr>
      </w:pPr>
      <w:bookmarkStart w:id="0" w:name="_GoBack"/>
      <w:bookmarkEnd w:id="0"/>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F8762B">
      <w:pPr>
        <w:jc w:val="center"/>
        <w:rPr>
          <w:i/>
          <w:szCs w:val="24"/>
        </w:rPr>
      </w:pPr>
    </w:p>
    <w:p w14:paraId="32A86644" w14:textId="25FA2FAA" w:rsidR="00021BD3" w:rsidRDefault="00FA1E66" w:rsidP="006D0FE2">
      <w:pPr>
        <w:jc w:val="center"/>
        <w:rPr>
          <w:i/>
          <w:szCs w:val="24"/>
        </w:rPr>
      </w:pPr>
      <w:r w:rsidRPr="00FA1E66">
        <w:rPr>
          <w:i/>
          <w:szCs w:val="24"/>
        </w:rPr>
        <w:t>Health Insurance Legislation Amendment (Services for Patients in Residential Aged Care Facilities) Regulations 2019</w:t>
      </w:r>
    </w:p>
    <w:p w14:paraId="5176BAA4" w14:textId="77777777" w:rsidR="009F26D7" w:rsidRPr="005B24D5" w:rsidRDefault="009F26D7" w:rsidP="006D0FE2">
      <w:pPr>
        <w:jc w:val="center"/>
        <w:rPr>
          <w:szCs w:val="24"/>
          <w:highlight w:val="yellow"/>
        </w:rPr>
      </w:pPr>
    </w:p>
    <w:p w14:paraId="2F1A37C5" w14:textId="5A18BCBD" w:rsidR="00017B9A" w:rsidRPr="009F26D7" w:rsidRDefault="00017B9A" w:rsidP="00017B9A">
      <w:pPr>
        <w:ind w:right="-483"/>
        <w:rPr>
          <w:szCs w:val="24"/>
        </w:rPr>
      </w:pPr>
      <w:r w:rsidRPr="009F26D7">
        <w:rPr>
          <w:szCs w:val="24"/>
        </w:rPr>
        <w:t>Subsection 133(1)</w:t>
      </w:r>
      <w:r w:rsidR="00822B28" w:rsidRPr="009F26D7">
        <w:rPr>
          <w:szCs w:val="24"/>
        </w:rPr>
        <w:t xml:space="preserve"> of</w:t>
      </w:r>
      <w:r w:rsidRPr="009F26D7">
        <w:rPr>
          <w:szCs w:val="24"/>
        </w:rPr>
        <w:t xml:space="preserve"> the </w:t>
      </w:r>
      <w:r w:rsidR="00760BED" w:rsidRPr="009F26D7">
        <w:rPr>
          <w:i/>
          <w:szCs w:val="24"/>
        </w:rPr>
        <w:t>Health Insurance Act 1973</w:t>
      </w:r>
      <w:r w:rsidR="00760BED" w:rsidRPr="009F26D7">
        <w:rPr>
          <w:szCs w:val="24"/>
        </w:rPr>
        <w:t xml:space="preserve"> (the Act)</w:t>
      </w:r>
      <w:r w:rsidRPr="009F26D7">
        <w:rPr>
          <w:szCs w:val="24"/>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2F1A37C6" w14:textId="77777777" w:rsidR="00017B9A" w:rsidRPr="009F26D7" w:rsidRDefault="00017B9A" w:rsidP="00017B9A">
      <w:pPr>
        <w:ind w:right="-483"/>
        <w:rPr>
          <w:rStyle w:val="IntenseReference"/>
          <w:b w:val="0"/>
          <w:bCs w:val="0"/>
          <w:i w:val="0"/>
          <w:smallCaps w:val="0"/>
          <w:szCs w:val="24"/>
        </w:rPr>
      </w:pPr>
    </w:p>
    <w:p w14:paraId="2F1A37C7" w14:textId="373FF9E4" w:rsidR="00017B9A" w:rsidRPr="009F26D7" w:rsidRDefault="00017B9A" w:rsidP="00017B9A">
      <w:pPr>
        <w:ind w:right="-483"/>
        <w:rPr>
          <w:szCs w:val="24"/>
        </w:rPr>
      </w:pPr>
      <w:r w:rsidRPr="009F26D7">
        <w:rPr>
          <w:szCs w:val="24"/>
        </w:rPr>
        <w:t>Part II of the Act provides for the payment of Medicare benefits for professional services rendered to eligible persons</w:t>
      </w:r>
      <w:r w:rsidR="0029643F" w:rsidRPr="009F26D7">
        <w:rPr>
          <w:szCs w:val="24"/>
        </w:rPr>
        <w:t xml:space="preserve">. </w:t>
      </w:r>
      <w:r w:rsidRPr="009F26D7">
        <w:rPr>
          <w:szCs w:val="24"/>
        </w:rPr>
        <w:t>Section 9 of the Act provides that Medicare benefits be calculated by reference to the fees for medical services set out in prescribed tables.</w:t>
      </w:r>
    </w:p>
    <w:p w14:paraId="2F1A37C8" w14:textId="77777777" w:rsidR="005F04DC" w:rsidRPr="009F26D7" w:rsidRDefault="005F04DC" w:rsidP="005F04DC">
      <w:pPr>
        <w:rPr>
          <w:szCs w:val="24"/>
        </w:rPr>
      </w:pPr>
    </w:p>
    <w:p w14:paraId="6477B4BF" w14:textId="50D66257" w:rsidR="000201DC" w:rsidRDefault="00F8762B" w:rsidP="000201DC">
      <w:pPr>
        <w:rPr>
          <w:szCs w:val="24"/>
        </w:rPr>
      </w:pPr>
      <w:r w:rsidRPr="009F26D7">
        <w:rPr>
          <w:szCs w:val="24"/>
        </w:rPr>
        <w:t>Subsection</w:t>
      </w:r>
      <w:r w:rsidR="000201DC" w:rsidRPr="009F26D7">
        <w:rPr>
          <w:szCs w:val="24"/>
        </w:rPr>
        <w:t xml:space="preserve"> 4(1) of the Act provide</w:t>
      </w:r>
      <w:r w:rsidRPr="009F26D7">
        <w:rPr>
          <w:szCs w:val="24"/>
        </w:rPr>
        <w:t>s</w:t>
      </w:r>
      <w:r w:rsidR="000201DC" w:rsidRPr="009F26D7">
        <w:rPr>
          <w:szCs w:val="24"/>
        </w:rPr>
        <w:t xml:space="preserve"> that regulations m</w:t>
      </w:r>
      <w:r w:rsidR="009F26D7" w:rsidRPr="009F26D7">
        <w:rPr>
          <w:szCs w:val="24"/>
        </w:rPr>
        <w:t xml:space="preserve">ay prescribe a table of medical </w:t>
      </w:r>
      <w:r w:rsidR="000201DC" w:rsidRPr="009F26D7">
        <w:rPr>
          <w:szCs w:val="24"/>
        </w:rPr>
        <w:t>services which set out items of services, the fees applicable for each item, and rules for interpreting the tables</w:t>
      </w:r>
      <w:r w:rsidR="0029643F" w:rsidRPr="009F26D7">
        <w:rPr>
          <w:szCs w:val="24"/>
        </w:rPr>
        <w:t xml:space="preserve">. </w:t>
      </w:r>
      <w:r w:rsidR="000201DC" w:rsidRPr="009F26D7">
        <w:rPr>
          <w:szCs w:val="24"/>
        </w:rPr>
        <w:t xml:space="preserve">The </w:t>
      </w:r>
      <w:r w:rsidR="000201DC" w:rsidRPr="009F26D7">
        <w:rPr>
          <w:i/>
          <w:szCs w:val="24"/>
        </w:rPr>
        <w:t xml:space="preserve">Health Insurance (General Medical </w:t>
      </w:r>
      <w:r w:rsidR="009F26D7" w:rsidRPr="009F26D7">
        <w:rPr>
          <w:i/>
          <w:szCs w:val="24"/>
        </w:rPr>
        <w:t>Services Table) Regulations 2018</w:t>
      </w:r>
      <w:r w:rsidR="000201DC" w:rsidRPr="009F26D7">
        <w:rPr>
          <w:i/>
          <w:szCs w:val="24"/>
        </w:rPr>
        <w:t xml:space="preserve"> </w:t>
      </w:r>
      <w:r w:rsidR="009F26D7" w:rsidRPr="009F26D7">
        <w:rPr>
          <w:szCs w:val="24"/>
        </w:rPr>
        <w:t>(GMST</w:t>
      </w:r>
      <w:r w:rsidR="00154A6B">
        <w:rPr>
          <w:szCs w:val="24"/>
        </w:rPr>
        <w:t xml:space="preserve"> Regulations</w:t>
      </w:r>
      <w:r w:rsidR="009F26D7" w:rsidRPr="009F26D7">
        <w:rPr>
          <w:szCs w:val="24"/>
        </w:rPr>
        <w:t xml:space="preserve">) </w:t>
      </w:r>
      <w:r w:rsidR="002C7B11" w:rsidRPr="009F26D7">
        <w:rPr>
          <w:szCs w:val="24"/>
        </w:rPr>
        <w:t xml:space="preserve">currently </w:t>
      </w:r>
      <w:r w:rsidR="000201DC" w:rsidRPr="009F26D7">
        <w:rPr>
          <w:szCs w:val="24"/>
        </w:rPr>
        <w:t>prescribe</w:t>
      </w:r>
      <w:r w:rsidR="002C7B11" w:rsidRPr="009F26D7">
        <w:rPr>
          <w:szCs w:val="24"/>
        </w:rPr>
        <w:t xml:space="preserve"> such </w:t>
      </w:r>
      <w:r w:rsidR="009F26D7" w:rsidRPr="009F26D7">
        <w:rPr>
          <w:szCs w:val="24"/>
        </w:rPr>
        <w:t xml:space="preserve">a </w:t>
      </w:r>
      <w:r w:rsidR="000201DC" w:rsidRPr="009F26D7">
        <w:rPr>
          <w:szCs w:val="24"/>
        </w:rPr>
        <w:t xml:space="preserve">table.  </w:t>
      </w:r>
    </w:p>
    <w:p w14:paraId="0E5921E0" w14:textId="5828A769" w:rsidR="00775125" w:rsidRDefault="00775125" w:rsidP="000201DC">
      <w:pPr>
        <w:rPr>
          <w:szCs w:val="24"/>
        </w:rPr>
      </w:pPr>
    </w:p>
    <w:p w14:paraId="68ABCBE4" w14:textId="3A85D424" w:rsidR="00FF242B" w:rsidRPr="00DD699D" w:rsidRDefault="00775125" w:rsidP="00FF242B">
      <w:r w:rsidRPr="00DD699D">
        <w:t xml:space="preserve">Paragraph </w:t>
      </w:r>
      <w:r>
        <w:t>10(2</w:t>
      </w:r>
      <w:r w:rsidRPr="00DD699D">
        <w:t xml:space="preserve">)(aa) of the Act provides that </w:t>
      </w:r>
      <w:r>
        <w:t>Medicare benefits ar</w:t>
      </w:r>
      <w:r w:rsidRPr="00FF242B">
        <w:t xml:space="preserve">e payable in respect of a service at an amount equal to 100% of the schedule fee if prescribed in regulations. </w:t>
      </w:r>
      <w:r w:rsidR="00FF242B" w:rsidRPr="00FF242B">
        <w:t>Section</w:t>
      </w:r>
      <w:r w:rsidRPr="00FF242B">
        <w:t xml:space="preserve"> </w:t>
      </w:r>
      <w:r w:rsidR="00FF242B" w:rsidRPr="00FF242B">
        <w:t>28</w:t>
      </w:r>
      <w:r w:rsidRPr="00FF242B">
        <w:t xml:space="preserve"> of the </w:t>
      </w:r>
      <w:r w:rsidRPr="00FF242B">
        <w:rPr>
          <w:i/>
          <w:iCs/>
        </w:rPr>
        <w:t xml:space="preserve">Health Insurance Regulations </w:t>
      </w:r>
      <w:r w:rsidR="00FF242B" w:rsidRPr="00FF242B">
        <w:rPr>
          <w:i/>
          <w:iCs/>
        </w:rPr>
        <w:t>2018</w:t>
      </w:r>
      <w:r w:rsidRPr="00FF242B">
        <w:rPr>
          <w:i/>
          <w:iCs/>
        </w:rPr>
        <w:t xml:space="preserve"> </w:t>
      </w:r>
      <w:r w:rsidRPr="00FF242B">
        <w:t xml:space="preserve">(HIR) </w:t>
      </w:r>
      <w:r w:rsidR="00FF242B">
        <w:t xml:space="preserve">specifies </w:t>
      </w:r>
      <w:r w:rsidR="00B4297D">
        <w:t>such a table of services.</w:t>
      </w:r>
    </w:p>
    <w:p w14:paraId="06F9D042" w14:textId="77777777" w:rsidR="00A21A3E" w:rsidRPr="005B24D5" w:rsidRDefault="00A21A3E" w:rsidP="000201DC">
      <w:pPr>
        <w:rPr>
          <w:highlight w:val="yellow"/>
        </w:rPr>
      </w:pPr>
    </w:p>
    <w:p w14:paraId="2F1A37CB" w14:textId="1CB299F6" w:rsidR="00D75A2A" w:rsidRPr="009F26D7" w:rsidRDefault="00D75A2A" w:rsidP="00D75A2A">
      <w:pPr>
        <w:autoSpaceDE w:val="0"/>
        <w:autoSpaceDN w:val="0"/>
        <w:adjustRightInd w:val="0"/>
        <w:rPr>
          <w:b/>
          <w:szCs w:val="24"/>
        </w:rPr>
      </w:pPr>
      <w:r w:rsidRPr="009F26D7">
        <w:rPr>
          <w:b/>
          <w:szCs w:val="24"/>
        </w:rPr>
        <w:t>Purpose</w:t>
      </w:r>
      <w:r w:rsidR="00CE61EA" w:rsidRPr="009F26D7">
        <w:rPr>
          <w:b/>
          <w:szCs w:val="24"/>
        </w:rPr>
        <w:tab/>
      </w:r>
    </w:p>
    <w:p w14:paraId="36DF1A63" w14:textId="585A8E5B" w:rsidR="0038438B" w:rsidRDefault="002C7B11" w:rsidP="007B4BBB">
      <w:pPr>
        <w:contextualSpacing/>
      </w:pPr>
      <w:r w:rsidRPr="009F26D7">
        <w:t xml:space="preserve">The purpose of the </w:t>
      </w:r>
      <w:r w:rsidR="00FA1E66" w:rsidRPr="00FA1E66">
        <w:rPr>
          <w:i/>
          <w:iCs/>
        </w:rPr>
        <w:t xml:space="preserve">Health Insurance Legislation Amendment (Services for Patients in Residential Aged Care Facilities) Regulations 2019 </w:t>
      </w:r>
      <w:r w:rsidRPr="009F26D7">
        <w:t>(the Regulation</w:t>
      </w:r>
      <w:r w:rsidR="00046206" w:rsidRPr="009F26D7">
        <w:t>s</w:t>
      </w:r>
      <w:r w:rsidRPr="009F26D7">
        <w:t xml:space="preserve">) is to </w:t>
      </w:r>
      <w:r w:rsidR="00E869D4">
        <w:t xml:space="preserve">simplify and improve patient rebates for </w:t>
      </w:r>
      <w:r w:rsidR="00AE73AE">
        <w:t>general practice attendances at residential aged care facilities</w:t>
      </w:r>
      <w:r w:rsidR="0038438B">
        <w:t>.</w:t>
      </w:r>
      <w:r w:rsidR="00B4297D">
        <w:t xml:space="preserve"> </w:t>
      </w:r>
    </w:p>
    <w:p w14:paraId="41A5CC9A" w14:textId="77777777" w:rsidR="0038438B" w:rsidRDefault="0038438B" w:rsidP="007B4BBB">
      <w:pPr>
        <w:contextualSpacing/>
      </w:pPr>
    </w:p>
    <w:p w14:paraId="2A76B97E" w14:textId="1426360E" w:rsidR="00B4297D" w:rsidRDefault="0038438B" w:rsidP="00B4297D">
      <w:pPr>
        <w:rPr>
          <w:szCs w:val="24"/>
        </w:rPr>
      </w:pPr>
      <w:r w:rsidRPr="00F364ED">
        <w:lastRenderedPageBreak/>
        <w:t xml:space="preserve">The Regulations </w:t>
      </w:r>
      <w:r w:rsidR="002C7B11" w:rsidRPr="00F364ED">
        <w:t>amend the GMST</w:t>
      </w:r>
      <w:r w:rsidR="00154A6B">
        <w:t xml:space="preserve"> Regulations</w:t>
      </w:r>
      <w:r w:rsidR="003751D9">
        <w:t xml:space="preserve"> and the HIR</w:t>
      </w:r>
      <w:r w:rsidR="009F26D7" w:rsidRPr="00F364ED">
        <w:t xml:space="preserve"> </w:t>
      </w:r>
      <w:r w:rsidR="0060261B">
        <w:t xml:space="preserve">from 1 March 2019 </w:t>
      </w:r>
      <w:r w:rsidRPr="00F364ED">
        <w:t>to</w:t>
      </w:r>
      <w:r w:rsidR="0060261B">
        <w:t xml:space="preserve"> </w:t>
      </w:r>
      <w:r w:rsidR="0060261B" w:rsidRPr="0060261B">
        <w:t xml:space="preserve">increase the </w:t>
      </w:r>
      <w:r w:rsidR="0060261B">
        <w:t>MBS</w:t>
      </w:r>
      <w:r w:rsidR="0060261B" w:rsidRPr="0060261B">
        <w:t xml:space="preserve"> fees for </w:t>
      </w:r>
      <w:r w:rsidR="007231CB">
        <w:t xml:space="preserve">the most commonly claimed </w:t>
      </w:r>
      <w:r w:rsidR="00276C1A">
        <w:t>general practice services</w:t>
      </w:r>
      <w:r w:rsidR="0060261B" w:rsidRPr="0060261B">
        <w:t xml:space="preserve"> </w:t>
      </w:r>
      <w:r w:rsidR="00276C1A">
        <w:t>in</w:t>
      </w:r>
      <w:r w:rsidR="0060261B" w:rsidRPr="0060261B">
        <w:t xml:space="preserve"> residential aged care </w:t>
      </w:r>
      <w:r w:rsidR="00484446">
        <w:t>facilities</w:t>
      </w:r>
      <w:r w:rsidR="0060261B">
        <w:t>.</w:t>
      </w:r>
      <w:r w:rsidR="00B4297D">
        <w:t xml:space="preserve"> </w:t>
      </w:r>
      <w:r w:rsidR="00B4297D">
        <w:rPr>
          <w:szCs w:val="24"/>
        </w:rPr>
        <w:t xml:space="preserve">The changes also simplify the item structure for doctors and patients. </w:t>
      </w:r>
    </w:p>
    <w:p w14:paraId="5774C897" w14:textId="77777777" w:rsidR="00B4297D" w:rsidRDefault="00B4297D" w:rsidP="00B4297D">
      <w:pPr>
        <w:rPr>
          <w:szCs w:val="24"/>
        </w:rPr>
      </w:pPr>
    </w:p>
    <w:p w14:paraId="61C72129" w14:textId="557BDD55" w:rsidR="001C1A69" w:rsidRDefault="00B4297D" w:rsidP="00B4297D">
      <w:pPr>
        <w:rPr>
          <w:szCs w:val="24"/>
        </w:rPr>
      </w:pPr>
      <w:r>
        <w:rPr>
          <w:szCs w:val="24"/>
        </w:rPr>
        <w:t xml:space="preserve">Currently, the Medicare benefit is calculated from the type of service provided and the number of patients seen at the residential aged care facility. </w:t>
      </w:r>
      <w:r w:rsidR="001C1A69">
        <w:rPr>
          <w:szCs w:val="24"/>
        </w:rPr>
        <w:t xml:space="preserve">This complex arrangement, known as a ‘ready reckoner’, requires doctors and patients to calculate the total benefit based on a nominal amount plus a modifier. The modifier must be divided or multiplied </w:t>
      </w:r>
      <w:r w:rsidR="006C2B4A">
        <w:rPr>
          <w:szCs w:val="24"/>
        </w:rPr>
        <w:t>(6 or fewer patients is divided, 7 or more patients</w:t>
      </w:r>
      <w:r w:rsidR="001C1A69">
        <w:rPr>
          <w:szCs w:val="24"/>
        </w:rPr>
        <w:t xml:space="preserve"> </w:t>
      </w:r>
      <w:r w:rsidR="006C2B4A">
        <w:rPr>
          <w:szCs w:val="24"/>
        </w:rPr>
        <w:t>is multiple</w:t>
      </w:r>
      <w:r w:rsidR="00484446">
        <w:rPr>
          <w:szCs w:val="24"/>
        </w:rPr>
        <w:t>d</w:t>
      </w:r>
      <w:r w:rsidR="006C2B4A">
        <w:rPr>
          <w:szCs w:val="24"/>
        </w:rPr>
        <w:t>)</w:t>
      </w:r>
      <w:r w:rsidR="001C1A69">
        <w:rPr>
          <w:szCs w:val="24"/>
        </w:rPr>
        <w:t xml:space="preserve"> by the number of patients seen by the doctor at the residential aged care facility.</w:t>
      </w:r>
    </w:p>
    <w:p w14:paraId="584B8479" w14:textId="7F07AA65" w:rsidR="00B4297D" w:rsidRDefault="001C1A69" w:rsidP="00B4297D">
      <w:pPr>
        <w:rPr>
          <w:szCs w:val="24"/>
        </w:rPr>
      </w:pPr>
      <w:r>
        <w:rPr>
          <w:szCs w:val="24"/>
        </w:rPr>
        <w:br/>
      </w:r>
      <w:r w:rsidR="00B4297D">
        <w:rPr>
          <w:szCs w:val="24"/>
        </w:rPr>
        <w:t xml:space="preserve">This arrangement will be replaced with a flag </w:t>
      </w:r>
      <w:r w:rsidR="00B4297D">
        <w:t>fall</w:t>
      </w:r>
      <w:r w:rsidR="00B4297D">
        <w:rPr>
          <w:szCs w:val="24"/>
        </w:rPr>
        <w:t xml:space="preserve"> amount plus the standard attendance structure for each patient attendance at the residential aged care facility. The new arrangement will apply to services provided by vocationally registered general practitioners (GPs) and other medical practitioners (OMPs).</w:t>
      </w:r>
    </w:p>
    <w:p w14:paraId="4FC86A9B" w14:textId="77777777" w:rsidR="00B4297D" w:rsidRDefault="00B4297D" w:rsidP="00B4297D">
      <w:pPr>
        <w:rPr>
          <w:szCs w:val="24"/>
        </w:rPr>
      </w:pPr>
    </w:p>
    <w:p w14:paraId="2BD32451" w14:textId="77B75797" w:rsidR="00B4297D" w:rsidRDefault="00B4297D" w:rsidP="00B4297D">
      <w:r>
        <w:t xml:space="preserve">The Government announced this change as part of  </w:t>
      </w:r>
      <w:r w:rsidRPr="00F364ED">
        <w:rPr>
          <w:i/>
          <w:iCs/>
        </w:rPr>
        <w:t xml:space="preserve">Guaranteeing Medicare — strengthening primary care </w:t>
      </w:r>
      <w:r>
        <w:t>package</w:t>
      </w:r>
      <w:r w:rsidRPr="00F364ED">
        <w:t xml:space="preserve"> in the 2018-19 Mid-Year Economic and Fiscal Outlook (MYEFO).</w:t>
      </w:r>
      <w:r>
        <w:rPr>
          <w:szCs w:val="24"/>
        </w:rPr>
        <w:br/>
      </w:r>
    </w:p>
    <w:p w14:paraId="4FA8267A" w14:textId="77777777" w:rsidR="00AD2C1F" w:rsidRDefault="00AD2C1F" w:rsidP="00B4297D"/>
    <w:p w14:paraId="0150C8BA" w14:textId="46D02361" w:rsidR="006F1D53" w:rsidRPr="003D3D93" w:rsidRDefault="00D75A2A" w:rsidP="00D75A2A">
      <w:pPr>
        <w:autoSpaceDE w:val="0"/>
        <w:autoSpaceDN w:val="0"/>
        <w:adjustRightInd w:val="0"/>
        <w:rPr>
          <w:b/>
          <w:szCs w:val="24"/>
        </w:rPr>
      </w:pPr>
      <w:r w:rsidRPr="003D3D93">
        <w:rPr>
          <w:b/>
          <w:szCs w:val="24"/>
        </w:rPr>
        <w:t>Consultation</w:t>
      </w:r>
    </w:p>
    <w:p w14:paraId="771C239D" w14:textId="0E3851DB" w:rsidR="00775125" w:rsidRPr="005B24D5" w:rsidRDefault="00775125" w:rsidP="00D21B64">
      <w:pPr>
        <w:rPr>
          <w:rFonts w:cs="Arial"/>
          <w:color w:val="000000" w:themeColor="text1"/>
          <w:szCs w:val="22"/>
          <w:highlight w:val="yellow"/>
        </w:rPr>
      </w:pPr>
      <w:r w:rsidRPr="00AA0268">
        <w:t>The M</w:t>
      </w:r>
      <w:r w:rsidR="00E869D4">
        <w:t>edicare Benefits Schedule (M</w:t>
      </w:r>
      <w:r w:rsidRPr="00AA0268">
        <w:t>BS</w:t>
      </w:r>
      <w:r w:rsidR="00E869D4">
        <w:t>)</w:t>
      </w:r>
      <w:r w:rsidRPr="00AA0268">
        <w:t xml:space="preserve"> Review is conducted by expert committees and working groups focusing</w:t>
      </w:r>
      <w:r>
        <w:t xml:space="preserve"> on specific areas of the MBS. </w:t>
      </w:r>
      <w:r w:rsidR="00C274DF" w:rsidRPr="00C274DF">
        <w:t xml:space="preserve">The Taskforce </w:t>
      </w:r>
      <w:r w:rsidR="00E869D4">
        <w:t>considered general practice items for services provided at residential aged care facilities in 2018.  Its d</w:t>
      </w:r>
      <w:r w:rsidR="00AD2C1F">
        <w:t xml:space="preserve">raft report and recommentations, </w:t>
      </w:r>
      <w:r w:rsidR="00E869D4">
        <w:t xml:space="preserve">which included a flag fall approach, was provided to </w:t>
      </w:r>
      <w:r w:rsidR="00C274DF">
        <w:t>general practice</w:t>
      </w:r>
      <w:r w:rsidR="00C274DF" w:rsidRPr="00C274DF">
        <w:t xml:space="preserve"> stakeholders for </w:t>
      </w:r>
      <w:r w:rsidR="00FA7EA4">
        <w:t xml:space="preserve">targeted </w:t>
      </w:r>
      <w:r w:rsidR="00C274DF" w:rsidRPr="00C274DF">
        <w:t>consultation</w:t>
      </w:r>
      <w:r w:rsidR="00C274DF">
        <w:t xml:space="preserve"> </w:t>
      </w:r>
      <w:r w:rsidR="00FA7EA4">
        <w:t>in 2018.</w:t>
      </w:r>
      <w:r w:rsidR="00C274DF">
        <w:br/>
      </w:r>
    </w:p>
    <w:p w14:paraId="2F1A37F7" w14:textId="47521C0F" w:rsidR="005F04DC" w:rsidRPr="003D3D93" w:rsidRDefault="005F04DC" w:rsidP="005F04DC">
      <w:pPr>
        <w:rPr>
          <w:szCs w:val="24"/>
        </w:rPr>
      </w:pPr>
      <w:r w:rsidRPr="003D3D93">
        <w:rPr>
          <w:szCs w:val="24"/>
        </w:rPr>
        <w:t xml:space="preserve">Details of the </w:t>
      </w:r>
      <w:r w:rsidR="00D21B64" w:rsidRPr="003D3D93">
        <w:rPr>
          <w:szCs w:val="24"/>
        </w:rPr>
        <w:t>R</w:t>
      </w:r>
      <w:r w:rsidRPr="003D3D93">
        <w:rPr>
          <w:szCs w:val="24"/>
        </w:rPr>
        <w:t>egulation</w:t>
      </w:r>
      <w:r w:rsidR="0047307F" w:rsidRPr="003D3D93">
        <w:rPr>
          <w:szCs w:val="24"/>
        </w:rPr>
        <w:t>s</w:t>
      </w:r>
      <w:r w:rsidRPr="003D3D93">
        <w:rPr>
          <w:i/>
          <w:szCs w:val="24"/>
        </w:rPr>
        <w:t xml:space="preserve"> </w:t>
      </w:r>
      <w:r w:rsidRPr="003D3D93">
        <w:rPr>
          <w:szCs w:val="24"/>
        </w:rPr>
        <w:t xml:space="preserve">are set out in the </w:t>
      </w:r>
      <w:r w:rsidRPr="003D3D93">
        <w:rPr>
          <w:szCs w:val="24"/>
          <w:u w:val="single"/>
        </w:rPr>
        <w:t>Attachment</w:t>
      </w:r>
      <w:r w:rsidRPr="003D3D93">
        <w:rPr>
          <w:szCs w:val="24"/>
        </w:rPr>
        <w:t>.</w:t>
      </w:r>
    </w:p>
    <w:p w14:paraId="2F1A37F8" w14:textId="77777777" w:rsidR="005F04DC" w:rsidRPr="003D3D93" w:rsidRDefault="005F04DC" w:rsidP="005F04DC">
      <w:pPr>
        <w:rPr>
          <w:szCs w:val="24"/>
        </w:rPr>
      </w:pPr>
    </w:p>
    <w:p w14:paraId="2F1A37F9" w14:textId="051B4767" w:rsidR="005F04DC" w:rsidRPr="003D3D93" w:rsidRDefault="005F04DC" w:rsidP="005F04DC">
      <w:pPr>
        <w:rPr>
          <w:szCs w:val="24"/>
        </w:rPr>
      </w:pPr>
      <w:r w:rsidRPr="003D3D93">
        <w:rPr>
          <w:szCs w:val="24"/>
        </w:rPr>
        <w:t xml:space="preserve">The Act specifies no conditions which need to be met before the power to make the </w:t>
      </w:r>
      <w:r w:rsidR="004322C0" w:rsidRPr="003D3D93">
        <w:rPr>
          <w:szCs w:val="24"/>
        </w:rPr>
        <w:t>R</w:t>
      </w:r>
      <w:r w:rsidRPr="003D3D93">
        <w:rPr>
          <w:szCs w:val="24"/>
        </w:rPr>
        <w:t>egulation</w:t>
      </w:r>
      <w:r w:rsidR="004B1943" w:rsidRPr="003D3D93">
        <w:rPr>
          <w:szCs w:val="24"/>
        </w:rPr>
        <w:t>s</w:t>
      </w:r>
      <w:r w:rsidRPr="003D3D93">
        <w:rPr>
          <w:szCs w:val="24"/>
        </w:rPr>
        <w:t xml:space="preserve"> may be exercised.  </w:t>
      </w:r>
    </w:p>
    <w:p w14:paraId="2F1A37FA" w14:textId="77777777" w:rsidR="005F04DC" w:rsidRPr="003D3D93" w:rsidRDefault="005F04DC" w:rsidP="005F04DC">
      <w:pPr>
        <w:rPr>
          <w:szCs w:val="24"/>
        </w:rPr>
      </w:pPr>
    </w:p>
    <w:p w14:paraId="2F1A37FB" w14:textId="558FB4E3" w:rsidR="00242079" w:rsidRPr="003D3D93" w:rsidRDefault="00254E64" w:rsidP="00B3796F">
      <w:r w:rsidRPr="003D3D93">
        <w:lastRenderedPageBreak/>
        <w:t>The Regulation</w:t>
      </w:r>
      <w:r w:rsidR="004B1943" w:rsidRPr="003D3D93">
        <w:t>s</w:t>
      </w:r>
      <w:r w:rsidRPr="003D3D93">
        <w:t xml:space="preserve"> </w:t>
      </w:r>
      <w:r w:rsidR="004B1943" w:rsidRPr="003D3D93">
        <w:t>are</w:t>
      </w:r>
      <w:r w:rsidRPr="003D3D93">
        <w:t xml:space="preserve"> a legislative inst</w:t>
      </w:r>
      <w:r w:rsidR="000962CE" w:rsidRPr="003D3D93">
        <w:t xml:space="preserve">rument for the purposes of the </w:t>
      </w:r>
      <w:r w:rsidRPr="003D3D93">
        <w:rPr>
          <w:i/>
          <w:iCs/>
        </w:rPr>
        <w:t>Legislation Act 2003</w:t>
      </w:r>
      <w:r w:rsidRPr="003D3D93">
        <w:t>.</w:t>
      </w:r>
    </w:p>
    <w:p w14:paraId="2F1A37FC" w14:textId="77777777" w:rsidR="00254E64" w:rsidRPr="003D3D93" w:rsidRDefault="00254E64" w:rsidP="00B3796F">
      <w:pPr>
        <w:rPr>
          <w:iCs/>
          <w:szCs w:val="24"/>
        </w:rPr>
      </w:pPr>
    </w:p>
    <w:p w14:paraId="2F1A37FE" w14:textId="77CC8EF5" w:rsidR="00AB5F4D" w:rsidRPr="003D3D93" w:rsidRDefault="002B2E14" w:rsidP="0099448D">
      <w:pPr>
        <w:rPr>
          <w:szCs w:val="24"/>
          <w:u w:val="single"/>
        </w:rPr>
      </w:pPr>
      <w:r w:rsidRPr="003D3D93">
        <w:rPr>
          <w:szCs w:val="24"/>
        </w:rPr>
        <w:t>Th</w:t>
      </w:r>
      <w:r w:rsidR="003D3D93" w:rsidRPr="003D3D93">
        <w:rPr>
          <w:szCs w:val="24"/>
        </w:rPr>
        <w:t>e Regulations commence on 1 March 2019</w:t>
      </w:r>
      <w:r w:rsidRPr="003D3D93">
        <w:rPr>
          <w:szCs w:val="24"/>
        </w:rPr>
        <w:t>.</w:t>
      </w:r>
      <w:r w:rsidR="00054C12" w:rsidRPr="003D3D93">
        <w:rPr>
          <w:szCs w:val="24"/>
        </w:rPr>
        <w:t xml:space="preserve"> </w:t>
      </w:r>
    </w:p>
    <w:p w14:paraId="2F1A37FF" w14:textId="77777777" w:rsidR="005F04DC" w:rsidRPr="003D3D93" w:rsidRDefault="005F04DC" w:rsidP="005F04DC">
      <w:pPr>
        <w:pStyle w:val="Subtitle"/>
        <w:rPr>
          <w:szCs w:val="24"/>
          <w:u w:val="none"/>
        </w:rPr>
      </w:pPr>
    </w:p>
    <w:p w14:paraId="2F1A3800" w14:textId="24B56ECB" w:rsidR="005F04DC" w:rsidRPr="003D3D93" w:rsidRDefault="005F04DC" w:rsidP="005F04DC">
      <w:pPr>
        <w:tabs>
          <w:tab w:val="left" w:pos="4536"/>
          <w:tab w:val="left" w:pos="5670"/>
        </w:tabs>
        <w:ind w:left="284"/>
        <w:jc w:val="center"/>
        <w:rPr>
          <w:szCs w:val="24"/>
        </w:rPr>
      </w:pPr>
      <w:r w:rsidRPr="003D3D93">
        <w:rPr>
          <w:szCs w:val="24"/>
        </w:rPr>
        <w:tab/>
      </w:r>
      <w:r w:rsidRPr="003D3D93">
        <w:rPr>
          <w:szCs w:val="24"/>
          <w:u w:val="single"/>
        </w:rPr>
        <w:t>Authority</w:t>
      </w:r>
      <w:r w:rsidRPr="003D3D93">
        <w:rPr>
          <w:szCs w:val="24"/>
        </w:rPr>
        <w:t xml:space="preserve">:     </w:t>
      </w:r>
      <w:r w:rsidR="00C252E5" w:rsidRPr="003D3D93">
        <w:rPr>
          <w:szCs w:val="24"/>
        </w:rPr>
        <w:t xml:space="preserve">    </w:t>
      </w:r>
      <w:r w:rsidRPr="003D3D93">
        <w:rPr>
          <w:szCs w:val="24"/>
        </w:rPr>
        <w:t xml:space="preserve">Subsection 133(1) of the </w:t>
      </w:r>
    </w:p>
    <w:p w14:paraId="2F1A3802" w14:textId="2BA78061" w:rsidR="003216B7" w:rsidRPr="003D3D93" w:rsidRDefault="005F04DC" w:rsidP="004C3E41">
      <w:pPr>
        <w:tabs>
          <w:tab w:val="left" w:pos="4536"/>
        </w:tabs>
        <w:ind w:left="284"/>
        <w:jc w:val="center"/>
        <w:sectPr w:rsidR="003216B7" w:rsidRPr="003D3D93" w:rsidSect="00DB6405">
          <w:headerReference w:type="even" r:id="rId11"/>
          <w:headerReference w:type="default" r:id="rId12"/>
          <w:headerReference w:type="first" r:id="rId13"/>
          <w:pgSz w:w="11906" w:h="16838"/>
          <w:pgMar w:top="1440" w:right="1440" w:bottom="1440" w:left="1440" w:header="720" w:footer="720" w:gutter="0"/>
          <w:paperSrc w:first="7" w:other="7"/>
          <w:pgNumType w:start="1"/>
          <w:cols w:space="720"/>
          <w:docGrid w:linePitch="326"/>
        </w:sectPr>
      </w:pPr>
      <w:r w:rsidRPr="003D3D93">
        <w:rPr>
          <w:i/>
          <w:szCs w:val="24"/>
        </w:rPr>
        <w:t xml:space="preserve">                                                                </w:t>
      </w:r>
      <w:r w:rsidR="00C252E5" w:rsidRPr="003D3D93">
        <w:rPr>
          <w:i/>
          <w:szCs w:val="24"/>
        </w:rPr>
        <w:t xml:space="preserve">                            </w:t>
      </w:r>
      <w:r w:rsidR="00142C17" w:rsidRPr="003D3D93">
        <w:rPr>
          <w:i/>
          <w:szCs w:val="24"/>
        </w:rPr>
        <w:t xml:space="preserve">       </w:t>
      </w:r>
      <w:r w:rsidRPr="003D3D93">
        <w:rPr>
          <w:i/>
          <w:szCs w:val="24"/>
        </w:rPr>
        <w:t>Health Insurance Act 1973</w:t>
      </w:r>
      <w:r w:rsidR="004C3E41" w:rsidRPr="003D3D93">
        <w:rPr>
          <w:szCs w:val="24"/>
        </w:rPr>
        <w:t xml:space="preserve"> </w:t>
      </w:r>
    </w:p>
    <w:p w14:paraId="2F1A3803" w14:textId="77777777" w:rsidR="005F04DC" w:rsidRPr="003D3D93" w:rsidRDefault="005F04DC" w:rsidP="00BE6776">
      <w:pPr>
        <w:pStyle w:val="Subtitle"/>
      </w:pPr>
    </w:p>
    <w:p w14:paraId="07BA2606" w14:textId="77777777" w:rsidR="008D51AE" w:rsidRPr="003D3D93" w:rsidRDefault="008D51AE" w:rsidP="008D51AE">
      <w:pPr>
        <w:ind w:left="284"/>
        <w:jc w:val="right"/>
        <w:rPr>
          <w:b/>
          <w:szCs w:val="24"/>
        </w:rPr>
      </w:pPr>
      <w:r w:rsidRPr="003D3D93">
        <w:rPr>
          <w:b/>
          <w:szCs w:val="24"/>
        </w:rPr>
        <w:t xml:space="preserve">ATTACHMENT </w:t>
      </w:r>
    </w:p>
    <w:p w14:paraId="0B517765" w14:textId="77777777" w:rsidR="008D51AE" w:rsidRPr="003D3D93" w:rsidRDefault="008D51AE" w:rsidP="008D51AE">
      <w:pPr>
        <w:ind w:left="284"/>
        <w:jc w:val="right"/>
        <w:rPr>
          <w:b/>
          <w:szCs w:val="24"/>
        </w:rPr>
      </w:pPr>
    </w:p>
    <w:p w14:paraId="4F5E0E8B" w14:textId="3AD9EAA6" w:rsidR="008D51AE" w:rsidRPr="003D3D93" w:rsidRDefault="00CF35C8" w:rsidP="008D51AE">
      <w:pPr>
        <w:rPr>
          <w:b/>
          <w:i/>
          <w:szCs w:val="24"/>
        </w:rPr>
      </w:pPr>
      <w:r w:rsidRPr="003D3D93">
        <w:rPr>
          <w:b/>
          <w:szCs w:val="24"/>
        </w:rPr>
        <w:t>Details of the</w:t>
      </w:r>
      <w:r w:rsidR="008D51AE" w:rsidRPr="003D3D93">
        <w:rPr>
          <w:b/>
          <w:szCs w:val="24"/>
        </w:rPr>
        <w:t xml:space="preserve"> </w:t>
      </w:r>
      <w:r w:rsidR="00FA1E66" w:rsidRPr="00FA1E66">
        <w:rPr>
          <w:b/>
          <w:i/>
          <w:szCs w:val="24"/>
        </w:rPr>
        <w:t>Health Insurance Legislation Amendment (Services for Patients in Residential Aged Care Facilities) Regulations 2019</w:t>
      </w:r>
    </w:p>
    <w:p w14:paraId="6660D4D1" w14:textId="77777777" w:rsidR="008D51AE" w:rsidRPr="003D3D93" w:rsidRDefault="008D51AE" w:rsidP="008D51AE"/>
    <w:p w14:paraId="2BD14C77" w14:textId="77777777" w:rsidR="008D51AE" w:rsidRPr="003D3D93" w:rsidRDefault="008D51AE" w:rsidP="008D51AE">
      <w:pPr>
        <w:pStyle w:val="Heading1"/>
        <w:tabs>
          <w:tab w:val="left" w:pos="284"/>
        </w:tabs>
        <w:jc w:val="left"/>
        <w:rPr>
          <w:b w:val="0"/>
          <w:szCs w:val="24"/>
        </w:rPr>
      </w:pPr>
      <w:r w:rsidRPr="003D3D93">
        <w:rPr>
          <w:b w:val="0"/>
          <w:szCs w:val="24"/>
        </w:rPr>
        <w:t>Section 1 – Name</w:t>
      </w:r>
    </w:p>
    <w:p w14:paraId="176F3259" w14:textId="77777777" w:rsidR="008D51AE" w:rsidRPr="003D3D93" w:rsidRDefault="008D51AE" w:rsidP="008D51AE">
      <w:pPr>
        <w:pStyle w:val="Heading1"/>
        <w:jc w:val="left"/>
        <w:rPr>
          <w:b w:val="0"/>
          <w:sz w:val="16"/>
          <w:szCs w:val="16"/>
          <w:u w:val="none"/>
        </w:rPr>
      </w:pPr>
    </w:p>
    <w:p w14:paraId="1FEB2DE4" w14:textId="2E87D8F5" w:rsidR="008D51AE" w:rsidRPr="003D3D93" w:rsidRDefault="008D51AE" w:rsidP="008D51AE">
      <w:pPr>
        <w:rPr>
          <w:b/>
          <w:i/>
          <w:szCs w:val="24"/>
        </w:rPr>
      </w:pPr>
      <w:r w:rsidRPr="003D3D93">
        <w:rPr>
          <w:szCs w:val="24"/>
        </w:rPr>
        <w:t>This sectio</w:t>
      </w:r>
      <w:r w:rsidR="00CF35C8" w:rsidRPr="003D3D93">
        <w:rPr>
          <w:szCs w:val="24"/>
        </w:rPr>
        <w:t xml:space="preserve">n provides for the </w:t>
      </w:r>
      <w:r w:rsidRPr="003D3D93">
        <w:rPr>
          <w:szCs w:val="24"/>
        </w:rPr>
        <w:t>Regulations to be referred to as the</w:t>
      </w:r>
      <w:r w:rsidRPr="003D3D93">
        <w:rPr>
          <w:i/>
          <w:szCs w:val="24"/>
        </w:rPr>
        <w:t xml:space="preserve"> </w:t>
      </w:r>
      <w:r w:rsidR="00FA1E66" w:rsidRPr="00FA1E66">
        <w:rPr>
          <w:i/>
          <w:szCs w:val="24"/>
        </w:rPr>
        <w:t>Health Insurance Legislation Amendment (Services for Patients in Residential Aged Care Facilities) Regulations 2019</w:t>
      </w:r>
      <w:r w:rsidR="00484446">
        <w:rPr>
          <w:i/>
          <w:szCs w:val="24"/>
        </w:rPr>
        <w:t>.</w:t>
      </w:r>
    </w:p>
    <w:p w14:paraId="1C4C4817" w14:textId="77777777" w:rsidR="008D51AE" w:rsidRPr="005B24D5" w:rsidRDefault="008D51AE" w:rsidP="008D51AE">
      <w:pPr>
        <w:rPr>
          <w:b/>
          <w:szCs w:val="24"/>
          <w:highlight w:val="yellow"/>
        </w:rPr>
      </w:pPr>
    </w:p>
    <w:p w14:paraId="3576600A" w14:textId="77777777" w:rsidR="008D51AE" w:rsidRPr="003D3D93" w:rsidRDefault="008D51AE" w:rsidP="008D51AE">
      <w:pPr>
        <w:pStyle w:val="BodyText"/>
        <w:rPr>
          <w:b w:val="0"/>
          <w:szCs w:val="24"/>
          <w:u w:val="single"/>
        </w:rPr>
      </w:pPr>
      <w:r w:rsidRPr="003D3D93">
        <w:rPr>
          <w:b w:val="0"/>
          <w:szCs w:val="24"/>
          <w:u w:val="single"/>
        </w:rPr>
        <w:t xml:space="preserve">Section 2 – Commencement </w:t>
      </w:r>
    </w:p>
    <w:p w14:paraId="194F36A1" w14:textId="77777777" w:rsidR="008D51AE" w:rsidRPr="003D3D93" w:rsidRDefault="008D51AE" w:rsidP="008D51AE">
      <w:pPr>
        <w:pStyle w:val="BodyText"/>
        <w:rPr>
          <w:b w:val="0"/>
          <w:sz w:val="20"/>
        </w:rPr>
      </w:pPr>
    </w:p>
    <w:p w14:paraId="60B4ECB6" w14:textId="27421EB8" w:rsidR="00651925" w:rsidRPr="005B24D5" w:rsidRDefault="00CF35C8" w:rsidP="00651925">
      <w:pPr>
        <w:rPr>
          <w:szCs w:val="24"/>
          <w:highlight w:val="yellow"/>
        </w:rPr>
      </w:pPr>
      <w:r w:rsidRPr="003D3D93">
        <w:rPr>
          <w:szCs w:val="24"/>
        </w:rPr>
        <w:t xml:space="preserve">This section </w:t>
      </w:r>
      <w:r w:rsidR="008D51AE" w:rsidRPr="003D3D93">
        <w:rPr>
          <w:szCs w:val="24"/>
        </w:rPr>
        <w:t>provide</w:t>
      </w:r>
      <w:r w:rsidRPr="003D3D93">
        <w:rPr>
          <w:szCs w:val="24"/>
        </w:rPr>
        <w:t>s</w:t>
      </w:r>
      <w:r w:rsidR="00E00D7F" w:rsidRPr="003D3D93">
        <w:rPr>
          <w:szCs w:val="24"/>
        </w:rPr>
        <w:t xml:space="preserve"> that</w:t>
      </w:r>
      <w:r w:rsidR="008D51AE" w:rsidRPr="003D3D93">
        <w:rPr>
          <w:szCs w:val="24"/>
        </w:rPr>
        <w:t xml:space="preserve"> </w:t>
      </w:r>
      <w:r w:rsidR="002B2E14" w:rsidRPr="003D3D93">
        <w:rPr>
          <w:szCs w:val="24"/>
        </w:rPr>
        <w:t>the Regulations commence</w:t>
      </w:r>
      <w:r w:rsidR="003D3D93" w:rsidRPr="003D3D93">
        <w:rPr>
          <w:szCs w:val="24"/>
        </w:rPr>
        <w:t xml:space="preserve"> on 1 March 2019</w:t>
      </w:r>
      <w:r w:rsidR="00F708B1" w:rsidRPr="003D3D93">
        <w:rPr>
          <w:szCs w:val="24"/>
        </w:rPr>
        <w:t>.</w:t>
      </w:r>
      <w:r w:rsidR="00F708B1" w:rsidRPr="005B24D5">
        <w:rPr>
          <w:szCs w:val="24"/>
          <w:highlight w:val="yellow"/>
        </w:rPr>
        <w:br/>
      </w:r>
    </w:p>
    <w:p w14:paraId="4706FB42" w14:textId="77777777" w:rsidR="008D51AE" w:rsidRPr="003D3D93" w:rsidRDefault="008D51AE" w:rsidP="008D51AE">
      <w:pPr>
        <w:pStyle w:val="BodyText"/>
        <w:rPr>
          <w:b w:val="0"/>
          <w:szCs w:val="24"/>
          <w:u w:val="single"/>
        </w:rPr>
      </w:pPr>
      <w:r w:rsidRPr="003D3D93">
        <w:rPr>
          <w:b w:val="0"/>
          <w:szCs w:val="24"/>
          <w:u w:val="single"/>
        </w:rPr>
        <w:t xml:space="preserve">Section 3 – Authority  </w:t>
      </w:r>
    </w:p>
    <w:p w14:paraId="71E1F175" w14:textId="77777777" w:rsidR="008D51AE" w:rsidRPr="003D3D93" w:rsidRDefault="008D51AE" w:rsidP="008D51AE">
      <w:pPr>
        <w:pStyle w:val="BodyText"/>
        <w:rPr>
          <w:b w:val="0"/>
          <w:sz w:val="20"/>
        </w:rPr>
      </w:pPr>
    </w:p>
    <w:p w14:paraId="03F91795" w14:textId="7A5A811B" w:rsidR="008D51AE" w:rsidRPr="003D3D93" w:rsidRDefault="008D51AE" w:rsidP="008D51AE">
      <w:pPr>
        <w:pStyle w:val="BodyText"/>
        <w:ind w:right="-483"/>
        <w:rPr>
          <w:b w:val="0"/>
          <w:szCs w:val="24"/>
        </w:rPr>
      </w:pPr>
      <w:r w:rsidRPr="003D3D93">
        <w:rPr>
          <w:b w:val="0"/>
        </w:rPr>
        <w:t>This section</w:t>
      </w:r>
      <w:r w:rsidR="00CF35C8" w:rsidRPr="003D3D93">
        <w:rPr>
          <w:b w:val="0"/>
        </w:rPr>
        <w:t xml:space="preserve"> provides that the </w:t>
      </w:r>
      <w:r w:rsidRPr="003D3D93">
        <w:rPr>
          <w:b w:val="0"/>
        </w:rPr>
        <w:t xml:space="preserve">Regulations are made under the </w:t>
      </w:r>
      <w:r w:rsidRPr="003D3D93">
        <w:rPr>
          <w:b w:val="0"/>
          <w:i/>
        </w:rPr>
        <w:t>Health Insurance Act 1973</w:t>
      </w:r>
      <w:r w:rsidRPr="003D3D93">
        <w:rPr>
          <w:b w:val="0"/>
          <w:szCs w:val="24"/>
        </w:rPr>
        <w:t>.</w:t>
      </w:r>
    </w:p>
    <w:p w14:paraId="060A6F32" w14:textId="77777777" w:rsidR="008D51AE" w:rsidRPr="003D3D93" w:rsidRDefault="008D51AE" w:rsidP="008D51AE">
      <w:pPr>
        <w:pStyle w:val="Header"/>
        <w:tabs>
          <w:tab w:val="clear" w:pos="4153"/>
          <w:tab w:val="clear" w:pos="8306"/>
          <w:tab w:val="num" w:pos="1080"/>
        </w:tabs>
        <w:rPr>
          <w:szCs w:val="24"/>
        </w:rPr>
      </w:pPr>
    </w:p>
    <w:p w14:paraId="59589041" w14:textId="77777777" w:rsidR="008D51AE" w:rsidRPr="003D3D93" w:rsidRDefault="008D51AE" w:rsidP="008D51AE">
      <w:pPr>
        <w:pStyle w:val="Header"/>
        <w:tabs>
          <w:tab w:val="clear" w:pos="4153"/>
          <w:tab w:val="clear" w:pos="8306"/>
          <w:tab w:val="num" w:pos="1080"/>
        </w:tabs>
        <w:rPr>
          <w:szCs w:val="24"/>
          <w:u w:val="single"/>
        </w:rPr>
      </w:pPr>
      <w:r w:rsidRPr="003D3D93">
        <w:rPr>
          <w:szCs w:val="24"/>
          <w:u w:val="single"/>
        </w:rPr>
        <w:t>Section 4 – Schedule(s)</w:t>
      </w:r>
    </w:p>
    <w:p w14:paraId="35A2E535" w14:textId="77777777" w:rsidR="008D51AE" w:rsidRPr="003D3D93" w:rsidRDefault="008D51AE" w:rsidP="008D51AE">
      <w:pPr>
        <w:pStyle w:val="Header"/>
        <w:tabs>
          <w:tab w:val="clear" w:pos="4153"/>
          <w:tab w:val="clear" w:pos="8306"/>
          <w:tab w:val="num" w:pos="1080"/>
        </w:tabs>
        <w:rPr>
          <w:sz w:val="20"/>
          <w:u w:val="single"/>
        </w:rPr>
      </w:pPr>
    </w:p>
    <w:p w14:paraId="453FE2B1" w14:textId="6A39C334" w:rsidR="008D51AE" w:rsidRPr="003D3D93" w:rsidRDefault="008D51AE" w:rsidP="008D51AE">
      <w:pPr>
        <w:pStyle w:val="BodyText"/>
        <w:ind w:right="-483"/>
        <w:rPr>
          <w:b w:val="0"/>
        </w:rPr>
      </w:pPr>
      <w:r w:rsidRPr="003D3D93">
        <w:rPr>
          <w:b w:val="0"/>
        </w:rPr>
        <w:t xml:space="preserve">This </w:t>
      </w:r>
      <w:r w:rsidR="00CF35C8" w:rsidRPr="003D3D93">
        <w:rPr>
          <w:b w:val="0"/>
        </w:rPr>
        <w:t xml:space="preserve">section </w:t>
      </w:r>
      <w:r w:rsidRPr="003D3D93">
        <w:rPr>
          <w:b w:val="0"/>
        </w:rPr>
        <w:t>provide</w:t>
      </w:r>
      <w:r w:rsidR="00CF35C8" w:rsidRPr="003D3D93">
        <w:rPr>
          <w:b w:val="0"/>
        </w:rPr>
        <w:t>s</w:t>
      </w:r>
      <w:r w:rsidRPr="003D3D93">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5B24D5" w:rsidRDefault="008D51AE" w:rsidP="008D51AE">
      <w:pPr>
        <w:pStyle w:val="Header"/>
        <w:tabs>
          <w:tab w:val="clear" w:pos="4153"/>
          <w:tab w:val="clear" w:pos="8306"/>
          <w:tab w:val="num" w:pos="1080"/>
        </w:tabs>
        <w:rPr>
          <w:szCs w:val="24"/>
          <w:highlight w:val="yellow"/>
        </w:rPr>
      </w:pPr>
    </w:p>
    <w:p w14:paraId="45BF4332" w14:textId="6E23EA12" w:rsidR="00BF7ADE" w:rsidRPr="00610271" w:rsidRDefault="00651925" w:rsidP="00211327">
      <w:pPr>
        <w:rPr>
          <w:u w:val="single"/>
          <w:lang w:val="en-US" w:eastAsia="en-US"/>
        </w:rPr>
      </w:pPr>
      <w:r w:rsidRPr="00610271">
        <w:rPr>
          <w:u w:val="single"/>
          <w:lang w:val="en-US" w:eastAsia="en-US"/>
        </w:rPr>
        <w:t xml:space="preserve">Schedule 1 – </w:t>
      </w:r>
      <w:r w:rsidR="0069130B" w:rsidRPr="00610271">
        <w:rPr>
          <w:u w:val="single"/>
          <w:lang w:val="en-US" w:eastAsia="en-US"/>
        </w:rPr>
        <w:t>Amendments</w:t>
      </w:r>
    </w:p>
    <w:p w14:paraId="492344FA" w14:textId="77777777" w:rsidR="00211327" w:rsidRPr="005B24D5" w:rsidRDefault="00211327" w:rsidP="00211327">
      <w:pPr>
        <w:rPr>
          <w:highlight w:val="yellow"/>
          <w:u w:val="single"/>
          <w:lang w:val="en-US" w:eastAsia="en-US"/>
        </w:rPr>
      </w:pPr>
    </w:p>
    <w:p w14:paraId="42E56641" w14:textId="44EB22C7" w:rsidR="00553C69" w:rsidRDefault="00610271" w:rsidP="00553C69">
      <w:pPr>
        <w:rPr>
          <w:b/>
          <w:i/>
        </w:rPr>
      </w:pPr>
      <w:r w:rsidRPr="00610271">
        <w:rPr>
          <w:b/>
          <w:i/>
        </w:rPr>
        <w:t>Health Insurance (General Medical Services Table) Regulations 2018</w:t>
      </w:r>
    </w:p>
    <w:p w14:paraId="0BA208FC" w14:textId="77777777" w:rsidR="00610271" w:rsidRPr="005B24D5" w:rsidRDefault="00610271" w:rsidP="00553C69">
      <w:pPr>
        <w:rPr>
          <w:b/>
          <w:highlight w:val="yellow"/>
        </w:rPr>
      </w:pPr>
    </w:p>
    <w:p w14:paraId="555B12A2" w14:textId="36A3903B" w:rsidR="003751D9" w:rsidRPr="003751D9" w:rsidRDefault="00476ECD" w:rsidP="003751D9">
      <w:pPr>
        <w:pStyle w:val="NoSpacing"/>
        <w:rPr>
          <w:b/>
        </w:rPr>
      </w:pPr>
      <w:r>
        <w:rPr>
          <w:b/>
        </w:rPr>
        <w:lastRenderedPageBreak/>
        <w:t>Amendments</w:t>
      </w:r>
      <w:r w:rsidR="003751D9" w:rsidRPr="003751D9">
        <w:rPr>
          <w:b/>
        </w:rPr>
        <w:t xml:space="preserve"> 1</w:t>
      </w:r>
      <w:r w:rsidR="00AA3478">
        <w:rPr>
          <w:b/>
        </w:rPr>
        <w:t xml:space="preserve"> to 6</w:t>
      </w:r>
    </w:p>
    <w:p w14:paraId="17EC3312" w14:textId="6CC1416C" w:rsidR="002B279C" w:rsidRDefault="003751D9" w:rsidP="003751D9">
      <w:pPr>
        <w:pStyle w:val="NoSpacing"/>
      </w:pPr>
      <w:r w:rsidRPr="003751D9">
        <w:t xml:space="preserve">These amendments </w:t>
      </w:r>
      <w:r>
        <w:t xml:space="preserve">make consequential changes as a result of </w:t>
      </w:r>
      <w:r w:rsidRPr="003751D9">
        <w:t xml:space="preserve"> simplify</w:t>
      </w:r>
      <w:r>
        <w:t>ing</w:t>
      </w:r>
      <w:r w:rsidRPr="003751D9">
        <w:t xml:space="preserve"> the </w:t>
      </w:r>
      <w:r w:rsidR="00476ECD">
        <w:t>item</w:t>
      </w:r>
      <w:r w:rsidRPr="003751D9">
        <w:t xml:space="preserve"> structure for doctors and patients</w:t>
      </w:r>
      <w:r>
        <w:t xml:space="preserve">. </w:t>
      </w:r>
      <w:r w:rsidR="00476ECD">
        <w:t>Amendments</w:t>
      </w:r>
      <w:r w:rsidR="002B279C">
        <w:t xml:space="preserve"> 1 to 5</w:t>
      </w:r>
      <w:r>
        <w:t xml:space="preserve"> apply the general requirements </w:t>
      </w:r>
      <w:r w:rsidR="002B279C">
        <w:t xml:space="preserve">for the </w:t>
      </w:r>
      <w:r>
        <w:t xml:space="preserve">new attendance items (see </w:t>
      </w:r>
      <w:r w:rsidR="00476ECD">
        <w:t>amendment</w:t>
      </w:r>
      <w:r>
        <w:t xml:space="preserve"> 9) </w:t>
      </w:r>
      <w:r w:rsidR="002B279C">
        <w:t xml:space="preserve">which applied to the deleted attendance items (see </w:t>
      </w:r>
      <w:r w:rsidR="00476ECD">
        <w:t>amendment</w:t>
      </w:r>
      <w:r w:rsidR="002B279C">
        <w:t xml:space="preserve"> 8): </w:t>
      </w:r>
    </w:p>
    <w:p w14:paraId="65916621" w14:textId="29A5EECF" w:rsidR="002B279C" w:rsidRDefault="00476ECD" w:rsidP="002B279C">
      <w:pPr>
        <w:pStyle w:val="NoSpacing"/>
        <w:numPr>
          <w:ilvl w:val="0"/>
          <w:numId w:val="20"/>
        </w:numPr>
      </w:pPr>
      <w:r>
        <w:t>Amendments</w:t>
      </w:r>
      <w:r w:rsidR="002B279C">
        <w:t xml:space="preserve"> 1 and 2 will apply the requirement</w:t>
      </w:r>
      <w:r w:rsidR="00D81CEC">
        <w:t>s</w:t>
      </w:r>
      <w:r w:rsidR="002B279C">
        <w:t xml:space="preserve"> for </w:t>
      </w:r>
      <w:r w:rsidR="002B279C" w:rsidRPr="003751D9">
        <w:t>professional attendance service</w:t>
      </w:r>
      <w:r w:rsidR="002B279C">
        <w:t>s.</w:t>
      </w:r>
    </w:p>
    <w:p w14:paraId="375CB53A" w14:textId="16D1D967" w:rsidR="003751D9" w:rsidRDefault="00476ECD" w:rsidP="002B279C">
      <w:pPr>
        <w:pStyle w:val="NoSpacing"/>
        <w:numPr>
          <w:ilvl w:val="0"/>
          <w:numId w:val="20"/>
        </w:numPr>
      </w:pPr>
      <w:r>
        <w:t>Amendments</w:t>
      </w:r>
      <w:r w:rsidR="002B279C">
        <w:t xml:space="preserve"> 3 and 4 require the doctor to </w:t>
      </w:r>
      <w:r w:rsidR="002B279C" w:rsidRPr="002B279C">
        <w:t xml:space="preserve">personally attend the service </w:t>
      </w:r>
      <w:r w:rsidR="002B279C">
        <w:t xml:space="preserve">on a </w:t>
      </w:r>
      <w:r w:rsidR="002B279C" w:rsidRPr="002B279C">
        <w:t>single patient on a single occasion</w:t>
      </w:r>
      <w:r w:rsidR="00D81CEC">
        <w:t>. A</w:t>
      </w:r>
      <w:r w:rsidR="002B279C">
        <w:t xml:space="preserve"> benefit is not payable for a group attendance.  </w:t>
      </w:r>
    </w:p>
    <w:p w14:paraId="2F2B84BA" w14:textId="5AE76DEA" w:rsidR="002B279C" w:rsidRDefault="00476ECD" w:rsidP="002B279C">
      <w:pPr>
        <w:pStyle w:val="NoSpacing"/>
        <w:numPr>
          <w:ilvl w:val="0"/>
          <w:numId w:val="20"/>
        </w:numPr>
      </w:pPr>
      <w:r>
        <w:t>Amendment</w:t>
      </w:r>
      <w:r w:rsidR="002B279C">
        <w:t xml:space="preserve"> 5 </w:t>
      </w:r>
      <w:r w:rsidR="002B279C" w:rsidRPr="002B279C">
        <w:t>provides that</w:t>
      </w:r>
      <w:r w:rsidR="002B279C">
        <w:t xml:space="preserve"> </w:t>
      </w:r>
      <w:r w:rsidR="00D81CEC">
        <w:t>service does not apply if it is</w:t>
      </w:r>
      <w:r w:rsidR="002B279C" w:rsidRPr="002B279C">
        <w:t xml:space="preserve"> provided at the same time, or in connection with, a </w:t>
      </w:r>
      <w:r w:rsidR="002B279C">
        <w:t>‘</w:t>
      </w:r>
      <w:r w:rsidR="002B279C" w:rsidRPr="002B279C">
        <w:t>non-medicare service</w:t>
      </w:r>
      <w:r w:rsidR="002B279C">
        <w:t>’</w:t>
      </w:r>
      <w:r w:rsidR="002B279C" w:rsidRPr="002B279C">
        <w:t xml:space="preserve">. A non-medicare service is defined in Part 3 of the </w:t>
      </w:r>
      <w:r w:rsidR="00AA3478">
        <w:t>GMST</w:t>
      </w:r>
      <w:r w:rsidR="00154A6B">
        <w:t xml:space="preserve"> Regulations</w:t>
      </w:r>
      <w:r w:rsidR="002B279C">
        <w:t>.</w:t>
      </w:r>
    </w:p>
    <w:p w14:paraId="56E5D811" w14:textId="51E367CD" w:rsidR="00AA3478" w:rsidRDefault="00AA3478" w:rsidP="00AA3478">
      <w:pPr>
        <w:pStyle w:val="NoSpacing"/>
      </w:pPr>
    </w:p>
    <w:p w14:paraId="1C1211B2" w14:textId="4E2684F2" w:rsidR="00AA3478" w:rsidRPr="002B279C" w:rsidRDefault="00476ECD" w:rsidP="00AA3478">
      <w:pPr>
        <w:pStyle w:val="NoSpacing"/>
      </w:pPr>
      <w:r>
        <w:t>Amendment</w:t>
      </w:r>
      <w:r w:rsidR="00AA3478">
        <w:t xml:space="preserve"> 6 makes a consequential change to the name of Division 2.1 to be inclusive of the group name of the new attendance items (see </w:t>
      </w:r>
      <w:r>
        <w:t>amendment</w:t>
      </w:r>
      <w:r w:rsidR="00AA3478">
        <w:t xml:space="preserve"> 9).</w:t>
      </w:r>
    </w:p>
    <w:p w14:paraId="3AF08D74" w14:textId="19EC7C8E" w:rsidR="003751D9" w:rsidRDefault="003751D9" w:rsidP="003751D9">
      <w:pPr>
        <w:pStyle w:val="NoSpacing"/>
      </w:pPr>
    </w:p>
    <w:p w14:paraId="0976D4DA" w14:textId="1FF1803B" w:rsidR="00E60005" w:rsidRPr="00B6378C" w:rsidRDefault="00476ECD" w:rsidP="00E60005">
      <w:pPr>
        <w:pStyle w:val="NoSpacing"/>
        <w:rPr>
          <w:b/>
        </w:rPr>
      </w:pPr>
      <w:r>
        <w:rPr>
          <w:b/>
        </w:rPr>
        <w:t>Amendment</w:t>
      </w:r>
      <w:r w:rsidR="00E60005" w:rsidRPr="00B6378C">
        <w:rPr>
          <w:b/>
        </w:rPr>
        <w:t xml:space="preserve"> </w:t>
      </w:r>
      <w:r w:rsidR="00E60005">
        <w:rPr>
          <w:b/>
        </w:rPr>
        <w:t>7</w:t>
      </w:r>
      <w:r w:rsidR="00E60005" w:rsidRPr="00B6378C">
        <w:rPr>
          <w:b/>
        </w:rPr>
        <w:t xml:space="preserve"> - Clause 2.1.1 of Schedule 1 (table items 2, 4, 6, 8 and 13 to 16)</w:t>
      </w:r>
    </w:p>
    <w:p w14:paraId="40081892" w14:textId="50AF0D9B" w:rsidR="00E60005" w:rsidRDefault="00E60005" w:rsidP="00E60005">
      <w:pPr>
        <w:pStyle w:val="NoSpacing"/>
      </w:pPr>
      <w:r w:rsidRPr="00B6378C">
        <w:t>Clause 2.1.1 of the GMST</w:t>
      </w:r>
      <w:r w:rsidR="00154A6B">
        <w:t xml:space="preserve"> Regulations</w:t>
      </w:r>
      <w:r w:rsidRPr="00B6378C">
        <w:t xml:space="preserve"> </w:t>
      </w:r>
      <w:r>
        <w:t xml:space="preserve">is </w:t>
      </w:r>
      <w:r w:rsidR="00D81CEC">
        <w:t>the legal basis for applying the ready reckoner calculation. This calculation determines the total amount for a service based on the type of service provided and the number of patients seen at a residential aged care facility.</w:t>
      </w:r>
      <w:r w:rsidR="00D81CEC">
        <w:br/>
      </w:r>
    </w:p>
    <w:p w14:paraId="59416AEF" w14:textId="00B212AF" w:rsidR="00E60005" w:rsidRDefault="00476ECD" w:rsidP="00E60005">
      <w:pPr>
        <w:pStyle w:val="NoSpacing"/>
      </w:pPr>
      <w:r>
        <w:t>Amendment</w:t>
      </w:r>
      <w:r w:rsidR="00E60005">
        <w:t xml:space="preserve"> 7 </w:t>
      </w:r>
      <w:r w:rsidR="00E60005" w:rsidRPr="00B6378C">
        <w:t xml:space="preserve">repeals </w:t>
      </w:r>
      <w:r w:rsidR="00E60005">
        <w:t>the the old attendance items</w:t>
      </w:r>
      <w:r w:rsidR="00D81CEC">
        <w:t xml:space="preserve"> (20, 35, 43, 51, 92, 93, 95 and 96)</w:t>
      </w:r>
      <w:r w:rsidR="00E60005">
        <w:t xml:space="preserve"> from this </w:t>
      </w:r>
      <w:r w:rsidR="00D81CEC">
        <w:t>clause</w:t>
      </w:r>
      <w:r w:rsidR="00E60005">
        <w:t xml:space="preserve">. </w:t>
      </w:r>
      <w:r w:rsidR="00D81CEC">
        <w:t>These items are the most commonly claimed general practice services provided in residential aged care facilities.</w:t>
      </w:r>
    </w:p>
    <w:p w14:paraId="7006FA3F" w14:textId="77777777" w:rsidR="00D81CEC" w:rsidRDefault="00D81CEC" w:rsidP="00E60005">
      <w:pPr>
        <w:pStyle w:val="NoSpacing"/>
      </w:pPr>
    </w:p>
    <w:p w14:paraId="1D795FDD" w14:textId="214E9625" w:rsidR="0014132F" w:rsidRPr="00B6378C" w:rsidRDefault="00476ECD" w:rsidP="0014132F">
      <w:pPr>
        <w:pStyle w:val="NoSpacing"/>
        <w:rPr>
          <w:b/>
        </w:rPr>
      </w:pPr>
      <w:r>
        <w:rPr>
          <w:b/>
        </w:rPr>
        <w:t>Amendment</w:t>
      </w:r>
      <w:r w:rsidR="0014132F" w:rsidRPr="00B6378C">
        <w:rPr>
          <w:b/>
        </w:rPr>
        <w:t xml:space="preserve"> </w:t>
      </w:r>
      <w:r w:rsidR="0014132F">
        <w:rPr>
          <w:b/>
        </w:rPr>
        <w:t>8</w:t>
      </w:r>
      <w:r w:rsidR="0014132F" w:rsidRPr="00B6378C">
        <w:rPr>
          <w:b/>
        </w:rPr>
        <w:t xml:space="preserve"> - Schedule 1 (items 2</w:t>
      </w:r>
      <w:r w:rsidR="0014132F">
        <w:rPr>
          <w:b/>
        </w:rPr>
        <w:t>0, 35, 43, 51, 92, 93, 95</w:t>
      </w:r>
      <w:r w:rsidR="0014132F" w:rsidRPr="00B6378C">
        <w:rPr>
          <w:b/>
        </w:rPr>
        <w:t xml:space="preserve"> and </w:t>
      </w:r>
      <w:r w:rsidR="0014132F">
        <w:rPr>
          <w:b/>
        </w:rPr>
        <w:t>96</w:t>
      </w:r>
      <w:r w:rsidR="0014132F" w:rsidRPr="00B6378C">
        <w:rPr>
          <w:b/>
        </w:rPr>
        <w:t>)</w:t>
      </w:r>
    </w:p>
    <w:p w14:paraId="50DFF070" w14:textId="7115825F" w:rsidR="0014132F" w:rsidRDefault="00476ECD" w:rsidP="0014132F">
      <w:pPr>
        <w:pStyle w:val="NoSpacing"/>
      </w:pPr>
      <w:r>
        <w:t>Amendment</w:t>
      </w:r>
      <w:r w:rsidR="0014132F">
        <w:t xml:space="preserve"> 8 repeals the </w:t>
      </w:r>
      <w:r w:rsidR="0014132F" w:rsidRPr="0014132F">
        <w:t xml:space="preserve">old </w:t>
      </w:r>
      <w:r w:rsidR="0014132F">
        <w:t xml:space="preserve">residential aged care facility </w:t>
      </w:r>
      <w:r w:rsidR="0014132F" w:rsidRPr="0014132F">
        <w:t xml:space="preserve">attendance </w:t>
      </w:r>
      <w:r w:rsidR="0014132F">
        <w:t>items for GPs (20, 35, 43 and 51) and OMPs (</w:t>
      </w:r>
      <w:r w:rsidR="0014132F" w:rsidRPr="0014132F">
        <w:t>92, 93, 95 and 96</w:t>
      </w:r>
      <w:r w:rsidR="0014132F">
        <w:t xml:space="preserve">). These services will be replaced with the new attendance items (see </w:t>
      </w:r>
      <w:r>
        <w:t>amendment</w:t>
      </w:r>
      <w:r w:rsidR="0014132F">
        <w:t xml:space="preserve"> 9).</w:t>
      </w:r>
    </w:p>
    <w:p w14:paraId="181E545C" w14:textId="77777777" w:rsidR="0014132F" w:rsidRDefault="0014132F" w:rsidP="0014132F">
      <w:pPr>
        <w:pStyle w:val="NoSpacing"/>
      </w:pPr>
    </w:p>
    <w:p w14:paraId="05DBFEB2" w14:textId="4C2F114C" w:rsidR="007231CB" w:rsidRPr="00214700" w:rsidRDefault="00476ECD" w:rsidP="007231CB">
      <w:pPr>
        <w:pStyle w:val="NoSpacing"/>
        <w:rPr>
          <w:b/>
        </w:rPr>
      </w:pPr>
      <w:r>
        <w:rPr>
          <w:b/>
        </w:rPr>
        <w:t>Amendment</w:t>
      </w:r>
      <w:r w:rsidR="00E60005" w:rsidRPr="00B6378C">
        <w:rPr>
          <w:b/>
        </w:rPr>
        <w:t xml:space="preserve"> </w:t>
      </w:r>
      <w:r w:rsidR="0014132F">
        <w:rPr>
          <w:b/>
        </w:rPr>
        <w:t>9</w:t>
      </w:r>
      <w:r w:rsidR="00E60005" w:rsidRPr="00B6378C">
        <w:rPr>
          <w:b/>
        </w:rPr>
        <w:t xml:space="preserve"> </w:t>
      </w:r>
      <w:r w:rsidR="0014132F">
        <w:rPr>
          <w:b/>
        </w:rPr>
        <w:t>–</w:t>
      </w:r>
      <w:r w:rsidR="00E60005" w:rsidRPr="00B6378C">
        <w:rPr>
          <w:b/>
        </w:rPr>
        <w:t xml:space="preserve"> </w:t>
      </w:r>
      <w:r w:rsidR="0014132F">
        <w:rPr>
          <w:b/>
        </w:rPr>
        <w:t>After Divison 2.30 of Schedule 1</w:t>
      </w:r>
    </w:p>
    <w:p w14:paraId="70681CA7" w14:textId="64C1F67B" w:rsidR="000506E9" w:rsidRDefault="00476ECD" w:rsidP="00E60005">
      <w:pPr>
        <w:pStyle w:val="NoSpacing"/>
      </w:pPr>
      <w:r>
        <w:lastRenderedPageBreak/>
        <w:t>Amendment</w:t>
      </w:r>
      <w:r w:rsidR="0014132F">
        <w:t xml:space="preserve"> 9 </w:t>
      </w:r>
      <w:r w:rsidR="000506E9">
        <w:t>inserts Division 2.30A which creates the new arrangements for the most commonly claimed general pratice service</w:t>
      </w:r>
      <w:r w:rsidR="00484446">
        <w:t>s</w:t>
      </w:r>
      <w:r w:rsidR="000506E9">
        <w:t xml:space="preserve"> in residential aged care facilities.</w:t>
      </w:r>
    </w:p>
    <w:p w14:paraId="6E084C01" w14:textId="2CF2A5C5" w:rsidR="000506E9" w:rsidRDefault="000506E9" w:rsidP="00E60005">
      <w:pPr>
        <w:pStyle w:val="NoSpacing"/>
      </w:pPr>
    </w:p>
    <w:p w14:paraId="7063FC4B" w14:textId="39146034" w:rsidR="00D81CEC" w:rsidRDefault="000506E9" w:rsidP="001F1301">
      <w:pPr>
        <w:pStyle w:val="NoSpacing"/>
      </w:pPr>
      <w:r>
        <w:t xml:space="preserve">Subclauses 2.30A.1(1) and (2) will increase the fee for the first patient attendance </w:t>
      </w:r>
      <w:r w:rsidR="00D81CEC">
        <w:t xml:space="preserve">during the  </w:t>
      </w:r>
      <w:r>
        <w:t xml:space="preserve">residential aged </w:t>
      </w:r>
      <w:r w:rsidR="00484446">
        <w:t xml:space="preserve">care </w:t>
      </w:r>
      <w:r>
        <w:t>facility</w:t>
      </w:r>
      <w:r w:rsidR="00D81CEC">
        <w:t xml:space="preserve"> visit</w:t>
      </w:r>
      <w:r>
        <w:t>. This amount</w:t>
      </w:r>
      <w:r w:rsidR="0087766A">
        <w:t xml:space="preserve"> is inten</w:t>
      </w:r>
      <w:r w:rsidR="00E869D4">
        <w:t xml:space="preserve">ded to </w:t>
      </w:r>
      <w:r>
        <w:t xml:space="preserve">reflect </w:t>
      </w:r>
      <w:r w:rsidR="001F1301">
        <w:t xml:space="preserve">the </w:t>
      </w:r>
      <w:r w:rsidR="00E869D4">
        <w:t>c</w:t>
      </w:r>
      <w:r w:rsidR="001F1301">
        <w:t xml:space="preserve">osts doctors </w:t>
      </w:r>
      <w:r w:rsidR="00E869D4">
        <w:t>incur</w:t>
      </w:r>
      <w:r w:rsidR="001F1301">
        <w:t xml:space="preserve"> when </w:t>
      </w:r>
      <w:r w:rsidR="00D81CEC">
        <w:t xml:space="preserve">providing </w:t>
      </w:r>
      <w:r w:rsidR="00E869D4">
        <w:t xml:space="preserve">professional services </w:t>
      </w:r>
      <w:r w:rsidR="00D81CEC">
        <w:t>in</w:t>
      </w:r>
      <w:r w:rsidR="001F1301">
        <w:t xml:space="preserve"> residential aged </w:t>
      </w:r>
      <w:r w:rsidR="00484446">
        <w:t>care facilities</w:t>
      </w:r>
      <w:r w:rsidR="001F1301">
        <w:t>.</w:t>
      </w:r>
      <w:r w:rsidR="00D81CEC">
        <w:t xml:space="preserve"> </w:t>
      </w:r>
      <w:r w:rsidR="001F1301">
        <w:t>Subclauses 2.30A.1(1) and (2) only apply to the attendance for the first patient seen at the residential aged care facility.</w:t>
      </w:r>
      <w:r w:rsidR="00212EF8">
        <w:t xml:space="preserve"> </w:t>
      </w:r>
    </w:p>
    <w:p w14:paraId="7EA770B4" w14:textId="77777777" w:rsidR="001F1301" w:rsidRDefault="001F1301" w:rsidP="001F1301">
      <w:pPr>
        <w:pStyle w:val="NoSpacing"/>
      </w:pPr>
    </w:p>
    <w:p w14:paraId="73CE416B" w14:textId="5B5672AD" w:rsidR="000506E9" w:rsidRDefault="001F1301" w:rsidP="001F1301">
      <w:pPr>
        <w:pStyle w:val="NoSpacing"/>
      </w:pPr>
      <w:r>
        <w:t xml:space="preserve">Subclause 2.30A.1(1) will increase the fee for the relevant attendance item (90020, 90035, 90043 or 90051) by $55 for services rendered by GPs. Subclause </w:t>
      </w:r>
      <w:r w:rsidR="009C75BE">
        <w:t>2.30A.1(2</w:t>
      </w:r>
      <w:r>
        <w:t>) will increase the fee for the relevant attendance item (90092, 90093, 90095 and 90096) by $40 for services rendered by OMPs.</w:t>
      </w:r>
      <w:r w:rsidR="009C75BE">
        <w:t xml:space="preserve"> </w:t>
      </w:r>
      <w:r>
        <w:br/>
      </w:r>
    </w:p>
    <w:p w14:paraId="6A57FF58" w14:textId="2115070B" w:rsidR="001F1301" w:rsidRDefault="001F1301" w:rsidP="001F1301">
      <w:pPr>
        <w:pStyle w:val="NoSpacing"/>
      </w:pPr>
      <w:r>
        <w:t>Division 2.30A also creates the new attendance items for GPs and OMPs. These items have the same requirements a</w:t>
      </w:r>
      <w:r w:rsidR="00484446">
        <w:t xml:space="preserve">s the deleted attendance items </w:t>
      </w:r>
      <w:r>
        <w:t xml:space="preserve">(see </w:t>
      </w:r>
      <w:r w:rsidR="00476ECD">
        <w:t>amendment</w:t>
      </w:r>
      <w:r>
        <w:t xml:space="preserve"> 8), but have a </w:t>
      </w:r>
      <w:r w:rsidR="009C75BE">
        <w:t xml:space="preserve">nominal fee amount like other </w:t>
      </w:r>
      <w:r w:rsidR="00484446">
        <w:t>standard</w:t>
      </w:r>
      <w:r w:rsidR="009C75BE">
        <w:t xml:space="preserve"> attendances</w:t>
      </w:r>
      <w:r>
        <w:t>. The new attendance items can be claimed for each patient attended during a residential aged care facility</w:t>
      </w:r>
      <w:r w:rsidR="009C75BE">
        <w:t xml:space="preserve"> visit</w:t>
      </w:r>
      <w:r>
        <w:t xml:space="preserve">.  </w:t>
      </w:r>
      <w:r>
        <w:br/>
      </w:r>
    </w:p>
    <w:p w14:paraId="2BCE562D" w14:textId="2C63E70C" w:rsidR="00376234" w:rsidRPr="00A33B1A" w:rsidRDefault="00376234" w:rsidP="00376234">
      <w:pPr>
        <w:pStyle w:val="NoSpacing"/>
        <w:rPr>
          <w:b/>
          <w:i/>
        </w:rPr>
      </w:pPr>
      <w:r w:rsidRPr="00A33B1A">
        <w:rPr>
          <w:b/>
          <w:i/>
        </w:rPr>
        <w:t>Health Insurance Regulations 2018</w:t>
      </w:r>
    </w:p>
    <w:p w14:paraId="25CCD224" w14:textId="77777777" w:rsidR="00376234" w:rsidRPr="00A33B1A" w:rsidRDefault="00376234" w:rsidP="00376234">
      <w:pPr>
        <w:pStyle w:val="NoSpacing"/>
      </w:pPr>
    </w:p>
    <w:p w14:paraId="3DA68818" w14:textId="0ED85EB7" w:rsidR="00376234" w:rsidRPr="00A33B1A" w:rsidRDefault="00476ECD" w:rsidP="00376234">
      <w:pPr>
        <w:pStyle w:val="NoSpacing"/>
        <w:rPr>
          <w:b/>
        </w:rPr>
      </w:pPr>
      <w:r>
        <w:rPr>
          <w:b/>
        </w:rPr>
        <w:t>Amendments</w:t>
      </w:r>
      <w:r w:rsidR="00376234" w:rsidRPr="00A33B1A">
        <w:rPr>
          <w:b/>
        </w:rPr>
        <w:t xml:space="preserve"> </w:t>
      </w:r>
      <w:r w:rsidR="00A33B1A" w:rsidRPr="00A33B1A">
        <w:rPr>
          <w:b/>
        </w:rPr>
        <w:t>10 to 14</w:t>
      </w:r>
    </w:p>
    <w:p w14:paraId="414684A5" w14:textId="3BA382E3" w:rsidR="00A33B1A" w:rsidRDefault="00A33B1A" w:rsidP="00A33B1A">
      <w:pPr>
        <w:pStyle w:val="NoSpacing"/>
      </w:pPr>
      <w:r w:rsidRPr="00A33B1A">
        <w:t>These amendments add the new attendance items</w:t>
      </w:r>
      <w:r w:rsidR="009C75BE">
        <w:t xml:space="preserve"> to section 28 of the HIR</w:t>
      </w:r>
      <w:r w:rsidRPr="00A33B1A">
        <w:t xml:space="preserve"> for GPs (90020, 90035, 90043 </w:t>
      </w:r>
      <w:r w:rsidR="00484446">
        <w:t>and</w:t>
      </w:r>
      <w:r w:rsidRPr="00A33B1A">
        <w:t xml:space="preserve"> 90051) and OMPs (90092, 90093, 90095 and 90096) to allow Medicare benefits </w:t>
      </w:r>
      <w:r w:rsidR="009C75BE">
        <w:t xml:space="preserve">to </w:t>
      </w:r>
      <w:r w:rsidRPr="00A33B1A">
        <w:t>be paid at 100% of the fee</w:t>
      </w:r>
      <w:r>
        <w:t xml:space="preserve">. The amendments will also </w:t>
      </w:r>
      <w:r w:rsidR="009C75BE">
        <w:t>remove</w:t>
      </w:r>
      <w:r>
        <w:t xml:space="preserve"> the </w:t>
      </w:r>
      <w:r w:rsidR="009C75BE">
        <w:t>redundant</w:t>
      </w:r>
      <w:r>
        <w:t xml:space="preserve"> attendance items</w:t>
      </w:r>
      <w:r w:rsidR="009C75BE">
        <w:t xml:space="preserve"> from section 28 of the HIR. </w:t>
      </w:r>
    </w:p>
    <w:p w14:paraId="20F57CCD" w14:textId="77777777" w:rsidR="00A33B1A" w:rsidRDefault="00A33B1A" w:rsidP="00A33B1A">
      <w:pPr>
        <w:pStyle w:val="NoSpacing"/>
      </w:pPr>
    </w:p>
    <w:p w14:paraId="1A4A030F" w14:textId="3A02DA56" w:rsidR="009C75BE" w:rsidRPr="009C75BE" w:rsidRDefault="00476ECD" w:rsidP="009C75BE">
      <w:pPr>
        <w:pStyle w:val="NoSpacing"/>
      </w:pPr>
      <w:r>
        <w:t>Amendment</w:t>
      </w:r>
      <w:r w:rsidR="00B108B5" w:rsidRPr="006A61D7">
        <w:t xml:space="preserve"> 14 will also insert items 90183, 90188, 90202 and 90212 to allow</w:t>
      </w:r>
      <w:r w:rsidR="00B108B5" w:rsidRPr="00A33B1A">
        <w:t xml:space="preserve"> Medicare benefits </w:t>
      </w:r>
      <w:r w:rsidR="00B108B5">
        <w:t xml:space="preserve">to </w:t>
      </w:r>
      <w:r w:rsidR="00B108B5" w:rsidRPr="00A33B1A">
        <w:t>be paid at 100% of the fee</w:t>
      </w:r>
      <w:r w:rsidR="00B108B5">
        <w:t xml:space="preserve">. These items are the new </w:t>
      </w:r>
      <w:r>
        <w:t xml:space="preserve">OMP </w:t>
      </w:r>
      <w:r w:rsidR="00B108B5">
        <w:t xml:space="preserve">attendance items for residential aged care facility services provided to patients in </w:t>
      </w:r>
      <w:r w:rsidR="00B108B5" w:rsidRPr="00A33B1A">
        <w:t>regional areas (Modified Monash areas 2 to 7)</w:t>
      </w:r>
      <w:r w:rsidR="009C75BE">
        <w:t xml:space="preserve">. These items, which </w:t>
      </w:r>
      <w:r w:rsidR="00BA663C">
        <w:t xml:space="preserve">are </w:t>
      </w:r>
      <w:r w:rsidR="009C75BE">
        <w:t xml:space="preserve">made under the </w:t>
      </w:r>
      <w:r w:rsidR="009C75BE" w:rsidRPr="00B108B5">
        <w:rPr>
          <w:i/>
        </w:rPr>
        <w:t>Health Insurance (Section 3C General Medical Services – Other Medical Practitioner) Determination 2018</w:t>
      </w:r>
      <w:r w:rsidR="009C75BE">
        <w:t xml:space="preserve">, commenced on 1 March 2019. </w:t>
      </w:r>
      <w:r>
        <w:t>Amendment</w:t>
      </w:r>
      <w:r w:rsidR="009C75BE">
        <w:t xml:space="preserve"> 13 makes a consequential amendment to section 28 </w:t>
      </w:r>
      <w:r w:rsidR="00BA663C">
        <w:t xml:space="preserve">to </w:t>
      </w:r>
      <w:r w:rsidR="009C75BE">
        <w:t>delete redundant attendance items (183, 188, 202 and 212)</w:t>
      </w:r>
      <w:r w:rsidR="00484446">
        <w:t>.</w:t>
      </w:r>
    </w:p>
    <w:p w14:paraId="50C3CAB3" w14:textId="77777777" w:rsidR="009C75BE" w:rsidRDefault="009C75BE" w:rsidP="00B108B5">
      <w:pPr>
        <w:pStyle w:val="NoSpacing"/>
      </w:pPr>
    </w:p>
    <w:p w14:paraId="37C7D6B1" w14:textId="77777777" w:rsidR="003751D9" w:rsidRPr="00CF3A35" w:rsidRDefault="003751D9" w:rsidP="003751D9">
      <w:pPr>
        <w:spacing w:after="200" w:line="276" w:lineRule="auto"/>
        <w:rPr>
          <w:szCs w:val="24"/>
          <w:lang w:eastAsia="en-US"/>
        </w:rPr>
      </w:pPr>
      <w:r>
        <w:br w:type="page"/>
      </w:r>
    </w:p>
    <w:p w14:paraId="15FD6E8C" w14:textId="77777777" w:rsidR="003751D9" w:rsidRPr="005B24D5" w:rsidRDefault="003751D9" w:rsidP="001E5140">
      <w:pPr>
        <w:pStyle w:val="NoSpacing"/>
        <w:rPr>
          <w:highlight w:val="yellow"/>
        </w:rPr>
      </w:pPr>
    </w:p>
    <w:p w14:paraId="2F1A388E" w14:textId="7B616FF1" w:rsidR="003E571F" w:rsidRPr="003D3D93" w:rsidRDefault="003E571F" w:rsidP="003E571F">
      <w:pPr>
        <w:spacing w:before="360" w:after="120"/>
        <w:jc w:val="center"/>
        <w:rPr>
          <w:b/>
          <w:sz w:val="28"/>
          <w:szCs w:val="28"/>
        </w:rPr>
      </w:pPr>
      <w:r w:rsidRPr="003D3D93">
        <w:rPr>
          <w:b/>
          <w:sz w:val="28"/>
          <w:szCs w:val="28"/>
        </w:rPr>
        <w:t>Statement of Compatibility with Human Rights</w:t>
      </w:r>
    </w:p>
    <w:p w14:paraId="2F1A3890" w14:textId="22CBD7F8" w:rsidR="003E571F" w:rsidRPr="003D3D93" w:rsidRDefault="003E571F" w:rsidP="00B20A35">
      <w:pPr>
        <w:spacing w:before="120" w:after="120"/>
        <w:jc w:val="center"/>
        <w:rPr>
          <w:szCs w:val="24"/>
        </w:rPr>
      </w:pPr>
      <w:r w:rsidRPr="003D3D93">
        <w:rPr>
          <w:i/>
          <w:szCs w:val="24"/>
        </w:rPr>
        <w:t>Prepared in accordance with Part 3 of the Human Rights (Parliamentary Scrutiny) Act 2011</w:t>
      </w:r>
    </w:p>
    <w:p w14:paraId="409ED0D9" w14:textId="77777777" w:rsidR="004246E4" w:rsidRPr="005B24D5" w:rsidRDefault="004246E4" w:rsidP="004246E4">
      <w:pPr>
        <w:spacing w:before="120" w:after="120"/>
        <w:jc w:val="center"/>
        <w:rPr>
          <w:b/>
          <w:i/>
          <w:szCs w:val="24"/>
          <w:highlight w:val="yellow"/>
        </w:rPr>
      </w:pPr>
    </w:p>
    <w:p w14:paraId="2F1A3891" w14:textId="5C6678FA" w:rsidR="003E571F" w:rsidRPr="005B24D5" w:rsidRDefault="00FA1E66" w:rsidP="004246E4">
      <w:pPr>
        <w:tabs>
          <w:tab w:val="left" w:pos="1418"/>
        </w:tabs>
        <w:ind w:left="851"/>
        <w:jc w:val="center"/>
        <w:rPr>
          <w:b/>
          <w:szCs w:val="24"/>
          <w:highlight w:val="yellow"/>
        </w:rPr>
      </w:pPr>
      <w:r w:rsidRPr="00FA1E66">
        <w:rPr>
          <w:i/>
          <w:szCs w:val="24"/>
        </w:rPr>
        <w:t>Health Insurance Legislation Amendment (Services for Patients in Residential Aged Care Facilities) Regulations 2019</w:t>
      </w:r>
      <w:r w:rsidR="008F4C42" w:rsidRPr="005B24D5">
        <w:rPr>
          <w:b/>
          <w:i/>
          <w:szCs w:val="24"/>
          <w:highlight w:val="yellow"/>
        </w:rPr>
        <w:br/>
      </w:r>
    </w:p>
    <w:p w14:paraId="2F1A3892" w14:textId="3EC6B928" w:rsidR="003E571F" w:rsidRPr="003D3D93" w:rsidRDefault="003D3D93" w:rsidP="003E571F">
      <w:pPr>
        <w:jc w:val="center"/>
        <w:rPr>
          <w:szCs w:val="24"/>
        </w:rPr>
      </w:pPr>
      <w:r>
        <w:rPr>
          <w:szCs w:val="24"/>
        </w:rPr>
        <w:t>The</w:t>
      </w:r>
      <w:r w:rsidR="003E571F" w:rsidRPr="003D3D93">
        <w:rPr>
          <w:szCs w:val="24"/>
        </w:rPr>
        <w:t xml:space="preserve"> </w:t>
      </w:r>
      <w:r w:rsidRPr="003D3D93">
        <w:rPr>
          <w:szCs w:val="24"/>
        </w:rPr>
        <w:t>Regulation</w:t>
      </w:r>
      <w:r>
        <w:rPr>
          <w:szCs w:val="24"/>
        </w:rPr>
        <w:t>s</w:t>
      </w:r>
      <w:r w:rsidR="003E571F" w:rsidRPr="003D3D93">
        <w:rPr>
          <w:szCs w:val="24"/>
        </w:rPr>
        <w:t xml:space="preserve"> </w:t>
      </w:r>
      <w:r w:rsidR="00E1409A">
        <w:rPr>
          <w:szCs w:val="24"/>
        </w:rPr>
        <w:t>are</w:t>
      </w:r>
      <w:r w:rsidR="003E571F" w:rsidRPr="003D3D93">
        <w:rPr>
          <w:szCs w:val="24"/>
        </w:rPr>
        <w:t xml:space="preserve"> compatible with the human rights and freedoms recognised or declared in the international instruments listed in section 3 of the </w:t>
      </w:r>
      <w:r w:rsidR="003E571F" w:rsidRPr="003D3D93">
        <w:rPr>
          <w:i/>
          <w:szCs w:val="24"/>
        </w:rPr>
        <w:t>Human Rights (Parliamentary Scrutiny) Act 2011</w:t>
      </w:r>
      <w:r w:rsidR="003E571F" w:rsidRPr="003D3D93">
        <w:rPr>
          <w:szCs w:val="24"/>
        </w:rPr>
        <w:t>.</w:t>
      </w:r>
    </w:p>
    <w:p w14:paraId="2F1A3894" w14:textId="77777777" w:rsidR="003E571F" w:rsidRPr="005B24D5" w:rsidRDefault="003E571F" w:rsidP="003E571F">
      <w:pPr>
        <w:jc w:val="both"/>
        <w:rPr>
          <w:szCs w:val="24"/>
          <w:highlight w:val="yellow"/>
        </w:rPr>
      </w:pPr>
    </w:p>
    <w:p w14:paraId="2F1A3897" w14:textId="3296A82C" w:rsidR="003E571F" w:rsidRPr="00A16712" w:rsidRDefault="003E571F" w:rsidP="002019AA">
      <w:pPr>
        <w:spacing w:before="120" w:after="120"/>
        <w:rPr>
          <w:b/>
          <w:szCs w:val="24"/>
        </w:rPr>
      </w:pPr>
      <w:r w:rsidRPr="00A16712">
        <w:rPr>
          <w:b/>
          <w:szCs w:val="24"/>
        </w:rPr>
        <w:t>Overvie</w:t>
      </w:r>
      <w:r w:rsidR="00BA3475" w:rsidRPr="00A16712">
        <w:rPr>
          <w:b/>
          <w:szCs w:val="24"/>
        </w:rPr>
        <w:t xml:space="preserve">w of the </w:t>
      </w:r>
      <w:r w:rsidR="003D3D93" w:rsidRPr="00A16712">
        <w:rPr>
          <w:b/>
          <w:szCs w:val="24"/>
        </w:rPr>
        <w:t>Regulations</w:t>
      </w:r>
    </w:p>
    <w:p w14:paraId="262000F7" w14:textId="64732E17" w:rsidR="00484446" w:rsidRDefault="00F94C02" w:rsidP="00484446">
      <w:pPr>
        <w:spacing w:before="120" w:after="120"/>
      </w:pPr>
      <w:r w:rsidRPr="009F26D7">
        <w:t xml:space="preserve">The purpose of the </w:t>
      </w:r>
      <w:r w:rsidRPr="00FA1E66">
        <w:rPr>
          <w:i/>
          <w:iCs/>
        </w:rPr>
        <w:t xml:space="preserve">Health Insurance Legislation Amendment (Services for Patients in Residential Aged Care Facilities) Regulations 2019 </w:t>
      </w:r>
      <w:r w:rsidRPr="009F26D7">
        <w:t>(the Regulations) is to</w:t>
      </w:r>
      <w:r w:rsidR="00E869D4">
        <w:t xml:space="preserve"> improve and boost general practice services in residential aged care facilities. </w:t>
      </w:r>
      <w:r w:rsidRPr="009F26D7">
        <w:t xml:space="preserve"> </w:t>
      </w:r>
    </w:p>
    <w:p w14:paraId="3DBC7A23" w14:textId="0A710D26" w:rsidR="00484446" w:rsidRDefault="00F94C02" w:rsidP="00484446">
      <w:pPr>
        <w:spacing w:before="120" w:after="120"/>
      </w:pPr>
      <w:r w:rsidRPr="00F364ED">
        <w:t xml:space="preserve">The Regulations amend the </w:t>
      </w:r>
      <w:r w:rsidR="00154A6B" w:rsidRPr="00154A6B">
        <w:rPr>
          <w:i/>
        </w:rPr>
        <w:t>Health Insurance (General Medical Services Table) Regulations 2018</w:t>
      </w:r>
      <w:r w:rsidR="00154A6B" w:rsidRPr="00154A6B">
        <w:t xml:space="preserve"> </w:t>
      </w:r>
      <w:r>
        <w:t xml:space="preserve">and the </w:t>
      </w:r>
      <w:r w:rsidR="00154A6B" w:rsidRPr="00154A6B">
        <w:rPr>
          <w:i/>
        </w:rPr>
        <w:t>Health Insurance Regulations 2018</w:t>
      </w:r>
      <w:r w:rsidR="00154A6B" w:rsidRPr="00154A6B">
        <w:t xml:space="preserve"> </w:t>
      </w:r>
      <w:r>
        <w:t xml:space="preserve">from 1 March 2019 </w:t>
      </w:r>
      <w:r w:rsidRPr="00F364ED">
        <w:t>to</w:t>
      </w:r>
      <w:r>
        <w:t xml:space="preserve"> </w:t>
      </w:r>
      <w:r w:rsidRPr="0060261B">
        <w:t xml:space="preserve">increase the </w:t>
      </w:r>
      <w:r>
        <w:t>MBS</w:t>
      </w:r>
      <w:r w:rsidRPr="0060261B">
        <w:t xml:space="preserve"> fees for </w:t>
      </w:r>
      <w:r>
        <w:t>the most commonly claimed general practice services</w:t>
      </w:r>
      <w:r w:rsidRPr="0060261B">
        <w:t xml:space="preserve"> </w:t>
      </w:r>
      <w:r>
        <w:t>in</w:t>
      </w:r>
      <w:r w:rsidR="00484446">
        <w:t xml:space="preserve"> residential aged care facilities</w:t>
      </w:r>
      <w:r>
        <w:t xml:space="preserve">. </w:t>
      </w:r>
      <w:r>
        <w:rPr>
          <w:szCs w:val="24"/>
        </w:rPr>
        <w:t xml:space="preserve">The changes also simplify the item structure for doctors and patients. </w:t>
      </w:r>
    </w:p>
    <w:p w14:paraId="27D390DD" w14:textId="1BF83706" w:rsidR="00F94C02" w:rsidRPr="00DA1949" w:rsidRDefault="00F94C02" w:rsidP="00484446">
      <w:pPr>
        <w:spacing w:before="120" w:after="120"/>
      </w:pPr>
      <w:r>
        <w:t xml:space="preserve">The Government announced this change as part of  </w:t>
      </w:r>
      <w:r w:rsidRPr="00F364ED">
        <w:rPr>
          <w:i/>
          <w:iCs/>
        </w:rPr>
        <w:t xml:space="preserve">Guaranteeing Medicare — strengthening primary care </w:t>
      </w:r>
      <w:r>
        <w:t>package</w:t>
      </w:r>
      <w:r w:rsidRPr="00F364ED">
        <w:t xml:space="preserve"> in the 2018-19 Mid-Year Economic and Fiscal Outlook.</w:t>
      </w:r>
    </w:p>
    <w:p w14:paraId="2F1A3898" w14:textId="1CB9DFEC" w:rsidR="003E571F" w:rsidRPr="003D3D93" w:rsidRDefault="003E571F" w:rsidP="003E571F">
      <w:pPr>
        <w:spacing w:before="120" w:after="120"/>
        <w:rPr>
          <w:b/>
          <w:szCs w:val="24"/>
        </w:rPr>
      </w:pPr>
      <w:r w:rsidRPr="003D3D93">
        <w:rPr>
          <w:b/>
          <w:szCs w:val="24"/>
        </w:rPr>
        <w:t>Human rights implications</w:t>
      </w:r>
    </w:p>
    <w:p w14:paraId="2F1A3899" w14:textId="77777777" w:rsidR="003E571F" w:rsidRPr="003D3D93" w:rsidRDefault="003E571F" w:rsidP="003E571F">
      <w:pPr>
        <w:spacing w:before="120" w:after="120"/>
        <w:rPr>
          <w:szCs w:val="24"/>
        </w:rPr>
      </w:pPr>
      <w:r w:rsidRPr="003D3D93">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3D3D93" w:rsidRDefault="003E571F" w:rsidP="003E571F">
      <w:pPr>
        <w:spacing w:before="120" w:after="120"/>
        <w:rPr>
          <w:i/>
          <w:szCs w:val="24"/>
        </w:rPr>
      </w:pPr>
      <w:r w:rsidRPr="003D3D93">
        <w:rPr>
          <w:i/>
          <w:szCs w:val="24"/>
        </w:rPr>
        <w:t>The Right to Health</w:t>
      </w:r>
    </w:p>
    <w:p w14:paraId="2F1A389B" w14:textId="74DE4592" w:rsidR="003E571F" w:rsidRPr="003D3D93" w:rsidRDefault="003E571F" w:rsidP="003E571F">
      <w:pPr>
        <w:spacing w:before="120" w:after="120"/>
        <w:rPr>
          <w:szCs w:val="24"/>
        </w:rPr>
      </w:pPr>
      <w:r w:rsidRPr="003D3D93">
        <w:rPr>
          <w:szCs w:val="24"/>
        </w:rPr>
        <w:t>The right to the enjoyment of the highest attainable standard of physical and mental health is contained in Article 12(1) of the ICESCR</w:t>
      </w:r>
      <w:r w:rsidR="00120125" w:rsidRPr="003D3D93">
        <w:rPr>
          <w:szCs w:val="24"/>
        </w:rPr>
        <w:t xml:space="preserve">. </w:t>
      </w:r>
      <w:r w:rsidRPr="003D3D93">
        <w:rPr>
          <w:szCs w:val="24"/>
        </w:rPr>
        <w:t xml:space="preserve">The UN Committee on Economic Social and Cultural Rights (the Committee) has stated that the right to health is not a </w:t>
      </w:r>
      <w:r w:rsidRPr="003D3D93">
        <w:rPr>
          <w:szCs w:val="24"/>
        </w:rPr>
        <w:lastRenderedPageBreak/>
        <w:t xml:space="preserve">right for each individual to be healthy, but is a right to a system of health protection which provides equality of opportunity for people to enjoy the highest attainable level of health. </w:t>
      </w:r>
    </w:p>
    <w:p w14:paraId="2F1A389C" w14:textId="7AAB658C" w:rsidR="003E571F" w:rsidRPr="003D3D93" w:rsidRDefault="003E571F" w:rsidP="003E571F">
      <w:pPr>
        <w:spacing w:before="120" w:after="120"/>
        <w:rPr>
          <w:szCs w:val="24"/>
        </w:rPr>
      </w:pPr>
      <w:r w:rsidRPr="003D3D93">
        <w:rPr>
          <w:szCs w:val="24"/>
        </w:rPr>
        <w:t xml:space="preserve">The Committee reports that the </w:t>
      </w:r>
      <w:r w:rsidRPr="003D3D93">
        <w:rPr>
          <w:i/>
          <w:szCs w:val="24"/>
        </w:rPr>
        <w:t>‘highest attainable standard of health’</w:t>
      </w:r>
      <w:r w:rsidRPr="003D3D93">
        <w:rPr>
          <w:szCs w:val="24"/>
        </w:rPr>
        <w:t xml:space="preserve"> takes into account the country’s available resources</w:t>
      </w:r>
      <w:r w:rsidR="00120125" w:rsidRPr="003D3D93">
        <w:rPr>
          <w:szCs w:val="24"/>
        </w:rPr>
        <w:t xml:space="preserve">. </w:t>
      </w:r>
      <w:r w:rsidRPr="003D3D93">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3D3D93" w:rsidRDefault="003E571F" w:rsidP="003E571F">
      <w:pPr>
        <w:spacing w:before="120" w:after="120"/>
        <w:rPr>
          <w:i/>
          <w:szCs w:val="24"/>
        </w:rPr>
      </w:pPr>
      <w:r w:rsidRPr="003D3D93">
        <w:rPr>
          <w:i/>
          <w:szCs w:val="24"/>
        </w:rPr>
        <w:t xml:space="preserve">The Right to Social Security </w:t>
      </w:r>
    </w:p>
    <w:p w14:paraId="2F1A389E" w14:textId="34F80EF0" w:rsidR="003E571F" w:rsidRPr="003D3D93" w:rsidRDefault="003E571F" w:rsidP="003E571F">
      <w:pPr>
        <w:spacing w:before="120" w:after="120"/>
        <w:rPr>
          <w:szCs w:val="24"/>
        </w:rPr>
      </w:pPr>
      <w:r w:rsidRPr="003D3D93">
        <w:rPr>
          <w:szCs w:val="24"/>
        </w:rPr>
        <w:t>The right to social security is contained in Article 9 of the ICESCR</w:t>
      </w:r>
      <w:r w:rsidR="00120125" w:rsidRPr="003D3D93">
        <w:rPr>
          <w:szCs w:val="24"/>
        </w:rPr>
        <w:t xml:space="preserve">. </w:t>
      </w:r>
      <w:r w:rsidRPr="003D3D93">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120125" w:rsidRPr="003D3D93">
        <w:rPr>
          <w:szCs w:val="24"/>
        </w:rPr>
        <w:t xml:space="preserve">. </w:t>
      </w:r>
      <w:r w:rsidRPr="003D3D93">
        <w:rPr>
          <w:szCs w:val="24"/>
        </w:rPr>
        <w:t>Countries are obliged to demonstrate that every effort has been made to use all resources that are at their disposal in an effort to satisfy, as a matter of priority, this minimum obligation.</w:t>
      </w:r>
    </w:p>
    <w:p w14:paraId="56A459B7" w14:textId="3797350F" w:rsidR="000617C6" w:rsidRPr="003D3D93" w:rsidRDefault="003E571F" w:rsidP="003E571F">
      <w:pPr>
        <w:spacing w:before="120" w:after="120"/>
        <w:rPr>
          <w:szCs w:val="24"/>
        </w:rPr>
      </w:pPr>
      <w:r w:rsidRPr="003D3D93">
        <w:rPr>
          <w:szCs w:val="24"/>
        </w:rPr>
        <w:t>The Committee reports that there is a strong presumption that retrogressive measures taken in relation to the right to social security are prohibited under ICESCR</w:t>
      </w:r>
      <w:r w:rsidR="00120125" w:rsidRPr="003D3D93">
        <w:rPr>
          <w:szCs w:val="24"/>
        </w:rPr>
        <w:t xml:space="preserve">. </w:t>
      </w:r>
      <w:r w:rsidRPr="003D3D93">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120125" w:rsidRPr="003D3D93">
        <w:rPr>
          <w:szCs w:val="24"/>
        </w:rPr>
        <w:t xml:space="preserve">. </w:t>
      </w:r>
      <w:r w:rsidRPr="003D3D93">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F1A38A1" w14:textId="784438D1" w:rsidR="003E571F" w:rsidRPr="003D3D93" w:rsidRDefault="003E571F" w:rsidP="003E571F">
      <w:pPr>
        <w:spacing w:before="120" w:after="120"/>
        <w:rPr>
          <w:szCs w:val="24"/>
        </w:rPr>
      </w:pPr>
      <w:r w:rsidRPr="003D3D93">
        <w:rPr>
          <w:szCs w:val="24"/>
          <w:u w:val="single"/>
        </w:rPr>
        <w:t xml:space="preserve">Analysis </w:t>
      </w:r>
    </w:p>
    <w:p w14:paraId="422BA7E2" w14:textId="1165A453" w:rsidR="008040C8" w:rsidRPr="003D3D93" w:rsidRDefault="000419E1" w:rsidP="0005445A">
      <w:pPr>
        <w:spacing w:before="120" w:after="120"/>
        <w:rPr>
          <w:szCs w:val="24"/>
        </w:rPr>
      </w:pPr>
      <w:r w:rsidRPr="003D3D93">
        <w:rPr>
          <w:szCs w:val="24"/>
        </w:rPr>
        <w:t>The</w:t>
      </w:r>
      <w:r w:rsidR="003E571F" w:rsidRPr="003D3D93">
        <w:rPr>
          <w:szCs w:val="24"/>
        </w:rPr>
        <w:t xml:space="preserve"> Regulation</w:t>
      </w:r>
      <w:r w:rsidRPr="003D3D93">
        <w:rPr>
          <w:szCs w:val="24"/>
        </w:rPr>
        <w:t>s</w:t>
      </w:r>
      <w:r w:rsidR="003E571F" w:rsidRPr="003D3D93">
        <w:rPr>
          <w:szCs w:val="24"/>
        </w:rPr>
        <w:t xml:space="preserve"> will </w:t>
      </w:r>
      <w:r w:rsidR="00F70FB2" w:rsidRPr="003D3D93">
        <w:rPr>
          <w:szCs w:val="24"/>
        </w:rPr>
        <w:t xml:space="preserve">advance </w:t>
      </w:r>
      <w:r w:rsidR="003E571F" w:rsidRPr="003D3D93">
        <w:rPr>
          <w:szCs w:val="24"/>
        </w:rPr>
        <w:t xml:space="preserve">rights to health and social security by </w:t>
      </w:r>
      <w:r w:rsidR="00F94C02">
        <w:rPr>
          <w:szCs w:val="24"/>
        </w:rPr>
        <w:t xml:space="preserve">increasing the patient subsidy (the Medicare benefit) for the most commonly claimed general practice services in residential aged care facilities. This investment will incentivise doctors to </w:t>
      </w:r>
      <w:r w:rsidR="00F94C02">
        <w:t xml:space="preserve">provide </w:t>
      </w:r>
      <w:r w:rsidR="00F94C02" w:rsidRPr="003D3D93">
        <w:rPr>
          <w:szCs w:val="24"/>
        </w:rPr>
        <w:t xml:space="preserve">clinically effective </w:t>
      </w:r>
      <w:r w:rsidR="00F94C02">
        <w:t xml:space="preserve">medical services in residential aged </w:t>
      </w:r>
      <w:r w:rsidR="00D846FB">
        <w:t>care facilities</w:t>
      </w:r>
      <w:r w:rsidR="00F94C02">
        <w:rPr>
          <w:szCs w:val="24"/>
        </w:rPr>
        <w:t>.</w:t>
      </w:r>
      <w:r w:rsidR="0026457B" w:rsidRPr="003D3D93">
        <w:rPr>
          <w:szCs w:val="24"/>
        </w:rPr>
        <w:t xml:space="preserve"> </w:t>
      </w:r>
    </w:p>
    <w:p w14:paraId="2F1A38A3" w14:textId="3FA549CF" w:rsidR="003E571F" w:rsidRPr="003D3D93" w:rsidRDefault="003E571F" w:rsidP="0005445A">
      <w:pPr>
        <w:spacing w:before="120" w:after="120"/>
        <w:rPr>
          <w:rFonts w:eastAsia="Calibri"/>
          <w:b/>
          <w:szCs w:val="24"/>
          <w:lang w:eastAsia="en-US"/>
        </w:rPr>
      </w:pPr>
      <w:r w:rsidRPr="003D3D93">
        <w:rPr>
          <w:rFonts w:eastAsia="Calibri"/>
          <w:b/>
          <w:szCs w:val="24"/>
          <w:lang w:eastAsia="en-US"/>
        </w:rPr>
        <w:t xml:space="preserve">Conclusion </w:t>
      </w:r>
    </w:p>
    <w:p w14:paraId="2F1A38A5" w14:textId="787509D6" w:rsidR="003E571F" w:rsidRPr="003D3D93" w:rsidRDefault="003D3D93" w:rsidP="003E571F">
      <w:pPr>
        <w:rPr>
          <w:szCs w:val="24"/>
        </w:rPr>
      </w:pPr>
      <w:r w:rsidRPr="003D3D93">
        <w:rPr>
          <w:szCs w:val="24"/>
        </w:rPr>
        <w:t>The Regulations are</w:t>
      </w:r>
      <w:r w:rsidR="00907A5E" w:rsidRPr="003D3D93">
        <w:rPr>
          <w:szCs w:val="24"/>
        </w:rPr>
        <w:t xml:space="preserve"> compatible with human rights as </w:t>
      </w:r>
      <w:r w:rsidR="00154A6B" w:rsidRPr="00154A6B">
        <w:rPr>
          <w:szCs w:val="24"/>
        </w:rPr>
        <w:t xml:space="preserve">they </w:t>
      </w:r>
      <w:r w:rsidR="00154A6B">
        <w:rPr>
          <w:szCs w:val="24"/>
        </w:rPr>
        <w:t>do</w:t>
      </w:r>
      <w:r w:rsidR="00907A5E" w:rsidRPr="003D3D93">
        <w:rPr>
          <w:szCs w:val="24"/>
        </w:rPr>
        <w:t xml:space="preserve"> not raise any human rights issues.</w:t>
      </w:r>
    </w:p>
    <w:p w14:paraId="258AB72B" w14:textId="77777777" w:rsidR="00907A5E" w:rsidRPr="003D3D93" w:rsidRDefault="00907A5E" w:rsidP="003E571F">
      <w:pPr>
        <w:rPr>
          <w:rFonts w:eastAsia="Calibri"/>
          <w:szCs w:val="24"/>
          <w:lang w:eastAsia="en-US"/>
        </w:rPr>
      </w:pPr>
    </w:p>
    <w:p w14:paraId="2F1A38A6" w14:textId="77777777" w:rsidR="003E571F" w:rsidRPr="003D3D93" w:rsidRDefault="008F4C42" w:rsidP="003E571F">
      <w:pPr>
        <w:spacing w:before="120" w:after="120" w:line="276" w:lineRule="auto"/>
        <w:jc w:val="center"/>
        <w:rPr>
          <w:rFonts w:eastAsia="Calibri"/>
          <w:b/>
          <w:bCs/>
          <w:szCs w:val="24"/>
          <w:lang w:eastAsia="en-US"/>
        </w:rPr>
      </w:pPr>
      <w:r w:rsidRPr="003D3D93">
        <w:rPr>
          <w:rFonts w:eastAsia="Calibri"/>
          <w:b/>
          <w:bCs/>
          <w:szCs w:val="24"/>
          <w:lang w:eastAsia="en-US"/>
        </w:rPr>
        <w:t>Greg Hunt</w:t>
      </w:r>
    </w:p>
    <w:p w14:paraId="2F1A38A7" w14:textId="77777777" w:rsidR="003E571F" w:rsidRPr="00840877" w:rsidRDefault="003E571F" w:rsidP="003E571F">
      <w:pPr>
        <w:spacing w:before="120" w:after="120" w:line="276" w:lineRule="auto"/>
        <w:jc w:val="center"/>
        <w:rPr>
          <w:rFonts w:eastAsia="Calibri"/>
          <w:szCs w:val="24"/>
          <w:lang w:eastAsia="en-US"/>
        </w:rPr>
      </w:pPr>
      <w:r w:rsidRPr="003D3D93">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A619" w14:textId="77777777" w:rsidR="00F708B1" w:rsidRDefault="00F708B1">
      <w:r>
        <w:separator/>
      </w:r>
    </w:p>
  </w:endnote>
  <w:endnote w:type="continuationSeparator" w:id="0">
    <w:p w14:paraId="4DF8D564" w14:textId="77777777" w:rsidR="00F708B1" w:rsidRDefault="00F708B1">
      <w:r>
        <w:continuationSeparator/>
      </w:r>
    </w:p>
  </w:endnote>
  <w:endnote w:type="continuationNotice" w:id="1">
    <w:p w14:paraId="6DD3A6F5" w14:textId="77777777" w:rsidR="005E1DFB" w:rsidRDefault="005E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508D" w14:textId="77777777" w:rsidR="00F708B1" w:rsidRDefault="00F708B1">
      <w:r>
        <w:separator/>
      </w:r>
    </w:p>
  </w:footnote>
  <w:footnote w:type="continuationSeparator" w:id="0">
    <w:p w14:paraId="1883280F" w14:textId="77777777" w:rsidR="00F708B1" w:rsidRDefault="00F708B1">
      <w:r>
        <w:continuationSeparator/>
      </w:r>
    </w:p>
  </w:footnote>
  <w:footnote w:type="continuationNotice" w:id="1">
    <w:p w14:paraId="157C6BB5" w14:textId="77777777" w:rsidR="005E1DFB" w:rsidRDefault="005E1D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38AD" w14:textId="77777777" w:rsidR="00F708B1" w:rsidRDefault="00F708B1"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F708B1" w:rsidRDefault="00F70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35647"/>
      <w:docPartObj>
        <w:docPartGallery w:val="Page Numbers (Top of Page)"/>
        <w:docPartUnique/>
      </w:docPartObj>
    </w:sdtPr>
    <w:sdtEndPr>
      <w:rPr>
        <w:noProof/>
      </w:rPr>
    </w:sdtEndPr>
    <w:sdtContent>
      <w:p w14:paraId="2F1A38AF" w14:textId="1A9B0AED" w:rsidR="00F708B1" w:rsidRDefault="00F708B1">
        <w:pPr>
          <w:pStyle w:val="Header"/>
          <w:jc w:val="center"/>
        </w:pPr>
        <w:r>
          <w:fldChar w:fldCharType="begin"/>
        </w:r>
        <w:r>
          <w:instrText xml:space="preserve"> PAGE   \* MERGEFORMAT </w:instrText>
        </w:r>
        <w:r>
          <w:fldChar w:fldCharType="separate"/>
        </w:r>
        <w:r w:rsidR="003A213F">
          <w:rPr>
            <w:noProof/>
          </w:rPr>
          <w:t>1</w:t>
        </w:r>
        <w:r>
          <w:rPr>
            <w:noProof/>
          </w:rPr>
          <w:fldChar w:fldCharType="end"/>
        </w:r>
      </w:p>
    </w:sdtContent>
  </w:sdt>
  <w:p w14:paraId="2F1A38B0" w14:textId="77777777" w:rsidR="00F708B1" w:rsidRDefault="00F708B1"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38B1" w14:textId="77777777" w:rsidR="00F708B1" w:rsidRDefault="00F708B1">
    <w:pPr>
      <w:pStyle w:val="Header"/>
      <w:jc w:val="center"/>
    </w:pPr>
  </w:p>
  <w:p w14:paraId="2F1A38B2" w14:textId="77777777" w:rsidR="00F708B1" w:rsidRDefault="00F70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828"/>
    <w:multiLevelType w:val="hybridMultilevel"/>
    <w:tmpl w:val="3026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5456CC"/>
    <w:multiLevelType w:val="hybridMultilevel"/>
    <w:tmpl w:val="510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A21708"/>
    <w:multiLevelType w:val="hybridMultilevel"/>
    <w:tmpl w:val="F28E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F80D9B"/>
    <w:multiLevelType w:val="hybridMultilevel"/>
    <w:tmpl w:val="58F05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957C64"/>
    <w:multiLevelType w:val="hybridMultilevel"/>
    <w:tmpl w:val="4CE20DDA"/>
    <w:lvl w:ilvl="0" w:tplc="58D6864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983E36"/>
    <w:multiLevelType w:val="hybridMultilevel"/>
    <w:tmpl w:val="D2BE4E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1D5046"/>
    <w:multiLevelType w:val="hybridMultilevel"/>
    <w:tmpl w:val="BD26CA08"/>
    <w:lvl w:ilvl="0" w:tplc="58D6864A">
      <w:numFmt w:val="bullet"/>
      <w:lvlText w:val="·"/>
      <w:lvlJc w:val="left"/>
      <w:pPr>
        <w:ind w:left="1335" w:hanging="615"/>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BB654A"/>
    <w:multiLevelType w:val="hybridMultilevel"/>
    <w:tmpl w:val="34CE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54A6844"/>
    <w:multiLevelType w:val="hybridMultilevel"/>
    <w:tmpl w:val="E0ACBFDA"/>
    <w:lvl w:ilvl="0" w:tplc="AE0EC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036FB1"/>
    <w:multiLevelType w:val="hybridMultilevel"/>
    <w:tmpl w:val="3ABE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0"/>
  </w:num>
  <w:num w:numId="5">
    <w:abstractNumId w:val="5"/>
  </w:num>
  <w:num w:numId="6">
    <w:abstractNumId w:val="14"/>
  </w:num>
  <w:num w:numId="7">
    <w:abstractNumId w:val="3"/>
  </w:num>
  <w:num w:numId="8">
    <w:abstractNumId w:val="12"/>
  </w:num>
  <w:num w:numId="9">
    <w:abstractNumId w:val="16"/>
  </w:num>
  <w:num w:numId="10">
    <w:abstractNumId w:val="18"/>
  </w:num>
  <w:num w:numId="11">
    <w:abstractNumId w:val="4"/>
  </w:num>
  <w:num w:numId="12">
    <w:abstractNumId w:val="17"/>
  </w:num>
  <w:num w:numId="13">
    <w:abstractNumId w:val="8"/>
  </w:num>
  <w:num w:numId="14">
    <w:abstractNumId w:val="7"/>
  </w:num>
  <w:num w:numId="15">
    <w:abstractNumId w:val="11"/>
  </w:num>
  <w:num w:numId="16">
    <w:abstractNumId w:val="13"/>
  </w:num>
  <w:num w:numId="17">
    <w:abstractNumId w:val="0"/>
  </w:num>
  <w:num w:numId="18">
    <w:abstractNumId w:val="19"/>
  </w:num>
  <w:num w:numId="19">
    <w:abstractNumId w:val="1"/>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76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A18"/>
    <w:rsid w:val="00004E44"/>
    <w:rsid w:val="0000546D"/>
    <w:rsid w:val="00005906"/>
    <w:rsid w:val="00005F93"/>
    <w:rsid w:val="000060CE"/>
    <w:rsid w:val="00006526"/>
    <w:rsid w:val="000066D0"/>
    <w:rsid w:val="000074CB"/>
    <w:rsid w:val="00010395"/>
    <w:rsid w:val="000118AD"/>
    <w:rsid w:val="00014B38"/>
    <w:rsid w:val="000151FF"/>
    <w:rsid w:val="00017B9A"/>
    <w:rsid w:val="000201DC"/>
    <w:rsid w:val="00020512"/>
    <w:rsid w:val="00020D83"/>
    <w:rsid w:val="00021BD3"/>
    <w:rsid w:val="00022FDD"/>
    <w:rsid w:val="000237F0"/>
    <w:rsid w:val="00025F16"/>
    <w:rsid w:val="000269EF"/>
    <w:rsid w:val="00026DA9"/>
    <w:rsid w:val="0002704E"/>
    <w:rsid w:val="0002786C"/>
    <w:rsid w:val="00031201"/>
    <w:rsid w:val="00031FA9"/>
    <w:rsid w:val="000325D0"/>
    <w:rsid w:val="000330A5"/>
    <w:rsid w:val="00033818"/>
    <w:rsid w:val="0003590F"/>
    <w:rsid w:val="00036429"/>
    <w:rsid w:val="00037A1D"/>
    <w:rsid w:val="000407C2"/>
    <w:rsid w:val="0004154D"/>
    <w:rsid w:val="000419E1"/>
    <w:rsid w:val="00041E67"/>
    <w:rsid w:val="0004236F"/>
    <w:rsid w:val="000433EE"/>
    <w:rsid w:val="00044A2A"/>
    <w:rsid w:val="00046206"/>
    <w:rsid w:val="000462E0"/>
    <w:rsid w:val="000506E9"/>
    <w:rsid w:val="000509BA"/>
    <w:rsid w:val="00051421"/>
    <w:rsid w:val="00052061"/>
    <w:rsid w:val="0005224B"/>
    <w:rsid w:val="00052794"/>
    <w:rsid w:val="000529AB"/>
    <w:rsid w:val="0005322F"/>
    <w:rsid w:val="0005445A"/>
    <w:rsid w:val="00054882"/>
    <w:rsid w:val="00054C12"/>
    <w:rsid w:val="0005533C"/>
    <w:rsid w:val="00056406"/>
    <w:rsid w:val="00060E00"/>
    <w:rsid w:val="00060EAF"/>
    <w:rsid w:val="000617C6"/>
    <w:rsid w:val="00062A7D"/>
    <w:rsid w:val="000631E4"/>
    <w:rsid w:val="000643E5"/>
    <w:rsid w:val="00064BA4"/>
    <w:rsid w:val="000665BC"/>
    <w:rsid w:val="000666F0"/>
    <w:rsid w:val="00070895"/>
    <w:rsid w:val="000710DD"/>
    <w:rsid w:val="000727E0"/>
    <w:rsid w:val="00073B43"/>
    <w:rsid w:val="0007640A"/>
    <w:rsid w:val="00077D68"/>
    <w:rsid w:val="00080E28"/>
    <w:rsid w:val="000858F8"/>
    <w:rsid w:val="000875AE"/>
    <w:rsid w:val="00090202"/>
    <w:rsid w:val="000902EB"/>
    <w:rsid w:val="00093E83"/>
    <w:rsid w:val="000945D2"/>
    <w:rsid w:val="000962CE"/>
    <w:rsid w:val="000969EF"/>
    <w:rsid w:val="000A11A7"/>
    <w:rsid w:val="000A1F07"/>
    <w:rsid w:val="000A31F2"/>
    <w:rsid w:val="000A45BE"/>
    <w:rsid w:val="000A4ADA"/>
    <w:rsid w:val="000A53FB"/>
    <w:rsid w:val="000A69FC"/>
    <w:rsid w:val="000B0ED6"/>
    <w:rsid w:val="000B1523"/>
    <w:rsid w:val="000B3452"/>
    <w:rsid w:val="000B450B"/>
    <w:rsid w:val="000B4F9C"/>
    <w:rsid w:val="000B50B8"/>
    <w:rsid w:val="000B53E7"/>
    <w:rsid w:val="000B6BB0"/>
    <w:rsid w:val="000B6E79"/>
    <w:rsid w:val="000B721F"/>
    <w:rsid w:val="000C0C37"/>
    <w:rsid w:val="000C3EDB"/>
    <w:rsid w:val="000C47AF"/>
    <w:rsid w:val="000C548C"/>
    <w:rsid w:val="000C587F"/>
    <w:rsid w:val="000C6797"/>
    <w:rsid w:val="000C6FF8"/>
    <w:rsid w:val="000D39A2"/>
    <w:rsid w:val="000D48B1"/>
    <w:rsid w:val="000D4BEF"/>
    <w:rsid w:val="000D6400"/>
    <w:rsid w:val="000D7803"/>
    <w:rsid w:val="000D7A7C"/>
    <w:rsid w:val="000D7AE8"/>
    <w:rsid w:val="000E1410"/>
    <w:rsid w:val="000E1ACD"/>
    <w:rsid w:val="000E2291"/>
    <w:rsid w:val="000E22EB"/>
    <w:rsid w:val="000E505E"/>
    <w:rsid w:val="000E62B2"/>
    <w:rsid w:val="000E6702"/>
    <w:rsid w:val="000F1714"/>
    <w:rsid w:val="000F249E"/>
    <w:rsid w:val="000F25DC"/>
    <w:rsid w:val="000F2CF6"/>
    <w:rsid w:val="000F3D69"/>
    <w:rsid w:val="000F5054"/>
    <w:rsid w:val="000F5E76"/>
    <w:rsid w:val="000F7206"/>
    <w:rsid w:val="000F734C"/>
    <w:rsid w:val="000F73F3"/>
    <w:rsid w:val="00100B79"/>
    <w:rsid w:val="0010312E"/>
    <w:rsid w:val="00103F18"/>
    <w:rsid w:val="00107404"/>
    <w:rsid w:val="00107FBC"/>
    <w:rsid w:val="001179C5"/>
    <w:rsid w:val="00120125"/>
    <w:rsid w:val="001239BE"/>
    <w:rsid w:val="00124440"/>
    <w:rsid w:val="00125DDD"/>
    <w:rsid w:val="001300C4"/>
    <w:rsid w:val="0013024A"/>
    <w:rsid w:val="00130653"/>
    <w:rsid w:val="001309B4"/>
    <w:rsid w:val="00132930"/>
    <w:rsid w:val="00132DD2"/>
    <w:rsid w:val="001339D5"/>
    <w:rsid w:val="00134A81"/>
    <w:rsid w:val="00134B27"/>
    <w:rsid w:val="00137B72"/>
    <w:rsid w:val="00140901"/>
    <w:rsid w:val="0014132F"/>
    <w:rsid w:val="00141E8C"/>
    <w:rsid w:val="00142619"/>
    <w:rsid w:val="00142C17"/>
    <w:rsid w:val="00143E0F"/>
    <w:rsid w:val="0014594B"/>
    <w:rsid w:val="00145F61"/>
    <w:rsid w:val="001471FB"/>
    <w:rsid w:val="0014793E"/>
    <w:rsid w:val="00151565"/>
    <w:rsid w:val="00151812"/>
    <w:rsid w:val="00154A6B"/>
    <w:rsid w:val="00154DC5"/>
    <w:rsid w:val="00154FC4"/>
    <w:rsid w:val="0015521F"/>
    <w:rsid w:val="00156D7C"/>
    <w:rsid w:val="0015782F"/>
    <w:rsid w:val="00160A4E"/>
    <w:rsid w:val="00161152"/>
    <w:rsid w:val="001619C7"/>
    <w:rsid w:val="0016200A"/>
    <w:rsid w:val="001623E2"/>
    <w:rsid w:val="00162C3E"/>
    <w:rsid w:val="001641C0"/>
    <w:rsid w:val="001664F5"/>
    <w:rsid w:val="0016690A"/>
    <w:rsid w:val="00167999"/>
    <w:rsid w:val="00170785"/>
    <w:rsid w:val="00171693"/>
    <w:rsid w:val="0017187F"/>
    <w:rsid w:val="001753EC"/>
    <w:rsid w:val="001755E9"/>
    <w:rsid w:val="001759C3"/>
    <w:rsid w:val="001770D9"/>
    <w:rsid w:val="0018012F"/>
    <w:rsid w:val="00181BCF"/>
    <w:rsid w:val="00182B1A"/>
    <w:rsid w:val="00182CC0"/>
    <w:rsid w:val="0018451D"/>
    <w:rsid w:val="00184F74"/>
    <w:rsid w:val="00185238"/>
    <w:rsid w:val="001867EA"/>
    <w:rsid w:val="0018711C"/>
    <w:rsid w:val="00187C1B"/>
    <w:rsid w:val="00190B6A"/>
    <w:rsid w:val="0019289B"/>
    <w:rsid w:val="0019464A"/>
    <w:rsid w:val="0019475A"/>
    <w:rsid w:val="00195A6A"/>
    <w:rsid w:val="00197183"/>
    <w:rsid w:val="001978CE"/>
    <w:rsid w:val="00197F34"/>
    <w:rsid w:val="001A300C"/>
    <w:rsid w:val="001A4BE2"/>
    <w:rsid w:val="001A56BD"/>
    <w:rsid w:val="001A61D8"/>
    <w:rsid w:val="001A7440"/>
    <w:rsid w:val="001B1FC7"/>
    <w:rsid w:val="001B5232"/>
    <w:rsid w:val="001B73BA"/>
    <w:rsid w:val="001C03B3"/>
    <w:rsid w:val="001C1A69"/>
    <w:rsid w:val="001C2338"/>
    <w:rsid w:val="001C3A1C"/>
    <w:rsid w:val="001C4BCE"/>
    <w:rsid w:val="001C6713"/>
    <w:rsid w:val="001C7677"/>
    <w:rsid w:val="001C7E32"/>
    <w:rsid w:val="001D028D"/>
    <w:rsid w:val="001D1E6B"/>
    <w:rsid w:val="001D2199"/>
    <w:rsid w:val="001D32CB"/>
    <w:rsid w:val="001D5397"/>
    <w:rsid w:val="001D778A"/>
    <w:rsid w:val="001D7D62"/>
    <w:rsid w:val="001E1942"/>
    <w:rsid w:val="001E302E"/>
    <w:rsid w:val="001E3B02"/>
    <w:rsid w:val="001E5140"/>
    <w:rsid w:val="001E5383"/>
    <w:rsid w:val="001E5BB1"/>
    <w:rsid w:val="001E5DE7"/>
    <w:rsid w:val="001E6372"/>
    <w:rsid w:val="001E7292"/>
    <w:rsid w:val="001E7363"/>
    <w:rsid w:val="001E7C25"/>
    <w:rsid w:val="001F09E4"/>
    <w:rsid w:val="001F0ECC"/>
    <w:rsid w:val="001F1301"/>
    <w:rsid w:val="001F1809"/>
    <w:rsid w:val="001F2244"/>
    <w:rsid w:val="001F3947"/>
    <w:rsid w:val="001F508A"/>
    <w:rsid w:val="001F5286"/>
    <w:rsid w:val="001F6C88"/>
    <w:rsid w:val="002019AA"/>
    <w:rsid w:val="00203952"/>
    <w:rsid w:val="00203EFA"/>
    <w:rsid w:val="002041FD"/>
    <w:rsid w:val="00204255"/>
    <w:rsid w:val="0020694C"/>
    <w:rsid w:val="00210419"/>
    <w:rsid w:val="00210C1C"/>
    <w:rsid w:val="00211009"/>
    <w:rsid w:val="00211327"/>
    <w:rsid w:val="002122D4"/>
    <w:rsid w:val="00212EF8"/>
    <w:rsid w:val="00213177"/>
    <w:rsid w:val="00213E3C"/>
    <w:rsid w:val="00214700"/>
    <w:rsid w:val="00214C00"/>
    <w:rsid w:val="0021501B"/>
    <w:rsid w:val="00215451"/>
    <w:rsid w:val="00217EBF"/>
    <w:rsid w:val="00217F27"/>
    <w:rsid w:val="0022126E"/>
    <w:rsid w:val="00221C4B"/>
    <w:rsid w:val="00222524"/>
    <w:rsid w:val="00223F48"/>
    <w:rsid w:val="002246FB"/>
    <w:rsid w:val="00224F0A"/>
    <w:rsid w:val="00227B5D"/>
    <w:rsid w:val="002303FE"/>
    <w:rsid w:val="00230DF3"/>
    <w:rsid w:val="00232119"/>
    <w:rsid w:val="002326AF"/>
    <w:rsid w:val="00234312"/>
    <w:rsid w:val="00234BDC"/>
    <w:rsid w:val="002378E5"/>
    <w:rsid w:val="00241718"/>
    <w:rsid w:val="00241E0B"/>
    <w:rsid w:val="00242079"/>
    <w:rsid w:val="002444E8"/>
    <w:rsid w:val="0024463B"/>
    <w:rsid w:val="00245737"/>
    <w:rsid w:val="00246670"/>
    <w:rsid w:val="00250061"/>
    <w:rsid w:val="00250642"/>
    <w:rsid w:val="00251F50"/>
    <w:rsid w:val="0025279E"/>
    <w:rsid w:val="00253417"/>
    <w:rsid w:val="00253C7D"/>
    <w:rsid w:val="00253E30"/>
    <w:rsid w:val="00254E64"/>
    <w:rsid w:val="00256316"/>
    <w:rsid w:val="002626B1"/>
    <w:rsid w:val="00263279"/>
    <w:rsid w:val="0026348A"/>
    <w:rsid w:val="002643D8"/>
    <w:rsid w:val="002643FC"/>
    <w:rsid w:val="0026457B"/>
    <w:rsid w:val="00264650"/>
    <w:rsid w:val="00264940"/>
    <w:rsid w:val="00264972"/>
    <w:rsid w:val="0026727D"/>
    <w:rsid w:val="002706E4"/>
    <w:rsid w:val="00271E50"/>
    <w:rsid w:val="002722C3"/>
    <w:rsid w:val="0027471B"/>
    <w:rsid w:val="0027552B"/>
    <w:rsid w:val="00275B7A"/>
    <w:rsid w:val="0027610D"/>
    <w:rsid w:val="00276C1A"/>
    <w:rsid w:val="00283919"/>
    <w:rsid w:val="00284013"/>
    <w:rsid w:val="00287B08"/>
    <w:rsid w:val="002922AB"/>
    <w:rsid w:val="00292DB5"/>
    <w:rsid w:val="00293770"/>
    <w:rsid w:val="002951EE"/>
    <w:rsid w:val="0029643F"/>
    <w:rsid w:val="002A122A"/>
    <w:rsid w:val="002A39F4"/>
    <w:rsid w:val="002A56D1"/>
    <w:rsid w:val="002A6B78"/>
    <w:rsid w:val="002A6CF1"/>
    <w:rsid w:val="002A7D20"/>
    <w:rsid w:val="002B279C"/>
    <w:rsid w:val="002B2E14"/>
    <w:rsid w:val="002B2E78"/>
    <w:rsid w:val="002B3258"/>
    <w:rsid w:val="002B3DD6"/>
    <w:rsid w:val="002B4117"/>
    <w:rsid w:val="002B49DE"/>
    <w:rsid w:val="002B53D3"/>
    <w:rsid w:val="002B5A16"/>
    <w:rsid w:val="002B601E"/>
    <w:rsid w:val="002B6E0D"/>
    <w:rsid w:val="002B71C3"/>
    <w:rsid w:val="002C03AD"/>
    <w:rsid w:val="002C2167"/>
    <w:rsid w:val="002C5DCD"/>
    <w:rsid w:val="002C7373"/>
    <w:rsid w:val="002C7B11"/>
    <w:rsid w:val="002C7E64"/>
    <w:rsid w:val="002D05C2"/>
    <w:rsid w:val="002D2707"/>
    <w:rsid w:val="002D2A4E"/>
    <w:rsid w:val="002D3AD5"/>
    <w:rsid w:val="002D3C09"/>
    <w:rsid w:val="002D4D03"/>
    <w:rsid w:val="002D5C6E"/>
    <w:rsid w:val="002D6A3B"/>
    <w:rsid w:val="002D705A"/>
    <w:rsid w:val="002E17F1"/>
    <w:rsid w:val="002E1FF7"/>
    <w:rsid w:val="002E216E"/>
    <w:rsid w:val="002E3493"/>
    <w:rsid w:val="002F0434"/>
    <w:rsid w:val="002F0882"/>
    <w:rsid w:val="002F126D"/>
    <w:rsid w:val="002F2D42"/>
    <w:rsid w:val="002F449C"/>
    <w:rsid w:val="002F5FB9"/>
    <w:rsid w:val="002F72F7"/>
    <w:rsid w:val="003003F3"/>
    <w:rsid w:val="0030241E"/>
    <w:rsid w:val="0030441C"/>
    <w:rsid w:val="003051C1"/>
    <w:rsid w:val="003075FA"/>
    <w:rsid w:val="00310341"/>
    <w:rsid w:val="0031124D"/>
    <w:rsid w:val="00311871"/>
    <w:rsid w:val="003120FB"/>
    <w:rsid w:val="00312DCE"/>
    <w:rsid w:val="00313D02"/>
    <w:rsid w:val="00314D09"/>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7A6F"/>
    <w:rsid w:val="00337F70"/>
    <w:rsid w:val="0034064C"/>
    <w:rsid w:val="00343500"/>
    <w:rsid w:val="00347DB3"/>
    <w:rsid w:val="003502D6"/>
    <w:rsid w:val="003503FC"/>
    <w:rsid w:val="00350431"/>
    <w:rsid w:val="0035214B"/>
    <w:rsid w:val="00352888"/>
    <w:rsid w:val="0035557B"/>
    <w:rsid w:val="003602D4"/>
    <w:rsid w:val="00361CFB"/>
    <w:rsid w:val="0036495A"/>
    <w:rsid w:val="00366128"/>
    <w:rsid w:val="00367F35"/>
    <w:rsid w:val="00370EDC"/>
    <w:rsid w:val="00372332"/>
    <w:rsid w:val="00372F2D"/>
    <w:rsid w:val="00374888"/>
    <w:rsid w:val="003751D9"/>
    <w:rsid w:val="00376234"/>
    <w:rsid w:val="00376E33"/>
    <w:rsid w:val="00382128"/>
    <w:rsid w:val="0038212E"/>
    <w:rsid w:val="003830E3"/>
    <w:rsid w:val="00383416"/>
    <w:rsid w:val="00383622"/>
    <w:rsid w:val="00383736"/>
    <w:rsid w:val="0038438B"/>
    <w:rsid w:val="00384520"/>
    <w:rsid w:val="00384CC2"/>
    <w:rsid w:val="00384DEE"/>
    <w:rsid w:val="00385BF3"/>
    <w:rsid w:val="003876E6"/>
    <w:rsid w:val="003907F4"/>
    <w:rsid w:val="00391AFA"/>
    <w:rsid w:val="00393A01"/>
    <w:rsid w:val="003941C4"/>
    <w:rsid w:val="003A213F"/>
    <w:rsid w:val="003A2B0E"/>
    <w:rsid w:val="003A4F80"/>
    <w:rsid w:val="003A5002"/>
    <w:rsid w:val="003A5DEE"/>
    <w:rsid w:val="003A73B2"/>
    <w:rsid w:val="003B0247"/>
    <w:rsid w:val="003B08C4"/>
    <w:rsid w:val="003B10E4"/>
    <w:rsid w:val="003B3839"/>
    <w:rsid w:val="003B52A4"/>
    <w:rsid w:val="003B59A9"/>
    <w:rsid w:val="003B63DC"/>
    <w:rsid w:val="003C0BF9"/>
    <w:rsid w:val="003C1215"/>
    <w:rsid w:val="003C168A"/>
    <w:rsid w:val="003C18BA"/>
    <w:rsid w:val="003C1A6F"/>
    <w:rsid w:val="003C1DE0"/>
    <w:rsid w:val="003C1E4B"/>
    <w:rsid w:val="003C2696"/>
    <w:rsid w:val="003C613C"/>
    <w:rsid w:val="003C6CA4"/>
    <w:rsid w:val="003C7200"/>
    <w:rsid w:val="003D1194"/>
    <w:rsid w:val="003D1C5D"/>
    <w:rsid w:val="003D2E7E"/>
    <w:rsid w:val="003D3D93"/>
    <w:rsid w:val="003E02A3"/>
    <w:rsid w:val="003E055D"/>
    <w:rsid w:val="003E0FB7"/>
    <w:rsid w:val="003E1249"/>
    <w:rsid w:val="003E1E0C"/>
    <w:rsid w:val="003E2754"/>
    <w:rsid w:val="003E2D04"/>
    <w:rsid w:val="003E3544"/>
    <w:rsid w:val="003E35A8"/>
    <w:rsid w:val="003E419A"/>
    <w:rsid w:val="003E5148"/>
    <w:rsid w:val="003E571F"/>
    <w:rsid w:val="003E58C4"/>
    <w:rsid w:val="003E6A9E"/>
    <w:rsid w:val="003E77CB"/>
    <w:rsid w:val="003F04F9"/>
    <w:rsid w:val="003F3FDA"/>
    <w:rsid w:val="003F550C"/>
    <w:rsid w:val="003F629E"/>
    <w:rsid w:val="003F662E"/>
    <w:rsid w:val="003F6AF0"/>
    <w:rsid w:val="003F73BA"/>
    <w:rsid w:val="003F73F0"/>
    <w:rsid w:val="003F7FB6"/>
    <w:rsid w:val="0040080D"/>
    <w:rsid w:val="00400CE7"/>
    <w:rsid w:val="0040384E"/>
    <w:rsid w:val="00405890"/>
    <w:rsid w:val="00406A04"/>
    <w:rsid w:val="00406C27"/>
    <w:rsid w:val="0040788B"/>
    <w:rsid w:val="0041237F"/>
    <w:rsid w:val="00414613"/>
    <w:rsid w:val="00414BF3"/>
    <w:rsid w:val="00415950"/>
    <w:rsid w:val="004170CD"/>
    <w:rsid w:val="0041722D"/>
    <w:rsid w:val="0041767B"/>
    <w:rsid w:val="0042068B"/>
    <w:rsid w:val="00421373"/>
    <w:rsid w:val="0042342E"/>
    <w:rsid w:val="00424197"/>
    <w:rsid w:val="004246E4"/>
    <w:rsid w:val="00424D85"/>
    <w:rsid w:val="00426C97"/>
    <w:rsid w:val="00430D4F"/>
    <w:rsid w:val="0043155B"/>
    <w:rsid w:val="004322C0"/>
    <w:rsid w:val="004322F3"/>
    <w:rsid w:val="00432662"/>
    <w:rsid w:val="00432728"/>
    <w:rsid w:val="004328D3"/>
    <w:rsid w:val="00432D4D"/>
    <w:rsid w:val="00434E7C"/>
    <w:rsid w:val="00435932"/>
    <w:rsid w:val="004361A7"/>
    <w:rsid w:val="004372AD"/>
    <w:rsid w:val="00440772"/>
    <w:rsid w:val="00442BD6"/>
    <w:rsid w:val="00442F9D"/>
    <w:rsid w:val="00445A6D"/>
    <w:rsid w:val="00446A6B"/>
    <w:rsid w:val="004474D1"/>
    <w:rsid w:val="004507D5"/>
    <w:rsid w:val="00451454"/>
    <w:rsid w:val="004523CA"/>
    <w:rsid w:val="004569EB"/>
    <w:rsid w:val="004608D8"/>
    <w:rsid w:val="004612CE"/>
    <w:rsid w:val="00462EFB"/>
    <w:rsid w:val="00463D4E"/>
    <w:rsid w:val="004666BC"/>
    <w:rsid w:val="00466A5B"/>
    <w:rsid w:val="0047305F"/>
    <w:rsid w:val="0047307F"/>
    <w:rsid w:val="00473C22"/>
    <w:rsid w:val="00474440"/>
    <w:rsid w:val="00476ECD"/>
    <w:rsid w:val="0048082D"/>
    <w:rsid w:val="00480B3A"/>
    <w:rsid w:val="004828A9"/>
    <w:rsid w:val="00483A0F"/>
    <w:rsid w:val="00484446"/>
    <w:rsid w:val="004849DE"/>
    <w:rsid w:val="00484E4F"/>
    <w:rsid w:val="00484E57"/>
    <w:rsid w:val="00486672"/>
    <w:rsid w:val="004867EB"/>
    <w:rsid w:val="004903AA"/>
    <w:rsid w:val="00491F38"/>
    <w:rsid w:val="0049220C"/>
    <w:rsid w:val="00492535"/>
    <w:rsid w:val="00492DBE"/>
    <w:rsid w:val="00493CB3"/>
    <w:rsid w:val="00493F10"/>
    <w:rsid w:val="004A0D19"/>
    <w:rsid w:val="004A19D4"/>
    <w:rsid w:val="004A2EB8"/>
    <w:rsid w:val="004A3088"/>
    <w:rsid w:val="004A56D3"/>
    <w:rsid w:val="004A6CE1"/>
    <w:rsid w:val="004A7738"/>
    <w:rsid w:val="004B0BBE"/>
    <w:rsid w:val="004B1943"/>
    <w:rsid w:val="004B5346"/>
    <w:rsid w:val="004B5829"/>
    <w:rsid w:val="004B7B56"/>
    <w:rsid w:val="004C0497"/>
    <w:rsid w:val="004C080E"/>
    <w:rsid w:val="004C27EB"/>
    <w:rsid w:val="004C2D07"/>
    <w:rsid w:val="004C3E41"/>
    <w:rsid w:val="004C405B"/>
    <w:rsid w:val="004C4EAF"/>
    <w:rsid w:val="004C68D1"/>
    <w:rsid w:val="004D0283"/>
    <w:rsid w:val="004D2166"/>
    <w:rsid w:val="004D3422"/>
    <w:rsid w:val="004D3590"/>
    <w:rsid w:val="004D5A5F"/>
    <w:rsid w:val="004D5B46"/>
    <w:rsid w:val="004D663B"/>
    <w:rsid w:val="004D7821"/>
    <w:rsid w:val="004E13E2"/>
    <w:rsid w:val="004E22A7"/>
    <w:rsid w:val="004E3E58"/>
    <w:rsid w:val="004E6A76"/>
    <w:rsid w:val="004E7924"/>
    <w:rsid w:val="004E7CA2"/>
    <w:rsid w:val="004E7F97"/>
    <w:rsid w:val="004F04B4"/>
    <w:rsid w:val="004F17E1"/>
    <w:rsid w:val="004F1F17"/>
    <w:rsid w:val="004F2195"/>
    <w:rsid w:val="004F22B1"/>
    <w:rsid w:val="004F39E8"/>
    <w:rsid w:val="004F5195"/>
    <w:rsid w:val="004F6F89"/>
    <w:rsid w:val="00502156"/>
    <w:rsid w:val="00502277"/>
    <w:rsid w:val="005024B5"/>
    <w:rsid w:val="00503DB3"/>
    <w:rsid w:val="0050424A"/>
    <w:rsid w:val="005073DD"/>
    <w:rsid w:val="00510BDC"/>
    <w:rsid w:val="005140F2"/>
    <w:rsid w:val="00515200"/>
    <w:rsid w:val="00516199"/>
    <w:rsid w:val="00516C40"/>
    <w:rsid w:val="00517800"/>
    <w:rsid w:val="00517E44"/>
    <w:rsid w:val="00520924"/>
    <w:rsid w:val="00520B9E"/>
    <w:rsid w:val="00520F75"/>
    <w:rsid w:val="0052154A"/>
    <w:rsid w:val="00521D97"/>
    <w:rsid w:val="00523E50"/>
    <w:rsid w:val="005250C5"/>
    <w:rsid w:val="00526255"/>
    <w:rsid w:val="00530A64"/>
    <w:rsid w:val="00531BEB"/>
    <w:rsid w:val="0053229C"/>
    <w:rsid w:val="00532CD3"/>
    <w:rsid w:val="005345A9"/>
    <w:rsid w:val="005345DC"/>
    <w:rsid w:val="00535A1B"/>
    <w:rsid w:val="005363F9"/>
    <w:rsid w:val="005369D2"/>
    <w:rsid w:val="00536AA6"/>
    <w:rsid w:val="0054004F"/>
    <w:rsid w:val="0054021C"/>
    <w:rsid w:val="00540C56"/>
    <w:rsid w:val="00540E4E"/>
    <w:rsid w:val="00543E72"/>
    <w:rsid w:val="00544A67"/>
    <w:rsid w:val="00544ABF"/>
    <w:rsid w:val="00545A7A"/>
    <w:rsid w:val="00546C75"/>
    <w:rsid w:val="00547CF0"/>
    <w:rsid w:val="00550ED7"/>
    <w:rsid w:val="00552105"/>
    <w:rsid w:val="0055212F"/>
    <w:rsid w:val="005533E6"/>
    <w:rsid w:val="0055354D"/>
    <w:rsid w:val="00553C69"/>
    <w:rsid w:val="00554B81"/>
    <w:rsid w:val="005550E2"/>
    <w:rsid w:val="0055727E"/>
    <w:rsid w:val="005610B7"/>
    <w:rsid w:val="00561AE0"/>
    <w:rsid w:val="005626C5"/>
    <w:rsid w:val="00562E10"/>
    <w:rsid w:val="005641A7"/>
    <w:rsid w:val="005642D9"/>
    <w:rsid w:val="00567C6C"/>
    <w:rsid w:val="00567C9E"/>
    <w:rsid w:val="005701EC"/>
    <w:rsid w:val="00571001"/>
    <w:rsid w:val="005716F6"/>
    <w:rsid w:val="00571768"/>
    <w:rsid w:val="0057258C"/>
    <w:rsid w:val="00573651"/>
    <w:rsid w:val="00574894"/>
    <w:rsid w:val="00574DF3"/>
    <w:rsid w:val="005778E8"/>
    <w:rsid w:val="005800B2"/>
    <w:rsid w:val="005808DA"/>
    <w:rsid w:val="00581904"/>
    <w:rsid w:val="00585119"/>
    <w:rsid w:val="00585309"/>
    <w:rsid w:val="0058585A"/>
    <w:rsid w:val="005879F2"/>
    <w:rsid w:val="0059018E"/>
    <w:rsid w:val="00591AE8"/>
    <w:rsid w:val="00592DE0"/>
    <w:rsid w:val="00593ED6"/>
    <w:rsid w:val="00594EB6"/>
    <w:rsid w:val="00595C48"/>
    <w:rsid w:val="005A106D"/>
    <w:rsid w:val="005A107D"/>
    <w:rsid w:val="005A279E"/>
    <w:rsid w:val="005A3D73"/>
    <w:rsid w:val="005A6DC1"/>
    <w:rsid w:val="005B06EA"/>
    <w:rsid w:val="005B0EA3"/>
    <w:rsid w:val="005B24D5"/>
    <w:rsid w:val="005B42DA"/>
    <w:rsid w:val="005B4473"/>
    <w:rsid w:val="005C255B"/>
    <w:rsid w:val="005C2EE8"/>
    <w:rsid w:val="005C36EE"/>
    <w:rsid w:val="005C5C22"/>
    <w:rsid w:val="005C6118"/>
    <w:rsid w:val="005C69E5"/>
    <w:rsid w:val="005D538F"/>
    <w:rsid w:val="005D5DD0"/>
    <w:rsid w:val="005D63D9"/>
    <w:rsid w:val="005D67A3"/>
    <w:rsid w:val="005D6D46"/>
    <w:rsid w:val="005E120A"/>
    <w:rsid w:val="005E1DFB"/>
    <w:rsid w:val="005E293A"/>
    <w:rsid w:val="005F04DC"/>
    <w:rsid w:val="005F4ED0"/>
    <w:rsid w:val="005F5FE5"/>
    <w:rsid w:val="005F6EED"/>
    <w:rsid w:val="00601165"/>
    <w:rsid w:val="0060261B"/>
    <w:rsid w:val="00603960"/>
    <w:rsid w:val="00604960"/>
    <w:rsid w:val="00605967"/>
    <w:rsid w:val="00606321"/>
    <w:rsid w:val="006070EC"/>
    <w:rsid w:val="00610271"/>
    <w:rsid w:val="00611A4E"/>
    <w:rsid w:val="0061281D"/>
    <w:rsid w:val="00613350"/>
    <w:rsid w:val="0061342B"/>
    <w:rsid w:val="00620DEF"/>
    <w:rsid w:val="00623004"/>
    <w:rsid w:val="006236A2"/>
    <w:rsid w:val="0062516A"/>
    <w:rsid w:val="00625964"/>
    <w:rsid w:val="006307DE"/>
    <w:rsid w:val="00634DFC"/>
    <w:rsid w:val="00635031"/>
    <w:rsid w:val="006407FA"/>
    <w:rsid w:val="00642BEB"/>
    <w:rsid w:val="00644388"/>
    <w:rsid w:val="00644B1D"/>
    <w:rsid w:val="00645664"/>
    <w:rsid w:val="006456DC"/>
    <w:rsid w:val="00647590"/>
    <w:rsid w:val="006501CE"/>
    <w:rsid w:val="0065103B"/>
    <w:rsid w:val="00651925"/>
    <w:rsid w:val="00651DB5"/>
    <w:rsid w:val="006526F5"/>
    <w:rsid w:val="0065309A"/>
    <w:rsid w:val="00655046"/>
    <w:rsid w:val="006557E1"/>
    <w:rsid w:val="00660D33"/>
    <w:rsid w:val="0066107F"/>
    <w:rsid w:val="006619F5"/>
    <w:rsid w:val="006627AC"/>
    <w:rsid w:val="006635DA"/>
    <w:rsid w:val="006635E6"/>
    <w:rsid w:val="0066562D"/>
    <w:rsid w:val="00665DB0"/>
    <w:rsid w:val="00670998"/>
    <w:rsid w:val="00672050"/>
    <w:rsid w:val="00672FD4"/>
    <w:rsid w:val="006744DF"/>
    <w:rsid w:val="00674832"/>
    <w:rsid w:val="00675EBF"/>
    <w:rsid w:val="0067610F"/>
    <w:rsid w:val="006763D1"/>
    <w:rsid w:val="006773A5"/>
    <w:rsid w:val="0068067A"/>
    <w:rsid w:val="00680CEB"/>
    <w:rsid w:val="006811D8"/>
    <w:rsid w:val="00681409"/>
    <w:rsid w:val="00681E09"/>
    <w:rsid w:val="006826B4"/>
    <w:rsid w:val="00682D47"/>
    <w:rsid w:val="00682E71"/>
    <w:rsid w:val="00683473"/>
    <w:rsid w:val="006871CE"/>
    <w:rsid w:val="00690ED7"/>
    <w:rsid w:val="0069130B"/>
    <w:rsid w:val="006921F0"/>
    <w:rsid w:val="006941DA"/>
    <w:rsid w:val="00694C76"/>
    <w:rsid w:val="006956FC"/>
    <w:rsid w:val="00697857"/>
    <w:rsid w:val="006A28FA"/>
    <w:rsid w:val="006A61D7"/>
    <w:rsid w:val="006A677C"/>
    <w:rsid w:val="006A7B6B"/>
    <w:rsid w:val="006B006D"/>
    <w:rsid w:val="006B0294"/>
    <w:rsid w:val="006B13BC"/>
    <w:rsid w:val="006B2603"/>
    <w:rsid w:val="006B32FE"/>
    <w:rsid w:val="006B3BAE"/>
    <w:rsid w:val="006B520B"/>
    <w:rsid w:val="006B6B68"/>
    <w:rsid w:val="006B6FB5"/>
    <w:rsid w:val="006B7C88"/>
    <w:rsid w:val="006C16BC"/>
    <w:rsid w:val="006C1C4A"/>
    <w:rsid w:val="006C2B4A"/>
    <w:rsid w:val="006C2B70"/>
    <w:rsid w:val="006C4B87"/>
    <w:rsid w:val="006C5806"/>
    <w:rsid w:val="006C6423"/>
    <w:rsid w:val="006C7320"/>
    <w:rsid w:val="006D0FE2"/>
    <w:rsid w:val="006D20A2"/>
    <w:rsid w:val="006D2B37"/>
    <w:rsid w:val="006D2B3E"/>
    <w:rsid w:val="006D2BC2"/>
    <w:rsid w:val="006D35CD"/>
    <w:rsid w:val="006D3848"/>
    <w:rsid w:val="006D3A3D"/>
    <w:rsid w:val="006D54FB"/>
    <w:rsid w:val="006D5E61"/>
    <w:rsid w:val="006D6312"/>
    <w:rsid w:val="006D65D2"/>
    <w:rsid w:val="006E19A8"/>
    <w:rsid w:val="006E1A62"/>
    <w:rsid w:val="006E202B"/>
    <w:rsid w:val="006E3711"/>
    <w:rsid w:val="006E3D84"/>
    <w:rsid w:val="006E5C6B"/>
    <w:rsid w:val="006E6377"/>
    <w:rsid w:val="006E685F"/>
    <w:rsid w:val="006E7774"/>
    <w:rsid w:val="006E7ACC"/>
    <w:rsid w:val="006F0641"/>
    <w:rsid w:val="006F1D53"/>
    <w:rsid w:val="006F3235"/>
    <w:rsid w:val="006F4ADF"/>
    <w:rsid w:val="006F4E6C"/>
    <w:rsid w:val="006F56E5"/>
    <w:rsid w:val="006F5B04"/>
    <w:rsid w:val="006F5E2E"/>
    <w:rsid w:val="006F6918"/>
    <w:rsid w:val="006F75D5"/>
    <w:rsid w:val="006F7E56"/>
    <w:rsid w:val="0070058D"/>
    <w:rsid w:val="00700E26"/>
    <w:rsid w:val="00702EFB"/>
    <w:rsid w:val="00703BB9"/>
    <w:rsid w:val="00703C73"/>
    <w:rsid w:val="007045E0"/>
    <w:rsid w:val="00704A1A"/>
    <w:rsid w:val="007050FA"/>
    <w:rsid w:val="0070512F"/>
    <w:rsid w:val="00705924"/>
    <w:rsid w:val="007111C5"/>
    <w:rsid w:val="007134A2"/>
    <w:rsid w:val="00713B46"/>
    <w:rsid w:val="00713EF6"/>
    <w:rsid w:val="00714E18"/>
    <w:rsid w:val="00715BFF"/>
    <w:rsid w:val="00717B45"/>
    <w:rsid w:val="007231CB"/>
    <w:rsid w:val="00723904"/>
    <w:rsid w:val="007258DD"/>
    <w:rsid w:val="007269EA"/>
    <w:rsid w:val="00726BC2"/>
    <w:rsid w:val="00726CFA"/>
    <w:rsid w:val="0072764E"/>
    <w:rsid w:val="00727B16"/>
    <w:rsid w:val="00727CA5"/>
    <w:rsid w:val="007304D5"/>
    <w:rsid w:val="00730965"/>
    <w:rsid w:val="00730C58"/>
    <w:rsid w:val="0073265F"/>
    <w:rsid w:val="00733C90"/>
    <w:rsid w:val="00734AC5"/>
    <w:rsid w:val="00735E30"/>
    <w:rsid w:val="007368DC"/>
    <w:rsid w:val="00737292"/>
    <w:rsid w:val="00740F9A"/>
    <w:rsid w:val="00741A4E"/>
    <w:rsid w:val="00744908"/>
    <w:rsid w:val="00744C4B"/>
    <w:rsid w:val="007452E0"/>
    <w:rsid w:val="007505FB"/>
    <w:rsid w:val="00751062"/>
    <w:rsid w:val="00751329"/>
    <w:rsid w:val="00751C3E"/>
    <w:rsid w:val="0075371B"/>
    <w:rsid w:val="00753734"/>
    <w:rsid w:val="00757F04"/>
    <w:rsid w:val="00760B75"/>
    <w:rsid w:val="00760BED"/>
    <w:rsid w:val="00761318"/>
    <w:rsid w:val="00761950"/>
    <w:rsid w:val="00762AE1"/>
    <w:rsid w:val="0076544A"/>
    <w:rsid w:val="00765AE7"/>
    <w:rsid w:val="0076785F"/>
    <w:rsid w:val="00770254"/>
    <w:rsid w:val="00775125"/>
    <w:rsid w:val="007758E3"/>
    <w:rsid w:val="00776C78"/>
    <w:rsid w:val="00777055"/>
    <w:rsid w:val="007805F5"/>
    <w:rsid w:val="007813BF"/>
    <w:rsid w:val="007817D9"/>
    <w:rsid w:val="00782369"/>
    <w:rsid w:val="00782FC2"/>
    <w:rsid w:val="00784EDA"/>
    <w:rsid w:val="007859F8"/>
    <w:rsid w:val="007865D9"/>
    <w:rsid w:val="007872C2"/>
    <w:rsid w:val="00790905"/>
    <w:rsid w:val="00791384"/>
    <w:rsid w:val="00792A72"/>
    <w:rsid w:val="00795F13"/>
    <w:rsid w:val="007A140D"/>
    <w:rsid w:val="007A22BC"/>
    <w:rsid w:val="007A2DE0"/>
    <w:rsid w:val="007A31EB"/>
    <w:rsid w:val="007A5B55"/>
    <w:rsid w:val="007A5F41"/>
    <w:rsid w:val="007A630B"/>
    <w:rsid w:val="007B08D1"/>
    <w:rsid w:val="007B09BF"/>
    <w:rsid w:val="007B2073"/>
    <w:rsid w:val="007B491A"/>
    <w:rsid w:val="007B4BBB"/>
    <w:rsid w:val="007B4EAA"/>
    <w:rsid w:val="007B5184"/>
    <w:rsid w:val="007B55D0"/>
    <w:rsid w:val="007B6415"/>
    <w:rsid w:val="007B64D5"/>
    <w:rsid w:val="007C1D78"/>
    <w:rsid w:val="007C20FA"/>
    <w:rsid w:val="007C27D3"/>
    <w:rsid w:val="007C2C95"/>
    <w:rsid w:val="007C51A0"/>
    <w:rsid w:val="007C6A22"/>
    <w:rsid w:val="007C79FB"/>
    <w:rsid w:val="007D0CE9"/>
    <w:rsid w:val="007D2AE1"/>
    <w:rsid w:val="007D3CA7"/>
    <w:rsid w:val="007D4A14"/>
    <w:rsid w:val="007D5A1D"/>
    <w:rsid w:val="007D75A4"/>
    <w:rsid w:val="007E3A06"/>
    <w:rsid w:val="007E5349"/>
    <w:rsid w:val="007E6EC6"/>
    <w:rsid w:val="007E7ABF"/>
    <w:rsid w:val="007F0907"/>
    <w:rsid w:val="007F1C81"/>
    <w:rsid w:val="007F27E5"/>
    <w:rsid w:val="007F3CFE"/>
    <w:rsid w:val="007F4B16"/>
    <w:rsid w:val="007F53BB"/>
    <w:rsid w:val="007F6380"/>
    <w:rsid w:val="007F6ABA"/>
    <w:rsid w:val="007F702D"/>
    <w:rsid w:val="007F762F"/>
    <w:rsid w:val="008007A4"/>
    <w:rsid w:val="00800ABB"/>
    <w:rsid w:val="0080144C"/>
    <w:rsid w:val="00801A35"/>
    <w:rsid w:val="008034B0"/>
    <w:rsid w:val="00803E7E"/>
    <w:rsid w:val="008040C8"/>
    <w:rsid w:val="00804A98"/>
    <w:rsid w:val="008057B5"/>
    <w:rsid w:val="0080580D"/>
    <w:rsid w:val="00805C3A"/>
    <w:rsid w:val="008068BB"/>
    <w:rsid w:val="00807224"/>
    <w:rsid w:val="00810967"/>
    <w:rsid w:val="00814529"/>
    <w:rsid w:val="0081594B"/>
    <w:rsid w:val="008207F1"/>
    <w:rsid w:val="00822B28"/>
    <w:rsid w:val="00822F3D"/>
    <w:rsid w:val="00822F78"/>
    <w:rsid w:val="008230BA"/>
    <w:rsid w:val="00826C1C"/>
    <w:rsid w:val="00830223"/>
    <w:rsid w:val="0083183D"/>
    <w:rsid w:val="00832B87"/>
    <w:rsid w:val="008334A6"/>
    <w:rsid w:val="00833FCC"/>
    <w:rsid w:val="00835359"/>
    <w:rsid w:val="008354BB"/>
    <w:rsid w:val="008425C9"/>
    <w:rsid w:val="00844451"/>
    <w:rsid w:val="00844766"/>
    <w:rsid w:val="00845708"/>
    <w:rsid w:val="00845759"/>
    <w:rsid w:val="00845F5C"/>
    <w:rsid w:val="00846877"/>
    <w:rsid w:val="008478EE"/>
    <w:rsid w:val="008504A0"/>
    <w:rsid w:val="00851993"/>
    <w:rsid w:val="00853E5F"/>
    <w:rsid w:val="0085475F"/>
    <w:rsid w:val="00855C39"/>
    <w:rsid w:val="00855E1E"/>
    <w:rsid w:val="00855FEB"/>
    <w:rsid w:val="00860758"/>
    <w:rsid w:val="008609B1"/>
    <w:rsid w:val="0086138E"/>
    <w:rsid w:val="008639BE"/>
    <w:rsid w:val="00864F3B"/>
    <w:rsid w:val="00865504"/>
    <w:rsid w:val="00870593"/>
    <w:rsid w:val="00872B4F"/>
    <w:rsid w:val="00872C66"/>
    <w:rsid w:val="0087361D"/>
    <w:rsid w:val="008748DA"/>
    <w:rsid w:val="00875104"/>
    <w:rsid w:val="0087766A"/>
    <w:rsid w:val="00881D17"/>
    <w:rsid w:val="00881E0D"/>
    <w:rsid w:val="00882059"/>
    <w:rsid w:val="00883C9D"/>
    <w:rsid w:val="00884F9E"/>
    <w:rsid w:val="00885102"/>
    <w:rsid w:val="008867A6"/>
    <w:rsid w:val="008869AB"/>
    <w:rsid w:val="0089204B"/>
    <w:rsid w:val="00893F80"/>
    <w:rsid w:val="0089505C"/>
    <w:rsid w:val="0089513F"/>
    <w:rsid w:val="008968FE"/>
    <w:rsid w:val="00896A2F"/>
    <w:rsid w:val="008A0F5B"/>
    <w:rsid w:val="008A2862"/>
    <w:rsid w:val="008A3F9A"/>
    <w:rsid w:val="008A3FE0"/>
    <w:rsid w:val="008A4728"/>
    <w:rsid w:val="008A4B8F"/>
    <w:rsid w:val="008A516D"/>
    <w:rsid w:val="008A5C7E"/>
    <w:rsid w:val="008A65BE"/>
    <w:rsid w:val="008B07C4"/>
    <w:rsid w:val="008B1D61"/>
    <w:rsid w:val="008B3FBA"/>
    <w:rsid w:val="008B444F"/>
    <w:rsid w:val="008B66AB"/>
    <w:rsid w:val="008C0F1E"/>
    <w:rsid w:val="008C1945"/>
    <w:rsid w:val="008C20F7"/>
    <w:rsid w:val="008C3B01"/>
    <w:rsid w:val="008C5225"/>
    <w:rsid w:val="008C5479"/>
    <w:rsid w:val="008D066C"/>
    <w:rsid w:val="008D0996"/>
    <w:rsid w:val="008D0EF6"/>
    <w:rsid w:val="008D1B01"/>
    <w:rsid w:val="008D2A83"/>
    <w:rsid w:val="008D2D7B"/>
    <w:rsid w:val="008D3140"/>
    <w:rsid w:val="008D4299"/>
    <w:rsid w:val="008D44EB"/>
    <w:rsid w:val="008D48E1"/>
    <w:rsid w:val="008D4B4F"/>
    <w:rsid w:val="008D4E61"/>
    <w:rsid w:val="008D51AE"/>
    <w:rsid w:val="008D51C1"/>
    <w:rsid w:val="008D55CC"/>
    <w:rsid w:val="008D5E60"/>
    <w:rsid w:val="008D6A11"/>
    <w:rsid w:val="008D6D31"/>
    <w:rsid w:val="008D6F28"/>
    <w:rsid w:val="008D734A"/>
    <w:rsid w:val="008D739F"/>
    <w:rsid w:val="008E1D20"/>
    <w:rsid w:val="008E2FF7"/>
    <w:rsid w:val="008E52C3"/>
    <w:rsid w:val="008E5835"/>
    <w:rsid w:val="008E6786"/>
    <w:rsid w:val="008E77F1"/>
    <w:rsid w:val="008F1284"/>
    <w:rsid w:val="008F1AA9"/>
    <w:rsid w:val="008F4C42"/>
    <w:rsid w:val="008F5E2F"/>
    <w:rsid w:val="008F7C5B"/>
    <w:rsid w:val="00900387"/>
    <w:rsid w:val="0090256A"/>
    <w:rsid w:val="00904289"/>
    <w:rsid w:val="009049C0"/>
    <w:rsid w:val="009070B5"/>
    <w:rsid w:val="00907A5E"/>
    <w:rsid w:val="0091177A"/>
    <w:rsid w:val="00911BCC"/>
    <w:rsid w:val="00912113"/>
    <w:rsid w:val="009124F6"/>
    <w:rsid w:val="00912743"/>
    <w:rsid w:val="00912C04"/>
    <w:rsid w:val="00913B67"/>
    <w:rsid w:val="00915B08"/>
    <w:rsid w:val="009208AE"/>
    <w:rsid w:val="00921E90"/>
    <w:rsid w:val="009225FE"/>
    <w:rsid w:val="009234DF"/>
    <w:rsid w:val="0092459C"/>
    <w:rsid w:val="009256FF"/>
    <w:rsid w:val="009263B9"/>
    <w:rsid w:val="0093049E"/>
    <w:rsid w:val="00931230"/>
    <w:rsid w:val="00932EC3"/>
    <w:rsid w:val="0093324E"/>
    <w:rsid w:val="00933D07"/>
    <w:rsid w:val="009340B7"/>
    <w:rsid w:val="009365C4"/>
    <w:rsid w:val="00937803"/>
    <w:rsid w:val="00940E98"/>
    <w:rsid w:val="009414C5"/>
    <w:rsid w:val="009427F2"/>
    <w:rsid w:val="00942F78"/>
    <w:rsid w:val="00943581"/>
    <w:rsid w:val="00944F64"/>
    <w:rsid w:val="00946CD3"/>
    <w:rsid w:val="00946E93"/>
    <w:rsid w:val="0095069D"/>
    <w:rsid w:val="0095152C"/>
    <w:rsid w:val="00951A5E"/>
    <w:rsid w:val="00953383"/>
    <w:rsid w:val="0095374A"/>
    <w:rsid w:val="00962FA0"/>
    <w:rsid w:val="00965025"/>
    <w:rsid w:val="00967A61"/>
    <w:rsid w:val="00971B7B"/>
    <w:rsid w:val="00971D3B"/>
    <w:rsid w:val="00972D48"/>
    <w:rsid w:val="00977A95"/>
    <w:rsid w:val="00977D15"/>
    <w:rsid w:val="00977F07"/>
    <w:rsid w:val="00980086"/>
    <w:rsid w:val="0098055F"/>
    <w:rsid w:val="00980A68"/>
    <w:rsid w:val="00980C80"/>
    <w:rsid w:val="009810D1"/>
    <w:rsid w:val="00982CD7"/>
    <w:rsid w:val="00983395"/>
    <w:rsid w:val="0098390B"/>
    <w:rsid w:val="00983A9F"/>
    <w:rsid w:val="00983B0E"/>
    <w:rsid w:val="0098416A"/>
    <w:rsid w:val="009841E6"/>
    <w:rsid w:val="00984BB1"/>
    <w:rsid w:val="00986121"/>
    <w:rsid w:val="009868CD"/>
    <w:rsid w:val="00987EC8"/>
    <w:rsid w:val="00987F18"/>
    <w:rsid w:val="009902F7"/>
    <w:rsid w:val="00992EE1"/>
    <w:rsid w:val="00993F58"/>
    <w:rsid w:val="0099448D"/>
    <w:rsid w:val="00995A06"/>
    <w:rsid w:val="00995EDE"/>
    <w:rsid w:val="009A0CC3"/>
    <w:rsid w:val="009A2211"/>
    <w:rsid w:val="009A222A"/>
    <w:rsid w:val="009A3DF9"/>
    <w:rsid w:val="009A3E54"/>
    <w:rsid w:val="009A63EF"/>
    <w:rsid w:val="009B2E2A"/>
    <w:rsid w:val="009B3AEB"/>
    <w:rsid w:val="009B4A8D"/>
    <w:rsid w:val="009B4FD8"/>
    <w:rsid w:val="009B5D05"/>
    <w:rsid w:val="009B5E99"/>
    <w:rsid w:val="009B60F9"/>
    <w:rsid w:val="009C3EB5"/>
    <w:rsid w:val="009C444B"/>
    <w:rsid w:val="009C562E"/>
    <w:rsid w:val="009C75BE"/>
    <w:rsid w:val="009C79DC"/>
    <w:rsid w:val="009D1595"/>
    <w:rsid w:val="009D2F6C"/>
    <w:rsid w:val="009D30C2"/>
    <w:rsid w:val="009D3773"/>
    <w:rsid w:val="009D3A24"/>
    <w:rsid w:val="009D499D"/>
    <w:rsid w:val="009D4B8A"/>
    <w:rsid w:val="009D7B85"/>
    <w:rsid w:val="009E0557"/>
    <w:rsid w:val="009E0562"/>
    <w:rsid w:val="009E0E89"/>
    <w:rsid w:val="009E166C"/>
    <w:rsid w:val="009E16AF"/>
    <w:rsid w:val="009E2AEA"/>
    <w:rsid w:val="009E3183"/>
    <w:rsid w:val="009E3783"/>
    <w:rsid w:val="009E3A13"/>
    <w:rsid w:val="009E3AFB"/>
    <w:rsid w:val="009E3EA3"/>
    <w:rsid w:val="009E4A3B"/>
    <w:rsid w:val="009E6F3C"/>
    <w:rsid w:val="009F0FD6"/>
    <w:rsid w:val="009F26D7"/>
    <w:rsid w:val="009F2C73"/>
    <w:rsid w:val="009F3038"/>
    <w:rsid w:val="009F4FFB"/>
    <w:rsid w:val="009F69D1"/>
    <w:rsid w:val="009F6A36"/>
    <w:rsid w:val="00A01BDF"/>
    <w:rsid w:val="00A045CA"/>
    <w:rsid w:val="00A04DC3"/>
    <w:rsid w:val="00A05093"/>
    <w:rsid w:val="00A05C84"/>
    <w:rsid w:val="00A05DAD"/>
    <w:rsid w:val="00A06799"/>
    <w:rsid w:val="00A12117"/>
    <w:rsid w:val="00A1611B"/>
    <w:rsid w:val="00A16712"/>
    <w:rsid w:val="00A17694"/>
    <w:rsid w:val="00A20907"/>
    <w:rsid w:val="00A21A3E"/>
    <w:rsid w:val="00A25052"/>
    <w:rsid w:val="00A25BE7"/>
    <w:rsid w:val="00A30430"/>
    <w:rsid w:val="00A31CD9"/>
    <w:rsid w:val="00A328CB"/>
    <w:rsid w:val="00A32C80"/>
    <w:rsid w:val="00A339F2"/>
    <w:rsid w:val="00A33B1A"/>
    <w:rsid w:val="00A35865"/>
    <w:rsid w:val="00A4078B"/>
    <w:rsid w:val="00A42DC1"/>
    <w:rsid w:val="00A43019"/>
    <w:rsid w:val="00A45D35"/>
    <w:rsid w:val="00A4629F"/>
    <w:rsid w:val="00A464B8"/>
    <w:rsid w:val="00A50BA1"/>
    <w:rsid w:val="00A573DC"/>
    <w:rsid w:val="00A57566"/>
    <w:rsid w:val="00A62428"/>
    <w:rsid w:val="00A62A3F"/>
    <w:rsid w:val="00A62B3A"/>
    <w:rsid w:val="00A63BCC"/>
    <w:rsid w:val="00A640D5"/>
    <w:rsid w:val="00A66BA8"/>
    <w:rsid w:val="00A708AB"/>
    <w:rsid w:val="00A7162D"/>
    <w:rsid w:val="00A7256D"/>
    <w:rsid w:val="00A73CF1"/>
    <w:rsid w:val="00A75C9A"/>
    <w:rsid w:val="00A75D52"/>
    <w:rsid w:val="00A76C0B"/>
    <w:rsid w:val="00A76E8C"/>
    <w:rsid w:val="00A77028"/>
    <w:rsid w:val="00A82214"/>
    <w:rsid w:val="00A83509"/>
    <w:rsid w:val="00A83914"/>
    <w:rsid w:val="00A84584"/>
    <w:rsid w:val="00A85934"/>
    <w:rsid w:val="00A85968"/>
    <w:rsid w:val="00A86750"/>
    <w:rsid w:val="00A870BC"/>
    <w:rsid w:val="00A871A4"/>
    <w:rsid w:val="00A9123D"/>
    <w:rsid w:val="00A92534"/>
    <w:rsid w:val="00A96C5C"/>
    <w:rsid w:val="00AA0074"/>
    <w:rsid w:val="00AA0508"/>
    <w:rsid w:val="00AA18C1"/>
    <w:rsid w:val="00AA2DE5"/>
    <w:rsid w:val="00AA3478"/>
    <w:rsid w:val="00AA4399"/>
    <w:rsid w:val="00AA4518"/>
    <w:rsid w:val="00AA5D2C"/>
    <w:rsid w:val="00AA633F"/>
    <w:rsid w:val="00AA71B0"/>
    <w:rsid w:val="00AA7409"/>
    <w:rsid w:val="00AB2E07"/>
    <w:rsid w:val="00AB35DC"/>
    <w:rsid w:val="00AB3A0D"/>
    <w:rsid w:val="00AB419D"/>
    <w:rsid w:val="00AB5F4D"/>
    <w:rsid w:val="00AB6A14"/>
    <w:rsid w:val="00AB6F76"/>
    <w:rsid w:val="00AB70BF"/>
    <w:rsid w:val="00AC046B"/>
    <w:rsid w:val="00AC1A43"/>
    <w:rsid w:val="00AC306A"/>
    <w:rsid w:val="00AC3FB0"/>
    <w:rsid w:val="00AC4EE3"/>
    <w:rsid w:val="00AC4FF2"/>
    <w:rsid w:val="00AC54F8"/>
    <w:rsid w:val="00AC5C2B"/>
    <w:rsid w:val="00AC681D"/>
    <w:rsid w:val="00AC6E0E"/>
    <w:rsid w:val="00AC754F"/>
    <w:rsid w:val="00AC7E21"/>
    <w:rsid w:val="00AD0317"/>
    <w:rsid w:val="00AD0F67"/>
    <w:rsid w:val="00AD21CF"/>
    <w:rsid w:val="00AD2C1F"/>
    <w:rsid w:val="00AD551F"/>
    <w:rsid w:val="00AD59A3"/>
    <w:rsid w:val="00AD5E9A"/>
    <w:rsid w:val="00AD7E8E"/>
    <w:rsid w:val="00AE0C19"/>
    <w:rsid w:val="00AE0E3B"/>
    <w:rsid w:val="00AE0F81"/>
    <w:rsid w:val="00AE3145"/>
    <w:rsid w:val="00AE323F"/>
    <w:rsid w:val="00AE44CF"/>
    <w:rsid w:val="00AE5E7E"/>
    <w:rsid w:val="00AE6696"/>
    <w:rsid w:val="00AE73AE"/>
    <w:rsid w:val="00AE7CA6"/>
    <w:rsid w:val="00AF2D3D"/>
    <w:rsid w:val="00AF3563"/>
    <w:rsid w:val="00AF3BFC"/>
    <w:rsid w:val="00AF4BA0"/>
    <w:rsid w:val="00AF5F54"/>
    <w:rsid w:val="00B019A9"/>
    <w:rsid w:val="00B022D9"/>
    <w:rsid w:val="00B02C9A"/>
    <w:rsid w:val="00B03273"/>
    <w:rsid w:val="00B03459"/>
    <w:rsid w:val="00B0554D"/>
    <w:rsid w:val="00B05989"/>
    <w:rsid w:val="00B108B5"/>
    <w:rsid w:val="00B110B5"/>
    <w:rsid w:val="00B12A58"/>
    <w:rsid w:val="00B1452F"/>
    <w:rsid w:val="00B174E3"/>
    <w:rsid w:val="00B2080D"/>
    <w:rsid w:val="00B20A35"/>
    <w:rsid w:val="00B20CB9"/>
    <w:rsid w:val="00B21C8C"/>
    <w:rsid w:val="00B21DD6"/>
    <w:rsid w:val="00B2254A"/>
    <w:rsid w:val="00B2270A"/>
    <w:rsid w:val="00B2390D"/>
    <w:rsid w:val="00B23CB5"/>
    <w:rsid w:val="00B23DEF"/>
    <w:rsid w:val="00B24D79"/>
    <w:rsid w:val="00B30D58"/>
    <w:rsid w:val="00B316E7"/>
    <w:rsid w:val="00B3231A"/>
    <w:rsid w:val="00B34EF9"/>
    <w:rsid w:val="00B350FB"/>
    <w:rsid w:val="00B3796F"/>
    <w:rsid w:val="00B37F22"/>
    <w:rsid w:val="00B4130A"/>
    <w:rsid w:val="00B41868"/>
    <w:rsid w:val="00B41AF5"/>
    <w:rsid w:val="00B41ECD"/>
    <w:rsid w:val="00B421FD"/>
    <w:rsid w:val="00B4297D"/>
    <w:rsid w:val="00B42CAF"/>
    <w:rsid w:val="00B504C4"/>
    <w:rsid w:val="00B517AB"/>
    <w:rsid w:val="00B5440D"/>
    <w:rsid w:val="00B552A4"/>
    <w:rsid w:val="00B56E4F"/>
    <w:rsid w:val="00B5700D"/>
    <w:rsid w:val="00B609B5"/>
    <w:rsid w:val="00B61223"/>
    <w:rsid w:val="00B6378C"/>
    <w:rsid w:val="00B7133B"/>
    <w:rsid w:val="00B72340"/>
    <w:rsid w:val="00B748AE"/>
    <w:rsid w:val="00B74A87"/>
    <w:rsid w:val="00B75F6D"/>
    <w:rsid w:val="00B7681E"/>
    <w:rsid w:val="00B779BD"/>
    <w:rsid w:val="00B77E0D"/>
    <w:rsid w:val="00B80605"/>
    <w:rsid w:val="00B81D3E"/>
    <w:rsid w:val="00B827DD"/>
    <w:rsid w:val="00B83E0B"/>
    <w:rsid w:val="00B84958"/>
    <w:rsid w:val="00B86170"/>
    <w:rsid w:val="00B870E5"/>
    <w:rsid w:val="00B91160"/>
    <w:rsid w:val="00B91D4F"/>
    <w:rsid w:val="00B942C4"/>
    <w:rsid w:val="00B94CD8"/>
    <w:rsid w:val="00B94E2F"/>
    <w:rsid w:val="00B952A0"/>
    <w:rsid w:val="00B96F16"/>
    <w:rsid w:val="00BA05BF"/>
    <w:rsid w:val="00BA0727"/>
    <w:rsid w:val="00BA1110"/>
    <w:rsid w:val="00BA2B9B"/>
    <w:rsid w:val="00BA3117"/>
    <w:rsid w:val="00BA3475"/>
    <w:rsid w:val="00BA5873"/>
    <w:rsid w:val="00BA58AC"/>
    <w:rsid w:val="00BA663C"/>
    <w:rsid w:val="00BA70A7"/>
    <w:rsid w:val="00BB1CDA"/>
    <w:rsid w:val="00BB210B"/>
    <w:rsid w:val="00BB2CD8"/>
    <w:rsid w:val="00BB2D9E"/>
    <w:rsid w:val="00BB2EF0"/>
    <w:rsid w:val="00BB4E02"/>
    <w:rsid w:val="00BB6C4E"/>
    <w:rsid w:val="00BB7A44"/>
    <w:rsid w:val="00BC1506"/>
    <w:rsid w:val="00BC31F8"/>
    <w:rsid w:val="00BC3837"/>
    <w:rsid w:val="00BC459E"/>
    <w:rsid w:val="00BC4A0F"/>
    <w:rsid w:val="00BC5DBA"/>
    <w:rsid w:val="00BC606F"/>
    <w:rsid w:val="00BC6AE1"/>
    <w:rsid w:val="00BD1949"/>
    <w:rsid w:val="00BD2D5B"/>
    <w:rsid w:val="00BD3BE8"/>
    <w:rsid w:val="00BD4D18"/>
    <w:rsid w:val="00BD60A7"/>
    <w:rsid w:val="00BD7B14"/>
    <w:rsid w:val="00BE1298"/>
    <w:rsid w:val="00BE16E3"/>
    <w:rsid w:val="00BE2ECA"/>
    <w:rsid w:val="00BE32BD"/>
    <w:rsid w:val="00BE4C5A"/>
    <w:rsid w:val="00BE57AC"/>
    <w:rsid w:val="00BE5DA2"/>
    <w:rsid w:val="00BE6776"/>
    <w:rsid w:val="00BE6ADA"/>
    <w:rsid w:val="00BF23A6"/>
    <w:rsid w:val="00BF321A"/>
    <w:rsid w:val="00BF5A87"/>
    <w:rsid w:val="00BF6341"/>
    <w:rsid w:val="00BF698A"/>
    <w:rsid w:val="00BF7ADE"/>
    <w:rsid w:val="00C0045E"/>
    <w:rsid w:val="00C00688"/>
    <w:rsid w:val="00C00FD8"/>
    <w:rsid w:val="00C018D9"/>
    <w:rsid w:val="00C01D89"/>
    <w:rsid w:val="00C01E40"/>
    <w:rsid w:val="00C036D6"/>
    <w:rsid w:val="00C062E9"/>
    <w:rsid w:val="00C071DB"/>
    <w:rsid w:val="00C073E4"/>
    <w:rsid w:val="00C07C34"/>
    <w:rsid w:val="00C10151"/>
    <w:rsid w:val="00C10A15"/>
    <w:rsid w:val="00C10E94"/>
    <w:rsid w:val="00C12AF8"/>
    <w:rsid w:val="00C12CFE"/>
    <w:rsid w:val="00C14CE2"/>
    <w:rsid w:val="00C154E6"/>
    <w:rsid w:val="00C15806"/>
    <w:rsid w:val="00C1621B"/>
    <w:rsid w:val="00C16774"/>
    <w:rsid w:val="00C228D5"/>
    <w:rsid w:val="00C23A7D"/>
    <w:rsid w:val="00C24DB8"/>
    <w:rsid w:val="00C252E5"/>
    <w:rsid w:val="00C26E75"/>
    <w:rsid w:val="00C274DF"/>
    <w:rsid w:val="00C27B54"/>
    <w:rsid w:val="00C3115D"/>
    <w:rsid w:val="00C33771"/>
    <w:rsid w:val="00C34230"/>
    <w:rsid w:val="00C35035"/>
    <w:rsid w:val="00C3661B"/>
    <w:rsid w:val="00C36F52"/>
    <w:rsid w:val="00C42112"/>
    <w:rsid w:val="00C42CA1"/>
    <w:rsid w:val="00C44D37"/>
    <w:rsid w:val="00C45FF0"/>
    <w:rsid w:val="00C46A0C"/>
    <w:rsid w:val="00C473F7"/>
    <w:rsid w:val="00C50259"/>
    <w:rsid w:val="00C5100A"/>
    <w:rsid w:val="00C51151"/>
    <w:rsid w:val="00C52AB3"/>
    <w:rsid w:val="00C54B3A"/>
    <w:rsid w:val="00C55292"/>
    <w:rsid w:val="00C56251"/>
    <w:rsid w:val="00C57A6E"/>
    <w:rsid w:val="00C6158C"/>
    <w:rsid w:val="00C62FDC"/>
    <w:rsid w:val="00C63885"/>
    <w:rsid w:val="00C64F6E"/>
    <w:rsid w:val="00C65B08"/>
    <w:rsid w:val="00C65E9D"/>
    <w:rsid w:val="00C662E2"/>
    <w:rsid w:val="00C66E8F"/>
    <w:rsid w:val="00C67026"/>
    <w:rsid w:val="00C6752B"/>
    <w:rsid w:val="00C70652"/>
    <w:rsid w:val="00C71190"/>
    <w:rsid w:val="00C75863"/>
    <w:rsid w:val="00C75894"/>
    <w:rsid w:val="00C76097"/>
    <w:rsid w:val="00C762AC"/>
    <w:rsid w:val="00C77A1F"/>
    <w:rsid w:val="00C81E45"/>
    <w:rsid w:val="00C82308"/>
    <w:rsid w:val="00C84803"/>
    <w:rsid w:val="00C85424"/>
    <w:rsid w:val="00C866C0"/>
    <w:rsid w:val="00C86725"/>
    <w:rsid w:val="00C86838"/>
    <w:rsid w:val="00C92F92"/>
    <w:rsid w:val="00C93A6D"/>
    <w:rsid w:val="00C93AE7"/>
    <w:rsid w:val="00CA0578"/>
    <w:rsid w:val="00CA24A5"/>
    <w:rsid w:val="00CA2F68"/>
    <w:rsid w:val="00CA44A0"/>
    <w:rsid w:val="00CA5274"/>
    <w:rsid w:val="00CA73CB"/>
    <w:rsid w:val="00CA77EA"/>
    <w:rsid w:val="00CB1272"/>
    <w:rsid w:val="00CB1530"/>
    <w:rsid w:val="00CB1B42"/>
    <w:rsid w:val="00CB2F88"/>
    <w:rsid w:val="00CB31B5"/>
    <w:rsid w:val="00CB4859"/>
    <w:rsid w:val="00CB62A3"/>
    <w:rsid w:val="00CB7C33"/>
    <w:rsid w:val="00CC1290"/>
    <w:rsid w:val="00CC12A0"/>
    <w:rsid w:val="00CC26A8"/>
    <w:rsid w:val="00CC2751"/>
    <w:rsid w:val="00CC2872"/>
    <w:rsid w:val="00CC29CF"/>
    <w:rsid w:val="00CC3C04"/>
    <w:rsid w:val="00CC7BCC"/>
    <w:rsid w:val="00CD1F04"/>
    <w:rsid w:val="00CD273E"/>
    <w:rsid w:val="00CD382A"/>
    <w:rsid w:val="00CD3901"/>
    <w:rsid w:val="00CD4231"/>
    <w:rsid w:val="00CD5231"/>
    <w:rsid w:val="00CD56CB"/>
    <w:rsid w:val="00CD5CFE"/>
    <w:rsid w:val="00CE0411"/>
    <w:rsid w:val="00CE31EE"/>
    <w:rsid w:val="00CE3A6F"/>
    <w:rsid w:val="00CE3CBD"/>
    <w:rsid w:val="00CE5444"/>
    <w:rsid w:val="00CE61EA"/>
    <w:rsid w:val="00CE6FD6"/>
    <w:rsid w:val="00CF35C8"/>
    <w:rsid w:val="00CF367B"/>
    <w:rsid w:val="00CF3A35"/>
    <w:rsid w:val="00CF44D8"/>
    <w:rsid w:val="00CF6B2F"/>
    <w:rsid w:val="00CF6E4F"/>
    <w:rsid w:val="00CF71D1"/>
    <w:rsid w:val="00D01CF3"/>
    <w:rsid w:val="00D027AA"/>
    <w:rsid w:val="00D02A6A"/>
    <w:rsid w:val="00D05CAA"/>
    <w:rsid w:val="00D06FD9"/>
    <w:rsid w:val="00D07A31"/>
    <w:rsid w:val="00D07AB4"/>
    <w:rsid w:val="00D114E6"/>
    <w:rsid w:val="00D11F7E"/>
    <w:rsid w:val="00D13EDD"/>
    <w:rsid w:val="00D14B03"/>
    <w:rsid w:val="00D21B64"/>
    <w:rsid w:val="00D24973"/>
    <w:rsid w:val="00D30129"/>
    <w:rsid w:val="00D30ECB"/>
    <w:rsid w:val="00D30F4B"/>
    <w:rsid w:val="00D32748"/>
    <w:rsid w:val="00D34026"/>
    <w:rsid w:val="00D3439F"/>
    <w:rsid w:val="00D3452F"/>
    <w:rsid w:val="00D3667E"/>
    <w:rsid w:val="00D36DEF"/>
    <w:rsid w:val="00D41D2D"/>
    <w:rsid w:val="00D42DDA"/>
    <w:rsid w:val="00D42DF4"/>
    <w:rsid w:val="00D43B06"/>
    <w:rsid w:val="00D44316"/>
    <w:rsid w:val="00D44F36"/>
    <w:rsid w:val="00D45478"/>
    <w:rsid w:val="00D463CA"/>
    <w:rsid w:val="00D465C0"/>
    <w:rsid w:val="00D468D1"/>
    <w:rsid w:val="00D479CF"/>
    <w:rsid w:val="00D47ACA"/>
    <w:rsid w:val="00D47C1B"/>
    <w:rsid w:val="00D51757"/>
    <w:rsid w:val="00D517BA"/>
    <w:rsid w:val="00D51A0A"/>
    <w:rsid w:val="00D52FDC"/>
    <w:rsid w:val="00D53296"/>
    <w:rsid w:val="00D53AC0"/>
    <w:rsid w:val="00D547B7"/>
    <w:rsid w:val="00D548B2"/>
    <w:rsid w:val="00D54B6C"/>
    <w:rsid w:val="00D5617F"/>
    <w:rsid w:val="00D565F8"/>
    <w:rsid w:val="00D56ABB"/>
    <w:rsid w:val="00D571B1"/>
    <w:rsid w:val="00D60C77"/>
    <w:rsid w:val="00D644BD"/>
    <w:rsid w:val="00D65463"/>
    <w:rsid w:val="00D65D90"/>
    <w:rsid w:val="00D67489"/>
    <w:rsid w:val="00D6791A"/>
    <w:rsid w:val="00D71D2B"/>
    <w:rsid w:val="00D735DC"/>
    <w:rsid w:val="00D75A2A"/>
    <w:rsid w:val="00D80A2B"/>
    <w:rsid w:val="00D81CEC"/>
    <w:rsid w:val="00D82D65"/>
    <w:rsid w:val="00D846FB"/>
    <w:rsid w:val="00D85008"/>
    <w:rsid w:val="00D8541B"/>
    <w:rsid w:val="00D870FC"/>
    <w:rsid w:val="00D87180"/>
    <w:rsid w:val="00D87830"/>
    <w:rsid w:val="00D91333"/>
    <w:rsid w:val="00D9515D"/>
    <w:rsid w:val="00D95578"/>
    <w:rsid w:val="00D95A6A"/>
    <w:rsid w:val="00D95DB9"/>
    <w:rsid w:val="00D961FA"/>
    <w:rsid w:val="00DA0D0D"/>
    <w:rsid w:val="00DA1949"/>
    <w:rsid w:val="00DA3263"/>
    <w:rsid w:val="00DA3CC5"/>
    <w:rsid w:val="00DA5580"/>
    <w:rsid w:val="00DA7439"/>
    <w:rsid w:val="00DB0BEA"/>
    <w:rsid w:val="00DB0DA9"/>
    <w:rsid w:val="00DB1311"/>
    <w:rsid w:val="00DB1EEB"/>
    <w:rsid w:val="00DB6405"/>
    <w:rsid w:val="00DB6885"/>
    <w:rsid w:val="00DB7BC5"/>
    <w:rsid w:val="00DC0FCA"/>
    <w:rsid w:val="00DC2120"/>
    <w:rsid w:val="00DC3572"/>
    <w:rsid w:val="00DC4685"/>
    <w:rsid w:val="00DC48F8"/>
    <w:rsid w:val="00DC7C93"/>
    <w:rsid w:val="00DD0577"/>
    <w:rsid w:val="00DD07FC"/>
    <w:rsid w:val="00DD1523"/>
    <w:rsid w:val="00DD3239"/>
    <w:rsid w:val="00DD4705"/>
    <w:rsid w:val="00DD6DE2"/>
    <w:rsid w:val="00DD719F"/>
    <w:rsid w:val="00DE0877"/>
    <w:rsid w:val="00DE2A9C"/>
    <w:rsid w:val="00DE2F13"/>
    <w:rsid w:val="00DE3325"/>
    <w:rsid w:val="00DE4F89"/>
    <w:rsid w:val="00DE5432"/>
    <w:rsid w:val="00DF1CD8"/>
    <w:rsid w:val="00DF32F7"/>
    <w:rsid w:val="00DF49CB"/>
    <w:rsid w:val="00DF61FF"/>
    <w:rsid w:val="00E00B37"/>
    <w:rsid w:val="00E00D7F"/>
    <w:rsid w:val="00E02D2F"/>
    <w:rsid w:val="00E02EFE"/>
    <w:rsid w:val="00E033EA"/>
    <w:rsid w:val="00E05D40"/>
    <w:rsid w:val="00E0604D"/>
    <w:rsid w:val="00E07C93"/>
    <w:rsid w:val="00E11FFA"/>
    <w:rsid w:val="00E12214"/>
    <w:rsid w:val="00E1409A"/>
    <w:rsid w:val="00E146C1"/>
    <w:rsid w:val="00E157B1"/>
    <w:rsid w:val="00E2038C"/>
    <w:rsid w:val="00E20C77"/>
    <w:rsid w:val="00E25672"/>
    <w:rsid w:val="00E26D43"/>
    <w:rsid w:val="00E27F72"/>
    <w:rsid w:val="00E311F5"/>
    <w:rsid w:val="00E3329E"/>
    <w:rsid w:val="00E343BA"/>
    <w:rsid w:val="00E34D77"/>
    <w:rsid w:val="00E34E18"/>
    <w:rsid w:val="00E35B1E"/>
    <w:rsid w:val="00E35CA1"/>
    <w:rsid w:val="00E364D7"/>
    <w:rsid w:val="00E367F5"/>
    <w:rsid w:val="00E41533"/>
    <w:rsid w:val="00E41A21"/>
    <w:rsid w:val="00E41B52"/>
    <w:rsid w:val="00E42048"/>
    <w:rsid w:val="00E42407"/>
    <w:rsid w:val="00E43911"/>
    <w:rsid w:val="00E43BC2"/>
    <w:rsid w:val="00E44BD5"/>
    <w:rsid w:val="00E463F7"/>
    <w:rsid w:val="00E5214A"/>
    <w:rsid w:val="00E53032"/>
    <w:rsid w:val="00E55582"/>
    <w:rsid w:val="00E55649"/>
    <w:rsid w:val="00E55780"/>
    <w:rsid w:val="00E55B99"/>
    <w:rsid w:val="00E564F9"/>
    <w:rsid w:val="00E568EB"/>
    <w:rsid w:val="00E56A50"/>
    <w:rsid w:val="00E60005"/>
    <w:rsid w:val="00E60DEB"/>
    <w:rsid w:val="00E62DFB"/>
    <w:rsid w:val="00E6344F"/>
    <w:rsid w:val="00E64BF2"/>
    <w:rsid w:val="00E65AB2"/>
    <w:rsid w:val="00E65C8E"/>
    <w:rsid w:val="00E67964"/>
    <w:rsid w:val="00E72855"/>
    <w:rsid w:val="00E73093"/>
    <w:rsid w:val="00E73783"/>
    <w:rsid w:val="00E738F0"/>
    <w:rsid w:val="00E73D32"/>
    <w:rsid w:val="00E74689"/>
    <w:rsid w:val="00E747E6"/>
    <w:rsid w:val="00E74B3D"/>
    <w:rsid w:val="00E74C1D"/>
    <w:rsid w:val="00E7758A"/>
    <w:rsid w:val="00E80768"/>
    <w:rsid w:val="00E81B2F"/>
    <w:rsid w:val="00E81B99"/>
    <w:rsid w:val="00E81F42"/>
    <w:rsid w:val="00E85B0A"/>
    <w:rsid w:val="00E860E3"/>
    <w:rsid w:val="00E869D4"/>
    <w:rsid w:val="00E87A4C"/>
    <w:rsid w:val="00E908A8"/>
    <w:rsid w:val="00E919A6"/>
    <w:rsid w:val="00E91A4A"/>
    <w:rsid w:val="00E935A1"/>
    <w:rsid w:val="00E9623F"/>
    <w:rsid w:val="00EA04E0"/>
    <w:rsid w:val="00EA0792"/>
    <w:rsid w:val="00EA0857"/>
    <w:rsid w:val="00EA0C6F"/>
    <w:rsid w:val="00EA0D75"/>
    <w:rsid w:val="00EA2122"/>
    <w:rsid w:val="00EA2BCB"/>
    <w:rsid w:val="00EA5A32"/>
    <w:rsid w:val="00EA6A57"/>
    <w:rsid w:val="00EA6AF5"/>
    <w:rsid w:val="00EA6D09"/>
    <w:rsid w:val="00EA7BBB"/>
    <w:rsid w:val="00EA7BF4"/>
    <w:rsid w:val="00EB0905"/>
    <w:rsid w:val="00EB2324"/>
    <w:rsid w:val="00EB3F10"/>
    <w:rsid w:val="00EB60E9"/>
    <w:rsid w:val="00EB68DF"/>
    <w:rsid w:val="00EB69E1"/>
    <w:rsid w:val="00EB77AB"/>
    <w:rsid w:val="00EC0273"/>
    <w:rsid w:val="00EC1517"/>
    <w:rsid w:val="00EC21BE"/>
    <w:rsid w:val="00EC25BA"/>
    <w:rsid w:val="00EC4E8B"/>
    <w:rsid w:val="00EC4FF4"/>
    <w:rsid w:val="00EC5032"/>
    <w:rsid w:val="00EC7664"/>
    <w:rsid w:val="00EC79F2"/>
    <w:rsid w:val="00ED0985"/>
    <w:rsid w:val="00ED0AD5"/>
    <w:rsid w:val="00ED22E7"/>
    <w:rsid w:val="00ED3B76"/>
    <w:rsid w:val="00ED46E7"/>
    <w:rsid w:val="00ED6029"/>
    <w:rsid w:val="00ED7140"/>
    <w:rsid w:val="00ED7ADD"/>
    <w:rsid w:val="00EE19C9"/>
    <w:rsid w:val="00EE60C4"/>
    <w:rsid w:val="00EE631D"/>
    <w:rsid w:val="00EE6FE6"/>
    <w:rsid w:val="00EF0AFA"/>
    <w:rsid w:val="00EF10D1"/>
    <w:rsid w:val="00EF1A33"/>
    <w:rsid w:val="00EF26EA"/>
    <w:rsid w:val="00EF3241"/>
    <w:rsid w:val="00EF3260"/>
    <w:rsid w:val="00EF470E"/>
    <w:rsid w:val="00EF5FFA"/>
    <w:rsid w:val="00F001BC"/>
    <w:rsid w:val="00F012F4"/>
    <w:rsid w:val="00F03FDC"/>
    <w:rsid w:val="00F04CE5"/>
    <w:rsid w:val="00F0539F"/>
    <w:rsid w:val="00F06934"/>
    <w:rsid w:val="00F072E1"/>
    <w:rsid w:val="00F07FDA"/>
    <w:rsid w:val="00F11185"/>
    <w:rsid w:val="00F12E98"/>
    <w:rsid w:val="00F13155"/>
    <w:rsid w:val="00F139FF"/>
    <w:rsid w:val="00F15306"/>
    <w:rsid w:val="00F155EB"/>
    <w:rsid w:val="00F15F87"/>
    <w:rsid w:val="00F2022D"/>
    <w:rsid w:val="00F205BE"/>
    <w:rsid w:val="00F2078F"/>
    <w:rsid w:val="00F207AB"/>
    <w:rsid w:val="00F209C2"/>
    <w:rsid w:val="00F21724"/>
    <w:rsid w:val="00F21803"/>
    <w:rsid w:val="00F218D1"/>
    <w:rsid w:val="00F21A81"/>
    <w:rsid w:val="00F21CC1"/>
    <w:rsid w:val="00F21D1A"/>
    <w:rsid w:val="00F2252B"/>
    <w:rsid w:val="00F22BD1"/>
    <w:rsid w:val="00F23E18"/>
    <w:rsid w:val="00F2428F"/>
    <w:rsid w:val="00F25FDB"/>
    <w:rsid w:val="00F27444"/>
    <w:rsid w:val="00F27D63"/>
    <w:rsid w:val="00F30AB3"/>
    <w:rsid w:val="00F327FC"/>
    <w:rsid w:val="00F32A56"/>
    <w:rsid w:val="00F332E3"/>
    <w:rsid w:val="00F340C1"/>
    <w:rsid w:val="00F34369"/>
    <w:rsid w:val="00F36492"/>
    <w:rsid w:val="00F364ED"/>
    <w:rsid w:val="00F36C2D"/>
    <w:rsid w:val="00F413D8"/>
    <w:rsid w:val="00F42100"/>
    <w:rsid w:val="00F42A9B"/>
    <w:rsid w:val="00F4438A"/>
    <w:rsid w:val="00F4480E"/>
    <w:rsid w:val="00F454AF"/>
    <w:rsid w:val="00F464FE"/>
    <w:rsid w:val="00F47CEC"/>
    <w:rsid w:val="00F5047D"/>
    <w:rsid w:val="00F51440"/>
    <w:rsid w:val="00F51A4A"/>
    <w:rsid w:val="00F53A46"/>
    <w:rsid w:val="00F53BCD"/>
    <w:rsid w:val="00F55200"/>
    <w:rsid w:val="00F55C54"/>
    <w:rsid w:val="00F55DD4"/>
    <w:rsid w:val="00F56138"/>
    <w:rsid w:val="00F5798E"/>
    <w:rsid w:val="00F61825"/>
    <w:rsid w:val="00F619F1"/>
    <w:rsid w:val="00F61C0E"/>
    <w:rsid w:val="00F6564F"/>
    <w:rsid w:val="00F6591A"/>
    <w:rsid w:val="00F708B1"/>
    <w:rsid w:val="00F70FB2"/>
    <w:rsid w:val="00F71431"/>
    <w:rsid w:val="00F7148C"/>
    <w:rsid w:val="00F7180B"/>
    <w:rsid w:val="00F72B23"/>
    <w:rsid w:val="00F72F1A"/>
    <w:rsid w:val="00F7546C"/>
    <w:rsid w:val="00F755A6"/>
    <w:rsid w:val="00F77364"/>
    <w:rsid w:val="00F7761B"/>
    <w:rsid w:val="00F812BE"/>
    <w:rsid w:val="00F814ED"/>
    <w:rsid w:val="00F845C1"/>
    <w:rsid w:val="00F856F7"/>
    <w:rsid w:val="00F86A4F"/>
    <w:rsid w:val="00F87011"/>
    <w:rsid w:val="00F8762B"/>
    <w:rsid w:val="00F91591"/>
    <w:rsid w:val="00F9264B"/>
    <w:rsid w:val="00F9361D"/>
    <w:rsid w:val="00F93ACB"/>
    <w:rsid w:val="00F94C02"/>
    <w:rsid w:val="00F9515F"/>
    <w:rsid w:val="00F96545"/>
    <w:rsid w:val="00FA0A3D"/>
    <w:rsid w:val="00FA1E66"/>
    <w:rsid w:val="00FA2F95"/>
    <w:rsid w:val="00FA4895"/>
    <w:rsid w:val="00FA49F4"/>
    <w:rsid w:val="00FA7EA4"/>
    <w:rsid w:val="00FB0C0E"/>
    <w:rsid w:val="00FB1780"/>
    <w:rsid w:val="00FB35C6"/>
    <w:rsid w:val="00FB417E"/>
    <w:rsid w:val="00FB4B8F"/>
    <w:rsid w:val="00FB534F"/>
    <w:rsid w:val="00FB53B8"/>
    <w:rsid w:val="00FB5BFA"/>
    <w:rsid w:val="00FB6ADE"/>
    <w:rsid w:val="00FC51DD"/>
    <w:rsid w:val="00FC59C0"/>
    <w:rsid w:val="00FC6924"/>
    <w:rsid w:val="00FC79E1"/>
    <w:rsid w:val="00FC7D12"/>
    <w:rsid w:val="00FD12D0"/>
    <w:rsid w:val="00FD2AC4"/>
    <w:rsid w:val="00FD3574"/>
    <w:rsid w:val="00FD3DC0"/>
    <w:rsid w:val="00FD415C"/>
    <w:rsid w:val="00FD534F"/>
    <w:rsid w:val="00FD537C"/>
    <w:rsid w:val="00FD6250"/>
    <w:rsid w:val="00FD6408"/>
    <w:rsid w:val="00FD6A7D"/>
    <w:rsid w:val="00FD6FC9"/>
    <w:rsid w:val="00FD71AC"/>
    <w:rsid w:val="00FE0BE4"/>
    <w:rsid w:val="00FE1592"/>
    <w:rsid w:val="00FE54FA"/>
    <w:rsid w:val="00FF0E91"/>
    <w:rsid w:val="00FF13CA"/>
    <w:rsid w:val="00FF1CA4"/>
    <w:rsid w:val="00FF242B"/>
    <w:rsid w:val="00FF35E2"/>
    <w:rsid w:val="00FF42D1"/>
    <w:rsid w:val="00FF5D71"/>
    <w:rsid w:val="00FF6F60"/>
    <w:rsid w:val="00FF7848"/>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2F1A37BF"/>
  <w15:docId w15:val="{D57A80C1-AB13-4F38-B3EB-D6A766D4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42986206">
      <w:bodyDiv w:val="1"/>
      <w:marLeft w:val="0"/>
      <w:marRight w:val="0"/>
      <w:marTop w:val="0"/>
      <w:marBottom w:val="0"/>
      <w:divBdr>
        <w:top w:val="none" w:sz="0" w:space="0" w:color="auto"/>
        <w:left w:val="none" w:sz="0" w:space="0" w:color="auto"/>
        <w:bottom w:val="none" w:sz="0" w:space="0" w:color="auto"/>
        <w:right w:val="none" w:sz="0" w:space="0" w:color="auto"/>
      </w:divBdr>
      <w:divsChild>
        <w:div w:id="366371187">
          <w:marLeft w:val="0"/>
          <w:marRight w:val="0"/>
          <w:marTop w:val="0"/>
          <w:marBottom w:val="0"/>
          <w:divBdr>
            <w:top w:val="none" w:sz="0" w:space="0" w:color="auto"/>
            <w:left w:val="none" w:sz="0" w:space="0" w:color="auto"/>
            <w:bottom w:val="none" w:sz="0" w:space="0" w:color="auto"/>
            <w:right w:val="none" w:sz="0" w:space="0" w:color="auto"/>
          </w:divBdr>
          <w:divsChild>
            <w:div w:id="410398313">
              <w:marLeft w:val="0"/>
              <w:marRight w:val="0"/>
              <w:marTop w:val="0"/>
              <w:marBottom w:val="0"/>
              <w:divBdr>
                <w:top w:val="none" w:sz="0" w:space="0" w:color="auto"/>
                <w:left w:val="none" w:sz="0" w:space="0" w:color="auto"/>
                <w:bottom w:val="none" w:sz="0" w:space="0" w:color="auto"/>
                <w:right w:val="none" w:sz="0" w:space="0" w:color="auto"/>
              </w:divBdr>
              <w:divsChild>
                <w:div w:id="424157327">
                  <w:marLeft w:val="0"/>
                  <w:marRight w:val="0"/>
                  <w:marTop w:val="0"/>
                  <w:marBottom w:val="0"/>
                  <w:divBdr>
                    <w:top w:val="none" w:sz="0" w:space="0" w:color="auto"/>
                    <w:left w:val="none" w:sz="0" w:space="0" w:color="auto"/>
                    <w:bottom w:val="none" w:sz="0" w:space="0" w:color="auto"/>
                    <w:right w:val="none" w:sz="0" w:space="0" w:color="auto"/>
                  </w:divBdr>
                  <w:divsChild>
                    <w:div w:id="1362515544">
                      <w:marLeft w:val="0"/>
                      <w:marRight w:val="0"/>
                      <w:marTop w:val="0"/>
                      <w:marBottom w:val="0"/>
                      <w:divBdr>
                        <w:top w:val="none" w:sz="0" w:space="0" w:color="auto"/>
                        <w:left w:val="none" w:sz="0" w:space="0" w:color="auto"/>
                        <w:bottom w:val="none" w:sz="0" w:space="0" w:color="auto"/>
                        <w:right w:val="none" w:sz="0" w:space="0" w:color="auto"/>
                      </w:divBdr>
                      <w:divsChild>
                        <w:div w:id="1677994282">
                          <w:marLeft w:val="0"/>
                          <w:marRight w:val="0"/>
                          <w:marTop w:val="0"/>
                          <w:marBottom w:val="0"/>
                          <w:divBdr>
                            <w:top w:val="none" w:sz="0" w:space="0" w:color="auto"/>
                            <w:left w:val="none" w:sz="0" w:space="0" w:color="auto"/>
                            <w:bottom w:val="none" w:sz="0" w:space="0" w:color="auto"/>
                            <w:right w:val="none" w:sz="0" w:space="0" w:color="auto"/>
                          </w:divBdr>
                          <w:divsChild>
                            <w:div w:id="1264340787">
                              <w:marLeft w:val="0"/>
                              <w:marRight w:val="0"/>
                              <w:marTop w:val="0"/>
                              <w:marBottom w:val="0"/>
                              <w:divBdr>
                                <w:top w:val="none" w:sz="0" w:space="0" w:color="auto"/>
                                <w:left w:val="none" w:sz="0" w:space="0" w:color="auto"/>
                                <w:bottom w:val="none" w:sz="0" w:space="0" w:color="auto"/>
                                <w:right w:val="none" w:sz="0" w:space="0" w:color="auto"/>
                              </w:divBdr>
                              <w:divsChild>
                                <w:div w:id="1814907658">
                                  <w:marLeft w:val="0"/>
                                  <w:marRight w:val="0"/>
                                  <w:marTop w:val="0"/>
                                  <w:marBottom w:val="0"/>
                                  <w:divBdr>
                                    <w:top w:val="none" w:sz="0" w:space="0" w:color="auto"/>
                                    <w:left w:val="none" w:sz="0" w:space="0" w:color="auto"/>
                                    <w:bottom w:val="none" w:sz="0" w:space="0" w:color="auto"/>
                                    <w:right w:val="none" w:sz="0" w:space="0" w:color="auto"/>
                                  </w:divBdr>
                                  <w:divsChild>
                                    <w:div w:id="972517947">
                                      <w:marLeft w:val="0"/>
                                      <w:marRight w:val="0"/>
                                      <w:marTop w:val="0"/>
                                      <w:marBottom w:val="0"/>
                                      <w:divBdr>
                                        <w:top w:val="none" w:sz="0" w:space="0" w:color="auto"/>
                                        <w:left w:val="none" w:sz="0" w:space="0" w:color="auto"/>
                                        <w:bottom w:val="none" w:sz="0" w:space="0" w:color="auto"/>
                                        <w:right w:val="none" w:sz="0" w:space="0" w:color="auto"/>
                                      </w:divBdr>
                                      <w:divsChild>
                                        <w:div w:id="1976524745">
                                          <w:marLeft w:val="0"/>
                                          <w:marRight w:val="0"/>
                                          <w:marTop w:val="0"/>
                                          <w:marBottom w:val="0"/>
                                          <w:divBdr>
                                            <w:top w:val="none" w:sz="0" w:space="0" w:color="auto"/>
                                            <w:left w:val="none" w:sz="0" w:space="0" w:color="auto"/>
                                            <w:bottom w:val="none" w:sz="0" w:space="0" w:color="auto"/>
                                            <w:right w:val="none" w:sz="0" w:space="0" w:color="auto"/>
                                          </w:divBdr>
                                          <w:divsChild>
                                            <w:div w:id="1774396688">
                                              <w:marLeft w:val="0"/>
                                              <w:marRight w:val="0"/>
                                              <w:marTop w:val="0"/>
                                              <w:marBottom w:val="0"/>
                                              <w:divBdr>
                                                <w:top w:val="none" w:sz="0" w:space="0" w:color="auto"/>
                                                <w:left w:val="none" w:sz="0" w:space="0" w:color="auto"/>
                                                <w:bottom w:val="none" w:sz="0" w:space="0" w:color="auto"/>
                                                <w:right w:val="none" w:sz="0" w:space="0" w:color="auto"/>
                                              </w:divBdr>
                                              <w:divsChild>
                                                <w:div w:id="65105730">
                                                  <w:marLeft w:val="0"/>
                                                  <w:marRight w:val="0"/>
                                                  <w:marTop w:val="0"/>
                                                  <w:marBottom w:val="0"/>
                                                  <w:divBdr>
                                                    <w:top w:val="none" w:sz="0" w:space="0" w:color="auto"/>
                                                    <w:left w:val="none" w:sz="0" w:space="0" w:color="auto"/>
                                                    <w:bottom w:val="none" w:sz="0" w:space="0" w:color="auto"/>
                                                    <w:right w:val="none" w:sz="0" w:space="0" w:color="auto"/>
                                                  </w:divBdr>
                                                  <w:divsChild>
                                                    <w:div w:id="1297641069">
                                                      <w:marLeft w:val="0"/>
                                                      <w:marRight w:val="0"/>
                                                      <w:marTop w:val="0"/>
                                                      <w:marBottom w:val="0"/>
                                                      <w:divBdr>
                                                        <w:top w:val="none" w:sz="0" w:space="0" w:color="auto"/>
                                                        <w:left w:val="none" w:sz="0" w:space="0" w:color="auto"/>
                                                        <w:bottom w:val="none" w:sz="0" w:space="0" w:color="auto"/>
                                                        <w:right w:val="none" w:sz="0" w:space="0" w:color="auto"/>
                                                      </w:divBdr>
                                                      <w:divsChild>
                                                        <w:div w:id="47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006175414">
      <w:bodyDiv w:val="1"/>
      <w:marLeft w:val="0"/>
      <w:marRight w:val="0"/>
      <w:marTop w:val="0"/>
      <w:marBottom w:val="0"/>
      <w:divBdr>
        <w:top w:val="none" w:sz="0" w:space="0" w:color="auto"/>
        <w:left w:val="none" w:sz="0" w:space="0" w:color="auto"/>
        <w:bottom w:val="none" w:sz="0" w:space="0" w:color="auto"/>
        <w:right w:val="none" w:sz="0" w:space="0" w:color="auto"/>
      </w:divBdr>
      <w:divsChild>
        <w:div w:id="946885890">
          <w:marLeft w:val="0"/>
          <w:marRight w:val="0"/>
          <w:marTop w:val="0"/>
          <w:marBottom w:val="0"/>
          <w:divBdr>
            <w:top w:val="none" w:sz="0" w:space="0" w:color="auto"/>
            <w:left w:val="none" w:sz="0" w:space="0" w:color="auto"/>
            <w:bottom w:val="none" w:sz="0" w:space="0" w:color="auto"/>
            <w:right w:val="none" w:sz="0" w:space="0" w:color="auto"/>
          </w:divBdr>
          <w:divsChild>
            <w:div w:id="1874077590">
              <w:marLeft w:val="0"/>
              <w:marRight w:val="0"/>
              <w:marTop w:val="0"/>
              <w:marBottom w:val="0"/>
              <w:divBdr>
                <w:top w:val="none" w:sz="0" w:space="0" w:color="auto"/>
                <w:left w:val="none" w:sz="0" w:space="0" w:color="auto"/>
                <w:bottom w:val="none" w:sz="0" w:space="0" w:color="auto"/>
                <w:right w:val="none" w:sz="0" w:space="0" w:color="auto"/>
              </w:divBdr>
              <w:divsChild>
                <w:div w:id="751393915">
                  <w:marLeft w:val="0"/>
                  <w:marRight w:val="0"/>
                  <w:marTop w:val="0"/>
                  <w:marBottom w:val="0"/>
                  <w:divBdr>
                    <w:top w:val="none" w:sz="0" w:space="0" w:color="auto"/>
                    <w:left w:val="none" w:sz="0" w:space="0" w:color="auto"/>
                    <w:bottom w:val="none" w:sz="0" w:space="0" w:color="auto"/>
                    <w:right w:val="none" w:sz="0" w:space="0" w:color="auto"/>
                  </w:divBdr>
                  <w:divsChild>
                    <w:div w:id="314535528">
                      <w:marLeft w:val="0"/>
                      <w:marRight w:val="0"/>
                      <w:marTop w:val="0"/>
                      <w:marBottom w:val="0"/>
                      <w:divBdr>
                        <w:top w:val="none" w:sz="0" w:space="0" w:color="auto"/>
                        <w:left w:val="none" w:sz="0" w:space="0" w:color="auto"/>
                        <w:bottom w:val="none" w:sz="0" w:space="0" w:color="auto"/>
                        <w:right w:val="none" w:sz="0" w:space="0" w:color="auto"/>
                      </w:divBdr>
                      <w:divsChild>
                        <w:div w:id="1349721701">
                          <w:marLeft w:val="0"/>
                          <w:marRight w:val="0"/>
                          <w:marTop w:val="0"/>
                          <w:marBottom w:val="0"/>
                          <w:divBdr>
                            <w:top w:val="none" w:sz="0" w:space="0" w:color="auto"/>
                            <w:left w:val="none" w:sz="0" w:space="0" w:color="auto"/>
                            <w:bottom w:val="none" w:sz="0" w:space="0" w:color="auto"/>
                            <w:right w:val="none" w:sz="0" w:space="0" w:color="auto"/>
                          </w:divBdr>
                          <w:divsChild>
                            <w:div w:id="1032920682">
                              <w:marLeft w:val="0"/>
                              <w:marRight w:val="0"/>
                              <w:marTop w:val="0"/>
                              <w:marBottom w:val="0"/>
                              <w:divBdr>
                                <w:top w:val="none" w:sz="0" w:space="0" w:color="auto"/>
                                <w:left w:val="none" w:sz="0" w:space="0" w:color="auto"/>
                                <w:bottom w:val="none" w:sz="0" w:space="0" w:color="auto"/>
                                <w:right w:val="none" w:sz="0" w:space="0" w:color="auto"/>
                              </w:divBdr>
                              <w:divsChild>
                                <w:div w:id="963999527">
                                  <w:marLeft w:val="0"/>
                                  <w:marRight w:val="0"/>
                                  <w:marTop w:val="0"/>
                                  <w:marBottom w:val="0"/>
                                  <w:divBdr>
                                    <w:top w:val="none" w:sz="0" w:space="0" w:color="auto"/>
                                    <w:left w:val="none" w:sz="0" w:space="0" w:color="auto"/>
                                    <w:bottom w:val="none" w:sz="0" w:space="0" w:color="auto"/>
                                    <w:right w:val="none" w:sz="0" w:space="0" w:color="auto"/>
                                  </w:divBdr>
                                  <w:divsChild>
                                    <w:div w:id="1875727064">
                                      <w:marLeft w:val="0"/>
                                      <w:marRight w:val="0"/>
                                      <w:marTop w:val="0"/>
                                      <w:marBottom w:val="0"/>
                                      <w:divBdr>
                                        <w:top w:val="none" w:sz="0" w:space="0" w:color="auto"/>
                                        <w:left w:val="none" w:sz="0" w:space="0" w:color="auto"/>
                                        <w:bottom w:val="none" w:sz="0" w:space="0" w:color="auto"/>
                                        <w:right w:val="none" w:sz="0" w:space="0" w:color="auto"/>
                                      </w:divBdr>
                                      <w:divsChild>
                                        <w:div w:id="295524331">
                                          <w:marLeft w:val="0"/>
                                          <w:marRight w:val="0"/>
                                          <w:marTop w:val="0"/>
                                          <w:marBottom w:val="0"/>
                                          <w:divBdr>
                                            <w:top w:val="none" w:sz="0" w:space="0" w:color="auto"/>
                                            <w:left w:val="none" w:sz="0" w:space="0" w:color="auto"/>
                                            <w:bottom w:val="none" w:sz="0" w:space="0" w:color="auto"/>
                                            <w:right w:val="none" w:sz="0" w:space="0" w:color="auto"/>
                                          </w:divBdr>
                                          <w:divsChild>
                                            <w:div w:id="1859276279">
                                              <w:marLeft w:val="0"/>
                                              <w:marRight w:val="0"/>
                                              <w:marTop w:val="0"/>
                                              <w:marBottom w:val="0"/>
                                              <w:divBdr>
                                                <w:top w:val="none" w:sz="0" w:space="0" w:color="auto"/>
                                                <w:left w:val="none" w:sz="0" w:space="0" w:color="auto"/>
                                                <w:bottom w:val="none" w:sz="0" w:space="0" w:color="auto"/>
                                                <w:right w:val="none" w:sz="0" w:space="0" w:color="auto"/>
                                              </w:divBdr>
                                              <w:divsChild>
                                                <w:div w:id="1844512588">
                                                  <w:marLeft w:val="0"/>
                                                  <w:marRight w:val="0"/>
                                                  <w:marTop w:val="0"/>
                                                  <w:marBottom w:val="0"/>
                                                  <w:divBdr>
                                                    <w:top w:val="none" w:sz="0" w:space="0" w:color="auto"/>
                                                    <w:left w:val="none" w:sz="0" w:space="0" w:color="auto"/>
                                                    <w:bottom w:val="none" w:sz="0" w:space="0" w:color="auto"/>
                                                    <w:right w:val="none" w:sz="0" w:space="0" w:color="auto"/>
                                                  </w:divBdr>
                                                  <w:divsChild>
                                                    <w:div w:id="120420029">
                                                      <w:marLeft w:val="0"/>
                                                      <w:marRight w:val="0"/>
                                                      <w:marTop w:val="0"/>
                                                      <w:marBottom w:val="0"/>
                                                      <w:divBdr>
                                                        <w:top w:val="none" w:sz="0" w:space="0" w:color="auto"/>
                                                        <w:left w:val="none" w:sz="0" w:space="0" w:color="auto"/>
                                                        <w:bottom w:val="none" w:sz="0" w:space="0" w:color="auto"/>
                                                        <w:right w:val="none" w:sz="0" w:space="0" w:color="auto"/>
                                                      </w:divBdr>
                                                      <w:divsChild>
                                                        <w:div w:id="9213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1C8541AA46D9488DB5147B5B1DEFF5" ma:contentTypeVersion="" ma:contentTypeDescription="PDMS Document Site Content Type" ma:contentTypeScope="" ma:versionID="24c7ef0f335979b96b66eccb8f42d0b7">
  <xsd:schema xmlns:xsd="http://www.w3.org/2001/XMLSchema" xmlns:xs="http://www.w3.org/2001/XMLSchema" xmlns:p="http://schemas.microsoft.com/office/2006/metadata/properties" xmlns:ns2="67D4A406-0CD9-4827-9BC1-3F8603AC55FB" targetNamespace="http://schemas.microsoft.com/office/2006/metadata/properties" ma:root="true" ma:fieldsID="52b0192749886ae9fb099cf64ba1e2cb" ns2:_="">
    <xsd:import namespace="67D4A406-0CD9-4827-9BC1-3F8603AC55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4A406-0CD9-4827-9BC1-3F8603AC55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7D4A406-0CD9-4827-9BC1-3F8603AC55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15BC-AE4C-4A02-BA68-DAC276F6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4A406-0CD9-4827-9BC1-3F8603AC5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24F840C9-072A-4BBF-946C-0D1F6CF7362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7D4A406-0CD9-4827-9BC1-3F8603AC55FB"/>
    <ds:schemaRef ds:uri="http://www.w3.org/XML/1998/namespace"/>
    <ds:schemaRef ds:uri="http://purl.org/dc/terms/"/>
  </ds:schemaRefs>
</ds:datastoreItem>
</file>

<file path=customXml/itemProps4.xml><?xml version="1.0" encoding="utf-8"?>
<ds:datastoreItem xmlns:ds="http://schemas.openxmlformats.org/officeDocument/2006/customXml" ds:itemID="{6553ED27-65F0-4E38-B05B-800AA722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10711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GRAYSON, Matthew</cp:lastModifiedBy>
  <cp:revision>2</cp:revision>
  <cp:lastPrinted>2019-01-21T00:37:00Z</cp:lastPrinted>
  <dcterms:created xsi:type="dcterms:W3CDTF">2019-02-21T23:49:00Z</dcterms:created>
  <dcterms:modified xsi:type="dcterms:W3CDTF">2019-02-21T23:49:00Z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0x010100266966F133664895A6EE3632470D45F500CE1C8541AA46D9488DB5147B5B1DEFF5</vt:lpwstr>
  </property>
</Properties>
</file>