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37BF" w14:textId="77777777" w:rsidR="003E571F" w:rsidRPr="003D1C5D" w:rsidRDefault="003E571F" w:rsidP="003E571F">
      <w:pPr>
        <w:pStyle w:val="Heading1"/>
        <w:ind w:left="284"/>
        <w:rPr>
          <w:szCs w:val="24"/>
        </w:rPr>
      </w:pPr>
      <w:bookmarkStart w:id="0" w:name="_GoBack"/>
      <w:bookmarkEnd w:id="0"/>
      <w:r w:rsidRPr="003D1C5D">
        <w:rPr>
          <w:szCs w:val="24"/>
        </w:rPr>
        <w:t>EXPLANATORY STATEMENT</w:t>
      </w:r>
    </w:p>
    <w:p w14:paraId="2F1A37C0" w14:textId="77777777" w:rsidR="003E571F" w:rsidRPr="003D1C5D" w:rsidRDefault="003E571F" w:rsidP="003E571F">
      <w:pPr>
        <w:rPr>
          <w:szCs w:val="24"/>
          <w:u w:val="single"/>
        </w:rPr>
      </w:pPr>
    </w:p>
    <w:p w14:paraId="2F1A37C1" w14:textId="77777777" w:rsidR="003E571F" w:rsidRPr="003D1C5D" w:rsidRDefault="003E571F" w:rsidP="003E571F">
      <w:pPr>
        <w:widowControl w:val="0"/>
        <w:tabs>
          <w:tab w:val="left" w:pos="993"/>
          <w:tab w:val="left" w:pos="1418"/>
        </w:tabs>
        <w:jc w:val="center"/>
        <w:rPr>
          <w:i/>
          <w:szCs w:val="24"/>
        </w:rPr>
      </w:pPr>
      <w:r w:rsidRPr="003D1C5D">
        <w:rPr>
          <w:i/>
          <w:szCs w:val="24"/>
        </w:rPr>
        <w:t>Health Insurance Act 1973</w:t>
      </w:r>
    </w:p>
    <w:p w14:paraId="2F1A37C2" w14:textId="77777777" w:rsidR="00B37F22" w:rsidRPr="003D1C5D" w:rsidRDefault="00B37F22" w:rsidP="00F8762B">
      <w:pPr>
        <w:jc w:val="center"/>
        <w:rPr>
          <w:i/>
          <w:szCs w:val="24"/>
        </w:rPr>
      </w:pPr>
    </w:p>
    <w:p w14:paraId="32A86644" w14:textId="557C54F2" w:rsidR="00021BD3" w:rsidRPr="003D1C5D" w:rsidRDefault="000027BC" w:rsidP="006D0FE2">
      <w:pPr>
        <w:jc w:val="center"/>
        <w:rPr>
          <w:szCs w:val="24"/>
        </w:rPr>
      </w:pPr>
      <w:r w:rsidRPr="000027BC">
        <w:rPr>
          <w:i/>
          <w:szCs w:val="24"/>
        </w:rPr>
        <w:t>Health Insurance (Professional Services Review Scheme) Regulations 201</w:t>
      </w:r>
      <w:r w:rsidR="00CF3B23">
        <w:rPr>
          <w:i/>
          <w:szCs w:val="24"/>
        </w:rPr>
        <w:t>9</w:t>
      </w:r>
    </w:p>
    <w:p w14:paraId="6669D469" w14:textId="77777777" w:rsidR="000027BC" w:rsidRDefault="000027BC" w:rsidP="00017B9A">
      <w:pPr>
        <w:ind w:right="-483"/>
        <w:rPr>
          <w:szCs w:val="24"/>
        </w:rPr>
      </w:pPr>
    </w:p>
    <w:p w14:paraId="2F1A37C5" w14:textId="5A18BCBD" w:rsidR="00017B9A" w:rsidRPr="000027BC" w:rsidRDefault="00017B9A" w:rsidP="00017B9A">
      <w:pPr>
        <w:ind w:right="-483"/>
        <w:rPr>
          <w:szCs w:val="24"/>
        </w:rPr>
      </w:pPr>
      <w:r w:rsidRPr="003D1C5D">
        <w:rPr>
          <w:szCs w:val="24"/>
        </w:rPr>
        <w:t>Subsection 133(1)</w:t>
      </w:r>
      <w:r w:rsidR="00822B28" w:rsidRPr="003D1C5D">
        <w:rPr>
          <w:szCs w:val="24"/>
        </w:rPr>
        <w:t xml:space="preserve"> of</w:t>
      </w:r>
      <w:r w:rsidRPr="003D1C5D">
        <w:rPr>
          <w:szCs w:val="24"/>
        </w:rPr>
        <w:t xml:space="preserve"> the </w:t>
      </w:r>
      <w:r w:rsidR="00760BED" w:rsidRPr="00760BED">
        <w:rPr>
          <w:i/>
          <w:szCs w:val="24"/>
        </w:rPr>
        <w:t>Health Insu</w:t>
      </w:r>
      <w:r w:rsidR="00760BED">
        <w:rPr>
          <w:i/>
          <w:szCs w:val="24"/>
        </w:rPr>
        <w:t>r</w:t>
      </w:r>
      <w:r w:rsidR="00760BED" w:rsidRPr="00760BED">
        <w:rPr>
          <w:i/>
          <w:szCs w:val="24"/>
        </w:rPr>
        <w:t>ance Act 1973</w:t>
      </w:r>
      <w:r w:rsidR="00760BED">
        <w:rPr>
          <w:szCs w:val="24"/>
        </w:rPr>
        <w:t xml:space="preserve"> (the Act)</w:t>
      </w:r>
      <w:r w:rsidRPr="003D1C5D">
        <w:rPr>
          <w:szCs w:val="24"/>
        </w:rPr>
        <w:t xml:space="preserve"> provides that the Governor-General may make regulations, not inconsistent with the </w:t>
      </w:r>
      <w:r w:rsidRPr="007805F5">
        <w:rPr>
          <w:szCs w:val="24"/>
        </w:rPr>
        <w:t>Act</w:t>
      </w:r>
      <w:r w:rsidRPr="003D1C5D">
        <w:rPr>
          <w:szCs w:val="24"/>
        </w:rPr>
        <w:t xml:space="preserve">, prescribing all matters required or permitted by the Act to be prescribed, or necessary or convenient to be prescribed for carrying out or giving </w:t>
      </w:r>
      <w:r w:rsidRPr="000027BC">
        <w:rPr>
          <w:szCs w:val="24"/>
        </w:rPr>
        <w:t>effect to the Act.</w:t>
      </w:r>
    </w:p>
    <w:p w14:paraId="2F1A37C6" w14:textId="77777777" w:rsidR="00017B9A" w:rsidRPr="000027BC" w:rsidRDefault="00017B9A" w:rsidP="00017B9A">
      <w:pPr>
        <w:ind w:right="-483"/>
        <w:rPr>
          <w:rStyle w:val="IntenseReference"/>
          <w:b w:val="0"/>
          <w:bCs w:val="0"/>
          <w:i w:val="0"/>
          <w:smallCaps w:val="0"/>
          <w:color w:val="auto"/>
          <w:szCs w:val="24"/>
        </w:rPr>
      </w:pPr>
    </w:p>
    <w:p w14:paraId="6E393192" w14:textId="77777777" w:rsidR="000027BC" w:rsidRPr="00044F5D" w:rsidRDefault="000027BC" w:rsidP="000027BC">
      <w:pPr>
        <w:ind w:right="-483"/>
        <w:rPr>
          <w:szCs w:val="24"/>
        </w:rPr>
      </w:pPr>
      <w:r w:rsidRPr="00FC31FA">
        <w:rPr>
          <w:szCs w:val="24"/>
        </w:rPr>
        <w:t xml:space="preserve">Part VAA of the Act provides for the Professional Services Review Scheme </w:t>
      </w:r>
      <w:r>
        <w:rPr>
          <w:szCs w:val="24"/>
        </w:rPr>
        <w:t>which can conduct reviews and make decisions on the appropriateness of practitioners’ provision of services.</w:t>
      </w:r>
    </w:p>
    <w:p w14:paraId="06F9D042" w14:textId="77777777" w:rsidR="00A21A3E" w:rsidRPr="00021BD3" w:rsidRDefault="00A21A3E" w:rsidP="000201DC">
      <w:pPr>
        <w:rPr>
          <w:highlight w:val="yellow"/>
        </w:rPr>
      </w:pPr>
    </w:p>
    <w:p w14:paraId="2F1A37CB" w14:textId="07DB6182" w:rsidR="00D75A2A" w:rsidRPr="002C7B11" w:rsidRDefault="00D75A2A" w:rsidP="00D75A2A">
      <w:pPr>
        <w:autoSpaceDE w:val="0"/>
        <w:autoSpaceDN w:val="0"/>
        <w:adjustRightInd w:val="0"/>
        <w:rPr>
          <w:b/>
          <w:szCs w:val="24"/>
        </w:rPr>
      </w:pPr>
      <w:r w:rsidRPr="002C7B11">
        <w:rPr>
          <w:b/>
          <w:szCs w:val="24"/>
        </w:rPr>
        <w:t>Purpose</w:t>
      </w:r>
    </w:p>
    <w:p w14:paraId="1E95C5E9" w14:textId="2C8E3E57" w:rsidR="00D44543" w:rsidRDefault="000027BC" w:rsidP="000027BC">
      <w:r w:rsidRPr="00754E28">
        <w:t xml:space="preserve">The purpose of the </w:t>
      </w:r>
      <w:r w:rsidRPr="00FC31FA">
        <w:rPr>
          <w:i/>
          <w:iCs/>
        </w:rPr>
        <w:t>Health Insurance (Professional Services Review Scheme) Regulations 201</w:t>
      </w:r>
      <w:r w:rsidR="00CF3B23">
        <w:rPr>
          <w:i/>
          <w:iCs/>
        </w:rPr>
        <w:t>9</w:t>
      </w:r>
      <w:r>
        <w:rPr>
          <w:i/>
          <w:iCs/>
        </w:rPr>
        <w:t xml:space="preserve"> </w:t>
      </w:r>
      <w:r>
        <w:t xml:space="preserve">(the </w:t>
      </w:r>
      <w:r w:rsidR="000D17B6">
        <w:t xml:space="preserve">Principal </w:t>
      </w:r>
      <w:r>
        <w:t xml:space="preserve">Regulations) </w:t>
      </w:r>
      <w:r w:rsidR="00254326">
        <w:t xml:space="preserve">is </w:t>
      </w:r>
      <w:r>
        <w:t xml:space="preserve">to </w:t>
      </w:r>
      <w:r w:rsidR="00D44543">
        <w:t xml:space="preserve">repeal and remake the </w:t>
      </w:r>
      <w:r w:rsidR="00D44543">
        <w:rPr>
          <w:i/>
        </w:rPr>
        <w:t>Health Insuranc</w:t>
      </w:r>
      <w:r w:rsidR="00154AC1">
        <w:rPr>
          <w:i/>
        </w:rPr>
        <w:t>e (Professional Services Review)</w:t>
      </w:r>
      <w:r w:rsidR="00D44543">
        <w:rPr>
          <w:i/>
        </w:rPr>
        <w:t xml:space="preserve"> Regulations 1999</w:t>
      </w:r>
      <w:r w:rsidR="00D44543">
        <w:t xml:space="preserve"> (the Previous Regulations). The Previous Regulations are required to be remade before 1 April 2019, which is when the instrument</w:t>
      </w:r>
      <w:r>
        <w:t xml:space="preserve"> </w:t>
      </w:r>
      <w:r w:rsidR="00D44543">
        <w:t xml:space="preserve">will sunset under the </w:t>
      </w:r>
      <w:r w:rsidR="00D44543">
        <w:rPr>
          <w:i/>
        </w:rPr>
        <w:t>Legislation Act 2003</w:t>
      </w:r>
      <w:r>
        <w:t>.</w:t>
      </w:r>
    </w:p>
    <w:p w14:paraId="1FC613D2" w14:textId="77777777" w:rsidR="00D44543" w:rsidRDefault="00D44543" w:rsidP="000027BC"/>
    <w:p w14:paraId="4269CE81" w14:textId="7CA1E45B" w:rsidR="00D44543" w:rsidRDefault="00D44543" w:rsidP="000027BC">
      <w:r>
        <w:t xml:space="preserve">The Principal Regulations support the </w:t>
      </w:r>
      <w:r w:rsidR="008E5852">
        <w:t>function</w:t>
      </w:r>
      <w:r>
        <w:t xml:space="preserve"> of the Professional Services Review Scheme through:</w:t>
      </w:r>
    </w:p>
    <w:p w14:paraId="6466DDA2" w14:textId="108B1073" w:rsidR="00D44543" w:rsidRDefault="00180FE6" w:rsidP="00D44543">
      <w:pPr>
        <w:pStyle w:val="ListParagraph"/>
        <w:numPr>
          <w:ilvl w:val="0"/>
          <w:numId w:val="24"/>
        </w:numPr>
      </w:pPr>
      <w:r>
        <w:t>setting out standards for adequate and contemporaneous records to be kept by practitioners in relation to patient records and rendering of services;</w:t>
      </w:r>
    </w:p>
    <w:p w14:paraId="15EA293A" w14:textId="4ADA15CB" w:rsidR="00180FE6" w:rsidRDefault="001A4CBF" w:rsidP="00D44543">
      <w:pPr>
        <w:pStyle w:val="ListParagraph"/>
        <w:numPr>
          <w:ilvl w:val="0"/>
          <w:numId w:val="24"/>
        </w:numPr>
      </w:pPr>
      <w:r>
        <w:t>setting out</w:t>
      </w:r>
      <w:r w:rsidR="00180FE6">
        <w:t xml:space="preserve"> exceptional circumstances in relation to inappropriate practice with regard to unusual levels of relevant services;</w:t>
      </w:r>
    </w:p>
    <w:p w14:paraId="6A82798D" w14:textId="410152D9" w:rsidR="001A4CBF" w:rsidRDefault="001A4CBF" w:rsidP="00D44543">
      <w:pPr>
        <w:pStyle w:val="ListParagraph"/>
        <w:numPr>
          <w:ilvl w:val="0"/>
          <w:numId w:val="24"/>
        </w:numPr>
      </w:pPr>
      <w:r>
        <w:t>defining circumstances for medical practitioners for prescribed pattern of services;</w:t>
      </w:r>
    </w:p>
    <w:p w14:paraId="2A7E0E8F" w14:textId="49CF3FEA" w:rsidR="001A4CBF" w:rsidRDefault="008E5852" w:rsidP="00D44543">
      <w:pPr>
        <w:pStyle w:val="ListParagraph"/>
        <w:numPr>
          <w:ilvl w:val="0"/>
          <w:numId w:val="24"/>
        </w:numPr>
      </w:pPr>
      <w:r>
        <w:t>setting out allowance</w:t>
      </w:r>
      <w:r w:rsidR="00A02F10">
        <w:t xml:space="preserve"> provisions</w:t>
      </w:r>
      <w:r>
        <w:t xml:space="preserve"> for witnesses summoned to appear at a h</w:t>
      </w:r>
      <w:r w:rsidR="00A73280">
        <w:t xml:space="preserve">earing before the Professional </w:t>
      </w:r>
      <w:r>
        <w:t>Services Review Committee; and</w:t>
      </w:r>
    </w:p>
    <w:p w14:paraId="3F0267B8" w14:textId="5B26DB1A" w:rsidR="00180FE6" w:rsidRDefault="00A02F10" w:rsidP="00D44543">
      <w:pPr>
        <w:pStyle w:val="ListParagraph"/>
        <w:numPr>
          <w:ilvl w:val="0"/>
          <w:numId w:val="24"/>
        </w:numPr>
      </w:pPr>
      <w:r>
        <w:t>specifying persons and bodies for the purposes of referral of professional issues to regulatory and other bodies.</w:t>
      </w:r>
    </w:p>
    <w:p w14:paraId="0A410E4F" w14:textId="77777777" w:rsidR="000027BC" w:rsidRDefault="000027BC" w:rsidP="000027BC"/>
    <w:p w14:paraId="7CB06DC0" w14:textId="77777777" w:rsidR="00A02F10" w:rsidRDefault="00B65D74" w:rsidP="00B65D74">
      <w:r>
        <w:t>The Princ</w:t>
      </w:r>
      <w:r w:rsidR="008E5852">
        <w:t>i</w:t>
      </w:r>
      <w:r>
        <w:t>pal Regulations have updated the Previous Regulations to reflect current drafting standards whilst maintaining the overarching policy framework. The amendments are administrative and do not make changes to the Professional Services Review Scheme.</w:t>
      </w:r>
    </w:p>
    <w:p w14:paraId="270AA345" w14:textId="77777777" w:rsidR="00A02F10" w:rsidRDefault="00A02F10" w:rsidP="00B65D74"/>
    <w:p w14:paraId="0150C8BA" w14:textId="46D02361" w:rsidR="006F1D53" w:rsidRDefault="00D75A2A" w:rsidP="00D75A2A">
      <w:pPr>
        <w:autoSpaceDE w:val="0"/>
        <w:autoSpaceDN w:val="0"/>
        <w:adjustRightInd w:val="0"/>
        <w:rPr>
          <w:b/>
          <w:szCs w:val="24"/>
        </w:rPr>
      </w:pPr>
      <w:r w:rsidRPr="00C64F6E">
        <w:rPr>
          <w:b/>
          <w:szCs w:val="24"/>
        </w:rPr>
        <w:t>Consultation</w:t>
      </w:r>
    </w:p>
    <w:p w14:paraId="0BD45F64" w14:textId="349DAB68" w:rsidR="0043618F" w:rsidRDefault="005E1EBC" w:rsidP="0043618F">
      <w:pPr>
        <w:rPr>
          <w:szCs w:val="24"/>
        </w:rPr>
      </w:pPr>
      <w:r>
        <w:rPr>
          <w:szCs w:val="24"/>
        </w:rPr>
        <w:t>C</w:t>
      </w:r>
      <w:r w:rsidR="006741B6">
        <w:rPr>
          <w:szCs w:val="24"/>
        </w:rPr>
        <w:t>o</w:t>
      </w:r>
      <w:r w:rsidR="008D2657">
        <w:rPr>
          <w:szCs w:val="24"/>
        </w:rPr>
        <w:t xml:space="preserve">nsultation was undertaken </w:t>
      </w:r>
      <w:r w:rsidR="00FE5C16">
        <w:rPr>
          <w:szCs w:val="24"/>
        </w:rPr>
        <w:t>with</w:t>
      </w:r>
      <w:r w:rsidR="008D2657">
        <w:rPr>
          <w:szCs w:val="24"/>
        </w:rPr>
        <w:t xml:space="preserve"> the Prof</w:t>
      </w:r>
      <w:r>
        <w:rPr>
          <w:szCs w:val="24"/>
        </w:rPr>
        <w:t>essi</w:t>
      </w:r>
      <w:r w:rsidR="00A73280">
        <w:rPr>
          <w:szCs w:val="24"/>
        </w:rPr>
        <w:t>onal Services Review Agency, which</w:t>
      </w:r>
      <w:r>
        <w:rPr>
          <w:szCs w:val="24"/>
        </w:rPr>
        <w:t xml:space="preserve"> agreed to the proposed amendments.</w:t>
      </w:r>
      <w:r w:rsidR="0043618F">
        <w:rPr>
          <w:szCs w:val="24"/>
        </w:rPr>
        <w:t xml:space="preserve"> </w:t>
      </w:r>
      <w:r w:rsidR="00002C76">
        <w:rPr>
          <w:szCs w:val="24"/>
        </w:rPr>
        <w:t>Broad consultation was undertaken with the</w:t>
      </w:r>
      <w:r w:rsidR="0043618F">
        <w:rPr>
          <w:szCs w:val="24"/>
        </w:rPr>
        <w:t xml:space="preserve"> Australian Medical Association.</w:t>
      </w:r>
    </w:p>
    <w:p w14:paraId="6D5C40F6" w14:textId="77777777" w:rsidR="0043618F" w:rsidRDefault="0043618F" w:rsidP="0043618F">
      <w:pPr>
        <w:rPr>
          <w:szCs w:val="24"/>
        </w:rPr>
      </w:pPr>
    </w:p>
    <w:p w14:paraId="2F1A37F7" w14:textId="5D2727D6" w:rsidR="005F04DC" w:rsidRPr="00A708AB" w:rsidRDefault="005F04DC" w:rsidP="005F04DC">
      <w:pPr>
        <w:rPr>
          <w:szCs w:val="24"/>
        </w:rPr>
      </w:pPr>
      <w:r w:rsidRPr="00A708AB">
        <w:rPr>
          <w:szCs w:val="24"/>
        </w:rPr>
        <w:t xml:space="preserve">Details of the </w:t>
      </w:r>
      <w:r w:rsidR="00607B63">
        <w:rPr>
          <w:szCs w:val="24"/>
        </w:rPr>
        <w:t xml:space="preserve">Principal </w:t>
      </w:r>
      <w:r w:rsidR="00336657">
        <w:rPr>
          <w:szCs w:val="24"/>
        </w:rPr>
        <w:t>R</w:t>
      </w:r>
      <w:r w:rsidRPr="00A708AB">
        <w:rPr>
          <w:szCs w:val="24"/>
        </w:rPr>
        <w:t>egulation</w:t>
      </w:r>
      <w:r w:rsidR="0047307F" w:rsidRPr="00A708AB">
        <w:rPr>
          <w:szCs w:val="24"/>
        </w:rPr>
        <w:t>s</w:t>
      </w:r>
      <w:r w:rsidRPr="00A708AB">
        <w:rPr>
          <w:i/>
          <w:szCs w:val="24"/>
        </w:rPr>
        <w:t xml:space="preserve"> </w:t>
      </w:r>
      <w:r w:rsidRPr="00A708AB">
        <w:rPr>
          <w:szCs w:val="24"/>
        </w:rPr>
        <w:t xml:space="preserve">are set out in the </w:t>
      </w:r>
      <w:r w:rsidRPr="00A708AB">
        <w:rPr>
          <w:szCs w:val="24"/>
          <w:u w:val="single"/>
        </w:rPr>
        <w:t>Attachment</w:t>
      </w:r>
      <w:r w:rsidRPr="00A708AB">
        <w:rPr>
          <w:szCs w:val="24"/>
        </w:rPr>
        <w:t>.</w:t>
      </w:r>
    </w:p>
    <w:p w14:paraId="2F1A37F8" w14:textId="77777777" w:rsidR="005F04DC" w:rsidRPr="00A708AB" w:rsidRDefault="005F04DC" w:rsidP="005F04DC">
      <w:pPr>
        <w:rPr>
          <w:szCs w:val="24"/>
        </w:rPr>
      </w:pPr>
    </w:p>
    <w:p w14:paraId="2F1A37FB" w14:textId="25F56B8A" w:rsidR="00242079" w:rsidRPr="00A708AB" w:rsidRDefault="005F04DC" w:rsidP="00B3796F">
      <w:r w:rsidRPr="00A708AB">
        <w:rPr>
          <w:szCs w:val="24"/>
        </w:rPr>
        <w:t xml:space="preserve">The Act specifies no conditions which need to be met before the power to make the </w:t>
      </w:r>
      <w:r w:rsidR="00215EEB">
        <w:rPr>
          <w:szCs w:val="24"/>
        </w:rPr>
        <w:t xml:space="preserve">Principal </w:t>
      </w:r>
      <w:r w:rsidR="00336657">
        <w:rPr>
          <w:szCs w:val="24"/>
        </w:rPr>
        <w:t>R</w:t>
      </w:r>
      <w:r w:rsidRPr="00A708AB">
        <w:rPr>
          <w:szCs w:val="24"/>
        </w:rPr>
        <w:t>egulation</w:t>
      </w:r>
      <w:r w:rsidR="004B1943" w:rsidRPr="00A708AB">
        <w:rPr>
          <w:szCs w:val="24"/>
        </w:rPr>
        <w:t>s</w:t>
      </w:r>
      <w:r w:rsidRPr="00A708AB">
        <w:rPr>
          <w:szCs w:val="24"/>
        </w:rPr>
        <w:t xml:space="preserve"> may be exercised.</w:t>
      </w:r>
      <w:r w:rsidR="005F685D">
        <w:rPr>
          <w:szCs w:val="24"/>
        </w:rPr>
        <w:t xml:space="preserve"> </w:t>
      </w:r>
      <w:r w:rsidR="00254E64" w:rsidRPr="00A708AB">
        <w:t xml:space="preserve">The </w:t>
      </w:r>
      <w:r w:rsidR="001E38B9">
        <w:t xml:space="preserve">Principal </w:t>
      </w:r>
      <w:r w:rsidR="00336657">
        <w:t>R</w:t>
      </w:r>
      <w:r w:rsidR="00254E64" w:rsidRPr="00A708AB">
        <w:t>egulation</w:t>
      </w:r>
      <w:r w:rsidR="004B1943" w:rsidRPr="00A708AB">
        <w:t>s</w:t>
      </w:r>
      <w:r w:rsidR="00254E64" w:rsidRPr="00A708AB">
        <w:t xml:space="preserve"> </w:t>
      </w:r>
      <w:r w:rsidR="004B1943" w:rsidRPr="00A708AB">
        <w:t>are</w:t>
      </w:r>
      <w:r w:rsidR="00254E64" w:rsidRPr="00A708AB">
        <w:t xml:space="preserve"> a legislative inst</w:t>
      </w:r>
      <w:r w:rsidR="000962CE" w:rsidRPr="00A708AB">
        <w:t>rument for the purposes of the</w:t>
      </w:r>
      <w:r w:rsidR="005F685D">
        <w:t xml:space="preserve"> </w:t>
      </w:r>
      <w:r w:rsidR="00254E64" w:rsidRPr="00A708AB">
        <w:rPr>
          <w:i/>
          <w:iCs/>
        </w:rPr>
        <w:t>Legislation Act 2003</w:t>
      </w:r>
      <w:r w:rsidR="00254E64" w:rsidRPr="00A708AB">
        <w:t>.</w:t>
      </w:r>
    </w:p>
    <w:p w14:paraId="2F1A37FC" w14:textId="77777777" w:rsidR="00254E64" w:rsidRPr="00A708AB" w:rsidRDefault="00254E64" w:rsidP="00B3796F">
      <w:pPr>
        <w:rPr>
          <w:iCs/>
          <w:szCs w:val="24"/>
        </w:rPr>
      </w:pPr>
    </w:p>
    <w:p w14:paraId="2F1A37FE" w14:textId="65947F4D" w:rsidR="00AB5F4D" w:rsidRPr="00A708AB" w:rsidRDefault="002B2E14" w:rsidP="0099448D">
      <w:pPr>
        <w:rPr>
          <w:szCs w:val="24"/>
          <w:u w:val="single"/>
        </w:rPr>
      </w:pPr>
      <w:r w:rsidRPr="00A708AB">
        <w:rPr>
          <w:szCs w:val="24"/>
        </w:rPr>
        <w:t>Th</w:t>
      </w:r>
      <w:r w:rsidR="00A708AB" w:rsidRPr="00A708AB">
        <w:rPr>
          <w:szCs w:val="24"/>
        </w:rPr>
        <w:t xml:space="preserve">e </w:t>
      </w:r>
      <w:r w:rsidR="001E38B9">
        <w:rPr>
          <w:szCs w:val="24"/>
        </w:rPr>
        <w:t xml:space="preserve">Principal </w:t>
      </w:r>
      <w:r w:rsidR="00336657">
        <w:rPr>
          <w:szCs w:val="24"/>
        </w:rPr>
        <w:t>R</w:t>
      </w:r>
      <w:r w:rsidR="00A708AB" w:rsidRPr="00A708AB">
        <w:rPr>
          <w:szCs w:val="24"/>
        </w:rPr>
        <w:t xml:space="preserve">egulations commence </w:t>
      </w:r>
      <w:r w:rsidR="00336657">
        <w:rPr>
          <w:szCs w:val="24"/>
        </w:rPr>
        <w:t>t</w:t>
      </w:r>
      <w:r w:rsidR="00336657" w:rsidRPr="00336657">
        <w:rPr>
          <w:szCs w:val="24"/>
        </w:rPr>
        <w:t>he day after this instrument is registered.</w:t>
      </w:r>
    </w:p>
    <w:p w14:paraId="2F1A37FF" w14:textId="77777777" w:rsidR="005F04DC" w:rsidRPr="00A708AB" w:rsidRDefault="005F04DC" w:rsidP="005F04DC">
      <w:pPr>
        <w:pStyle w:val="Subtitle"/>
        <w:rPr>
          <w:szCs w:val="24"/>
          <w:u w:val="none"/>
        </w:rPr>
      </w:pPr>
    </w:p>
    <w:p w14:paraId="2F1A3800" w14:textId="24B56ECB" w:rsidR="005F04DC" w:rsidRPr="00A708AB" w:rsidRDefault="005F04DC" w:rsidP="005F04DC">
      <w:pPr>
        <w:tabs>
          <w:tab w:val="left" w:pos="4536"/>
          <w:tab w:val="left" w:pos="5670"/>
        </w:tabs>
        <w:ind w:left="284"/>
        <w:jc w:val="center"/>
        <w:rPr>
          <w:szCs w:val="24"/>
        </w:rPr>
      </w:pPr>
      <w:r w:rsidRPr="00A708AB">
        <w:rPr>
          <w:szCs w:val="24"/>
        </w:rPr>
        <w:tab/>
      </w:r>
      <w:r w:rsidRPr="00A708AB">
        <w:rPr>
          <w:szCs w:val="24"/>
          <w:u w:val="single"/>
        </w:rPr>
        <w:t>Authority</w:t>
      </w:r>
      <w:r w:rsidRPr="00A708AB">
        <w:rPr>
          <w:szCs w:val="24"/>
        </w:rPr>
        <w:t xml:space="preserve">:     </w:t>
      </w:r>
      <w:r w:rsidR="00C252E5" w:rsidRPr="00A708AB">
        <w:rPr>
          <w:szCs w:val="24"/>
        </w:rPr>
        <w:t xml:space="preserve">    </w:t>
      </w:r>
      <w:r w:rsidRPr="00A708AB">
        <w:rPr>
          <w:szCs w:val="24"/>
        </w:rPr>
        <w:t xml:space="preserve">Subsection 133(1) of the </w:t>
      </w:r>
    </w:p>
    <w:p w14:paraId="2F1A3802" w14:textId="2BA78061" w:rsidR="003216B7" w:rsidRPr="00021BD3" w:rsidRDefault="005F04DC" w:rsidP="004C3E41">
      <w:pPr>
        <w:tabs>
          <w:tab w:val="left" w:pos="4536"/>
        </w:tabs>
        <w:ind w:left="284"/>
        <w:jc w:val="center"/>
        <w:rPr>
          <w:highlight w:val="yellow"/>
        </w:rPr>
        <w:sectPr w:rsidR="003216B7" w:rsidRPr="00021BD3" w:rsidSect="005F685D">
          <w:headerReference w:type="even" r:id="rId11"/>
          <w:headerReference w:type="default" r:id="rId12"/>
          <w:headerReference w:type="first" r:id="rId13"/>
          <w:pgSz w:w="11906" w:h="16838"/>
          <w:pgMar w:top="964" w:right="1440" w:bottom="907" w:left="1440" w:header="720" w:footer="720" w:gutter="0"/>
          <w:paperSrc w:first="7" w:other="7"/>
          <w:pgNumType w:start="1"/>
          <w:cols w:space="720"/>
          <w:docGrid w:linePitch="326"/>
        </w:sectPr>
      </w:pPr>
      <w:r w:rsidRPr="00A708AB">
        <w:rPr>
          <w:i/>
          <w:szCs w:val="24"/>
        </w:rPr>
        <w:t xml:space="preserve">                                                                </w:t>
      </w:r>
      <w:r w:rsidR="00C252E5" w:rsidRPr="00A708AB">
        <w:rPr>
          <w:i/>
          <w:szCs w:val="24"/>
        </w:rPr>
        <w:t xml:space="preserve">                            </w:t>
      </w:r>
      <w:r w:rsidR="00142C17" w:rsidRPr="00A708AB">
        <w:rPr>
          <w:i/>
          <w:szCs w:val="24"/>
        </w:rPr>
        <w:t xml:space="preserve">       </w:t>
      </w:r>
      <w:r w:rsidRPr="00A708AB">
        <w:rPr>
          <w:i/>
          <w:szCs w:val="24"/>
        </w:rPr>
        <w:t>Health Insurance Act 1973</w:t>
      </w:r>
      <w:r w:rsidR="004C3E41">
        <w:rPr>
          <w:szCs w:val="24"/>
        </w:rPr>
        <w:t xml:space="preserve"> </w:t>
      </w:r>
    </w:p>
    <w:p w14:paraId="2F1A3803" w14:textId="77777777" w:rsidR="005F04DC" w:rsidRPr="00021BD3" w:rsidRDefault="005F04DC" w:rsidP="00BE6776">
      <w:pPr>
        <w:pStyle w:val="Subtitle"/>
        <w:rPr>
          <w:highlight w:val="yellow"/>
        </w:rPr>
      </w:pPr>
    </w:p>
    <w:p w14:paraId="07BA2606" w14:textId="77777777" w:rsidR="008D51AE" w:rsidRPr="009B2E2A" w:rsidRDefault="008D51AE" w:rsidP="008D51AE">
      <w:pPr>
        <w:ind w:left="284"/>
        <w:jc w:val="right"/>
        <w:rPr>
          <w:b/>
          <w:szCs w:val="24"/>
        </w:rPr>
      </w:pPr>
      <w:r w:rsidRPr="009B2E2A">
        <w:rPr>
          <w:b/>
          <w:szCs w:val="24"/>
        </w:rPr>
        <w:t xml:space="preserve">ATTACHMENT </w:t>
      </w:r>
    </w:p>
    <w:p w14:paraId="0B517765" w14:textId="77777777" w:rsidR="008D51AE" w:rsidRPr="009B2E2A" w:rsidRDefault="008D51AE" w:rsidP="008D51AE">
      <w:pPr>
        <w:ind w:left="284"/>
        <w:jc w:val="right"/>
        <w:rPr>
          <w:b/>
          <w:szCs w:val="24"/>
        </w:rPr>
      </w:pPr>
    </w:p>
    <w:p w14:paraId="124034E3" w14:textId="54E40CB1" w:rsidR="00C46902" w:rsidRPr="00A02F10" w:rsidRDefault="00C46902" w:rsidP="00C46902">
      <w:pPr>
        <w:rPr>
          <w:szCs w:val="24"/>
        </w:rPr>
      </w:pPr>
      <w:bookmarkStart w:id="1" w:name="_Toc498434741"/>
      <w:bookmarkStart w:id="2" w:name="opcCurrentFind"/>
      <w:r w:rsidRPr="00A02F10">
        <w:rPr>
          <w:b/>
          <w:szCs w:val="24"/>
        </w:rPr>
        <w:t xml:space="preserve">Details of the </w:t>
      </w:r>
      <w:r w:rsidRPr="00A02F10">
        <w:rPr>
          <w:b/>
          <w:i/>
          <w:szCs w:val="24"/>
        </w:rPr>
        <w:t>Health Insurance (Professional Services Review Scheme) Regulations 201</w:t>
      </w:r>
      <w:r w:rsidR="00CF3B23">
        <w:rPr>
          <w:b/>
          <w:i/>
          <w:szCs w:val="24"/>
        </w:rPr>
        <w:t>9</w:t>
      </w:r>
    </w:p>
    <w:p w14:paraId="4439A24F" w14:textId="77777777" w:rsidR="00C46902" w:rsidRPr="00736487" w:rsidRDefault="00C46902" w:rsidP="00C46902">
      <w:pPr>
        <w:pStyle w:val="Heading1"/>
        <w:tabs>
          <w:tab w:val="left" w:pos="284"/>
        </w:tabs>
        <w:jc w:val="left"/>
        <w:rPr>
          <w:b w:val="0"/>
          <w:szCs w:val="24"/>
          <w:highlight w:val="yellow"/>
        </w:rPr>
      </w:pPr>
    </w:p>
    <w:p w14:paraId="72D2BF2F" w14:textId="63735CCB" w:rsidR="00336657" w:rsidRPr="005C00DE" w:rsidRDefault="00336657" w:rsidP="00C46902">
      <w:pPr>
        <w:pStyle w:val="Heading1"/>
        <w:tabs>
          <w:tab w:val="left" w:pos="284"/>
        </w:tabs>
        <w:jc w:val="left"/>
        <w:rPr>
          <w:szCs w:val="24"/>
          <w:u w:val="none"/>
        </w:rPr>
      </w:pPr>
      <w:r w:rsidRPr="005C00DE">
        <w:rPr>
          <w:szCs w:val="24"/>
          <w:u w:val="none"/>
        </w:rPr>
        <w:t>PART 1—PRELIMINARY</w:t>
      </w:r>
    </w:p>
    <w:p w14:paraId="5B8E318F" w14:textId="77777777" w:rsidR="00336657" w:rsidRDefault="00336657" w:rsidP="00C46902">
      <w:pPr>
        <w:pStyle w:val="Heading1"/>
        <w:tabs>
          <w:tab w:val="left" w:pos="284"/>
        </w:tabs>
        <w:jc w:val="left"/>
        <w:rPr>
          <w:b w:val="0"/>
          <w:szCs w:val="24"/>
        </w:rPr>
      </w:pPr>
    </w:p>
    <w:p w14:paraId="7214933A" w14:textId="16C34080" w:rsidR="00C46902" w:rsidRPr="005C00DE" w:rsidRDefault="00C46902" w:rsidP="00C46902">
      <w:pPr>
        <w:pStyle w:val="Heading1"/>
        <w:tabs>
          <w:tab w:val="left" w:pos="284"/>
        </w:tabs>
        <w:jc w:val="left"/>
        <w:rPr>
          <w:szCs w:val="24"/>
          <w:u w:val="none"/>
        </w:rPr>
      </w:pPr>
      <w:r w:rsidRPr="005C00DE">
        <w:rPr>
          <w:szCs w:val="24"/>
          <w:u w:val="none"/>
        </w:rPr>
        <w:t>Section 1 – Name</w:t>
      </w:r>
    </w:p>
    <w:p w14:paraId="191B308C" w14:textId="01E27509" w:rsidR="00C46902" w:rsidRPr="00736487" w:rsidRDefault="00C46902" w:rsidP="00C46902">
      <w:pPr>
        <w:rPr>
          <w:b/>
          <w:i/>
          <w:szCs w:val="24"/>
        </w:rPr>
      </w:pPr>
      <w:r w:rsidRPr="00736487">
        <w:rPr>
          <w:szCs w:val="24"/>
        </w:rPr>
        <w:t xml:space="preserve">This section </w:t>
      </w:r>
      <w:r w:rsidR="00344D32">
        <w:rPr>
          <w:szCs w:val="24"/>
        </w:rPr>
        <w:t>provide</w:t>
      </w:r>
      <w:r w:rsidR="00336657">
        <w:rPr>
          <w:szCs w:val="24"/>
        </w:rPr>
        <w:t>s</w:t>
      </w:r>
      <w:r w:rsidR="00344D32">
        <w:rPr>
          <w:szCs w:val="24"/>
        </w:rPr>
        <w:t xml:space="preserve"> for the </w:t>
      </w:r>
      <w:r w:rsidR="00A02F10">
        <w:rPr>
          <w:szCs w:val="24"/>
        </w:rPr>
        <w:t xml:space="preserve">Principal </w:t>
      </w:r>
      <w:r w:rsidR="00336657">
        <w:rPr>
          <w:szCs w:val="24"/>
        </w:rPr>
        <w:t>R</w:t>
      </w:r>
      <w:r w:rsidRPr="00736487">
        <w:rPr>
          <w:szCs w:val="24"/>
        </w:rPr>
        <w:t>egulation</w:t>
      </w:r>
      <w:r w:rsidR="00344D32">
        <w:rPr>
          <w:szCs w:val="24"/>
        </w:rPr>
        <w:t>s</w:t>
      </w:r>
      <w:r w:rsidRPr="00736487">
        <w:rPr>
          <w:szCs w:val="24"/>
        </w:rPr>
        <w:t xml:space="preserve"> to be referred to as the</w:t>
      </w:r>
      <w:r w:rsidRPr="00736487">
        <w:rPr>
          <w:i/>
          <w:szCs w:val="24"/>
        </w:rPr>
        <w:t xml:space="preserve"> </w:t>
      </w:r>
      <w:r>
        <w:rPr>
          <w:i/>
          <w:noProof/>
        </w:rPr>
        <w:t>Health Insurance (Professional Services Review Scheme) Regulations 201</w:t>
      </w:r>
      <w:r w:rsidR="00CF3B23">
        <w:rPr>
          <w:i/>
          <w:noProof/>
        </w:rPr>
        <w:t>9</w:t>
      </w:r>
      <w:r w:rsidRPr="00736487">
        <w:rPr>
          <w:i/>
          <w:szCs w:val="24"/>
        </w:rPr>
        <w:t>.</w:t>
      </w:r>
    </w:p>
    <w:p w14:paraId="432217D1" w14:textId="77777777" w:rsidR="00C46902" w:rsidRPr="00736487" w:rsidRDefault="00C46902" w:rsidP="00C46902">
      <w:pPr>
        <w:rPr>
          <w:b/>
          <w:szCs w:val="24"/>
        </w:rPr>
      </w:pPr>
    </w:p>
    <w:p w14:paraId="0DF8862B" w14:textId="77777777" w:rsidR="00C46902" w:rsidRPr="005C00DE" w:rsidRDefault="00C46902" w:rsidP="00C46902">
      <w:pPr>
        <w:pStyle w:val="BodyText"/>
        <w:rPr>
          <w:szCs w:val="24"/>
        </w:rPr>
      </w:pPr>
      <w:r w:rsidRPr="005C00DE">
        <w:rPr>
          <w:szCs w:val="24"/>
        </w:rPr>
        <w:t>Section 2 – Commencement</w:t>
      </w:r>
    </w:p>
    <w:p w14:paraId="377DC1A4" w14:textId="3CC87170" w:rsidR="00C46902" w:rsidRPr="00736487" w:rsidRDefault="00C46902" w:rsidP="00C46902">
      <w:pPr>
        <w:rPr>
          <w:szCs w:val="24"/>
        </w:rPr>
      </w:pPr>
      <w:r w:rsidRPr="00736487">
        <w:rPr>
          <w:szCs w:val="24"/>
        </w:rPr>
        <w:t xml:space="preserve">This section </w:t>
      </w:r>
      <w:r w:rsidR="00344D32">
        <w:rPr>
          <w:szCs w:val="24"/>
        </w:rPr>
        <w:t>provide</w:t>
      </w:r>
      <w:r w:rsidR="00336657">
        <w:rPr>
          <w:szCs w:val="24"/>
        </w:rPr>
        <w:t>s</w:t>
      </w:r>
      <w:r w:rsidR="00344D32">
        <w:rPr>
          <w:szCs w:val="24"/>
        </w:rPr>
        <w:t xml:space="preserve"> that the </w:t>
      </w:r>
      <w:r w:rsidR="00A02F10">
        <w:rPr>
          <w:szCs w:val="24"/>
        </w:rPr>
        <w:t xml:space="preserve">Principal </w:t>
      </w:r>
      <w:r w:rsidR="00336657">
        <w:rPr>
          <w:szCs w:val="24"/>
        </w:rPr>
        <w:t>R</w:t>
      </w:r>
      <w:r w:rsidRPr="00736487">
        <w:rPr>
          <w:szCs w:val="24"/>
        </w:rPr>
        <w:t>egulation</w:t>
      </w:r>
      <w:r w:rsidR="00344D32">
        <w:rPr>
          <w:szCs w:val="24"/>
        </w:rPr>
        <w:t>s</w:t>
      </w:r>
      <w:r w:rsidRPr="00736487">
        <w:rPr>
          <w:szCs w:val="24"/>
        </w:rPr>
        <w:t xml:space="preserve"> commence </w:t>
      </w:r>
      <w:r w:rsidR="00336657">
        <w:rPr>
          <w:szCs w:val="24"/>
        </w:rPr>
        <w:t>t</w:t>
      </w:r>
      <w:r w:rsidRPr="009317CC">
        <w:rPr>
          <w:szCs w:val="24"/>
        </w:rPr>
        <w:t xml:space="preserve">he day after </w:t>
      </w:r>
      <w:r w:rsidR="00336657">
        <w:rPr>
          <w:szCs w:val="24"/>
        </w:rPr>
        <w:t>registration</w:t>
      </w:r>
      <w:r>
        <w:rPr>
          <w:szCs w:val="24"/>
        </w:rPr>
        <w:t>.</w:t>
      </w:r>
    </w:p>
    <w:p w14:paraId="6E7A7BCE" w14:textId="77777777" w:rsidR="00C46902" w:rsidRPr="00736487" w:rsidRDefault="00C46902" w:rsidP="00C46902">
      <w:pPr>
        <w:rPr>
          <w:b/>
          <w:szCs w:val="24"/>
          <w:highlight w:val="yellow"/>
        </w:rPr>
      </w:pPr>
    </w:p>
    <w:p w14:paraId="6BEC75C2" w14:textId="77777777" w:rsidR="00C46902" w:rsidRPr="005C00DE" w:rsidRDefault="00C46902" w:rsidP="00C46902">
      <w:pPr>
        <w:pStyle w:val="BodyText"/>
        <w:rPr>
          <w:szCs w:val="24"/>
        </w:rPr>
      </w:pPr>
      <w:r w:rsidRPr="005C00DE">
        <w:rPr>
          <w:szCs w:val="24"/>
        </w:rPr>
        <w:t>Section 3 – Authority</w:t>
      </w:r>
    </w:p>
    <w:p w14:paraId="51C85018" w14:textId="0973FBB1" w:rsidR="00C46902" w:rsidRPr="00736487" w:rsidRDefault="00C46902" w:rsidP="00C46902">
      <w:pPr>
        <w:pStyle w:val="BodyText"/>
        <w:ind w:right="-483"/>
        <w:rPr>
          <w:b w:val="0"/>
          <w:szCs w:val="24"/>
        </w:rPr>
      </w:pPr>
      <w:r w:rsidRPr="00736487">
        <w:rPr>
          <w:b w:val="0"/>
          <w:szCs w:val="24"/>
        </w:rPr>
        <w:t xml:space="preserve">This section </w:t>
      </w:r>
      <w:r w:rsidR="00344D32">
        <w:rPr>
          <w:b w:val="0"/>
          <w:szCs w:val="24"/>
        </w:rPr>
        <w:t>provide</w:t>
      </w:r>
      <w:r w:rsidR="00336657">
        <w:rPr>
          <w:b w:val="0"/>
          <w:szCs w:val="24"/>
        </w:rPr>
        <w:t>s</w:t>
      </w:r>
      <w:r w:rsidR="00344D32">
        <w:rPr>
          <w:b w:val="0"/>
          <w:szCs w:val="24"/>
        </w:rPr>
        <w:t xml:space="preserve"> that the </w:t>
      </w:r>
      <w:r w:rsidR="00A02F10">
        <w:rPr>
          <w:b w:val="0"/>
          <w:szCs w:val="24"/>
        </w:rPr>
        <w:t xml:space="preserve">Principal </w:t>
      </w:r>
      <w:r w:rsidR="00336657">
        <w:rPr>
          <w:b w:val="0"/>
          <w:szCs w:val="24"/>
        </w:rPr>
        <w:t>R</w:t>
      </w:r>
      <w:r w:rsidRPr="00736487">
        <w:rPr>
          <w:b w:val="0"/>
          <w:szCs w:val="24"/>
        </w:rPr>
        <w:t>egulation</w:t>
      </w:r>
      <w:r w:rsidR="00344D32">
        <w:rPr>
          <w:b w:val="0"/>
          <w:szCs w:val="24"/>
        </w:rPr>
        <w:t>s</w:t>
      </w:r>
      <w:r w:rsidRPr="00736487">
        <w:rPr>
          <w:b w:val="0"/>
          <w:szCs w:val="24"/>
        </w:rPr>
        <w:t xml:space="preserve"> </w:t>
      </w:r>
      <w:r w:rsidR="00336657">
        <w:rPr>
          <w:b w:val="0"/>
          <w:szCs w:val="24"/>
        </w:rPr>
        <w:t>are</w:t>
      </w:r>
      <w:r w:rsidR="00336657" w:rsidRPr="00736487">
        <w:rPr>
          <w:b w:val="0"/>
          <w:szCs w:val="24"/>
        </w:rPr>
        <w:t xml:space="preserve"> </w:t>
      </w:r>
      <w:r w:rsidRPr="00736487">
        <w:rPr>
          <w:b w:val="0"/>
          <w:szCs w:val="24"/>
        </w:rPr>
        <w:t xml:space="preserve">made under the </w:t>
      </w:r>
      <w:r w:rsidRPr="00736487">
        <w:rPr>
          <w:b w:val="0"/>
          <w:i/>
          <w:szCs w:val="24"/>
        </w:rPr>
        <w:t>Health Insurance Act 1973</w:t>
      </w:r>
      <w:r w:rsidRPr="00736487">
        <w:rPr>
          <w:b w:val="0"/>
          <w:szCs w:val="24"/>
        </w:rPr>
        <w:t>.</w:t>
      </w:r>
    </w:p>
    <w:p w14:paraId="0CB599DD" w14:textId="77777777" w:rsidR="00C46902" w:rsidRPr="00736487" w:rsidRDefault="00C46902" w:rsidP="00C46902">
      <w:pPr>
        <w:pStyle w:val="Header"/>
        <w:tabs>
          <w:tab w:val="clear" w:pos="4153"/>
          <w:tab w:val="clear" w:pos="8306"/>
          <w:tab w:val="num" w:pos="1080"/>
        </w:tabs>
        <w:rPr>
          <w:szCs w:val="24"/>
        </w:rPr>
      </w:pPr>
    </w:p>
    <w:p w14:paraId="2DDC7167" w14:textId="77777777" w:rsidR="00C46902" w:rsidRPr="005C00DE" w:rsidRDefault="00C46902" w:rsidP="00C46902">
      <w:pPr>
        <w:pStyle w:val="Header"/>
        <w:tabs>
          <w:tab w:val="clear" w:pos="4153"/>
          <w:tab w:val="clear" w:pos="8306"/>
          <w:tab w:val="num" w:pos="1080"/>
        </w:tabs>
        <w:rPr>
          <w:b/>
          <w:szCs w:val="24"/>
        </w:rPr>
      </w:pPr>
      <w:r w:rsidRPr="005C00DE">
        <w:rPr>
          <w:b/>
          <w:szCs w:val="24"/>
        </w:rPr>
        <w:t>Section 4 – Schedules</w:t>
      </w:r>
    </w:p>
    <w:p w14:paraId="354AEF74" w14:textId="418B687A" w:rsidR="00C46902" w:rsidRPr="00736487" w:rsidRDefault="00C46902" w:rsidP="00C46902">
      <w:pPr>
        <w:pStyle w:val="BodyText"/>
        <w:ind w:right="-483"/>
        <w:rPr>
          <w:b w:val="0"/>
          <w:szCs w:val="24"/>
        </w:rPr>
      </w:pPr>
      <w:r w:rsidRPr="00736487">
        <w:rPr>
          <w:b w:val="0"/>
          <w:szCs w:val="24"/>
        </w:rPr>
        <w:t>This section provide</w:t>
      </w:r>
      <w:r w:rsidR="00336657">
        <w:rPr>
          <w:b w:val="0"/>
          <w:szCs w:val="24"/>
        </w:rPr>
        <w:t>s</w:t>
      </w:r>
      <w:r w:rsidRPr="00736487">
        <w:rPr>
          <w:b w:val="0"/>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16D11248" w14:textId="77777777" w:rsidR="00C46902" w:rsidRDefault="00C46902" w:rsidP="00C46902">
      <w:pPr>
        <w:pStyle w:val="Header"/>
        <w:tabs>
          <w:tab w:val="clear" w:pos="4153"/>
          <w:tab w:val="clear" w:pos="8306"/>
          <w:tab w:val="num" w:pos="1080"/>
        </w:tabs>
        <w:rPr>
          <w:szCs w:val="24"/>
        </w:rPr>
      </w:pPr>
    </w:p>
    <w:p w14:paraId="6DB6FF2A" w14:textId="77777777" w:rsidR="00C46902" w:rsidRPr="005C00DE" w:rsidRDefault="00C46902" w:rsidP="00C46902">
      <w:pPr>
        <w:pStyle w:val="Header"/>
        <w:tabs>
          <w:tab w:val="clear" w:pos="4153"/>
          <w:tab w:val="clear" w:pos="8306"/>
          <w:tab w:val="num" w:pos="1080"/>
        </w:tabs>
        <w:rPr>
          <w:b/>
          <w:szCs w:val="24"/>
        </w:rPr>
      </w:pPr>
      <w:r w:rsidRPr="005C00DE">
        <w:rPr>
          <w:b/>
          <w:szCs w:val="24"/>
        </w:rPr>
        <w:t>Section 5 – Definitions</w:t>
      </w:r>
    </w:p>
    <w:p w14:paraId="49F56780" w14:textId="5DB0F431" w:rsidR="00C46902" w:rsidRPr="000C3EBC" w:rsidRDefault="00C46902" w:rsidP="00C46902">
      <w:pPr>
        <w:pStyle w:val="Header"/>
        <w:tabs>
          <w:tab w:val="clear" w:pos="4153"/>
          <w:tab w:val="clear" w:pos="8306"/>
          <w:tab w:val="num" w:pos="1080"/>
        </w:tabs>
        <w:rPr>
          <w:szCs w:val="24"/>
        </w:rPr>
      </w:pPr>
      <w:r w:rsidRPr="000C3EBC">
        <w:rPr>
          <w:szCs w:val="24"/>
        </w:rPr>
        <w:t>This section provide</w:t>
      </w:r>
      <w:r w:rsidR="00336657" w:rsidRPr="000C3EBC">
        <w:rPr>
          <w:szCs w:val="24"/>
        </w:rPr>
        <w:t>s</w:t>
      </w:r>
      <w:r w:rsidRPr="000C3EBC">
        <w:rPr>
          <w:szCs w:val="24"/>
        </w:rPr>
        <w:t xml:space="preserve"> definitions used in the </w:t>
      </w:r>
      <w:r w:rsidR="000C3EBC">
        <w:rPr>
          <w:szCs w:val="24"/>
        </w:rPr>
        <w:t>Principal Regulations</w:t>
      </w:r>
      <w:r w:rsidRPr="000C3EBC">
        <w:rPr>
          <w:szCs w:val="24"/>
        </w:rPr>
        <w:t>.</w:t>
      </w:r>
    </w:p>
    <w:p w14:paraId="0901D0AC" w14:textId="77777777" w:rsidR="000C3EBC" w:rsidRDefault="000C3EBC" w:rsidP="00A727AE"/>
    <w:p w14:paraId="14055141" w14:textId="6FA766F2" w:rsidR="00A727AE" w:rsidRDefault="00607B63" w:rsidP="00A727AE">
      <w:r>
        <w:t>Section 5 of the Principal Regulations o</w:t>
      </w:r>
      <w:r w:rsidR="00A727AE" w:rsidRPr="000C3EBC">
        <w:t>mit</w:t>
      </w:r>
      <w:r>
        <w:t>s</w:t>
      </w:r>
      <w:r w:rsidR="00A727AE" w:rsidRPr="000C3EBC">
        <w:t xml:space="preserve"> the reference to Group A16</w:t>
      </w:r>
      <w:r>
        <w:t xml:space="preserve"> as a relevant service</w:t>
      </w:r>
      <w:r w:rsidR="00A727AE" w:rsidRPr="000C3EBC">
        <w:t>. This group of MBS items, which referred to Medical Practitioner Sport Physician attendances, no longer exists. Following the recognition of Sport and Exercise Medicine as a medical specialty, Sport Physicians were given access to specialist attendance items in Group A3</w:t>
      </w:r>
      <w:r>
        <w:t>.</w:t>
      </w:r>
      <w:r w:rsidR="00A727AE" w:rsidRPr="000C3EBC">
        <w:t xml:space="preserve"> Group A16 items were removed from the MBS on 1 November 2010.</w:t>
      </w:r>
    </w:p>
    <w:p w14:paraId="730CDAF0" w14:textId="77777777" w:rsidR="00A727AE" w:rsidRDefault="00A727AE" w:rsidP="00C46902">
      <w:pPr>
        <w:pStyle w:val="Header"/>
        <w:tabs>
          <w:tab w:val="clear" w:pos="4153"/>
          <w:tab w:val="clear" w:pos="8306"/>
          <w:tab w:val="num" w:pos="1080"/>
        </w:tabs>
        <w:rPr>
          <w:szCs w:val="24"/>
        </w:rPr>
      </w:pPr>
    </w:p>
    <w:p w14:paraId="66906AB8" w14:textId="652E136B" w:rsidR="00C46902" w:rsidRDefault="000C3EBC" w:rsidP="00C46902">
      <w:pPr>
        <w:pStyle w:val="Header"/>
        <w:tabs>
          <w:tab w:val="clear" w:pos="4153"/>
          <w:tab w:val="clear" w:pos="8306"/>
          <w:tab w:val="num" w:pos="1080"/>
        </w:tabs>
        <w:rPr>
          <w:szCs w:val="24"/>
        </w:rPr>
      </w:pPr>
      <w:r>
        <w:rPr>
          <w:szCs w:val="24"/>
        </w:rPr>
        <w:t>This was previously prescribed in section 7 of the Previous Regulations.</w:t>
      </w:r>
    </w:p>
    <w:p w14:paraId="30730AA6" w14:textId="77777777" w:rsidR="000C3EBC" w:rsidRDefault="000C3EBC" w:rsidP="00C46902">
      <w:pPr>
        <w:pStyle w:val="Header"/>
        <w:tabs>
          <w:tab w:val="clear" w:pos="4153"/>
          <w:tab w:val="clear" w:pos="8306"/>
          <w:tab w:val="num" w:pos="1080"/>
        </w:tabs>
        <w:rPr>
          <w:szCs w:val="24"/>
        </w:rPr>
      </w:pPr>
    </w:p>
    <w:p w14:paraId="0A24959D" w14:textId="0B7BE149" w:rsidR="00336657" w:rsidRPr="005C00DE" w:rsidRDefault="00336657" w:rsidP="00336657">
      <w:pPr>
        <w:pStyle w:val="Heading1"/>
        <w:tabs>
          <w:tab w:val="left" w:pos="284"/>
        </w:tabs>
        <w:jc w:val="left"/>
        <w:rPr>
          <w:szCs w:val="24"/>
          <w:u w:val="none"/>
        </w:rPr>
      </w:pPr>
      <w:r w:rsidRPr="005C00DE">
        <w:rPr>
          <w:szCs w:val="24"/>
          <w:u w:val="none"/>
        </w:rPr>
        <w:t>PART 2—PRESCRIBED MATTERS FOR DEFINITIONS</w:t>
      </w:r>
    </w:p>
    <w:p w14:paraId="1770C36D" w14:textId="77777777" w:rsidR="00336657" w:rsidRDefault="00336657" w:rsidP="00C46902">
      <w:pPr>
        <w:pStyle w:val="Header"/>
        <w:tabs>
          <w:tab w:val="clear" w:pos="4153"/>
          <w:tab w:val="clear" w:pos="8306"/>
          <w:tab w:val="num" w:pos="1080"/>
        </w:tabs>
        <w:rPr>
          <w:szCs w:val="24"/>
          <w:u w:val="single"/>
        </w:rPr>
      </w:pPr>
    </w:p>
    <w:p w14:paraId="025566C8" w14:textId="575C7959" w:rsidR="00D45D93" w:rsidRPr="00D45D93" w:rsidRDefault="00D45D93" w:rsidP="00C46902">
      <w:pPr>
        <w:pStyle w:val="Header"/>
        <w:tabs>
          <w:tab w:val="clear" w:pos="4153"/>
          <w:tab w:val="clear" w:pos="8306"/>
          <w:tab w:val="num" w:pos="1080"/>
        </w:tabs>
        <w:rPr>
          <w:szCs w:val="24"/>
        </w:rPr>
      </w:pPr>
      <w:r>
        <w:rPr>
          <w:b/>
          <w:szCs w:val="24"/>
        </w:rPr>
        <w:t>Section 6 – Standards for adequate and contemporaneous records</w:t>
      </w:r>
    </w:p>
    <w:p w14:paraId="3F0FB6B9" w14:textId="40AB83E5" w:rsidR="00D45D93" w:rsidRDefault="00D45D93" w:rsidP="00C46902">
      <w:pPr>
        <w:pStyle w:val="Header"/>
        <w:tabs>
          <w:tab w:val="clear" w:pos="4153"/>
          <w:tab w:val="clear" w:pos="8306"/>
          <w:tab w:val="num" w:pos="1080"/>
        </w:tabs>
        <w:rPr>
          <w:szCs w:val="24"/>
        </w:rPr>
      </w:pPr>
      <w:r>
        <w:rPr>
          <w:szCs w:val="24"/>
        </w:rPr>
        <w:t>Section 82 of the Act provides definitions of inappropriate practice by practitioners</w:t>
      </w:r>
      <w:r w:rsidR="00DA1363">
        <w:rPr>
          <w:szCs w:val="24"/>
        </w:rPr>
        <w:t xml:space="preserve"> and includes</w:t>
      </w:r>
      <w:r>
        <w:rPr>
          <w:szCs w:val="24"/>
        </w:rPr>
        <w:t xml:space="preserve"> </w:t>
      </w:r>
      <w:r w:rsidR="00DA1363">
        <w:rPr>
          <w:szCs w:val="24"/>
        </w:rPr>
        <w:t>matters to which Professional Services Review Committees must have regard to in determining inappropri</w:t>
      </w:r>
      <w:r w:rsidR="002010E2">
        <w:rPr>
          <w:szCs w:val="24"/>
        </w:rPr>
        <w:t xml:space="preserve">ate practice by a practitioner, including whether or not the practitioner kept </w:t>
      </w:r>
      <w:r>
        <w:rPr>
          <w:szCs w:val="24"/>
        </w:rPr>
        <w:t xml:space="preserve">adequate and contemporaneous records </w:t>
      </w:r>
      <w:r w:rsidR="002010E2">
        <w:rPr>
          <w:szCs w:val="24"/>
        </w:rPr>
        <w:t>of the rendering or initiation of the services</w:t>
      </w:r>
      <w:r>
        <w:rPr>
          <w:szCs w:val="24"/>
        </w:rPr>
        <w:t>.</w:t>
      </w:r>
    </w:p>
    <w:p w14:paraId="31413758" w14:textId="77777777" w:rsidR="005C00DE" w:rsidRDefault="005C00DE" w:rsidP="00C46902">
      <w:pPr>
        <w:pStyle w:val="Header"/>
        <w:tabs>
          <w:tab w:val="clear" w:pos="4153"/>
          <w:tab w:val="clear" w:pos="8306"/>
          <w:tab w:val="num" w:pos="1080"/>
        </w:tabs>
        <w:rPr>
          <w:szCs w:val="24"/>
        </w:rPr>
      </w:pPr>
    </w:p>
    <w:p w14:paraId="5E9ADCC7" w14:textId="64B0316E" w:rsidR="00DA1363" w:rsidRDefault="00DA1363" w:rsidP="00C46902">
      <w:pPr>
        <w:pStyle w:val="Header"/>
        <w:tabs>
          <w:tab w:val="clear" w:pos="4153"/>
          <w:tab w:val="clear" w:pos="8306"/>
          <w:tab w:val="num" w:pos="1080"/>
        </w:tabs>
        <w:rPr>
          <w:szCs w:val="24"/>
        </w:rPr>
      </w:pPr>
      <w:r>
        <w:rPr>
          <w:szCs w:val="24"/>
        </w:rPr>
        <w:t xml:space="preserve">Section 6 of the Principal Regulations specifies the </w:t>
      </w:r>
      <w:r w:rsidR="002010E2">
        <w:rPr>
          <w:szCs w:val="24"/>
        </w:rPr>
        <w:t>standards for adequate and contemporaneous records practitioners are required to keep.</w:t>
      </w:r>
    </w:p>
    <w:p w14:paraId="68501E88" w14:textId="77777777" w:rsidR="002010E2" w:rsidRDefault="002010E2" w:rsidP="00C46902">
      <w:pPr>
        <w:pStyle w:val="Header"/>
        <w:tabs>
          <w:tab w:val="clear" w:pos="4153"/>
          <w:tab w:val="clear" w:pos="8306"/>
          <w:tab w:val="num" w:pos="1080"/>
        </w:tabs>
        <w:rPr>
          <w:szCs w:val="24"/>
        </w:rPr>
      </w:pPr>
    </w:p>
    <w:p w14:paraId="2DF500D7" w14:textId="69DAB4E9" w:rsidR="005C00DE" w:rsidRDefault="005C00DE" w:rsidP="00C46902">
      <w:pPr>
        <w:pStyle w:val="Header"/>
        <w:tabs>
          <w:tab w:val="clear" w:pos="4153"/>
          <w:tab w:val="clear" w:pos="8306"/>
          <w:tab w:val="num" w:pos="1080"/>
        </w:tabs>
        <w:rPr>
          <w:szCs w:val="24"/>
        </w:rPr>
      </w:pPr>
      <w:r>
        <w:rPr>
          <w:szCs w:val="24"/>
        </w:rPr>
        <w:t xml:space="preserve">However, </w:t>
      </w:r>
      <w:r w:rsidR="004907F8">
        <w:rPr>
          <w:szCs w:val="24"/>
        </w:rPr>
        <w:t>the concepts of patient re</w:t>
      </w:r>
      <w:r w:rsidR="002D3D32">
        <w:rPr>
          <w:szCs w:val="24"/>
        </w:rPr>
        <w:t xml:space="preserve">cord and an entry for a service in the Previous Regulations </w:t>
      </w:r>
      <w:r w:rsidR="00D94551">
        <w:rPr>
          <w:szCs w:val="24"/>
        </w:rPr>
        <w:t>presented some ambiguity as to whether one overarching patient record could relate to multiple services.</w:t>
      </w:r>
      <w:r w:rsidR="004907F8">
        <w:rPr>
          <w:szCs w:val="24"/>
        </w:rPr>
        <w:t xml:space="preserve"> </w:t>
      </w:r>
    </w:p>
    <w:p w14:paraId="566523A0" w14:textId="77777777" w:rsidR="002010E2" w:rsidRDefault="002010E2" w:rsidP="00C46902">
      <w:pPr>
        <w:pStyle w:val="Header"/>
        <w:tabs>
          <w:tab w:val="clear" w:pos="4153"/>
          <w:tab w:val="clear" w:pos="8306"/>
          <w:tab w:val="num" w:pos="1080"/>
        </w:tabs>
        <w:rPr>
          <w:szCs w:val="24"/>
        </w:rPr>
      </w:pPr>
    </w:p>
    <w:p w14:paraId="4480DF51" w14:textId="76C620F8" w:rsidR="005C00DE" w:rsidRDefault="005C00DE" w:rsidP="00C46902">
      <w:pPr>
        <w:pStyle w:val="Header"/>
        <w:tabs>
          <w:tab w:val="clear" w:pos="4153"/>
          <w:tab w:val="clear" w:pos="8306"/>
          <w:tab w:val="num" w:pos="1080"/>
        </w:tabs>
        <w:rPr>
          <w:szCs w:val="24"/>
        </w:rPr>
      </w:pPr>
      <w:r>
        <w:lastRenderedPageBreak/>
        <w:t xml:space="preserve">For the purposes of paragraph 82(1D)(3) of the Act, section 6 of the Principal Regulations </w:t>
      </w:r>
      <w:r w:rsidR="00D94551">
        <w:t xml:space="preserve">updates the standards for records required to be kept by practitioners </w:t>
      </w:r>
      <w:r>
        <w:t>to more clearly distinguish between the patient record and entries for services within the record.</w:t>
      </w:r>
    </w:p>
    <w:p w14:paraId="5E3069BD" w14:textId="77777777" w:rsidR="00D45D93" w:rsidRDefault="00D45D93" w:rsidP="00C46902">
      <w:pPr>
        <w:pStyle w:val="Header"/>
        <w:tabs>
          <w:tab w:val="clear" w:pos="4153"/>
          <w:tab w:val="clear" w:pos="8306"/>
          <w:tab w:val="num" w:pos="1080"/>
        </w:tabs>
        <w:rPr>
          <w:szCs w:val="24"/>
        </w:rPr>
      </w:pPr>
    </w:p>
    <w:p w14:paraId="19ADBC69" w14:textId="763D2C1C" w:rsidR="00D94551" w:rsidRDefault="00D94551" w:rsidP="00D94551">
      <w:pPr>
        <w:pStyle w:val="Header"/>
        <w:tabs>
          <w:tab w:val="clear" w:pos="4153"/>
          <w:tab w:val="clear" w:pos="8306"/>
          <w:tab w:val="num" w:pos="1080"/>
        </w:tabs>
        <w:rPr>
          <w:szCs w:val="24"/>
        </w:rPr>
      </w:pPr>
      <w:r>
        <w:rPr>
          <w:szCs w:val="24"/>
        </w:rPr>
        <w:t>This was previously prescribed in sections 4, 5 and 6 of the Previous Regulations.</w:t>
      </w:r>
    </w:p>
    <w:p w14:paraId="58E1BC5C" w14:textId="77777777" w:rsidR="00D45D93" w:rsidRDefault="00D45D93" w:rsidP="00C46902">
      <w:pPr>
        <w:pStyle w:val="Header"/>
        <w:tabs>
          <w:tab w:val="clear" w:pos="4153"/>
          <w:tab w:val="clear" w:pos="8306"/>
          <w:tab w:val="num" w:pos="1080"/>
        </w:tabs>
        <w:rPr>
          <w:szCs w:val="24"/>
        </w:rPr>
      </w:pPr>
    </w:p>
    <w:p w14:paraId="5BFC924E" w14:textId="77777777" w:rsidR="00C46902" w:rsidRPr="006948D3" w:rsidRDefault="00C46902" w:rsidP="00C46902">
      <w:pPr>
        <w:pStyle w:val="Header"/>
        <w:tabs>
          <w:tab w:val="clear" w:pos="4153"/>
          <w:tab w:val="clear" w:pos="8306"/>
          <w:tab w:val="num" w:pos="1080"/>
        </w:tabs>
        <w:rPr>
          <w:b/>
          <w:szCs w:val="24"/>
        </w:rPr>
      </w:pPr>
      <w:r w:rsidRPr="006948D3">
        <w:rPr>
          <w:b/>
          <w:szCs w:val="24"/>
        </w:rPr>
        <w:t>Section 7 – Exceptional circumstances in relation to inappropriate practice</w:t>
      </w:r>
    </w:p>
    <w:p w14:paraId="0AAA8A0D" w14:textId="1DD3F677" w:rsidR="006948D3" w:rsidRDefault="00D46CB9" w:rsidP="00C46902">
      <w:pPr>
        <w:pStyle w:val="Header"/>
        <w:tabs>
          <w:tab w:val="clear" w:pos="4153"/>
          <w:tab w:val="clear" w:pos="8306"/>
          <w:tab w:val="num" w:pos="1080"/>
        </w:tabs>
        <w:rPr>
          <w:szCs w:val="24"/>
        </w:rPr>
      </w:pPr>
      <w:r>
        <w:rPr>
          <w:szCs w:val="24"/>
        </w:rPr>
        <w:t>Subsections 82(1B), 82(1C) and 82(1D)</w:t>
      </w:r>
      <w:r w:rsidR="006948D3">
        <w:rPr>
          <w:szCs w:val="24"/>
        </w:rPr>
        <w:t xml:space="preserve"> of the Act allow for exceptional circumstances in relation to inappropriate practice for a particular day for a practitioner</w:t>
      </w:r>
      <w:r w:rsidR="00A74DCF">
        <w:rPr>
          <w:szCs w:val="24"/>
        </w:rPr>
        <w:t>.</w:t>
      </w:r>
    </w:p>
    <w:p w14:paraId="4B7EBCA9" w14:textId="77777777" w:rsidR="006948D3" w:rsidRDefault="006948D3" w:rsidP="00C46902">
      <w:pPr>
        <w:pStyle w:val="Header"/>
        <w:tabs>
          <w:tab w:val="clear" w:pos="4153"/>
          <w:tab w:val="clear" w:pos="8306"/>
          <w:tab w:val="num" w:pos="1080"/>
        </w:tabs>
        <w:rPr>
          <w:szCs w:val="24"/>
        </w:rPr>
      </w:pPr>
    </w:p>
    <w:p w14:paraId="39D6CE63" w14:textId="3CF14353" w:rsidR="00C46902" w:rsidRDefault="00D46CB9" w:rsidP="00C46902">
      <w:pPr>
        <w:pStyle w:val="Header"/>
        <w:tabs>
          <w:tab w:val="clear" w:pos="4153"/>
          <w:tab w:val="clear" w:pos="8306"/>
          <w:tab w:val="num" w:pos="1080"/>
        </w:tabs>
        <w:rPr>
          <w:szCs w:val="24"/>
        </w:rPr>
      </w:pPr>
      <w:r>
        <w:rPr>
          <w:szCs w:val="24"/>
        </w:rPr>
        <w:t>This was previously prescribed within section 11 of the Previous Regulations.</w:t>
      </w:r>
    </w:p>
    <w:p w14:paraId="00B87B65" w14:textId="77777777" w:rsidR="00C46902" w:rsidRDefault="00C46902" w:rsidP="00C46902">
      <w:pPr>
        <w:pStyle w:val="Header"/>
        <w:tabs>
          <w:tab w:val="clear" w:pos="4153"/>
          <w:tab w:val="clear" w:pos="8306"/>
          <w:tab w:val="num" w:pos="1080"/>
        </w:tabs>
        <w:rPr>
          <w:szCs w:val="24"/>
        </w:rPr>
      </w:pPr>
    </w:p>
    <w:p w14:paraId="4062737C" w14:textId="77777777" w:rsidR="00C46902" w:rsidRPr="00D46CB9" w:rsidRDefault="00C46902" w:rsidP="00C46902">
      <w:pPr>
        <w:pStyle w:val="Header"/>
        <w:tabs>
          <w:tab w:val="clear" w:pos="4153"/>
          <w:tab w:val="clear" w:pos="8306"/>
          <w:tab w:val="num" w:pos="1080"/>
        </w:tabs>
        <w:rPr>
          <w:b/>
          <w:szCs w:val="24"/>
        </w:rPr>
      </w:pPr>
      <w:r w:rsidRPr="00D46CB9">
        <w:rPr>
          <w:b/>
          <w:szCs w:val="24"/>
        </w:rPr>
        <w:t>Section 8 – Circumstances for medical practitioners for prescribed pattern of services</w:t>
      </w:r>
    </w:p>
    <w:p w14:paraId="28AB47E8" w14:textId="3670CF73" w:rsidR="00C46902" w:rsidRDefault="00C95CCF" w:rsidP="00C46902">
      <w:pPr>
        <w:pStyle w:val="Header"/>
        <w:tabs>
          <w:tab w:val="clear" w:pos="4153"/>
          <w:tab w:val="clear" w:pos="8306"/>
          <w:tab w:val="num" w:pos="1080"/>
        </w:tabs>
        <w:rPr>
          <w:szCs w:val="24"/>
        </w:rPr>
      </w:pPr>
      <w:r>
        <w:rPr>
          <w:szCs w:val="24"/>
        </w:rPr>
        <w:t>Subsection</w:t>
      </w:r>
      <w:r w:rsidR="00D46CB9">
        <w:rPr>
          <w:szCs w:val="24"/>
        </w:rPr>
        <w:t xml:space="preserve"> 82(1A) of the Act</w:t>
      </w:r>
      <w:r w:rsidR="00C46902">
        <w:rPr>
          <w:szCs w:val="24"/>
        </w:rPr>
        <w:t xml:space="preserve"> provide</w:t>
      </w:r>
      <w:r w:rsidR="00D46CB9">
        <w:rPr>
          <w:szCs w:val="24"/>
        </w:rPr>
        <w:t>s</w:t>
      </w:r>
      <w:r w:rsidR="00C46902">
        <w:rPr>
          <w:szCs w:val="24"/>
        </w:rPr>
        <w:t xml:space="preserve"> </w:t>
      </w:r>
      <w:r w:rsidR="00870D2E">
        <w:rPr>
          <w:szCs w:val="24"/>
        </w:rPr>
        <w:t xml:space="preserve">the </w:t>
      </w:r>
      <w:r w:rsidR="00C46902" w:rsidRPr="00CF3B28">
        <w:rPr>
          <w:szCs w:val="24"/>
        </w:rPr>
        <w:t>circumstances in which services rendered or initiated by a medical practitioner constitute a prescribed pattern of services</w:t>
      </w:r>
      <w:r w:rsidR="00870D2E">
        <w:rPr>
          <w:szCs w:val="24"/>
        </w:rPr>
        <w:t>, being that</w:t>
      </w:r>
      <w:r w:rsidR="00C46902" w:rsidRPr="00CF3B28">
        <w:rPr>
          <w:szCs w:val="24"/>
        </w:rPr>
        <w:t xml:space="preserve"> the medical practitioner renders or initiates 80 or more relevant services on each of 20 or more days in a 12 month period.</w:t>
      </w:r>
    </w:p>
    <w:p w14:paraId="141E9C77" w14:textId="77777777" w:rsidR="00D46CB9" w:rsidRDefault="00D46CB9" w:rsidP="00C46902">
      <w:pPr>
        <w:pStyle w:val="Header"/>
        <w:tabs>
          <w:tab w:val="clear" w:pos="4153"/>
          <w:tab w:val="clear" w:pos="8306"/>
          <w:tab w:val="num" w:pos="1080"/>
        </w:tabs>
        <w:rPr>
          <w:szCs w:val="24"/>
        </w:rPr>
      </w:pPr>
    </w:p>
    <w:p w14:paraId="75653A2C" w14:textId="5AFC12D0" w:rsidR="00D46CB9" w:rsidRDefault="00D46CB9" w:rsidP="00C46902">
      <w:pPr>
        <w:pStyle w:val="Header"/>
        <w:tabs>
          <w:tab w:val="clear" w:pos="4153"/>
          <w:tab w:val="clear" w:pos="8306"/>
          <w:tab w:val="num" w:pos="1080"/>
        </w:tabs>
        <w:rPr>
          <w:szCs w:val="24"/>
        </w:rPr>
      </w:pPr>
      <w:r>
        <w:rPr>
          <w:szCs w:val="24"/>
        </w:rPr>
        <w:t>This was previously prescribed within section 10</w:t>
      </w:r>
      <w:r w:rsidR="00870D2E">
        <w:rPr>
          <w:szCs w:val="24"/>
        </w:rPr>
        <w:t xml:space="preserve"> of the Previous Regulations.</w:t>
      </w:r>
    </w:p>
    <w:p w14:paraId="05C77551" w14:textId="77777777" w:rsidR="00870D2E" w:rsidRDefault="00870D2E" w:rsidP="00CF4354">
      <w:pPr>
        <w:pStyle w:val="Heading1"/>
        <w:tabs>
          <w:tab w:val="left" w:pos="284"/>
        </w:tabs>
        <w:jc w:val="left"/>
        <w:rPr>
          <w:szCs w:val="24"/>
          <w:u w:val="none"/>
        </w:rPr>
      </w:pPr>
    </w:p>
    <w:p w14:paraId="0246F693" w14:textId="27B8656B" w:rsidR="00CF4354" w:rsidRPr="00870D2E" w:rsidRDefault="00CF4354" w:rsidP="00CF4354">
      <w:pPr>
        <w:pStyle w:val="Heading1"/>
        <w:tabs>
          <w:tab w:val="left" w:pos="284"/>
        </w:tabs>
        <w:jc w:val="left"/>
        <w:rPr>
          <w:szCs w:val="24"/>
          <w:u w:val="none"/>
        </w:rPr>
      </w:pPr>
      <w:r w:rsidRPr="00870D2E">
        <w:rPr>
          <w:szCs w:val="24"/>
          <w:u w:val="none"/>
        </w:rPr>
        <w:t>PART 3—PROFESSIONAL SERVICES REVIEW COMMITTEES</w:t>
      </w:r>
    </w:p>
    <w:p w14:paraId="73FB8C72" w14:textId="67CC430B" w:rsidR="00C46902" w:rsidRDefault="00CF4354" w:rsidP="00C46902">
      <w:pPr>
        <w:pStyle w:val="Header"/>
        <w:tabs>
          <w:tab w:val="clear" w:pos="4153"/>
          <w:tab w:val="clear" w:pos="8306"/>
          <w:tab w:val="num" w:pos="1080"/>
        </w:tabs>
        <w:rPr>
          <w:szCs w:val="24"/>
        </w:rPr>
      </w:pPr>
      <w:r>
        <w:rPr>
          <w:szCs w:val="24"/>
        </w:rPr>
        <w:br/>
      </w:r>
      <w:r w:rsidR="00C46902" w:rsidRPr="00870D2E">
        <w:rPr>
          <w:b/>
        </w:rPr>
        <w:t>Section 9 – Allowances for witnesses at hearings</w:t>
      </w:r>
      <w:r w:rsidRPr="00870D2E">
        <w:rPr>
          <w:b/>
          <w:szCs w:val="24"/>
        </w:rPr>
        <w:br/>
      </w:r>
      <w:r w:rsidR="00870D2E">
        <w:rPr>
          <w:szCs w:val="24"/>
        </w:rPr>
        <w:t>Section 106C of the Act</w:t>
      </w:r>
      <w:r w:rsidR="00C46902">
        <w:rPr>
          <w:szCs w:val="24"/>
        </w:rPr>
        <w:t xml:space="preserve"> provide</w:t>
      </w:r>
      <w:r w:rsidR="00870D2E">
        <w:rPr>
          <w:szCs w:val="24"/>
        </w:rPr>
        <w:t>s</w:t>
      </w:r>
      <w:r w:rsidR="00C46902">
        <w:rPr>
          <w:szCs w:val="24"/>
        </w:rPr>
        <w:t xml:space="preserve"> for </w:t>
      </w:r>
      <w:r w:rsidR="00C46902" w:rsidRPr="00CF3B28">
        <w:rPr>
          <w:szCs w:val="24"/>
        </w:rPr>
        <w:t>allowances for expenses in respect of attendance by a person summoned to appear as a witness at a hearing before a Professional Services Review Committee.</w:t>
      </w:r>
    </w:p>
    <w:p w14:paraId="2234FB7A" w14:textId="77777777" w:rsidR="00A727AE" w:rsidRDefault="00A727AE" w:rsidP="00C46902">
      <w:pPr>
        <w:pStyle w:val="Header"/>
        <w:tabs>
          <w:tab w:val="clear" w:pos="4153"/>
          <w:tab w:val="clear" w:pos="8306"/>
          <w:tab w:val="num" w:pos="1080"/>
        </w:tabs>
        <w:rPr>
          <w:szCs w:val="24"/>
        </w:rPr>
      </w:pPr>
    </w:p>
    <w:p w14:paraId="4EC1BFF8" w14:textId="7DC0284A" w:rsidR="001C1426" w:rsidRDefault="001C1426" w:rsidP="00A727AE">
      <w:pPr>
        <w:pStyle w:val="Default"/>
      </w:pPr>
      <w:r>
        <w:t xml:space="preserve">Item 19 of the </w:t>
      </w:r>
      <w:r w:rsidR="003D6A92">
        <w:rPr>
          <w:i/>
        </w:rPr>
        <w:t>Health Insurance (R</w:t>
      </w:r>
      <w:r>
        <w:rPr>
          <w:i/>
        </w:rPr>
        <w:t>epeal and Consequential Amendments) Regulation 2018</w:t>
      </w:r>
      <w:r>
        <w:t xml:space="preserve"> makes a consequential amendment to the Previous Regulations by inserting allowances for witnesses at Professional Services Review Committees</w:t>
      </w:r>
      <w:r w:rsidR="009E4537">
        <w:t>.</w:t>
      </w:r>
      <w:r>
        <w:t xml:space="preserve"> This </w:t>
      </w:r>
      <w:r w:rsidR="00D63286">
        <w:t xml:space="preserve">amendment </w:t>
      </w:r>
      <w:r>
        <w:t xml:space="preserve">has been made because the provisions around witness fees more appropriately sit within the </w:t>
      </w:r>
      <w:r w:rsidR="00D579FB">
        <w:t>Professional Services Review</w:t>
      </w:r>
      <w:r>
        <w:t xml:space="preserve"> Regulations.</w:t>
      </w:r>
    </w:p>
    <w:p w14:paraId="4CEC4E18" w14:textId="77777777" w:rsidR="001C1426" w:rsidRDefault="001C1426" w:rsidP="00A727AE">
      <w:pPr>
        <w:pStyle w:val="Default"/>
      </w:pPr>
    </w:p>
    <w:p w14:paraId="100EE135" w14:textId="577A96A7" w:rsidR="009E4537" w:rsidRDefault="001C1426" w:rsidP="00A727AE">
      <w:pPr>
        <w:pStyle w:val="Default"/>
      </w:pPr>
      <w:r>
        <w:t xml:space="preserve">For the purposes of section 106C of the Act, </w:t>
      </w:r>
      <w:r w:rsidR="009E4537">
        <w:t>Section 9</w:t>
      </w:r>
      <w:r>
        <w:t xml:space="preserve"> of the Principal Regulations </w:t>
      </w:r>
      <w:r w:rsidR="009E4537">
        <w:t xml:space="preserve">provides </w:t>
      </w:r>
      <w:r>
        <w:t xml:space="preserve">allowances for witnesses </w:t>
      </w:r>
      <w:r w:rsidR="009E4537">
        <w:t>for travel costs determined by the Professional Services Review Committee to be a reasonable amount, taking into account the particular circumstances of the witness.</w:t>
      </w:r>
      <w:r w:rsidR="00D579FB">
        <w:t xml:space="preserve"> Section 9 also provides an attendance allowance for lost salary or wages consequent upon a witnesses’ appearance at a Professional Services Review Committee hearing.</w:t>
      </w:r>
    </w:p>
    <w:p w14:paraId="786D38DF" w14:textId="77777777" w:rsidR="009E4537" w:rsidRDefault="009E4537" w:rsidP="00A727AE">
      <w:pPr>
        <w:pStyle w:val="Default"/>
      </w:pPr>
    </w:p>
    <w:p w14:paraId="2712CBE3" w14:textId="77777777" w:rsidR="00C46902" w:rsidRPr="000742AD" w:rsidRDefault="00C46902" w:rsidP="00C46902">
      <w:pPr>
        <w:pStyle w:val="Header"/>
        <w:tabs>
          <w:tab w:val="clear" w:pos="4153"/>
          <w:tab w:val="clear" w:pos="8306"/>
          <w:tab w:val="num" w:pos="1080"/>
        </w:tabs>
        <w:rPr>
          <w:b/>
          <w:szCs w:val="24"/>
        </w:rPr>
      </w:pPr>
      <w:r w:rsidRPr="000742AD">
        <w:rPr>
          <w:b/>
          <w:szCs w:val="24"/>
        </w:rPr>
        <w:t>Section 10 – Specified persons and bodies—significant threat to life or health</w:t>
      </w:r>
    </w:p>
    <w:p w14:paraId="3A308FC4" w14:textId="78B6B1DB" w:rsidR="000742AD" w:rsidRDefault="000742AD" w:rsidP="00C46902">
      <w:pPr>
        <w:pStyle w:val="Header"/>
        <w:tabs>
          <w:tab w:val="clear" w:pos="4153"/>
          <w:tab w:val="clear" w:pos="8306"/>
          <w:tab w:val="num" w:pos="1080"/>
        </w:tabs>
        <w:rPr>
          <w:szCs w:val="24"/>
        </w:rPr>
      </w:pPr>
      <w:r>
        <w:rPr>
          <w:szCs w:val="24"/>
        </w:rPr>
        <w:t>Section 106XA of the Act provides for the referral of professional issues to regulatory and other bodies.</w:t>
      </w:r>
    </w:p>
    <w:p w14:paraId="74082D17" w14:textId="77777777" w:rsidR="000742AD" w:rsidRDefault="000742AD" w:rsidP="00C46902">
      <w:pPr>
        <w:pStyle w:val="Header"/>
        <w:tabs>
          <w:tab w:val="clear" w:pos="4153"/>
          <w:tab w:val="clear" w:pos="8306"/>
          <w:tab w:val="num" w:pos="1080"/>
        </w:tabs>
        <w:rPr>
          <w:szCs w:val="24"/>
        </w:rPr>
      </w:pPr>
    </w:p>
    <w:p w14:paraId="72716DFB" w14:textId="76B88B7F" w:rsidR="00C46902" w:rsidRDefault="000742AD" w:rsidP="00C46902">
      <w:pPr>
        <w:pStyle w:val="Header"/>
        <w:tabs>
          <w:tab w:val="clear" w:pos="4153"/>
          <w:tab w:val="clear" w:pos="8306"/>
          <w:tab w:val="num" w:pos="1080"/>
        </w:tabs>
        <w:rPr>
          <w:szCs w:val="24"/>
        </w:rPr>
      </w:pPr>
      <w:r>
        <w:rPr>
          <w:szCs w:val="24"/>
        </w:rPr>
        <w:t>Subsection 10(2) specifies</w:t>
      </w:r>
      <w:r w:rsidR="00C46902" w:rsidRPr="00CF3B28">
        <w:rPr>
          <w:szCs w:val="24"/>
        </w:rPr>
        <w:t xml:space="preserve"> persons and bodies for </w:t>
      </w:r>
      <w:r w:rsidR="00454DB4">
        <w:rPr>
          <w:szCs w:val="24"/>
        </w:rPr>
        <w:t xml:space="preserve">the referral of </w:t>
      </w:r>
      <w:r w:rsidR="00C46902" w:rsidRPr="00CF3B28">
        <w:rPr>
          <w:szCs w:val="24"/>
        </w:rPr>
        <w:t xml:space="preserve">persons who </w:t>
      </w:r>
      <w:r>
        <w:rPr>
          <w:szCs w:val="24"/>
        </w:rPr>
        <w:t>are general practitioners</w:t>
      </w:r>
      <w:r w:rsidR="00454DB4">
        <w:rPr>
          <w:szCs w:val="24"/>
        </w:rPr>
        <w:t xml:space="preserve"> who render professional services</w:t>
      </w:r>
      <w:r>
        <w:rPr>
          <w:szCs w:val="24"/>
        </w:rPr>
        <w:t xml:space="preserve"> </w:t>
      </w:r>
      <w:r w:rsidR="00C46902">
        <w:rPr>
          <w:szCs w:val="24"/>
        </w:rPr>
        <w:t xml:space="preserve">that could cause </w:t>
      </w:r>
      <w:r w:rsidR="00C46902" w:rsidRPr="00CF3B28">
        <w:rPr>
          <w:szCs w:val="24"/>
        </w:rPr>
        <w:t>significant threat to life or health.</w:t>
      </w:r>
    </w:p>
    <w:p w14:paraId="20CC8FBC" w14:textId="561DB0A1" w:rsidR="00116150" w:rsidRDefault="00116150">
      <w:pPr>
        <w:spacing w:after="200" w:line="276" w:lineRule="auto"/>
        <w:rPr>
          <w:szCs w:val="24"/>
        </w:rPr>
      </w:pPr>
      <w:r>
        <w:rPr>
          <w:szCs w:val="24"/>
        </w:rPr>
        <w:br w:type="page"/>
      </w:r>
    </w:p>
    <w:p w14:paraId="4EEC5FA4" w14:textId="6D6F79F5" w:rsidR="00214F3E" w:rsidRDefault="00454DB4" w:rsidP="00214F3E">
      <w:pPr>
        <w:pStyle w:val="Header"/>
        <w:tabs>
          <w:tab w:val="clear" w:pos="4153"/>
          <w:tab w:val="clear" w:pos="8306"/>
          <w:tab w:val="num" w:pos="1080"/>
        </w:tabs>
      </w:pPr>
      <w:r>
        <w:rPr>
          <w:szCs w:val="24"/>
        </w:rPr>
        <w:t>F</w:t>
      </w:r>
      <w:r w:rsidR="00214F3E">
        <w:rPr>
          <w:szCs w:val="24"/>
        </w:rPr>
        <w:t>o</w:t>
      </w:r>
      <w:r>
        <w:rPr>
          <w:szCs w:val="24"/>
        </w:rPr>
        <w:t xml:space="preserve">r the purposes of paragraph 106XA(4)(a) of the Act, </w:t>
      </w:r>
      <w:r w:rsidR="00BF248E">
        <w:rPr>
          <w:szCs w:val="24"/>
        </w:rPr>
        <w:t>subs</w:t>
      </w:r>
      <w:r>
        <w:rPr>
          <w:szCs w:val="24"/>
        </w:rPr>
        <w:t>ection 10</w:t>
      </w:r>
      <w:r w:rsidR="00BF248E">
        <w:rPr>
          <w:szCs w:val="24"/>
        </w:rPr>
        <w:t>(2)</w:t>
      </w:r>
      <w:r>
        <w:rPr>
          <w:szCs w:val="24"/>
        </w:rPr>
        <w:t xml:space="preserve"> of the Principal Regulations </w:t>
      </w:r>
      <w:r w:rsidR="00214F3E">
        <w:rPr>
          <w:szCs w:val="24"/>
        </w:rPr>
        <w:t>removes t</w:t>
      </w:r>
      <w:r w:rsidR="00214F3E">
        <w:t>he following entities:</w:t>
      </w:r>
    </w:p>
    <w:p w14:paraId="6351CB60" w14:textId="77777777" w:rsidR="00214F3E" w:rsidRDefault="00214F3E" w:rsidP="00214F3E">
      <w:pPr>
        <w:pStyle w:val="ListParagraph"/>
        <w:numPr>
          <w:ilvl w:val="0"/>
          <w:numId w:val="25"/>
        </w:numPr>
        <w:ind w:left="567"/>
      </w:pPr>
      <w:r>
        <w:t>General Practice Recognition Appeal Committee</w:t>
      </w:r>
    </w:p>
    <w:p w14:paraId="53F3FF89" w14:textId="77777777" w:rsidR="00214F3E" w:rsidRDefault="00214F3E" w:rsidP="00214F3E">
      <w:pPr>
        <w:pStyle w:val="ListParagraph"/>
        <w:numPr>
          <w:ilvl w:val="0"/>
          <w:numId w:val="25"/>
        </w:numPr>
        <w:ind w:left="567"/>
      </w:pPr>
      <w:r>
        <w:t>General Practice Recognition Eligibility Committee</w:t>
      </w:r>
    </w:p>
    <w:p w14:paraId="170C67A2" w14:textId="77777777" w:rsidR="00214F3E" w:rsidRDefault="00214F3E" w:rsidP="00214F3E"/>
    <w:p w14:paraId="2CD763B0" w14:textId="2B14BADC" w:rsidR="00214F3E" w:rsidRDefault="00214F3E" w:rsidP="00214F3E">
      <w:pPr>
        <w:pStyle w:val="Header"/>
        <w:tabs>
          <w:tab w:val="clear" w:pos="4153"/>
          <w:tab w:val="clear" w:pos="8306"/>
          <w:tab w:val="num" w:pos="1080"/>
        </w:tabs>
      </w:pPr>
      <w:r>
        <w:rPr>
          <w:szCs w:val="24"/>
        </w:rPr>
        <w:t>For the purposes of paragraph 106XA(4)(a) of the Act, subsection 10(</w:t>
      </w:r>
      <w:r w:rsidR="00BF248E">
        <w:rPr>
          <w:szCs w:val="24"/>
        </w:rPr>
        <w:t>2</w:t>
      </w:r>
      <w:r>
        <w:rPr>
          <w:szCs w:val="24"/>
        </w:rPr>
        <w:t>) of the Principal Regulations adds t</w:t>
      </w:r>
      <w:r>
        <w:t>he following entities:</w:t>
      </w:r>
    </w:p>
    <w:p w14:paraId="0B3339B2" w14:textId="77777777" w:rsidR="00214F3E" w:rsidRDefault="00214F3E" w:rsidP="00214F3E">
      <w:pPr>
        <w:pStyle w:val="ListParagraph"/>
        <w:numPr>
          <w:ilvl w:val="0"/>
          <w:numId w:val="26"/>
        </w:numPr>
        <w:ind w:left="567"/>
      </w:pPr>
      <w:r>
        <w:t>Australian College of Rural and Remote Medicine</w:t>
      </w:r>
    </w:p>
    <w:p w14:paraId="47391BE2" w14:textId="77777777" w:rsidR="00214F3E" w:rsidRDefault="00214F3E" w:rsidP="00214F3E">
      <w:pPr>
        <w:pStyle w:val="ListParagraph"/>
        <w:numPr>
          <w:ilvl w:val="0"/>
          <w:numId w:val="26"/>
        </w:numPr>
        <w:ind w:left="567"/>
      </w:pPr>
      <w:r>
        <w:t>Australian Health Practitioner Regulation Agency</w:t>
      </w:r>
    </w:p>
    <w:p w14:paraId="676BD6A8" w14:textId="77777777" w:rsidR="00BF248E" w:rsidRDefault="00214F3E" w:rsidP="00214F3E">
      <w:pPr>
        <w:pStyle w:val="ListParagraph"/>
        <w:numPr>
          <w:ilvl w:val="0"/>
          <w:numId w:val="26"/>
        </w:numPr>
        <w:ind w:left="567"/>
      </w:pPr>
      <w:r w:rsidRPr="00AA4BA0">
        <w:t>Health C</w:t>
      </w:r>
      <w:r>
        <w:t>are Complaints Commission</w:t>
      </w:r>
      <w:r w:rsidR="00BF248E">
        <w:t xml:space="preserve"> of New South Wales</w:t>
      </w:r>
    </w:p>
    <w:p w14:paraId="24DEF44D" w14:textId="2F16D25C" w:rsidR="00214F3E" w:rsidRPr="00AA4BA0" w:rsidRDefault="00214F3E" w:rsidP="00214F3E">
      <w:pPr>
        <w:pStyle w:val="ListParagraph"/>
        <w:numPr>
          <w:ilvl w:val="0"/>
          <w:numId w:val="26"/>
        </w:numPr>
        <w:ind w:left="567"/>
      </w:pPr>
      <w:r w:rsidRPr="00AA4BA0">
        <w:t>Health Ombudsman</w:t>
      </w:r>
      <w:r w:rsidR="00BF248E">
        <w:t xml:space="preserve"> of </w:t>
      </w:r>
      <w:r w:rsidRPr="00AA4BA0">
        <w:t>Queensland</w:t>
      </w:r>
    </w:p>
    <w:p w14:paraId="184EF7A1" w14:textId="77777777" w:rsidR="00214F3E" w:rsidRDefault="00214F3E" w:rsidP="00214F3E">
      <w:pPr>
        <w:pStyle w:val="ListParagraph"/>
        <w:numPr>
          <w:ilvl w:val="0"/>
          <w:numId w:val="26"/>
        </w:numPr>
        <w:ind w:left="567"/>
      </w:pPr>
      <w:r w:rsidRPr="00AA4BA0">
        <w:t xml:space="preserve">Medical Council </w:t>
      </w:r>
      <w:r>
        <w:t>of New South Wales</w:t>
      </w:r>
    </w:p>
    <w:p w14:paraId="287EA42C" w14:textId="77777777" w:rsidR="00214F3E" w:rsidRDefault="00214F3E" w:rsidP="00214F3E"/>
    <w:p w14:paraId="292A22EB" w14:textId="499C4367" w:rsidR="00E25797" w:rsidRDefault="00E25797" w:rsidP="00E25797">
      <w:pPr>
        <w:pStyle w:val="Header"/>
        <w:tabs>
          <w:tab w:val="clear" w:pos="4153"/>
          <w:tab w:val="clear" w:pos="8306"/>
          <w:tab w:val="num" w:pos="1080"/>
        </w:tabs>
        <w:rPr>
          <w:szCs w:val="24"/>
        </w:rPr>
      </w:pPr>
      <w:r>
        <w:rPr>
          <w:szCs w:val="24"/>
        </w:rPr>
        <w:t>Subsection 10(3) specifies</w:t>
      </w:r>
      <w:r w:rsidRPr="00CF3B28">
        <w:rPr>
          <w:szCs w:val="24"/>
        </w:rPr>
        <w:t xml:space="preserve"> persons and bodies for </w:t>
      </w:r>
      <w:r>
        <w:rPr>
          <w:szCs w:val="24"/>
        </w:rPr>
        <w:t xml:space="preserve">the referral of </w:t>
      </w:r>
      <w:r w:rsidRPr="00CF3B28">
        <w:rPr>
          <w:szCs w:val="24"/>
        </w:rPr>
        <w:t xml:space="preserve">persons who </w:t>
      </w:r>
      <w:r>
        <w:rPr>
          <w:szCs w:val="24"/>
        </w:rPr>
        <w:t xml:space="preserve">are not general practitioners who render professional services that could cause </w:t>
      </w:r>
      <w:r w:rsidRPr="00CF3B28">
        <w:rPr>
          <w:szCs w:val="24"/>
        </w:rPr>
        <w:t>significant threat to life or health.</w:t>
      </w:r>
    </w:p>
    <w:p w14:paraId="5AE89F0A" w14:textId="77777777" w:rsidR="00E25797" w:rsidRDefault="00E25797" w:rsidP="00214F3E">
      <w:pPr>
        <w:pStyle w:val="Header"/>
        <w:tabs>
          <w:tab w:val="clear" w:pos="4153"/>
          <w:tab w:val="clear" w:pos="8306"/>
          <w:tab w:val="num" w:pos="1080"/>
        </w:tabs>
        <w:rPr>
          <w:szCs w:val="24"/>
        </w:rPr>
      </w:pPr>
    </w:p>
    <w:p w14:paraId="3EF90856" w14:textId="1AEC11B1" w:rsidR="00214F3E" w:rsidRDefault="00214F3E" w:rsidP="00214F3E">
      <w:pPr>
        <w:pStyle w:val="Header"/>
        <w:tabs>
          <w:tab w:val="clear" w:pos="4153"/>
          <w:tab w:val="clear" w:pos="8306"/>
          <w:tab w:val="num" w:pos="1080"/>
        </w:tabs>
      </w:pPr>
      <w:r>
        <w:rPr>
          <w:szCs w:val="24"/>
        </w:rPr>
        <w:t>For the purposes of paragraph 106XA(4)(a) of the Act, subsection 10(</w:t>
      </w:r>
      <w:r w:rsidR="00E25797">
        <w:rPr>
          <w:szCs w:val="24"/>
        </w:rPr>
        <w:t>3</w:t>
      </w:r>
      <w:r>
        <w:rPr>
          <w:szCs w:val="24"/>
        </w:rPr>
        <w:t>) of the Principal Regulations adds t</w:t>
      </w:r>
      <w:r w:rsidR="00E25797">
        <w:t>he following entities</w:t>
      </w:r>
      <w:r>
        <w:t>:</w:t>
      </w:r>
    </w:p>
    <w:p w14:paraId="75DF36DD" w14:textId="77777777" w:rsidR="00214F3E" w:rsidRDefault="00214F3E" w:rsidP="00214F3E">
      <w:pPr>
        <w:pStyle w:val="ListParagraph"/>
        <w:numPr>
          <w:ilvl w:val="0"/>
          <w:numId w:val="27"/>
        </w:numPr>
        <w:ind w:left="567"/>
      </w:pPr>
      <w:r>
        <w:t>Aboriginal and Torres Strait Islander Health Practice Board of Australia</w:t>
      </w:r>
    </w:p>
    <w:p w14:paraId="0F48A7D0" w14:textId="77777777" w:rsidR="00214F3E" w:rsidRPr="00AA4BA0" w:rsidRDefault="00214F3E" w:rsidP="00214F3E">
      <w:pPr>
        <w:pStyle w:val="ListParagraph"/>
        <w:numPr>
          <w:ilvl w:val="0"/>
          <w:numId w:val="27"/>
        </w:numPr>
        <w:ind w:left="567"/>
      </w:pPr>
      <w:r>
        <w:t>Australian Health Practitioner Regulation Agency</w:t>
      </w:r>
    </w:p>
    <w:p w14:paraId="715A7CD9" w14:textId="77777777" w:rsidR="00214F3E" w:rsidRDefault="00214F3E" w:rsidP="00214F3E">
      <w:pPr>
        <w:pStyle w:val="ListParagraph"/>
        <w:numPr>
          <w:ilvl w:val="0"/>
          <w:numId w:val="27"/>
        </w:numPr>
        <w:ind w:left="567"/>
      </w:pPr>
      <w:r>
        <w:t>Chinese Medicine Board of Australia</w:t>
      </w:r>
    </w:p>
    <w:p w14:paraId="37748A11" w14:textId="77777777" w:rsidR="00214F3E" w:rsidRDefault="00214F3E" w:rsidP="00214F3E">
      <w:pPr>
        <w:pStyle w:val="ListParagraph"/>
        <w:numPr>
          <w:ilvl w:val="0"/>
          <w:numId w:val="27"/>
        </w:numPr>
        <w:ind w:left="567"/>
      </w:pPr>
      <w:r w:rsidRPr="00AA4BA0">
        <w:t>Department of Health</w:t>
      </w:r>
    </w:p>
    <w:p w14:paraId="0CE183F9" w14:textId="50264526" w:rsidR="00214F3E" w:rsidRDefault="00A73280" w:rsidP="00214F3E">
      <w:pPr>
        <w:pStyle w:val="ListParagraph"/>
        <w:numPr>
          <w:ilvl w:val="0"/>
          <w:numId w:val="27"/>
        </w:numPr>
        <w:ind w:left="567"/>
      </w:pPr>
      <w:r>
        <w:t>Health Ombudsman of Queensland</w:t>
      </w:r>
    </w:p>
    <w:p w14:paraId="42909A1C" w14:textId="77777777" w:rsidR="00214F3E" w:rsidRDefault="00214F3E" w:rsidP="00214F3E">
      <w:pPr>
        <w:pStyle w:val="ListParagraph"/>
        <w:numPr>
          <w:ilvl w:val="0"/>
          <w:numId w:val="27"/>
        </w:numPr>
        <w:ind w:left="567"/>
      </w:pPr>
      <w:r>
        <w:t>Human Services Department</w:t>
      </w:r>
    </w:p>
    <w:p w14:paraId="4074F5EB" w14:textId="77777777" w:rsidR="00214F3E" w:rsidRDefault="00214F3E" w:rsidP="00214F3E">
      <w:pPr>
        <w:pStyle w:val="ListParagraph"/>
        <w:numPr>
          <w:ilvl w:val="0"/>
          <w:numId w:val="27"/>
        </w:numPr>
        <w:ind w:left="567"/>
      </w:pPr>
      <w:r>
        <w:t>Medical Council of New South Wales</w:t>
      </w:r>
    </w:p>
    <w:p w14:paraId="620B18BA" w14:textId="77777777" w:rsidR="00214F3E" w:rsidRDefault="00214F3E" w:rsidP="00214F3E">
      <w:pPr>
        <w:pStyle w:val="ListParagraph"/>
        <w:numPr>
          <w:ilvl w:val="0"/>
          <w:numId w:val="27"/>
        </w:numPr>
        <w:ind w:left="567"/>
      </w:pPr>
      <w:r>
        <w:t>Medical Radiation Practice Board of Australia</w:t>
      </w:r>
    </w:p>
    <w:p w14:paraId="5EC08809" w14:textId="77777777" w:rsidR="00214F3E" w:rsidRDefault="00214F3E" w:rsidP="00214F3E">
      <w:pPr>
        <w:pStyle w:val="ListParagraph"/>
        <w:numPr>
          <w:ilvl w:val="0"/>
          <w:numId w:val="27"/>
        </w:numPr>
        <w:ind w:left="567"/>
      </w:pPr>
      <w:r>
        <w:t>Paramedicine Board of Australia</w:t>
      </w:r>
    </w:p>
    <w:p w14:paraId="1B2FB3C3" w14:textId="77777777" w:rsidR="00214F3E" w:rsidRDefault="00214F3E" w:rsidP="00214F3E">
      <w:pPr>
        <w:pStyle w:val="ListParagraph"/>
        <w:numPr>
          <w:ilvl w:val="0"/>
          <w:numId w:val="27"/>
        </w:numPr>
        <w:ind w:left="567"/>
      </w:pPr>
      <w:r>
        <w:t>Pharmacy Board of Australia</w:t>
      </w:r>
    </w:p>
    <w:p w14:paraId="1010084C" w14:textId="77777777" w:rsidR="00214F3E" w:rsidRPr="00E82DF7" w:rsidRDefault="00214F3E" w:rsidP="00214F3E">
      <w:pPr>
        <w:pStyle w:val="ListParagraph"/>
        <w:numPr>
          <w:ilvl w:val="0"/>
          <w:numId w:val="27"/>
        </w:numPr>
        <w:ind w:left="567"/>
      </w:pPr>
      <w:r>
        <w:t>Psychology Board of Australia</w:t>
      </w:r>
    </w:p>
    <w:p w14:paraId="63402E20" w14:textId="77777777" w:rsidR="00214F3E" w:rsidRDefault="00214F3E" w:rsidP="00214F3E"/>
    <w:p w14:paraId="529F068E" w14:textId="7F0F464B" w:rsidR="00214F3E" w:rsidRDefault="00214F3E" w:rsidP="00214F3E">
      <w:pPr>
        <w:rPr>
          <w:i/>
        </w:rPr>
      </w:pPr>
      <w:r>
        <w:t xml:space="preserve">Section 10 was previously prescribed in </w:t>
      </w:r>
      <w:r w:rsidR="00825C4E">
        <w:t xml:space="preserve">section 12, Part 4 and </w:t>
      </w:r>
      <w:r>
        <w:t>Parts 1 and 2 of Schedule 1 of the Previous Regulations.</w:t>
      </w:r>
    </w:p>
    <w:p w14:paraId="049521A2" w14:textId="77777777" w:rsidR="00C46902" w:rsidRDefault="00C46902" w:rsidP="00C46902">
      <w:pPr>
        <w:pStyle w:val="Header"/>
        <w:tabs>
          <w:tab w:val="clear" w:pos="4153"/>
          <w:tab w:val="clear" w:pos="8306"/>
          <w:tab w:val="num" w:pos="1080"/>
        </w:tabs>
        <w:rPr>
          <w:szCs w:val="24"/>
        </w:rPr>
      </w:pPr>
    </w:p>
    <w:p w14:paraId="68380975" w14:textId="77777777" w:rsidR="00C46902" w:rsidRPr="00E25797" w:rsidRDefault="00C46902" w:rsidP="00C46902">
      <w:pPr>
        <w:pStyle w:val="Header"/>
        <w:tabs>
          <w:tab w:val="clear" w:pos="4153"/>
          <w:tab w:val="clear" w:pos="8306"/>
          <w:tab w:val="num" w:pos="1080"/>
        </w:tabs>
        <w:rPr>
          <w:b/>
          <w:szCs w:val="24"/>
        </w:rPr>
      </w:pPr>
      <w:r w:rsidRPr="00E25797">
        <w:rPr>
          <w:b/>
          <w:szCs w:val="24"/>
        </w:rPr>
        <w:t>Section 11 – Specified bodies—non-compliance with professional standards</w:t>
      </w:r>
    </w:p>
    <w:p w14:paraId="7BE8A6EA" w14:textId="6EE2E210" w:rsidR="00E25797" w:rsidRDefault="00E25797" w:rsidP="00E25797">
      <w:pPr>
        <w:pStyle w:val="Header"/>
        <w:tabs>
          <w:tab w:val="clear" w:pos="4153"/>
          <w:tab w:val="clear" w:pos="8306"/>
          <w:tab w:val="num" w:pos="1080"/>
        </w:tabs>
        <w:rPr>
          <w:szCs w:val="24"/>
        </w:rPr>
      </w:pPr>
      <w:r>
        <w:rPr>
          <w:szCs w:val="24"/>
        </w:rPr>
        <w:t xml:space="preserve">Section 106XB of the Act provides for </w:t>
      </w:r>
      <w:r w:rsidR="00DE3F34">
        <w:rPr>
          <w:szCs w:val="24"/>
        </w:rPr>
        <w:t>bodi</w:t>
      </w:r>
      <w:r w:rsidR="00096F60">
        <w:rPr>
          <w:szCs w:val="24"/>
        </w:rPr>
        <w:t>es specified in subsection</w:t>
      </w:r>
      <w:r w:rsidR="002C02DC">
        <w:rPr>
          <w:szCs w:val="24"/>
        </w:rPr>
        <w:t>s</w:t>
      </w:r>
      <w:r w:rsidR="00096F60">
        <w:rPr>
          <w:szCs w:val="24"/>
        </w:rPr>
        <w:t xml:space="preserve"> 10(2) and 10(3) of the Principal Regulations to commence action against </w:t>
      </w:r>
      <w:r w:rsidR="00DE3F34">
        <w:rPr>
          <w:szCs w:val="24"/>
        </w:rPr>
        <w:t>persons who render professional services that are not complian</w:t>
      </w:r>
      <w:r w:rsidR="00096F60">
        <w:rPr>
          <w:szCs w:val="24"/>
        </w:rPr>
        <w:t>t</w:t>
      </w:r>
      <w:r w:rsidR="00DE3F34">
        <w:rPr>
          <w:szCs w:val="24"/>
        </w:rPr>
        <w:t xml:space="preserve"> with professional standards</w:t>
      </w:r>
      <w:r>
        <w:rPr>
          <w:szCs w:val="24"/>
        </w:rPr>
        <w:t>.</w:t>
      </w:r>
    </w:p>
    <w:p w14:paraId="27584A75" w14:textId="77777777" w:rsidR="00E25797" w:rsidRDefault="00E25797" w:rsidP="00E25797">
      <w:pPr>
        <w:pStyle w:val="Header"/>
        <w:tabs>
          <w:tab w:val="clear" w:pos="4153"/>
          <w:tab w:val="clear" w:pos="8306"/>
          <w:tab w:val="num" w:pos="1080"/>
        </w:tabs>
        <w:rPr>
          <w:szCs w:val="24"/>
        </w:rPr>
      </w:pPr>
    </w:p>
    <w:p w14:paraId="012D301E" w14:textId="57DAB9A7" w:rsidR="00E25797" w:rsidRPr="002C02DC" w:rsidRDefault="00CF585F" w:rsidP="00E25797">
      <w:pPr>
        <w:pStyle w:val="Header"/>
        <w:tabs>
          <w:tab w:val="clear" w:pos="4153"/>
          <w:tab w:val="clear" w:pos="8306"/>
          <w:tab w:val="num" w:pos="1080"/>
        </w:tabs>
        <w:rPr>
          <w:szCs w:val="24"/>
        </w:rPr>
      </w:pPr>
      <w:r>
        <w:rPr>
          <w:szCs w:val="24"/>
        </w:rPr>
        <w:t xml:space="preserve">However, </w:t>
      </w:r>
      <w:r w:rsidR="00455E65">
        <w:rPr>
          <w:szCs w:val="24"/>
        </w:rPr>
        <w:t>in some cases a person (for example, a</w:t>
      </w:r>
      <w:r w:rsidR="005A7CA9">
        <w:rPr>
          <w:szCs w:val="24"/>
        </w:rPr>
        <w:t xml:space="preserve"> person occupying the position of </w:t>
      </w:r>
      <w:r w:rsidR="0036282E">
        <w:rPr>
          <w:szCs w:val="24"/>
        </w:rPr>
        <w:t xml:space="preserve">the </w:t>
      </w:r>
      <w:r w:rsidR="00455E65">
        <w:rPr>
          <w:szCs w:val="24"/>
        </w:rPr>
        <w:t>Ombudsman)</w:t>
      </w:r>
      <w:r w:rsidR="002C02DC">
        <w:rPr>
          <w:szCs w:val="24"/>
        </w:rPr>
        <w:t xml:space="preserve"> is specified in the list of bodies under subsection</w:t>
      </w:r>
      <w:r w:rsidR="005251B2">
        <w:rPr>
          <w:szCs w:val="24"/>
        </w:rPr>
        <w:t>s</w:t>
      </w:r>
      <w:r w:rsidR="002C02DC">
        <w:rPr>
          <w:szCs w:val="24"/>
        </w:rPr>
        <w:t xml:space="preserve"> 10(2) </w:t>
      </w:r>
      <w:r w:rsidR="005251B2">
        <w:rPr>
          <w:szCs w:val="24"/>
        </w:rPr>
        <w:t xml:space="preserve">and 10(3) </w:t>
      </w:r>
      <w:r w:rsidR="002C02DC">
        <w:rPr>
          <w:szCs w:val="24"/>
        </w:rPr>
        <w:t>of the Principal Regulations</w:t>
      </w:r>
      <w:r w:rsidR="00455E65">
        <w:rPr>
          <w:szCs w:val="24"/>
        </w:rPr>
        <w:t>,</w:t>
      </w:r>
      <w:r w:rsidR="002C02DC">
        <w:rPr>
          <w:szCs w:val="24"/>
        </w:rPr>
        <w:t xml:space="preserve"> as it is the </w:t>
      </w:r>
      <w:r w:rsidR="00455E65">
        <w:rPr>
          <w:szCs w:val="24"/>
        </w:rPr>
        <w:t xml:space="preserve">person </w:t>
      </w:r>
      <w:r w:rsidR="002C02DC">
        <w:rPr>
          <w:szCs w:val="24"/>
        </w:rPr>
        <w:t>who has the power to take action against a non-compliant practitioner</w:t>
      </w:r>
      <w:r w:rsidR="00455E65">
        <w:rPr>
          <w:szCs w:val="24"/>
        </w:rPr>
        <w:t xml:space="preserve"> and the relevant office (for example</w:t>
      </w:r>
      <w:r w:rsidR="00202A9D">
        <w:rPr>
          <w:szCs w:val="24"/>
        </w:rPr>
        <w:t>,</w:t>
      </w:r>
      <w:r w:rsidR="00455E65">
        <w:rPr>
          <w:szCs w:val="24"/>
        </w:rPr>
        <w:t xml:space="preserve"> the Office of the Ombudsman) assists the person in performing those functions</w:t>
      </w:r>
      <w:r w:rsidR="002C02DC">
        <w:rPr>
          <w:szCs w:val="24"/>
        </w:rPr>
        <w:t>.</w:t>
      </w:r>
      <w:r w:rsidR="00455E65">
        <w:rPr>
          <w:szCs w:val="24"/>
        </w:rPr>
        <w:t xml:space="preserve"> To enable such a person</w:t>
      </w:r>
      <w:r w:rsidR="00574E74">
        <w:rPr>
          <w:szCs w:val="24"/>
        </w:rPr>
        <w:t xml:space="preserve"> to be specified as a bod</w:t>
      </w:r>
      <w:r w:rsidR="002C02DC">
        <w:rPr>
          <w:szCs w:val="24"/>
        </w:rPr>
        <w:t xml:space="preserve">y for the purposes of </w:t>
      </w:r>
      <w:r w:rsidR="00574E74">
        <w:rPr>
          <w:szCs w:val="24"/>
        </w:rPr>
        <w:t>section 11, the Principal Regulations have been amended to cover a body that has the function of assisting a person that has the power to take action against a non-compliant practitioner.</w:t>
      </w:r>
    </w:p>
    <w:p w14:paraId="74915743" w14:textId="77777777" w:rsidR="00CF585F" w:rsidRDefault="00CF585F" w:rsidP="00E25797">
      <w:pPr>
        <w:pStyle w:val="Header"/>
        <w:tabs>
          <w:tab w:val="clear" w:pos="4153"/>
          <w:tab w:val="clear" w:pos="8306"/>
          <w:tab w:val="num" w:pos="1080"/>
        </w:tabs>
        <w:rPr>
          <w:szCs w:val="24"/>
        </w:rPr>
      </w:pPr>
    </w:p>
    <w:p w14:paraId="1BB68CA4" w14:textId="4FDD5B40" w:rsidR="00CF585F" w:rsidRDefault="00E25797" w:rsidP="00E25797">
      <w:pPr>
        <w:pStyle w:val="Header"/>
        <w:tabs>
          <w:tab w:val="clear" w:pos="4153"/>
          <w:tab w:val="clear" w:pos="8306"/>
          <w:tab w:val="num" w:pos="1080"/>
        </w:tabs>
        <w:rPr>
          <w:szCs w:val="24"/>
        </w:rPr>
      </w:pPr>
      <w:r>
        <w:rPr>
          <w:szCs w:val="24"/>
        </w:rPr>
        <w:t xml:space="preserve">For the purposes of paragraph 106XB(3)(a) of the Act, subsection 11(1)(b) </w:t>
      </w:r>
      <w:r w:rsidR="002C3CE8">
        <w:rPr>
          <w:szCs w:val="24"/>
        </w:rPr>
        <w:t xml:space="preserve">provides for a body that has the function of assisting a person specified in </w:t>
      </w:r>
      <w:r w:rsidR="00096F60">
        <w:rPr>
          <w:szCs w:val="24"/>
        </w:rPr>
        <w:t>subsection 10(2) of the Principal Regulations.</w:t>
      </w:r>
    </w:p>
    <w:p w14:paraId="616B21E1" w14:textId="77777777" w:rsidR="00CF585F" w:rsidRDefault="00CF585F" w:rsidP="00C46902">
      <w:pPr>
        <w:pStyle w:val="Header"/>
        <w:tabs>
          <w:tab w:val="clear" w:pos="4153"/>
          <w:tab w:val="clear" w:pos="8306"/>
          <w:tab w:val="num" w:pos="1080"/>
        </w:tabs>
        <w:rPr>
          <w:szCs w:val="24"/>
        </w:rPr>
      </w:pPr>
    </w:p>
    <w:p w14:paraId="19736B50" w14:textId="6858D5F1" w:rsidR="00E25797" w:rsidRDefault="002C3CE8" w:rsidP="00C46902">
      <w:pPr>
        <w:pStyle w:val="Header"/>
        <w:tabs>
          <w:tab w:val="clear" w:pos="4153"/>
          <w:tab w:val="clear" w:pos="8306"/>
          <w:tab w:val="num" w:pos="1080"/>
        </w:tabs>
        <w:rPr>
          <w:szCs w:val="24"/>
        </w:rPr>
      </w:pPr>
      <w:r>
        <w:rPr>
          <w:szCs w:val="24"/>
        </w:rPr>
        <w:t>For the purposes of paragraph 106XB(3)(</w:t>
      </w:r>
      <w:r w:rsidR="00096F60">
        <w:rPr>
          <w:szCs w:val="24"/>
        </w:rPr>
        <w:t>b</w:t>
      </w:r>
      <w:r>
        <w:rPr>
          <w:szCs w:val="24"/>
        </w:rPr>
        <w:t>) of the Act, subsection 11(</w:t>
      </w:r>
      <w:r w:rsidR="00096F60">
        <w:rPr>
          <w:szCs w:val="24"/>
        </w:rPr>
        <w:t>2</w:t>
      </w:r>
      <w:r>
        <w:rPr>
          <w:szCs w:val="24"/>
        </w:rPr>
        <w:t>)(b) provides for a body that has the function of assisting a person specified in</w:t>
      </w:r>
      <w:r w:rsidR="00096F60">
        <w:rPr>
          <w:szCs w:val="24"/>
        </w:rPr>
        <w:t xml:space="preserve"> subsection 10(3) of the Principal Regulations.</w:t>
      </w:r>
    </w:p>
    <w:p w14:paraId="33146235" w14:textId="77777777" w:rsidR="00096F60" w:rsidRDefault="00096F60" w:rsidP="00C46902">
      <w:pPr>
        <w:pStyle w:val="Header"/>
        <w:tabs>
          <w:tab w:val="clear" w:pos="4153"/>
          <w:tab w:val="clear" w:pos="8306"/>
          <w:tab w:val="num" w:pos="1080"/>
        </w:tabs>
        <w:rPr>
          <w:szCs w:val="24"/>
        </w:rPr>
      </w:pPr>
    </w:p>
    <w:p w14:paraId="064EE9AE" w14:textId="0B70BCFF" w:rsidR="00096F60" w:rsidRDefault="00096F60" w:rsidP="00096F60">
      <w:pPr>
        <w:rPr>
          <w:i/>
        </w:rPr>
      </w:pPr>
      <w:r>
        <w:t xml:space="preserve">Section 11 was previously prescribed in </w:t>
      </w:r>
      <w:r w:rsidR="00825C4E">
        <w:t>section 13</w:t>
      </w:r>
      <w:r>
        <w:t xml:space="preserve"> of the Previous Regulations.</w:t>
      </w:r>
    </w:p>
    <w:p w14:paraId="00DE8150" w14:textId="77777777" w:rsidR="00C46902" w:rsidRDefault="00C46902" w:rsidP="00C46902">
      <w:pPr>
        <w:pStyle w:val="Header"/>
        <w:tabs>
          <w:tab w:val="clear" w:pos="4153"/>
          <w:tab w:val="clear" w:pos="8306"/>
          <w:tab w:val="num" w:pos="1080"/>
        </w:tabs>
        <w:rPr>
          <w:szCs w:val="24"/>
        </w:rPr>
      </w:pPr>
    </w:p>
    <w:p w14:paraId="73139D92" w14:textId="77777777" w:rsidR="00C46902" w:rsidRPr="002C3CE8" w:rsidRDefault="00C46902" w:rsidP="00C46902">
      <w:pPr>
        <w:rPr>
          <w:b/>
          <w:szCs w:val="24"/>
          <w:lang w:val="en-US" w:eastAsia="en-US"/>
        </w:rPr>
      </w:pPr>
      <w:r w:rsidRPr="002C3CE8">
        <w:rPr>
          <w:b/>
          <w:szCs w:val="24"/>
          <w:lang w:val="en-US" w:eastAsia="en-US"/>
        </w:rPr>
        <w:t>Schedule 1 – Repeals</w:t>
      </w:r>
    </w:p>
    <w:p w14:paraId="406686C6" w14:textId="6DE013CD" w:rsidR="00C46902" w:rsidRPr="001045B4" w:rsidRDefault="00C46902" w:rsidP="00C46902">
      <w:pPr>
        <w:rPr>
          <w:szCs w:val="24"/>
          <w:lang w:val="en-US" w:eastAsia="en-US"/>
        </w:rPr>
      </w:pPr>
      <w:r w:rsidRPr="001045B4">
        <w:rPr>
          <w:szCs w:val="24"/>
          <w:lang w:val="en-US" w:eastAsia="en-US"/>
        </w:rPr>
        <w:t>Th</w:t>
      </w:r>
      <w:r w:rsidR="00983AE4">
        <w:rPr>
          <w:szCs w:val="24"/>
          <w:lang w:val="en-US" w:eastAsia="en-US"/>
        </w:rPr>
        <w:t>e</w:t>
      </w:r>
      <w:r w:rsidRPr="001045B4">
        <w:rPr>
          <w:szCs w:val="24"/>
          <w:lang w:val="en-US" w:eastAsia="en-US"/>
        </w:rPr>
        <w:t xml:space="preserve"> Schedule repeals the </w:t>
      </w:r>
      <w:r w:rsidRPr="001045B4">
        <w:rPr>
          <w:i/>
          <w:szCs w:val="24"/>
          <w:lang w:val="en-US" w:eastAsia="en-US"/>
        </w:rPr>
        <w:t>Health Insurance (Professional Services Review) Regulations 1999</w:t>
      </w:r>
      <w:r w:rsidRPr="001045B4">
        <w:rPr>
          <w:szCs w:val="24"/>
          <w:lang w:val="en-US" w:eastAsia="en-US"/>
        </w:rPr>
        <w:t>.</w:t>
      </w:r>
    </w:p>
    <w:p w14:paraId="6C19AE83" w14:textId="54E7F8EB" w:rsidR="00204255" w:rsidRPr="00021BD3" w:rsidRDefault="00CF3A35" w:rsidP="00CF3A35">
      <w:pPr>
        <w:spacing w:after="200" w:line="276" w:lineRule="auto"/>
        <w:rPr>
          <w:szCs w:val="24"/>
          <w:highlight w:val="yellow"/>
          <w:lang w:eastAsia="en-US"/>
        </w:rPr>
      </w:pPr>
      <w:r w:rsidRPr="00021BD3">
        <w:rPr>
          <w:highlight w:val="yellow"/>
        </w:rPr>
        <w:br w:type="page"/>
      </w:r>
    </w:p>
    <w:bookmarkEnd w:id="1"/>
    <w:bookmarkEnd w:id="2"/>
    <w:p w14:paraId="2F1A388E" w14:textId="7B616FF1" w:rsidR="003E571F" w:rsidRPr="005250C5" w:rsidRDefault="003E571F" w:rsidP="003E571F">
      <w:pPr>
        <w:spacing w:before="360" w:after="120"/>
        <w:jc w:val="center"/>
        <w:rPr>
          <w:b/>
          <w:sz w:val="28"/>
          <w:szCs w:val="28"/>
        </w:rPr>
      </w:pPr>
      <w:r w:rsidRPr="005250C5">
        <w:rPr>
          <w:b/>
          <w:sz w:val="28"/>
          <w:szCs w:val="28"/>
        </w:rPr>
        <w:t>Statement of Compatibility with Human Rights</w:t>
      </w:r>
    </w:p>
    <w:p w14:paraId="2F1A3890" w14:textId="22CBD7F8" w:rsidR="003E571F" w:rsidRPr="005250C5" w:rsidRDefault="003E571F" w:rsidP="00B20A35">
      <w:pPr>
        <w:spacing w:before="120" w:after="120"/>
        <w:jc w:val="center"/>
        <w:rPr>
          <w:szCs w:val="24"/>
        </w:rPr>
      </w:pPr>
      <w:r w:rsidRPr="005250C5">
        <w:rPr>
          <w:i/>
          <w:szCs w:val="24"/>
        </w:rPr>
        <w:t>Prepared in accordance with Part 3 of the Human Rights (Parliamentary Scrutiny) Act 2011</w:t>
      </w:r>
    </w:p>
    <w:p w14:paraId="409ED0D9" w14:textId="77777777" w:rsidR="004246E4" w:rsidRPr="005250C5" w:rsidRDefault="004246E4" w:rsidP="004246E4">
      <w:pPr>
        <w:spacing w:before="120" w:after="120"/>
        <w:jc w:val="center"/>
        <w:rPr>
          <w:b/>
          <w:i/>
          <w:szCs w:val="24"/>
        </w:rPr>
      </w:pPr>
    </w:p>
    <w:p w14:paraId="2F1A3891" w14:textId="6C0525F2" w:rsidR="003E571F" w:rsidRPr="005250C5" w:rsidRDefault="00877ED6" w:rsidP="004246E4">
      <w:pPr>
        <w:tabs>
          <w:tab w:val="left" w:pos="1418"/>
        </w:tabs>
        <w:ind w:left="851"/>
        <w:jc w:val="center"/>
        <w:rPr>
          <w:b/>
          <w:szCs w:val="24"/>
        </w:rPr>
      </w:pPr>
      <w:r w:rsidRPr="00877ED6">
        <w:rPr>
          <w:i/>
          <w:szCs w:val="24"/>
        </w:rPr>
        <w:t>Health Insurance (Professional Services Review Scheme) Regulations 201</w:t>
      </w:r>
      <w:r w:rsidR="00CF3B23">
        <w:rPr>
          <w:i/>
          <w:szCs w:val="24"/>
        </w:rPr>
        <w:t>9</w:t>
      </w:r>
    </w:p>
    <w:p w14:paraId="7E9D3F9B" w14:textId="77777777" w:rsidR="00877ED6" w:rsidRDefault="00877ED6" w:rsidP="003E571F">
      <w:pPr>
        <w:jc w:val="center"/>
        <w:rPr>
          <w:szCs w:val="24"/>
        </w:rPr>
      </w:pPr>
    </w:p>
    <w:p w14:paraId="2F1A3892" w14:textId="27EABBC0" w:rsidR="003E571F" w:rsidRPr="005250C5" w:rsidRDefault="003E571F" w:rsidP="003E571F">
      <w:pPr>
        <w:jc w:val="center"/>
        <w:rPr>
          <w:szCs w:val="24"/>
        </w:rPr>
      </w:pPr>
      <w:r w:rsidRPr="005250C5">
        <w:rPr>
          <w:szCs w:val="24"/>
        </w:rPr>
        <w:t xml:space="preserve">This </w:t>
      </w:r>
      <w:r w:rsidR="00651925" w:rsidRPr="005250C5">
        <w:rPr>
          <w:szCs w:val="24"/>
        </w:rPr>
        <w:t xml:space="preserve">Disallowable </w:t>
      </w:r>
      <w:r w:rsidRPr="005250C5">
        <w:rPr>
          <w:szCs w:val="24"/>
        </w:rPr>
        <w:t xml:space="preserve">Legislative Instrument is compatible with the human rights and freedoms recognised or declared in the international instruments listed in section 3 of the </w:t>
      </w:r>
      <w:r w:rsidRPr="005250C5">
        <w:rPr>
          <w:i/>
          <w:szCs w:val="24"/>
        </w:rPr>
        <w:t>Human Rights (Parliamentary Scrutiny) Act 2011</w:t>
      </w:r>
      <w:r w:rsidRPr="005250C5">
        <w:rPr>
          <w:szCs w:val="24"/>
        </w:rPr>
        <w:t>.</w:t>
      </w:r>
    </w:p>
    <w:p w14:paraId="2F1A3894" w14:textId="77777777" w:rsidR="003E571F" w:rsidRPr="005250C5" w:rsidRDefault="003E571F" w:rsidP="003E571F">
      <w:pPr>
        <w:jc w:val="both"/>
        <w:rPr>
          <w:szCs w:val="24"/>
        </w:rPr>
      </w:pPr>
    </w:p>
    <w:p w14:paraId="2F1A3897" w14:textId="73317D34" w:rsidR="003E571F" w:rsidRPr="005250C5" w:rsidRDefault="003E571F" w:rsidP="002019AA">
      <w:pPr>
        <w:spacing w:before="120" w:after="120"/>
        <w:rPr>
          <w:b/>
          <w:szCs w:val="24"/>
        </w:rPr>
      </w:pPr>
      <w:r w:rsidRPr="005250C5">
        <w:rPr>
          <w:b/>
          <w:szCs w:val="24"/>
        </w:rPr>
        <w:t>Overvie</w:t>
      </w:r>
      <w:r w:rsidR="00BA3475" w:rsidRPr="005250C5">
        <w:rPr>
          <w:b/>
          <w:szCs w:val="24"/>
        </w:rPr>
        <w:t xml:space="preserve">w of the </w:t>
      </w:r>
      <w:r w:rsidR="00651925" w:rsidRPr="005250C5">
        <w:rPr>
          <w:b/>
          <w:szCs w:val="24"/>
        </w:rPr>
        <w:t xml:space="preserve">Disallowable </w:t>
      </w:r>
      <w:r w:rsidR="00BA3475" w:rsidRPr="005250C5">
        <w:rPr>
          <w:b/>
          <w:szCs w:val="24"/>
        </w:rPr>
        <w:t>Legislative Instrument</w:t>
      </w:r>
    </w:p>
    <w:p w14:paraId="0E0AFB8D" w14:textId="7BFD3F26" w:rsidR="00846F82" w:rsidRDefault="00846F82" w:rsidP="00846F82">
      <w:r w:rsidRPr="00754E28">
        <w:t xml:space="preserve">The purpose of the </w:t>
      </w:r>
      <w:r w:rsidRPr="00FC31FA">
        <w:rPr>
          <w:i/>
          <w:iCs/>
        </w:rPr>
        <w:t>Health Insurance (Professional Services Review Scheme) Regulations 201</w:t>
      </w:r>
      <w:r w:rsidR="00CF3B23">
        <w:rPr>
          <w:i/>
          <w:iCs/>
        </w:rPr>
        <w:t>9</w:t>
      </w:r>
      <w:r>
        <w:rPr>
          <w:i/>
          <w:iCs/>
        </w:rPr>
        <w:t xml:space="preserve"> </w:t>
      </w:r>
      <w:r>
        <w:t xml:space="preserve">(the Principal Regulations) is to repeal and remake the </w:t>
      </w:r>
      <w:r>
        <w:rPr>
          <w:i/>
        </w:rPr>
        <w:t>Health Insuranc</w:t>
      </w:r>
      <w:r w:rsidR="005243ED">
        <w:rPr>
          <w:i/>
        </w:rPr>
        <w:t>e (Professional Services Review</w:t>
      </w:r>
      <w:r>
        <w:rPr>
          <w:i/>
        </w:rPr>
        <w:t>) Regulations 1999</w:t>
      </w:r>
      <w:r>
        <w:t xml:space="preserve"> (the Previous Regulations). The Previous Regulations are required to be remade before 1 April 2019, which is when the instrument will sunset under the </w:t>
      </w:r>
      <w:r>
        <w:rPr>
          <w:i/>
        </w:rPr>
        <w:t>Legislation Act 2003</w:t>
      </w:r>
      <w:r>
        <w:t>.</w:t>
      </w:r>
    </w:p>
    <w:p w14:paraId="5661166E" w14:textId="77777777" w:rsidR="00846F82" w:rsidRDefault="00846F82" w:rsidP="00846F82"/>
    <w:p w14:paraId="65A65B5E" w14:textId="77777777" w:rsidR="00846F82" w:rsidRDefault="00846F82" w:rsidP="00846F82">
      <w:r>
        <w:t>The Principal Regulations support the function of the Professional Services Review Scheme through:</w:t>
      </w:r>
    </w:p>
    <w:p w14:paraId="3A0C0415" w14:textId="77777777" w:rsidR="00846F82" w:rsidRDefault="00846F82" w:rsidP="00846F82">
      <w:pPr>
        <w:pStyle w:val="ListParagraph"/>
        <w:numPr>
          <w:ilvl w:val="0"/>
          <w:numId w:val="24"/>
        </w:numPr>
      </w:pPr>
      <w:r>
        <w:t>setting out standards for adequate and contemporaneous records to be kept by practitioners in relation to patient records and rendering of services;</w:t>
      </w:r>
    </w:p>
    <w:p w14:paraId="7A0578C9" w14:textId="77777777" w:rsidR="00846F82" w:rsidRDefault="00846F82" w:rsidP="00846F82">
      <w:pPr>
        <w:pStyle w:val="ListParagraph"/>
        <w:numPr>
          <w:ilvl w:val="0"/>
          <w:numId w:val="24"/>
        </w:numPr>
      </w:pPr>
      <w:r>
        <w:t>setting out exceptional circumstances in relation to inappropriate practice with regard to unusual levels of relevant services;</w:t>
      </w:r>
    </w:p>
    <w:p w14:paraId="3EF7AB15" w14:textId="77777777" w:rsidR="00846F82" w:rsidRDefault="00846F82" w:rsidP="00846F82">
      <w:pPr>
        <w:pStyle w:val="ListParagraph"/>
        <w:numPr>
          <w:ilvl w:val="0"/>
          <w:numId w:val="24"/>
        </w:numPr>
      </w:pPr>
      <w:r>
        <w:t>defining circumstances for medical practitioners for prescribed pattern of services;</w:t>
      </w:r>
    </w:p>
    <w:p w14:paraId="3E6B2C68" w14:textId="77777777" w:rsidR="00846F82" w:rsidRDefault="00846F82" w:rsidP="00846F82">
      <w:pPr>
        <w:pStyle w:val="ListParagraph"/>
        <w:numPr>
          <w:ilvl w:val="0"/>
          <w:numId w:val="24"/>
        </w:numPr>
      </w:pPr>
      <w:r>
        <w:t>setting out allowance provisions for witnesses summoned to appear at a hearing before the Professional  Services Review Committee; and</w:t>
      </w:r>
    </w:p>
    <w:p w14:paraId="30935B36" w14:textId="77777777" w:rsidR="00846F82" w:rsidRDefault="00846F82" w:rsidP="00846F82">
      <w:pPr>
        <w:pStyle w:val="ListParagraph"/>
        <w:numPr>
          <w:ilvl w:val="0"/>
          <w:numId w:val="24"/>
        </w:numPr>
      </w:pPr>
      <w:r>
        <w:t>specifying persons and bodies for the purposes of referral of professional issues to regulatory and other bodies.</w:t>
      </w:r>
    </w:p>
    <w:p w14:paraId="201F00C2" w14:textId="77777777" w:rsidR="00846F82" w:rsidRDefault="00846F82" w:rsidP="00846F82"/>
    <w:p w14:paraId="606CD9A8" w14:textId="77777777" w:rsidR="00846F82" w:rsidRDefault="00846F82" w:rsidP="00846F82">
      <w:r>
        <w:t>The Principal Regulations have updated the Previous Regulations to reflect current drafting standards whilst maintaining the overarching policy framework. The amendments are administrative and do not make changes to the Professional Services Review Scheme.</w:t>
      </w:r>
    </w:p>
    <w:p w14:paraId="32FFA007" w14:textId="77777777" w:rsidR="00D2504F" w:rsidRDefault="00D2504F" w:rsidP="00D2504F"/>
    <w:p w14:paraId="2F1A3898" w14:textId="2EA09182" w:rsidR="003E571F" w:rsidRPr="005250C5" w:rsidRDefault="003E571F" w:rsidP="003E571F">
      <w:pPr>
        <w:spacing w:before="120" w:after="120"/>
        <w:rPr>
          <w:b/>
          <w:szCs w:val="24"/>
        </w:rPr>
      </w:pPr>
      <w:r w:rsidRPr="005250C5">
        <w:rPr>
          <w:b/>
          <w:szCs w:val="24"/>
        </w:rPr>
        <w:t>Human rights implications</w:t>
      </w:r>
    </w:p>
    <w:p w14:paraId="2F1A3899" w14:textId="77777777" w:rsidR="003E571F" w:rsidRPr="005250C5" w:rsidRDefault="003E571F" w:rsidP="003E571F">
      <w:pPr>
        <w:spacing w:before="120" w:after="120"/>
        <w:rPr>
          <w:szCs w:val="24"/>
        </w:rPr>
      </w:pPr>
      <w:r w:rsidRPr="005250C5">
        <w:rPr>
          <w:szCs w:val="24"/>
        </w:rPr>
        <w:t xml:space="preserve">The Regulations engage Articles 9 and 12 of the International Covenant on Economic Social and Cultural Rights (ICESCR), specifically the rights to health and social security. </w:t>
      </w:r>
    </w:p>
    <w:p w14:paraId="2F1A389A" w14:textId="77777777" w:rsidR="003E571F" w:rsidRPr="005250C5" w:rsidRDefault="003E571F" w:rsidP="003E571F">
      <w:pPr>
        <w:spacing w:before="120" w:after="120"/>
        <w:rPr>
          <w:i/>
          <w:szCs w:val="24"/>
        </w:rPr>
      </w:pPr>
      <w:r w:rsidRPr="005250C5">
        <w:rPr>
          <w:i/>
          <w:szCs w:val="24"/>
        </w:rPr>
        <w:t>The Right to Health</w:t>
      </w:r>
    </w:p>
    <w:p w14:paraId="2F1A389B" w14:textId="74DE4592" w:rsidR="003E571F" w:rsidRPr="005250C5" w:rsidRDefault="003E571F" w:rsidP="003E571F">
      <w:pPr>
        <w:spacing w:before="120" w:after="120"/>
        <w:rPr>
          <w:szCs w:val="24"/>
        </w:rPr>
      </w:pPr>
      <w:r w:rsidRPr="005250C5">
        <w:rPr>
          <w:szCs w:val="24"/>
        </w:rPr>
        <w:t>The right to the enjoyment of the highest attainable standard of physical and mental health is contained in Article 12(1) of the ICESCR</w:t>
      </w:r>
      <w:r w:rsidR="00120125" w:rsidRPr="005250C5">
        <w:rPr>
          <w:szCs w:val="24"/>
        </w:rPr>
        <w:t xml:space="preserve">. </w:t>
      </w:r>
      <w:r w:rsidRPr="005250C5">
        <w:rPr>
          <w:szCs w:val="24"/>
        </w:rPr>
        <w:t xml:space="preserve">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F1A389C" w14:textId="7AAB658C" w:rsidR="003E571F" w:rsidRPr="005250C5" w:rsidRDefault="003E571F" w:rsidP="003E571F">
      <w:pPr>
        <w:spacing w:before="120" w:after="120"/>
        <w:rPr>
          <w:szCs w:val="24"/>
        </w:rPr>
      </w:pPr>
      <w:r w:rsidRPr="005250C5">
        <w:rPr>
          <w:szCs w:val="24"/>
        </w:rPr>
        <w:t xml:space="preserve">The Committee reports that the </w:t>
      </w:r>
      <w:r w:rsidRPr="005250C5">
        <w:rPr>
          <w:i/>
          <w:szCs w:val="24"/>
        </w:rPr>
        <w:t>‘highest attainable standard of health’</w:t>
      </w:r>
      <w:r w:rsidRPr="005250C5">
        <w:rPr>
          <w:szCs w:val="24"/>
        </w:rPr>
        <w:t xml:space="preserve"> takes into account the country’s available resources</w:t>
      </w:r>
      <w:r w:rsidR="00120125" w:rsidRPr="005250C5">
        <w:rPr>
          <w:szCs w:val="24"/>
        </w:rPr>
        <w:t xml:space="preserve">. </w:t>
      </w:r>
      <w:r w:rsidRPr="005250C5">
        <w:rPr>
          <w:szCs w:val="24"/>
        </w:rPr>
        <w:t xml:space="preserve">This right may be understood as a right of access to a variety of public health and health care facilities, goods, services, programs, and conditions necessary for the realisation of the highest attainable standard of health. </w:t>
      </w:r>
    </w:p>
    <w:p w14:paraId="2F1A389D" w14:textId="77777777" w:rsidR="003E571F" w:rsidRPr="005250C5" w:rsidRDefault="003E571F" w:rsidP="003E571F">
      <w:pPr>
        <w:spacing w:before="120" w:after="120"/>
        <w:rPr>
          <w:i/>
          <w:szCs w:val="24"/>
        </w:rPr>
      </w:pPr>
      <w:r w:rsidRPr="005250C5">
        <w:rPr>
          <w:i/>
          <w:szCs w:val="24"/>
        </w:rPr>
        <w:t xml:space="preserve">The Right to Social Security </w:t>
      </w:r>
    </w:p>
    <w:p w14:paraId="2F1A389E" w14:textId="34F80EF0" w:rsidR="003E571F" w:rsidRPr="005250C5" w:rsidRDefault="003E571F" w:rsidP="003E571F">
      <w:pPr>
        <w:spacing w:before="120" w:after="120"/>
        <w:rPr>
          <w:szCs w:val="24"/>
        </w:rPr>
      </w:pPr>
      <w:r w:rsidRPr="005250C5">
        <w:rPr>
          <w:szCs w:val="24"/>
        </w:rPr>
        <w:t>The right to social security is contained in Article 9 of the ICESCR</w:t>
      </w:r>
      <w:r w:rsidR="00120125" w:rsidRPr="005250C5">
        <w:rPr>
          <w:szCs w:val="24"/>
        </w:rPr>
        <w:t xml:space="preserve">. </w:t>
      </w:r>
      <w:r w:rsidRPr="005250C5">
        <w:rPr>
          <w:szCs w:val="24"/>
        </w:rPr>
        <w:t>It requires that a country must, within its maximum available resources, ensure access to a social security scheme that provides a minimum essential level of benefits to all individuals and families that will enable them to acquire at least essential health care</w:t>
      </w:r>
      <w:r w:rsidR="00120125" w:rsidRPr="005250C5">
        <w:rPr>
          <w:szCs w:val="24"/>
        </w:rPr>
        <w:t xml:space="preserve">. </w:t>
      </w:r>
      <w:r w:rsidRPr="005250C5">
        <w:rPr>
          <w:szCs w:val="24"/>
        </w:rPr>
        <w:t>Countries are obliged to demonstrate that every effort has been made to use all resources that are at their disposal in an effort to satisfy, as a matter of priority, this minimum obligation.</w:t>
      </w:r>
    </w:p>
    <w:p w14:paraId="492CEC87" w14:textId="24016B54" w:rsidR="00232119" w:rsidRDefault="003E571F" w:rsidP="00A61F49">
      <w:pPr>
        <w:rPr>
          <w:szCs w:val="24"/>
        </w:rPr>
      </w:pPr>
      <w:r w:rsidRPr="005250C5">
        <w:rPr>
          <w:szCs w:val="24"/>
        </w:rPr>
        <w:t>The Committee reports that there is a strong presumption that retrogressive measures taken in relation to the right to social security are prohibited under ICESCR</w:t>
      </w:r>
      <w:r w:rsidR="00120125" w:rsidRPr="005250C5">
        <w:rPr>
          <w:szCs w:val="24"/>
        </w:rPr>
        <w:t xml:space="preserve">. </w:t>
      </w:r>
      <w:r w:rsidRPr="005250C5">
        <w:rPr>
          <w:szCs w:val="24"/>
        </w:rPr>
        <w:t>In this context, a retrogressive measure would be one taken without adequate justification that had the effect of reducing existing levels of social security benefits, or of denying benefits to persons or groups previously entitled to them</w:t>
      </w:r>
      <w:r w:rsidR="00120125" w:rsidRPr="005250C5">
        <w:rPr>
          <w:szCs w:val="24"/>
        </w:rPr>
        <w:t xml:space="preserve">. </w:t>
      </w:r>
      <w:r w:rsidRPr="005250C5">
        <w:rPr>
          <w:szCs w:val="24"/>
        </w:rPr>
        <w:t>However, it is legitimate for a Government to re-direct its limited resources in ways that it considers to be more effective at meeting the general health needs of all society, particularly the needs of the more disadvantaged members of society.</w:t>
      </w:r>
    </w:p>
    <w:p w14:paraId="56A459B7" w14:textId="77777777" w:rsidR="000617C6" w:rsidRPr="005250C5" w:rsidRDefault="000617C6" w:rsidP="00A61F49">
      <w:pPr>
        <w:rPr>
          <w:szCs w:val="24"/>
        </w:rPr>
      </w:pPr>
    </w:p>
    <w:p w14:paraId="2F1A38A1" w14:textId="784438D1" w:rsidR="003E571F" w:rsidRPr="005250C5" w:rsidRDefault="003E571F" w:rsidP="00A61F49">
      <w:pPr>
        <w:rPr>
          <w:szCs w:val="24"/>
        </w:rPr>
      </w:pPr>
      <w:r w:rsidRPr="005250C5">
        <w:rPr>
          <w:szCs w:val="24"/>
          <w:u w:val="single"/>
        </w:rPr>
        <w:t xml:space="preserve">Analysis </w:t>
      </w:r>
    </w:p>
    <w:p w14:paraId="422BA7E2" w14:textId="56B068A2" w:rsidR="008040C8" w:rsidRPr="005250C5" w:rsidRDefault="000419E1" w:rsidP="0005445A">
      <w:pPr>
        <w:spacing w:before="120" w:after="120"/>
        <w:rPr>
          <w:szCs w:val="24"/>
        </w:rPr>
      </w:pPr>
      <w:r w:rsidRPr="005250C5">
        <w:rPr>
          <w:szCs w:val="24"/>
        </w:rPr>
        <w:t>The</w:t>
      </w:r>
      <w:r w:rsidR="003448B4">
        <w:rPr>
          <w:szCs w:val="24"/>
        </w:rPr>
        <w:t xml:space="preserve"> Principal</w:t>
      </w:r>
      <w:r w:rsidR="003E571F" w:rsidRPr="005250C5">
        <w:rPr>
          <w:szCs w:val="24"/>
        </w:rPr>
        <w:t xml:space="preserve"> Regulation</w:t>
      </w:r>
      <w:r w:rsidRPr="005250C5">
        <w:rPr>
          <w:szCs w:val="24"/>
        </w:rPr>
        <w:t>s</w:t>
      </w:r>
      <w:r w:rsidR="003E571F" w:rsidRPr="005250C5">
        <w:rPr>
          <w:szCs w:val="24"/>
        </w:rPr>
        <w:t xml:space="preserve"> will maintain </w:t>
      </w:r>
      <w:r w:rsidR="00F70FB2">
        <w:rPr>
          <w:szCs w:val="24"/>
        </w:rPr>
        <w:t xml:space="preserve">or advance </w:t>
      </w:r>
      <w:r w:rsidR="003E571F" w:rsidRPr="005250C5">
        <w:rPr>
          <w:szCs w:val="24"/>
        </w:rPr>
        <w:t xml:space="preserve">rights to health and social security </w:t>
      </w:r>
      <w:r w:rsidR="006B4959">
        <w:rPr>
          <w:szCs w:val="24"/>
        </w:rPr>
        <w:t>by protecting the integrity of Commonwealth Medicare benefits, dental benefits and pharmaceutical benefits programs and protecting patients and the community in general from the risks associated with inappropriate practice.</w:t>
      </w:r>
    </w:p>
    <w:p w14:paraId="2F1A38A3" w14:textId="3FA549CF" w:rsidR="003E571F" w:rsidRPr="005250C5" w:rsidRDefault="003E571F" w:rsidP="0005445A">
      <w:pPr>
        <w:spacing w:before="120" w:after="120"/>
        <w:rPr>
          <w:rFonts w:eastAsia="Calibri"/>
          <w:b/>
          <w:szCs w:val="24"/>
          <w:lang w:eastAsia="en-US"/>
        </w:rPr>
      </w:pPr>
      <w:r w:rsidRPr="005250C5">
        <w:rPr>
          <w:rFonts w:eastAsia="Calibri"/>
          <w:b/>
          <w:szCs w:val="24"/>
          <w:lang w:eastAsia="en-US"/>
        </w:rPr>
        <w:t xml:space="preserve">Conclusion </w:t>
      </w:r>
    </w:p>
    <w:p w14:paraId="2F1A38A5" w14:textId="7C676496" w:rsidR="003E571F" w:rsidRPr="005250C5" w:rsidRDefault="00907A5E" w:rsidP="003E571F">
      <w:pPr>
        <w:rPr>
          <w:szCs w:val="24"/>
        </w:rPr>
      </w:pPr>
      <w:r w:rsidRPr="005250C5">
        <w:rPr>
          <w:szCs w:val="24"/>
        </w:rPr>
        <w:t>This Disallowable Legislative Instrument is compatible with human rights as it does not raise any human rights issues.</w:t>
      </w:r>
    </w:p>
    <w:p w14:paraId="258AB72B" w14:textId="77777777" w:rsidR="00907A5E" w:rsidRPr="005250C5" w:rsidRDefault="00907A5E" w:rsidP="003E571F">
      <w:pPr>
        <w:rPr>
          <w:rFonts w:eastAsia="Calibri"/>
          <w:szCs w:val="24"/>
          <w:lang w:eastAsia="en-US"/>
        </w:rPr>
      </w:pPr>
    </w:p>
    <w:p w14:paraId="2F1A38A6" w14:textId="77777777" w:rsidR="003E571F" w:rsidRPr="005250C5" w:rsidRDefault="008F4C42" w:rsidP="003E571F">
      <w:pPr>
        <w:spacing w:before="120" w:after="120" w:line="276" w:lineRule="auto"/>
        <w:jc w:val="center"/>
        <w:rPr>
          <w:rFonts w:eastAsia="Calibri"/>
          <w:b/>
          <w:bCs/>
          <w:szCs w:val="24"/>
          <w:lang w:eastAsia="en-US"/>
        </w:rPr>
      </w:pPr>
      <w:r w:rsidRPr="005250C5">
        <w:rPr>
          <w:rFonts w:eastAsia="Calibri"/>
          <w:b/>
          <w:bCs/>
          <w:szCs w:val="24"/>
          <w:lang w:eastAsia="en-US"/>
        </w:rPr>
        <w:t>Greg Hunt</w:t>
      </w:r>
    </w:p>
    <w:p w14:paraId="2F1A38A7" w14:textId="77777777" w:rsidR="003E571F" w:rsidRPr="00840877" w:rsidRDefault="003E571F" w:rsidP="003E571F">
      <w:pPr>
        <w:spacing w:before="120" w:after="120" w:line="276" w:lineRule="auto"/>
        <w:jc w:val="center"/>
        <w:rPr>
          <w:rFonts w:eastAsia="Calibri"/>
          <w:szCs w:val="24"/>
          <w:lang w:eastAsia="en-US"/>
        </w:rPr>
      </w:pPr>
      <w:r w:rsidRPr="005250C5">
        <w:rPr>
          <w:rFonts w:eastAsia="Calibri"/>
          <w:b/>
          <w:bCs/>
          <w:szCs w:val="24"/>
          <w:lang w:eastAsia="en-US"/>
        </w:rPr>
        <w:t>Minister for Health</w:t>
      </w:r>
      <w:r w:rsidRPr="008F4C42">
        <w:rPr>
          <w:rFonts w:eastAsia="Calibri"/>
          <w:b/>
          <w:bCs/>
          <w:szCs w:val="24"/>
          <w:lang w:eastAsia="en-US"/>
        </w:rPr>
        <w:t xml:space="preserve"> </w:t>
      </w:r>
    </w:p>
    <w:p w14:paraId="2F1A38A8" w14:textId="77777777" w:rsidR="00445A6D" w:rsidRPr="00CD5231" w:rsidRDefault="00445A6D" w:rsidP="00CD5231">
      <w:pPr>
        <w:rPr>
          <w:b/>
          <w:color w:val="FF0000"/>
        </w:rPr>
      </w:pPr>
    </w:p>
    <w:sectPr w:rsidR="00445A6D" w:rsidRPr="00CD5231" w:rsidSect="00DB6405">
      <w:pgSz w:w="11906" w:h="16838"/>
      <w:pgMar w:top="1440" w:right="1440" w:bottom="1440"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A619" w14:textId="77777777" w:rsidR="00F708B1" w:rsidRDefault="00F708B1">
      <w:r>
        <w:separator/>
      </w:r>
    </w:p>
  </w:endnote>
  <w:endnote w:type="continuationSeparator" w:id="0">
    <w:p w14:paraId="4DF8D564" w14:textId="77777777" w:rsidR="00F708B1" w:rsidRDefault="00F708B1">
      <w:r>
        <w:continuationSeparator/>
      </w:r>
    </w:p>
  </w:endnote>
  <w:endnote w:type="continuationNotice" w:id="1">
    <w:p w14:paraId="6DD3A6F5" w14:textId="77777777" w:rsidR="005E1DFB" w:rsidRDefault="005E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508D" w14:textId="77777777" w:rsidR="00F708B1" w:rsidRDefault="00F708B1">
      <w:r>
        <w:separator/>
      </w:r>
    </w:p>
  </w:footnote>
  <w:footnote w:type="continuationSeparator" w:id="0">
    <w:p w14:paraId="1883280F" w14:textId="77777777" w:rsidR="00F708B1" w:rsidRDefault="00F708B1">
      <w:r>
        <w:continuationSeparator/>
      </w:r>
    </w:p>
  </w:footnote>
  <w:footnote w:type="continuationNotice" w:id="1">
    <w:p w14:paraId="157C6BB5" w14:textId="77777777" w:rsidR="005E1DFB" w:rsidRDefault="005E1D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38AD" w14:textId="77777777" w:rsidR="00F708B1" w:rsidRDefault="00F708B1"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F1A38AE" w14:textId="77777777" w:rsidR="00F708B1" w:rsidRDefault="00F70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835647"/>
      <w:docPartObj>
        <w:docPartGallery w:val="Page Numbers (Top of Page)"/>
        <w:docPartUnique/>
      </w:docPartObj>
    </w:sdtPr>
    <w:sdtEndPr>
      <w:rPr>
        <w:noProof/>
      </w:rPr>
    </w:sdtEndPr>
    <w:sdtContent>
      <w:p w14:paraId="2F1A38AF" w14:textId="02A4011E" w:rsidR="00F708B1" w:rsidRDefault="00F708B1">
        <w:pPr>
          <w:pStyle w:val="Header"/>
          <w:jc w:val="center"/>
        </w:pPr>
        <w:r>
          <w:fldChar w:fldCharType="begin"/>
        </w:r>
        <w:r>
          <w:instrText xml:space="preserve"> PAGE   \* MERGEFORMAT </w:instrText>
        </w:r>
        <w:r>
          <w:fldChar w:fldCharType="separate"/>
        </w:r>
        <w:r w:rsidR="00B971FB">
          <w:rPr>
            <w:noProof/>
          </w:rPr>
          <w:t>1</w:t>
        </w:r>
        <w:r>
          <w:rPr>
            <w:noProof/>
          </w:rPr>
          <w:fldChar w:fldCharType="end"/>
        </w:r>
      </w:p>
    </w:sdtContent>
  </w:sdt>
  <w:p w14:paraId="2F1A38B0" w14:textId="77777777" w:rsidR="00F708B1" w:rsidRDefault="00F708B1" w:rsidP="004B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38B1" w14:textId="77777777" w:rsidR="00F708B1" w:rsidRDefault="00F708B1">
    <w:pPr>
      <w:pStyle w:val="Header"/>
      <w:jc w:val="center"/>
    </w:pPr>
  </w:p>
  <w:p w14:paraId="2F1A38B2" w14:textId="77777777" w:rsidR="00F708B1" w:rsidRDefault="00F70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828"/>
    <w:multiLevelType w:val="hybridMultilevel"/>
    <w:tmpl w:val="30269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35D9A"/>
    <w:multiLevelType w:val="hybridMultilevel"/>
    <w:tmpl w:val="638C70E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1B7C2951"/>
    <w:multiLevelType w:val="hybridMultilevel"/>
    <w:tmpl w:val="1C401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785231"/>
    <w:multiLevelType w:val="hybridMultilevel"/>
    <w:tmpl w:val="C86EA69C"/>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 w15:restartNumberingAfterBreak="0">
    <w:nsid w:val="259D3039"/>
    <w:multiLevelType w:val="hybridMultilevel"/>
    <w:tmpl w:val="78AA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5456CC"/>
    <w:multiLevelType w:val="hybridMultilevel"/>
    <w:tmpl w:val="5106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17A2E"/>
    <w:multiLevelType w:val="hybridMultilevel"/>
    <w:tmpl w:val="4404B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397E20"/>
    <w:multiLevelType w:val="hybridMultilevel"/>
    <w:tmpl w:val="CDFE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A21708"/>
    <w:multiLevelType w:val="hybridMultilevel"/>
    <w:tmpl w:val="F28E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97E4B"/>
    <w:multiLevelType w:val="hybridMultilevel"/>
    <w:tmpl w:val="AB5E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E44906"/>
    <w:multiLevelType w:val="hybridMultilevel"/>
    <w:tmpl w:val="0A34B5F2"/>
    <w:lvl w:ilvl="0" w:tplc="3F2616D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015BD"/>
    <w:multiLevelType w:val="hybridMultilevel"/>
    <w:tmpl w:val="733AF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957C64"/>
    <w:multiLevelType w:val="hybridMultilevel"/>
    <w:tmpl w:val="4CE20DDA"/>
    <w:lvl w:ilvl="0" w:tplc="58D6864A">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983E36"/>
    <w:multiLevelType w:val="hybridMultilevel"/>
    <w:tmpl w:val="D2BE4E6C"/>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1A746F"/>
    <w:multiLevelType w:val="hybridMultilevel"/>
    <w:tmpl w:val="1F9C25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52E8549F"/>
    <w:multiLevelType w:val="hybridMultilevel"/>
    <w:tmpl w:val="338496E0"/>
    <w:lvl w:ilvl="0" w:tplc="89E0FC00">
      <w:start w:val="1"/>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800C71"/>
    <w:multiLevelType w:val="hybridMultilevel"/>
    <w:tmpl w:val="E71848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D63582F"/>
    <w:multiLevelType w:val="hybridMultilevel"/>
    <w:tmpl w:val="9A68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1D5046"/>
    <w:multiLevelType w:val="hybridMultilevel"/>
    <w:tmpl w:val="BD26CA08"/>
    <w:lvl w:ilvl="0" w:tplc="58D6864A">
      <w:numFmt w:val="bullet"/>
      <w:lvlText w:val="·"/>
      <w:lvlJc w:val="left"/>
      <w:pPr>
        <w:ind w:left="1335" w:hanging="615"/>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5C57CB6"/>
    <w:multiLevelType w:val="hybridMultilevel"/>
    <w:tmpl w:val="4A94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B654A"/>
    <w:multiLevelType w:val="hybridMultilevel"/>
    <w:tmpl w:val="34CE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DF72E8"/>
    <w:multiLevelType w:val="hybridMultilevel"/>
    <w:tmpl w:val="E6BA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E96B23"/>
    <w:multiLevelType w:val="hybridMultilevel"/>
    <w:tmpl w:val="F8C2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007DDD"/>
    <w:multiLevelType w:val="hybridMultilevel"/>
    <w:tmpl w:val="54F6EC12"/>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54A6844"/>
    <w:multiLevelType w:val="hybridMultilevel"/>
    <w:tmpl w:val="E0ACBFDA"/>
    <w:lvl w:ilvl="0" w:tplc="AE0EC75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0E6B29"/>
    <w:multiLevelType w:val="hybridMultilevel"/>
    <w:tmpl w:val="92F681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036FB1"/>
    <w:multiLevelType w:val="hybridMultilevel"/>
    <w:tmpl w:val="3ABE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6"/>
  </w:num>
  <w:num w:numId="4">
    <w:abstractNumId w:val="17"/>
  </w:num>
  <w:num w:numId="5">
    <w:abstractNumId w:val="9"/>
  </w:num>
  <w:num w:numId="6">
    <w:abstractNumId w:val="21"/>
  </w:num>
  <w:num w:numId="7">
    <w:abstractNumId w:val="7"/>
  </w:num>
  <w:num w:numId="8">
    <w:abstractNumId w:val="19"/>
  </w:num>
  <w:num w:numId="9">
    <w:abstractNumId w:val="23"/>
  </w:num>
  <w:num w:numId="10">
    <w:abstractNumId w:val="25"/>
  </w:num>
  <w:num w:numId="11">
    <w:abstractNumId w:val="8"/>
  </w:num>
  <w:num w:numId="12">
    <w:abstractNumId w:val="24"/>
  </w:num>
  <w:num w:numId="13">
    <w:abstractNumId w:val="13"/>
  </w:num>
  <w:num w:numId="14">
    <w:abstractNumId w:val="12"/>
  </w:num>
  <w:num w:numId="15">
    <w:abstractNumId w:val="18"/>
  </w:num>
  <w:num w:numId="16">
    <w:abstractNumId w:val="20"/>
  </w:num>
  <w:num w:numId="17">
    <w:abstractNumId w:val="0"/>
  </w:num>
  <w:num w:numId="18">
    <w:abstractNumId w:val="26"/>
  </w:num>
  <w:num w:numId="19">
    <w:abstractNumId w:val="5"/>
  </w:num>
  <w:num w:numId="20">
    <w:abstractNumId w:val="11"/>
  </w:num>
  <w:num w:numId="21">
    <w:abstractNumId w:val="2"/>
  </w:num>
  <w:num w:numId="22">
    <w:abstractNumId w:val="10"/>
  </w:num>
  <w:num w:numId="23">
    <w:abstractNumId w:val="15"/>
  </w:num>
  <w:num w:numId="24">
    <w:abstractNumId w:val="4"/>
  </w:num>
  <w:num w:numId="25">
    <w:abstractNumId w:val="3"/>
  </w:num>
  <w:num w:numId="26">
    <w:abstractNumId w:val="14"/>
  </w:num>
  <w:num w:numId="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280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A18"/>
    <w:rsid w:val="000027BC"/>
    <w:rsid w:val="00002C76"/>
    <w:rsid w:val="00004E44"/>
    <w:rsid w:val="0000546D"/>
    <w:rsid w:val="00005906"/>
    <w:rsid w:val="00005F93"/>
    <w:rsid w:val="000060CE"/>
    <w:rsid w:val="00006526"/>
    <w:rsid w:val="000066D0"/>
    <w:rsid w:val="000074CB"/>
    <w:rsid w:val="00010395"/>
    <w:rsid w:val="000118AD"/>
    <w:rsid w:val="00014B38"/>
    <w:rsid w:val="000151FF"/>
    <w:rsid w:val="00017B9A"/>
    <w:rsid w:val="000201DC"/>
    <w:rsid w:val="00020512"/>
    <w:rsid w:val="00020D83"/>
    <w:rsid w:val="00021BD3"/>
    <w:rsid w:val="00022FDD"/>
    <w:rsid w:val="000237F0"/>
    <w:rsid w:val="00025F16"/>
    <w:rsid w:val="000269EF"/>
    <w:rsid w:val="00026DA9"/>
    <w:rsid w:val="0002704E"/>
    <w:rsid w:val="0002786C"/>
    <w:rsid w:val="00031201"/>
    <w:rsid w:val="00031FA9"/>
    <w:rsid w:val="000325D0"/>
    <w:rsid w:val="000330A5"/>
    <w:rsid w:val="00033818"/>
    <w:rsid w:val="00037A1D"/>
    <w:rsid w:val="000407C2"/>
    <w:rsid w:val="0004154D"/>
    <w:rsid w:val="000419E1"/>
    <w:rsid w:val="00041E67"/>
    <w:rsid w:val="0004236F"/>
    <w:rsid w:val="000433EE"/>
    <w:rsid w:val="00044A2A"/>
    <w:rsid w:val="00046206"/>
    <w:rsid w:val="000462E0"/>
    <w:rsid w:val="000509BA"/>
    <w:rsid w:val="00051421"/>
    <w:rsid w:val="00052061"/>
    <w:rsid w:val="0005224B"/>
    <w:rsid w:val="00052794"/>
    <w:rsid w:val="000529AB"/>
    <w:rsid w:val="0005322F"/>
    <w:rsid w:val="0005445A"/>
    <w:rsid w:val="00054882"/>
    <w:rsid w:val="00054C12"/>
    <w:rsid w:val="0005533C"/>
    <w:rsid w:val="00056406"/>
    <w:rsid w:val="00060E00"/>
    <w:rsid w:val="00060EAF"/>
    <w:rsid w:val="000617C6"/>
    <w:rsid w:val="00062A7D"/>
    <w:rsid w:val="000631E4"/>
    <w:rsid w:val="000643E5"/>
    <w:rsid w:val="00064BA4"/>
    <w:rsid w:val="000665BC"/>
    <w:rsid w:val="000666F0"/>
    <w:rsid w:val="00070895"/>
    <w:rsid w:val="000710DD"/>
    <w:rsid w:val="000727E0"/>
    <w:rsid w:val="00073B43"/>
    <w:rsid w:val="000742AD"/>
    <w:rsid w:val="0007640A"/>
    <w:rsid w:val="00077D68"/>
    <w:rsid w:val="00080E28"/>
    <w:rsid w:val="000858F8"/>
    <w:rsid w:val="000875AE"/>
    <w:rsid w:val="00090202"/>
    <w:rsid w:val="000902EB"/>
    <w:rsid w:val="00091C5A"/>
    <w:rsid w:val="00093E83"/>
    <w:rsid w:val="000945D2"/>
    <w:rsid w:val="000962CE"/>
    <w:rsid w:val="000969EF"/>
    <w:rsid w:val="00096F60"/>
    <w:rsid w:val="000A11A7"/>
    <w:rsid w:val="000A1F07"/>
    <w:rsid w:val="000A31F2"/>
    <w:rsid w:val="000A45BE"/>
    <w:rsid w:val="000A4ADA"/>
    <w:rsid w:val="000A53FB"/>
    <w:rsid w:val="000B0ED6"/>
    <w:rsid w:val="000B1523"/>
    <w:rsid w:val="000B3452"/>
    <w:rsid w:val="000B450B"/>
    <w:rsid w:val="000B4F9C"/>
    <w:rsid w:val="000B50B8"/>
    <w:rsid w:val="000B53E7"/>
    <w:rsid w:val="000B6BB0"/>
    <w:rsid w:val="000B6E79"/>
    <w:rsid w:val="000B721F"/>
    <w:rsid w:val="000C0C37"/>
    <w:rsid w:val="000C3EBC"/>
    <w:rsid w:val="000C3EDB"/>
    <w:rsid w:val="000C47AF"/>
    <w:rsid w:val="000C548C"/>
    <w:rsid w:val="000C587F"/>
    <w:rsid w:val="000C6797"/>
    <w:rsid w:val="000C6FF8"/>
    <w:rsid w:val="000D17B6"/>
    <w:rsid w:val="000D39A2"/>
    <w:rsid w:val="000D48B1"/>
    <w:rsid w:val="000D4BEF"/>
    <w:rsid w:val="000D6400"/>
    <w:rsid w:val="000D7803"/>
    <w:rsid w:val="000D7A7C"/>
    <w:rsid w:val="000D7AE8"/>
    <w:rsid w:val="000E1410"/>
    <w:rsid w:val="000E1ACD"/>
    <w:rsid w:val="000E2291"/>
    <w:rsid w:val="000E22EB"/>
    <w:rsid w:val="000E505E"/>
    <w:rsid w:val="000E62B2"/>
    <w:rsid w:val="000E6702"/>
    <w:rsid w:val="000F1714"/>
    <w:rsid w:val="000F249E"/>
    <w:rsid w:val="000F25DC"/>
    <w:rsid w:val="000F2CF6"/>
    <w:rsid w:val="000F3D69"/>
    <w:rsid w:val="000F5054"/>
    <w:rsid w:val="000F5E76"/>
    <w:rsid w:val="000F7206"/>
    <w:rsid w:val="000F734C"/>
    <w:rsid w:val="00100B79"/>
    <w:rsid w:val="0010312E"/>
    <w:rsid w:val="00103F18"/>
    <w:rsid w:val="00107404"/>
    <w:rsid w:val="00107FBC"/>
    <w:rsid w:val="00116150"/>
    <w:rsid w:val="001179C5"/>
    <w:rsid w:val="00120125"/>
    <w:rsid w:val="001239BE"/>
    <w:rsid w:val="00124440"/>
    <w:rsid w:val="00125DDD"/>
    <w:rsid w:val="001300C4"/>
    <w:rsid w:val="0013024A"/>
    <w:rsid w:val="00130653"/>
    <w:rsid w:val="001309B4"/>
    <w:rsid w:val="00132930"/>
    <w:rsid w:val="00132DD2"/>
    <w:rsid w:val="001339D5"/>
    <w:rsid w:val="00134A81"/>
    <w:rsid w:val="00134B27"/>
    <w:rsid w:val="00137B72"/>
    <w:rsid w:val="00140901"/>
    <w:rsid w:val="00141E8C"/>
    <w:rsid w:val="00142619"/>
    <w:rsid w:val="00142C17"/>
    <w:rsid w:val="00143E0F"/>
    <w:rsid w:val="0014594B"/>
    <w:rsid w:val="00145F61"/>
    <w:rsid w:val="001471FB"/>
    <w:rsid w:val="0014752F"/>
    <w:rsid w:val="0014793E"/>
    <w:rsid w:val="00151565"/>
    <w:rsid w:val="00151812"/>
    <w:rsid w:val="00154AC1"/>
    <w:rsid w:val="00154DC5"/>
    <w:rsid w:val="00154FC4"/>
    <w:rsid w:val="0015521F"/>
    <w:rsid w:val="00156D7C"/>
    <w:rsid w:val="0015782F"/>
    <w:rsid w:val="00160A4E"/>
    <w:rsid w:val="00161152"/>
    <w:rsid w:val="001619C7"/>
    <w:rsid w:val="0016200A"/>
    <w:rsid w:val="001623E2"/>
    <w:rsid w:val="00162C3E"/>
    <w:rsid w:val="001641C0"/>
    <w:rsid w:val="001664F5"/>
    <w:rsid w:val="0016690A"/>
    <w:rsid w:val="00167999"/>
    <w:rsid w:val="00170785"/>
    <w:rsid w:val="00171693"/>
    <w:rsid w:val="0017187F"/>
    <w:rsid w:val="001753EC"/>
    <w:rsid w:val="001755E9"/>
    <w:rsid w:val="001759C3"/>
    <w:rsid w:val="001770D9"/>
    <w:rsid w:val="0018012F"/>
    <w:rsid w:val="00180FE6"/>
    <w:rsid w:val="00181BCF"/>
    <w:rsid w:val="00182B1A"/>
    <w:rsid w:val="00182CC0"/>
    <w:rsid w:val="0018451D"/>
    <w:rsid w:val="00184F74"/>
    <w:rsid w:val="00185238"/>
    <w:rsid w:val="001867EA"/>
    <w:rsid w:val="0018711C"/>
    <w:rsid w:val="00187C1B"/>
    <w:rsid w:val="00190B6A"/>
    <w:rsid w:val="0019289B"/>
    <w:rsid w:val="0019464A"/>
    <w:rsid w:val="0019475A"/>
    <w:rsid w:val="00195A6A"/>
    <w:rsid w:val="00197183"/>
    <w:rsid w:val="001978CE"/>
    <w:rsid w:val="00197F34"/>
    <w:rsid w:val="001A20EF"/>
    <w:rsid w:val="001A300C"/>
    <w:rsid w:val="001A4BE2"/>
    <w:rsid w:val="001A4CBF"/>
    <w:rsid w:val="001A56BD"/>
    <w:rsid w:val="001A61D8"/>
    <w:rsid w:val="001A7440"/>
    <w:rsid w:val="001B1FC7"/>
    <w:rsid w:val="001B5232"/>
    <w:rsid w:val="001B73BA"/>
    <w:rsid w:val="001C03B3"/>
    <w:rsid w:val="001C1426"/>
    <w:rsid w:val="001C2338"/>
    <w:rsid w:val="001C3A1C"/>
    <w:rsid w:val="001C5049"/>
    <w:rsid w:val="001C6713"/>
    <w:rsid w:val="001C7677"/>
    <w:rsid w:val="001C7E32"/>
    <w:rsid w:val="001D028D"/>
    <w:rsid w:val="001D1E6B"/>
    <w:rsid w:val="001D2199"/>
    <w:rsid w:val="001D32CB"/>
    <w:rsid w:val="001D5397"/>
    <w:rsid w:val="001D778A"/>
    <w:rsid w:val="001D7D62"/>
    <w:rsid w:val="001E1942"/>
    <w:rsid w:val="001E302E"/>
    <w:rsid w:val="001E38B9"/>
    <w:rsid w:val="001E3B02"/>
    <w:rsid w:val="001E5140"/>
    <w:rsid w:val="001E5383"/>
    <w:rsid w:val="001E5BB1"/>
    <w:rsid w:val="001E5DE7"/>
    <w:rsid w:val="001E6372"/>
    <w:rsid w:val="001E7292"/>
    <w:rsid w:val="001E7363"/>
    <w:rsid w:val="001E7C25"/>
    <w:rsid w:val="001F09E4"/>
    <w:rsid w:val="001F0ECC"/>
    <w:rsid w:val="001F1809"/>
    <w:rsid w:val="001F2244"/>
    <w:rsid w:val="001F3947"/>
    <w:rsid w:val="001F508A"/>
    <w:rsid w:val="001F5286"/>
    <w:rsid w:val="001F6C88"/>
    <w:rsid w:val="002010E2"/>
    <w:rsid w:val="002018F0"/>
    <w:rsid w:val="002019AA"/>
    <w:rsid w:val="00202A9D"/>
    <w:rsid w:val="00203952"/>
    <w:rsid w:val="00203EFA"/>
    <w:rsid w:val="002041FD"/>
    <w:rsid w:val="00204255"/>
    <w:rsid w:val="0020694C"/>
    <w:rsid w:val="00210419"/>
    <w:rsid w:val="00210C1C"/>
    <w:rsid w:val="00211009"/>
    <w:rsid w:val="00211327"/>
    <w:rsid w:val="002122D4"/>
    <w:rsid w:val="00213177"/>
    <w:rsid w:val="00213E3C"/>
    <w:rsid w:val="00214C00"/>
    <w:rsid w:val="00214F3E"/>
    <w:rsid w:val="0021501B"/>
    <w:rsid w:val="00215451"/>
    <w:rsid w:val="00215EEB"/>
    <w:rsid w:val="00217EBF"/>
    <w:rsid w:val="00217F27"/>
    <w:rsid w:val="0022126E"/>
    <w:rsid w:val="00221C4B"/>
    <w:rsid w:val="00222524"/>
    <w:rsid w:val="00223F48"/>
    <w:rsid w:val="002246FB"/>
    <w:rsid w:val="00224F0A"/>
    <w:rsid w:val="00227B5D"/>
    <w:rsid w:val="002303FE"/>
    <w:rsid w:val="00230DF3"/>
    <w:rsid w:val="00232119"/>
    <w:rsid w:val="002326AF"/>
    <w:rsid w:val="00234312"/>
    <w:rsid w:val="00234BDC"/>
    <w:rsid w:val="002378E5"/>
    <w:rsid w:val="00240366"/>
    <w:rsid w:val="00241718"/>
    <w:rsid w:val="00241E0B"/>
    <w:rsid w:val="00242079"/>
    <w:rsid w:val="002444E8"/>
    <w:rsid w:val="0024463B"/>
    <w:rsid w:val="00245737"/>
    <w:rsid w:val="00246670"/>
    <w:rsid w:val="00250061"/>
    <w:rsid w:val="00250642"/>
    <w:rsid w:val="00251F50"/>
    <w:rsid w:val="0025279E"/>
    <w:rsid w:val="00253417"/>
    <w:rsid w:val="00253C7D"/>
    <w:rsid w:val="00253E30"/>
    <w:rsid w:val="00254326"/>
    <w:rsid w:val="00254E64"/>
    <w:rsid w:val="00256316"/>
    <w:rsid w:val="002626B1"/>
    <w:rsid w:val="00263279"/>
    <w:rsid w:val="0026348A"/>
    <w:rsid w:val="002643D8"/>
    <w:rsid w:val="002643FC"/>
    <w:rsid w:val="0026457B"/>
    <w:rsid w:val="00264650"/>
    <w:rsid w:val="00264940"/>
    <w:rsid w:val="00264972"/>
    <w:rsid w:val="0026727D"/>
    <w:rsid w:val="002706E4"/>
    <w:rsid w:val="00271E50"/>
    <w:rsid w:val="002722C3"/>
    <w:rsid w:val="0027471B"/>
    <w:rsid w:val="0027552B"/>
    <w:rsid w:val="00275B7A"/>
    <w:rsid w:val="0027610D"/>
    <w:rsid w:val="00283919"/>
    <w:rsid w:val="00284013"/>
    <w:rsid w:val="00287B08"/>
    <w:rsid w:val="00292DB5"/>
    <w:rsid w:val="00293770"/>
    <w:rsid w:val="002951EE"/>
    <w:rsid w:val="0029643F"/>
    <w:rsid w:val="002A122A"/>
    <w:rsid w:val="002A39F4"/>
    <w:rsid w:val="002A56D1"/>
    <w:rsid w:val="002A6B78"/>
    <w:rsid w:val="002A6CF1"/>
    <w:rsid w:val="002A7D20"/>
    <w:rsid w:val="002B2E14"/>
    <w:rsid w:val="002B2E78"/>
    <w:rsid w:val="002B3258"/>
    <w:rsid w:val="002B3DD6"/>
    <w:rsid w:val="002B4117"/>
    <w:rsid w:val="002B49DE"/>
    <w:rsid w:val="002B53D3"/>
    <w:rsid w:val="002B5A16"/>
    <w:rsid w:val="002B601E"/>
    <w:rsid w:val="002B6E0D"/>
    <w:rsid w:val="002B71C3"/>
    <w:rsid w:val="002C02DC"/>
    <w:rsid w:val="002C03AD"/>
    <w:rsid w:val="002C2167"/>
    <w:rsid w:val="002C3CE8"/>
    <w:rsid w:val="002C5DCD"/>
    <w:rsid w:val="002C7373"/>
    <w:rsid w:val="002C7B11"/>
    <w:rsid w:val="002C7E64"/>
    <w:rsid w:val="002D05C2"/>
    <w:rsid w:val="002D2707"/>
    <w:rsid w:val="002D2A4E"/>
    <w:rsid w:val="002D3AD5"/>
    <w:rsid w:val="002D3C09"/>
    <w:rsid w:val="002D3D32"/>
    <w:rsid w:val="002D4D03"/>
    <w:rsid w:val="002D5C6E"/>
    <w:rsid w:val="002D6A3B"/>
    <w:rsid w:val="002D705A"/>
    <w:rsid w:val="002E17F1"/>
    <w:rsid w:val="002E1FF7"/>
    <w:rsid w:val="002E216E"/>
    <w:rsid w:val="002E3493"/>
    <w:rsid w:val="002F0434"/>
    <w:rsid w:val="002F0882"/>
    <w:rsid w:val="002F126D"/>
    <w:rsid w:val="002F2D42"/>
    <w:rsid w:val="002F449C"/>
    <w:rsid w:val="002F5FB9"/>
    <w:rsid w:val="002F72F7"/>
    <w:rsid w:val="003003F3"/>
    <w:rsid w:val="0030241E"/>
    <w:rsid w:val="0030441C"/>
    <w:rsid w:val="003051C1"/>
    <w:rsid w:val="003075FA"/>
    <w:rsid w:val="00310341"/>
    <w:rsid w:val="0031124D"/>
    <w:rsid w:val="00311871"/>
    <w:rsid w:val="003120FB"/>
    <w:rsid w:val="00312DCE"/>
    <w:rsid w:val="00313D02"/>
    <w:rsid w:val="00314D09"/>
    <w:rsid w:val="00317176"/>
    <w:rsid w:val="003178AE"/>
    <w:rsid w:val="00321407"/>
    <w:rsid w:val="003216B7"/>
    <w:rsid w:val="00322863"/>
    <w:rsid w:val="003239D0"/>
    <w:rsid w:val="00324908"/>
    <w:rsid w:val="0032511C"/>
    <w:rsid w:val="003262D0"/>
    <w:rsid w:val="00326F07"/>
    <w:rsid w:val="00327B93"/>
    <w:rsid w:val="00327E20"/>
    <w:rsid w:val="003307A4"/>
    <w:rsid w:val="00330E67"/>
    <w:rsid w:val="0033247F"/>
    <w:rsid w:val="00334495"/>
    <w:rsid w:val="0033493D"/>
    <w:rsid w:val="00335E4B"/>
    <w:rsid w:val="00336657"/>
    <w:rsid w:val="00337A6F"/>
    <w:rsid w:val="00337F70"/>
    <w:rsid w:val="0034064C"/>
    <w:rsid w:val="00343500"/>
    <w:rsid w:val="003448B4"/>
    <w:rsid w:val="00344D32"/>
    <w:rsid w:val="00347DB3"/>
    <w:rsid w:val="003502D6"/>
    <w:rsid w:val="003503FC"/>
    <w:rsid w:val="00350431"/>
    <w:rsid w:val="0035214B"/>
    <w:rsid w:val="00352888"/>
    <w:rsid w:val="0035557B"/>
    <w:rsid w:val="003602D4"/>
    <w:rsid w:val="00361CFB"/>
    <w:rsid w:val="0036282E"/>
    <w:rsid w:val="0036495A"/>
    <w:rsid w:val="00366128"/>
    <w:rsid w:val="00367F35"/>
    <w:rsid w:val="00370EDC"/>
    <w:rsid w:val="00372332"/>
    <w:rsid w:val="00372F2D"/>
    <w:rsid w:val="00374888"/>
    <w:rsid w:val="00376E33"/>
    <w:rsid w:val="00382128"/>
    <w:rsid w:val="0038212E"/>
    <w:rsid w:val="003830E3"/>
    <w:rsid w:val="00383416"/>
    <w:rsid w:val="00383622"/>
    <w:rsid w:val="00383736"/>
    <w:rsid w:val="00384520"/>
    <w:rsid w:val="00384CC2"/>
    <w:rsid w:val="00384DEE"/>
    <w:rsid w:val="00385BF3"/>
    <w:rsid w:val="003876E6"/>
    <w:rsid w:val="003907F4"/>
    <w:rsid w:val="00391AFA"/>
    <w:rsid w:val="00393A01"/>
    <w:rsid w:val="003941C4"/>
    <w:rsid w:val="003A2B0E"/>
    <w:rsid w:val="003A4F80"/>
    <w:rsid w:val="003A5002"/>
    <w:rsid w:val="003A5DEE"/>
    <w:rsid w:val="003A73B2"/>
    <w:rsid w:val="003B0247"/>
    <w:rsid w:val="003B08C4"/>
    <w:rsid w:val="003B10E4"/>
    <w:rsid w:val="003B3839"/>
    <w:rsid w:val="003B52A4"/>
    <w:rsid w:val="003B59A9"/>
    <w:rsid w:val="003B63DC"/>
    <w:rsid w:val="003C0BF9"/>
    <w:rsid w:val="003C1215"/>
    <w:rsid w:val="003C168A"/>
    <w:rsid w:val="003C18BA"/>
    <w:rsid w:val="003C1A6F"/>
    <w:rsid w:val="003C1DE0"/>
    <w:rsid w:val="003C1E4B"/>
    <w:rsid w:val="003C2696"/>
    <w:rsid w:val="003C613C"/>
    <w:rsid w:val="003C6CA4"/>
    <w:rsid w:val="003C7200"/>
    <w:rsid w:val="003D1194"/>
    <w:rsid w:val="003D1C5D"/>
    <w:rsid w:val="003D2E7E"/>
    <w:rsid w:val="003D6A92"/>
    <w:rsid w:val="003E02A3"/>
    <w:rsid w:val="003E055D"/>
    <w:rsid w:val="003E0FB7"/>
    <w:rsid w:val="003E1249"/>
    <w:rsid w:val="003E1E0C"/>
    <w:rsid w:val="003E2754"/>
    <w:rsid w:val="003E2D04"/>
    <w:rsid w:val="003E3544"/>
    <w:rsid w:val="003E35A8"/>
    <w:rsid w:val="003E419A"/>
    <w:rsid w:val="003E5148"/>
    <w:rsid w:val="003E571F"/>
    <w:rsid w:val="003E58C4"/>
    <w:rsid w:val="003E6A9E"/>
    <w:rsid w:val="003E77CB"/>
    <w:rsid w:val="003F04F9"/>
    <w:rsid w:val="003F3FDA"/>
    <w:rsid w:val="003F550C"/>
    <w:rsid w:val="003F629E"/>
    <w:rsid w:val="003F662E"/>
    <w:rsid w:val="003F6AF0"/>
    <w:rsid w:val="003F73BA"/>
    <w:rsid w:val="003F73F0"/>
    <w:rsid w:val="003F7FB6"/>
    <w:rsid w:val="0040080D"/>
    <w:rsid w:val="00400CE7"/>
    <w:rsid w:val="0040384E"/>
    <w:rsid w:val="00405890"/>
    <w:rsid w:val="00406A04"/>
    <w:rsid w:val="00406C27"/>
    <w:rsid w:val="0040788B"/>
    <w:rsid w:val="0041237F"/>
    <w:rsid w:val="00414613"/>
    <w:rsid w:val="00414BF3"/>
    <w:rsid w:val="00415950"/>
    <w:rsid w:val="004170CD"/>
    <w:rsid w:val="0041722D"/>
    <w:rsid w:val="0041767B"/>
    <w:rsid w:val="0042068B"/>
    <w:rsid w:val="00421373"/>
    <w:rsid w:val="0042342E"/>
    <w:rsid w:val="00424197"/>
    <w:rsid w:val="004246E4"/>
    <w:rsid w:val="00424D85"/>
    <w:rsid w:val="00426C97"/>
    <w:rsid w:val="00430D4F"/>
    <w:rsid w:val="00431422"/>
    <w:rsid w:val="0043155B"/>
    <w:rsid w:val="004322C0"/>
    <w:rsid w:val="004322F3"/>
    <w:rsid w:val="00432662"/>
    <w:rsid w:val="00432728"/>
    <w:rsid w:val="004328D3"/>
    <w:rsid w:val="00432D4D"/>
    <w:rsid w:val="00434E7C"/>
    <w:rsid w:val="0043618F"/>
    <w:rsid w:val="004361A7"/>
    <w:rsid w:val="004372AD"/>
    <w:rsid w:val="00440772"/>
    <w:rsid w:val="00442BD6"/>
    <w:rsid w:val="00442F9D"/>
    <w:rsid w:val="00445A6D"/>
    <w:rsid w:val="00446A6B"/>
    <w:rsid w:val="004474D1"/>
    <w:rsid w:val="004507D5"/>
    <w:rsid w:val="00451454"/>
    <w:rsid w:val="004523CA"/>
    <w:rsid w:val="00454DB4"/>
    <w:rsid w:val="00455E65"/>
    <w:rsid w:val="004569EB"/>
    <w:rsid w:val="004608D8"/>
    <w:rsid w:val="004612CE"/>
    <w:rsid w:val="00462EFB"/>
    <w:rsid w:val="00463D4E"/>
    <w:rsid w:val="004666BC"/>
    <w:rsid w:val="00466A5B"/>
    <w:rsid w:val="0047305F"/>
    <w:rsid w:val="0047307F"/>
    <w:rsid w:val="00473C22"/>
    <w:rsid w:val="00474440"/>
    <w:rsid w:val="0048082D"/>
    <w:rsid w:val="00480B3A"/>
    <w:rsid w:val="004828A9"/>
    <w:rsid w:val="00483A0F"/>
    <w:rsid w:val="004849DE"/>
    <w:rsid w:val="00484E4F"/>
    <w:rsid w:val="00484E57"/>
    <w:rsid w:val="00486672"/>
    <w:rsid w:val="004867EB"/>
    <w:rsid w:val="004903AA"/>
    <w:rsid w:val="004907F8"/>
    <w:rsid w:val="00491F38"/>
    <w:rsid w:val="0049220C"/>
    <w:rsid w:val="00492535"/>
    <w:rsid w:val="00492DBE"/>
    <w:rsid w:val="00493CB3"/>
    <w:rsid w:val="00493F10"/>
    <w:rsid w:val="004A0D19"/>
    <w:rsid w:val="004A19D4"/>
    <w:rsid w:val="004A2EB8"/>
    <w:rsid w:val="004A3088"/>
    <w:rsid w:val="004A56D3"/>
    <w:rsid w:val="004A6CE1"/>
    <w:rsid w:val="004A7738"/>
    <w:rsid w:val="004B0BBE"/>
    <w:rsid w:val="004B1943"/>
    <w:rsid w:val="004B5346"/>
    <w:rsid w:val="004B5829"/>
    <w:rsid w:val="004B7B56"/>
    <w:rsid w:val="004C0497"/>
    <w:rsid w:val="004C080E"/>
    <w:rsid w:val="004C27EB"/>
    <w:rsid w:val="004C2D07"/>
    <w:rsid w:val="004C3E41"/>
    <w:rsid w:val="004C405B"/>
    <w:rsid w:val="004C4EAF"/>
    <w:rsid w:val="004C68D1"/>
    <w:rsid w:val="004D0283"/>
    <w:rsid w:val="004D2166"/>
    <w:rsid w:val="004D3422"/>
    <w:rsid w:val="004D3590"/>
    <w:rsid w:val="004D5A5F"/>
    <w:rsid w:val="004D5B46"/>
    <w:rsid w:val="004D663B"/>
    <w:rsid w:val="004D7821"/>
    <w:rsid w:val="004E13E2"/>
    <w:rsid w:val="004E22A7"/>
    <w:rsid w:val="004E3E58"/>
    <w:rsid w:val="004E6A76"/>
    <w:rsid w:val="004E7924"/>
    <w:rsid w:val="004E7CA2"/>
    <w:rsid w:val="004E7F97"/>
    <w:rsid w:val="004F04B4"/>
    <w:rsid w:val="004F17E1"/>
    <w:rsid w:val="004F1F17"/>
    <w:rsid w:val="004F2195"/>
    <w:rsid w:val="004F22B1"/>
    <w:rsid w:val="004F39E8"/>
    <w:rsid w:val="004F5195"/>
    <w:rsid w:val="00502156"/>
    <w:rsid w:val="00502277"/>
    <w:rsid w:val="005024B5"/>
    <w:rsid w:val="00503DB3"/>
    <w:rsid w:val="0050424A"/>
    <w:rsid w:val="005073DD"/>
    <w:rsid w:val="00510BDC"/>
    <w:rsid w:val="005140F2"/>
    <w:rsid w:val="00515200"/>
    <w:rsid w:val="00516199"/>
    <w:rsid w:val="00516C40"/>
    <w:rsid w:val="00517800"/>
    <w:rsid w:val="00517E44"/>
    <w:rsid w:val="00520924"/>
    <w:rsid w:val="00520B9E"/>
    <w:rsid w:val="00520F75"/>
    <w:rsid w:val="0052154A"/>
    <w:rsid w:val="00521D97"/>
    <w:rsid w:val="00523E50"/>
    <w:rsid w:val="005243ED"/>
    <w:rsid w:val="005250C5"/>
    <w:rsid w:val="005251B2"/>
    <w:rsid w:val="00526255"/>
    <w:rsid w:val="00530A64"/>
    <w:rsid w:val="00531BEB"/>
    <w:rsid w:val="0053229C"/>
    <w:rsid w:val="00532CD3"/>
    <w:rsid w:val="005345A9"/>
    <w:rsid w:val="005345DC"/>
    <w:rsid w:val="00535A1B"/>
    <w:rsid w:val="005363F9"/>
    <w:rsid w:val="005369D2"/>
    <w:rsid w:val="00536AA6"/>
    <w:rsid w:val="0054004F"/>
    <w:rsid w:val="0054021C"/>
    <w:rsid w:val="00540C56"/>
    <w:rsid w:val="00540E4E"/>
    <w:rsid w:val="0054315D"/>
    <w:rsid w:val="00543E72"/>
    <w:rsid w:val="00544A67"/>
    <w:rsid w:val="00545A7A"/>
    <w:rsid w:val="00546C75"/>
    <w:rsid w:val="00547CF0"/>
    <w:rsid w:val="00550ED7"/>
    <w:rsid w:val="00552105"/>
    <w:rsid w:val="0055212F"/>
    <w:rsid w:val="005533E6"/>
    <w:rsid w:val="0055354D"/>
    <w:rsid w:val="00553C69"/>
    <w:rsid w:val="00553EBE"/>
    <w:rsid w:val="00554B81"/>
    <w:rsid w:val="005550E2"/>
    <w:rsid w:val="0055727E"/>
    <w:rsid w:val="005610B7"/>
    <w:rsid w:val="00561AE0"/>
    <w:rsid w:val="005626C5"/>
    <w:rsid w:val="00562E10"/>
    <w:rsid w:val="005641A7"/>
    <w:rsid w:val="005642D9"/>
    <w:rsid w:val="005645A3"/>
    <w:rsid w:val="00567C6C"/>
    <w:rsid w:val="00567C9E"/>
    <w:rsid w:val="005701EC"/>
    <w:rsid w:val="00571001"/>
    <w:rsid w:val="005716F6"/>
    <w:rsid w:val="00571768"/>
    <w:rsid w:val="0057258C"/>
    <w:rsid w:val="00573651"/>
    <w:rsid w:val="00574894"/>
    <w:rsid w:val="00574DF3"/>
    <w:rsid w:val="00574E74"/>
    <w:rsid w:val="005778E8"/>
    <w:rsid w:val="005800B2"/>
    <w:rsid w:val="005808DA"/>
    <w:rsid w:val="00581904"/>
    <w:rsid w:val="00585119"/>
    <w:rsid w:val="00585309"/>
    <w:rsid w:val="0058585A"/>
    <w:rsid w:val="005879F2"/>
    <w:rsid w:val="0059018E"/>
    <w:rsid w:val="00591634"/>
    <w:rsid w:val="00591AE8"/>
    <w:rsid w:val="00592DE0"/>
    <w:rsid w:val="00593ED6"/>
    <w:rsid w:val="00594EB6"/>
    <w:rsid w:val="00595C48"/>
    <w:rsid w:val="005A106D"/>
    <w:rsid w:val="005A107D"/>
    <w:rsid w:val="005A279E"/>
    <w:rsid w:val="005A3D73"/>
    <w:rsid w:val="005A6DC1"/>
    <w:rsid w:val="005A7CA9"/>
    <w:rsid w:val="005B06EA"/>
    <w:rsid w:val="005B0EA3"/>
    <w:rsid w:val="005B42DA"/>
    <w:rsid w:val="005B4473"/>
    <w:rsid w:val="005C00DE"/>
    <w:rsid w:val="005C255B"/>
    <w:rsid w:val="005C2EE8"/>
    <w:rsid w:val="005C36EE"/>
    <w:rsid w:val="005C5C22"/>
    <w:rsid w:val="005C6118"/>
    <w:rsid w:val="005C69E5"/>
    <w:rsid w:val="005D538F"/>
    <w:rsid w:val="005D5DD0"/>
    <w:rsid w:val="005D63D9"/>
    <w:rsid w:val="005D67A3"/>
    <w:rsid w:val="005D6D46"/>
    <w:rsid w:val="005E120A"/>
    <w:rsid w:val="005E1DFB"/>
    <w:rsid w:val="005E1EBC"/>
    <w:rsid w:val="005E293A"/>
    <w:rsid w:val="005F04DC"/>
    <w:rsid w:val="005F4ED0"/>
    <w:rsid w:val="005F5FE5"/>
    <w:rsid w:val="005F685D"/>
    <w:rsid w:val="005F6EED"/>
    <w:rsid w:val="00601165"/>
    <w:rsid w:val="00603960"/>
    <w:rsid w:val="00604960"/>
    <w:rsid w:val="00605967"/>
    <w:rsid w:val="00606321"/>
    <w:rsid w:val="006070EC"/>
    <w:rsid w:val="0060726D"/>
    <w:rsid w:val="00607B63"/>
    <w:rsid w:val="00611A4E"/>
    <w:rsid w:val="0061281D"/>
    <w:rsid w:val="00613350"/>
    <w:rsid w:val="0061342B"/>
    <w:rsid w:val="00620DEF"/>
    <w:rsid w:val="00623004"/>
    <w:rsid w:val="006236A2"/>
    <w:rsid w:val="0062516A"/>
    <w:rsid w:val="00625964"/>
    <w:rsid w:val="006307DE"/>
    <w:rsid w:val="00634DFC"/>
    <w:rsid w:val="00635031"/>
    <w:rsid w:val="006407FA"/>
    <w:rsid w:val="00642BEB"/>
    <w:rsid w:val="00644388"/>
    <w:rsid w:val="00644B1D"/>
    <w:rsid w:val="00645664"/>
    <w:rsid w:val="006456DC"/>
    <w:rsid w:val="00647590"/>
    <w:rsid w:val="006501CE"/>
    <w:rsid w:val="0065103B"/>
    <w:rsid w:val="00651925"/>
    <w:rsid w:val="00651DB5"/>
    <w:rsid w:val="006526F5"/>
    <w:rsid w:val="0065309A"/>
    <w:rsid w:val="00655046"/>
    <w:rsid w:val="006557E1"/>
    <w:rsid w:val="00660D33"/>
    <w:rsid w:val="0066107F"/>
    <w:rsid w:val="006619F5"/>
    <w:rsid w:val="006627AC"/>
    <w:rsid w:val="006635DA"/>
    <w:rsid w:val="006635E6"/>
    <w:rsid w:val="0066562D"/>
    <w:rsid w:val="00665DB0"/>
    <w:rsid w:val="00670998"/>
    <w:rsid w:val="00672050"/>
    <w:rsid w:val="00672FD4"/>
    <w:rsid w:val="006741B6"/>
    <w:rsid w:val="006744DF"/>
    <w:rsid w:val="00674832"/>
    <w:rsid w:val="00675EBF"/>
    <w:rsid w:val="0067610F"/>
    <w:rsid w:val="006763D1"/>
    <w:rsid w:val="006773A5"/>
    <w:rsid w:val="0068067A"/>
    <w:rsid w:val="00680CEB"/>
    <w:rsid w:val="006811D8"/>
    <w:rsid w:val="00681409"/>
    <w:rsid w:val="00681D63"/>
    <w:rsid w:val="00681E09"/>
    <w:rsid w:val="006826B4"/>
    <w:rsid w:val="00682D47"/>
    <w:rsid w:val="00682E71"/>
    <w:rsid w:val="00683473"/>
    <w:rsid w:val="006871CE"/>
    <w:rsid w:val="00690ED7"/>
    <w:rsid w:val="0069130B"/>
    <w:rsid w:val="006921F0"/>
    <w:rsid w:val="006941DA"/>
    <w:rsid w:val="006948D3"/>
    <w:rsid w:val="00694C76"/>
    <w:rsid w:val="006956FC"/>
    <w:rsid w:val="00697857"/>
    <w:rsid w:val="006A28FA"/>
    <w:rsid w:val="006A677C"/>
    <w:rsid w:val="006A7B6B"/>
    <w:rsid w:val="006B006D"/>
    <w:rsid w:val="006B0294"/>
    <w:rsid w:val="006B13BC"/>
    <w:rsid w:val="006B2603"/>
    <w:rsid w:val="006B32FE"/>
    <w:rsid w:val="006B3BAE"/>
    <w:rsid w:val="006B4959"/>
    <w:rsid w:val="006B520B"/>
    <w:rsid w:val="006B6B68"/>
    <w:rsid w:val="006B6FB5"/>
    <w:rsid w:val="006B7C88"/>
    <w:rsid w:val="006C16BC"/>
    <w:rsid w:val="006C1C4A"/>
    <w:rsid w:val="006C2B70"/>
    <w:rsid w:val="006C4B87"/>
    <w:rsid w:val="006C5806"/>
    <w:rsid w:val="006C6423"/>
    <w:rsid w:val="006C7320"/>
    <w:rsid w:val="006D0FE2"/>
    <w:rsid w:val="006D20A2"/>
    <w:rsid w:val="006D2B37"/>
    <w:rsid w:val="006D2B3E"/>
    <w:rsid w:val="006D2BC2"/>
    <w:rsid w:val="006D35CD"/>
    <w:rsid w:val="006D3848"/>
    <w:rsid w:val="006D3A3D"/>
    <w:rsid w:val="006D52B5"/>
    <w:rsid w:val="006D54FB"/>
    <w:rsid w:val="006D5E61"/>
    <w:rsid w:val="006D6312"/>
    <w:rsid w:val="006D65D2"/>
    <w:rsid w:val="006E19A8"/>
    <w:rsid w:val="006E1A62"/>
    <w:rsid w:val="006E202B"/>
    <w:rsid w:val="006E3711"/>
    <w:rsid w:val="006E3D84"/>
    <w:rsid w:val="006E5C6B"/>
    <w:rsid w:val="006E6377"/>
    <w:rsid w:val="006E685F"/>
    <w:rsid w:val="006E7774"/>
    <w:rsid w:val="006E7ACC"/>
    <w:rsid w:val="006F0641"/>
    <w:rsid w:val="006F1D53"/>
    <w:rsid w:val="006F3235"/>
    <w:rsid w:val="006F4ADF"/>
    <w:rsid w:val="006F4E6C"/>
    <w:rsid w:val="006F56E5"/>
    <w:rsid w:val="006F5B04"/>
    <w:rsid w:val="006F5E2E"/>
    <w:rsid w:val="006F6918"/>
    <w:rsid w:val="006F75D5"/>
    <w:rsid w:val="006F7E56"/>
    <w:rsid w:val="0070058D"/>
    <w:rsid w:val="00700E26"/>
    <w:rsid w:val="00702EFB"/>
    <w:rsid w:val="00703BB9"/>
    <w:rsid w:val="00703C73"/>
    <w:rsid w:val="007045E0"/>
    <w:rsid w:val="00704A1A"/>
    <w:rsid w:val="007050FA"/>
    <w:rsid w:val="0070512F"/>
    <w:rsid w:val="00705924"/>
    <w:rsid w:val="007111C5"/>
    <w:rsid w:val="007134A2"/>
    <w:rsid w:val="00713B46"/>
    <w:rsid w:val="00713EF6"/>
    <w:rsid w:val="00714E18"/>
    <w:rsid w:val="00715BFF"/>
    <w:rsid w:val="00717B45"/>
    <w:rsid w:val="00723904"/>
    <w:rsid w:val="007258DD"/>
    <w:rsid w:val="007269EA"/>
    <w:rsid w:val="00726BC2"/>
    <w:rsid w:val="00726CFA"/>
    <w:rsid w:val="0072764E"/>
    <w:rsid w:val="00727B16"/>
    <w:rsid w:val="00727CA5"/>
    <w:rsid w:val="007304D5"/>
    <w:rsid w:val="00730965"/>
    <w:rsid w:val="00730C58"/>
    <w:rsid w:val="0073265F"/>
    <w:rsid w:val="00733C90"/>
    <w:rsid w:val="00734AC5"/>
    <w:rsid w:val="00735E30"/>
    <w:rsid w:val="007368DC"/>
    <w:rsid w:val="00737292"/>
    <w:rsid w:val="00740F9A"/>
    <w:rsid w:val="00741A4E"/>
    <w:rsid w:val="00744908"/>
    <w:rsid w:val="00744C4B"/>
    <w:rsid w:val="007452E0"/>
    <w:rsid w:val="00750484"/>
    <w:rsid w:val="007505FB"/>
    <w:rsid w:val="00751062"/>
    <w:rsid w:val="00751329"/>
    <w:rsid w:val="00751C3E"/>
    <w:rsid w:val="0075371B"/>
    <w:rsid w:val="00753734"/>
    <w:rsid w:val="00757F04"/>
    <w:rsid w:val="00760B75"/>
    <w:rsid w:val="00760BED"/>
    <w:rsid w:val="00761318"/>
    <w:rsid w:val="00761950"/>
    <w:rsid w:val="00762AE1"/>
    <w:rsid w:val="0076544A"/>
    <w:rsid w:val="00765AE7"/>
    <w:rsid w:val="0076785F"/>
    <w:rsid w:val="00770254"/>
    <w:rsid w:val="007758E3"/>
    <w:rsid w:val="00776C78"/>
    <w:rsid w:val="00777055"/>
    <w:rsid w:val="007805F5"/>
    <w:rsid w:val="007813BF"/>
    <w:rsid w:val="007817D9"/>
    <w:rsid w:val="00782369"/>
    <w:rsid w:val="00782FC2"/>
    <w:rsid w:val="00784EDA"/>
    <w:rsid w:val="007859F8"/>
    <w:rsid w:val="007865D9"/>
    <w:rsid w:val="007872C2"/>
    <w:rsid w:val="00790905"/>
    <w:rsid w:val="00791384"/>
    <w:rsid w:val="00792A72"/>
    <w:rsid w:val="00795F13"/>
    <w:rsid w:val="007A140D"/>
    <w:rsid w:val="007A22BC"/>
    <w:rsid w:val="007A2DE0"/>
    <w:rsid w:val="007A31EB"/>
    <w:rsid w:val="007A5B55"/>
    <w:rsid w:val="007A5F41"/>
    <w:rsid w:val="007A630B"/>
    <w:rsid w:val="007B08D1"/>
    <w:rsid w:val="007B09BF"/>
    <w:rsid w:val="007B2073"/>
    <w:rsid w:val="007B491A"/>
    <w:rsid w:val="007B4BBB"/>
    <w:rsid w:val="007B4EAA"/>
    <w:rsid w:val="007B5184"/>
    <w:rsid w:val="007B55D0"/>
    <w:rsid w:val="007B6415"/>
    <w:rsid w:val="007B64D5"/>
    <w:rsid w:val="007C1D78"/>
    <w:rsid w:val="007C20FA"/>
    <w:rsid w:val="007C27D3"/>
    <w:rsid w:val="007C2C95"/>
    <w:rsid w:val="007C51A0"/>
    <w:rsid w:val="007C6A22"/>
    <w:rsid w:val="007C79FB"/>
    <w:rsid w:val="007D0CE9"/>
    <w:rsid w:val="007D2AE1"/>
    <w:rsid w:val="007D3CA7"/>
    <w:rsid w:val="007D4A14"/>
    <w:rsid w:val="007D53B2"/>
    <w:rsid w:val="007D5A1D"/>
    <w:rsid w:val="007D75A4"/>
    <w:rsid w:val="007E3A06"/>
    <w:rsid w:val="007E5349"/>
    <w:rsid w:val="007E6EC6"/>
    <w:rsid w:val="007E7ABF"/>
    <w:rsid w:val="007F0907"/>
    <w:rsid w:val="007F1C81"/>
    <w:rsid w:val="007F27E5"/>
    <w:rsid w:val="007F3CFE"/>
    <w:rsid w:val="007F4B16"/>
    <w:rsid w:val="007F53BB"/>
    <w:rsid w:val="007F6380"/>
    <w:rsid w:val="007F6ABA"/>
    <w:rsid w:val="007F702D"/>
    <w:rsid w:val="007F762F"/>
    <w:rsid w:val="008007A4"/>
    <w:rsid w:val="00800ABB"/>
    <w:rsid w:val="0080144C"/>
    <w:rsid w:val="00801A35"/>
    <w:rsid w:val="008034B0"/>
    <w:rsid w:val="00803E7E"/>
    <w:rsid w:val="008040C8"/>
    <w:rsid w:val="00804A98"/>
    <w:rsid w:val="008057B5"/>
    <w:rsid w:val="0080580D"/>
    <w:rsid w:val="008058FE"/>
    <w:rsid w:val="00805C3A"/>
    <w:rsid w:val="008068BB"/>
    <w:rsid w:val="00807224"/>
    <w:rsid w:val="00810967"/>
    <w:rsid w:val="00814529"/>
    <w:rsid w:val="0081594B"/>
    <w:rsid w:val="008207F1"/>
    <w:rsid w:val="00822B28"/>
    <w:rsid w:val="00822F3D"/>
    <w:rsid w:val="00822F78"/>
    <w:rsid w:val="008230BA"/>
    <w:rsid w:val="00825C4E"/>
    <w:rsid w:val="00826C1C"/>
    <w:rsid w:val="00830223"/>
    <w:rsid w:val="0083183D"/>
    <w:rsid w:val="00832B87"/>
    <w:rsid w:val="008334A6"/>
    <w:rsid w:val="00833FCC"/>
    <w:rsid w:val="00835359"/>
    <w:rsid w:val="008354BB"/>
    <w:rsid w:val="00837232"/>
    <w:rsid w:val="008425C9"/>
    <w:rsid w:val="00844451"/>
    <w:rsid w:val="00844766"/>
    <w:rsid w:val="00845708"/>
    <w:rsid w:val="00845759"/>
    <w:rsid w:val="00845F5C"/>
    <w:rsid w:val="00846877"/>
    <w:rsid w:val="00846F82"/>
    <w:rsid w:val="008478EE"/>
    <w:rsid w:val="008504A0"/>
    <w:rsid w:val="00851993"/>
    <w:rsid w:val="00853E5F"/>
    <w:rsid w:val="0085475F"/>
    <w:rsid w:val="00855C39"/>
    <w:rsid w:val="00855E1E"/>
    <w:rsid w:val="00855FEB"/>
    <w:rsid w:val="00860758"/>
    <w:rsid w:val="008609B1"/>
    <w:rsid w:val="0086138E"/>
    <w:rsid w:val="008639BE"/>
    <w:rsid w:val="00864F3B"/>
    <w:rsid w:val="00865504"/>
    <w:rsid w:val="00870593"/>
    <w:rsid w:val="00870D2E"/>
    <w:rsid w:val="00872B4F"/>
    <w:rsid w:val="00872C66"/>
    <w:rsid w:val="0087361D"/>
    <w:rsid w:val="008748DA"/>
    <w:rsid w:val="00875104"/>
    <w:rsid w:val="00877D97"/>
    <w:rsid w:val="00877ED6"/>
    <w:rsid w:val="00881D17"/>
    <w:rsid w:val="00881E0D"/>
    <w:rsid w:val="00882059"/>
    <w:rsid w:val="00883C9D"/>
    <w:rsid w:val="00884F9E"/>
    <w:rsid w:val="00885102"/>
    <w:rsid w:val="008867A6"/>
    <w:rsid w:val="008869AB"/>
    <w:rsid w:val="0089204B"/>
    <w:rsid w:val="00893F80"/>
    <w:rsid w:val="0089505C"/>
    <w:rsid w:val="0089513F"/>
    <w:rsid w:val="008968FE"/>
    <w:rsid w:val="00896A2F"/>
    <w:rsid w:val="008A0F5B"/>
    <w:rsid w:val="008A2862"/>
    <w:rsid w:val="008A3ED9"/>
    <w:rsid w:val="008A3F9A"/>
    <w:rsid w:val="008A3FE0"/>
    <w:rsid w:val="008A4728"/>
    <w:rsid w:val="008A4B8F"/>
    <w:rsid w:val="008A516D"/>
    <w:rsid w:val="008A5C7E"/>
    <w:rsid w:val="008A65BE"/>
    <w:rsid w:val="008B07C4"/>
    <w:rsid w:val="008B1D61"/>
    <w:rsid w:val="008B394D"/>
    <w:rsid w:val="008B3FBA"/>
    <w:rsid w:val="008B444F"/>
    <w:rsid w:val="008B66AB"/>
    <w:rsid w:val="008C0F1E"/>
    <w:rsid w:val="008C1945"/>
    <w:rsid w:val="008C20F7"/>
    <w:rsid w:val="008C3B01"/>
    <w:rsid w:val="008C5225"/>
    <w:rsid w:val="008C5479"/>
    <w:rsid w:val="008D066C"/>
    <w:rsid w:val="008D0996"/>
    <w:rsid w:val="008D0EF6"/>
    <w:rsid w:val="008D1B01"/>
    <w:rsid w:val="008D2657"/>
    <w:rsid w:val="008D2A83"/>
    <w:rsid w:val="008D2D7B"/>
    <w:rsid w:val="008D3140"/>
    <w:rsid w:val="008D4299"/>
    <w:rsid w:val="008D44EB"/>
    <w:rsid w:val="008D48E1"/>
    <w:rsid w:val="008D4B4F"/>
    <w:rsid w:val="008D4E61"/>
    <w:rsid w:val="008D51AE"/>
    <w:rsid w:val="008D51C1"/>
    <w:rsid w:val="008D55CC"/>
    <w:rsid w:val="008D5E60"/>
    <w:rsid w:val="008D6A11"/>
    <w:rsid w:val="008D6D31"/>
    <w:rsid w:val="008D6F28"/>
    <w:rsid w:val="008D734A"/>
    <w:rsid w:val="008D739F"/>
    <w:rsid w:val="008E1D20"/>
    <w:rsid w:val="008E2FF7"/>
    <w:rsid w:val="008E52C3"/>
    <w:rsid w:val="008E5835"/>
    <w:rsid w:val="008E5852"/>
    <w:rsid w:val="008E6786"/>
    <w:rsid w:val="008E77F1"/>
    <w:rsid w:val="008F1284"/>
    <w:rsid w:val="008F1AA9"/>
    <w:rsid w:val="008F4C42"/>
    <w:rsid w:val="008F5E2F"/>
    <w:rsid w:val="008F7C5B"/>
    <w:rsid w:val="00900387"/>
    <w:rsid w:val="0090256A"/>
    <w:rsid w:val="00904289"/>
    <w:rsid w:val="009049C0"/>
    <w:rsid w:val="009070B5"/>
    <w:rsid w:val="00907A5E"/>
    <w:rsid w:val="0091177A"/>
    <w:rsid w:val="00911BCC"/>
    <w:rsid w:val="00912113"/>
    <w:rsid w:val="009124F6"/>
    <w:rsid w:val="00912743"/>
    <w:rsid w:val="00912C04"/>
    <w:rsid w:val="00913B67"/>
    <w:rsid w:val="00915B08"/>
    <w:rsid w:val="009208AE"/>
    <w:rsid w:val="00921E90"/>
    <w:rsid w:val="009225FE"/>
    <w:rsid w:val="009234DF"/>
    <w:rsid w:val="0092459C"/>
    <w:rsid w:val="009256FF"/>
    <w:rsid w:val="009263B9"/>
    <w:rsid w:val="0093049E"/>
    <w:rsid w:val="00931230"/>
    <w:rsid w:val="00932EC3"/>
    <w:rsid w:val="0093324E"/>
    <w:rsid w:val="00933D07"/>
    <w:rsid w:val="009340B7"/>
    <w:rsid w:val="009365C4"/>
    <w:rsid w:val="00937803"/>
    <w:rsid w:val="00940E98"/>
    <w:rsid w:val="009414C5"/>
    <w:rsid w:val="009427F2"/>
    <w:rsid w:val="00942F78"/>
    <w:rsid w:val="00943581"/>
    <w:rsid w:val="00944F64"/>
    <w:rsid w:val="00946CD3"/>
    <w:rsid w:val="00946E93"/>
    <w:rsid w:val="0095069D"/>
    <w:rsid w:val="0095152C"/>
    <w:rsid w:val="00951A5E"/>
    <w:rsid w:val="00953383"/>
    <w:rsid w:val="0095374A"/>
    <w:rsid w:val="00962FA0"/>
    <w:rsid w:val="00965025"/>
    <w:rsid w:val="00967A61"/>
    <w:rsid w:val="00971B7B"/>
    <w:rsid w:val="00971D3B"/>
    <w:rsid w:val="00972D48"/>
    <w:rsid w:val="00977A95"/>
    <w:rsid w:val="00977D15"/>
    <w:rsid w:val="00977F07"/>
    <w:rsid w:val="00980086"/>
    <w:rsid w:val="0098055F"/>
    <w:rsid w:val="00980A68"/>
    <w:rsid w:val="00980C80"/>
    <w:rsid w:val="009810D1"/>
    <w:rsid w:val="00982CD7"/>
    <w:rsid w:val="00983395"/>
    <w:rsid w:val="0098390B"/>
    <w:rsid w:val="00983A9F"/>
    <w:rsid w:val="00983AE4"/>
    <w:rsid w:val="00983B0E"/>
    <w:rsid w:val="0098416A"/>
    <w:rsid w:val="009841E6"/>
    <w:rsid w:val="00984BB1"/>
    <w:rsid w:val="009868CD"/>
    <w:rsid w:val="00987EC8"/>
    <w:rsid w:val="00987F18"/>
    <w:rsid w:val="009902F7"/>
    <w:rsid w:val="00992EE1"/>
    <w:rsid w:val="00993F58"/>
    <w:rsid w:val="0099448D"/>
    <w:rsid w:val="00995A06"/>
    <w:rsid w:val="00995EDE"/>
    <w:rsid w:val="009A0CC3"/>
    <w:rsid w:val="009A2211"/>
    <w:rsid w:val="009A222A"/>
    <w:rsid w:val="009A3DF9"/>
    <w:rsid w:val="009A3E54"/>
    <w:rsid w:val="009A63EF"/>
    <w:rsid w:val="009B2E2A"/>
    <w:rsid w:val="009B3AEB"/>
    <w:rsid w:val="009B4A8D"/>
    <w:rsid w:val="009B4FD8"/>
    <w:rsid w:val="009B5D05"/>
    <w:rsid w:val="009B5E99"/>
    <w:rsid w:val="009B60F9"/>
    <w:rsid w:val="009C0A57"/>
    <w:rsid w:val="009C12D3"/>
    <w:rsid w:val="009C3EB5"/>
    <w:rsid w:val="009C444B"/>
    <w:rsid w:val="009C562E"/>
    <w:rsid w:val="009C6B28"/>
    <w:rsid w:val="009C79DC"/>
    <w:rsid w:val="009D1595"/>
    <w:rsid w:val="009D2F6C"/>
    <w:rsid w:val="009D30C2"/>
    <w:rsid w:val="009D3773"/>
    <w:rsid w:val="009D3A24"/>
    <w:rsid w:val="009D499D"/>
    <w:rsid w:val="009D4B8A"/>
    <w:rsid w:val="009D7B85"/>
    <w:rsid w:val="009E0557"/>
    <w:rsid w:val="009E0562"/>
    <w:rsid w:val="009E0E89"/>
    <w:rsid w:val="009E166C"/>
    <w:rsid w:val="009E16AF"/>
    <w:rsid w:val="009E2AEA"/>
    <w:rsid w:val="009E3183"/>
    <w:rsid w:val="009E3783"/>
    <w:rsid w:val="009E3A13"/>
    <w:rsid w:val="009E3AFB"/>
    <w:rsid w:val="009E3EA3"/>
    <w:rsid w:val="009E4537"/>
    <w:rsid w:val="009E4A3B"/>
    <w:rsid w:val="009E6A6F"/>
    <w:rsid w:val="009E6F3C"/>
    <w:rsid w:val="009F0FD6"/>
    <w:rsid w:val="009F2C73"/>
    <w:rsid w:val="009F3038"/>
    <w:rsid w:val="009F4FFB"/>
    <w:rsid w:val="009F69D1"/>
    <w:rsid w:val="009F6A36"/>
    <w:rsid w:val="00A01BDF"/>
    <w:rsid w:val="00A02F10"/>
    <w:rsid w:val="00A045CA"/>
    <w:rsid w:val="00A04DC3"/>
    <w:rsid w:val="00A05093"/>
    <w:rsid w:val="00A05C84"/>
    <w:rsid w:val="00A05DAD"/>
    <w:rsid w:val="00A06799"/>
    <w:rsid w:val="00A12117"/>
    <w:rsid w:val="00A1611B"/>
    <w:rsid w:val="00A17694"/>
    <w:rsid w:val="00A20907"/>
    <w:rsid w:val="00A21A3E"/>
    <w:rsid w:val="00A25052"/>
    <w:rsid w:val="00A25BE7"/>
    <w:rsid w:val="00A30430"/>
    <w:rsid w:val="00A31CD9"/>
    <w:rsid w:val="00A328CB"/>
    <w:rsid w:val="00A32C80"/>
    <w:rsid w:val="00A339F2"/>
    <w:rsid w:val="00A35865"/>
    <w:rsid w:val="00A4078B"/>
    <w:rsid w:val="00A42DC1"/>
    <w:rsid w:val="00A43019"/>
    <w:rsid w:val="00A45D35"/>
    <w:rsid w:val="00A4629F"/>
    <w:rsid w:val="00A464B8"/>
    <w:rsid w:val="00A50BA1"/>
    <w:rsid w:val="00A573DC"/>
    <w:rsid w:val="00A57566"/>
    <w:rsid w:val="00A61F49"/>
    <w:rsid w:val="00A62428"/>
    <w:rsid w:val="00A62A3F"/>
    <w:rsid w:val="00A62B3A"/>
    <w:rsid w:val="00A63BCC"/>
    <w:rsid w:val="00A640D5"/>
    <w:rsid w:val="00A66BA8"/>
    <w:rsid w:val="00A708AB"/>
    <w:rsid w:val="00A7162D"/>
    <w:rsid w:val="00A7256D"/>
    <w:rsid w:val="00A727AE"/>
    <w:rsid w:val="00A73280"/>
    <w:rsid w:val="00A73CF1"/>
    <w:rsid w:val="00A74DCF"/>
    <w:rsid w:val="00A75C9A"/>
    <w:rsid w:val="00A75D52"/>
    <w:rsid w:val="00A76C0B"/>
    <w:rsid w:val="00A76E8C"/>
    <w:rsid w:val="00A77028"/>
    <w:rsid w:val="00A82214"/>
    <w:rsid w:val="00A83509"/>
    <w:rsid w:val="00A83914"/>
    <w:rsid w:val="00A84584"/>
    <w:rsid w:val="00A85934"/>
    <w:rsid w:val="00A85968"/>
    <w:rsid w:val="00A86750"/>
    <w:rsid w:val="00A870BC"/>
    <w:rsid w:val="00A871A4"/>
    <w:rsid w:val="00A9123D"/>
    <w:rsid w:val="00A92534"/>
    <w:rsid w:val="00A96C5C"/>
    <w:rsid w:val="00AA0074"/>
    <w:rsid w:val="00AA0508"/>
    <w:rsid w:val="00AA18C1"/>
    <w:rsid w:val="00AA2DE5"/>
    <w:rsid w:val="00AA4399"/>
    <w:rsid w:val="00AA4518"/>
    <w:rsid w:val="00AA4BA0"/>
    <w:rsid w:val="00AA633F"/>
    <w:rsid w:val="00AA71B0"/>
    <w:rsid w:val="00AA7409"/>
    <w:rsid w:val="00AB2E07"/>
    <w:rsid w:val="00AB30D0"/>
    <w:rsid w:val="00AB35DC"/>
    <w:rsid w:val="00AB3A0D"/>
    <w:rsid w:val="00AB419D"/>
    <w:rsid w:val="00AB5F4D"/>
    <w:rsid w:val="00AB6A14"/>
    <w:rsid w:val="00AB6F76"/>
    <w:rsid w:val="00AB70BF"/>
    <w:rsid w:val="00AC046B"/>
    <w:rsid w:val="00AC1A43"/>
    <w:rsid w:val="00AC306A"/>
    <w:rsid w:val="00AC3FB0"/>
    <w:rsid w:val="00AC4EE3"/>
    <w:rsid w:val="00AC4FF2"/>
    <w:rsid w:val="00AC54F8"/>
    <w:rsid w:val="00AC5C2B"/>
    <w:rsid w:val="00AC681D"/>
    <w:rsid w:val="00AC6E0E"/>
    <w:rsid w:val="00AC754F"/>
    <w:rsid w:val="00AC7E21"/>
    <w:rsid w:val="00AD0317"/>
    <w:rsid w:val="00AD0F67"/>
    <w:rsid w:val="00AD21CF"/>
    <w:rsid w:val="00AD551F"/>
    <w:rsid w:val="00AD59A3"/>
    <w:rsid w:val="00AD5E9A"/>
    <w:rsid w:val="00AD7E8E"/>
    <w:rsid w:val="00AE0497"/>
    <w:rsid w:val="00AE0C19"/>
    <w:rsid w:val="00AE0E3B"/>
    <w:rsid w:val="00AE0F81"/>
    <w:rsid w:val="00AE3145"/>
    <w:rsid w:val="00AE323F"/>
    <w:rsid w:val="00AE44CF"/>
    <w:rsid w:val="00AE5E7E"/>
    <w:rsid w:val="00AE6696"/>
    <w:rsid w:val="00AE7CA6"/>
    <w:rsid w:val="00AF2D3D"/>
    <w:rsid w:val="00AF3563"/>
    <w:rsid w:val="00AF3616"/>
    <w:rsid w:val="00AF3BFC"/>
    <w:rsid w:val="00AF4BA0"/>
    <w:rsid w:val="00AF5F54"/>
    <w:rsid w:val="00B019A9"/>
    <w:rsid w:val="00B022D9"/>
    <w:rsid w:val="00B02C9A"/>
    <w:rsid w:val="00B03273"/>
    <w:rsid w:val="00B03459"/>
    <w:rsid w:val="00B0554D"/>
    <w:rsid w:val="00B05989"/>
    <w:rsid w:val="00B10E9C"/>
    <w:rsid w:val="00B110B5"/>
    <w:rsid w:val="00B1452F"/>
    <w:rsid w:val="00B174E3"/>
    <w:rsid w:val="00B2080D"/>
    <w:rsid w:val="00B20A35"/>
    <w:rsid w:val="00B20CB9"/>
    <w:rsid w:val="00B21C8C"/>
    <w:rsid w:val="00B21DD6"/>
    <w:rsid w:val="00B2254A"/>
    <w:rsid w:val="00B2270A"/>
    <w:rsid w:val="00B2390D"/>
    <w:rsid w:val="00B23CB5"/>
    <w:rsid w:val="00B23DEF"/>
    <w:rsid w:val="00B24D79"/>
    <w:rsid w:val="00B30D58"/>
    <w:rsid w:val="00B316E7"/>
    <w:rsid w:val="00B3231A"/>
    <w:rsid w:val="00B34EF9"/>
    <w:rsid w:val="00B350FB"/>
    <w:rsid w:val="00B3796F"/>
    <w:rsid w:val="00B37F22"/>
    <w:rsid w:val="00B4130A"/>
    <w:rsid w:val="00B41868"/>
    <w:rsid w:val="00B41AF5"/>
    <w:rsid w:val="00B41ECD"/>
    <w:rsid w:val="00B421FD"/>
    <w:rsid w:val="00B42CAF"/>
    <w:rsid w:val="00B504C4"/>
    <w:rsid w:val="00B517AB"/>
    <w:rsid w:val="00B5440D"/>
    <w:rsid w:val="00B552A4"/>
    <w:rsid w:val="00B56E4F"/>
    <w:rsid w:val="00B5700D"/>
    <w:rsid w:val="00B609B5"/>
    <w:rsid w:val="00B61223"/>
    <w:rsid w:val="00B65D74"/>
    <w:rsid w:val="00B7133B"/>
    <w:rsid w:val="00B72340"/>
    <w:rsid w:val="00B748AE"/>
    <w:rsid w:val="00B74A87"/>
    <w:rsid w:val="00B75F6D"/>
    <w:rsid w:val="00B7681E"/>
    <w:rsid w:val="00B779BD"/>
    <w:rsid w:val="00B77E0D"/>
    <w:rsid w:val="00B80605"/>
    <w:rsid w:val="00B81D3E"/>
    <w:rsid w:val="00B827DD"/>
    <w:rsid w:val="00B83E0B"/>
    <w:rsid w:val="00B84958"/>
    <w:rsid w:val="00B86170"/>
    <w:rsid w:val="00B870E5"/>
    <w:rsid w:val="00B91160"/>
    <w:rsid w:val="00B91D4F"/>
    <w:rsid w:val="00B942C4"/>
    <w:rsid w:val="00B94CD8"/>
    <w:rsid w:val="00B952A0"/>
    <w:rsid w:val="00B96F16"/>
    <w:rsid w:val="00B971FB"/>
    <w:rsid w:val="00BA05BF"/>
    <w:rsid w:val="00BA0727"/>
    <w:rsid w:val="00BA1110"/>
    <w:rsid w:val="00BA2B9B"/>
    <w:rsid w:val="00BA3117"/>
    <w:rsid w:val="00BA3475"/>
    <w:rsid w:val="00BA5873"/>
    <w:rsid w:val="00BA58AC"/>
    <w:rsid w:val="00BA70A7"/>
    <w:rsid w:val="00BB1CDA"/>
    <w:rsid w:val="00BB210B"/>
    <w:rsid w:val="00BB2CD8"/>
    <w:rsid w:val="00BB2D9E"/>
    <w:rsid w:val="00BB2EF0"/>
    <w:rsid w:val="00BB4E02"/>
    <w:rsid w:val="00BB6C4E"/>
    <w:rsid w:val="00BB7A44"/>
    <w:rsid w:val="00BC1506"/>
    <w:rsid w:val="00BC31F8"/>
    <w:rsid w:val="00BC3837"/>
    <w:rsid w:val="00BC459E"/>
    <w:rsid w:val="00BC4A0F"/>
    <w:rsid w:val="00BC5DBA"/>
    <w:rsid w:val="00BC606F"/>
    <w:rsid w:val="00BC6AE1"/>
    <w:rsid w:val="00BD1949"/>
    <w:rsid w:val="00BD2D5B"/>
    <w:rsid w:val="00BD3BE8"/>
    <w:rsid w:val="00BD4D18"/>
    <w:rsid w:val="00BD60A7"/>
    <w:rsid w:val="00BD7B14"/>
    <w:rsid w:val="00BE1298"/>
    <w:rsid w:val="00BE16E3"/>
    <w:rsid w:val="00BE2ECA"/>
    <w:rsid w:val="00BE32BD"/>
    <w:rsid w:val="00BE4C5A"/>
    <w:rsid w:val="00BE57AC"/>
    <w:rsid w:val="00BE5DA2"/>
    <w:rsid w:val="00BE6776"/>
    <w:rsid w:val="00BE6ADA"/>
    <w:rsid w:val="00BF23A6"/>
    <w:rsid w:val="00BF248E"/>
    <w:rsid w:val="00BF321A"/>
    <w:rsid w:val="00BF5A87"/>
    <w:rsid w:val="00BF6341"/>
    <w:rsid w:val="00BF698A"/>
    <w:rsid w:val="00BF7ADE"/>
    <w:rsid w:val="00C0045E"/>
    <w:rsid w:val="00C00688"/>
    <w:rsid w:val="00C00FD8"/>
    <w:rsid w:val="00C018D9"/>
    <w:rsid w:val="00C01D89"/>
    <w:rsid w:val="00C01E40"/>
    <w:rsid w:val="00C036D6"/>
    <w:rsid w:val="00C062E9"/>
    <w:rsid w:val="00C071DB"/>
    <w:rsid w:val="00C073E4"/>
    <w:rsid w:val="00C07C34"/>
    <w:rsid w:val="00C10151"/>
    <w:rsid w:val="00C10A15"/>
    <w:rsid w:val="00C10E94"/>
    <w:rsid w:val="00C12AF8"/>
    <w:rsid w:val="00C12CFE"/>
    <w:rsid w:val="00C14CE2"/>
    <w:rsid w:val="00C154E6"/>
    <w:rsid w:val="00C15806"/>
    <w:rsid w:val="00C1621B"/>
    <w:rsid w:val="00C16774"/>
    <w:rsid w:val="00C228D5"/>
    <w:rsid w:val="00C23A7D"/>
    <w:rsid w:val="00C24DB8"/>
    <w:rsid w:val="00C252E5"/>
    <w:rsid w:val="00C26E75"/>
    <w:rsid w:val="00C27B54"/>
    <w:rsid w:val="00C3115D"/>
    <w:rsid w:val="00C33771"/>
    <w:rsid w:val="00C34230"/>
    <w:rsid w:val="00C35035"/>
    <w:rsid w:val="00C3661B"/>
    <w:rsid w:val="00C36F52"/>
    <w:rsid w:val="00C42112"/>
    <w:rsid w:val="00C42CA1"/>
    <w:rsid w:val="00C44D37"/>
    <w:rsid w:val="00C45FF0"/>
    <w:rsid w:val="00C46902"/>
    <w:rsid w:val="00C46A0C"/>
    <w:rsid w:val="00C473F7"/>
    <w:rsid w:val="00C50259"/>
    <w:rsid w:val="00C5100A"/>
    <w:rsid w:val="00C51151"/>
    <w:rsid w:val="00C52AB3"/>
    <w:rsid w:val="00C54B3A"/>
    <w:rsid w:val="00C55292"/>
    <w:rsid w:val="00C56251"/>
    <w:rsid w:val="00C6158C"/>
    <w:rsid w:val="00C62FDC"/>
    <w:rsid w:val="00C63885"/>
    <w:rsid w:val="00C64F6E"/>
    <w:rsid w:val="00C65B08"/>
    <w:rsid w:val="00C65E9D"/>
    <w:rsid w:val="00C662E2"/>
    <w:rsid w:val="00C66E8F"/>
    <w:rsid w:val="00C67026"/>
    <w:rsid w:val="00C6752B"/>
    <w:rsid w:val="00C70652"/>
    <w:rsid w:val="00C71190"/>
    <w:rsid w:val="00C75863"/>
    <w:rsid w:val="00C75894"/>
    <w:rsid w:val="00C76097"/>
    <w:rsid w:val="00C762AC"/>
    <w:rsid w:val="00C77A1F"/>
    <w:rsid w:val="00C81E45"/>
    <w:rsid w:val="00C82308"/>
    <w:rsid w:val="00C84803"/>
    <w:rsid w:val="00C85424"/>
    <w:rsid w:val="00C866C0"/>
    <w:rsid w:val="00C86725"/>
    <w:rsid w:val="00C86838"/>
    <w:rsid w:val="00C879EA"/>
    <w:rsid w:val="00C92F92"/>
    <w:rsid w:val="00C93A6D"/>
    <w:rsid w:val="00C93AE7"/>
    <w:rsid w:val="00C95CCF"/>
    <w:rsid w:val="00CA0578"/>
    <w:rsid w:val="00CA24A5"/>
    <w:rsid w:val="00CA2F68"/>
    <w:rsid w:val="00CA44A0"/>
    <w:rsid w:val="00CA5274"/>
    <w:rsid w:val="00CA73CB"/>
    <w:rsid w:val="00CA77EA"/>
    <w:rsid w:val="00CB1272"/>
    <w:rsid w:val="00CB1530"/>
    <w:rsid w:val="00CB1B42"/>
    <w:rsid w:val="00CB2F88"/>
    <w:rsid w:val="00CB31B5"/>
    <w:rsid w:val="00CB4859"/>
    <w:rsid w:val="00CB62A3"/>
    <w:rsid w:val="00CB7C33"/>
    <w:rsid w:val="00CC1290"/>
    <w:rsid w:val="00CC12A0"/>
    <w:rsid w:val="00CC26A8"/>
    <w:rsid w:val="00CC2751"/>
    <w:rsid w:val="00CC2872"/>
    <w:rsid w:val="00CC29CF"/>
    <w:rsid w:val="00CC3026"/>
    <w:rsid w:val="00CC3C04"/>
    <w:rsid w:val="00CC7BCC"/>
    <w:rsid w:val="00CD1F04"/>
    <w:rsid w:val="00CD273E"/>
    <w:rsid w:val="00CD3260"/>
    <w:rsid w:val="00CD382A"/>
    <w:rsid w:val="00CD3901"/>
    <w:rsid w:val="00CD4231"/>
    <w:rsid w:val="00CD5231"/>
    <w:rsid w:val="00CD56CB"/>
    <w:rsid w:val="00CD5CFE"/>
    <w:rsid w:val="00CE0411"/>
    <w:rsid w:val="00CE31EE"/>
    <w:rsid w:val="00CE3A6F"/>
    <w:rsid w:val="00CE3CBD"/>
    <w:rsid w:val="00CE5444"/>
    <w:rsid w:val="00CE61EA"/>
    <w:rsid w:val="00CE6FD6"/>
    <w:rsid w:val="00CF35C8"/>
    <w:rsid w:val="00CF367B"/>
    <w:rsid w:val="00CF3A35"/>
    <w:rsid w:val="00CF3B23"/>
    <w:rsid w:val="00CF4354"/>
    <w:rsid w:val="00CF44D8"/>
    <w:rsid w:val="00CF585F"/>
    <w:rsid w:val="00CF6B2F"/>
    <w:rsid w:val="00CF6E4F"/>
    <w:rsid w:val="00CF71D1"/>
    <w:rsid w:val="00D01CF3"/>
    <w:rsid w:val="00D027AA"/>
    <w:rsid w:val="00D02A6A"/>
    <w:rsid w:val="00D05CAA"/>
    <w:rsid w:val="00D06FD9"/>
    <w:rsid w:val="00D07A31"/>
    <w:rsid w:val="00D07AB4"/>
    <w:rsid w:val="00D114E6"/>
    <w:rsid w:val="00D11F7E"/>
    <w:rsid w:val="00D13EDD"/>
    <w:rsid w:val="00D14B03"/>
    <w:rsid w:val="00D21B64"/>
    <w:rsid w:val="00D24973"/>
    <w:rsid w:val="00D2504F"/>
    <w:rsid w:val="00D30129"/>
    <w:rsid w:val="00D30ECB"/>
    <w:rsid w:val="00D30F4B"/>
    <w:rsid w:val="00D32748"/>
    <w:rsid w:val="00D34026"/>
    <w:rsid w:val="00D3439F"/>
    <w:rsid w:val="00D3452F"/>
    <w:rsid w:val="00D3667E"/>
    <w:rsid w:val="00D36DEF"/>
    <w:rsid w:val="00D41D2D"/>
    <w:rsid w:val="00D42DDA"/>
    <w:rsid w:val="00D42DF4"/>
    <w:rsid w:val="00D43B06"/>
    <w:rsid w:val="00D44316"/>
    <w:rsid w:val="00D44543"/>
    <w:rsid w:val="00D44F36"/>
    <w:rsid w:val="00D45478"/>
    <w:rsid w:val="00D45D93"/>
    <w:rsid w:val="00D463CA"/>
    <w:rsid w:val="00D465C0"/>
    <w:rsid w:val="00D468D1"/>
    <w:rsid w:val="00D46CB9"/>
    <w:rsid w:val="00D479CF"/>
    <w:rsid w:val="00D47ACA"/>
    <w:rsid w:val="00D47C1B"/>
    <w:rsid w:val="00D51757"/>
    <w:rsid w:val="00D517BA"/>
    <w:rsid w:val="00D51A0A"/>
    <w:rsid w:val="00D52FDC"/>
    <w:rsid w:val="00D53296"/>
    <w:rsid w:val="00D53AC0"/>
    <w:rsid w:val="00D547B7"/>
    <w:rsid w:val="00D548B2"/>
    <w:rsid w:val="00D54B6C"/>
    <w:rsid w:val="00D5617F"/>
    <w:rsid w:val="00D565F8"/>
    <w:rsid w:val="00D56ABB"/>
    <w:rsid w:val="00D571B1"/>
    <w:rsid w:val="00D579FB"/>
    <w:rsid w:val="00D60C77"/>
    <w:rsid w:val="00D63286"/>
    <w:rsid w:val="00D644BD"/>
    <w:rsid w:val="00D65463"/>
    <w:rsid w:val="00D65D90"/>
    <w:rsid w:val="00D67489"/>
    <w:rsid w:val="00D6791A"/>
    <w:rsid w:val="00D71D2B"/>
    <w:rsid w:val="00D735DC"/>
    <w:rsid w:val="00D75522"/>
    <w:rsid w:val="00D75A2A"/>
    <w:rsid w:val="00D80A2B"/>
    <w:rsid w:val="00D82D65"/>
    <w:rsid w:val="00D85008"/>
    <w:rsid w:val="00D8541B"/>
    <w:rsid w:val="00D870FC"/>
    <w:rsid w:val="00D87180"/>
    <w:rsid w:val="00D87830"/>
    <w:rsid w:val="00D91333"/>
    <w:rsid w:val="00D94551"/>
    <w:rsid w:val="00D9515D"/>
    <w:rsid w:val="00D95578"/>
    <w:rsid w:val="00D95A6A"/>
    <w:rsid w:val="00D95DB9"/>
    <w:rsid w:val="00D961FA"/>
    <w:rsid w:val="00DA0D0D"/>
    <w:rsid w:val="00DA1363"/>
    <w:rsid w:val="00DA3263"/>
    <w:rsid w:val="00DA3CC5"/>
    <w:rsid w:val="00DA5580"/>
    <w:rsid w:val="00DA7439"/>
    <w:rsid w:val="00DB0BEA"/>
    <w:rsid w:val="00DB0DA9"/>
    <w:rsid w:val="00DB1311"/>
    <w:rsid w:val="00DB1EEB"/>
    <w:rsid w:val="00DB6405"/>
    <w:rsid w:val="00DB6885"/>
    <w:rsid w:val="00DB7BC5"/>
    <w:rsid w:val="00DC0FCA"/>
    <w:rsid w:val="00DC2120"/>
    <w:rsid w:val="00DC3572"/>
    <w:rsid w:val="00DC4685"/>
    <w:rsid w:val="00DC48F8"/>
    <w:rsid w:val="00DC7C93"/>
    <w:rsid w:val="00DD0577"/>
    <w:rsid w:val="00DD07FC"/>
    <w:rsid w:val="00DD1523"/>
    <w:rsid w:val="00DD3239"/>
    <w:rsid w:val="00DD4705"/>
    <w:rsid w:val="00DD6DE2"/>
    <w:rsid w:val="00DD719F"/>
    <w:rsid w:val="00DE0877"/>
    <w:rsid w:val="00DE2F13"/>
    <w:rsid w:val="00DE3325"/>
    <w:rsid w:val="00DE3F34"/>
    <w:rsid w:val="00DE4F89"/>
    <w:rsid w:val="00DE5432"/>
    <w:rsid w:val="00DF1CD8"/>
    <w:rsid w:val="00DF32F7"/>
    <w:rsid w:val="00DF49CB"/>
    <w:rsid w:val="00DF61FF"/>
    <w:rsid w:val="00E00B37"/>
    <w:rsid w:val="00E00D7F"/>
    <w:rsid w:val="00E02D2F"/>
    <w:rsid w:val="00E02EFE"/>
    <w:rsid w:val="00E033EA"/>
    <w:rsid w:val="00E05D40"/>
    <w:rsid w:val="00E0604D"/>
    <w:rsid w:val="00E07C93"/>
    <w:rsid w:val="00E11FFA"/>
    <w:rsid w:val="00E12214"/>
    <w:rsid w:val="00E146C1"/>
    <w:rsid w:val="00E157B1"/>
    <w:rsid w:val="00E2038C"/>
    <w:rsid w:val="00E20C77"/>
    <w:rsid w:val="00E25672"/>
    <w:rsid w:val="00E25797"/>
    <w:rsid w:val="00E26D43"/>
    <w:rsid w:val="00E27F72"/>
    <w:rsid w:val="00E311F5"/>
    <w:rsid w:val="00E3329E"/>
    <w:rsid w:val="00E343BA"/>
    <w:rsid w:val="00E34D77"/>
    <w:rsid w:val="00E34E18"/>
    <w:rsid w:val="00E35B1E"/>
    <w:rsid w:val="00E35CA1"/>
    <w:rsid w:val="00E364D7"/>
    <w:rsid w:val="00E367F5"/>
    <w:rsid w:val="00E41533"/>
    <w:rsid w:val="00E41A21"/>
    <w:rsid w:val="00E41B52"/>
    <w:rsid w:val="00E42048"/>
    <w:rsid w:val="00E42407"/>
    <w:rsid w:val="00E43911"/>
    <w:rsid w:val="00E43BC2"/>
    <w:rsid w:val="00E44BD5"/>
    <w:rsid w:val="00E463F7"/>
    <w:rsid w:val="00E5214A"/>
    <w:rsid w:val="00E53032"/>
    <w:rsid w:val="00E55582"/>
    <w:rsid w:val="00E55649"/>
    <w:rsid w:val="00E55780"/>
    <w:rsid w:val="00E55B99"/>
    <w:rsid w:val="00E564F9"/>
    <w:rsid w:val="00E568EB"/>
    <w:rsid w:val="00E56A50"/>
    <w:rsid w:val="00E60DEB"/>
    <w:rsid w:val="00E62DFB"/>
    <w:rsid w:val="00E6344F"/>
    <w:rsid w:val="00E64BF2"/>
    <w:rsid w:val="00E65AB2"/>
    <w:rsid w:val="00E65C8E"/>
    <w:rsid w:val="00E67964"/>
    <w:rsid w:val="00E72855"/>
    <w:rsid w:val="00E73093"/>
    <w:rsid w:val="00E73783"/>
    <w:rsid w:val="00E738F0"/>
    <w:rsid w:val="00E73D32"/>
    <w:rsid w:val="00E74689"/>
    <w:rsid w:val="00E747E6"/>
    <w:rsid w:val="00E74B3D"/>
    <w:rsid w:val="00E74C1D"/>
    <w:rsid w:val="00E80768"/>
    <w:rsid w:val="00E81B2F"/>
    <w:rsid w:val="00E81B99"/>
    <w:rsid w:val="00E81F42"/>
    <w:rsid w:val="00E82DF7"/>
    <w:rsid w:val="00E85B0A"/>
    <w:rsid w:val="00E860E3"/>
    <w:rsid w:val="00E87A4C"/>
    <w:rsid w:val="00E908A8"/>
    <w:rsid w:val="00E919A6"/>
    <w:rsid w:val="00E91A4A"/>
    <w:rsid w:val="00E922F0"/>
    <w:rsid w:val="00E935A1"/>
    <w:rsid w:val="00E9623F"/>
    <w:rsid w:val="00EA04E0"/>
    <w:rsid w:val="00EA0792"/>
    <w:rsid w:val="00EA0857"/>
    <w:rsid w:val="00EA0C6F"/>
    <w:rsid w:val="00EA0D75"/>
    <w:rsid w:val="00EA2122"/>
    <w:rsid w:val="00EA2BCB"/>
    <w:rsid w:val="00EA5A32"/>
    <w:rsid w:val="00EA6A57"/>
    <w:rsid w:val="00EA6AF5"/>
    <w:rsid w:val="00EA6D09"/>
    <w:rsid w:val="00EA7BBB"/>
    <w:rsid w:val="00EA7BF4"/>
    <w:rsid w:val="00EB0905"/>
    <w:rsid w:val="00EB2324"/>
    <w:rsid w:val="00EB33C9"/>
    <w:rsid w:val="00EB3F10"/>
    <w:rsid w:val="00EB60E9"/>
    <w:rsid w:val="00EB68DF"/>
    <w:rsid w:val="00EB69E1"/>
    <w:rsid w:val="00EB77AB"/>
    <w:rsid w:val="00EC0273"/>
    <w:rsid w:val="00EC1517"/>
    <w:rsid w:val="00EC21BE"/>
    <w:rsid w:val="00EC25BA"/>
    <w:rsid w:val="00EC4E8B"/>
    <w:rsid w:val="00EC4FF4"/>
    <w:rsid w:val="00EC5032"/>
    <w:rsid w:val="00EC7664"/>
    <w:rsid w:val="00EC79F2"/>
    <w:rsid w:val="00ED0985"/>
    <w:rsid w:val="00ED0AD5"/>
    <w:rsid w:val="00ED22E7"/>
    <w:rsid w:val="00ED3B76"/>
    <w:rsid w:val="00ED46E7"/>
    <w:rsid w:val="00ED6029"/>
    <w:rsid w:val="00ED7140"/>
    <w:rsid w:val="00ED7ADD"/>
    <w:rsid w:val="00EE19C9"/>
    <w:rsid w:val="00EE60C4"/>
    <w:rsid w:val="00EE631D"/>
    <w:rsid w:val="00EE6FE6"/>
    <w:rsid w:val="00EF0AFA"/>
    <w:rsid w:val="00EF10D1"/>
    <w:rsid w:val="00EF1A33"/>
    <w:rsid w:val="00EF26EA"/>
    <w:rsid w:val="00EF3241"/>
    <w:rsid w:val="00EF3260"/>
    <w:rsid w:val="00EF470E"/>
    <w:rsid w:val="00EF5FFA"/>
    <w:rsid w:val="00F001BC"/>
    <w:rsid w:val="00F012F4"/>
    <w:rsid w:val="00F03FDC"/>
    <w:rsid w:val="00F04CE5"/>
    <w:rsid w:val="00F0539F"/>
    <w:rsid w:val="00F06934"/>
    <w:rsid w:val="00F072E1"/>
    <w:rsid w:val="00F07FDA"/>
    <w:rsid w:val="00F11185"/>
    <w:rsid w:val="00F12E98"/>
    <w:rsid w:val="00F13155"/>
    <w:rsid w:val="00F15306"/>
    <w:rsid w:val="00F155EB"/>
    <w:rsid w:val="00F15F87"/>
    <w:rsid w:val="00F2022D"/>
    <w:rsid w:val="00F205BE"/>
    <w:rsid w:val="00F2078F"/>
    <w:rsid w:val="00F207AB"/>
    <w:rsid w:val="00F209C2"/>
    <w:rsid w:val="00F21724"/>
    <w:rsid w:val="00F21803"/>
    <w:rsid w:val="00F218D1"/>
    <w:rsid w:val="00F21A81"/>
    <w:rsid w:val="00F21CC1"/>
    <w:rsid w:val="00F21D1A"/>
    <w:rsid w:val="00F2252B"/>
    <w:rsid w:val="00F22BD1"/>
    <w:rsid w:val="00F23E18"/>
    <w:rsid w:val="00F2428F"/>
    <w:rsid w:val="00F25FDB"/>
    <w:rsid w:val="00F27444"/>
    <w:rsid w:val="00F27D63"/>
    <w:rsid w:val="00F30AB3"/>
    <w:rsid w:val="00F327FC"/>
    <w:rsid w:val="00F32A56"/>
    <w:rsid w:val="00F332E3"/>
    <w:rsid w:val="00F340C1"/>
    <w:rsid w:val="00F34369"/>
    <w:rsid w:val="00F36492"/>
    <w:rsid w:val="00F36C2D"/>
    <w:rsid w:val="00F413D8"/>
    <w:rsid w:val="00F42100"/>
    <w:rsid w:val="00F42A9B"/>
    <w:rsid w:val="00F4438A"/>
    <w:rsid w:val="00F454AF"/>
    <w:rsid w:val="00F464FE"/>
    <w:rsid w:val="00F47CEC"/>
    <w:rsid w:val="00F5047D"/>
    <w:rsid w:val="00F51440"/>
    <w:rsid w:val="00F51A4A"/>
    <w:rsid w:val="00F53A46"/>
    <w:rsid w:val="00F53BCD"/>
    <w:rsid w:val="00F55200"/>
    <w:rsid w:val="00F55C54"/>
    <w:rsid w:val="00F55DD4"/>
    <w:rsid w:val="00F56138"/>
    <w:rsid w:val="00F5798E"/>
    <w:rsid w:val="00F619F1"/>
    <w:rsid w:val="00F61C0E"/>
    <w:rsid w:val="00F6564F"/>
    <w:rsid w:val="00F6591A"/>
    <w:rsid w:val="00F708B1"/>
    <w:rsid w:val="00F70FB2"/>
    <w:rsid w:val="00F71431"/>
    <w:rsid w:val="00F7148C"/>
    <w:rsid w:val="00F7180B"/>
    <w:rsid w:val="00F72B23"/>
    <w:rsid w:val="00F72F1A"/>
    <w:rsid w:val="00F7546C"/>
    <w:rsid w:val="00F755A6"/>
    <w:rsid w:val="00F77364"/>
    <w:rsid w:val="00F7761B"/>
    <w:rsid w:val="00F812BE"/>
    <w:rsid w:val="00F814ED"/>
    <w:rsid w:val="00F845C1"/>
    <w:rsid w:val="00F856F7"/>
    <w:rsid w:val="00F86A4F"/>
    <w:rsid w:val="00F87011"/>
    <w:rsid w:val="00F8762B"/>
    <w:rsid w:val="00F91591"/>
    <w:rsid w:val="00F9264B"/>
    <w:rsid w:val="00F9361D"/>
    <w:rsid w:val="00F93ACB"/>
    <w:rsid w:val="00F9515F"/>
    <w:rsid w:val="00F96545"/>
    <w:rsid w:val="00FA0A3D"/>
    <w:rsid w:val="00FA2F95"/>
    <w:rsid w:val="00FA4895"/>
    <w:rsid w:val="00FA49F4"/>
    <w:rsid w:val="00FB0C0E"/>
    <w:rsid w:val="00FB1780"/>
    <w:rsid w:val="00FB35C6"/>
    <w:rsid w:val="00FB417E"/>
    <w:rsid w:val="00FB4B8F"/>
    <w:rsid w:val="00FB534F"/>
    <w:rsid w:val="00FB53B8"/>
    <w:rsid w:val="00FB5BFA"/>
    <w:rsid w:val="00FB6ADE"/>
    <w:rsid w:val="00FC51DD"/>
    <w:rsid w:val="00FC59C0"/>
    <w:rsid w:val="00FC6924"/>
    <w:rsid w:val="00FC79E1"/>
    <w:rsid w:val="00FC7D12"/>
    <w:rsid w:val="00FD12D0"/>
    <w:rsid w:val="00FD2AC4"/>
    <w:rsid w:val="00FD3574"/>
    <w:rsid w:val="00FD3DC0"/>
    <w:rsid w:val="00FD415C"/>
    <w:rsid w:val="00FD534F"/>
    <w:rsid w:val="00FD537C"/>
    <w:rsid w:val="00FD6250"/>
    <w:rsid w:val="00FD6408"/>
    <w:rsid w:val="00FD693C"/>
    <w:rsid w:val="00FD6A7D"/>
    <w:rsid w:val="00FD6FC9"/>
    <w:rsid w:val="00FD71AC"/>
    <w:rsid w:val="00FE0BE4"/>
    <w:rsid w:val="00FE1592"/>
    <w:rsid w:val="00FE54FA"/>
    <w:rsid w:val="00FE5C16"/>
    <w:rsid w:val="00FF0E91"/>
    <w:rsid w:val="00FF13CA"/>
    <w:rsid w:val="00FF1CA4"/>
    <w:rsid w:val="00FF35E2"/>
    <w:rsid w:val="00FF42D1"/>
    <w:rsid w:val="00FF5D71"/>
    <w:rsid w:val="00FF6F60"/>
    <w:rsid w:val="00FF7848"/>
    <w:rsid w:val="00FF7A7A"/>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2F1A37BF"/>
  <w15:docId w15:val="{FE5AFAC7-697A-4F6C-9368-81783D9B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3E35A8"/>
    <w:rPr>
      <w:sz w:val="16"/>
      <w:szCs w:val="16"/>
    </w:rPr>
  </w:style>
  <w:style w:type="paragraph" w:styleId="CommentText">
    <w:name w:val="annotation text"/>
    <w:basedOn w:val="Normal"/>
    <w:link w:val="CommentTextChar"/>
    <w:uiPriority w:val="99"/>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B5F4D"/>
    <w:pPr>
      <w:tabs>
        <w:tab w:val="center" w:pos="4513"/>
        <w:tab w:val="right" w:pos="9026"/>
      </w:tabs>
    </w:pPr>
  </w:style>
  <w:style w:type="character" w:customStyle="1" w:styleId="FooterChar">
    <w:name w:val="Footer Char"/>
    <w:basedOn w:val="DefaultParagraphFont"/>
    <w:link w:val="Footer"/>
    <w:uiPriority w:val="99"/>
    <w:rsid w:val="00AB5F4D"/>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017B9A"/>
    <w:rPr>
      <w:b/>
      <w:bCs/>
      <w:i/>
      <w:smallCaps/>
      <w:color w:val="C0504D" w:themeColor="accent2"/>
      <w:spacing w:val="5"/>
      <w:u w:val="none"/>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link w:val="ListParagraph"/>
    <w:uiPriority w:val="34"/>
    <w:qFormat/>
    <w:locked/>
    <w:rsid w:val="00F0539F"/>
    <w:rPr>
      <w:rFonts w:ascii="Times New Roman" w:eastAsia="Times New Roman" w:hAnsi="Times New Roman" w:cs="Times New Roman"/>
      <w:sz w:val="24"/>
      <w:szCs w:val="20"/>
      <w:lang w:eastAsia="en-AU"/>
    </w:rPr>
  </w:style>
  <w:style w:type="paragraph" w:styleId="NoSpacing">
    <w:name w:val="No Spacing"/>
    <w:uiPriority w:val="1"/>
    <w:qFormat/>
    <w:rsid w:val="0059018E"/>
    <w:pPr>
      <w:spacing w:after="0" w:line="240" w:lineRule="auto"/>
    </w:pPr>
    <w:rPr>
      <w:rFonts w:ascii="Times New Roman" w:eastAsia="Times New Roman" w:hAnsi="Times New Roman" w:cs="Times New Roman"/>
      <w:sz w:val="24"/>
      <w:szCs w:val="24"/>
    </w:rPr>
  </w:style>
  <w:style w:type="paragraph" w:customStyle="1" w:styleId="ActHead9">
    <w:name w:val="ActHead 9"/>
    <w:aliases w:val="aat"/>
    <w:basedOn w:val="Normal"/>
    <w:next w:val="Normal"/>
    <w:qFormat/>
    <w:rsid w:val="002F126D"/>
    <w:pPr>
      <w:keepNext/>
      <w:keepLines/>
      <w:spacing w:before="280"/>
      <w:ind w:left="1134" w:hanging="1134"/>
      <w:outlineLvl w:val="8"/>
    </w:pPr>
    <w:rPr>
      <w:b/>
      <w:i/>
      <w:kern w:val="28"/>
      <w:sz w:val="28"/>
    </w:rPr>
  </w:style>
  <w:style w:type="paragraph" w:customStyle="1" w:styleId="Head2">
    <w:name w:val="Head 2"/>
    <w:aliases w:val="2"/>
    <w:basedOn w:val="Normal"/>
    <w:rsid w:val="003E571F"/>
    <w:pPr>
      <w:keepNext/>
      <w:spacing w:before="240" w:after="60"/>
    </w:pPr>
    <w:rPr>
      <w:rFonts w:ascii="Arial" w:eastAsiaTheme="minorHAnsi" w:hAnsi="Arial" w:cs="Arial"/>
      <w:b/>
      <w:bCs/>
      <w:sz w:val="28"/>
      <w:szCs w:val="28"/>
    </w:rPr>
  </w:style>
  <w:style w:type="paragraph" w:customStyle="1" w:styleId="Item">
    <w:name w:val="Item"/>
    <w:aliases w:val="i"/>
    <w:basedOn w:val="Normal"/>
    <w:next w:val="Normal"/>
    <w:rsid w:val="008D51AE"/>
    <w:pPr>
      <w:keepLines/>
      <w:spacing w:before="80"/>
      <w:ind w:left="709"/>
    </w:pPr>
    <w:rPr>
      <w:sz w:val="22"/>
    </w:rPr>
  </w:style>
  <w:style w:type="paragraph" w:customStyle="1" w:styleId="ItemHead">
    <w:name w:val="ItemHead"/>
    <w:aliases w:val="ih"/>
    <w:basedOn w:val="Normal"/>
    <w:next w:val="Item"/>
    <w:rsid w:val="008D51AE"/>
    <w:pPr>
      <w:keepNext/>
      <w:keepLines/>
      <w:spacing w:before="220"/>
      <w:ind w:left="709" w:hanging="709"/>
    </w:pPr>
    <w:rPr>
      <w:rFonts w:ascii="Arial" w:hAnsi="Arial"/>
      <w:b/>
      <w:kern w:val="28"/>
    </w:rPr>
  </w:style>
  <w:style w:type="paragraph" w:customStyle="1" w:styleId="ActHead7">
    <w:name w:val="ActHead 7"/>
    <w:aliases w:val="ap"/>
    <w:basedOn w:val="Normal"/>
    <w:next w:val="ItemHead"/>
    <w:qFormat/>
    <w:rsid w:val="00651925"/>
    <w:pPr>
      <w:keepNext/>
      <w:keepLines/>
      <w:spacing w:before="280"/>
      <w:ind w:left="1134" w:hanging="1134"/>
      <w:outlineLvl w:val="6"/>
    </w:pPr>
    <w:rPr>
      <w:rFonts w:ascii="Arial" w:hAnsi="Arial"/>
      <w:b/>
      <w:kern w:val="28"/>
      <w:sz w:val="28"/>
    </w:rPr>
  </w:style>
  <w:style w:type="paragraph" w:customStyle="1" w:styleId="a3s">
    <w:name w:val="a3s"/>
    <w:basedOn w:val="Normal"/>
    <w:rsid w:val="0095152C"/>
    <w:pPr>
      <w:spacing w:before="100" w:beforeAutospacing="1" w:after="100" w:afterAutospacing="1"/>
    </w:pPr>
    <w:rPr>
      <w:szCs w:val="24"/>
    </w:rPr>
  </w:style>
  <w:style w:type="paragraph" w:customStyle="1" w:styleId="ActHead6">
    <w:name w:val="ActHead 6"/>
    <w:aliases w:val="as"/>
    <w:basedOn w:val="Normal"/>
    <w:next w:val="ActHead7"/>
    <w:qFormat/>
    <w:rsid w:val="00BF698A"/>
    <w:pPr>
      <w:keepNext/>
      <w:keepLines/>
      <w:ind w:left="1134" w:hanging="1134"/>
      <w:outlineLvl w:val="5"/>
    </w:pPr>
    <w:rPr>
      <w:rFonts w:ascii="Arial" w:hAnsi="Arial"/>
      <w:b/>
      <w:kern w:val="28"/>
      <w:sz w:val="32"/>
    </w:rPr>
  </w:style>
  <w:style w:type="paragraph" w:customStyle="1" w:styleId="CustomLetterhead">
    <w:name w:val="Custom Letterhead"/>
    <w:basedOn w:val="Normal"/>
    <w:link w:val="CustomLetterheadChar"/>
    <w:qFormat/>
    <w:rsid w:val="00BB210B"/>
    <w:pPr>
      <w:spacing w:before="240" w:after="240"/>
    </w:pPr>
    <w:rPr>
      <w:rFonts w:ascii="Book Antiqua" w:hAnsi="Book Antiqua"/>
      <w:szCs w:val="24"/>
    </w:rPr>
  </w:style>
  <w:style w:type="character" w:customStyle="1" w:styleId="CustomLetterheadChar">
    <w:name w:val="Custom Letterhead Char"/>
    <w:basedOn w:val="HeaderChar"/>
    <w:link w:val="CustomLetterhead"/>
    <w:rsid w:val="00BB210B"/>
    <w:rPr>
      <w:rFonts w:ascii="Book Antiqua" w:eastAsia="Times New Roman" w:hAnsi="Book Antiqua" w:cs="Times New Roman"/>
      <w:sz w:val="24"/>
      <w:szCs w:val="24"/>
      <w:lang w:eastAsia="en-AU"/>
    </w:rPr>
  </w:style>
  <w:style w:type="paragraph" w:customStyle="1" w:styleId="CABNETParagraph">
    <w:name w:val="CABNET Paragraph."/>
    <w:basedOn w:val="Normal"/>
    <w:link w:val="CABNETParagraphChar"/>
    <w:uiPriority w:val="98"/>
    <w:qFormat/>
    <w:rsid w:val="0068067A"/>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68067A"/>
    <w:rPr>
      <w:rFonts w:ascii="Arial" w:hAnsi="Arial" w:cstheme="minorHAnsi"/>
    </w:rPr>
  </w:style>
  <w:style w:type="character" w:customStyle="1" w:styleId="st1">
    <w:name w:val="st1"/>
    <w:basedOn w:val="DefaultParagraphFont"/>
    <w:rsid w:val="00CB2F88"/>
  </w:style>
  <w:style w:type="paragraph" w:customStyle="1" w:styleId="Tabletext">
    <w:name w:val="Tabletext"/>
    <w:aliases w:val="tt"/>
    <w:basedOn w:val="Normal"/>
    <w:rsid w:val="0040788B"/>
    <w:pPr>
      <w:spacing w:before="60" w:line="240" w:lineRule="atLeast"/>
    </w:pPr>
    <w:rPr>
      <w:sz w:val="20"/>
    </w:rPr>
  </w:style>
  <w:style w:type="paragraph" w:customStyle="1" w:styleId="notedraft">
    <w:name w:val="note(draft)"/>
    <w:aliases w:val="nd"/>
    <w:basedOn w:val="Normal"/>
    <w:rsid w:val="00931230"/>
    <w:pPr>
      <w:spacing w:before="240"/>
      <w:ind w:left="284" w:hanging="284"/>
    </w:pPr>
    <w:rPr>
      <w:i/>
    </w:rPr>
  </w:style>
  <w:style w:type="paragraph" w:customStyle="1" w:styleId="Tablei">
    <w:name w:val="Table(i)"/>
    <w:aliases w:val="taa"/>
    <w:basedOn w:val="Normal"/>
    <w:rsid w:val="001E5140"/>
    <w:pPr>
      <w:tabs>
        <w:tab w:val="left" w:pos="-6543"/>
        <w:tab w:val="left" w:pos="-6260"/>
        <w:tab w:val="right" w:pos="970"/>
      </w:tabs>
      <w:spacing w:line="240" w:lineRule="exact"/>
      <w:ind w:left="828" w:hanging="284"/>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5945">
      <w:bodyDiv w:val="1"/>
      <w:marLeft w:val="0"/>
      <w:marRight w:val="0"/>
      <w:marTop w:val="0"/>
      <w:marBottom w:val="0"/>
      <w:divBdr>
        <w:top w:val="none" w:sz="0" w:space="0" w:color="auto"/>
        <w:left w:val="none" w:sz="0" w:space="0" w:color="auto"/>
        <w:bottom w:val="none" w:sz="0" w:space="0" w:color="auto"/>
        <w:right w:val="none" w:sz="0" w:space="0" w:color="auto"/>
      </w:divBdr>
    </w:div>
    <w:div w:id="307131589">
      <w:bodyDiv w:val="1"/>
      <w:marLeft w:val="0"/>
      <w:marRight w:val="0"/>
      <w:marTop w:val="0"/>
      <w:marBottom w:val="0"/>
      <w:divBdr>
        <w:top w:val="none" w:sz="0" w:space="0" w:color="auto"/>
        <w:left w:val="none" w:sz="0" w:space="0" w:color="auto"/>
        <w:bottom w:val="none" w:sz="0" w:space="0" w:color="auto"/>
        <w:right w:val="none" w:sz="0" w:space="0" w:color="auto"/>
      </w:divBdr>
      <w:divsChild>
        <w:div w:id="1947930592">
          <w:marLeft w:val="0"/>
          <w:marRight w:val="0"/>
          <w:marTop w:val="0"/>
          <w:marBottom w:val="0"/>
          <w:divBdr>
            <w:top w:val="none" w:sz="0" w:space="0" w:color="auto"/>
            <w:left w:val="none" w:sz="0" w:space="0" w:color="auto"/>
            <w:bottom w:val="none" w:sz="0" w:space="0" w:color="auto"/>
            <w:right w:val="none" w:sz="0" w:space="0" w:color="auto"/>
          </w:divBdr>
          <w:divsChild>
            <w:div w:id="62263243">
              <w:marLeft w:val="0"/>
              <w:marRight w:val="0"/>
              <w:marTop w:val="0"/>
              <w:marBottom w:val="0"/>
              <w:divBdr>
                <w:top w:val="none" w:sz="0" w:space="0" w:color="auto"/>
                <w:left w:val="none" w:sz="0" w:space="0" w:color="auto"/>
                <w:bottom w:val="none" w:sz="0" w:space="0" w:color="auto"/>
                <w:right w:val="none" w:sz="0" w:space="0" w:color="auto"/>
              </w:divBdr>
              <w:divsChild>
                <w:div w:id="548499310">
                  <w:marLeft w:val="0"/>
                  <w:marRight w:val="0"/>
                  <w:marTop w:val="0"/>
                  <w:marBottom w:val="0"/>
                  <w:divBdr>
                    <w:top w:val="none" w:sz="0" w:space="0" w:color="auto"/>
                    <w:left w:val="none" w:sz="0" w:space="0" w:color="auto"/>
                    <w:bottom w:val="none" w:sz="0" w:space="0" w:color="auto"/>
                    <w:right w:val="none" w:sz="0" w:space="0" w:color="auto"/>
                  </w:divBdr>
                  <w:divsChild>
                    <w:div w:id="454909092">
                      <w:marLeft w:val="0"/>
                      <w:marRight w:val="0"/>
                      <w:marTop w:val="0"/>
                      <w:marBottom w:val="0"/>
                      <w:divBdr>
                        <w:top w:val="none" w:sz="0" w:space="0" w:color="auto"/>
                        <w:left w:val="none" w:sz="0" w:space="0" w:color="auto"/>
                        <w:bottom w:val="none" w:sz="0" w:space="0" w:color="auto"/>
                        <w:right w:val="none" w:sz="0" w:space="0" w:color="auto"/>
                      </w:divBdr>
                      <w:divsChild>
                        <w:div w:id="140510286">
                          <w:marLeft w:val="0"/>
                          <w:marRight w:val="0"/>
                          <w:marTop w:val="0"/>
                          <w:marBottom w:val="0"/>
                          <w:divBdr>
                            <w:top w:val="none" w:sz="0" w:space="0" w:color="auto"/>
                            <w:left w:val="none" w:sz="0" w:space="0" w:color="auto"/>
                            <w:bottom w:val="none" w:sz="0" w:space="0" w:color="auto"/>
                            <w:right w:val="none" w:sz="0" w:space="0" w:color="auto"/>
                          </w:divBdr>
                          <w:divsChild>
                            <w:div w:id="424767619">
                              <w:marLeft w:val="0"/>
                              <w:marRight w:val="0"/>
                              <w:marTop w:val="0"/>
                              <w:marBottom w:val="0"/>
                              <w:divBdr>
                                <w:top w:val="none" w:sz="0" w:space="0" w:color="auto"/>
                                <w:left w:val="none" w:sz="0" w:space="0" w:color="auto"/>
                                <w:bottom w:val="none" w:sz="0" w:space="0" w:color="auto"/>
                                <w:right w:val="none" w:sz="0" w:space="0" w:color="auto"/>
                              </w:divBdr>
                              <w:divsChild>
                                <w:div w:id="202600126">
                                  <w:marLeft w:val="0"/>
                                  <w:marRight w:val="0"/>
                                  <w:marTop w:val="0"/>
                                  <w:marBottom w:val="0"/>
                                  <w:divBdr>
                                    <w:top w:val="none" w:sz="0" w:space="0" w:color="auto"/>
                                    <w:left w:val="none" w:sz="0" w:space="0" w:color="auto"/>
                                    <w:bottom w:val="none" w:sz="0" w:space="0" w:color="auto"/>
                                    <w:right w:val="none" w:sz="0" w:space="0" w:color="auto"/>
                                  </w:divBdr>
                                  <w:divsChild>
                                    <w:div w:id="1827549258">
                                      <w:marLeft w:val="0"/>
                                      <w:marRight w:val="0"/>
                                      <w:marTop w:val="0"/>
                                      <w:marBottom w:val="0"/>
                                      <w:divBdr>
                                        <w:top w:val="none" w:sz="0" w:space="0" w:color="auto"/>
                                        <w:left w:val="none" w:sz="0" w:space="0" w:color="auto"/>
                                        <w:bottom w:val="none" w:sz="0" w:space="0" w:color="auto"/>
                                        <w:right w:val="none" w:sz="0" w:space="0" w:color="auto"/>
                                      </w:divBdr>
                                      <w:divsChild>
                                        <w:div w:id="857694581">
                                          <w:marLeft w:val="0"/>
                                          <w:marRight w:val="0"/>
                                          <w:marTop w:val="0"/>
                                          <w:marBottom w:val="0"/>
                                          <w:divBdr>
                                            <w:top w:val="none" w:sz="0" w:space="0" w:color="auto"/>
                                            <w:left w:val="none" w:sz="0" w:space="0" w:color="auto"/>
                                            <w:bottom w:val="none" w:sz="0" w:space="0" w:color="auto"/>
                                            <w:right w:val="none" w:sz="0" w:space="0" w:color="auto"/>
                                          </w:divBdr>
                                          <w:divsChild>
                                            <w:div w:id="849368725">
                                              <w:marLeft w:val="0"/>
                                              <w:marRight w:val="0"/>
                                              <w:marTop w:val="0"/>
                                              <w:marBottom w:val="0"/>
                                              <w:divBdr>
                                                <w:top w:val="none" w:sz="0" w:space="0" w:color="auto"/>
                                                <w:left w:val="none" w:sz="0" w:space="0" w:color="auto"/>
                                                <w:bottom w:val="none" w:sz="0" w:space="0" w:color="auto"/>
                                                <w:right w:val="none" w:sz="0" w:space="0" w:color="auto"/>
                                              </w:divBdr>
                                              <w:divsChild>
                                                <w:div w:id="1682394372">
                                                  <w:marLeft w:val="0"/>
                                                  <w:marRight w:val="0"/>
                                                  <w:marTop w:val="0"/>
                                                  <w:marBottom w:val="0"/>
                                                  <w:divBdr>
                                                    <w:top w:val="none" w:sz="0" w:space="0" w:color="auto"/>
                                                    <w:left w:val="none" w:sz="0" w:space="0" w:color="auto"/>
                                                    <w:bottom w:val="none" w:sz="0" w:space="0" w:color="auto"/>
                                                    <w:right w:val="none" w:sz="0" w:space="0" w:color="auto"/>
                                                  </w:divBdr>
                                                  <w:divsChild>
                                                    <w:div w:id="879437462">
                                                      <w:marLeft w:val="0"/>
                                                      <w:marRight w:val="0"/>
                                                      <w:marTop w:val="0"/>
                                                      <w:marBottom w:val="0"/>
                                                      <w:divBdr>
                                                        <w:top w:val="none" w:sz="0" w:space="0" w:color="auto"/>
                                                        <w:left w:val="none" w:sz="0" w:space="0" w:color="auto"/>
                                                        <w:bottom w:val="none" w:sz="0" w:space="0" w:color="auto"/>
                                                        <w:right w:val="none" w:sz="0" w:space="0" w:color="auto"/>
                                                      </w:divBdr>
                                                      <w:divsChild>
                                                        <w:div w:id="1323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42986206">
      <w:bodyDiv w:val="1"/>
      <w:marLeft w:val="0"/>
      <w:marRight w:val="0"/>
      <w:marTop w:val="0"/>
      <w:marBottom w:val="0"/>
      <w:divBdr>
        <w:top w:val="none" w:sz="0" w:space="0" w:color="auto"/>
        <w:left w:val="none" w:sz="0" w:space="0" w:color="auto"/>
        <w:bottom w:val="none" w:sz="0" w:space="0" w:color="auto"/>
        <w:right w:val="none" w:sz="0" w:space="0" w:color="auto"/>
      </w:divBdr>
      <w:divsChild>
        <w:div w:id="366371187">
          <w:marLeft w:val="0"/>
          <w:marRight w:val="0"/>
          <w:marTop w:val="0"/>
          <w:marBottom w:val="0"/>
          <w:divBdr>
            <w:top w:val="none" w:sz="0" w:space="0" w:color="auto"/>
            <w:left w:val="none" w:sz="0" w:space="0" w:color="auto"/>
            <w:bottom w:val="none" w:sz="0" w:space="0" w:color="auto"/>
            <w:right w:val="none" w:sz="0" w:space="0" w:color="auto"/>
          </w:divBdr>
          <w:divsChild>
            <w:div w:id="410398313">
              <w:marLeft w:val="0"/>
              <w:marRight w:val="0"/>
              <w:marTop w:val="0"/>
              <w:marBottom w:val="0"/>
              <w:divBdr>
                <w:top w:val="none" w:sz="0" w:space="0" w:color="auto"/>
                <w:left w:val="none" w:sz="0" w:space="0" w:color="auto"/>
                <w:bottom w:val="none" w:sz="0" w:space="0" w:color="auto"/>
                <w:right w:val="none" w:sz="0" w:space="0" w:color="auto"/>
              </w:divBdr>
              <w:divsChild>
                <w:div w:id="424157327">
                  <w:marLeft w:val="0"/>
                  <w:marRight w:val="0"/>
                  <w:marTop w:val="0"/>
                  <w:marBottom w:val="0"/>
                  <w:divBdr>
                    <w:top w:val="none" w:sz="0" w:space="0" w:color="auto"/>
                    <w:left w:val="none" w:sz="0" w:space="0" w:color="auto"/>
                    <w:bottom w:val="none" w:sz="0" w:space="0" w:color="auto"/>
                    <w:right w:val="none" w:sz="0" w:space="0" w:color="auto"/>
                  </w:divBdr>
                  <w:divsChild>
                    <w:div w:id="1362515544">
                      <w:marLeft w:val="0"/>
                      <w:marRight w:val="0"/>
                      <w:marTop w:val="0"/>
                      <w:marBottom w:val="0"/>
                      <w:divBdr>
                        <w:top w:val="none" w:sz="0" w:space="0" w:color="auto"/>
                        <w:left w:val="none" w:sz="0" w:space="0" w:color="auto"/>
                        <w:bottom w:val="none" w:sz="0" w:space="0" w:color="auto"/>
                        <w:right w:val="none" w:sz="0" w:space="0" w:color="auto"/>
                      </w:divBdr>
                      <w:divsChild>
                        <w:div w:id="1677994282">
                          <w:marLeft w:val="0"/>
                          <w:marRight w:val="0"/>
                          <w:marTop w:val="0"/>
                          <w:marBottom w:val="0"/>
                          <w:divBdr>
                            <w:top w:val="none" w:sz="0" w:space="0" w:color="auto"/>
                            <w:left w:val="none" w:sz="0" w:space="0" w:color="auto"/>
                            <w:bottom w:val="none" w:sz="0" w:space="0" w:color="auto"/>
                            <w:right w:val="none" w:sz="0" w:space="0" w:color="auto"/>
                          </w:divBdr>
                          <w:divsChild>
                            <w:div w:id="1264340787">
                              <w:marLeft w:val="0"/>
                              <w:marRight w:val="0"/>
                              <w:marTop w:val="0"/>
                              <w:marBottom w:val="0"/>
                              <w:divBdr>
                                <w:top w:val="none" w:sz="0" w:space="0" w:color="auto"/>
                                <w:left w:val="none" w:sz="0" w:space="0" w:color="auto"/>
                                <w:bottom w:val="none" w:sz="0" w:space="0" w:color="auto"/>
                                <w:right w:val="none" w:sz="0" w:space="0" w:color="auto"/>
                              </w:divBdr>
                              <w:divsChild>
                                <w:div w:id="1814907658">
                                  <w:marLeft w:val="0"/>
                                  <w:marRight w:val="0"/>
                                  <w:marTop w:val="0"/>
                                  <w:marBottom w:val="0"/>
                                  <w:divBdr>
                                    <w:top w:val="none" w:sz="0" w:space="0" w:color="auto"/>
                                    <w:left w:val="none" w:sz="0" w:space="0" w:color="auto"/>
                                    <w:bottom w:val="none" w:sz="0" w:space="0" w:color="auto"/>
                                    <w:right w:val="none" w:sz="0" w:space="0" w:color="auto"/>
                                  </w:divBdr>
                                  <w:divsChild>
                                    <w:div w:id="972517947">
                                      <w:marLeft w:val="0"/>
                                      <w:marRight w:val="0"/>
                                      <w:marTop w:val="0"/>
                                      <w:marBottom w:val="0"/>
                                      <w:divBdr>
                                        <w:top w:val="none" w:sz="0" w:space="0" w:color="auto"/>
                                        <w:left w:val="none" w:sz="0" w:space="0" w:color="auto"/>
                                        <w:bottom w:val="none" w:sz="0" w:space="0" w:color="auto"/>
                                        <w:right w:val="none" w:sz="0" w:space="0" w:color="auto"/>
                                      </w:divBdr>
                                      <w:divsChild>
                                        <w:div w:id="1976524745">
                                          <w:marLeft w:val="0"/>
                                          <w:marRight w:val="0"/>
                                          <w:marTop w:val="0"/>
                                          <w:marBottom w:val="0"/>
                                          <w:divBdr>
                                            <w:top w:val="none" w:sz="0" w:space="0" w:color="auto"/>
                                            <w:left w:val="none" w:sz="0" w:space="0" w:color="auto"/>
                                            <w:bottom w:val="none" w:sz="0" w:space="0" w:color="auto"/>
                                            <w:right w:val="none" w:sz="0" w:space="0" w:color="auto"/>
                                          </w:divBdr>
                                          <w:divsChild>
                                            <w:div w:id="1774396688">
                                              <w:marLeft w:val="0"/>
                                              <w:marRight w:val="0"/>
                                              <w:marTop w:val="0"/>
                                              <w:marBottom w:val="0"/>
                                              <w:divBdr>
                                                <w:top w:val="none" w:sz="0" w:space="0" w:color="auto"/>
                                                <w:left w:val="none" w:sz="0" w:space="0" w:color="auto"/>
                                                <w:bottom w:val="none" w:sz="0" w:space="0" w:color="auto"/>
                                                <w:right w:val="none" w:sz="0" w:space="0" w:color="auto"/>
                                              </w:divBdr>
                                              <w:divsChild>
                                                <w:div w:id="65105730">
                                                  <w:marLeft w:val="0"/>
                                                  <w:marRight w:val="0"/>
                                                  <w:marTop w:val="0"/>
                                                  <w:marBottom w:val="0"/>
                                                  <w:divBdr>
                                                    <w:top w:val="none" w:sz="0" w:space="0" w:color="auto"/>
                                                    <w:left w:val="none" w:sz="0" w:space="0" w:color="auto"/>
                                                    <w:bottom w:val="none" w:sz="0" w:space="0" w:color="auto"/>
                                                    <w:right w:val="none" w:sz="0" w:space="0" w:color="auto"/>
                                                  </w:divBdr>
                                                  <w:divsChild>
                                                    <w:div w:id="1297641069">
                                                      <w:marLeft w:val="0"/>
                                                      <w:marRight w:val="0"/>
                                                      <w:marTop w:val="0"/>
                                                      <w:marBottom w:val="0"/>
                                                      <w:divBdr>
                                                        <w:top w:val="none" w:sz="0" w:space="0" w:color="auto"/>
                                                        <w:left w:val="none" w:sz="0" w:space="0" w:color="auto"/>
                                                        <w:bottom w:val="none" w:sz="0" w:space="0" w:color="auto"/>
                                                        <w:right w:val="none" w:sz="0" w:space="0" w:color="auto"/>
                                                      </w:divBdr>
                                                      <w:divsChild>
                                                        <w:div w:id="474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755493">
      <w:bodyDiv w:val="1"/>
      <w:marLeft w:val="0"/>
      <w:marRight w:val="0"/>
      <w:marTop w:val="0"/>
      <w:marBottom w:val="0"/>
      <w:divBdr>
        <w:top w:val="none" w:sz="0" w:space="0" w:color="auto"/>
        <w:left w:val="none" w:sz="0" w:space="0" w:color="auto"/>
        <w:bottom w:val="none" w:sz="0" w:space="0" w:color="auto"/>
        <w:right w:val="none" w:sz="0" w:space="0" w:color="auto"/>
      </w:divBdr>
    </w:div>
    <w:div w:id="933516342">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74170442">
      <w:bodyDiv w:val="1"/>
      <w:marLeft w:val="0"/>
      <w:marRight w:val="0"/>
      <w:marTop w:val="0"/>
      <w:marBottom w:val="0"/>
      <w:divBdr>
        <w:top w:val="none" w:sz="0" w:space="0" w:color="auto"/>
        <w:left w:val="none" w:sz="0" w:space="0" w:color="auto"/>
        <w:bottom w:val="none" w:sz="0" w:space="0" w:color="auto"/>
        <w:right w:val="none" w:sz="0" w:space="0" w:color="auto"/>
      </w:divBdr>
    </w:div>
    <w:div w:id="1606228528">
      <w:bodyDiv w:val="1"/>
      <w:marLeft w:val="0"/>
      <w:marRight w:val="0"/>
      <w:marTop w:val="0"/>
      <w:marBottom w:val="0"/>
      <w:divBdr>
        <w:top w:val="none" w:sz="0" w:space="0" w:color="auto"/>
        <w:left w:val="none" w:sz="0" w:space="0" w:color="auto"/>
        <w:bottom w:val="none" w:sz="0" w:space="0" w:color="auto"/>
        <w:right w:val="none" w:sz="0" w:space="0" w:color="auto"/>
      </w:divBdr>
    </w:div>
    <w:div w:id="1610628144">
      <w:bodyDiv w:val="1"/>
      <w:marLeft w:val="0"/>
      <w:marRight w:val="0"/>
      <w:marTop w:val="0"/>
      <w:marBottom w:val="0"/>
      <w:divBdr>
        <w:top w:val="none" w:sz="0" w:space="0" w:color="auto"/>
        <w:left w:val="none" w:sz="0" w:space="0" w:color="auto"/>
        <w:bottom w:val="none" w:sz="0" w:space="0" w:color="auto"/>
        <w:right w:val="none" w:sz="0" w:space="0" w:color="auto"/>
      </w:divBdr>
    </w:div>
    <w:div w:id="1644777012">
      <w:bodyDiv w:val="1"/>
      <w:marLeft w:val="0"/>
      <w:marRight w:val="0"/>
      <w:marTop w:val="0"/>
      <w:marBottom w:val="0"/>
      <w:divBdr>
        <w:top w:val="none" w:sz="0" w:space="0" w:color="auto"/>
        <w:left w:val="none" w:sz="0" w:space="0" w:color="auto"/>
        <w:bottom w:val="none" w:sz="0" w:space="0" w:color="auto"/>
        <w:right w:val="none" w:sz="0" w:space="0" w:color="auto"/>
      </w:divBdr>
    </w:div>
    <w:div w:id="1769232862">
      <w:bodyDiv w:val="1"/>
      <w:marLeft w:val="0"/>
      <w:marRight w:val="0"/>
      <w:marTop w:val="0"/>
      <w:marBottom w:val="0"/>
      <w:divBdr>
        <w:top w:val="none" w:sz="0" w:space="0" w:color="auto"/>
        <w:left w:val="none" w:sz="0" w:space="0" w:color="auto"/>
        <w:bottom w:val="none" w:sz="0" w:space="0" w:color="auto"/>
        <w:right w:val="none" w:sz="0" w:space="0" w:color="auto"/>
      </w:divBdr>
    </w:div>
    <w:div w:id="1891333670">
      <w:bodyDiv w:val="1"/>
      <w:marLeft w:val="0"/>
      <w:marRight w:val="0"/>
      <w:marTop w:val="0"/>
      <w:marBottom w:val="0"/>
      <w:divBdr>
        <w:top w:val="none" w:sz="0" w:space="0" w:color="auto"/>
        <w:left w:val="none" w:sz="0" w:space="0" w:color="auto"/>
        <w:bottom w:val="none" w:sz="0" w:space="0" w:color="auto"/>
        <w:right w:val="none" w:sz="0" w:space="0" w:color="auto"/>
      </w:divBdr>
    </w:div>
    <w:div w:id="20997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E91B5D0-9E70-4D79-889F-875A62FFB6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49521D8E27A2E46AF730FA5A197D2A7" ma:contentTypeVersion="" ma:contentTypeDescription="PDMS Document Site Content Type" ma:contentTypeScope="" ma:versionID="eb2eaae214927c394f400a4082ab1917">
  <xsd:schema xmlns:xsd="http://www.w3.org/2001/XMLSchema" xmlns:xs="http://www.w3.org/2001/XMLSchema" xmlns:p="http://schemas.microsoft.com/office/2006/metadata/properties" xmlns:ns2="2E91B5D0-9E70-4D79-889F-875A62FFB633" targetNamespace="http://schemas.microsoft.com/office/2006/metadata/properties" ma:root="true" ma:fieldsID="ccb03b2e91c0caf6bc47523cf1dbeec4" ns2:_="">
    <xsd:import namespace="2E91B5D0-9E70-4D79-889F-875A62FFB63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1B5D0-9E70-4D79-889F-875A62FFB63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DBDA-5402-4975-B0B0-7F94280750B8}">
  <ds:schemaRefs>
    <ds:schemaRef ds:uri="http://schemas.microsoft.com/sharepoint/v3/contenttype/forms"/>
  </ds:schemaRefs>
</ds:datastoreItem>
</file>

<file path=customXml/itemProps2.xml><?xml version="1.0" encoding="utf-8"?>
<ds:datastoreItem xmlns:ds="http://schemas.openxmlformats.org/officeDocument/2006/customXml" ds:itemID="{24F840C9-072A-4BBF-946C-0D1F6CF7362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91B5D0-9E70-4D79-889F-875A62FFB633"/>
    <ds:schemaRef ds:uri="http://www.w3.org/XML/1998/namespace"/>
  </ds:schemaRefs>
</ds:datastoreItem>
</file>

<file path=customXml/itemProps3.xml><?xml version="1.0" encoding="utf-8"?>
<ds:datastoreItem xmlns:ds="http://schemas.openxmlformats.org/officeDocument/2006/customXml" ds:itemID="{D86665CC-8629-4AAE-9582-02EBEC433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1B5D0-9E70-4D79-889F-875A62FFB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A80FB-A766-4475-8CC4-7802022E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2259</Words>
  <Characters>12878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Galloway, Leeann</cp:lastModifiedBy>
  <cp:revision>2</cp:revision>
  <cp:lastPrinted>2018-11-01T08:56:00Z</cp:lastPrinted>
  <dcterms:created xsi:type="dcterms:W3CDTF">2019-01-22T04:03:00Z</dcterms:created>
  <dcterms:modified xsi:type="dcterms:W3CDTF">2019-01-22T04:03:00Z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0x010100266966F133664895A6EE3632470D45F500749521D8E27A2E46AF730FA5A197D2A7</vt:lpwstr>
  </property>
</Properties>
</file>