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01425" w14:textId="37F91B38" w:rsidR="00A669D7" w:rsidRPr="00F61976" w:rsidRDefault="00A669D7" w:rsidP="00A669D7">
      <w:pPr>
        <w:keepNext/>
        <w:keepLines/>
        <w:spacing w:before="0"/>
        <w:ind w:right="91"/>
        <w:jc w:val="center"/>
      </w:pPr>
      <w:r w:rsidRPr="00F61976">
        <w:rPr>
          <w:b/>
          <w:u w:val="single"/>
        </w:rPr>
        <w:t xml:space="preserve">EXPLANATORY </w:t>
      </w:r>
      <w:r w:rsidR="00583221" w:rsidRPr="00F61976">
        <w:rPr>
          <w:b/>
          <w:u w:val="single"/>
        </w:rPr>
        <w:t>STATEMENT</w:t>
      </w:r>
    </w:p>
    <w:p w14:paraId="6C81B4D1" w14:textId="77777777" w:rsidR="00A669D7" w:rsidRPr="00F61976" w:rsidRDefault="00A669D7" w:rsidP="00A669D7">
      <w:pPr>
        <w:pStyle w:val="Heading6"/>
        <w:keepLines/>
        <w:spacing w:before="0"/>
        <w:jc w:val="center"/>
        <w:rPr>
          <w:u w:val="none"/>
        </w:rPr>
      </w:pPr>
    </w:p>
    <w:p w14:paraId="7CDD0ECB" w14:textId="35F06006" w:rsidR="00583221" w:rsidRPr="00F61976" w:rsidRDefault="00583221" w:rsidP="00583221">
      <w:pPr>
        <w:spacing w:before="0"/>
        <w:ind w:right="40"/>
        <w:jc w:val="center"/>
        <w:rPr>
          <w:szCs w:val="24"/>
        </w:rPr>
      </w:pPr>
      <w:r w:rsidRPr="00F61976">
        <w:rPr>
          <w:szCs w:val="24"/>
        </w:rPr>
        <w:t xml:space="preserve">Issued by the </w:t>
      </w:r>
      <w:r w:rsidR="00914678" w:rsidRPr="00F61976">
        <w:rPr>
          <w:szCs w:val="24"/>
        </w:rPr>
        <w:t>Minister for</w:t>
      </w:r>
      <w:r w:rsidR="00914678">
        <w:rPr>
          <w:szCs w:val="24"/>
        </w:rPr>
        <w:t xml:space="preserve"> Immigration, </w:t>
      </w:r>
      <w:r w:rsidR="00914678" w:rsidRPr="00F61976">
        <w:rPr>
          <w:szCs w:val="24"/>
        </w:rPr>
        <w:t>Citizenship</w:t>
      </w:r>
      <w:r w:rsidR="00914678">
        <w:rPr>
          <w:szCs w:val="24"/>
        </w:rPr>
        <w:t xml:space="preserve"> and Multicultural Affairs</w:t>
      </w:r>
    </w:p>
    <w:p w14:paraId="478D6E9E" w14:textId="77777777" w:rsidR="00583221" w:rsidRPr="00F61976" w:rsidRDefault="00583221" w:rsidP="00583221">
      <w:pPr>
        <w:spacing w:before="0"/>
        <w:ind w:right="40"/>
        <w:jc w:val="center"/>
        <w:rPr>
          <w:szCs w:val="24"/>
        </w:rPr>
      </w:pPr>
    </w:p>
    <w:p w14:paraId="17D97A65" w14:textId="77777777" w:rsidR="00583221" w:rsidRPr="00F61976" w:rsidRDefault="00583221" w:rsidP="00583221">
      <w:pPr>
        <w:spacing w:before="0"/>
        <w:ind w:right="40"/>
        <w:jc w:val="center"/>
        <w:rPr>
          <w:i/>
          <w:szCs w:val="24"/>
        </w:rPr>
      </w:pPr>
      <w:r w:rsidRPr="00F61976">
        <w:rPr>
          <w:i/>
          <w:szCs w:val="24"/>
        </w:rPr>
        <w:t>Migration Act 1958</w:t>
      </w:r>
    </w:p>
    <w:p w14:paraId="71CA89D5" w14:textId="45651899" w:rsidR="00461442" w:rsidRPr="00F61976" w:rsidRDefault="00461442" w:rsidP="00583221">
      <w:pPr>
        <w:spacing w:before="0"/>
        <w:ind w:right="91"/>
        <w:jc w:val="center"/>
        <w:rPr>
          <w:i/>
        </w:rPr>
      </w:pPr>
    </w:p>
    <w:p w14:paraId="6E2ACC40" w14:textId="39B8ED62" w:rsidR="00A669D7" w:rsidRPr="00F61976" w:rsidRDefault="00A669D7" w:rsidP="003B07F0">
      <w:pPr>
        <w:spacing w:before="0"/>
        <w:ind w:right="91"/>
        <w:jc w:val="center"/>
        <w:rPr>
          <w:i/>
        </w:rPr>
      </w:pPr>
      <w:r w:rsidRPr="00F61976">
        <w:rPr>
          <w:i/>
        </w:rPr>
        <w:t xml:space="preserve">Migration </w:t>
      </w:r>
      <w:r w:rsidRPr="008929B9">
        <w:rPr>
          <w:i/>
        </w:rPr>
        <w:t xml:space="preserve">Amendment </w:t>
      </w:r>
      <w:r w:rsidR="00B4119A">
        <w:rPr>
          <w:i/>
        </w:rPr>
        <w:t>(Chest X-ray Requirements)</w:t>
      </w:r>
      <w:r w:rsidR="00210413" w:rsidRPr="00F61976">
        <w:rPr>
          <w:i/>
        </w:rPr>
        <w:t xml:space="preserve"> Regulations 201</w:t>
      </w:r>
      <w:r w:rsidR="005A0909">
        <w:rPr>
          <w:i/>
        </w:rPr>
        <w:t>9</w:t>
      </w:r>
    </w:p>
    <w:p w14:paraId="7AEAA80F" w14:textId="77777777" w:rsidR="00A669D7" w:rsidRPr="00F61976" w:rsidRDefault="00A669D7" w:rsidP="00A669D7">
      <w:pPr>
        <w:keepNext/>
        <w:keepLines/>
        <w:spacing w:before="0"/>
        <w:ind w:right="91"/>
      </w:pPr>
    </w:p>
    <w:p w14:paraId="56F7E744" w14:textId="0C4E7B25" w:rsidR="006C1271" w:rsidRPr="00F61976" w:rsidRDefault="006C1271" w:rsidP="006C1271">
      <w:pPr>
        <w:keepNext/>
        <w:keepLines/>
        <w:spacing w:before="0"/>
        <w:ind w:right="91"/>
      </w:pPr>
      <w:r w:rsidRPr="00F61976">
        <w:t xml:space="preserve">The </w:t>
      </w:r>
      <w:r w:rsidRPr="00F61976">
        <w:rPr>
          <w:i/>
        </w:rPr>
        <w:t>Migration Act 1958</w:t>
      </w:r>
      <w:r w:rsidRPr="00F61976">
        <w:t xml:space="preserve"> (the Migration Act) is an Act relating to the entry into, and presence in, Australia of aliens, and the departure or deportation from Australia of aliens and certain other persons.</w:t>
      </w:r>
    </w:p>
    <w:p w14:paraId="7F700B91" w14:textId="77777777" w:rsidR="006C1271" w:rsidRPr="00F61976" w:rsidRDefault="006C1271" w:rsidP="006C1271">
      <w:pPr>
        <w:keepNext/>
        <w:keepLines/>
        <w:spacing w:before="0"/>
        <w:ind w:right="91"/>
      </w:pPr>
    </w:p>
    <w:p w14:paraId="43106334" w14:textId="630C19C1" w:rsidR="00E60327" w:rsidRDefault="006C1271" w:rsidP="006C1271">
      <w:pPr>
        <w:keepNext/>
        <w:keepLines/>
        <w:spacing w:before="0"/>
        <w:ind w:right="91"/>
      </w:pPr>
      <w:r w:rsidRPr="00F61976">
        <w:t xml:space="preserve">Subsection 504(1) of </w:t>
      </w:r>
      <w:r w:rsidRPr="00F61976">
        <w:rPr>
          <w:iCs/>
        </w:rPr>
        <w:t xml:space="preserve">the </w:t>
      </w:r>
      <w:r w:rsidRPr="00F61976">
        <w:t>Migration Act</w:t>
      </w:r>
      <w:r w:rsidRPr="00F61976">
        <w:rPr>
          <w:i/>
        </w:rPr>
        <w:t xml:space="preserve"> </w:t>
      </w:r>
      <w:r w:rsidRPr="00F61976">
        <w:t>provides that the Governor-General may make regulations, not inconsistent with the Migration Act, prescribing matters required or permitted to be prescribed, or necessary or convenient to be prescribed, for carrying out or giving effect to the Migration Act.</w:t>
      </w:r>
      <w:r w:rsidR="001D44BE">
        <w:t xml:space="preserve"> </w:t>
      </w:r>
      <w:r w:rsidR="00F05B9C">
        <w:t xml:space="preserve"> </w:t>
      </w:r>
      <w:r w:rsidR="00F05B9C" w:rsidRPr="00186DA1">
        <w:rPr>
          <w:szCs w:val="24"/>
        </w:rPr>
        <w:t>In addition, regulations may be made pursuant to</w:t>
      </w:r>
      <w:r w:rsidR="00F05B9C">
        <w:rPr>
          <w:szCs w:val="24"/>
        </w:rPr>
        <w:t xml:space="preserve"> s</w:t>
      </w:r>
      <w:r w:rsidR="00F05B9C" w:rsidRPr="00BD3758">
        <w:rPr>
          <w:szCs w:val="24"/>
        </w:rPr>
        <w:t>ubsection 31(3)</w:t>
      </w:r>
      <w:r w:rsidR="00F05B9C">
        <w:rPr>
          <w:szCs w:val="24"/>
        </w:rPr>
        <w:t xml:space="preserve"> of the Migration Act, which </w:t>
      </w:r>
      <w:r w:rsidR="00F05B9C" w:rsidRPr="00BD3758">
        <w:rPr>
          <w:szCs w:val="24"/>
        </w:rPr>
        <w:t>provides that the regulations may prescribe criteria for a visa or visas of a specified class</w:t>
      </w:r>
      <w:r w:rsidR="00F05B9C">
        <w:rPr>
          <w:szCs w:val="24"/>
        </w:rPr>
        <w:t xml:space="preserve">.   </w:t>
      </w:r>
    </w:p>
    <w:p w14:paraId="0878C126" w14:textId="66BA9E6D" w:rsidR="006C1271" w:rsidRPr="00F61976" w:rsidRDefault="006C1271" w:rsidP="006C1271">
      <w:pPr>
        <w:keepNext/>
        <w:keepLines/>
        <w:spacing w:before="0"/>
        <w:ind w:right="91"/>
      </w:pPr>
    </w:p>
    <w:p w14:paraId="31DC4896" w14:textId="77777777" w:rsidR="00BF57A5" w:rsidRPr="00186DA1" w:rsidRDefault="00BF57A5" w:rsidP="00BF57A5">
      <w:pPr>
        <w:keepNext/>
        <w:keepLines/>
        <w:spacing w:before="0"/>
        <w:ind w:right="91"/>
        <w:rPr>
          <w:szCs w:val="24"/>
        </w:rPr>
      </w:pPr>
      <w:r w:rsidRPr="00186DA1">
        <w:rPr>
          <w:szCs w:val="24"/>
        </w:rPr>
        <w:t xml:space="preserve">In addition, regulations may be made pursuant to the provisions of the Migration Act listed in </w:t>
      </w:r>
      <w:r w:rsidRPr="00186DA1">
        <w:rPr>
          <w:szCs w:val="24"/>
          <w:u w:val="single"/>
        </w:rPr>
        <w:t>Attachment A</w:t>
      </w:r>
      <w:r w:rsidRPr="00186DA1">
        <w:rPr>
          <w:szCs w:val="24"/>
        </w:rPr>
        <w:t>.</w:t>
      </w:r>
    </w:p>
    <w:p w14:paraId="625DF0CC" w14:textId="77777777" w:rsidR="00BF57A5" w:rsidRDefault="00BF57A5" w:rsidP="009B058E">
      <w:pPr>
        <w:keepNext/>
        <w:keepLines/>
        <w:spacing w:before="0"/>
        <w:ind w:right="91"/>
        <w:rPr>
          <w:szCs w:val="24"/>
        </w:rPr>
      </w:pPr>
    </w:p>
    <w:p w14:paraId="5CC87A21" w14:textId="54FBFE77" w:rsidR="009B058E" w:rsidRDefault="009B058E" w:rsidP="009B058E">
      <w:pPr>
        <w:keepNext/>
        <w:keepLines/>
        <w:spacing w:before="0"/>
        <w:ind w:right="91"/>
        <w:rPr>
          <w:szCs w:val="24"/>
        </w:rPr>
      </w:pPr>
      <w:r>
        <w:rPr>
          <w:szCs w:val="24"/>
        </w:rPr>
        <w:t xml:space="preserve">Australia’s migration framework requires applicants for permanent visas and some temporary visas to satisfy health requirements to ensure they do not pose a risk to the Australian community or compromise Australia residents’ access to health services. </w:t>
      </w:r>
    </w:p>
    <w:p w14:paraId="409B818D" w14:textId="77777777" w:rsidR="009B058E" w:rsidRDefault="009B058E" w:rsidP="009B058E">
      <w:pPr>
        <w:keepNext/>
        <w:keepLines/>
        <w:spacing w:before="0"/>
        <w:ind w:right="91"/>
        <w:rPr>
          <w:szCs w:val="24"/>
        </w:rPr>
      </w:pPr>
    </w:p>
    <w:p w14:paraId="0E9BBBEF" w14:textId="2F40D10D" w:rsidR="001B61A3" w:rsidRDefault="00825F10" w:rsidP="00825F10">
      <w:pPr>
        <w:spacing w:before="0"/>
        <w:ind w:right="91"/>
      </w:pPr>
      <w:r>
        <w:rPr>
          <w:szCs w:val="24"/>
          <w:lang w:val="en"/>
        </w:rPr>
        <w:t xml:space="preserve">The </w:t>
      </w:r>
      <w:r w:rsidR="000E5AC3" w:rsidRPr="00A124FF">
        <w:rPr>
          <w:i/>
          <w:szCs w:val="24"/>
        </w:rPr>
        <w:t>Migration Amendment (Chest X-ray Requirements) Regulations 2019</w:t>
      </w:r>
      <w:r w:rsidR="000E5AC3">
        <w:rPr>
          <w:i/>
        </w:rPr>
        <w:t xml:space="preserve"> </w:t>
      </w:r>
      <w:r w:rsidR="00D14260">
        <w:rPr>
          <w:szCs w:val="24"/>
          <w:lang w:val="en"/>
        </w:rPr>
        <w:t xml:space="preserve">(the </w:t>
      </w:r>
      <w:r>
        <w:rPr>
          <w:szCs w:val="24"/>
          <w:lang w:val="en"/>
        </w:rPr>
        <w:t>Regulations</w:t>
      </w:r>
      <w:r w:rsidR="00D14260">
        <w:rPr>
          <w:szCs w:val="24"/>
          <w:lang w:val="en"/>
        </w:rPr>
        <w:t>)</w:t>
      </w:r>
      <w:r>
        <w:rPr>
          <w:szCs w:val="24"/>
          <w:lang w:val="en"/>
        </w:rPr>
        <w:t xml:space="preserve"> </w:t>
      </w:r>
      <w:r w:rsidR="000E5AC3">
        <w:t xml:space="preserve">relate to certain unauthorised maritime arrivals (UMAs).  </w:t>
      </w:r>
      <w:r w:rsidR="000E5AC3" w:rsidRPr="0033143B">
        <w:t xml:space="preserve">The meaning of ‘unauthorised maritime arrival’ is contained in section 5AA of the Migration Act.  The temporary protection visas for which UMAs may be </w:t>
      </w:r>
      <w:r w:rsidR="00F151E9">
        <w:t>able to apply</w:t>
      </w:r>
      <w:r w:rsidR="000E5AC3" w:rsidRPr="0033143B">
        <w:t xml:space="preserve"> are the Subclass 785 (Temporary Protection) visa and the Subclass 790 (Safe Haven Enterprise) visa.</w:t>
      </w:r>
    </w:p>
    <w:p w14:paraId="6CA2C998" w14:textId="77777777" w:rsidR="00CD67B8" w:rsidRDefault="00CD67B8" w:rsidP="00012CF0">
      <w:pPr>
        <w:spacing w:before="0"/>
        <w:ind w:right="91"/>
      </w:pPr>
    </w:p>
    <w:p w14:paraId="19A81601" w14:textId="7013E005" w:rsidR="00663921" w:rsidRPr="002D26BC" w:rsidRDefault="00663921" w:rsidP="00012CF0">
      <w:pPr>
        <w:spacing w:before="0"/>
        <w:ind w:right="91"/>
      </w:pPr>
      <w:r w:rsidRPr="002D26BC">
        <w:t xml:space="preserve">Applicants for these visas are subject to chest x-ray requirements.  </w:t>
      </w:r>
      <w:r w:rsidR="009B058E">
        <w:t xml:space="preserve">The purpose of </w:t>
      </w:r>
      <w:r w:rsidR="00F151E9">
        <w:t>a chest x-ray is to screen for t</w:t>
      </w:r>
      <w:r w:rsidR="009B058E">
        <w:t xml:space="preserve">uberculosis. </w:t>
      </w:r>
      <w:r w:rsidR="0001178C">
        <w:t xml:space="preserve"> </w:t>
      </w:r>
      <w:r w:rsidR="009B058E">
        <w:t>An</w:t>
      </w:r>
      <w:r w:rsidRPr="002D26BC">
        <w:t xml:space="preserve"> applicant under the age of 11 is generally not required to undergo a chest x-ray</w:t>
      </w:r>
      <w:r w:rsidR="009B058E">
        <w:t xml:space="preserve">. </w:t>
      </w:r>
      <w:r w:rsidRPr="002D26BC">
        <w:t xml:space="preserve"> </w:t>
      </w:r>
    </w:p>
    <w:p w14:paraId="73140E74" w14:textId="77777777" w:rsidR="00CD67B8" w:rsidRDefault="00CD67B8" w:rsidP="00012CF0">
      <w:pPr>
        <w:spacing w:before="0"/>
        <w:ind w:right="91"/>
      </w:pPr>
    </w:p>
    <w:p w14:paraId="0127E38B" w14:textId="56F794CB" w:rsidR="00663921" w:rsidRPr="002D26BC" w:rsidRDefault="00663921" w:rsidP="00012CF0">
      <w:pPr>
        <w:spacing w:before="0"/>
        <w:ind w:right="91"/>
      </w:pPr>
      <w:r w:rsidRPr="002D26BC">
        <w:t xml:space="preserve">Holders of these visas may need to make another application for either visa.  In this situation, the original chest x-ray meets the requirements for the subsequent visa application.  However, applicants who were under the age of 11 when they previously applied, and did not require a chest x-ray at that time, are currently required to provide an x-ray if they are aged 11 or older.  </w:t>
      </w:r>
    </w:p>
    <w:p w14:paraId="72510D95" w14:textId="77777777" w:rsidR="00663921" w:rsidRPr="002D26BC" w:rsidRDefault="00663921" w:rsidP="00012CF0">
      <w:pPr>
        <w:spacing w:before="0"/>
        <w:ind w:right="91"/>
      </w:pPr>
    </w:p>
    <w:p w14:paraId="05B85A8B" w14:textId="5A7F9D25" w:rsidR="005E2CA1" w:rsidRDefault="00144D83" w:rsidP="00012CF0">
      <w:pPr>
        <w:spacing w:before="0"/>
        <w:ind w:right="91"/>
      </w:pPr>
      <w:r>
        <w:rPr>
          <w:szCs w:val="24"/>
        </w:rPr>
        <w:t>On 25 March 2018 an</w:t>
      </w:r>
      <w:r w:rsidRPr="005E6DB2">
        <w:rPr>
          <w:szCs w:val="24"/>
        </w:rPr>
        <w:t xml:space="preserve"> </w:t>
      </w:r>
      <w:r w:rsidR="001D44BE" w:rsidRPr="005E6DB2">
        <w:rPr>
          <w:szCs w:val="24"/>
        </w:rPr>
        <w:t xml:space="preserve">Independent Health Advice Panel (IHAP) member commissioned by the Department of Home Affairs to review health policy settings for </w:t>
      </w:r>
      <w:r w:rsidR="00CD67B8">
        <w:rPr>
          <w:szCs w:val="24"/>
        </w:rPr>
        <w:t>UMA</w:t>
      </w:r>
      <w:r w:rsidR="001D44BE" w:rsidRPr="005E6DB2">
        <w:rPr>
          <w:szCs w:val="24"/>
        </w:rPr>
        <w:t xml:space="preserve">s </w:t>
      </w:r>
      <w:r w:rsidR="009B058E">
        <w:rPr>
          <w:szCs w:val="24"/>
        </w:rPr>
        <w:t>provided in their advice</w:t>
      </w:r>
      <w:r w:rsidR="009B058E" w:rsidRPr="005E6DB2">
        <w:rPr>
          <w:szCs w:val="24"/>
        </w:rPr>
        <w:t xml:space="preserve"> </w:t>
      </w:r>
      <w:r w:rsidR="001D44BE" w:rsidRPr="005E6DB2">
        <w:rPr>
          <w:szCs w:val="24"/>
        </w:rPr>
        <w:t xml:space="preserve">there was no clinical benefit to </w:t>
      </w:r>
      <w:r w:rsidR="00CD67B8">
        <w:rPr>
          <w:szCs w:val="24"/>
        </w:rPr>
        <w:t>UMA</w:t>
      </w:r>
      <w:r w:rsidR="001D44BE" w:rsidRPr="005E6DB2">
        <w:rPr>
          <w:szCs w:val="24"/>
        </w:rPr>
        <w:t xml:space="preserve"> minors to undergo additional chest x-rays. </w:t>
      </w:r>
      <w:r w:rsidR="001D44BE">
        <w:rPr>
          <w:szCs w:val="24"/>
        </w:rPr>
        <w:t xml:space="preserve"> </w:t>
      </w:r>
      <w:r w:rsidR="005E2CA1" w:rsidRPr="000E3B08">
        <w:t>The IHAP member’s advice was reviewed and endorsed by a Medical Officer of the Commonwealth, as the Senior Clinical Advisor of the Department’s clinical advice team.</w:t>
      </w:r>
      <w:r w:rsidR="005E2CA1" w:rsidRPr="007D4929">
        <w:rPr>
          <w:highlight w:val="yellow"/>
        </w:rPr>
        <w:t xml:space="preserve">   </w:t>
      </w:r>
    </w:p>
    <w:p w14:paraId="485313A3" w14:textId="77777777" w:rsidR="005E2CA1" w:rsidRDefault="005E2CA1" w:rsidP="00012CF0">
      <w:pPr>
        <w:spacing w:before="0"/>
        <w:ind w:right="91"/>
      </w:pPr>
    </w:p>
    <w:p w14:paraId="2A82EEEA" w14:textId="0CAE3C23" w:rsidR="00663921" w:rsidRPr="002D26BC" w:rsidRDefault="00144D83" w:rsidP="00012CF0">
      <w:pPr>
        <w:spacing w:before="0"/>
        <w:ind w:right="91"/>
      </w:pPr>
      <w:r>
        <w:rPr>
          <w:szCs w:val="24"/>
        </w:rPr>
        <w:t>There ha</w:t>
      </w:r>
      <w:r w:rsidR="000E3B08">
        <w:rPr>
          <w:szCs w:val="24"/>
        </w:rPr>
        <w:t>ve</w:t>
      </w:r>
      <w:r>
        <w:rPr>
          <w:szCs w:val="24"/>
        </w:rPr>
        <w:t xml:space="preserve"> been no asylum seeker boat arrivals since late 2013 so minors who arrived in this fashion have been in Australia for over five years and would have completed tuberculosis screening up to three times</w:t>
      </w:r>
      <w:r w:rsidR="005E2CA1">
        <w:rPr>
          <w:szCs w:val="24"/>
        </w:rPr>
        <w:t>, most recently in early 2017</w:t>
      </w:r>
      <w:r>
        <w:rPr>
          <w:szCs w:val="24"/>
        </w:rPr>
        <w:t xml:space="preserve">. </w:t>
      </w:r>
      <w:r w:rsidR="000E3B08">
        <w:rPr>
          <w:szCs w:val="24"/>
        </w:rPr>
        <w:t xml:space="preserve"> </w:t>
      </w:r>
      <w:r w:rsidR="00663921" w:rsidRPr="002D26BC">
        <w:t>The health care of UMA minors</w:t>
      </w:r>
      <w:r>
        <w:t xml:space="preserve"> </w:t>
      </w:r>
      <w:r w:rsidR="00663921" w:rsidRPr="002D26BC">
        <w:t xml:space="preserve">is </w:t>
      </w:r>
      <w:r w:rsidR="00663921" w:rsidRPr="002D26BC">
        <w:lastRenderedPageBreak/>
        <w:t xml:space="preserve">managed entirely through the Australian public health system, </w:t>
      </w:r>
      <w:r w:rsidR="005E2CA1">
        <w:t>including for those who were born in Australia,</w:t>
      </w:r>
      <w:r w:rsidR="005E2CA1" w:rsidRPr="002D26BC">
        <w:t xml:space="preserve"> </w:t>
      </w:r>
      <w:r w:rsidR="00663921" w:rsidRPr="002D26BC">
        <w:t xml:space="preserve">and they pose an extremely low health risk to the community.  The review recommended that the requirement for </w:t>
      </w:r>
      <w:r>
        <w:t xml:space="preserve">age related </w:t>
      </w:r>
      <w:r w:rsidR="00663921" w:rsidRPr="002D26BC">
        <w:t>chest x-rays be removed, and this amendment implements that recommendation.</w:t>
      </w:r>
    </w:p>
    <w:p w14:paraId="6B56B8CB" w14:textId="77777777" w:rsidR="000E5AC3" w:rsidRDefault="000E5AC3" w:rsidP="00012CF0">
      <w:pPr>
        <w:spacing w:before="0"/>
        <w:ind w:right="91"/>
      </w:pPr>
    </w:p>
    <w:p w14:paraId="34F983DB" w14:textId="35770B10" w:rsidR="007F0DAD" w:rsidRPr="00F61976" w:rsidRDefault="007F0DAD" w:rsidP="00012CF0">
      <w:pPr>
        <w:spacing w:before="0"/>
        <w:ind w:right="91"/>
        <w:rPr>
          <w:szCs w:val="24"/>
        </w:rPr>
      </w:pPr>
      <w:r w:rsidRPr="00F61976">
        <w:rPr>
          <w:szCs w:val="24"/>
        </w:rPr>
        <w:t xml:space="preserve">A Statement of Compatibility with Human Rights (the Statement) has been completed in accordance with the </w:t>
      </w:r>
      <w:r w:rsidRPr="00F61976">
        <w:rPr>
          <w:i/>
          <w:iCs/>
          <w:szCs w:val="24"/>
        </w:rPr>
        <w:t>Human Rights (Parliamentary Scrutiny) Act 2011</w:t>
      </w:r>
      <w:r w:rsidRPr="00F61976">
        <w:rPr>
          <w:szCs w:val="24"/>
        </w:rPr>
        <w:t xml:space="preserve">. The overall assessment is that the Regulations are compatible with human rights. A copy of the Statement is at </w:t>
      </w:r>
      <w:r w:rsidRPr="00F61976">
        <w:rPr>
          <w:szCs w:val="24"/>
          <w:u w:val="single"/>
        </w:rPr>
        <w:t xml:space="preserve">Attachment </w:t>
      </w:r>
      <w:r w:rsidR="003C61B9">
        <w:rPr>
          <w:szCs w:val="24"/>
          <w:u w:val="single"/>
        </w:rPr>
        <w:t>B</w:t>
      </w:r>
      <w:r w:rsidRPr="00F61976">
        <w:rPr>
          <w:szCs w:val="24"/>
        </w:rPr>
        <w:t>.</w:t>
      </w:r>
    </w:p>
    <w:p w14:paraId="6A359575" w14:textId="24B39986" w:rsidR="00BA3235" w:rsidRPr="00F61976" w:rsidRDefault="00BA3235" w:rsidP="00303169">
      <w:pPr>
        <w:spacing w:before="0"/>
        <w:ind w:right="91"/>
        <w:rPr>
          <w:szCs w:val="24"/>
        </w:rPr>
      </w:pPr>
    </w:p>
    <w:p w14:paraId="745C6863" w14:textId="6F85DE3D" w:rsidR="008929B9" w:rsidRDefault="00BA3235" w:rsidP="008A615E">
      <w:pPr>
        <w:spacing w:before="0"/>
        <w:ind w:right="91"/>
      </w:pPr>
      <w:r w:rsidRPr="00F61976">
        <w:t xml:space="preserve">Details of the Regulations are set out in </w:t>
      </w:r>
      <w:r w:rsidRPr="00F61976">
        <w:rPr>
          <w:u w:val="single"/>
        </w:rPr>
        <w:t xml:space="preserve">Attachment </w:t>
      </w:r>
      <w:r w:rsidR="003C61B9">
        <w:rPr>
          <w:u w:val="single"/>
        </w:rPr>
        <w:t>C</w:t>
      </w:r>
      <w:r w:rsidRPr="00F61976">
        <w:t>.</w:t>
      </w:r>
    </w:p>
    <w:p w14:paraId="4191DD3B" w14:textId="77777777" w:rsidR="008929B9" w:rsidRDefault="008929B9" w:rsidP="008A615E">
      <w:pPr>
        <w:spacing w:before="0"/>
        <w:ind w:right="91"/>
      </w:pPr>
    </w:p>
    <w:p w14:paraId="06A72CD3" w14:textId="30E0ADDA" w:rsidR="00914678" w:rsidRPr="00F61976" w:rsidRDefault="00914678" w:rsidP="00914678">
      <w:pPr>
        <w:spacing w:before="0"/>
        <w:ind w:right="91"/>
        <w:rPr>
          <w:szCs w:val="24"/>
        </w:rPr>
      </w:pPr>
      <w:r w:rsidRPr="00800FFE">
        <w:rPr>
          <w:szCs w:val="24"/>
        </w:rPr>
        <w:t xml:space="preserve">The Office of Best Practice Regulation (the OBPR) has been consulted in relation to the amendments made to the Regulations, and has advised that a RIS is not required. The OBPR reference is </w:t>
      </w:r>
      <w:r w:rsidR="00C17BA8" w:rsidRPr="00C17BA8">
        <w:rPr>
          <w:bCs/>
        </w:rPr>
        <w:t>2412</w:t>
      </w:r>
      <w:r w:rsidRPr="00C17BA8">
        <w:rPr>
          <w:szCs w:val="24"/>
        </w:rPr>
        <w:t>.</w:t>
      </w:r>
      <w:r>
        <w:rPr>
          <w:szCs w:val="24"/>
        </w:rPr>
        <w:t xml:space="preserve"> </w:t>
      </w:r>
    </w:p>
    <w:p w14:paraId="66D1149A" w14:textId="77777777" w:rsidR="00BA3235" w:rsidRPr="00F61976" w:rsidRDefault="00BA3235" w:rsidP="00BA3235">
      <w:pPr>
        <w:spacing w:before="0"/>
        <w:ind w:right="91"/>
      </w:pPr>
    </w:p>
    <w:p w14:paraId="153AE25D" w14:textId="47052498" w:rsidR="00A669D7" w:rsidRPr="00F61976" w:rsidRDefault="00A669D7" w:rsidP="009E66DF">
      <w:pPr>
        <w:tabs>
          <w:tab w:val="left" w:pos="6521"/>
        </w:tabs>
        <w:spacing w:before="0"/>
        <w:ind w:right="91"/>
      </w:pPr>
      <w:r w:rsidRPr="00F61976">
        <w:t xml:space="preserve">The Migration Act </w:t>
      </w:r>
      <w:r w:rsidR="00BC61A3" w:rsidRPr="00F61976">
        <w:t>specif</w:t>
      </w:r>
      <w:r w:rsidR="00E664F2">
        <w:t>ies</w:t>
      </w:r>
      <w:r w:rsidRPr="00F61976">
        <w:t xml:space="preserve"> no conditions that need to be satisfied before the power to make the proposed Regulation</w:t>
      </w:r>
      <w:r w:rsidR="00A7789C" w:rsidRPr="00F61976">
        <w:t>s</w:t>
      </w:r>
      <w:r w:rsidRPr="00F61976">
        <w:t xml:space="preserve"> may be exercised.</w:t>
      </w:r>
    </w:p>
    <w:p w14:paraId="0F0ACBE0" w14:textId="77777777" w:rsidR="009E66DF" w:rsidRPr="00F61976" w:rsidRDefault="009E66DF" w:rsidP="00194BDF">
      <w:pPr>
        <w:tabs>
          <w:tab w:val="left" w:pos="6521"/>
        </w:tabs>
        <w:spacing w:before="0"/>
        <w:ind w:right="521"/>
        <w:rPr>
          <w:szCs w:val="24"/>
        </w:rPr>
      </w:pPr>
    </w:p>
    <w:p w14:paraId="02CAA0BE" w14:textId="67DD854B" w:rsidR="004B2DD2" w:rsidRPr="00A166D3" w:rsidRDefault="00A669D7" w:rsidP="00A166D3">
      <w:pPr>
        <w:tabs>
          <w:tab w:val="left" w:pos="6521"/>
        </w:tabs>
        <w:spacing w:before="0"/>
        <w:ind w:right="91"/>
      </w:pPr>
      <w:r w:rsidRPr="00F61976">
        <w:rPr>
          <w:szCs w:val="24"/>
        </w:rPr>
        <w:t xml:space="preserve">The </w:t>
      </w:r>
      <w:r w:rsidRPr="00A166D3">
        <w:t>Regulation</w:t>
      </w:r>
      <w:r w:rsidR="00A7789C" w:rsidRPr="00A166D3">
        <w:t>s</w:t>
      </w:r>
      <w:r w:rsidRPr="00A166D3">
        <w:t xml:space="preserve"> </w:t>
      </w:r>
      <w:r w:rsidR="007F0DAD" w:rsidRPr="00A166D3">
        <w:t>are</w:t>
      </w:r>
      <w:r w:rsidRPr="00A166D3">
        <w:t xml:space="preserve"> a legislative instrument for the purposes of the </w:t>
      </w:r>
      <w:r w:rsidR="00A7789C" w:rsidRPr="003C61B9">
        <w:rPr>
          <w:i/>
        </w:rPr>
        <w:t>Legislation Act</w:t>
      </w:r>
      <w:r w:rsidR="00C33F3A" w:rsidRPr="003C61B9">
        <w:rPr>
          <w:i/>
        </w:rPr>
        <w:t xml:space="preserve"> 2003</w:t>
      </w:r>
      <w:r w:rsidR="00C816BC" w:rsidRPr="00A166D3">
        <w:t xml:space="preserve">. </w:t>
      </w:r>
    </w:p>
    <w:p w14:paraId="2C3C0BCB" w14:textId="2F1CE6AF" w:rsidR="00A669D7" w:rsidRPr="00A166D3" w:rsidRDefault="00A669D7" w:rsidP="00A166D3">
      <w:pPr>
        <w:tabs>
          <w:tab w:val="left" w:pos="6521"/>
        </w:tabs>
        <w:spacing w:before="0"/>
        <w:ind w:right="91"/>
      </w:pPr>
    </w:p>
    <w:p w14:paraId="528B9112" w14:textId="1398F203" w:rsidR="00663921" w:rsidRPr="002647BC" w:rsidRDefault="00663921" w:rsidP="00A166D3">
      <w:pPr>
        <w:tabs>
          <w:tab w:val="left" w:pos="6521"/>
        </w:tabs>
        <w:spacing w:before="0"/>
        <w:ind w:right="91"/>
      </w:pPr>
      <w:r w:rsidRPr="00A166D3">
        <w:t>The Regulations</w:t>
      </w:r>
      <w:r w:rsidRPr="00F61976">
        <w:rPr>
          <w:szCs w:val="24"/>
        </w:rPr>
        <w:t xml:space="preserve"> commence on </w:t>
      </w:r>
      <w:r>
        <w:rPr>
          <w:szCs w:val="24"/>
        </w:rPr>
        <w:t>2 March 2019, and apply to</w:t>
      </w:r>
      <w:r>
        <w:t xml:space="preserve"> applications for Subclass 785 (Temporary Protection) visas or Subclass 790 (Safe Haven Enterprise) visas made, but not finally determined, before 2 March 2019, as well as to applications for those Subclasses of visa made on or after 2 March 2019.  The changes made by the Regulations are beneficial, and do not adversely impact the accrued rights of affected visa applicants; as a result, they are being applied to the “pipeline” of Subclass 785 (Temporary Protection) and Subclass 790 (Safe Haven Enterprise) visa applications made, but not fin</w:t>
      </w:r>
      <w:r w:rsidR="00CD67B8">
        <w:t>ally determined, before 2 March </w:t>
      </w:r>
      <w:r>
        <w:t xml:space="preserve">2019. </w:t>
      </w:r>
    </w:p>
    <w:p w14:paraId="52DCEEE5" w14:textId="7EB3FFC7" w:rsidR="004B2DD2" w:rsidRDefault="004B2DD2" w:rsidP="00DD3620">
      <w:pPr>
        <w:tabs>
          <w:tab w:val="left" w:pos="6521"/>
        </w:tabs>
        <w:spacing w:before="0"/>
        <w:ind w:right="521"/>
        <w:rPr>
          <w:szCs w:val="24"/>
        </w:rPr>
      </w:pPr>
    </w:p>
    <w:p w14:paraId="50C9C11B" w14:textId="7B5A9460" w:rsidR="00F33B9E" w:rsidRDefault="00F33B9E" w:rsidP="00DD3620">
      <w:pPr>
        <w:tabs>
          <w:tab w:val="left" w:pos="6521"/>
        </w:tabs>
        <w:spacing w:before="0"/>
        <w:ind w:right="521"/>
        <w:rPr>
          <w:szCs w:val="24"/>
        </w:rPr>
      </w:pPr>
    </w:p>
    <w:p w14:paraId="1C77A80E" w14:textId="77777777" w:rsidR="004B2DD2" w:rsidRPr="00F61976" w:rsidRDefault="004B2DD2">
      <w:pPr>
        <w:spacing w:before="0" w:after="200" w:line="276" w:lineRule="auto"/>
        <w:rPr>
          <w:szCs w:val="24"/>
        </w:rPr>
      </w:pPr>
      <w:r w:rsidRPr="00F61976">
        <w:rPr>
          <w:szCs w:val="24"/>
        </w:rPr>
        <w:br w:type="page"/>
      </w:r>
    </w:p>
    <w:p w14:paraId="16C54C88" w14:textId="77777777" w:rsidR="007F0DAD" w:rsidRPr="00F61976" w:rsidRDefault="007F0DAD" w:rsidP="00DD3620">
      <w:pPr>
        <w:tabs>
          <w:tab w:val="left" w:pos="6521"/>
        </w:tabs>
        <w:spacing w:before="0"/>
        <w:ind w:right="521"/>
        <w:rPr>
          <w:szCs w:val="24"/>
        </w:rPr>
      </w:pPr>
    </w:p>
    <w:p w14:paraId="3CBC3EDC" w14:textId="77777777" w:rsidR="00BF57A5" w:rsidRPr="00645B27" w:rsidRDefault="00BF57A5" w:rsidP="00BF57A5">
      <w:pPr>
        <w:spacing w:before="0"/>
        <w:ind w:right="42"/>
        <w:jc w:val="right"/>
        <w:rPr>
          <w:szCs w:val="24"/>
          <w:u w:val="single"/>
        </w:rPr>
      </w:pPr>
      <w:r w:rsidRPr="00645B27">
        <w:rPr>
          <w:b/>
          <w:szCs w:val="24"/>
          <w:u w:val="single"/>
        </w:rPr>
        <w:t>ATTACHMENT A</w:t>
      </w:r>
    </w:p>
    <w:p w14:paraId="1CC46015" w14:textId="77777777" w:rsidR="00BF57A5" w:rsidRPr="00645B27" w:rsidRDefault="00BF57A5" w:rsidP="00BF57A5">
      <w:pPr>
        <w:tabs>
          <w:tab w:val="left" w:pos="435"/>
        </w:tabs>
        <w:spacing w:before="0"/>
        <w:ind w:right="42"/>
        <w:rPr>
          <w:szCs w:val="24"/>
        </w:rPr>
      </w:pPr>
    </w:p>
    <w:p w14:paraId="34A6B728" w14:textId="77777777" w:rsidR="00BF57A5" w:rsidRPr="00645B27" w:rsidRDefault="00BF57A5" w:rsidP="00BF57A5">
      <w:pPr>
        <w:tabs>
          <w:tab w:val="left" w:pos="435"/>
        </w:tabs>
        <w:spacing w:before="0"/>
        <w:ind w:right="42"/>
        <w:jc w:val="center"/>
        <w:rPr>
          <w:b/>
          <w:szCs w:val="24"/>
        </w:rPr>
      </w:pPr>
      <w:r w:rsidRPr="00645B27">
        <w:rPr>
          <w:b/>
          <w:szCs w:val="24"/>
        </w:rPr>
        <w:t>AUTHORISING PROVISIONS</w:t>
      </w:r>
    </w:p>
    <w:p w14:paraId="7ACD55D7" w14:textId="77777777" w:rsidR="00BF57A5" w:rsidRPr="00645B27" w:rsidRDefault="00BF57A5" w:rsidP="00BF57A5">
      <w:pPr>
        <w:tabs>
          <w:tab w:val="left" w:pos="435"/>
        </w:tabs>
        <w:spacing w:before="0"/>
        <w:ind w:right="42"/>
        <w:rPr>
          <w:szCs w:val="24"/>
        </w:rPr>
      </w:pPr>
    </w:p>
    <w:p w14:paraId="326310EB" w14:textId="77777777" w:rsidR="00BF57A5" w:rsidRDefault="00BF57A5" w:rsidP="00BF57A5">
      <w:pPr>
        <w:spacing w:before="0"/>
        <w:ind w:right="42"/>
        <w:rPr>
          <w:szCs w:val="24"/>
        </w:rPr>
      </w:pPr>
      <w:r w:rsidRPr="005D7CFC">
        <w:rPr>
          <w:szCs w:val="24"/>
        </w:rPr>
        <w:t xml:space="preserve">Subsection 504(1) of </w:t>
      </w:r>
      <w:r>
        <w:rPr>
          <w:szCs w:val="24"/>
        </w:rPr>
        <w:t>the</w:t>
      </w:r>
      <w:r w:rsidRPr="005D7CFC">
        <w:rPr>
          <w:szCs w:val="24"/>
        </w:rPr>
        <w:t xml:space="preserve"> </w:t>
      </w:r>
      <w:r w:rsidRPr="00233F4A">
        <w:rPr>
          <w:i/>
          <w:szCs w:val="24"/>
        </w:rPr>
        <w:t>Migration Act 1958</w:t>
      </w:r>
      <w:r>
        <w:rPr>
          <w:szCs w:val="24"/>
        </w:rPr>
        <w:t xml:space="preserve"> (the Migration Act)</w:t>
      </w:r>
      <w:r w:rsidRPr="005D7CFC">
        <w:rPr>
          <w:szCs w:val="24"/>
        </w:rPr>
        <w:t xml:space="preserve"> relevantly provides that the Governor</w:t>
      </w:r>
      <w:r w:rsidRPr="005D7CFC">
        <w:rPr>
          <w:szCs w:val="24"/>
        </w:rPr>
        <w:noBreakHyphen/>
        <w:t>General may make regulations, not inconsistent with the</w:t>
      </w:r>
      <w:r>
        <w:rPr>
          <w:szCs w:val="24"/>
        </w:rPr>
        <w:t xml:space="preserve"> Migration</w:t>
      </w:r>
      <w:r w:rsidRPr="005D7CFC">
        <w:rPr>
          <w:szCs w:val="24"/>
        </w:rPr>
        <w:t xml:space="preserve"> Act, prescribing all matters which by the </w:t>
      </w:r>
      <w:r>
        <w:rPr>
          <w:szCs w:val="24"/>
        </w:rPr>
        <w:t xml:space="preserve">Migration </w:t>
      </w:r>
      <w:r w:rsidRPr="005D7CFC">
        <w:rPr>
          <w:szCs w:val="24"/>
        </w:rPr>
        <w:t xml:space="preserve">Act are required or permitted to be prescribed or which are necessary or convenient to be prescribed for carrying out or giving effect to the </w:t>
      </w:r>
      <w:r>
        <w:rPr>
          <w:szCs w:val="24"/>
        </w:rPr>
        <w:t xml:space="preserve">Migration </w:t>
      </w:r>
      <w:r w:rsidRPr="005D7CFC">
        <w:rPr>
          <w:szCs w:val="24"/>
        </w:rPr>
        <w:t>Act.</w:t>
      </w:r>
      <w:r w:rsidRPr="006A2F2C">
        <w:rPr>
          <w:szCs w:val="24"/>
        </w:rPr>
        <w:t xml:space="preserve"> </w:t>
      </w:r>
    </w:p>
    <w:p w14:paraId="1D8CCBEF" w14:textId="77777777" w:rsidR="00BF57A5" w:rsidRDefault="00BF57A5" w:rsidP="00BF57A5">
      <w:pPr>
        <w:spacing w:before="0"/>
        <w:ind w:right="42"/>
        <w:rPr>
          <w:szCs w:val="24"/>
        </w:rPr>
      </w:pPr>
    </w:p>
    <w:p w14:paraId="3D784B05" w14:textId="77777777" w:rsidR="00BF57A5" w:rsidRPr="00883F31" w:rsidRDefault="00BF57A5" w:rsidP="00BF57A5">
      <w:pPr>
        <w:spacing w:before="0"/>
        <w:ind w:right="43"/>
        <w:rPr>
          <w:szCs w:val="24"/>
        </w:rPr>
      </w:pPr>
      <w:r w:rsidRPr="0061423F">
        <w:rPr>
          <w:szCs w:val="24"/>
        </w:rPr>
        <w:t>In addition, the following provision</w:t>
      </w:r>
      <w:r>
        <w:rPr>
          <w:szCs w:val="24"/>
        </w:rPr>
        <w:t>s</w:t>
      </w:r>
      <w:r w:rsidRPr="0061423F">
        <w:rPr>
          <w:szCs w:val="24"/>
        </w:rPr>
        <w:t xml:space="preserve"> of the </w:t>
      </w:r>
      <w:r>
        <w:rPr>
          <w:szCs w:val="24"/>
        </w:rPr>
        <w:t xml:space="preserve">Migration </w:t>
      </w:r>
      <w:r w:rsidRPr="0061423F">
        <w:rPr>
          <w:szCs w:val="24"/>
        </w:rPr>
        <w:t>Act may apply:</w:t>
      </w:r>
    </w:p>
    <w:p w14:paraId="4AE2C553" w14:textId="77777777" w:rsidR="00BF57A5" w:rsidRPr="00F17203" w:rsidRDefault="00BF57A5" w:rsidP="00BF57A5">
      <w:pPr>
        <w:pStyle w:val="ListParagraph"/>
        <w:numPr>
          <w:ilvl w:val="0"/>
          <w:numId w:val="1"/>
        </w:numPr>
        <w:contextualSpacing w:val="0"/>
      </w:pPr>
      <w:r>
        <w:rPr>
          <w:szCs w:val="24"/>
        </w:rPr>
        <w:t>p</w:t>
      </w:r>
      <w:r w:rsidRPr="00A067D7">
        <w:rPr>
          <w:szCs w:val="24"/>
        </w:rPr>
        <w:t xml:space="preserve">aragraph </w:t>
      </w:r>
      <w:r>
        <w:rPr>
          <w:szCs w:val="24"/>
        </w:rPr>
        <w:t>46(1)(b), which provides that, subject to subsections (1A), (2) and (2A), an application for a visa is valid if, and only if, it satisfies the criteria and requirements prescribed under this section; and</w:t>
      </w:r>
    </w:p>
    <w:p w14:paraId="78B8D811" w14:textId="77777777" w:rsidR="00BF57A5" w:rsidRDefault="00BF57A5" w:rsidP="00BF57A5">
      <w:pPr>
        <w:pStyle w:val="ListParagraph"/>
        <w:numPr>
          <w:ilvl w:val="0"/>
          <w:numId w:val="1"/>
        </w:numPr>
        <w:contextualSpacing w:val="0"/>
      </w:pPr>
      <w:r>
        <w:rPr>
          <w:szCs w:val="24"/>
        </w:rPr>
        <w:t xml:space="preserve">subparagraph 65(1)(a)(ii), which provides that subject to sections 84 and 86, after considering a valid application for a visa, the Minister, if satisfied that the other criteria for it prescribed by this Act or regulations have been satisfied, is to grant the visa. </w:t>
      </w:r>
    </w:p>
    <w:p w14:paraId="467AF751" w14:textId="77777777" w:rsidR="00BF57A5" w:rsidRDefault="00BF57A5">
      <w:pPr>
        <w:spacing w:before="0" w:after="200" w:line="276" w:lineRule="auto"/>
        <w:rPr>
          <w:b/>
          <w:szCs w:val="24"/>
          <w:u w:val="single"/>
        </w:rPr>
      </w:pPr>
      <w:r>
        <w:rPr>
          <w:b/>
          <w:szCs w:val="24"/>
          <w:u w:val="single"/>
        </w:rPr>
        <w:br w:type="page"/>
      </w:r>
    </w:p>
    <w:p w14:paraId="6AE3506F" w14:textId="30D22AC5" w:rsidR="007F0DAD" w:rsidRPr="00F61976" w:rsidRDefault="007F0DAD" w:rsidP="007F0DAD">
      <w:pPr>
        <w:tabs>
          <w:tab w:val="left" w:pos="345"/>
        </w:tabs>
        <w:spacing w:before="0"/>
        <w:ind w:right="43"/>
        <w:contextualSpacing/>
        <w:jc w:val="right"/>
        <w:rPr>
          <w:b/>
          <w:szCs w:val="24"/>
          <w:u w:val="single"/>
        </w:rPr>
      </w:pPr>
      <w:r w:rsidRPr="00F61976">
        <w:rPr>
          <w:b/>
          <w:szCs w:val="24"/>
          <w:u w:val="single"/>
        </w:rPr>
        <w:lastRenderedPageBreak/>
        <w:t xml:space="preserve">ATTACHMENT </w:t>
      </w:r>
      <w:r w:rsidR="00BF57A5">
        <w:rPr>
          <w:b/>
          <w:szCs w:val="24"/>
          <w:u w:val="single"/>
        </w:rPr>
        <w:t>B</w:t>
      </w:r>
    </w:p>
    <w:p w14:paraId="2D919A40" w14:textId="77777777" w:rsidR="007F0DAD" w:rsidRPr="00F61976" w:rsidRDefault="007F0DAD" w:rsidP="007F0DAD">
      <w:pPr>
        <w:tabs>
          <w:tab w:val="left" w:pos="345"/>
        </w:tabs>
        <w:spacing w:before="0"/>
        <w:ind w:right="43"/>
        <w:contextualSpacing/>
        <w:jc w:val="right"/>
        <w:rPr>
          <w:b/>
          <w:szCs w:val="24"/>
          <w:u w:val="single"/>
        </w:rPr>
      </w:pPr>
    </w:p>
    <w:p w14:paraId="47D5B110" w14:textId="77777777" w:rsidR="00B23EE3" w:rsidRPr="00B23EE3" w:rsidRDefault="00B23EE3" w:rsidP="00B23EE3">
      <w:pPr>
        <w:pStyle w:val="Heading2"/>
        <w:spacing w:before="120"/>
        <w:jc w:val="center"/>
        <w:rPr>
          <w:rFonts w:ascii="Times New Roman" w:hAnsi="Times New Roman" w:cs="Times New Roman"/>
          <w:b/>
          <w:color w:val="auto"/>
          <w:sz w:val="28"/>
          <w:szCs w:val="28"/>
        </w:rPr>
      </w:pPr>
      <w:r w:rsidRPr="00B23EE3">
        <w:rPr>
          <w:rFonts w:ascii="Times New Roman" w:hAnsi="Times New Roman" w:cs="Times New Roman"/>
          <w:b/>
          <w:color w:val="auto"/>
          <w:sz w:val="28"/>
          <w:szCs w:val="28"/>
        </w:rPr>
        <w:t>Statement of Compatibility with Human Rights</w:t>
      </w:r>
    </w:p>
    <w:p w14:paraId="6BF698CA" w14:textId="77777777" w:rsidR="00B23EE3" w:rsidRPr="005E6DB2" w:rsidRDefault="00B23EE3" w:rsidP="00B23EE3">
      <w:pPr>
        <w:spacing w:before="120" w:after="120"/>
        <w:jc w:val="center"/>
        <w:rPr>
          <w:szCs w:val="24"/>
        </w:rPr>
      </w:pPr>
      <w:r w:rsidRPr="005E6DB2">
        <w:rPr>
          <w:i/>
          <w:szCs w:val="24"/>
        </w:rPr>
        <w:t>Prepared in accordance with Part 3 of the Human Rights (Parliamentary Scrutiny) Act 2011</w:t>
      </w:r>
    </w:p>
    <w:p w14:paraId="6E505F63" w14:textId="77777777" w:rsidR="00B23EE3" w:rsidRPr="005E6DB2" w:rsidRDefault="00B23EE3" w:rsidP="00B23EE3">
      <w:pPr>
        <w:spacing w:before="120" w:after="120"/>
        <w:jc w:val="center"/>
        <w:rPr>
          <w:szCs w:val="24"/>
        </w:rPr>
      </w:pPr>
    </w:p>
    <w:p w14:paraId="1C684949" w14:textId="77777777" w:rsidR="00B23EE3" w:rsidRPr="005E6DB2" w:rsidRDefault="00B23EE3" w:rsidP="00B23EE3">
      <w:pPr>
        <w:spacing w:before="120" w:after="120"/>
        <w:jc w:val="center"/>
        <w:rPr>
          <w:b/>
          <w:szCs w:val="24"/>
        </w:rPr>
      </w:pPr>
      <w:r w:rsidRPr="005E6DB2">
        <w:rPr>
          <w:b/>
          <w:szCs w:val="24"/>
        </w:rPr>
        <w:t xml:space="preserve">Migration Amendment (Chest X-ray Requirements) Regulations 2019 </w:t>
      </w:r>
    </w:p>
    <w:p w14:paraId="67D033C8" w14:textId="77777777" w:rsidR="00B23EE3" w:rsidRPr="005E6DB2" w:rsidRDefault="00B23EE3" w:rsidP="00B23EE3">
      <w:pPr>
        <w:spacing w:before="120" w:after="120"/>
        <w:jc w:val="center"/>
        <w:rPr>
          <w:szCs w:val="24"/>
        </w:rPr>
      </w:pPr>
    </w:p>
    <w:p w14:paraId="395F7DB0" w14:textId="77777777" w:rsidR="00B23EE3" w:rsidRPr="005E6DB2" w:rsidRDefault="00B23EE3" w:rsidP="00B23EE3">
      <w:pPr>
        <w:spacing w:before="120" w:after="120"/>
        <w:jc w:val="center"/>
        <w:rPr>
          <w:szCs w:val="24"/>
        </w:rPr>
      </w:pPr>
      <w:r w:rsidRPr="005E6DB2">
        <w:rPr>
          <w:szCs w:val="24"/>
        </w:rPr>
        <w:t xml:space="preserve">This Disallowable Legislative Instrument is compatible with the human rights and freedoms recognised or declared in the international instruments listed in section 3 of the </w:t>
      </w:r>
      <w:r w:rsidRPr="005E6DB2">
        <w:rPr>
          <w:i/>
          <w:szCs w:val="24"/>
        </w:rPr>
        <w:t>Human Rights (Parliamentary Scrutiny) Act 2011</w:t>
      </w:r>
      <w:r w:rsidRPr="005E6DB2">
        <w:rPr>
          <w:szCs w:val="24"/>
        </w:rPr>
        <w:t>.</w:t>
      </w:r>
    </w:p>
    <w:p w14:paraId="1F659059" w14:textId="77777777" w:rsidR="00B23EE3" w:rsidRPr="005E6DB2" w:rsidRDefault="00B23EE3" w:rsidP="00B23EE3">
      <w:pPr>
        <w:spacing w:before="120" w:after="120"/>
        <w:rPr>
          <w:szCs w:val="24"/>
        </w:rPr>
      </w:pPr>
    </w:p>
    <w:p w14:paraId="165F5DC8" w14:textId="77777777" w:rsidR="00B23EE3" w:rsidRPr="00B23EE3" w:rsidRDefault="00B23EE3" w:rsidP="00B23EE3">
      <w:pPr>
        <w:pStyle w:val="Heading3"/>
        <w:rPr>
          <w:rFonts w:ascii="Times New Roman" w:hAnsi="Times New Roman" w:cs="Times New Roman"/>
          <w:b/>
        </w:rPr>
      </w:pPr>
      <w:r w:rsidRPr="00B23EE3">
        <w:rPr>
          <w:rFonts w:ascii="Times New Roman" w:hAnsi="Times New Roman" w:cs="Times New Roman"/>
          <w:b/>
          <w:color w:val="auto"/>
        </w:rPr>
        <w:t>Overview of the Disallowable Legislative Instrument</w:t>
      </w:r>
    </w:p>
    <w:p w14:paraId="639D8504" w14:textId="1794C847" w:rsidR="00B23EE3" w:rsidRPr="005E6DB2" w:rsidRDefault="00B23EE3" w:rsidP="00B23EE3">
      <w:pPr>
        <w:spacing w:before="120" w:after="120"/>
        <w:rPr>
          <w:szCs w:val="24"/>
        </w:rPr>
      </w:pPr>
      <w:r w:rsidRPr="005E6DB2">
        <w:rPr>
          <w:szCs w:val="24"/>
        </w:rPr>
        <w:t xml:space="preserve">The amendments to the </w:t>
      </w:r>
      <w:r w:rsidRPr="005E6DB2">
        <w:rPr>
          <w:i/>
          <w:szCs w:val="24"/>
        </w:rPr>
        <w:t>Migration Regulations 1994</w:t>
      </w:r>
      <w:r w:rsidRPr="005E6DB2">
        <w:rPr>
          <w:szCs w:val="24"/>
        </w:rPr>
        <w:t xml:space="preserve"> (the Regulations) will remove the requirement for a chest x-ray for </w:t>
      </w:r>
      <w:r w:rsidR="00CD67B8">
        <w:rPr>
          <w:szCs w:val="24"/>
        </w:rPr>
        <w:t>Unauthorised Maritime Arrival (U</w:t>
      </w:r>
      <w:r w:rsidRPr="005E6DB2">
        <w:rPr>
          <w:szCs w:val="24"/>
        </w:rPr>
        <w:t xml:space="preserve">MA) minors who have turned eleven years of age since the grant of their last Temporary Protection (Class XD) (Subclass 785) visa (TPV) or Safe Haven Enterprise (Class XE) (Subclass 790) visa (SHEV) and who are applying for a subsequent TPV or SHEV. </w:t>
      </w:r>
    </w:p>
    <w:p w14:paraId="2D04CF9C" w14:textId="7ADDCC05" w:rsidR="00B23EE3" w:rsidRPr="005E6DB2" w:rsidRDefault="00B23EE3" w:rsidP="00B23EE3">
      <w:pPr>
        <w:spacing w:before="120" w:after="120"/>
        <w:rPr>
          <w:szCs w:val="24"/>
        </w:rPr>
      </w:pPr>
      <w:r w:rsidRPr="005E6DB2">
        <w:rPr>
          <w:szCs w:val="24"/>
        </w:rPr>
        <w:t xml:space="preserve">Currently subclause 785.223(3) and subclause 790.223(3) requires minors who have turned eleven years of age since the grant of their last TPV or SHEV to undertake a chest x-ray for tuberculosis screening. </w:t>
      </w:r>
      <w:r w:rsidR="00CD67B8">
        <w:rPr>
          <w:szCs w:val="24"/>
        </w:rPr>
        <w:t>UMA</w:t>
      </w:r>
      <w:r w:rsidRPr="005E6DB2">
        <w:rPr>
          <w:szCs w:val="24"/>
        </w:rPr>
        <w:t xml:space="preserve"> minors, however, would have already completed these examinations while they were in immigration detention or as part of a previous TPV or SHEV application. If the minor was born to </w:t>
      </w:r>
      <w:r w:rsidR="00CD67B8">
        <w:rPr>
          <w:szCs w:val="24"/>
        </w:rPr>
        <w:t>UMA</w:t>
      </w:r>
      <w:r w:rsidRPr="005E6DB2">
        <w:rPr>
          <w:szCs w:val="24"/>
        </w:rPr>
        <w:t xml:space="preserve">s in Australia, they have lived their whole life in Australia.  As such, </w:t>
      </w:r>
      <w:r w:rsidR="00CD67B8">
        <w:rPr>
          <w:szCs w:val="24"/>
        </w:rPr>
        <w:t>UMA</w:t>
      </w:r>
      <w:r w:rsidRPr="005E6DB2">
        <w:rPr>
          <w:szCs w:val="24"/>
        </w:rPr>
        <w:t xml:space="preserve"> minors would have completed tuberculosis screening up to three times and/or had their health care managed through the public health system in Australia. </w:t>
      </w:r>
    </w:p>
    <w:p w14:paraId="2C9D4F64" w14:textId="4E251337" w:rsidR="00B23EE3" w:rsidRPr="005E6DB2" w:rsidRDefault="00B23EE3" w:rsidP="00B23EE3">
      <w:pPr>
        <w:spacing w:before="120" w:after="120"/>
        <w:rPr>
          <w:szCs w:val="24"/>
        </w:rPr>
      </w:pPr>
      <w:r w:rsidRPr="005E6DB2">
        <w:rPr>
          <w:szCs w:val="24"/>
        </w:rPr>
        <w:t xml:space="preserve">An Independent Health Advice Panel (IHAP) member commissioned by the Department of Home Affairs to review health policy settings for </w:t>
      </w:r>
      <w:r w:rsidR="00CD67B8">
        <w:rPr>
          <w:szCs w:val="24"/>
        </w:rPr>
        <w:t>UMA</w:t>
      </w:r>
      <w:r w:rsidRPr="005E6DB2">
        <w:rPr>
          <w:szCs w:val="24"/>
        </w:rPr>
        <w:t xml:space="preserve">s found there was no clinical benefit to </w:t>
      </w:r>
      <w:r w:rsidR="00CD67B8">
        <w:rPr>
          <w:szCs w:val="24"/>
        </w:rPr>
        <w:t>UMA</w:t>
      </w:r>
      <w:r w:rsidRPr="005E6DB2">
        <w:rPr>
          <w:szCs w:val="24"/>
        </w:rPr>
        <w:t xml:space="preserve"> minors to undergo additional chest x-rays as they pose an extremely low health risk to the community. </w:t>
      </w:r>
      <w:bookmarkStart w:id="0" w:name="_GoBack"/>
      <w:bookmarkEnd w:id="0"/>
    </w:p>
    <w:p w14:paraId="29FB8041" w14:textId="21B27511" w:rsidR="00B23EE3" w:rsidRPr="005E6DB2" w:rsidRDefault="00B23EE3" w:rsidP="00B23EE3">
      <w:pPr>
        <w:spacing w:before="120" w:after="120"/>
        <w:rPr>
          <w:szCs w:val="24"/>
        </w:rPr>
      </w:pPr>
      <w:r w:rsidRPr="005E6DB2">
        <w:rPr>
          <w:szCs w:val="24"/>
        </w:rPr>
        <w:t xml:space="preserve">The amendments add a new subclause at the end of clause 785.223 and clause 790.223 to specify </w:t>
      </w:r>
      <w:r w:rsidR="00CD67B8">
        <w:rPr>
          <w:szCs w:val="24"/>
        </w:rPr>
        <w:t>UMA</w:t>
      </w:r>
      <w:r w:rsidRPr="005E6DB2">
        <w:rPr>
          <w:szCs w:val="24"/>
        </w:rPr>
        <w:t xml:space="preserve"> minors who have turned 11 since the grant of their last TPV or SHEV do not need to undertake a chest x-ray. </w:t>
      </w:r>
    </w:p>
    <w:p w14:paraId="3073F7AF" w14:textId="77777777" w:rsidR="00B23EE3" w:rsidRPr="005E6DB2" w:rsidRDefault="00B23EE3" w:rsidP="00B23EE3">
      <w:pPr>
        <w:spacing w:before="120" w:after="120"/>
        <w:rPr>
          <w:szCs w:val="24"/>
        </w:rPr>
      </w:pPr>
      <w:r w:rsidRPr="005E6DB2">
        <w:rPr>
          <w:szCs w:val="24"/>
        </w:rPr>
        <w:t xml:space="preserve">These measures aim to remove the requirement for unnecessary chest x-rays that have been found to be of no benefit and to reduce a child’s exposure to ionising radiation. </w:t>
      </w:r>
    </w:p>
    <w:p w14:paraId="6BF1C5A5" w14:textId="77777777" w:rsidR="00B23EE3" w:rsidRPr="005E6DB2" w:rsidRDefault="00B23EE3" w:rsidP="00B23EE3">
      <w:pPr>
        <w:spacing w:before="120" w:after="120"/>
        <w:rPr>
          <w:szCs w:val="24"/>
        </w:rPr>
      </w:pPr>
    </w:p>
    <w:p w14:paraId="35383950" w14:textId="77777777" w:rsidR="00B23EE3" w:rsidRPr="00B23EE3" w:rsidRDefault="00B23EE3" w:rsidP="00B23EE3">
      <w:pPr>
        <w:pStyle w:val="Heading3"/>
        <w:rPr>
          <w:rFonts w:ascii="Times New Roman" w:hAnsi="Times New Roman" w:cs="Times New Roman"/>
          <w:b/>
        </w:rPr>
      </w:pPr>
      <w:r w:rsidRPr="00B23EE3">
        <w:rPr>
          <w:rFonts w:ascii="Times New Roman" w:hAnsi="Times New Roman" w:cs="Times New Roman"/>
          <w:b/>
          <w:color w:val="auto"/>
        </w:rPr>
        <w:t>Human rights implications</w:t>
      </w:r>
    </w:p>
    <w:p w14:paraId="48FB7AF8" w14:textId="77777777" w:rsidR="00B23EE3" w:rsidRPr="005E6DB2" w:rsidRDefault="00B23EE3" w:rsidP="00B23EE3">
      <w:pPr>
        <w:spacing w:before="120" w:after="120"/>
        <w:rPr>
          <w:szCs w:val="24"/>
        </w:rPr>
      </w:pPr>
      <w:r w:rsidRPr="005E6DB2">
        <w:rPr>
          <w:szCs w:val="24"/>
        </w:rPr>
        <w:t>Right to health</w:t>
      </w:r>
    </w:p>
    <w:p w14:paraId="72A94BD1" w14:textId="77777777" w:rsidR="00B23EE3" w:rsidRPr="005E6DB2" w:rsidRDefault="00B23EE3" w:rsidP="00B23EE3">
      <w:pPr>
        <w:spacing w:before="120" w:after="120"/>
        <w:rPr>
          <w:szCs w:val="24"/>
        </w:rPr>
      </w:pPr>
      <w:r w:rsidRPr="005E6DB2">
        <w:rPr>
          <w:szCs w:val="24"/>
        </w:rPr>
        <w:t xml:space="preserve">Article 12 of the International Covenant on Economic Social and Cultural Rights (ICESCR) states: </w:t>
      </w:r>
    </w:p>
    <w:p w14:paraId="63CE74F4" w14:textId="77777777" w:rsidR="00B23EE3" w:rsidRPr="005E6DB2" w:rsidRDefault="00B23EE3" w:rsidP="00B23EE3">
      <w:pPr>
        <w:pStyle w:val="NormalWeb"/>
        <w:spacing w:before="120" w:beforeAutospacing="0" w:after="120" w:afterAutospacing="0"/>
        <w:ind w:left="720"/>
        <w:rPr>
          <w:i/>
        </w:rPr>
      </w:pPr>
      <w:r w:rsidRPr="005E6DB2">
        <w:rPr>
          <w:i/>
        </w:rPr>
        <w:t>The States Parties to the present Covenant recognize the right of everyone to the enjoyment of the highest attainable standard of physical and mental health.</w:t>
      </w:r>
    </w:p>
    <w:p w14:paraId="0269A15E" w14:textId="77777777" w:rsidR="00B23EE3" w:rsidRPr="005E6DB2" w:rsidRDefault="00B23EE3" w:rsidP="00B23EE3">
      <w:pPr>
        <w:spacing w:before="120" w:after="120"/>
        <w:rPr>
          <w:szCs w:val="24"/>
        </w:rPr>
      </w:pPr>
      <w:r w:rsidRPr="005E6DB2">
        <w:rPr>
          <w:szCs w:val="24"/>
        </w:rPr>
        <w:t xml:space="preserve">The UN Committee on Economic Social and Cultural Rights states in its General Comment No 14, ‘the right to health must be understood as a right to the enjoyment of a variety of facilities, </w:t>
      </w:r>
      <w:r w:rsidRPr="005E6DB2">
        <w:rPr>
          <w:szCs w:val="24"/>
        </w:rPr>
        <w:lastRenderedPageBreak/>
        <w:t xml:space="preserve">goods, services, and conditions necessary for the realisation of the highest attainable standard of health.’ </w:t>
      </w:r>
    </w:p>
    <w:p w14:paraId="296035C4" w14:textId="77777777" w:rsidR="00B23EE3" w:rsidRPr="005E6DB2" w:rsidRDefault="00B23EE3" w:rsidP="00B23EE3">
      <w:pPr>
        <w:spacing w:before="120" w:after="120"/>
        <w:rPr>
          <w:szCs w:val="24"/>
        </w:rPr>
      </w:pPr>
      <w:r w:rsidRPr="005E6DB2">
        <w:rPr>
          <w:szCs w:val="24"/>
        </w:rPr>
        <w:t>The Australian Radiation Protection and Nuclear Safety Agency notes that ‘the foetus and children are more sensitive to ionising radiation exposure than adults’</w:t>
      </w:r>
      <w:r w:rsidRPr="005E6DB2">
        <w:rPr>
          <w:rStyle w:val="FootnoteReference"/>
          <w:szCs w:val="24"/>
        </w:rPr>
        <w:footnoteReference w:id="1"/>
      </w:r>
      <w:r w:rsidRPr="005E6DB2">
        <w:rPr>
          <w:szCs w:val="24"/>
        </w:rPr>
        <w:t>.</w:t>
      </w:r>
    </w:p>
    <w:p w14:paraId="6AFB76E5" w14:textId="77777777" w:rsidR="00B23EE3" w:rsidRPr="005E6DB2" w:rsidRDefault="00B23EE3" w:rsidP="00B23EE3">
      <w:pPr>
        <w:spacing w:before="120" w:after="120"/>
        <w:rPr>
          <w:szCs w:val="24"/>
        </w:rPr>
      </w:pPr>
      <w:r w:rsidRPr="005E6DB2">
        <w:rPr>
          <w:szCs w:val="24"/>
        </w:rPr>
        <w:t xml:space="preserve">Australia’s </w:t>
      </w:r>
      <w:r w:rsidRPr="005E6DB2">
        <w:rPr>
          <w:i/>
          <w:szCs w:val="24"/>
        </w:rPr>
        <w:t>Code of Practice for Radiation Protection in the Medical Applications of Ionizing Radiation 2008</w:t>
      </w:r>
      <w:r w:rsidRPr="005E6DB2">
        <w:rPr>
          <w:szCs w:val="24"/>
        </w:rPr>
        <w:t xml:space="preserve"> establishes the regulatory requirements for the use ionizing radiation in medicine to ‘ensure that the risks associated with radiation exposure to the patient are optimised’</w:t>
      </w:r>
      <w:r w:rsidRPr="005E6DB2">
        <w:rPr>
          <w:rStyle w:val="FootnoteReference"/>
          <w:szCs w:val="24"/>
        </w:rPr>
        <w:footnoteReference w:id="2"/>
      </w:r>
      <w:r w:rsidRPr="005E6DB2">
        <w:rPr>
          <w:szCs w:val="24"/>
        </w:rPr>
        <w:t>. In section 2.1.1 it states:</w:t>
      </w:r>
    </w:p>
    <w:p w14:paraId="4C0D261A" w14:textId="77777777" w:rsidR="00B23EE3" w:rsidRPr="005E6DB2" w:rsidRDefault="00B23EE3" w:rsidP="00B23EE3">
      <w:pPr>
        <w:pStyle w:val="NormalWeb"/>
        <w:spacing w:before="120" w:beforeAutospacing="0" w:after="120" w:afterAutospacing="0"/>
        <w:ind w:left="720"/>
        <w:rPr>
          <w:i/>
        </w:rPr>
      </w:pPr>
      <w:r w:rsidRPr="005E6DB2">
        <w:rPr>
          <w:i/>
        </w:rPr>
        <w:t xml:space="preserve">Before a medical procedure involving exposure of an individual to ionizing radiation is approved or commenced, the procedure must be justified for that individual. </w:t>
      </w:r>
    </w:p>
    <w:p w14:paraId="2F7B977A" w14:textId="5426A547" w:rsidR="00B23EE3" w:rsidRPr="005E6DB2" w:rsidRDefault="00B23EE3" w:rsidP="00B23EE3">
      <w:pPr>
        <w:spacing w:before="120" w:after="120"/>
        <w:rPr>
          <w:szCs w:val="24"/>
        </w:rPr>
      </w:pPr>
      <w:r w:rsidRPr="005E6DB2">
        <w:rPr>
          <w:szCs w:val="24"/>
        </w:rPr>
        <w:t xml:space="preserve">The amendments support these objectives by repealing the requirement for </w:t>
      </w:r>
      <w:r w:rsidR="00CD67B8">
        <w:rPr>
          <w:szCs w:val="24"/>
        </w:rPr>
        <w:t>UMA</w:t>
      </w:r>
      <w:r w:rsidRPr="005E6DB2">
        <w:rPr>
          <w:szCs w:val="24"/>
        </w:rPr>
        <w:t xml:space="preserve"> minors to go through unnecessary medical tests which provide no benefit. The measures do not seek to remove or otherwise reduce the quality, availability or accessibility of health care for </w:t>
      </w:r>
      <w:r w:rsidR="00CD67B8">
        <w:rPr>
          <w:szCs w:val="24"/>
        </w:rPr>
        <w:t>UMA</w:t>
      </w:r>
      <w:r w:rsidRPr="005E6DB2">
        <w:rPr>
          <w:szCs w:val="24"/>
        </w:rPr>
        <w:t xml:space="preserve"> minors in Australia.</w:t>
      </w:r>
    </w:p>
    <w:p w14:paraId="336EE99B" w14:textId="15A03F5C" w:rsidR="00B23EE3" w:rsidRPr="005E6DB2" w:rsidRDefault="00B23EE3" w:rsidP="00B23EE3">
      <w:pPr>
        <w:spacing w:before="120" w:after="120"/>
        <w:rPr>
          <w:szCs w:val="24"/>
        </w:rPr>
      </w:pPr>
      <w:r w:rsidRPr="005E6DB2">
        <w:rPr>
          <w:szCs w:val="24"/>
        </w:rPr>
        <w:t xml:space="preserve">The measures do not limit the right to health of other members of the community as there will be no increase in risk to public health. </w:t>
      </w:r>
      <w:r w:rsidR="00CD67B8">
        <w:rPr>
          <w:szCs w:val="24"/>
        </w:rPr>
        <w:t>UMA</w:t>
      </w:r>
      <w:r w:rsidRPr="005E6DB2">
        <w:rPr>
          <w:szCs w:val="24"/>
        </w:rPr>
        <w:t xml:space="preserve"> minors are currently living in the community on either a TPV or SHEV and have already been screened for Tuberculosis.</w:t>
      </w:r>
    </w:p>
    <w:p w14:paraId="4104A152" w14:textId="77777777" w:rsidR="00B23EE3" w:rsidRPr="005E6DB2" w:rsidRDefault="00B23EE3" w:rsidP="00B23EE3">
      <w:pPr>
        <w:spacing w:before="120" w:after="120"/>
        <w:rPr>
          <w:szCs w:val="24"/>
        </w:rPr>
      </w:pPr>
    </w:p>
    <w:p w14:paraId="69ADA19A" w14:textId="77777777" w:rsidR="00B23EE3" w:rsidRPr="005E6DB2" w:rsidRDefault="00B23EE3" w:rsidP="00B23EE3">
      <w:pPr>
        <w:spacing w:before="120" w:after="120"/>
        <w:rPr>
          <w:szCs w:val="24"/>
        </w:rPr>
      </w:pPr>
      <w:r w:rsidRPr="005E6DB2">
        <w:rPr>
          <w:szCs w:val="24"/>
        </w:rPr>
        <w:t>Rights of the child</w:t>
      </w:r>
    </w:p>
    <w:p w14:paraId="451D707B" w14:textId="77777777" w:rsidR="00B23EE3" w:rsidRPr="005E6DB2" w:rsidRDefault="00B23EE3" w:rsidP="00B23EE3">
      <w:pPr>
        <w:spacing w:before="120" w:after="120"/>
        <w:rPr>
          <w:szCs w:val="24"/>
        </w:rPr>
      </w:pPr>
      <w:r w:rsidRPr="005E6DB2">
        <w:rPr>
          <w:szCs w:val="24"/>
        </w:rPr>
        <w:t>Article 3(1) of the Convention on the Rights of the Child (CRC) states:</w:t>
      </w:r>
    </w:p>
    <w:p w14:paraId="1570E8DE" w14:textId="77777777" w:rsidR="00B23EE3" w:rsidRPr="005E6DB2" w:rsidRDefault="00B23EE3" w:rsidP="00B23EE3">
      <w:pPr>
        <w:pStyle w:val="NormalWeb"/>
        <w:spacing w:before="120" w:beforeAutospacing="0" w:after="120" w:afterAutospacing="0"/>
        <w:ind w:left="720"/>
        <w:rPr>
          <w:i/>
        </w:rPr>
      </w:pPr>
      <w:r w:rsidRPr="005E6DB2">
        <w:rPr>
          <w:i/>
        </w:rPr>
        <w:t>In all actions concerning children, whether undertaken by public or private social welfare institutions, courts of law, administrative authorities or legislative bodies, the best interests of the child shall be a primary consideration.</w:t>
      </w:r>
    </w:p>
    <w:p w14:paraId="27A23962" w14:textId="77777777" w:rsidR="00B23EE3" w:rsidRPr="005E6DB2" w:rsidRDefault="00B23EE3" w:rsidP="00B23EE3">
      <w:pPr>
        <w:spacing w:before="120" w:after="120"/>
        <w:rPr>
          <w:szCs w:val="24"/>
        </w:rPr>
      </w:pPr>
      <w:r w:rsidRPr="005E6DB2">
        <w:rPr>
          <w:szCs w:val="24"/>
        </w:rPr>
        <w:t xml:space="preserve">The Government is committed to act in accordance with Article 3 of the CRC. These amendments positively engage this Article by promoting the healthy development of children by avoiding unnecessary exposure to ionising radiation. </w:t>
      </w:r>
    </w:p>
    <w:p w14:paraId="158028F0" w14:textId="1DA7996B" w:rsidR="00B23EE3" w:rsidRPr="005E6DB2" w:rsidRDefault="00B23EE3" w:rsidP="00B23EE3">
      <w:pPr>
        <w:spacing w:before="120" w:after="120"/>
        <w:rPr>
          <w:szCs w:val="24"/>
        </w:rPr>
      </w:pPr>
      <w:r w:rsidRPr="005E6DB2">
        <w:rPr>
          <w:szCs w:val="24"/>
        </w:rPr>
        <w:t xml:space="preserve">The amendments also reduce the regulatory burden on </w:t>
      </w:r>
      <w:r w:rsidR="00CD67B8">
        <w:rPr>
          <w:szCs w:val="24"/>
        </w:rPr>
        <w:t>UMA</w:t>
      </w:r>
      <w:r w:rsidRPr="005E6DB2">
        <w:rPr>
          <w:szCs w:val="24"/>
        </w:rPr>
        <w:t xml:space="preserve"> minors and their families by removing the need for excessive medical procedures. </w:t>
      </w:r>
    </w:p>
    <w:p w14:paraId="70AF4BD6" w14:textId="77777777" w:rsidR="00B23EE3" w:rsidRPr="005E6DB2" w:rsidRDefault="00B23EE3" w:rsidP="00B23EE3">
      <w:pPr>
        <w:spacing w:before="120" w:after="120"/>
        <w:rPr>
          <w:szCs w:val="24"/>
        </w:rPr>
      </w:pPr>
    </w:p>
    <w:p w14:paraId="0FFD49FB" w14:textId="77777777" w:rsidR="00B23EE3" w:rsidRPr="00B23EE3" w:rsidRDefault="00B23EE3" w:rsidP="00B23EE3">
      <w:pPr>
        <w:pStyle w:val="Heading3"/>
        <w:rPr>
          <w:rFonts w:ascii="Times New Roman" w:hAnsi="Times New Roman" w:cs="Times New Roman"/>
          <w:b/>
        </w:rPr>
      </w:pPr>
      <w:r w:rsidRPr="00B23EE3">
        <w:rPr>
          <w:rFonts w:ascii="Times New Roman" w:hAnsi="Times New Roman" w:cs="Times New Roman"/>
          <w:b/>
          <w:color w:val="auto"/>
        </w:rPr>
        <w:t>Conclusion</w:t>
      </w:r>
    </w:p>
    <w:p w14:paraId="030BD1C4" w14:textId="77777777" w:rsidR="00B23EE3" w:rsidRPr="005E6DB2" w:rsidRDefault="00B23EE3" w:rsidP="00B23EE3">
      <w:pPr>
        <w:spacing w:before="120" w:after="120"/>
        <w:rPr>
          <w:szCs w:val="24"/>
        </w:rPr>
      </w:pPr>
      <w:r w:rsidRPr="005E6DB2">
        <w:rPr>
          <w:szCs w:val="24"/>
        </w:rPr>
        <w:t xml:space="preserve">This Legislative Instrument is compatible with human rights as the measures which engage human rights do so on the basis that those rights are advanced. </w:t>
      </w:r>
    </w:p>
    <w:p w14:paraId="777B0CCA" w14:textId="77777777" w:rsidR="00B23EE3" w:rsidRPr="005E6DB2" w:rsidRDefault="00B23EE3" w:rsidP="00B23EE3">
      <w:pPr>
        <w:spacing w:before="120" w:after="120"/>
        <w:rPr>
          <w:szCs w:val="24"/>
        </w:rPr>
      </w:pPr>
    </w:p>
    <w:p w14:paraId="46A69141" w14:textId="77777777" w:rsidR="00B23EE3" w:rsidRPr="005E6DB2" w:rsidRDefault="00B23EE3" w:rsidP="00B23EE3">
      <w:pPr>
        <w:spacing w:before="120" w:after="120"/>
      </w:pPr>
      <w:r w:rsidRPr="005E6DB2">
        <w:rPr>
          <w:b/>
          <w:szCs w:val="24"/>
        </w:rPr>
        <w:t>The Hon. David Coleman MP, Minister for Immigration, Citizenship and Multicultural Affairs</w:t>
      </w:r>
    </w:p>
    <w:p w14:paraId="32F84EE4" w14:textId="0BA64176" w:rsidR="00EE5AC6" w:rsidRDefault="00EE5AC6">
      <w:pPr>
        <w:spacing w:before="0" w:after="200" w:line="276" w:lineRule="auto"/>
        <w:rPr>
          <w:szCs w:val="24"/>
        </w:rPr>
      </w:pPr>
      <w:r>
        <w:rPr>
          <w:szCs w:val="24"/>
        </w:rPr>
        <w:br w:type="page"/>
      </w:r>
    </w:p>
    <w:p w14:paraId="1423EE83" w14:textId="10FE4306" w:rsidR="007F0DAD" w:rsidRPr="00F61976" w:rsidRDefault="007F0DAD" w:rsidP="007F0DAD">
      <w:pPr>
        <w:tabs>
          <w:tab w:val="left" w:pos="345"/>
        </w:tabs>
        <w:spacing w:before="100" w:beforeAutospacing="1"/>
        <w:ind w:right="43"/>
        <w:contextualSpacing/>
        <w:jc w:val="right"/>
        <w:rPr>
          <w:b/>
          <w:szCs w:val="24"/>
          <w:u w:val="single"/>
        </w:rPr>
      </w:pPr>
      <w:r w:rsidRPr="00F61976">
        <w:rPr>
          <w:b/>
          <w:szCs w:val="24"/>
          <w:u w:val="single"/>
        </w:rPr>
        <w:lastRenderedPageBreak/>
        <w:t xml:space="preserve">ATTACHMENT </w:t>
      </w:r>
      <w:r w:rsidR="00BF57A5">
        <w:rPr>
          <w:b/>
          <w:szCs w:val="24"/>
          <w:u w:val="single"/>
        </w:rPr>
        <w:t>C</w:t>
      </w:r>
    </w:p>
    <w:p w14:paraId="4181E2BE" w14:textId="77777777" w:rsidR="007F0DAD" w:rsidRPr="00F61976" w:rsidRDefault="007F0DAD" w:rsidP="007F0DAD">
      <w:pPr>
        <w:tabs>
          <w:tab w:val="left" w:pos="345"/>
        </w:tabs>
        <w:spacing w:before="100" w:beforeAutospacing="1"/>
        <w:ind w:right="43"/>
        <w:contextualSpacing/>
        <w:jc w:val="right"/>
        <w:rPr>
          <w:b/>
          <w:szCs w:val="24"/>
          <w:u w:val="single"/>
        </w:rPr>
      </w:pPr>
    </w:p>
    <w:p w14:paraId="46A9E44D" w14:textId="77777777" w:rsidR="00591BDD" w:rsidRPr="00A124FF" w:rsidRDefault="00591BDD" w:rsidP="00591BDD">
      <w:pPr>
        <w:spacing w:before="0"/>
        <w:ind w:right="40"/>
        <w:rPr>
          <w:b/>
          <w:i/>
          <w:szCs w:val="24"/>
          <w:u w:val="single"/>
        </w:rPr>
      </w:pPr>
      <w:r w:rsidRPr="00F61976">
        <w:rPr>
          <w:b/>
          <w:u w:val="single"/>
        </w:rPr>
        <w:t xml:space="preserve">Details of the </w:t>
      </w:r>
      <w:r w:rsidRPr="00A124FF">
        <w:rPr>
          <w:b/>
          <w:i/>
          <w:szCs w:val="24"/>
          <w:u w:val="single"/>
        </w:rPr>
        <w:t>Migration Amendment (Chest X-ray Requirements) Regulations 2019</w:t>
      </w:r>
    </w:p>
    <w:p w14:paraId="7EA833FD" w14:textId="77777777" w:rsidR="00591BDD" w:rsidRPr="00F61976" w:rsidRDefault="00591BDD" w:rsidP="00591BDD">
      <w:pPr>
        <w:pStyle w:val="ItemHead"/>
        <w:keepNext w:val="0"/>
        <w:keepLines w:val="0"/>
        <w:widowControl w:val="0"/>
        <w:ind w:left="0" w:firstLine="0"/>
        <w:rPr>
          <w:rFonts w:ascii="Times New Roman" w:hAnsi="Times New Roman"/>
          <w:b w:val="0"/>
          <w:szCs w:val="24"/>
          <w:u w:val="single"/>
        </w:rPr>
      </w:pPr>
      <w:bookmarkStart w:id="1" w:name="_Toc505262124"/>
      <w:bookmarkStart w:id="2" w:name="opcAmSched"/>
      <w:bookmarkStart w:id="3" w:name="opcCurrentFind"/>
      <w:r>
        <w:rPr>
          <w:rFonts w:ascii="Times New Roman" w:hAnsi="Times New Roman"/>
          <w:b w:val="0"/>
          <w:szCs w:val="24"/>
          <w:u w:val="single"/>
        </w:rPr>
        <w:t>Section</w:t>
      </w:r>
      <w:r w:rsidRPr="00F61976">
        <w:rPr>
          <w:rFonts w:ascii="Times New Roman" w:hAnsi="Times New Roman"/>
          <w:b w:val="0"/>
          <w:szCs w:val="24"/>
          <w:u w:val="single"/>
        </w:rPr>
        <w:t xml:space="preserve"> 1 – Name</w:t>
      </w:r>
    </w:p>
    <w:p w14:paraId="15DF5ED5" w14:textId="77777777" w:rsidR="00591BDD" w:rsidRPr="00F61976" w:rsidRDefault="00591BDD" w:rsidP="00591BDD">
      <w:pPr>
        <w:spacing w:before="0"/>
        <w:ind w:right="91"/>
      </w:pPr>
    </w:p>
    <w:p w14:paraId="3545D6D7" w14:textId="77777777" w:rsidR="00591BDD" w:rsidRPr="00A124FF" w:rsidRDefault="00591BDD" w:rsidP="00591BDD">
      <w:pPr>
        <w:rPr>
          <w:rFonts w:eastAsia="SimSun"/>
          <w:szCs w:val="24"/>
        </w:rPr>
      </w:pPr>
      <w:r w:rsidRPr="00A124FF">
        <w:rPr>
          <w:rFonts w:eastAsia="SimSun"/>
          <w:szCs w:val="24"/>
        </w:rPr>
        <w:t xml:space="preserve">This section provides that the title of the Regulations is the </w:t>
      </w:r>
      <w:r w:rsidRPr="00A124FF">
        <w:rPr>
          <w:rFonts w:eastAsia="SimSun"/>
          <w:i/>
          <w:szCs w:val="24"/>
        </w:rPr>
        <w:t>Migration Amendment (Chest X-ray Requirements) Regulations 2019</w:t>
      </w:r>
      <w:r>
        <w:rPr>
          <w:rFonts w:eastAsia="SimSun"/>
          <w:szCs w:val="24"/>
        </w:rPr>
        <w:t xml:space="preserve"> </w:t>
      </w:r>
      <w:r>
        <w:t xml:space="preserve">(the Regulations).  </w:t>
      </w:r>
    </w:p>
    <w:p w14:paraId="534FB831" w14:textId="77777777" w:rsidR="00591BDD" w:rsidRPr="00F61976" w:rsidRDefault="00591BDD" w:rsidP="00591BDD">
      <w:pPr>
        <w:rPr>
          <w:b/>
          <w:szCs w:val="24"/>
          <w:u w:val="single"/>
        </w:rPr>
      </w:pPr>
      <w:r>
        <w:rPr>
          <w:szCs w:val="24"/>
          <w:u w:val="single"/>
        </w:rPr>
        <w:t>Section</w:t>
      </w:r>
      <w:r w:rsidRPr="00F61976">
        <w:rPr>
          <w:szCs w:val="24"/>
          <w:u w:val="single"/>
        </w:rPr>
        <w:t xml:space="preserve"> 2 – Commencement</w:t>
      </w:r>
    </w:p>
    <w:p w14:paraId="345A1195" w14:textId="77777777" w:rsidR="00591BDD" w:rsidRPr="00F61976" w:rsidRDefault="00591BDD" w:rsidP="00591BDD">
      <w:r w:rsidRPr="00F22986">
        <w:rPr>
          <w:rFonts w:eastAsia="SimSun"/>
          <w:szCs w:val="24"/>
        </w:rPr>
        <w:t>This section is the formal enabling provision for the instrument (that is, for the whole of the Regulations)</w:t>
      </w:r>
      <w:r>
        <w:rPr>
          <w:rFonts w:eastAsia="SimSun"/>
          <w:szCs w:val="24"/>
        </w:rPr>
        <w:t>.  It</w:t>
      </w:r>
      <w:r w:rsidRPr="00F61976">
        <w:t xml:space="preserve"> provides that the instrument commences on </w:t>
      </w:r>
      <w:r>
        <w:t>2 March 2019</w:t>
      </w:r>
      <w:r w:rsidRPr="00F61976">
        <w:t>.</w:t>
      </w:r>
    </w:p>
    <w:p w14:paraId="7E615C8A" w14:textId="77777777" w:rsidR="00591BDD" w:rsidRPr="00F61976" w:rsidRDefault="00591BDD" w:rsidP="00591BDD">
      <w:pPr>
        <w:rPr>
          <w:b/>
          <w:szCs w:val="24"/>
          <w:u w:val="single"/>
        </w:rPr>
      </w:pPr>
      <w:r>
        <w:rPr>
          <w:szCs w:val="24"/>
          <w:u w:val="single"/>
        </w:rPr>
        <w:t>Section</w:t>
      </w:r>
      <w:r w:rsidRPr="00F61976">
        <w:rPr>
          <w:szCs w:val="24"/>
          <w:u w:val="single"/>
        </w:rPr>
        <w:t xml:space="preserve"> 3 – Authority</w:t>
      </w:r>
    </w:p>
    <w:p w14:paraId="78280B0C" w14:textId="77777777" w:rsidR="00591BDD" w:rsidRPr="003458C5" w:rsidRDefault="00591BDD" w:rsidP="00591BDD">
      <w:pPr>
        <w:rPr>
          <w:rFonts w:eastAsia="SimSun"/>
          <w:szCs w:val="24"/>
        </w:rPr>
      </w:pPr>
      <w:r w:rsidRPr="003458C5">
        <w:rPr>
          <w:rFonts w:eastAsia="SimSun"/>
          <w:szCs w:val="24"/>
        </w:rPr>
        <w:t xml:space="preserve">This section provides that the </w:t>
      </w:r>
      <w:r>
        <w:rPr>
          <w:rFonts w:eastAsia="SimSun"/>
          <w:szCs w:val="24"/>
        </w:rPr>
        <w:t>Regulations are</w:t>
      </w:r>
      <w:r w:rsidRPr="003458C5">
        <w:rPr>
          <w:rFonts w:eastAsia="SimSun"/>
          <w:szCs w:val="24"/>
        </w:rPr>
        <w:t xml:space="preserve"> made under the </w:t>
      </w:r>
      <w:r w:rsidRPr="009B61FF">
        <w:rPr>
          <w:rFonts w:eastAsia="SimSun"/>
          <w:i/>
          <w:szCs w:val="24"/>
        </w:rPr>
        <w:t>Migration Act 1958</w:t>
      </w:r>
      <w:r>
        <w:rPr>
          <w:rFonts w:eastAsia="SimSun"/>
          <w:i/>
          <w:szCs w:val="24"/>
        </w:rPr>
        <w:t xml:space="preserve"> </w:t>
      </w:r>
      <w:r>
        <w:rPr>
          <w:rFonts w:eastAsia="SimSun"/>
          <w:szCs w:val="24"/>
        </w:rPr>
        <w:t>(the Migration Act)</w:t>
      </w:r>
      <w:r w:rsidRPr="009B61FF">
        <w:rPr>
          <w:rFonts w:eastAsia="SimSun"/>
          <w:i/>
          <w:szCs w:val="24"/>
        </w:rPr>
        <w:t>.</w:t>
      </w:r>
    </w:p>
    <w:p w14:paraId="333CC15F" w14:textId="77777777" w:rsidR="00591BDD" w:rsidRPr="00580EBA" w:rsidRDefault="00591BDD" w:rsidP="00591BDD">
      <w:pPr>
        <w:rPr>
          <w:rFonts w:eastAsia="SimSun"/>
          <w:szCs w:val="24"/>
          <w:u w:val="single"/>
        </w:rPr>
      </w:pPr>
      <w:r>
        <w:rPr>
          <w:rFonts w:eastAsia="SimSun"/>
          <w:szCs w:val="24"/>
          <w:u w:val="single"/>
        </w:rPr>
        <w:t>Section 4 – Schedules</w:t>
      </w:r>
    </w:p>
    <w:p w14:paraId="3CD336A6" w14:textId="77777777" w:rsidR="00591BDD" w:rsidRPr="009B61FF" w:rsidRDefault="00591BDD" w:rsidP="00591BDD">
      <w:pPr>
        <w:rPr>
          <w:szCs w:val="24"/>
        </w:rPr>
      </w:pPr>
      <w:r w:rsidRPr="009B61FF">
        <w:rPr>
          <w:szCs w:val="24"/>
        </w:rPr>
        <w:t>The purpose of this section is to provide for how the amendments in these Regulations operate.</w:t>
      </w:r>
    </w:p>
    <w:p w14:paraId="0DE44FAE" w14:textId="77777777" w:rsidR="00591BDD" w:rsidRPr="003458C5" w:rsidRDefault="00591BDD" w:rsidP="00591BDD">
      <w:pPr>
        <w:rPr>
          <w:b/>
          <w:szCs w:val="24"/>
          <w:u w:val="single"/>
        </w:rPr>
      </w:pPr>
      <w:bookmarkStart w:id="4" w:name="_Toc505262125"/>
      <w:bookmarkEnd w:id="1"/>
      <w:bookmarkEnd w:id="2"/>
      <w:bookmarkEnd w:id="3"/>
      <w:r w:rsidRPr="009B61FF">
        <w:rPr>
          <w:b/>
          <w:szCs w:val="24"/>
          <w:u w:val="single"/>
        </w:rPr>
        <w:t xml:space="preserve">Schedule 1 – </w:t>
      </w:r>
      <w:r w:rsidRPr="00686195">
        <w:rPr>
          <w:b/>
          <w:szCs w:val="24"/>
          <w:u w:val="single"/>
        </w:rPr>
        <w:t>chest x-rays for T</w:t>
      </w:r>
      <w:r>
        <w:rPr>
          <w:b/>
          <w:szCs w:val="24"/>
          <w:u w:val="single"/>
        </w:rPr>
        <w:t xml:space="preserve">emporary </w:t>
      </w:r>
      <w:r w:rsidRPr="00686195">
        <w:rPr>
          <w:b/>
          <w:szCs w:val="24"/>
          <w:u w:val="single"/>
        </w:rPr>
        <w:t>P</w:t>
      </w:r>
      <w:r>
        <w:rPr>
          <w:b/>
          <w:szCs w:val="24"/>
          <w:u w:val="single"/>
        </w:rPr>
        <w:t>rotection visas</w:t>
      </w:r>
      <w:r w:rsidRPr="00686195">
        <w:rPr>
          <w:b/>
          <w:szCs w:val="24"/>
          <w:u w:val="single"/>
        </w:rPr>
        <w:t xml:space="preserve"> and S</w:t>
      </w:r>
      <w:r>
        <w:rPr>
          <w:b/>
          <w:szCs w:val="24"/>
          <w:u w:val="single"/>
        </w:rPr>
        <w:t xml:space="preserve">afe </w:t>
      </w:r>
      <w:r w:rsidRPr="00686195">
        <w:rPr>
          <w:b/>
          <w:szCs w:val="24"/>
          <w:u w:val="single"/>
        </w:rPr>
        <w:t>H</w:t>
      </w:r>
      <w:r>
        <w:rPr>
          <w:b/>
          <w:szCs w:val="24"/>
          <w:u w:val="single"/>
        </w:rPr>
        <w:t xml:space="preserve">aven </w:t>
      </w:r>
      <w:r w:rsidRPr="00686195">
        <w:rPr>
          <w:b/>
          <w:szCs w:val="24"/>
          <w:u w:val="single"/>
        </w:rPr>
        <w:t>E</w:t>
      </w:r>
      <w:r>
        <w:rPr>
          <w:b/>
          <w:szCs w:val="24"/>
          <w:u w:val="single"/>
        </w:rPr>
        <w:t>nterprise visas</w:t>
      </w:r>
      <w:r>
        <w:rPr>
          <w:szCs w:val="24"/>
          <w:u w:val="single"/>
        </w:rPr>
        <w:t xml:space="preserve"> </w:t>
      </w:r>
      <w:bookmarkEnd w:id="4"/>
    </w:p>
    <w:p w14:paraId="0AD183BB" w14:textId="77777777" w:rsidR="00591BDD" w:rsidRPr="0064110F" w:rsidRDefault="00591BDD" w:rsidP="00591BDD">
      <w:pPr>
        <w:rPr>
          <w:b/>
          <w:i/>
          <w:szCs w:val="24"/>
        </w:rPr>
      </w:pPr>
      <w:bookmarkStart w:id="5" w:name="_Toc505262126"/>
      <w:r w:rsidRPr="0064110F">
        <w:rPr>
          <w:b/>
          <w:i/>
          <w:szCs w:val="24"/>
        </w:rPr>
        <w:t>Migration Regulations 1994</w:t>
      </w:r>
      <w:bookmarkEnd w:id="5"/>
    </w:p>
    <w:p w14:paraId="22B75548" w14:textId="77777777" w:rsidR="00591BDD" w:rsidRDefault="00591BDD" w:rsidP="00591BDD">
      <w:pPr>
        <w:rPr>
          <w:u w:val="single"/>
        </w:rPr>
      </w:pPr>
      <w:r>
        <w:rPr>
          <w:u w:val="single"/>
        </w:rPr>
        <w:t>Overview of amendments</w:t>
      </w:r>
    </w:p>
    <w:p w14:paraId="6E4F7568" w14:textId="57884EBB" w:rsidR="00591BDD" w:rsidRDefault="00591BDD" w:rsidP="00591BDD">
      <w:r>
        <w:t xml:space="preserve">These amendments relate to certain unauthorised maritime arrivals (UMAs).  The meaning of ‘unauthorised maritime arrival’ is contained in section 5AA of the Migration Act.  The temporary protection visas for which UMAs may be </w:t>
      </w:r>
      <w:r w:rsidR="00F151E9">
        <w:t>able to apply</w:t>
      </w:r>
      <w:r>
        <w:t xml:space="preserve"> are the Subclass 785 (Temporary Protection) visa and the Subclass 790 (Safe Haven Enterprise) visa.</w:t>
      </w:r>
    </w:p>
    <w:p w14:paraId="79581735" w14:textId="77777777" w:rsidR="00591BDD" w:rsidRDefault="00591BDD" w:rsidP="00591BDD">
      <w:r>
        <w:t xml:space="preserve">Applicants for these visas are subject to chest x-ray requirements (see clauses 785.223 and 790.223).  However, an applicant under the age of 11 is generally not required to undergo a chest x-ray (see subclauses 785.223(3) and 790.223(3)).  </w:t>
      </w:r>
    </w:p>
    <w:p w14:paraId="437F32FB" w14:textId="77777777" w:rsidR="00591BDD" w:rsidRDefault="00591BDD" w:rsidP="00591BDD">
      <w:r>
        <w:t xml:space="preserve">As the above visas last for fixed periods, varying from three to five years (see clauses 785.511 and 790.511), visa holders often need to make another application for either of these visas.  In this situation, the original chest x-ray meets the requirements for the subsequent visa application.  However, applicants who were under the age of 11 when previously applying and did not require a chest x-ray have been required to provide an x-ray if they are aged 11 or older.  </w:t>
      </w:r>
    </w:p>
    <w:p w14:paraId="01D3A23A" w14:textId="77777777" w:rsidR="00591BDD" w:rsidRDefault="00591BDD" w:rsidP="00591BDD">
      <w:r>
        <w:t xml:space="preserve">A recent review has concluded that there is no benefit to requiring chest x-rays in this situation.  The health care of UMA minors is managed entirely through the Australian public health system, and they pose an extremely low health risk to the community.  There is no clinical benefit in requiring them to undergo additional health screening.  The review recommended </w:t>
      </w:r>
      <w:r>
        <w:lastRenderedPageBreak/>
        <w:t>that the requirement for chest x-rays be removed, and these amendments implement that recommendation.</w:t>
      </w:r>
    </w:p>
    <w:p w14:paraId="2F0332C9" w14:textId="77777777" w:rsidR="00591BDD" w:rsidRPr="006817B4" w:rsidRDefault="00591BDD" w:rsidP="00591BDD">
      <w:r>
        <w:rPr>
          <w:u w:val="single"/>
        </w:rPr>
        <w:t>Item 1 – Subclause 785.223(1) of Schedule 2</w:t>
      </w:r>
    </w:p>
    <w:p w14:paraId="28C006D7" w14:textId="77777777" w:rsidR="00591BDD" w:rsidRDefault="00591BDD" w:rsidP="00591BDD">
      <w:r>
        <w:t xml:space="preserve">This item contains a technical amendment, consequential to the insertion of new subclause 785.223(5), by item 2, below. </w:t>
      </w:r>
    </w:p>
    <w:p w14:paraId="69D32AF6" w14:textId="77777777" w:rsidR="00591BDD" w:rsidRDefault="00591BDD" w:rsidP="00591BDD">
      <w:pPr>
        <w:rPr>
          <w:b/>
          <w:szCs w:val="24"/>
          <w:u w:val="single"/>
        </w:rPr>
      </w:pPr>
      <w:r w:rsidRPr="00F61976">
        <w:rPr>
          <w:szCs w:val="24"/>
          <w:u w:val="single"/>
        </w:rPr>
        <w:t xml:space="preserve">Item 2 – </w:t>
      </w:r>
      <w:r>
        <w:rPr>
          <w:szCs w:val="24"/>
          <w:u w:val="single"/>
        </w:rPr>
        <w:t>At the end of clause 785.223 of Schedule 2</w:t>
      </w:r>
    </w:p>
    <w:p w14:paraId="65241CCC" w14:textId="77777777" w:rsidR="00591BDD" w:rsidRDefault="00591BDD" w:rsidP="00591BDD">
      <w:r>
        <w:t>This item inserts new subclause 785.223(5) at the end of clause 785.223.</w:t>
      </w:r>
    </w:p>
    <w:p w14:paraId="35719A7F" w14:textId="77777777" w:rsidR="00591BDD" w:rsidRDefault="00591BDD" w:rsidP="00591BDD">
      <w:r>
        <w:t xml:space="preserve">If an applicant satisfies new subclause 785.223(5), then they will satisfy the criterion in clause 785.223 (see subclause 785.223(1)).  </w:t>
      </w:r>
    </w:p>
    <w:p w14:paraId="6240D28D" w14:textId="77777777" w:rsidR="00591BDD" w:rsidRDefault="00591BDD" w:rsidP="00591BDD">
      <w:r>
        <w:t>An applicant will therefore satisfy new subclause (5) where they are a UMA, they hold or previously held a Subclass 785 (Temporary Protection) or Subclass 790 (Safe Haven Enterprise) visa, and at the time that they were granted that visa, they had satisfied (as a criterion for grant of that visa) subclause 785.223(3), 785.223(5) (ie, the subclause created by this amendment), subclause 790.223(3), or subclause 790.223(5) (ie, the subclause created by item 4 of these amendments).</w:t>
      </w:r>
    </w:p>
    <w:p w14:paraId="6BDA51F2" w14:textId="77777777" w:rsidR="00591BDD" w:rsidRDefault="00591BDD" w:rsidP="00591BDD">
      <w:r>
        <w:t>The intended effect of the above is:</w:t>
      </w:r>
    </w:p>
    <w:p w14:paraId="3186B23E" w14:textId="77777777" w:rsidR="00591BDD" w:rsidRDefault="00591BDD" w:rsidP="00591BDD">
      <w:pPr>
        <w:pStyle w:val="ListParagraph"/>
        <w:numPr>
          <w:ilvl w:val="0"/>
          <w:numId w:val="20"/>
        </w:numPr>
      </w:pPr>
      <w:r>
        <w:t>where an applicant is a UMA; and</w:t>
      </w:r>
    </w:p>
    <w:p w14:paraId="1770BBC8" w14:textId="77777777" w:rsidR="00591BDD" w:rsidRDefault="00591BDD" w:rsidP="00591BDD">
      <w:pPr>
        <w:pStyle w:val="ListParagraph"/>
        <w:numPr>
          <w:ilvl w:val="0"/>
          <w:numId w:val="20"/>
        </w:numPr>
      </w:pPr>
      <w:r>
        <w:t>is 11 years or older; and</w:t>
      </w:r>
    </w:p>
    <w:p w14:paraId="5AE0B787" w14:textId="77777777" w:rsidR="00591BDD" w:rsidRDefault="00591BDD" w:rsidP="00591BDD">
      <w:pPr>
        <w:pStyle w:val="ListParagraph"/>
        <w:numPr>
          <w:ilvl w:val="0"/>
          <w:numId w:val="20"/>
        </w:numPr>
      </w:pPr>
      <w:r>
        <w:t>previously satisfied clause 785.223 or 790.223 on the basis of subclause (3), ie, that they were under 11 years of age and they were not a person in respect of whom a relevant medical practitioner had requested a chest x-ray examination (as mentioned in subclause 785.223(2) or 790.223(2))</w:t>
      </w:r>
    </w:p>
    <w:p w14:paraId="79EDA801" w14:textId="77777777" w:rsidR="00591BDD" w:rsidRDefault="00591BDD" w:rsidP="00591BDD">
      <w:r>
        <w:t xml:space="preserve">then they are not required to have a chest x-ray examination as part of the criteria for grant of the visa.  </w:t>
      </w:r>
    </w:p>
    <w:p w14:paraId="2D533922" w14:textId="77777777" w:rsidR="00591BDD" w:rsidRDefault="00591BDD" w:rsidP="00591BDD">
      <w:r>
        <w:t xml:space="preserve">An express reference to UMAs in new subclause 785.223(5) is necessary as there are other cohorts who can apply for these visas.  Only the UMA cohort is intended to benefit from this concession. </w:t>
      </w:r>
    </w:p>
    <w:p w14:paraId="6CC3901C" w14:textId="77777777" w:rsidR="00591BDD" w:rsidRDefault="00591BDD" w:rsidP="00591BDD">
      <w:r>
        <w:t xml:space="preserve">The amendment also takes into account that holders of Subclass 785 (Temporary Protection) and Subclass 790 (Safe Haven Enterprise) visas may “switch” visas.  That is, a Subclass 785 visa holder may decide to apply for a Subclass 790 visa, and vice versa.  </w:t>
      </w:r>
    </w:p>
    <w:p w14:paraId="257C7C4F" w14:textId="77777777" w:rsidR="00591BDD" w:rsidRDefault="00591BDD" w:rsidP="00591BDD">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 xml:space="preserve">Item 3 – </w:t>
      </w:r>
      <w:r>
        <w:rPr>
          <w:rFonts w:ascii="Times New Roman" w:hAnsi="Times New Roman"/>
          <w:b w:val="0"/>
          <w:szCs w:val="24"/>
          <w:u w:val="single"/>
        </w:rPr>
        <w:t>Subclause 790.223(1) of Schedule 2</w:t>
      </w:r>
    </w:p>
    <w:p w14:paraId="33B9992C" w14:textId="77777777" w:rsidR="00591BDD" w:rsidRDefault="00591BDD" w:rsidP="00591BDD">
      <w:r>
        <w:t xml:space="preserve">This item contains a technical amendment, consequential to the insertion of new subclause 790.223(5), by item 4, below. </w:t>
      </w:r>
    </w:p>
    <w:p w14:paraId="723608D8" w14:textId="77777777" w:rsidR="00591BDD" w:rsidRDefault="00591BDD" w:rsidP="00591BDD">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 xml:space="preserve">Item 4 – </w:t>
      </w:r>
      <w:r>
        <w:rPr>
          <w:rFonts w:ascii="Times New Roman" w:hAnsi="Times New Roman"/>
          <w:b w:val="0"/>
          <w:szCs w:val="24"/>
          <w:u w:val="single"/>
        </w:rPr>
        <w:t>At the end of clause 790.223 of Schedule 2</w:t>
      </w:r>
    </w:p>
    <w:p w14:paraId="1DFE3AD6" w14:textId="77777777" w:rsidR="00591BDD" w:rsidRDefault="00591BDD" w:rsidP="00591BDD">
      <w:r>
        <w:t>This item inserts new subclause 790.223(5) at the end of clause 790.223.</w:t>
      </w:r>
    </w:p>
    <w:p w14:paraId="3D23DAAA" w14:textId="77777777" w:rsidR="00591BDD" w:rsidRDefault="00591BDD" w:rsidP="00591BDD">
      <w:r>
        <w:lastRenderedPageBreak/>
        <w:t xml:space="preserve">If an applicant satisfies new subclause 790.223(5), then they will satisfy the criterion in clause 790.223 (see subclause 790.223(1)).  </w:t>
      </w:r>
    </w:p>
    <w:p w14:paraId="23888B12" w14:textId="77777777" w:rsidR="00591BDD" w:rsidRDefault="00591BDD" w:rsidP="00591BDD">
      <w:r>
        <w:t>An applicant will therefore satisfy new subclause (5) where they are a UMA, they hold or previously held a Subclass 790 (Safe Haven Enterprise) or Subclass 785 (Temporary Protection) visa, and at the time that they were granted that visa, they had satisfied (as a criterion for grant of that visa) subclause 785.223(3), 785.223(5)</w:t>
      </w:r>
      <w:r w:rsidRPr="009357D3">
        <w:t xml:space="preserve"> </w:t>
      </w:r>
      <w:r>
        <w:t>(ie, the subclause created by item 2 of these amendments), subclause 790.223(3), or subclause 790.223(5) (ie, the subclause created by this amendment).</w:t>
      </w:r>
    </w:p>
    <w:p w14:paraId="484BE6D0" w14:textId="77777777" w:rsidR="00591BDD" w:rsidRDefault="00591BDD" w:rsidP="00591BDD">
      <w:r>
        <w:t>The intended effect of the above is:</w:t>
      </w:r>
    </w:p>
    <w:p w14:paraId="22E29906" w14:textId="77777777" w:rsidR="00591BDD" w:rsidRDefault="00591BDD" w:rsidP="00591BDD">
      <w:pPr>
        <w:pStyle w:val="ListParagraph"/>
        <w:numPr>
          <w:ilvl w:val="0"/>
          <w:numId w:val="20"/>
        </w:numPr>
      </w:pPr>
      <w:r>
        <w:t>where an applicant is a UMA; and</w:t>
      </w:r>
    </w:p>
    <w:p w14:paraId="6A153E63" w14:textId="77777777" w:rsidR="00591BDD" w:rsidRDefault="00591BDD" w:rsidP="00591BDD">
      <w:pPr>
        <w:pStyle w:val="ListParagraph"/>
        <w:numPr>
          <w:ilvl w:val="0"/>
          <w:numId w:val="20"/>
        </w:numPr>
      </w:pPr>
      <w:r>
        <w:t>is 11 years or older; and</w:t>
      </w:r>
    </w:p>
    <w:p w14:paraId="4C07598B" w14:textId="77777777" w:rsidR="00591BDD" w:rsidRDefault="00591BDD" w:rsidP="00591BDD">
      <w:pPr>
        <w:pStyle w:val="ListParagraph"/>
        <w:numPr>
          <w:ilvl w:val="0"/>
          <w:numId w:val="20"/>
        </w:numPr>
      </w:pPr>
      <w:r>
        <w:t>previously satisfied clause 785.223 or 790.223 on the basis of subclause (3), ie, that they were under 11 years of age and they were not a person in respect of whom a relevant medical practitioner had requested a chest x-ray examination (as mentioned in subclause 785.223(2) or 790.223(2))</w:t>
      </w:r>
    </w:p>
    <w:p w14:paraId="510313D2" w14:textId="77777777" w:rsidR="00591BDD" w:rsidRDefault="00591BDD" w:rsidP="00591BDD">
      <w:r>
        <w:t xml:space="preserve">then they are not required to have a chest x-ray examination as part of the criteria for grant of the visa.  </w:t>
      </w:r>
    </w:p>
    <w:p w14:paraId="7E1C2F75" w14:textId="77777777" w:rsidR="00591BDD" w:rsidRDefault="00591BDD" w:rsidP="00591BDD">
      <w:r>
        <w:t>An express reference to UMAs in new subclause 790.223(5) is necessary as there are other cohorts who can apply for these visas.  Only the UMA cohort is intended to benefit from this concession.</w:t>
      </w:r>
    </w:p>
    <w:p w14:paraId="1A55A959" w14:textId="77777777" w:rsidR="00591BDD" w:rsidRDefault="00591BDD" w:rsidP="00591BDD">
      <w:r>
        <w:t xml:space="preserve">The amendment also takes into account that holders of Subclass 790 (Safe Haven Enterprise) and Subclass 785 (Temporary Protection) visas may “switch” visas.  That is, a Subclass 790 visa holder may decide to apply for a Subclass 785 visa, and vice versa.  </w:t>
      </w:r>
    </w:p>
    <w:p w14:paraId="634E68F6" w14:textId="77777777" w:rsidR="00591BDD" w:rsidRDefault="00591BDD" w:rsidP="00591BDD">
      <w:pPr>
        <w:pStyle w:val="ItemHead"/>
        <w:keepNext w:val="0"/>
        <w:keepLines w:val="0"/>
        <w:widowControl w:val="0"/>
        <w:rPr>
          <w:rFonts w:ascii="Times New Roman" w:hAnsi="Times New Roman"/>
          <w:b w:val="0"/>
          <w:szCs w:val="24"/>
          <w:u w:val="single"/>
        </w:rPr>
      </w:pPr>
      <w:r w:rsidRPr="00F61976">
        <w:rPr>
          <w:rFonts w:ascii="Times New Roman" w:hAnsi="Times New Roman"/>
          <w:b w:val="0"/>
          <w:szCs w:val="24"/>
          <w:u w:val="single"/>
        </w:rPr>
        <w:t xml:space="preserve">Item 5 – </w:t>
      </w:r>
      <w:r>
        <w:rPr>
          <w:rFonts w:ascii="Times New Roman" w:hAnsi="Times New Roman"/>
          <w:b w:val="0"/>
          <w:szCs w:val="24"/>
          <w:u w:val="single"/>
        </w:rPr>
        <w:t>In the appropriate position in Schedule 13</w:t>
      </w:r>
    </w:p>
    <w:p w14:paraId="521D96F5" w14:textId="77777777" w:rsidR="00591BDD" w:rsidRPr="00CE6C64" w:rsidRDefault="00591BDD" w:rsidP="00591BDD">
      <w:pPr>
        <w:rPr>
          <w:b/>
        </w:rPr>
      </w:pPr>
      <w:r>
        <w:rPr>
          <w:b/>
        </w:rPr>
        <w:t xml:space="preserve">Part 82 </w:t>
      </w:r>
      <w:r w:rsidRPr="00CE6C64">
        <w:rPr>
          <w:b/>
        </w:rPr>
        <w:t>– Amendments made by the Migration Amendment (</w:t>
      </w:r>
      <w:r>
        <w:rPr>
          <w:b/>
        </w:rPr>
        <w:t>Chest X-ray Requirements</w:t>
      </w:r>
      <w:r w:rsidRPr="00CE6C64">
        <w:rPr>
          <w:b/>
        </w:rPr>
        <w:t>) Reg</w:t>
      </w:r>
      <w:r>
        <w:rPr>
          <w:b/>
        </w:rPr>
        <w:t>ulations 2019</w:t>
      </w:r>
    </w:p>
    <w:p w14:paraId="54351CEE" w14:textId="77777777" w:rsidR="00591BDD" w:rsidRDefault="00591BDD" w:rsidP="00591BDD">
      <w:r>
        <w:t xml:space="preserve">This item inserts a new Part 82 in Schedule 13 (Transitional Arrangements) to the </w:t>
      </w:r>
      <w:r w:rsidRPr="00B22046">
        <w:rPr>
          <w:i/>
        </w:rPr>
        <w:t>Migration Regulations 1994</w:t>
      </w:r>
      <w:r>
        <w:t>.  New Part 82 makes transitional and savings provisions in respect of the amendments made by these Regulations.</w:t>
      </w:r>
    </w:p>
    <w:p w14:paraId="14A3ADD5" w14:textId="77777777" w:rsidR="00591BDD" w:rsidRDefault="00591BDD" w:rsidP="00591BDD">
      <w:r>
        <w:t>Clause 8201 provides that the amendments made by this Schedule to the Regulations apply in relation to applications for Subclass 785 (Temporary Protection) visas or Subclass 790 (Safe Haven Enterprise) visas made, but not finally determined, before 2 March 2019; and also to applications for those Subclasses of visa made on or after 2 March 2019.</w:t>
      </w:r>
    </w:p>
    <w:p w14:paraId="66506FE9" w14:textId="77777777" w:rsidR="00591BDD" w:rsidRDefault="00591BDD" w:rsidP="00591BDD">
      <w:r>
        <w:t xml:space="preserve">The change is beneficial, and does not adversely impact the accrued rights of affected visa applicants; as a result, it is being applied to the “pipeline” of Subclass 785 (Temporary Protection) and Subclass 790 (Safe Haven Enterprise) visa applications made, but not finally determined, before 2 March 2019. </w:t>
      </w:r>
    </w:p>
    <w:p w14:paraId="0B4BFFB0" w14:textId="77777777" w:rsidR="00966D89" w:rsidRDefault="00966D89" w:rsidP="00591BDD">
      <w:pPr>
        <w:spacing w:before="0"/>
        <w:ind w:right="91"/>
      </w:pPr>
    </w:p>
    <w:sectPr w:rsidR="00966D89" w:rsidSect="00914678">
      <w:headerReference w:type="default" r:id="rId11"/>
      <w:pgSz w:w="11906" w:h="16838"/>
      <w:pgMar w:top="1440" w:right="1440"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88221" w14:textId="77777777" w:rsidR="000E3B41" w:rsidRDefault="000E3B41" w:rsidP="00A84375">
      <w:pPr>
        <w:spacing w:before="0"/>
      </w:pPr>
      <w:r>
        <w:separator/>
      </w:r>
    </w:p>
  </w:endnote>
  <w:endnote w:type="continuationSeparator" w:id="0">
    <w:p w14:paraId="57EA9C64" w14:textId="77777777" w:rsidR="000E3B41" w:rsidRDefault="000E3B41" w:rsidP="00A8437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vantGarde">
    <w:altName w:val="Century Gothic"/>
    <w:panose1 w:val="00000000000000000000"/>
    <w:charset w:val="00"/>
    <w:family w:val="swiss"/>
    <w:notTrueType/>
    <w:pitch w:val="default"/>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3B068" w14:textId="77777777" w:rsidR="000E3B41" w:rsidRDefault="000E3B41" w:rsidP="00A84375">
      <w:pPr>
        <w:spacing w:before="0"/>
      </w:pPr>
      <w:r>
        <w:separator/>
      </w:r>
    </w:p>
  </w:footnote>
  <w:footnote w:type="continuationSeparator" w:id="0">
    <w:p w14:paraId="47F0DD2C" w14:textId="77777777" w:rsidR="000E3B41" w:rsidRDefault="000E3B41" w:rsidP="00A84375">
      <w:pPr>
        <w:spacing w:before="0"/>
      </w:pPr>
      <w:r>
        <w:continuationSeparator/>
      </w:r>
    </w:p>
  </w:footnote>
  <w:footnote w:id="1">
    <w:p w14:paraId="7F1F3C5B" w14:textId="77777777" w:rsidR="00B23EE3" w:rsidRDefault="00B23EE3" w:rsidP="00B23EE3">
      <w:pPr>
        <w:pStyle w:val="FootnoteText"/>
      </w:pPr>
      <w:r>
        <w:rPr>
          <w:rStyle w:val="FootnoteReference"/>
        </w:rPr>
        <w:footnoteRef/>
      </w:r>
      <w:r>
        <w:t xml:space="preserve"> </w:t>
      </w:r>
      <w:hyperlink r:id="rId1" w:history="1">
        <w:r w:rsidRPr="00027C0F">
          <w:rPr>
            <w:rStyle w:val="Hyperlink"/>
          </w:rPr>
          <w:t>https://www.arpansa.gov.au/understanding-radiation/what-is-radiation/ionising-radiation/health-effects</w:t>
        </w:r>
      </w:hyperlink>
      <w:r>
        <w:t xml:space="preserve"> </w:t>
      </w:r>
    </w:p>
  </w:footnote>
  <w:footnote w:id="2">
    <w:p w14:paraId="6C5B75C7" w14:textId="77777777" w:rsidR="00B23EE3" w:rsidRDefault="00B23EE3" w:rsidP="00B23EE3">
      <w:pPr>
        <w:pStyle w:val="FootnoteText"/>
      </w:pPr>
      <w:r>
        <w:rPr>
          <w:rStyle w:val="FootnoteReference"/>
        </w:rPr>
        <w:footnoteRef/>
      </w:r>
      <w:r>
        <w:t xml:space="preserve"> </w:t>
      </w:r>
      <w:hyperlink r:id="rId2" w:history="1">
        <w:r w:rsidRPr="00BB147B">
          <w:rPr>
            <w:rStyle w:val="Hyperlink"/>
          </w:rPr>
          <w:t>https://www.arpansa.gov.au/sites/default/files/legacy/pubs/rps/rps14.pdf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220758"/>
      <w:docPartObj>
        <w:docPartGallery w:val="Page Numbers (Top of Page)"/>
        <w:docPartUnique/>
      </w:docPartObj>
    </w:sdtPr>
    <w:sdtEndPr>
      <w:rPr>
        <w:noProof/>
      </w:rPr>
    </w:sdtEndPr>
    <w:sdtContent>
      <w:p w14:paraId="6E423FB4" w14:textId="31B830CB" w:rsidR="00914678" w:rsidRDefault="00914678">
        <w:pPr>
          <w:pStyle w:val="Header"/>
          <w:jc w:val="center"/>
        </w:pPr>
        <w:r>
          <w:fldChar w:fldCharType="begin"/>
        </w:r>
        <w:r>
          <w:instrText xml:space="preserve"> PAGE   \* MERGEFORMAT </w:instrText>
        </w:r>
        <w:r>
          <w:fldChar w:fldCharType="separate"/>
        </w:r>
        <w:r w:rsidR="00702F09">
          <w:rPr>
            <w:noProof/>
          </w:rPr>
          <w:t>5</w:t>
        </w:r>
        <w:r>
          <w:rPr>
            <w:noProof/>
          </w:rPr>
          <w:fldChar w:fldCharType="end"/>
        </w:r>
      </w:p>
    </w:sdtContent>
  </w:sdt>
  <w:p w14:paraId="1EDF2DA7" w14:textId="77777777" w:rsidR="00914678" w:rsidRDefault="00914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505E"/>
    <w:multiLevelType w:val="hybridMultilevel"/>
    <w:tmpl w:val="EDF6AA8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8FD06D8"/>
    <w:multiLevelType w:val="hybridMultilevel"/>
    <w:tmpl w:val="6CB62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9F952B5"/>
    <w:multiLevelType w:val="hybridMultilevel"/>
    <w:tmpl w:val="877632D6"/>
    <w:lvl w:ilvl="0" w:tplc="945C09E8">
      <w:start w:val="1"/>
      <w:numFmt w:val="bullet"/>
      <w:pStyle w:val="BulletList"/>
      <w:lvlText w:val=""/>
      <w:lvlJc w:val="left"/>
      <w:pPr>
        <w:ind w:left="170" w:hanging="170"/>
      </w:pPr>
      <w:rPr>
        <w:rFonts w:ascii="Symbol" w:hAnsi="Symbol" w:hint="default"/>
        <w:color w:val="CD09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234032"/>
    <w:multiLevelType w:val="hybridMultilevel"/>
    <w:tmpl w:val="1A78F8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B44FDE"/>
    <w:multiLevelType w:val="singleLevel"/>
    <w:tmpl w:val="4350A1D6"/>
    <w:lvl w:ilvl="0">
      <w:start w:val="2"/>
      <w:numFmt w:val="decimal"/>
      <w:pStyle w:val="DINumberedParagraph"/>
      <w:lvlText w:val="%1."/>
      <w:lvlJc w:val="left"/>
      <w:pPr>
        <w:tabs>
          <w:tab w:val="num" w:pos="360"/>
        </w:tabs>
        <w:ind w:left="0" w:firstLine="0"/>
      </w:pPr>
    </w:lvl>
  </w:abstractNum>
  <w:abstractNum w:abstractNumId="6" w15:restartNumberingAfterBreak="0">
    <w:nsid w:val="170375A0"/>
    <w:multiLevelType w:val="hybridMultilevel"/>
    <w:tmpl w:val="A882F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B20C2E"/>
    <w:multiLevelType w:val="hybridMultilevel"/>
    <w:tmpl w:val="DC0440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013E90"/>
    <w:multiLevelType w:val="hybridMultilevel"/>
    <w:tmpl w:val="C5F60D42"/>
    <w:lvl w:ilvl="0" w:tplc="6ECE4FDA">
      <w:numFmt w:val="bullet"/>
      <w:lvlText w:val="-"/>
      <w:lvlJc w:val="left"/>
      <w:pPr>
        <w:ind w:left="1080" w:hanging="360"/>
      </w:pPr>
      <w:rPr>
        <w:rFonts w:ascii="Calibri" w:eastAsia="Calibri" w:hAnsi="Calibri" w:cs="Calibri" w:hint="default"/>
      </w:rPr>
    </w:lvl>
    <w:lvl w:ilvl="1" w:tplc="0C090003">
      <w:start w:val="1"/>
      <w:numFmt w:val="bullet"/>
      <w:lvlText w:val="o"/>
      <w:lvlJc w:val="left"/>
      <w:pPr>
        <w:ind w:left="1778"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9" w15:restartNumberingAfterBreak="0">
    <w:nsid w:val="297F34B3"/>
    <w:multiLevelType w:val="hybridMultilevel"/>
    <w:tmpl w:val="CF0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C7372D7"/>
    <w:multiLevelType w:val="hybridMultilevel"/>
    <w:tmpl w:val="072803DC"/>
    <w:lvl w:ilvl="0" w:tplc="8B70C3BA">
      <w:start w:val="1"/>
      <w:numFmt w:val="bullet"/>
      <w:pStyle w:val="Bullet2"/>
      <w:lvlText w:val="–"/>
      <w:lvlJc w:val="left"/>
      <w:pPr>
        <w:ind w:left="644"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C512F3"/>
    <w:multiLevelType w:val="hybridMultilevel"/>
    <w:tmpl w:val="7632D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4C18D8"/>
    <w:multiLevelType w:val="hybridMultilevel"/>
    <w:tmpl w:val="720A7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6F2A3A"/>
    <w:multiLevelType w:val="hybridMultilevel"/>
    <w:tmpl w:val="67ACA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F03BCE"/>
    <w:multiLevelType w:val="hybridMultilevel"/>
    <w:tmpl w:val="A8869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281BA7"/>
    <w:multiLevelType w:val="hybridMultilevel"/>
    <w:tmpl w:val="0AB05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ED60D9"/>
    <w:multiLevelType w:val="hybridMultilevel"/>
    <w:tmpl w:val="7B7EF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4D3DBD"/>
    <w:multiLevelType w:val="hybridMultilevel"/>
    <w:tmpl w:val="66F07B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D8E7D39"/>
    <w:multiLevelType w:val="hybridMultilevel"/>
    <w:tmpl w:val="C73004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172431B"/>
    <w:multiLevelType w:val="hybridMultilevel"/>
    <w:tmpl w:val="DE9ECC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A3798D"/>
    <w:multiLevelType w:val="hybridMultilevel"/>
    <w:tmpl w:val="9E3AAC1E"/>
    <w:lvl w:ilvl="0" w:tplc="8E002262">
      <w:start w:val="1"/>
      <w:numFmt w:val="decimal"/>
      <w:suff w:val="nothing"/>
      <w:lvlText w:val="%1."/>
      <w:lvlJc w:val="left"/>
      <w:pPr>
        <w:ind w:left="360" w:hanging="360"/>
      </w:pPr>
      <w:rPr>
        <w:rFonts w:asciiTheme="minorHAnsi" w:hAnsiTheme="minorHAnsi" w:hint="default"/>
        <w:b w:val="0"/>
        <w:i w:val="0"/>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180"/>
      </w:pPr>
      <w:rPr>
        <w:rFonts w:ascii="Courier New" w:hAnsi="Courier New" w:cs="Courier New"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AE726E7"/>
    <w:multiLevelType w:val="hybridMultilevel"/>
    <w:tmpl w:val="FF3A1AC4"/>
    <w:lvl w:ilvl="0" w:tplc="A0E60304">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7E09AF"/>
    <w:multiLevelType w:val="hybridMultilevel"/>
    <w:tmpl w:val="ABBAA9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F365CF"/>
    <w:multiLevelType w:val="hybridMultilevel"/>
    <w:tmpl w:val="F662A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5" w15:restartNumberingAfterBreak="0">
    <w:nsid w:val="68A26E17"/>
    <w:multiLevelType w:val="hybridMultilevel"/>
    <w:tmpl w:val="94FAD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0F6477"/>
    <w:multiLevelType w:val="hybridMultilevel"/>
    <w:tmpl w:val="DC4E3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376487"/>
    <w:multiLevelType w:val="hybridMultilevel"/>
    <w:tmpl w:val="B43E2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AC4E02"/>
    <w:multiLevelType w:val="hybridMultilevel"/>
    <w:tmpl w:val="CB589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4472134"/>
    <w:multiLevelType w:val="hybridMultilevel"/>
    <w:tmpl w:val="9C34209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68233FE"/>
    <w:multiLevelType w:val="hybridMultilevel"/>
    <w:tmpl w:val="8BB4F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CD6139"/>
    <w:multiLevelType w:val="hybridMultilevel"/>
    <w:tmpl w:val="3476F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5"/>
    <w:lvlOverride w:ilvl="0">
      <w:startOverride w:val="2"/>
    </w:lvlOverride>
  </w:num>
  <w:num w:numId="3">
    <w:abstractNumId w:val="14"/>
  </w:num>
  <w:num w:numId="4">
    <w:abstractNumId w:val="21"/>
  </w:num>
  <w:num w:numId="5">
    <w:abstractNumId w:val="11"/>
  </w:num>
  <w:num w:numId="6">
    <w:abstractNumId w:val="26"/>
  </w:num>
  <w:num w:numId="7">
    <w:abstractNumId w:val="13"/>
  </w:num>
  <w:num w:numId="8">
    <w:abstractNumId w:val="30"/>
  </w:num>
  <w:num w:numId="9">
    <w:abstractNumId w:val="31"/>
  </w:num>
  <w:num w:numId="10">
    <w:abstractNumId w:val="18"/>
  </w:num>
  <w:num w:numId="11">
    <w:abstractNumId w:val="1"/>
  </w:num>
  <w:num w:numId="12">
    <w:abstractNumId w:val="12"/>
  </w:num>
  <w:num w:numId="13">
    <w:abstractNumId w:val="2"/>
  </w:num>
  <w:num w:numId="14">
    <w:abstractNumId w:val="10"/>
  </w:num>
  <w:num w:numId="15">
    <w:abstractNumId w:val="20"/>
  </w:num>
  <w:num w:numId="16">
    <w:abstractNumId w:val="0"/>
  </w:num>
  <w:num w:numId="17">
    <w:abstractNumId w:val="29"/>
  </w:num>
  <w:num w:numId="18">
    <w:abstractNumId w:val="17"/>
  </w:num>
  <w:num w:numId="19">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5"/>
  </w:num>
  <w:num w:numId="22">
    <w:abstractNumId w:val="27"/>
  </w:num>
  <w:num w:numId="23">
    <w:abstractNumId w:val="22"/>
  </w:num>
  <w:num w:numId="24">
    <w:abstractNumId w:val="28"/>
  </w:num>
  <w:num w:numId="25">
    <w:abstractNumId w:val="3"/>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9"/>
  </w:num>
  <w:num w:numId="29">
    <w:abstractNumId w:val="4"/>
  </w:num>
  <w:num w:numId="30">
    <w:abstractNumId w:val="7"/>
  </w:num>
  <w:num w:numId="31">
    <w:abstractNumId w:val="23"/>
  </w:num>
  <w:num w:numId="32">
    <w:abstractNumId w:val="6"/>
  </w:num>
  <w:num w:numId="33">
    <w:abstractNumId w:val="8"/>
  </w:num>
  <w:num w:numId="34">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9D7"/>
    <w:rsid w:val="00000BD5"/>
    <w:rsid w:val="00007D77"/>
    <w:rsid w:val="0001178C"/>
    <w:rsid w:val="00012CF0"/>
    <w:rsid w:val="000240BD"/>
    <w:rsid w:val="00030D45"/>
    <w:rsid w:val="0003632D"/>
    <w:rsid w:val="00036EE5"/>
    <w:rsid w:val="00040E1D"/>
    <w:rsid w:val="0004530D"/>
    <w:rsid w:val="000460DF"/>
    <w:rsid w:val="00051B40"/>
    <w:rsid w:val="000602DD"/>
    <w:rsid w:val="0006246A"/>
    <w:rsid w:val="000624E0"/>
    <w:rsid w:val="000644A6"/>
    <w:rsid w:val="000652FB"/>
    <w:rsid w:val="00066356"/>
    <w:rsid w:val="000730FE"/>
    <w:rsid w:val="0007342E"/>
    <w:rsid w:val="000743B2"/>
    <w:rsid w:val="000744C7"/>
    <w:rsid w:val="00074887"/>
    <w:rsid w:val="00075BA4"/>
    <w:rsid w:val="000857C3"/>
    <w:rsid w:val="00085B06"/>
    <w:rsid w:val="0009091F"/>
    <w:rsid w:val="00091086"/>
    <w:rsid w:val="00092501"/>
    <w:rsid w:val="00093390"/>
    <w:rsid w:val="00094983"/>
    <w:rsid w:val="000A28D8"/>
    <w:rsid w:val="000A2D81"/>
    <w:rsid w:val="000A4262"/>
    <w:rsid w:val="000A7C41"/>
    <w:rsid w:val="000B0AC4"/>
    <w:rsid w:val="000B4E5B"/>
    <w:rsid w:val="000B652A"/>
    <w:rsid w:val="000B7BB9"/>
    <w:rsid w:val="000C0130"/>
    <w:rsid w:val="000C0781"/>
    <w:rsid w:val="000D08C9"/>
    <w:rsid w:val="000D1B33"/>
    <w:rsid w:val="000D349D"/>
    <w:rsid w:val="000D3A9D"/>
    <w:rsid w:val="000D3F31"/>
    <w:rsid w:val="000D49CB"/>
    <w:rsid w:val="000D7E6D"/>
    <w:rsid w:val="000E0843"/>
    <w:rsid w:val="000E290B"/>
    <w:rsid w:val="000E2943"/>
    <w:rsid w:val="000E3B08"/>
    <w:rsid w:val="000E3B41"/>
    <w:rsid w:val="000E51C3"/>
    <w:rsid w:val="000E5AC3"/>
    <w:rsid w:val="000F3023"/>
    <w:rsid w:val="000F3A01"/>
    <w:rsid w:val="000F4908"/>
    <w:rsid w:val="000F5F4A"/>
    <w:rsid w:val="0010771C"/>
    <w:rsid w:val="00107A74"/>
    <w:rsid w:val="0011194F"/>
    <w:rsid w:val="00115931"/>
    <w:rsid w:val="00117A08"/>
    <w:rsid w:val="00126517"/>
    <w:rsid w:val="00131BBB"/>
    <w:rsid w:val="00134F0B"/>
    <w:rsid w:val="00135828"/>
    <w:rsid w:val="00135C6A"/>
    <w:rsid w:val="00135E79"/>
    <w:rsid w:val="00136379"/>
    <w:rsid w:val="001426A2"/>
    <w:rsid w:val="00144D83"/>
    <w:rsid w:val="00150D9F"/>
    <w:rsid w:val="00151BE6"/>
    <w:rsid w:val="00153EDE"/>
    <w:rsid w:val="00170996"/>
    <w:rsid w:val="00172815"/>
    <w:rsid w:val="00174092"/>
    <w:rsid w:val="00174523"/>
    <w:rsid w:val="001748F1"/>
    <w:rsid w:val="0017612C"/>
    <w:rsid w:val="001773EB"/>
    <w:rsid w:val="001817DF"/>
    <w:rsid w:val="00185101"/>
    <w:rsid w:val="0018579E"/>
    <w:rsid w:val="001864C2"/>
    <w:rsid w:val="00187B7F"/>
    <w:rsid w:val="001923D6"/>
    <w:rsid w:val="00192551"/>
    <w:rsid w:val="00192705"/>
    <w:rsid w:val="00194AED"/>
    <w:rsid w:val="00194BDF"/>
    <w:rsid w:val="001A2C3E"/>
    <w:rsid w:val="001A595F"/>
    <w:rsid w:val="001B3453"/>
    <w:rsid w:val="001B40E8"/>
    <w:rsid w:val="001B5AFB"/>
    <w:rsid w:val="001B5B9C"/>
    <w:rsid w:val="001B61A3"/>
    <w:rsid w:val="001B721E"/>
    <w:rsid w:val="001C28DC"/>
    <w:rsid w:val="001C2D3A"/>
    <w:rsid w:val="001C45CC"/>
    <w:rsid w:val="001C5FE0"/>
    <w:rsid w:val="001D2909"/>
    <w:rsid w:val="001D44BE"/>
    <w:rsid w:val="001D4905"/>
    <w:rsid w:val="001D7372"/>
    <w:rsid w:val="001E0177"/>
    <w:rsid w:val="001E203C"/>
    <w:rsid w:val="001E2240"/>
    <w:rsid w:val="001E312E"/>
    <w:rsid w:val="001E3C73"/>
    <w:rsid w:val="001E5150"/>
    <w:rsid w:val="001E763A"/>
    <w:rsid w:val="001E79D4"/>
    <w:rsid w:val="001E7DF1"/>
    <w:rsid w:val="002008E2"/>
    <w:rsid w:val="0020327B"/>
    <w:rsid w:val="00204FAC"/>
    <w:rsid w:val="00205D5D"/>
    <w:rsid w:val="002075CA"/>
    <w:rsid w:val="00210208"/>
    <w:rsid w:val="0021038D"/>
    <w:rsid w:val="00210413"/>
    <w:rsid w:val="00211197"/>
    <w:rsid w:val="00223455"/>
    <w:rsid w:val="00226FA9"/>
    <w:rsid w:val="00227964"/>
    <w:rsid w:val="00230A59"/>
    <w:rsid w:val="0023151E"/>
    <w:rsid w:val="00233744"/>
    <w:rsid w:val="0024393E"/>
    <w:rsid w:val="00243955"/>
    <w:rsid w:val="002441D6"/>
    <w:rsid w:val="00245691"/>
    <w:rsid w:val="00245B50"/>
    <w:rsid w:val="002464CC"/>
    <w:rsid w:val="002473F5"/>
    <w:rsid w:val="002518F9"/>
    <w:rsid w:val="0026098A"/>
    <w:rsid w:val="00261EF0"/>
    <w:rsid w:val="00265E5F"/>
    <w:rsid w:val="002678EF"/>
    <w:rsid w:val="00272683"/>
    <w:rsid w:val="0027380D"/>
    <w:rsid w:val="00273E2D"/>
    <w:rsid w:val="00274324"/>
    <w:rsid w:val="0028090C"/>
    <w:rsid w:val="0028118F"/>
    <w:rsid w:val="00282A53"/>
    <w:rsid w:val="00287A8E"/>
    <w:rsid w:val="00292D14"/>
    <w:rsid w:val="00293790"/>
    <w:rsid w:val="002A141E"/>
    <w:rsid w:val="002A2D29"/>
    <w:rsid w:val="002A3A8C"/>
    <w:rsid w:val="002A43EA"/>
    <w:rsid w:val="002A5272"/>
    <w:rsid w:val="002A55E1"/>
    <w:rsid w:val="002A6D48"/>
    <w:rsid w:val="002B5618"/>
    <w:rsid w:val="002B6DED"/>
    <w:rsid w:val="002D5DB8"/>
    <w:rsid w:val="002D743C"/>
    <w:rsid w:val="002E1BDE"/>
    <w:rsid w:val="002E1F0E"/>
    <w:rsid w:val="002E38EA"/>
    <w:rsid w:val="002E4DAA"/>
    <w:rsid w:val="002E5439"/>
    <w:rsid w:val="002F24E1"/>
    <w:rsid w:val="002F2B56"/>
    <w:rsid w:val="002F68E3"/>
    <w:rsid w:val="002F7437"/>
    <w:rsid w:val="0030170E"/>
    <w:rsid w:val="00301956"/>
    <w:rsid w:val="0030209B"/>
    <w:rsid w:val="00303169"/>
    <w:rsid w:val="00314826"/>
    <w:rsid w:val="00316AEA"/>
    <w:rsid w:val="0032054F"/>
    <w:rsid w:val="003212A7"/>
    <w:rsid w:val="00330C48"/>
    <w:rsid w:val="003312C1"/>
    <w:rsid w:val="0033702A"/>
    <w:rsid w:val="003409A9"/>
    <w:rsid w:val="00341C0A"/>
    <w:rsid w:val="00342169"/>
    <w:rsid w:val="00346614"/>
    <w:rsid w:val="00362BBB"/>
    <w:rsid w:val="00363EC8"/>
    <w:rsid w:val="00365F04"/>
    <w:rsid w:val="0037393A"/>
    <w:rsid w:val="00375B01"/>
    <w:rsid w:val="0038289D"/>
    <w:rsid w:val="00386174"/>
    <w:rsid w:val="00390E3D"/>
    <w:rsid w:val="00391802"/>
    <w:rsid w:val="00391F5C"/>
    <w:rsid w:val="00396CC4"/>
    <w:rsid w:val="003A1054"/>
    <w:rsid w:val="003A2A66"/>
    <w:rsid w:val="003A45AD"/>
    <w:rsid w:val="003A55D8"/>
    <w:rsid w:val="003A6667"/>
    <w:rsid w:val="003B01CC"/>
    <w:rsid w:val="003B07F0"/>
    <w:rsid w:val="003C08DC"/>
    <w:rsid w:val="003C10D1"/>
    <w:rsid w:val="003C61B9"/>
    <w:rsid w:val="003D00B1"/>
    <w:rsid w:val="003D1117"/>
    <w:rsid w:val="003D193A"/>
    <w:rsid w:val="003D1C9C"/>
    <w:rsid w:val="003D1ED8"/>
    <w:rsid w:val="003D2C24"/>
    <w:rsid w:val="003D4346"/>
    <w:rsid w:val="003D4533"/>
    <w:rsid w:val="003D4A97"/>
    <w:rsid w:val="003D50F0"/>
    <w:rsid w:val="003E37C2"/>
    <w:rsid w:val="003E3B61"/>
    <w:rsid w:val="003E4BA3"/>
    <w:rsid w:val="003E60AF"/>
    <w:rsid w:val="003F163F"/>
    <w:rsid w:val="003F5BBE"/>
    <w:rsid w:val="0040309D"/>
    <w:rsid w:val="0041198E"/>
    <w:rsid w:val="00415D39"/>
    <w:rsid w:val="00421898"/>
    <w:rsid w:val="00422D61"/>
    <w:rsid w:val="0042323A"/>
    <w:rsid w:val="00424808"/>
    <w:rsid w:val="00425D70"/>
    <w:rsid w:val="004367AF"/>
    <w:rsid w:val="00442E4F"/>
    <w:rsid w:val="0044536A"/>
    <w:rsid w:val="00447FB8"/>
    <w:rsid w:val="00454403"/>
    <w:rsid w:val="00456C41"/>
    <w:rsid w:val="004574F6"/>
    <w:rsid w:val="00457980"/>
    <w:rsid w:val="00461442"/>
    <w:rsid w:val="00461B03"/>
    <w:rsid w:val="00462C24"/>
    <w:rsid w:val="00465859"/>
    <w:rsid w:val="004737BC"/>
    <w:rsid w:val="0047497F"/>
    <w:rsid w:val="00475C1E"/>
    <w:rsid w:val="00476349"/>
    <w:rsid w:val="00477D5D"/>
    <w:rsid w:val="00480826"/>
    <w:rsid w:val="004818D4"/>
    <w:rsid w:val="00487C4D"/>
    <w:rsid w:val="00487FDA"/>
    <w:rsid w:val="00495D86"/>
    <w:rsid w:val="004A1876"/>
    <w:rsid w:val="004A3DFC"/>
    <w:rsid w:val="004A6E64"/>
    <w:rsid w:val="004B2DD2"/>
    <w:rsid w:val="004C048C"/>
    <w:rsid w:val="004C2439"/>
    <w:rsid w:val="004D1D97"/>
    <w:rsid w:val="004D493D"/>
    <w:rsid w:val="004D713D"/>
    <w:rsid w:val="004E0D4C"/>
    <w:rsid w:val="004F6619"/>
    <w:rsid w:val="00504900"/>
    <w:rsid w:val="00505B4B"/>
    <w:rsid w:val="00505BBD"/>
    <w:rsid w:val="005070EE"/>
    <w:rsid w:val="00510585"/>
    <w:rsid w:val="00510C41"/>
    <w:rsid w:val="0051149D"/>
    <w:rsid w:val="00516509"/>
    <w:rsid w:val="00533D47"/>
    <w:rsid w:val="00537A7C"/>
    <w:rsid w:val="00556492"/>
    <w:rsid w:val="005570C1"/>
    <w:rsid w:val="00557DB0"/>
    <w:rsid w:val="00560CE1"/>
    <w:rsid w:val="0056262B"/>
    <w:rsid w:val="00563487"/>
    <w:rsid w:val="00566E5B"/>
    <w:rsid w:val="00570A35"/>
    <w:rsid w:val="00571659"/>
    <w:rsid w:val="00572628"/>
    <w:rsid w:val="00577E7E"/>
    <w:rsid w:val="00580EBA"/>
    <w:rsid w:val="00583221"/>
    <w:rsid w:val="00583E48"/>
    <w:rsid w:val="00584635"/>
    <w:rsid w:val="00586706"/>
    <w:rsid w:val="00586FCF"/>
    <w:rsid w:val="00590F54"/>
    <w:rsid w:val="00591259"/>
    <w:rsid w:val="00591BDD"/>
    <w:rsid w:val="00595596"/>
    <w:rsid w:val="005958AB"/>
    <w:rsid w:val="00597E6C"/>
    <w:rsid w:val="005A07F4"/>
    <w:rsid w:val="005A0909"/>
    <w:rsid w:val="005A64D4"/>
    <w:rsid w:val="005A673D"/>
    <w:rsid w:val="005B0132"/>
    <w:rsid w:val="005B15D6"/>
    <w:rsid w:val="005B30EF"/>
    <w:rsid w:val="005B41CC"/>
    <w:rsid w:val="005B43B0"/>
    <w:rsid w:val="005B4477"/>
    <w:rsid w:val="005C01D1"/>
    <w:rsid w:val="005C137B"/>
    <w:rsid w:val="005C2591"/>
    <w:rsid w:val="005C359C"/>
    <w:rsid w:val="005C3A36"/>
    <w:rsid w:val="005D0032"/>
    <w:rsid w:val="005D257B"/>
    <w:rsid w:val="005D35D6"/>
    <w:rsid w:val="005D4D88"/>
    <w:rsid w:val="005E2CA1"/>
    <w:rsid w:val="005E53BB"/>
    <w:rsid w:val="005E6373"/>
    <w:rsid w:val="005E7337"/>
    <w:rsid w:val="005F2164"/>
    <w:rsid w:val="005F34D0"/>
    <w:rsid w:val="005F3F43"/>
    <w:rsid w:val="005F40FC"/>
    <w:rsid w:val="005F4E25"/>
    <w:rsid w:val="005F5244"/>
    <w:rsid w:val="00606966"/>
    <w:rsid w:val="006161F6"/>
    <w:rsid w:val="00616527"/>
    <w:rsid w:val="006211DB"/>
    <w:rsid w:val="00634327"/>
    <w:rsid w:val="00634AEE"/>
    <w:rsid w:val="0064110F"/>
    <w:rsid w:val="00644C7D"/>
    <w:rsid w:val="00645880"/>
    <w:rsid w:val="00647D06"/>
    <w:rsid w:val="00651F1A"/>
    <w:rsid w:val="0065257D"/>
    <w:rsid w:val="006525A1"/>
    <w:rsid w:val="00653202"/>
    <w:rsid w:val="0065370E"/>
    <w:rsid w:val="0065601E"/>
    <w:rsid w:val="006576CF"/>
    <w:rsid w:val="00660E44"/>
    <w:rsid w:val="0066293F"/>
    <w:rsid w:val="00663921"/>
    <w:rsid w:val="00663D83"/>
    <w:rsid w:val="00663EFC"/>
    <w:rsid w:val="0067012C"/>
    <w:rsid w:val="006719F4"/>
    <w:rsid w:val="00671BF5"/>
    <w:rsid w:val="0067657C"/>
    <w:rsid w:val="00677A7F"/>
    <w:rsid w:val="006816F8"/>
    <w:rsid w:val="006817B4"/>
    <w:rsid w:val="00682B33"/>
    <w:rsid w:val="00682D15"/>
    <w:rsid w:val="00686195"/>
    <w:rsid w:val="00686807"/>
    <w:rsid w:val="00692A41"/>
    <w:rsid w:val="006937DE"/>
    <w:rsid w:val="0069380A"/>
    <w:rsid w:val="00697B51"/>
    <w:rsid w:val="006B225E"/>
    <w:rsid w:val="006C064C"/>
    <w:rsid w:val="006C1271"/>
    <w:rsid w:val="006C1D4E"/>
    <w:rsid w:val="006C71D6"/>
    <w:rsid w:val="006D05F0"/>
    <w:rsid w:val="006D10BC"/>
    <w:rsid w:val="006D11C6"/>
    <w:rsid w:val="006D2C2E"/>
    <w:rsid w:val="006D5569"/>
    <w:rsid w:val="006D6FB7"/>
    <w:rsid w:val="006E6EE4"/>
    <w:rsid w:val="006F0506"/>
    <w:rsid w:val="006F3989"/>
    <w:rsid w:val="006F4101"/>
    <w:rsid w:val="006F5341"/>
    <w:rsid w:val="00701EB2"/>
    <w:rsid w:val="00702F09"/>
    <w:rsid w:val="00706BFF"/>
    <w:rsid w:val="00710164"/>
    <w:rsid w:val="00712271"/>
    <w:rsid w:val="0071394A"/>
    <w:rsid w:val="00715646"/>
    <w:rsid w:val="007206DD"/>
    <w:rsid w:val="007242F1"/>
    <w:rsid w:val="0072538C"/>
    <w:rsid w:val="00727B2F"/>
    <w:rsid w:val="00727FA6"/>
    <w:rsid w:val="00730495"/>
    <w:rsid w:val="00730EAB"/>
    <w:rsid w:val="0073254F"/>
    <w:rsid w:val="00740D65"/>
    <w:rsid w:val="007529EA"/>
    <w:rsid w:val="00752BBA"/>
    <w:rsid w:val="00753493"/>
    <w:rsid w:val="007537CE"/>
    <w:rsid w:val="00754845"/>
    <w:rsid w:val="00756EA6"/>
    <w:rsid w:val="007570F5"/>
    <w:rsid w:val="00763FA2"/>
    <w:rsid w:val="00765192"/>
    <w:rsid w:val="00770503"/>
    <w:rsid w:val="00770541"/>
    <w:rsid w:val="00770F72"/>
    <w:rsid w:val="00771617"/>
    <w:rsid w:val="00772911"/>
    <w:rsid w:val="0078523A"/>
    <w:rsid w:val="0078695E"/>
    <w:rsid w:val="007921DA"/>
    <w:rsid w:val="00793F3A"/>
    <w:rsid w:val="007A0275"/>
    <w:rsid w:val="007A5624"/>
    <w:rsid w:val="007A5F63"/>
    <w:rsid w:val="007B1939"/>
    <w:rsid w:val="007B627D"/>
    <w:rsid w:val="007C0378"/>
    <w:rsid w:val="007D0FC7"/>
    <w:rsid w:val="007D479C"/>
    <w:rsid w:val="007D4929"/>
    <w:rsid w:val="007E3C22"/>
    <w:rsid w:val="007E5ED1"/>
    <w:rsid w:val="007F0C50"/>
    <w:rsid w:val="007F0DAD"/>
    <w:rsid w:val="007F1FD2"/>
    <w:rsid w:val="007F2099"/>
    <w:rsid w:val="007F27FE"/>
    <w:rsid w:val="00812AF8"/>
    <w:rsid w:val="008146D8"/>
    <w:rsid w:val="008210EB"/>
    <w:rsid w:val="00823A27"/>
    <w:rsid w:val="00825F10"/>
    <w:rsid w:val="0082754D"/>
    <w:rsid w:val="008338CC"/>
    <w:rsid w:val="00833EB3"/>
    <w:rsid w:val="00835F7F"/>
    <w:rsid w:val="0083682C"/>
    <w:rsid w:val="0084040E"/>
    <w:rsid w:val="008426AA"/>
    <w:rsid w:val="00842A4D"/>
    <w:rsid w:val="00842EB3"/>
    <w:rsid w:val="008540AC"/>
    <w:rsid w:val="00857A78"/>
    <w:rsid w:val="008649C8"/>
    <w:rsid w:val="008800A1"/>
    <w:rsid w:val="00880E97"/>
    <w:rsid w:val="00881574"/>
    <w:rsid w:val="00887F1D"/>
    <w:rsid w:val="00891DD8"/>
    <w:rsid w:val="0089267F"/>
    <w:rsid w:val="008929B9"/>
    <w:rsid w:val="00894894"/>
    <w:rsid w:val="008A1A06"/>
    <w:rsid w:val="008A2A17"/>
    <w:rsid w:val="008A405D"/>
    <w:rsid w:val="008A52A4"/>
    <w:rsid w:val="008A602C"/>
    <w:rsid w:val="008A615E"/>
    <w:rsid w:val="008B0011"/>
    <w:rsid w:val="008B7E1D"/>
    <w:rsid w:val="008C53C6"/>
    <w:rsid w:val="008C5A8F"/>
    <w:rsid w:val="008D10B9"/>
    <w:rsid w:val="008D3799"/>
    <w:rsid w:val="008D4C6F"/>
    <w:rsid w:val="008D6773"/>
    <w:rsid w:val="008E0848"/>
    <w:rsid w:val="008E24E9"/>
    <w:rsid w:val="008E2823"/>
    <w:rsid w:val="008E2B23"/>
    <w:rsid w:val="008E2C24"/>
    <w:rsid w:val="008E5326"/>
    <w:rsid w:val="008E709C"/>
    <w:rsid w:val="008F0202"/>
    <w:rsid w:val="008F0393"/>
    <w:rsid w:val="008F04F7"/>
    <w:rsid w:val="008F0A55"/>
    <w:rsid w:val="008F66CD"/>
    <w:rsid w:val="008F718E"/>
    <w:rsid w:val="00906580"/>
    <w:rsid w:val="0090785F"/>
    <w:rsid w:val="00910DA4"/>
    <w:rsid w:val="00913E91"/>
    <w:rsid w:val="00914678"/>
    <w:rsid w:val="009156BF"/>
    <w:rsid w:val="009173DD"/>
    <w:rsid w:val="00921B9F"/>
    <w:rsid w:val="009229C4"/>
    <w:rsid w:val="00923798"/>
    <w:rsid w:val="009253EF"/>
    <w:rsid w:val="009347A8"/>
    <w:rsid w:val="00934D77"/>
    <w:rsid w:val="009357D3"/>
    <w:rsid w:val="00936C08"/>
    <w:rsid w:val="00942FE5"/>
    <w:rsid w:val="0094460B"/>
    <w:rsid w:val="00944EA8"/>
    <w:rsid w:val="009452F1"/>
    <w:rsid w:val="00945FB8"/>
    <w:rsid w:val="00946649"/>
    <w:rsid w:val="009604B9"/>
    <w:rsid w:val="0096109E"/>
    <w:rsid w:val="00964999"/>
    <w:rsid w:val="0096614D"/>
    <w:rsid w:val="00966D89"/>
    <w:rsid w:val="00967EAE"/>
    <w:rsid w:val="00971B2C"/>
    <w:rsid w:val="00976F47"/>
    <w:rsid w:val="0098153A"/>
    <w:rsid w:val="00981F92"/>
    <w:rsid w:val="009866CC"/>
    <w:rsid w:val="00986F6C"/>
    <w:rsid w:val="00990373"/>
    <w:rsid w:val="00990B6E"/>
    <w:rsid w:val="009A1F51"/>
    <w:rsid w:val="009A7362"/>
    <w:rsid w:val="009B058E"/>
    <w:rsid w:val="009B18CC"/>
    <w:rsid w:val="009B4574"/>
    <w:rsid w:val="009B61FF"/>
    <w:rsid w:val="009C2015"/>
    <w:rsid w:val="009C34EC"/>
    <w:rsid w:val="009C42FB"/>
    <w:rsid w:val="009C55B6"/>
    <w:rsid w:val="009C7CE7"/>
    <w:rsid w:val="009D0160"/>
    <w:rsid w:val="009D06FA"/>
    <w:rsid w:val="009D1EE7"/>
    <w:rsid w:val="009D445C"/>
    <w:rsid w:val="009D5438"/>
    <w:rsid w:val="009E2473"/>
    <w:rsid w:val="009E66DF"/>
    <w:rsid w:val="009E6CEE"/>
    <w:rsid w:val="009F36FE"/>
    <w:rsid w:val="009F47DC"/>
    <w:rsid w:val="00A02A66"/>
    <w:rsid w:val="00A03E6D"/>
    <w:rsid w:val="00A05B6C"/>
    <w:rsid w:val="00A13338"/>
    <w:rsid w:val="00A15220"/>
    <w:rsid w:val="00A166D3"/>
    <w:rsid w:val="00A21E2C"/>
    <w:rsid w:val="00A25CBB"/>
    <w:rsid w:val="00A26200"/>
    <w:rsid w:val="00A27A0B"/>
    <w:rsid w:val="00A31671"/>
    <w:rsid w:val="00A41A18"/>
    <w:rsid w:val="00A466DB"/>
    <w:rsid w:val="00A503D9"/>
    <w:rsid w:val="00A50F04"/>
    <w:rsid w:val="00A51FE9"/>
    <w:rsid w:val="00A55B9D"/>
    <w:rsid w:val="00A669D7"/>
    <w:rsid w:val="00A74DD7"/>
    <w:rsid w:val="00A76EA3"/>
    <w:rsid w:val="00A7789C"/>
    <w:rsid w:val="00A77925"/>
    <w:rsid w:val="00A77C23"/>
    <w:rsid w:val="00A77E47"/>
    <w:rsid w:val="00A8063E"/>
    <w:rsid w:val="00A809A9"/>
    <w:rsid w:val="00A8207A"/>
    <w:rsid w:val="00A821C7"/>
    <w:rsid w:val="00A84375"/>
    <w:rsid w:val="00A84799"/>
    <w:rsid w:val="00A90015"/>
    <w:rsid w:val="00A97A5D"/>
    <w:rsid w:val="00AA0F87"/>
    <w:rsid w:val="00AA122D"/>
    <w:rsid w:val="00AA3AC6"/>
    <w:rsid w:val="00AA3B3E"/>
    <w:rsid w:val="00AA476B"/>
    <w:rsid w:val="00AA5ADF"/>
    <w:rsid w:val="00AA664F"/>
    <w:rsid w:val="00AA676F"/>
    <w:rsid w:val="00AA6D8E"/>
    <w:rsid w:val="00AA7050"/>
    <w:rsid w:val="00AB1722"/>
    <w:rsid w:val="00AB24B1"/>
    <w:rsid w:val="00AB3FB1"/>
    <w:rsid w:val="00AB71E6"/>
    <w:rsid w:val="00AC0600"/>
    <w:rsid w:val="00AC14EB"/>
    <w:rsid w:val="00AC330C"/>
    <w:rsid w:val="00AD4252"/>
    <w:rsid w:val="00AE1535"/>
    <w:rsid w:val="00AE22ED"/>
    <w:rsid w:val="00AE5979"/>
    <w:rsid w:val="00AE7662"/>
    <w:rsid w:val="00AF2355"/>
    <w:rsid w:val="00AF27B2"/>
    <w:rsid w:val="00AF35EA"/>
    <w:rsid w:val="00AF4C86"/>
    <w:rsid w:val="00AF4E59"/>
    <w:rsid w:val="00AF64E3"/>
    <w:rsid w:val="00AF6767"/>
    <w:rsid w:val="00AF7975"/>
    <w:rsid w:val="00B02FA4"/>
    <w:rsid w:val="00B11560"/>
    <w:rsid w:val="00B1217E"/>
    <w:rsid w:val="00B12E3C"/>
    <w:rsid w:val="00B17022"/>
    <w:rsid w:val="00B206BB"/>
    <w:rsid w:val="00B207D9"/>
    <w:rsid w:val="00B22046"/>
    <w:rsid w:val="00B23EE3"/>
    <w:rsid w:val="00B25216"/>
    <w:rsid w:val="00B30318"/>
    <w:rsid w:val="00B30DDA"/>
    <w:rsid w:val="00B31003"/>
    <w:rsid w:val="00B31F72"/>
    <w:rsid w:val="00B33FD7"/>
    <w:rsid w:val="00B34BC1"/>
    <w:rsid w:val="00B34EB2"/>
    <w:rsid w:val="00B34FE6"/>
    <w:rsid w:val="00B361D0"/>
    <w:rsid w:val="00B40428"/>
    <w:rsid w:val="00B4119A"/>
    <w:rsid w:val="00B42494"/>
    <w:rsid w:val="00B51E72"/>
    <w:rsid w:val="00B535AB"/>
    <w:rsid w:val="00B53C50"/>
    <w:rsid w:val="00B572FB"/>
    <w:rsid w:val="00B626EE"/>
    <w:rsid w:val="00B65BF6"/>
    <w:rsid w:val="00B65EDA"/>
    <w:rsid w:val="00B70219"/>
    <w:rsid w:val="00B71669"/>
    <w:rsid w:val="00B74FFB"/>
    <w:rsid w:val="00B81FF9"/>
    <w:rsid w:val="00B83925"/>
    <w:rsid w:val="00B84448"/>
    <w:rsid w:val="00B85689"/>
    <w:rsid w:val="00B94D67"/>
    <w:rsid w:val="00BA3235"/>
    <w:rsid w:val="00BA52E5"/>
    <w:rsid w:val="00BB675F"/>
    <w:rsid w:val="00BC0159"/>
    <w:rsid w:val="00BC0D86"/>
    <w:rsid w:val="00BC277D"/>
    <w:rsid w:val="00BC61A3"/>
    <w:rsid w:val="00BC6848"/>
    <w:rsid w:val="00BC7C0C"/>
    <w:rsid w:val="00BD0620"/>
    <w:rsid w:val="00BD3758"/>
    <w:rsid w:val="00BD55B6"/>
    <w:rsid w:val="00BE02D2"/>
    <w:rsid w:val="00BE2F2A"/>
    <w:rsid w:val="00BE49A4"/>
    <w:rsid w:val="00BE6976"/>
    <w:rsid w:val="00BF35E7"/>
    <w:rsid w:val="00BF57A5"/>
    <w:rsid w:val="00BF6A13"/>
    <w:rsid w:val="00BF78AF"/>
    <w:rsid w:val="00C00748"/>
    <w:rsid w:val="00C02524"/>
    <w:rsid w:val="00C06304"/>
    <w:rsid w:val="00C14D5D"/>
    <w:rsid w:val="00C17BA8"/>
    <w:rsid w:val="00C20F36"/>
    <w:rsid w:val="00C2301C"/>
    <w:rsid w:val="00C32E6E"/>
    <w:rsid w:val="00C33F3A"/>
    <w:rsid w:val="00C375FD"/>
    <w:rsid w:val="00C37A5F"/>
    <w:rsid w:val="00C46679"/>
    <w:rsid w:val="00C501C4"/>
    <w:rsid w:val="00C53C91"/>
    <w:rsid w:val="00C5505A"/>
    <w:rsid w:val="00C55FE8"/>
    <w:rsid w:val="00C649C8"/>
    <w:rsid w:val="00C7516C"/>
    <w:rsid w:val="00C76966"/>
    <w:rsid w:val="00C77B68"/>
    <w:rsid w:val="00C816BC"/>
    <w:rsid w:val="00C8247E"/>
    <w:rsid w:val="00C860DA"/>
    <w:rsid w:val="00C906CE"/>
    <w:rsid w:val="00C91026"/>
    <w:rsid w:val="00C918A5"/>
    <w:rsid w:val="00C96D25"/>
    <w:rsid w:val="00CA03DB"/>
    <w:rsid w:val="00CA0571"/>
    <w:rsid w:val="00CA06FC"/>
    <w:rsid w:val="00CA1D2B"/>
    <w:rsid w:val="00CA4664"/>
    <w:rsid w:val="00CA5108"/>
    <w:rsid w:val="00CA53D4"/>
    <w:rsid w:val="00CB1190"/>
    <w:rsid w:val="00CB1D12"/>
    <w:rsid w:val="00CB5748"/>
    <w:rsid w:val="00CB7539"/>
    <w:rsid w:val="00CC4C16"/>
    <w:rsid w:val="00CC57CB"/>
    <w:rsid w:val="00CC5D96"/>
    <w:rsid w:val="00CD186D"/>
    <w:rsid w:val="00CD3875"/>
    <w:rsid w:val="00CD67B8"/>
    <w:rsid w:val="00CE036F"/>
    <w:rsid w:val="00CE1DFB"/>
    <w:rsid w:val="00CE1FAD"/>
    <w:rsid w:val="00CE7645"/>
    <w:rsid w:val="00D00115"/>
    <w:rsid w:val="00D02886"/>
    <w:rsid w:val="00D02AC7"/>
    <w:rsid w:val="00D0521D"/>
    <w:rsid w:val="00D06262"/>
    <w:rsid w:val="00D10B94"/>
    <w:rsid w:val="00D129D7"/>
    <w:rsid w:val="00D14260"/>
    <w:rsid w:val="00D1467E"/>
    <w:rsid w:val="00D147E3"/>
    <w:rsid w:val="00D21277"/>
    <w:rsid w:val="00D24BF4"/>
    <w:rsid w:val="00D2598D"/>
    <w:rsid w:val="00D25A7E"/>
    <w:rsid w:val="00D27653"/>
    <w:rsid w:val="00D31AD8"/>
    <w:rsid w:val="00D3394A"/>
    <w:rsid w:val="00D41E97"/>
    <w:rsid w:val="00D41FD5"/>
    <w:rsid w:val="00D434CE"/>
    <w:rsid w:val="00D455BA"/>
    <w:rsid w:val="00D520C3"/>
    <w:rsid w:val="00D56116"/>
    <w:rsid w:val="00D63C2D"/>
    <w:rsid w:val="00D648DC"/>
    <w:rsid w:val="00D71582"/>
    <w:rsid w:val="00D7300F"/>
    <w:rsid w:val="00D73DBE"/>
    <w:rsid w:val="00D74221"/>
    <w:rsid w:val="00D749C2"/>
    <w:rsid w:val="00D750C4"/>
    <w:rsid w:val="00D753FE"/>
    <w:rsid w:val="00D760B8"/>
    <w:rsid w:val="00D80B13"/>
    <w:rsid w:val="00D8177E"/>
    <w:rsid w:val="00D820D2"/>
    <w:rsid w:val="00D83FE1"/>
    <w:rsid w:val="00D842A4"/>
    <w:rsid w:val="00D85556"/>
    <w:rsid w:val="00DA21CA"/>
    <w:rsid w:val="00DA31F7"/>
    <w:rsid w:val="00DA4298"/>
    <w:rsid w:val="00DB165D"/>
    <w:rsid w:val="00DB16D8"/>
    <w:rsid w:val="00DB3C52"/>
    <w:rsid w:val="00DB77F0"/>
    <w:rsid w:val="00DC4964"/>
    <w:rsid w:val="00DC79C5"/>
    <w:rsid w:val="00DD2138"/>
    <w:rsid w:val="00DD3620"/>
    <w:rsid w:val="00DE1F84"/>
    <w:rsid w:val="00DE37FD"/>
    <w:rsid w:val="00DE6F09"/>
    <w:rsid w:val="00DF08A4"/>
    <w:rsid w:val="00DF2A8E"/>
    <w:rsid w:val="00DF387F"/>
    <w:rsid w:val="00DF561D"/>
    <w:rsid w:val="00E00059"/>
    <w:rsid w:val="00E02F2C"/>
    <w:rsid w:val="00E04D7E"/>
    <w:rsid w:val="00E06708"/>
    <w:rsid w:val="00E1080E"/>
    <w:rsid w:val="00E10EE4"/>
    <w:rsid w:val="00E15504"/>
    <w:rsid w:val="00E15F3A"/>
    <w:rsid w:val="00E22C83"/>
    <w:rsid w:val="00E25309"/>
    <w:rsid w:val="00E27FC4"/>
    <w:rsid w:val="00E30FA8"/>
    <w:rsid w:val="00E32BD8"/>
    <w:rsid w:val="00E35087"/>
    <w:rsid w:val="00E35E1A"/>
    <w:rsid w:val="00E473B1"/>
    <w:rsid w:val="00E51F29"/>
    <w:rsid w:val="00E57651"/>
    <w:rsid w:val="00E57DDC"/>
    <w:rsid w:val="00E60327"/>
    <w:rsid w:val="00E659F2"/>
    <w:rsid w:val="00E661B9"/>
    <w:rsid w:val="00E664F2"/>
    <w:rsid w:val="00E6689A"/>
    <w:rsid w:val="00E66AB2"/>
    <w:rsid w:val="00E67E71"/>
    <w:rsid w:val="00E71828"/>
    <w:rsid w:val="00E73187"/>
    <w:rsid w:val="00E75EC3"/>
    <w:rsid w:val="00E82291"/>
    <w:rsid w:val="00E84A6B"/>
    <w:rsid w:val="00E87A0B"/>
    <w:rsid w:val="00E924D0"/>
    <w:rsid w:val="00E931A5"/>
    <w:rsid w:val="00E95A13"/>
    <w:rsid w:val="00EA7A35"/>
    <w:rsid w:val="00EB050E"/>
    <w:rsid w:val="00EB5A9B"/>
    <w:rsid w:val="00ED06BF"/>
    <w:rsid w:val="00ED111A"/>
    <w:rsid w:val="00ED74C2"/>
    <w:rsid w:val="00EE03F8"/>
    <w:rsid w:val="00EE0BC7"/>
    <w:rsid w:val="00EE252C"/>
    <w:rsid w:val="00EE479D"/>
    <w:rsid w:val="00EE4B54"/>
    <w:rsid w:val="00EE4BC8"/>
    <w:rsid w:val="00EE5AC6"/>
    <w:rsid w:val="00EF4FA3"/>
    <w:rsid w:val="00EF7D79"/>
    <w:rsid w:val="00F0112F"/>
    <w:rsid w:val="00F02E13"/>
    <w:rsid w:val="00F0372F"/>
    <w:rsid w:val="00F05B9C"/>
    <w:rsid w:val="00F07242"/>
    <w:rsid w:val="00F10230"/>
    <w:rsid w:val="00F1268E"/>
    <w:rsid w:val="00F151E9"/>
    <w:rsid w:val="00F1687B"/>
    <w:rsid w:val="00F16963"/>
    <w:rsid w:val="00F22960"/>
    <w:rsid w:val="00F24ECB"/>
    <w:rsid w:val="00F25D6E"/>
    <w:rsid w:val="00F2738A"/>
    <w:rsid w:val="00F30CA4"/>
    <w:rsid w:val="00F313AC"/>
    <w:rsid w:val="00F3343E"/>
    <w:rsid w:val="00F33B9E"/>
    <w:rsid w:val="00F400F0"/>
    <w:rsid w:val="00F40AE7"/>
    <w:rsid w:val="00F5527D"/>
    <w:rsid w:val="00F57060"/>
    <w:rsid w:val="00F61976"/>
    <w:rsid w:val="00F70E75"/>
    <w:rsid w:val="00F73251"/>
    <w:rsid w:val="00F7473C"/>
    <w:rsid w:val="00F77337"/>
    <w:rsid w:val="00F8068B"/>
    <w:rsid w:val="00F811F7"/>
    <w:rsid w:val="00F81CD7"/>
    <w:rsid w:val="00F87BCC"/>
    <w:rsid w:val="00F915B2"/>
    <w:rsid w:val="00F938CA"/>
    <w:rsid w:val="00F9612C"/>
    <w:rsid w:val="00FA3357"/>
    <w:rsid w:val="00FA5861"/>
    <w:rsid w:val="00FA633A"/>
    <w:rsid w:val="00FB0717"/>
    <w:rsid w:val="00FB0979"/>
    <w:rsid w:val="00FB6BDC"/>
    <w:rsid w:val="00FB6E3F"/>
    <w:rsid w:val="00FB72D1"/>
    <w:rsid w:val="00FB74D9"/>
    <w:rsid w:val="00FC165E"/>
    <w:rsid w:val="00FC530C"/>
    <w:rsid w:val="00FC6121"/>
    <w:rsid w:val="00FD0126"/>
    <w:rsid w:val="00FD0DEA"/>
    <w:rsid w:val="00FD22F2"/>
    <w:rsid w:val="00FD2F91"/>
    <w:rsid w:val="00FD5BEE"/>
    <w:rsid w:val="00FE1077"/>
    <w:rsid w:val="00FE235E"/>
    <w:rsid w:val="00FE3ABC"/>
    <w:rsid w:val="00FE5A80"/>
    <w:rsid w:val="00FE704B"/>
    <w:rsid w:val="00FF4083"/>
    <w:rsid w:val="00FF59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7F48419"/>
  <w15:docId w15:val="{88BD9773-9196-48EC-ABA0-BDAAE99E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9D7"/>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A84375"/>
    <w:pPr>
      <w:keepNext/>
      <w:keepLines/>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8437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84375"/>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A8437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84375"/>
    <w:pPr>
      <w:keepNext/>
      <w:keepLines/>
      <w:spacing w:before="40" w:line="276" w:lineRule="auto"/>
      <w:outlineLvl w:val="4"/>
    </w:pPr>
    <w:rPr>
      <w:rFonts w:asciiTheme="majorHAnsi" w:eastAsiaTheme="majorEastAsia" w:hAnsiTheme="majorHAnsi" w:cstheme="majorBidi"/>
      <w:color w:val="365F91" w:themeColor="accent1" w:themeShade="BF"/>
      <w:szCs w:val="22"/>
      <w:lang w:eastAsia="en-US"/>
    </w:rPr>
  </w:style>
  <w:style w:type="paragraph" w:styleId="Heading6">
    <w:name w:val="heading 6"/>
    <w:basedOn w:val="Normal"/>
    <w:next w:val="Normal"/>
    <w:link w:val="Heading6Char"/>
    <w:qFormat/>
    <w:rsid w:val="00A669D7"/>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A669D7"/>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A669D7"/>
    <w:pPr>
      <w:ind w:left="720"/>
      <w:contextualSpacing/>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locked/>
    <w:rsid w:val="00A669D7"/>
    <w:rPr>
      <w:rFonts w:ascii="Times New Roman" w:eastAsia="Times New Roman" w:hAnsi="Times New Roman" w:cs="Times New Roman"/>
      <w:sz w:val="24"/>
      <w:szCs w:val="20"/>
      <w:lang w:eastAsia="en-AU"/>
    </w:rPr>
  </w:style>
  <w:style w:type="character" w:customStyle="1" w:styleId="DINumberedParagraphChar">
    <w:name w:val="DI Numbered Paragraph Char"/>
    <w:link w:val="DINumberedParagraph"/>
    <w:locked/>
    <w:rsid w:val="00A669D7"/>
    <w:rPr>
      <w:sz w:val="24"/>
    </w:rPr>
  </w:style>
  <w:style w:type="paragraph" w:customStyle="1" w:styleId="DINumberedParagraph">
    <w:name w:val="DI Numbered Paragraph"/>
    <w:basedOn w:val="Normal"/>
    <w:link w:val="DINumberedParagraphChar"/>
    <w:rsid w:val="00A669D7"/>
    <w:pPr>
      <w:numPr>
        <w:numId w:val="2"/>
      </w:numPr>
      <w:tabs>
        <w:tab w:val="left" w:pos="567"/>
      </w:tabs>
      <w:spacing w:before="0" w:after="240"/>
    </w:pPr>
    <w:rPr>
      <w:rFonts w:asciiTheme="minorHAnsi" w:eastAsiaTheme="minorHAnsi" w:hAnsiTheme="minorHAnsi" w:cstheme="minorBidi"/>
      <w:szCs w:val="22"/>
      <w:lang w:eastAsia="en-US"/>
    </w:rPr>
  </w:style>
  <w:style w:type="paragraph" w:styleId="BalloonText">
    <w:name w:val="Balloon Text"/>
    <w:basedOn w:val="Normal"/>
    <w:link w:val="BalloonTextChar"/>
    <w:uiPriority w:val="99"/>
    <w:semiHidden/>
    <w:unhideWhenUsed/>
    <w:rsid w:val="003D00B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0B1"/>
    <w:rPr>
      <w:rFonts w:ascii="Tahoma" w:eastAsia="Times New Roman" w:hAnsi="Tahoma" w:cs="Tahoma"/>
      <w:sz w:val="16"/>
      <w:szCs w:val="16"/>
      <w:lang w:eastAsia="en-AU"/>
    </w:rPr>
  </w:style>
  <w:style w:type="paragraph" w:customStyle="1" w:styleId="BodyText10">
    <w:name w:val="Body Text1_0"/>
    <w:basedOn w:val="Normal"/>
    <w:rsid w:val="009E66DF"/>
    <w:rPr>
      <w:rFonts w:ascii="Arial" w:hAnsi="Arial" w:cs="Arial"/>
      <w:szCs w:val="24"/>
    </w:rPr>
  </w:style>
  <w:style w:type="character" w:styleId="CommentReference">
    <w:name w:val="annotation reference"/>
    <w:basedOn w:val="DefaultParagraphFont"/>
    <w:uiPriority w:val="99"/>
    <w:semiHidden/>
    <w:unhideWhenUsed/>
    <w:rsid w:val="002E1F0E"/>
    <w:rPr>
      <w:sz w:val="16"/>
      <w:szCs w:val="16"/>
    </w:rPr>
  </w:style>
  <w:style w:type="paragraph" w:styleId="CommentText">
    <w:name w:val="annotation text"/>
    <w:basedOn w:val="Normal"/>
    <w:link w:val="CommentTextChar"/>
    <w:uiPriority w:val="99"/>
    <w:unhideWhenUsed/>
    <w:rsid w:val="002E1F0E"/>
    <w:rPr>
      <w:sz w:val="20"/>
    </w:rPr>
  </w:style>
  <w:style w:type="character" w:customStyle="1" w:styleId="CommentTextChar">
    <w:name w:val="Comment Text Char"/>
    <w:basedOn w:val="DefaultParagraphFont"/>
    <w:link w:val="CommentText"/>
    <w:uiPriority w:val="99"/>
    <w:rsid w:val="002E1F0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E1F0E"/>
    <w:rPr>
      <w:b/>
      <w:bCs/>
    </w:rPr>
  </w:style>
  <w:style w:type="character" w:customStyle="1" w:styleId="CommentSubjectChar">
    <w:name w:val="Comment Subject Char"/>
    <w:basedOn w:val="CommentTextChar"/>
    <w:link w:val="CommentSubject"/>
    <w:uiPriority w:val="99"/>
    <w:semiHidden/>
    <w:rsid w:val="002E1F0E"/>
    <w:rPr>
      <w:rFonts w:ascii="Times New Roman" w:eastAsia="Times New Roman" w:hAnsi="Times New Roman" w:cs="Times New Roman"/>
      <w:b/>
      <w:bCs/>
      <w:sz w:val="20"/>
      <w:szCs w:val="20"/>
      <w:lang w:eastAsia="en-AU"/>
    </w:rPr>
  </w:style>
  <w:style w:type="paragraph" w:customStyle="1" w:styleId="Default">
    <w:name w:val="Default"/>
    <w:rsid w:val="007F0DAD"/>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ActHead5">
    <w:name w:val="ActHead 5"/>
    <w:aliases w:val="s"/>
    <w:basedOn w:val="Normal"/>
    <w:next w:val="Normal"/>
    <w:link w:val="ActHead5Char"/>
    <w:qFormat/>
    <w:rsid w:val="007F0DAD"/>
    <w:pPr>
      <w:keepNext/>
      <w:keepLines/>
      <w:spacing w:before="280"/>
      <w:ind w:left="1134" w:hanging="1134"/>
      <w:outlineLvl w:val="4"/>
    </w:pPr>
    <w:rPr>
      <w:b/>
      <w:kern w:val="28"/>
    </w:rPr>
  </w:style>
  <w:style w:type="paragraph" w:customStyle="1" w:styleId="ActHead6">
    <w:name w:val="ActHead 6"/>
    <w:aliases w:val="as"/>
    <w:basedOn w:val="Normal"/>
    <w:next w:val="ActHead7"/>
    <w:qFormat/>
    <w:rsid w:val="007F0DAD"/>
    <w:pPr>
      <w:keepNext/>
      <w:keepLines/>
      <w:spacing w:before="0"/>
      <w:ind w:left="1134" w:hanging="1134"/>
      <w:outlineLvl w:val="5"/>
    </w:pPr>
    <w:rPr>
      <w:rFonts w:ascii="Arial" w:hAnsi="Arial"/>
      <w:b/>
      <w:kern w:val="28"/>
      <w:sz w:val="32"/>
    </w:rPr>
  </w:style>
  <w:style w:type="paragraph" w:customStyle="1" w:styleId="ActHead7">
    <w:name w:val="ActHead 7"/>
    <w:aliases w:val="ap"/>
    <w:basedOn w:val="Normal"/>
    <w:next w:val="ItemHead"/>
    <w:qFormat/>
    <w:rsid w:val="007F0DAD"/>
    <w:pPr>
      <w:keepNext/>
      <w:keepLines/>
      <w:spacing w:before="280"/>
      <w:ind w:left="1134" w:hanging="1134"/>
      <w:outlineLvl w:val="6"/>
    </w:pPr>
    <w:rPr>
      <w:rFonts w:ascii="Arial" w:hAnsi="Arial"/>
      <w:b/>
      <w:kern w:val="28"/>
      <w:sz w:val="28"/>
    </w:rPr>
  </w:style>
  <w:style w:type="paragraph" w:customStyle="1" w:styleId="ActHead9">
    <w:name w:val="ActHead 9"/>
    <w:aliases w:val="aat"/>
    <w:basedOn w:val="Normal"/>
    <w:next w:val="ItemHead"/>
    <w:qFormat/>
    <w:rsid w:val="007F0DAD"/>
    <w:pPr>
      <w:keepNext/>
      <w:keepLines/>
      <w:spacing w:before="280"/>
      <w:ind w:left="1134" w:hanging="1134"/>
      <w:outlineLvl w:val="8"/>
    </w:pPr>
    <w:rPr>
      <w:b/>
      <w:i/>
      <w:kern w:val="28"/>
      <w:sz w:val="28"/>
    </w:rPr>
  </w:style>
  <w:style w:type="character" w:customStyle="1" w:styleId="CharAmPartNo">
    <w:name w:val="CharAmPartNo"/>
    <w:basedOn w:val="DefaultParagraphFont"/>
    <w:qFormat/>
    <w:rsid w:val="007F0DAD"/>
  </w:style>
  <w:style w:type="character" w:customStyle="1" w:styleId="CharAmPartText">
    <w:name w:val="CharAmPartText"/>
    <w:basedOn w:val="DefaultParagraphFont"/>
    <w:qFormat/>
    <w:rsid w:val="007F0DAD"/>
  </w:style>
  <w:style w:type="character" w:customStyle="1" w:styleId="CharAmSchNo">
    <w:name w:val="CharAmSchNo"/>
    <w:basedOn w:val="DefaultParagraphFont"/>
    <w:qFormat/>
    <w:rsid w:val="007F0DAD"/>
  </w:style>
  <w:style w:type="character" w:customStyle="1" w:styleId="CharAmSchText">
    <w:name w:val="CharAmSchText"/>
    <w:basedOn w:val="DefaultParagraphFont"/>
    <w:qFormat/>
    <w:rsid w:val="007F0DAD"/>
  </w:style>
  <w:style w:type="paragraph" w:customStyle="1" w:styleId="ItemHead">
    <w:name w:val="ItemHead"/>
    <w:aliases w:val="ih"/>
    <w:basedOn w:val="Normal"/>
    <w:next w:val="Normal"/>
    <w:rsid w:val="007F0DAD"/>
    <w:pPr>
      <w:keepNext/>
      <w:keepLines/>
      <w:spacing w:before="220"/>
      <w:ind w:left="709" w:hanging="709"/>
    </w:pPr>
    <w:rPr>
      <w:rFonts w:ascii="Arial" w:hAnsi="Arial"/>
      <w:b/>
      <w:kern w:val="28"/>
    </w:rPr>
  </w:style>
  <w:style w:type="character" w:customStyle="1" w:styleId="ActHead5Char">
    <w:name w:val="ActHead 5 Char"/>
    <w:aliases w:val="s Char"/>
    <w:link w:val="ActHead5"/>
    <w:rsid w:val="007F0DAD"/>
    <w:rPr>
      <w:rFonts w:ascii="Times New Roman" w:eastAsia="Times New Roman" w:hAnsi="Times New Roman" w:cs="Times New Roman"/>
      <w:b/>
      <w:kern w:val="28"/>
      <w:sz w:val="24"/>
      <w:szCs w:val="20"/>
      <w:lang w:eastAsia="en-AU"/>
    </w:rPr>
  </w:style>
  <w:style w:type="character" w:styleId="Hyperlink">
    <w:name w:val="Hyperlink"/>
    <w:basedOn w:val="DefaultParagraphFont"/>
    <w:uiPriority w:val="99"/>
    <w:unhideWhenUsed/>
    <w:rsid w:val="009D445C"/>
    <w:rPr>
      <w:strike w:val="0"/>
      <w:dstrike w:val="0"/>
      <w:color w:val="007AC3"/>
      <w:u w:val="none"/>
      <w:effect w:val="none"/>
    </w:rPr>
  </w:style>
  <w:style w:type="paragraph" w:customStyle="1" w:styleId="contentelement-indenttwo1">
    <w:name w:val="contentelement-indenttwo1"/>
    <w:basedOn w:val="Normal"/>
    <w:rsid w:val="002A2D29"/>
    <w:pPr>
      <w:spacing w:after="240"/>
      <w:ind w:left="936"/>
    </w:pPr>
    <w:rPr>
      <w:szCs w:val="24"/>
    </w:rPr>
  </w:style>
  <w:style w:type="paragraph" w:customStyle="1" w:styleId="paragraph">
    <w:name w:val="paragraph"/>
    <w:aliases w:val="a"/>
    <w:basedOn w:val="Normal"/>
    <w:rsid w:val="00DD3620"/>
    <w:pPr>
      <w:tabs>
        <w:tab w:val="right" w:pos="1531"/>
      </w:tabs>
      <w:spacing w:before="40"/>
      <w:ind w:left="1644" w:hanging="1644"/>
    </w:pPr>
    <w:rPr>
      <w:sz w:val="22"/>
    </w:rPr>
  </w:style>
  <w:style w:type="paragraph" w:styleId="NormalWeb">
    <w:name w:val="Normal (Web)"/>
    <w:basedOn w:val="Normal"/>
    <w:uiPriority w:val="99"/>
    <w:unhideWhenUsed/>
    <w:rsid w:val="001A595F"/>
    <w:pPr>
      <w:spacing w:before="100" w:beforeAutospacing="1" w:after="100" w:afterAutospacing="1"/>
    </w:pPr>
    <w:rPr>
      <w:szCs w:val="24"/>
    </w:rPr>
  </w:style>
  <w:style w:type="paragraph" w:customStyle="1" w:styleId="subsection">
    <w:name w:val="subsection"/>
    <w:basedOn w:val="Normal"/>
    <w:rsid w:val="003F163F"/>
    <w:pPr>
      <w:spacing w:before="100" w:beforeAutospacing="1" w:after="100" w:afterAutospacing="1"/>
    </w:pPr>
    <w:rPr>
      <w:szCs w:val="24"/>
    </w:rPr>
  </w:style>
  <w:style w:type="character" w:customStyle="1" w:styleId="Heading1Char">
    <w:name w:val="Heading 1 Char"/>
    <w:basedOn w:val="DefaultParagraphFont"/>
    <w:link w:val="Heading1"/>
    <w:uiPriority w:val="9"/>
    <w:rsid w:val="00A84375"/>
    <w:rPr>
      <w:rFonts w:asciiTheme="majorHAnsi" w:eastAsiaTheme="majorEastAsia" w:hAnsiTheme="majorHAnsi" w:cstheme="majorBidi"/>
      <w:color w:val="365F91" w:themeColor="accent1" w:themeShade="BF"/>
      <w:sz w:val="32"/>
      <w:szCs w:val="32"/>
      <w:lang w:eastAsia="en-AU"/>
    </w:rPr>
  </w:style>
  <w:style w:type="character" w:customStyle="1" w:styleId="Heading2Char">
    <w:name w:val="Heading 2 Char"/>
    <w:basedOn w:val="DefaultParagraphFont"/>
    <w:link w:val="Heading2"/>
    <w:uiPriority w:val="9"/>
    <w:rsid w:val="00A84375"/>
    <w:rPr>
      <w:rFonts w:asciiTheme="majorHAnsi" w:eastAsiaTheme="majorEastAsia" w:hAnsiTheme="majorHAnsi" w:cstheme="majorBidi"/>
      <w:color w:val="365F91" w:themeColor="accent1" w:themeShade="BF"/>
      <w:sz w:val="26"/>
      <w:szCs w:val="26"/>
      <w:lang w:eastAsia="en-AU"/>
    </w:rPr>
  </w:style>
  <w:style w:type="character" w:customStyle="1" w:styleId="Heading3Char">
    <w:name w:val="Heading 3 Char"/>
    <w:basedOn w:val="DefaultParagraphFont"/>
    <w:link w:val="Heading3"/>
    <w:uiPriority w:val="9"/>
    <w:rsid w:val="00A84375"/>
    <w:rPr>
      <w:rFonts w:asciiTheme="majorHAnsi" w:eastAsiaTheme="majorEastAsia" w:hAnsiTheme="majorHAnsi" w:cstheme="majorBidi"/>
      <w:color w:val="243F60" w:themeColor="accent1" w:themeShade="7F"/>
      <w:sz w:val="24"/>
      <w:szCs w:val="24"/>
      <w:lang w:eastAsia="en-AU"/>
    </w:rPr>
  </w:style>
  <w:style w:type="character" w:customStyle="1" w:styleId="Heading4Char">
    <w:name w:val="Heading 4 Char"/>
    <w:basedOn w:val="DefaultParagraphFont"/>
    <w:link w:val="Heading4"/>
    <w:uiPriority w:val="9"/>
    <w:rsid w:val="00A84375"/>
    <w:rPr>
      <w:rFonts w:asciiTheme="majorHAnsi" w:eastAsiaTheme="majorEastAsia" w:hAnsiTheme="majorHAnsi" w:cstheme="majorBidi"/>
      <w:i/>
      <w:iCs/>
      <w:color w:val="365F91" w:themeColor="accent1" w:themeShade="BF"/>
      <w:sz w:val="24"/>
      <w:szCs w:val="20"/>
      <w:lang w:eastAsia="en-AU"/>
    </w:rPr>
  </w:style>
  <w:style w:type="character" w:customStyle="1" w:styleId="Heading5Char">
    <w:name w:val="Heading 5 Char"/>
    <w:basedOn w:val="DefaultParagraphFont"/>
    <w:link w:val="Heading5"/>
    <w:uiPriority w:val="9"/>
    <w:rsid w:val="00A84375"/>
    <w:rPr>
      <w:rFonts w:asciiTheme="majorHAnsi" w:eastAsiaTheme="majorEastAsia" w:hAnsiTheme="majorHAnsi" w:cstheme="majorBidi"/>
      <w:color w:val="365F91" w:themeColor="accent1" w:themeShade="BF"/>
      <w:sz w:val="24"/>
    </w:rPr>
  </w:style>
  <w:style w:type="paragraph" w:customStyle="1" w:styleId="Pa22">
    <w:name w:val="Pa22"/>
    <w:basedOn w:val="Default"/>
    <w:next w:val="Default"/>
    <w:uiPriority w:val="99"/>
    <w:rsid w:val="00A84375"/>
    <w:pPr>
      <w:spacing w:line="191" w:lineRule="atLeast"/>
    </w:pPr>
    <w:rPr>
      <w:rFonts w:ascii="AvantGarde" w:eastAsiaTheme="minorHAnsi" w:hAnsi="AvantGarde" w:cstheme="minorBidi"/>
      <w:color w:val="auto"/>
      <w:lang w:eastAsia="en-US"/>
    </w:rPr>
  </w:style>
  <w:style w:type="paragraph" w:styleId="BodyText">
    <w:name w:val="Body Text"/>
    <w:aliases w:val="Body Text Cab,CAB - Body Text"/>
    <w:link w:val="BodyTextChar"/>
    <w:rsid w:val="00A84375"/>
    <w:pPr>
      <w:spacing w:before="120" w:after="120" w:line="240" w:lineRule="auto"/>
    </w:pPr>
    <w:rPr>
      <w:rFonts w:ascii="Arial" w:hAnsi="Arial"/>
    </w:rPr>
  </w:style>
  <w:style w:type="character" w:customStyle="1" w:styleId="BodyTextChar">
    <w:name w:val="Body Text Char"/>
    <w:aliases w:val="Body Text Cab Char,CAB - Body Text Char"/>
    <w:basedOn w:val="DefaultParagraphFont"/>
    <w:link w:val="BodyText"/>
    <w:rsid w:val="00A84375"/>
    <w:rPr>
      <w:rFonts w:ascii="Arial" w:hAnsi="Arial"/>
    </w:rPr>
  </w:style>
  <w:style w:type="paragraph" w:customStyle="1" w:styleId="CABNETParagraph">
    <w:name w:val="CABNET Paragraph."/>
    <w:basedOn w:val="Normal"/>
    <w:link w:val="CABNETParagraphChar"/>
    <w:uiPriority w:val="98"/>
    <w:qFormat/>
    <w:rsid w:val="00A84375"/>
    <w:pPr>
      <w:spacing w:before="120" w:after="120"/>
    </w:pPr>
    <w:rPr>
      <w:rFonts w:ascii="Arial" w:eastAsiaTheme="minorHAnsi" w:hAnsi="Arial" w:cstheme="minorHAnsi"/>
      <w:sz w:val="22"/>
      <w:szCs w:val="22"/>
      <w:lang w:eastAsia="en-US"/>
    </w:rPr>
  </w:style>
  <w:style w:type="character" w:customStyle="1" w:styleId="CABNETParagraphChar">
    <w:name w:val="CABNET Paragraph. Char"/>
    <w:basedOn w:val="DefaultParagraphFont"/>
    <w:link w:val="CABNETParagraph"/>
    <w:uiPriority w:val="98"/>
    <w:rsid w:val="00A84375"/>
    <w:rPr>
      <w:rFonts w:ascii="Arial" w:hAnsi="Arial" w:cstheme="minorHAnsi"/>
    </w:rPr>
  </w:style>
  <w:style w:type="paragraph" w:customStyle="1" w:styleId="BulletList">
    <w:name w:val="Bullet List"/>
    <w:qFormat/>
    <w:rsid w:val="00A84375"/>
    <w:pPr>
      <w:numPr>
        <w:numId w:val="13"/>
      </w:numPr>
      <w:spacing w:after="0" w:line="240" w:lineRule="auto"/>
    </w:pPr>
    <w:rPr>
      <w:rFonts w:ascii="Times New Roman" w:eastAsia="TimesNewRomanPSMT" w:hAnsi="Times New Roman" w:cs="TimesNewRomanPSMT"/>
      <w:color w:val="000000"/>
      <w:sz w:val="24"/>
      <w:szCs w:val="19"/>
      <w:lang w:val="en-GB"/>
    </w:rPr>
  </w:style>
  <w:style w:type="paragraph" w:customStyle="1" w:styleId="Bullet1">
    <w:name w:val="Bullet 1"/>
    <w:basedOn w:val="BulletList"/>
    <w:qFormat/>
    <w:rsid w:val="00A84375"/>
    <w:pPr>
      <w:spacing w:after="200"/>
      <w:ind w:left="284" w:hanging="284"/>
    </w:pPr>
    <w:rPr>
      <w:lang w:val="en-AU"/>
    </w:rPr>
  </w:style>
  <w:style w:type="paragraph" w:customStyle="1" w:styleId="Bullet2">
    <w:name w:val="Bullet 2"/>
    <w:basedOn w:val="Normal"/>
    <w:qFormat/>
    <w:rsid w:val="00A84375"/>
    <w:pPr>
      <w:numPr>
        <w:numId w:val="14"/>
      </w:numPr>
      <w:spacing w:before="0" w:after="200"/>
      <w:ind w:left="567" w:hanging="283"/>
    </w:pPr>
    <w:rPr>
      <w:rFonts w:eastAsiaTheme="minorEastAsia" w:cstheme="minorBidi"/>
      <w:szCs w:val="24"/>
      <w:lang w:eastAsia="en-US"/>
    </w:rPr>
  </w:style>
  <w:style w:type="paragraph" w:styleId="Header">
    <w:name w:val="header"/>
    <w:basedOn w:val="Normal"/>
    <w:link w:val="HeaderChar"/>
    <w:uiPriority w:val="99"/>
    <w:unhideWhenUsed/>
    <w:rsid w:val="00A84375"/>
    <w:pPr>
      <w:tabs>
        <w:tab w:val="center" w:pos="4513"/>
        <w:tab w:val="right" w:pos="9026"/>
      </w:tabs>
      <w:spacing w:before="0"/>
    </w:pPr>
    <w:rPr>
      <w:rFonts w:eastAsiaTheme="minorHAnsi" w:cstheme="minorBidi"/>
      <w:szCs w:val="22"/>
      <w:lang w:eastAsia="en-US"/>
    </w:rPr>
  </w:style>
  <w:style w:type="character" w:customStyle="1" w:styleId="HeaderChar">
    <w:name w:val="Header Char"/>
    <w:basedOn w:val="DefaultParagraphFont"/>
    <w:link w:val="Header"/>
    <w:uiPriority w:val="99"/>
    <w:rsid w:val="00A84375"/>
    <w:rPr>
      <w:rFonts w:ascii="Times New Roman" w:hAnsi="Times New Roman"/>
      <w:sz w:val="24"/>
    </w:rPr>
  </w:style>
  <w:style w:type="paragraph" w:styleId="Footer">
    <w:name w:val="footer"/>
    <w:basedOn w:val="Normal"/>
    <w:link w:val="FooterChar"/>
    <w:uiPriority w:val="99"/>
    <w:unhideWhenUsed/>
    <w:rsid w:val="00A84375"/>
    <w:pPr>
      <w:tabs>
        <w:tab w:val="center" w:pos="4513"/>
        <w:tab w:val="right" w:pos="9026"/>
      </w:tabs>
      <w:spacing w:before="0"/>
    </w:pPr>
    <w:rPr>
      <w:rFonts w:eastAsiaTheme="minorHAnsi" w:cstheme="minorBidi"/>
      <w:szCs w:val="22"/>
      <w:lang w:eastAsia="en-US"/>
    </w:rPr>
  </w:style>
  <w:style w:type="character" w:customStyle="1" w:styleId="FooterChar">
    <w:name w:val="Footer Char"/>
    <w:basedOn w:val="DefaultParagraphFont"/>
    <w:link w:val="Footer"/>
    <w:uiPriority w:val="99"/>
    <w:rsid w:val="00A84375"/>
    <w:rPr>
      <w:rFonts w:ascii="Times New Roman" w:hAnsi="Times New Roman"/>
      <w:sz w:val="24"/>
    </w:rPr>
  </w:style>
  <w:style w:type="character" w:styleId="Strong">
    <w:name w:val="Strong"/>
    <w:basedOn w:val="DefaultParagraphFont"/>
    <w:uiPriority w:val="22"/>
    <w:qFormat/>
    <w:rsid w:val="00A84375"/>
    <w:rPr>
      <w:b/>
      <w:bCs/>
    </w:rPr>
  </w:style>
  <w:style w:type="paragraph" w:styleId="FootnoteText">
    <w:name w:val="footnote text"/>
    <w:basedOn w:val="Normal"/>
    <w:link w:val="FootnoteTextChar"/>
    <w:uiPriority w:val="99"/>
    <w:semiHidden/>
    <w:unhideWhenUsed/>
    <w:rsid w:val="00A84375"/>
    <w:pPr>
      <w:spacing w:before="0"/>
    </w:pPr>
    <w:rPr>
      <w:rFonts w:eastAsiaTheme="minorHAnsi" w:cstheme="minorBidi"/>
      <w:sz w:val="20"/>
      <w:lang w:eastAsia="en-US"/>
    </w:rPr>
  </w:style>
  <w:style w:type="character" w:customStyle="1" w:styleId="FootnoteTextChar">
    <w:name w:val="Footnote Text Char"/>
    <w:basedOn w:val="DefaultParagraphFont"/>
    <w:link w:val="FootnoteText"/>
    <w:uiPriority w:val="99"/>
    <w:semiHidden/>
    <w:rsid w:val="00A84375"/>
    <w:rPr>
      <w:rFonts w:ascii="Times New Roman" w:hAnsi="Times New Roman"/>
      <w:sz w:val="20"/>
      <w:szCs w:val="20"/>
    </w:rPr>
  </w:style>
  <w:style w:type="character" w:styleId="FootnoteReference">
    <w:name w:val="footnote reference"/>
    <w:basedOn w:val="DefaultParagraphFont"/>
    <w:uiPriority w:val="99"/>
    <w:semiHidden/>
    <w:unhideWhenUsed/>
    <w:rsid w:val="00A84375"/>
    <w:rPr>
      <w:vertAlign w:val="superscript"/>
    </w:rPr>
  </w:style>
  <w:style w:type="table" w:styleId="TableGrid">
    <w:name w:val="Table Grid"/>
    <w:basedOn w:val="TableNormal"/>
    <w:uiPriority w:val="59"/>
    <w:rsid w:val="00A84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84375"/>
    <w:pPr>
      <w:spacing w:before="480" w:line="276" w:lineRule="auto"/>
      <w:outlineLvl w:val="9"/>
    </w:pPr>
    <w:rPr>
      <w:b/>
      <w:bCs/>
      <w:sz w:val="28"/>
      <w:szCs w:val="28"/>
      <w:lang w:val="en-US" w:eastAsia="ja-JP"/>
    </w:rPr>
  </w:style>
  <w:style w:type="paragraph" w:styleId="TOC1">
    <w:name w:val="toc 1"/>
    <w:basedOn w:val="Normal"/>
    <w:next w:val="Normal"/>
    <w:autoRedefine/>
    <w:uiPriority w:val="39"/>
    <w:unhideWhenUsed/>
    <w:rsid w:val="00A84375"/>
    <w:pPr>
      <w:spacing w:before="0" w:after="100" w:line="276" w:lineRule="auto"/>
    </w:pPr>
    <w:rPr>
      <w:rFonts w:eastAsiaTheme="minorHAnsi" w:cstheme="minorBidi"/>
      <w:szCs w:val="22"/>
      <w:lang w:eastAsia="en-US"/>
    </w:rPr>
  </w:style>
  <w:style w:type="paragraph" w:styleId="TOC2">
    <w:name w:val="toc 2"/>
    <w:basedOn w:val="Normal"/>
    <w:next w:val="Normal"/>
    <w:autoRedefine/>
    <w:uiPriority w:val="39"/>
    <w:unhideWhenUsed/>
    <w:rsid w:val="00A84375"/>
    <w:pPr>
      <w:spacing w:before="0" w:after="100" w:line="276" w:lineRule="auto"/>
      <w:ind w:left="240"/>
    </w:pPr>
    <w:rPr>
      <w:rFonts w:eastAsiaTheme="minorHAnsi" w:cstheme="minorBidi"/>
      <w:szCs w:val="22"/>
      <w:lang w:eastAsia="en-US"/>
    </w:rPr>
  </w:style>
  <w:style w:type="paragraph" w:styleId="TOC3">
    <w:name w:val="toc 3"/>
    <w:basedOn w:val="Normal"/>
    <w:next w:val="Normal"/>
    <w:autoRedefine/>
    <w:uiPriority w:val="39"/>
    <w:unhideWhenUsed/>
    <w:rsid w:val="00A84375"/>
    <w:pPr>
      <w:spacing w:before="0" w:after="100" w:line="276" w:lineRule="auto"/>
      <w:ind w:left="480"/>
    </w:pPr>
    <w:rPr>
      <w:rFonts w:eastAsiaTheme="minorHAnsi" w:cstheme="minorBidi"/>
      <w:szCs w:val="22"/>
      <w:lang w:eastAsia="en-US"/>
    </w:rPr>
  </w:style>
  <w:style w:type="paragraph" w:styleId="Revision">
    <w:name w:val="Revision"/>
    <w:hidden/>
    <w:uiPriority w:val="99"/>
    <w:semiHidden/>
    <w:rsid w:val="00A84375"/>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9972">
      <w:bodyDiv w:val="1"/>
      <w:marLeft w:val="0"/>
      <w:marRight w:val="0"/>
      <w:marTop w:val="0"/>
      <w:marBottom w:val="0"/>
      <w:divBdr>
        <w:top w:val="none" w:sz="0" w:space="0" w:color="auto"/>
        <w:left w:val="none" w:sz="0" w:space="0" w:color="auto"/>
        <w:bottom w:val="none" w:sz="0" w:space="0" w:color="auto"/>
        <w:right w:val="none" w:sz="0" w:space="0" w:color="auto"/>
      </w:divBdr>
      <w:divsChild>
        <w:div w:id="283511705">
          <w:marLeft w:val="0"/>
          <w:marRight w:val="0"/>
          <w:marTop w:val="0"/>
          <w:marBottom w:val="0"/>
          <w:divBdr>
            <w:top w:val="none" w:sz="0" w:space="0" w:color="auto"/>
            <w:left w:val="none" w:sz="0" w:space="0" w:color="auto"/>
            <w:bottom w:val="none" w:sz="0" w:space="0" w:color="auto"/>
            <w:right w:val="none" w:sz="0" w:space="0" w:color="auto"/>
          </w:divBdr>
          <w:divsChild>
            <w:div w:id="677196060">
              <w:marLeft w:val="0"/>
              <w:marRight w:val="0"/>
              <w:marTop w:val="0"/>
              <w:marBottom w:val="0"/>
              <w:divBdr>
                <w:top w:val="none" w:sz="0" w:space="0" w:color="auto"/>
                <w:left w:val="none" w:sz="0" w:space="0" w:color="auto"/>
                <w:bottom w:val="none" w:sz="0" w:space="0" w:color="auto"/>
                <w:right w:val="none" w:sz="0" w:space="0" w:color="auto"/>
              </w:divBdr>
              <w:divsChild>
                <w:div w:id="2088725362">
                  <w:marLeft w:val="0"/>
                  <w:marRight w:val="0"/>
                  <w:marTop w:val="0"/>
                  <w:marBottom w:val="0"/>
                  <w:divBdr>
                    <w:top w:val="none" w:sz="0" w:space="0" w:color="auto"/>
                    <w:left w:val="none" w:sz="0" w:space="0" w:color="auto"/>
                    <w:bottom w:val="none" w:sz="0" w:space="0" w:color="auto"/>
                    <w:right w:val="none" w:sz="0" w:space="0" w:color="auto"/>
                  </w:divBdr>
                  <w:divsChild>
                    <w:div w:id="1743484726">
                      <w:marLeft w:val="0"/>
                      <w:marRight w:val="0"/>
                      <w:marTop w:val="0"/>
                      <w:marBottom w:val="0"/>
                      <w:divBdr>
                        <w:top w:val="none" w:sz="0" w:space="0" w:color="auto"/>
                        <w:left w:val="none" w:sz="0" w:space="0" w:color="auto"/>
                        <w:bottom w:val="none" w:sz="0" w:space="0" w:color="auto"/>
                        <w:right w:val="none" w:sz="0" w:space="0" w:color="auto"/>
                      </w:divBdr>
                      <w:divsChild>
                        <w:div w:id="2147122050">
                          <w:marLeft w:val="0"/>
                          <w:marRight w:val="0"/>
                          <w:marTop w:val="0"/>
                          <w:marBottom w:val="0"/>
                          <w:divBdr>
                            <w:top w:val="none" w:sz="0" w:space="0" w:color="auto"/>
                            <w:left w:val="none" w:sz="0" w:space="0" w:color="auto"/>
                            <w:bottom w:val="none" w:sz="0" w:space="0" w:color="auto"/>
                            <w:right w:val="none" w:sz="0" w:space="0" w:color="auto"/>
                          </w:divBdr>
                          <w:divsChild>
                            <w:div w:id="1798909338">
                              <w:marLeft w:val="0"/>
                              <w:marRight w:val="0"/>
                              <w:marTop w:val="0"/>
                              <w:marBottom w:val="0"/>
                              <w:divBdr>
                                <w:top w:val="none" w:sz="0" w:space="0" w:color="auto"/>
                                <w:left w:val="none" w:sz="0" w:space="0" w:color="auto"/>
                                <w:bottom w:val="none" w:sz="0" w:space="0" w:color="auto"/>
                                <w:right w:val="none" w:sz="0" w:space="0" w:color="auto"/>
                              </w:divBdr>
                              <w:divsChild>
                                <w:div w:id="645815852">
                                  <w:marLeft w:val="0"/>
                                  <w:marRight w:val="0"/>
                                  <w:marTop w:val="0"/>
                                  <w:marBottom w:val="0"/>
                                  <w:divBdr>
                                    <w:top w:val="none" w:sz="0" w:space="0" w:color="auto"/>
                                    <w:left w:val="none" w:sz="0" w:space="0" w:color="auto"/>
                                    <w:bottom w:val="none" w:sz="0" w:space="0" w:color="auto"/>
                                    <w:right w:val="none" w:sz="0" w:space="0" w:color="auto"/>
                                  </w:divBdr>
                                  <w:divsChild>
                                    <w:div w:id="423107937">
                                      <w:marLeft w:val="0"/>
                                      <w:marRight w:val="0"/>
                                      <w:marTop w:val="0"/>
                                      <w:marBottom w:val="0"/>
                                      <w:divBdr>
                                        <w:top w:val="none" w:sz="0" w:space="0" w:color="auto"/>
                                        <w:left w:val="none" w:sz="0" w:space="0" w:color="auto"/>
                                        <w:bottom w:val="none" w:sz="0" w:space="0" w:color="auto"/>
                                        <w:right w:val="none" w:sz="0" w:space="0" w:color="auto"/>
                                      </w:divBdr>
                                      <w:divsChild>
                                        <w:div w:id="745492136">
                                          <w:marLeft w:val="0"/>
                                          <w:marRight w:val="0"/>
                                          <w:marTop w:val="0"/>
                                          <w:marBottom w:val="0"/>
                                          <w:divBdr>
                                            <w:top w:val="none" w:sz="0" w:space="0" w:color="auto"/>
                                            <w:left w:val="none" w:sz="0" w:space="0" w:color="auto"/>
                                            <w:bottom w:val="none" w:sz="0" w:space="0" w:color="auto"/>
                                            <w:right w:val="none" w:sz="0" w:space="0" w:color="auto"/>
                                          </w:divBdr>
                                          <w:divsChild>
                                            <w:div w:id="2121876009">
                                              <w:marLeft w:val="0"/>
                                              <w:marRight w:val="0"/>
                                              <w:marTop w:val="0"/>
                                              <w:marBottom w:val="0"/>
                                              <w:divBdr>
                                                <w:top w:val="none" w:sz="0" w:space="0" w:color="auto"/>
                                                <w:left w:val="none" w:sz="0" w:space="0" w:color="auto"/>
                                                <w:bottom w:val="none" w:sz="0" w:space="0" w:color="auto"/>
                                                <w:right w:val="none" w:sz="0" w:space="0" w:color="auto"/>
                                              </w:divBdr>
                                              <w:divsChild>
                                                <w:div w:id="633371690">
                                                  <w:marLeft w:val="0"/>
                                                  <w:marRight w:val="0"/>
                                                  <w:marTop w:val="0"/>
                                                  <w:marBottom w:val="0"/>
                                                  <w:divBdr>
                                                    <w:top w:val="none" w:sz="0" w:space="0" w:color="auto"/>
                                                    <w:left w:val="none" w:sz="0" w:space="0" w:color="auto"/>
                                                    <w:bottom w:val="none" w:sz="0" w:space="0" w:color="auto"/>
                                                    <w:right w:val="none" w:sz="0" w:space="0" w:color="auto"/>
                                                  </w:divBdr>
                                                  <w:divsChild>
                                                    <w:div w:id="261453520">
                                                      <w:marLeft w:val="0"/>
                                                      <w:marRight w:val="0"/>
                                                      <w:marTop w:val="0"/>
                                                      <w:marBottom w:val="0"/>
                                                      <w:divBdr>
                                                        <w:top w:val="none" w:sz="0" w:space="0" w:color="auto"/>
                                                        <w:left w:val="none" w:sz="0" w:space="0" w:color="auto"/>
                                                        <w:bottom w:val="none" w:sz="0" w:space="0" w:color="auto"/>
                                                        <w:right w:val="none" w:sz="0" w:space="0" w:color="auto"/>
                                                      </w:divBdr>
                                                      <w:divsChild>
                                                        <w:div w:id="34498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891815">
      <w:bodyDiv w:val="1"/>
      <w:marLeft w:val="0"/>
      <w:marRight w:val="0"/>
      <w:marTop w:val="0"/>
      <w:marBottom w:val="0"/>
      <w:divBdr>
        <w:top w:val="none" w:sz="0" w:space="0" w:color="auto"/>
        <w:left w:val="none" w:sz="0" w:space="0" w:color="auto"/>
        <w:bottom w:val="none" w:sz="0" w:space="0" w:color="auto"/>
        <w:right w:val="none" w:sz="0" w:space="0" w:color="auto"/>
      </w:divBdr>
    </w:div>
    <w:div w:id="345208742">
      <w:bodyDiv w:val="1"/>
      <w:marLeft w:val="0"/>
      <w:marRight w:val="0"/>
      <w:marTop w:val="0"/>
      <w:marBottom w:val="0"/>
      <w:divBdr>
        <w:top w:val="none" w:sz="0" w:space="0" w:color="auto"/>
        <w:left w:val="none" w:sz="0" w:space="0" w:color="auto"/>
        <w:bottom w:val="none" w:sz="0" w:space="0" w:color="auto"/>
        <w:right w:val="none" w:sz="0" w:space="0" w:color="auto"/>
      </w:divBdr>
    </w:div>
    <w:div w:id="698899842">
      <w:bodyDiv w:val="1"/>
      <w:marLeft w:val="0"/>
      <w:marRight w:val="0"/>
      <w:marTop w:val="0"/>
      <w:marBottom w:val="0"/>
      <w:divBdr>
        <w:top w:val="none" w:sz="0" w:space="0" w:color="auto"/>
        <w:left w:val="none" w:sz="0" w:space="0" w:color="auto"/>
        <w:bottom w:val="none" w:sz="0" w:space="0" w:color="auto"/>
        <w:right w:val="none" w:sz="0" w:space="0" w:color="auto"/>
      </w:divBdr>
    </w:div>
    <w:div w:id="760102273">
      <w:bodyDiv w:val="1"/>
      <w:marLeft w:val="0"/>
      <w:marRight w:val="0"/>
      <w:marTop w:val="0"/>
      <w:marBottom w:val="0"/>
      <w:divBdr>
        <w:top w:val="none" w:sz="0" w:space="0" w:color="auto"/>
        <w:left w:val="none" w:sz="0" w:space="0" w:color="auto"/>
        <w:bottom w:val="none" w:sz="0" w:space="0" w:color="auto"/>
        <w:right w:val="none" w:sz="0" w:space="0" w:color="auto"/>
      </w:divBdr>
    </w:div>
    <w:div w:id="810709453">
      <w:bodyDiv w:val="1"/>
      <w:marLeft w:val="0"/>
      <w:marRight w:val="0"/>
      <w:marTop w:val="0"/>
      <w:marBottom w:val="0"/>
      <w:divBdr>
        <w:top w:val="none" w:sz="0" w:space="0" w:color="auto"/>
        <w:left w:val="none" w:sz="0" w:space="0" w:color="auto"/>
        <w:bottom w:val="none" w:sz="0" w:space="0" w:color="auto"/>
        <w:right w:val="none" w:sz="0" w:space="0" w:color="auto"/>
      </w:divBdr>
      <w:divsChild>
        <w:div w:id="1862090624">
          <w:marLeft w:val="0"/>
          <w:marRight w:val="0"/>
          <w:marTop w:val="0"/>
          <w:marBottom w:val="0"/>
          <w:divBdr>
            <w:top w:val="none" w:sz="0" w:space="0" w:color="auto"/>
            <w:left w:val="none" w:sz="0" w:space="0" w:color="auto"/>
            <w:bottom w:val="none" w:sz="0" w:space="0" w:color="auto"/>
            <w:right w:val="none" w:sz="0" w:space="0" w:color="auto"/>
          </w:divBdr>
          <w:divsChild>
            <w:div w:id="1833717238">
              <w:marLeft w:val="0"/>
              <w:marRight w:val="0"/>
              <w:marTop w:val="0"/>
              <w:marBottom w:val="0"/>
              <w:divBdr>
                <w:top w:val="none" w:sz="0" w:space="0" w:color="auto"/>
                <w:left w:val="none" w:sz="0" w:space="0" w:color="auto"/>
                <w:bottom w:val="none" w:sz="0" w:space="0" w:color="auto"/>
                <w:right w:val="none" w:sz="0" w:space="0" w:color="auto"/>
              </w:divBdr>
              <w:divsChild>
                <w:div w:id="2006131070">
                  <w:marLeft w:val="0"/>
                  <w:marRight w:val="0"/>
                  <w:marTop w:val="0"/>
                  <w:marBottom w:val="0"/>
                  <w:divBdr>
                    <w:top w:val="none" w:sz="0" w:space="0" w:color="auto"/>
                    <w:left w:val="none" w:sz="0" w:space="0" w:color="auto"/>
                    <w:bottom w:val="none" w:sz="0" w:space="0" w:color="auto"/>
                    <w:right w:val="none" w:sz="0" w:space="0" w:color="auto"/>
                  </w:divBdr>
                  <w:divsChild>
                    <w:div w:id="1149324723">
                      <w:marLeft w:val="0"/>
                      <w:marRight w:val="0"/>
                      <w:marTop w:val="0"/>
                      <w:marBottom w:val="0"/>
                      <w:divBdr>
                        <w:top w:val="none" w:sz="0" w:space="0" w:color="auto"/>
                        <w:left w:val="none" w:sz="0" w:space="0" w:color="auto"/>
                        <w:bottom w:val="none" w:sz="0" w:space="0" w:color="auto"/>
                        <w:right w:val="none" w:sz="0" w:space="0" w:color="auto"/>
                      </w:divBdr>
                      <w:divsChild>
                        <w:div w:id="1415782824">
                          <w:marLeft w:val="0"/>
                          <w:marRight w:val="0"/>
                          <w:marTop w:val="0"/>
                          <w:marBottom w:val="0"/>
                          <w:divBdr>
                            <w:top w:val="none" w:sz="0" w:space="0" w:color="auto"/>
                            <w:left w:val="none" w:sz="0" w:space="0" w:color="auto"/>
                            <w:bottom w:val="none" w:sz="0" w:space="0" w:color="auto"/>
                            <w:right w:val="none" w:sz="0" w:space="0" w:color="auto"/>
                          </w:divBdr>
                          <w:divsChild>
                            <w:div w:id="291256683">
                              <w:marLeft w:val="0"/>
                              <w:marRight w:val="0"/>
                              <w:marTop w:val="0"/>
                              <w:marBottom w:val="0"/>
                              <w:divBdr>
                                <w:top w:val="none" w:sz="0" w:space="0" w:color="auto"/>
                                <w:left w:val="none" w:sz="0" w:space="0" w:color="auto"/>
                                <w:bottom w:val="none" w:sz="0" w:space="0" w:color="auto"/>
                                <w:right w:val="none" w:sz="0" w:space="0" w:color="auto"/>
                              </w:divBdr>
                              <w:divsChild>
                                <w:div w:id="668936">
                                  <w:marLeft w:val="0"/>
                                  <w:marRight w:val="0"/>
                                  <w:marTop w:val="0"/>
                                  <w:marBottom w:val="0"/>
                                  <w:divBdr>
                                    <w:top w:val="none" w:sz="0" w:space="0" w:color="auto"/>
                                    <w:left w:val="none" w:sz="0" w:space="0" w:color="auto"/>
                                    <w:bottom w:val="none" w:sz="0" w:space="0" w:color="auto"/>
                                    <w:right w:val="none" w:sz="0" w:space="0" w:color="auto"/>
                                  </w:divBdr>
                                  <w:divsChild>
                                    <w:div w:id="1635477758">
                                      <w:marLeft w:val="0"/>
                                      <w:marRight w:val="0"/>
                                      <w:marTop w:val="240"/>
                                      <w:marBottom w:val="0"/>
                                      <w:divBdr>
                                        <w:top w:val="none" w:sz="0" w:space="0" w:color="auto"/>
                                        <w:left w:val="none" w:sz="0" w:space="0" w:color="auto"/>
                                        <w:bottom w:val="none" w:sz="0" w:space="0" w:color="auto"/>
                                        <w:right w:val="none" w:sz="0" w:space="0" w:color="auto"/>
                                      </w:divBdr>
                                      <w:divsChild>
                                        <w:div w:id="226496105">
                                          <w:marLeft w:val="0"/>
                                          <w:marRight w:val="0"/>
                                          <w:marTop w:val="0"/>
                                          <w:marBottom w:val="0"/>
                                          <w:divBdr>
                                            <w:top w:val="none" w:sz="0" w:space="0" w:color="auto"/>
                                            <w:left w:val="none" w:sz="0" w:space="0" w:color="auto"/>
                                            <w:bottom w:val="none" w:sz="0" w:space="0" w:color="auto"/>
                                            <w:right w:val="none" w:sz="0" w:space="0" w:color="auto"/>
                                          </w:divBdr>
                                          <w:divsChild>
                                            <w:div w:id="2342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883271">
      <w:bodyDiv w:val="1"/>
      <w:marLeft w:val="0"/>
      <w:marRight w:val="0"/>
      <w:marTop w:val="0"/>
      <w:marBottom w:val="0"/>
      <w:divBdr>
        <w:top w:val="none" w:sz="0" w:space="0" w:color="auto"/>
        <w:left w:val="none" w:sz="0" w:space="0" w:color="auto"/>
        <w:bottom w:val="none" w:sz="0" w:space="0" w:color="auto"/>
        <w:right w:val="none" w:sz="0" w:space="0" w:color="auto"/>
      </w:divBdr>
    </w:div>
    <w:div w:id="1085032304">
      <w:bodyDiv w:val="1"/>
      <w:marLeft w:val="0"/>
      <w:marRight w:val="0"/>
      <w:marTop w:val="0"/>
      <w:marBottom w:val="0"/>
      <w:divBdr>
        <w:top w:val="none" w:sz="0" w:space="0" w:color="auto"/>
        <w:left w:val="none" w:sz="0" w:space="0" w:color="auto"/>
        <w:bottom w:val="none" w:sz="0" w:space="0" w:color="auto"/>
        <w:right w:val="none" w:sz="0" w:space="0" w:color="auto"/>
      </w:divBdr>
      <w:divsChild>
        <w:div w:id="1725641406">
          <w:marLeft w:val="0"/>
          <w:marRight w:val="0"/>
          <w:marTop w:val="0"/>
          <w:marBottom w:val="0"/>
          <w:divBdr>
            <w:top w:val="none" w:sz="0" w:space="0" w:color="auto"/>
            <w:left w:val="none" w:sz="0" w:space="0" w:color="auto"/>
            <w:bottom w:val="none" w:sz="0" w:space="0" w:color="auto"/>
            <w:right w:val="none" w:sz="0" w:space="0" w:color="auto"/>
          </w:divBdr>
          <w:divsChild>
            <w:div w:id="1742143911">
              <w:marLeft w:val="0"/>
              <w:marRight w:val="0"/>
              <w:marTop w:val="0"/>
              <w:marBottom w:val="0"/>
              <w:divBdr>
                <w:top w:val="none" w:sz="0" w:space="0" w:color="auto"/>
                <w:left w:val="none" w:sz="0" w:space="0" w:color="auto"/>
                <w:bottom w:val="none" w:sz="0" w:space="0" w:color="auto"/>
                <w:right w:val="none" w:sz="0" w:space="0" w:color="auto"/>
              </w:divBdr>
              <w:divsChild>
                <w:div w:id="1532303631">
                  <w:marLeft w:val="0"/>
                  <w:marRight w:val="0"/>
                  <w:marTop w:val="0"/>
                  <w:marBottom w:val="0"/>
                  <w:divBdr>
                    <w:top w:val="none" w:sz="0" w:space="0" w:color="auto"/>
                    <w:left w:val="none" w:sz="0" w:space="0" w:color="auto"/>
                    <w:bottom w:val="none" w:sz="0" w:space="0" w:color="auto"/>
                    <w:right w:val="none" w:sz="0" w:space="0" w:color="auto"/>
                  </w:divBdr>
                  <w:divsChild>
                    <w:div w:id="626358840">
                      <w:marLeft w:val="0"/>
                      <w:marRight w:val="0"/>
                      <w:marTop w:val="0"/>
                      <w:marBottom w:val="0"/>
                      <w:divBdr>
                        <w:top w:val="none" w:sz="0" w:space="0" w:color="auto"/>
                        <w:left w:val="none" w:sz="0" w:space="0" w:color="auto"/>
                        <w:bottom w:val="none" w:sz="0" w:space="0" w:color="auto"/>
                        <w:right w:val="none" w:sz="0" w:space="0" w:color="auto"/>
                      </w:divBdr>
                      <w:divsChild>
                        <w:div w:id="931206296">
                          <w:marLeft w:val="0"/>
                          <w:marRight w:val="0"/>
                          <w:marTop w:val="0"/>
                          <w:marBottom w:val="0"/>
                          <w:divBdr>
                            <w:top w:val="none" w:sz="0" w:space="0" w:color="auto"/>
                            <w:left w:val="none" w:sz="0" w:space="0" w:color="auto"/>
                            <w:bottom w:val="none" w:sz="0" w:space="0" w:color="auto"/>
                            <w:right w:val="none" w:sz="0" w:space="0" w:color="auto"/>
                          </w:divBdr>
                          <w:divsChild>
                            <w:div w:id="1515146750">
                              <w:marLeft w:val="0"/>
                              <w:marRight w:val="0"/>
                              <w:marTop w:val="0"/>
                              <w:marBottom w:val="0"/>
                              <w:divBdr>
                                <w:top w:val="none" w:sz="0" w:space="0" w:color="auto"/>
                                <w:left w:val="none" w:sz="0" w:space="0" w:color="auto"/>
                                <w:bottom w:val="none" w:sz="0" w:space="0" w:color="auto"/>
                                <w:right w:val="none" w:sz="0" w:space="0" w:color="auto"/>
                              </w:divBdr>
                              <w:divsChild>
                                <w:div w:id="1514682044">
                                  <w:marLeft w:val="0"/>
                                  <w:marRight w:val="0"/>
                                  <w:marTop w:val="0"/>
                                  <w:marBottom w:val="0"/>
                                  <w:divBdr>
                                    <w:top w:val="none" w:sz="0" w:space="0" w:color="auto"/>
                                    <w:left w:val="none" w:sz="0" w:space="0" w:color="auto"/>
                                    <w:bottom w:val="none" w:sz="0" w:space="0" w:color="auto"/>
                                    <w:right w:val="none" w:sz="0" w:space="0" w:color="auto"/>
                                  </w:divBdr>
                                  <w:divsChild>
                                    <w:div w:id="899709546">
                                      <w:marLeft w:val="0"/>
                                      <w:marRight w:val="0"/>
                                      <w:marTop w:val="0"/>
                                      <w:marBottom w:val="0"/>
                                      <w:divBdr>
                                        <w:top w:val="none" w:sz="0" w:space="0" w:color="auto"/>
                                        <w:left w:val="none" w:sz="0" w:space="0" w:color="auto"/>
                                        <w:bottom w:val="none" w:sz="0" w:space="0" w:color="auto"/>
                                        <w:right w:val="none" w:sz="0" w:space="0" w:color="auto"/>
                                      </w:divBdr>
                                      <w:divsChild>
                                        <w:div w:id="631058503">
                                          <w:marLeft w:val="0"/>
                                          <w:marRight w:val="0"/>
                                          <w:marTop w:val="0"/>
                                          <w:marBottom w:val="0"/>
                                          <w:divBdr>
                                            <w:top w:val="none" w:sz="0" w:space="0" w:color="auto"/>
                                            <w:left w:val="none" w:sz="0" w:space="0" w:color="auto"/>
                                            <w:bottom w:val="none" w:sz="0" w:space="0" w:color="auto"/>
                                            <w:right w:val="none" w:sz="0" w:space="0" w:color="auto"/>
                                          </w:divBdr>
                                          <w:divsChild>
                                            <w:div w:id="407118067">
                                              <w:marLeft w:val="0"/>
                                              <w:marRight w:val="0"/>
                                              <w:marTop w:val="0"/>
                                              <w:marBottom w:val="0"/>
                                              <w:divBdr>
                                                <w:top w:val="none" w:sz="0" w:space="0" w:color="auto"/>
                                                <w:left w:val="none" w:sz="0" w:space="0" w:color="auto"/>
                                                <w:bottom w:val="none" w:sz="0" w:space="0" w:color="auto"/>
                                                <w:right w:val="none" w:sz="0" w:space="0" w:color="auto"/>
                                              </w:divBdr>
                                              <w:divsChild>
                                                <w:div w:id="483743931">
                                                  <w:marLeft w:val="0"/>
                                                  <w:marRight w:val="0"/>
                                                  <w:marTop w:val="0"/>
                                                  <w:marBottom w:val="0"/>
                                                  <w:divBdr>
                                                    <w:top w:val="none" w:sz="0" w:space="0" w:color="auto"/>
                                                    <w:left w:val="none" w:sz="0" w:space="0" w:color="auto"/>
                                                    <w:bottom w:val="none" w:sz="0" w:space="0" w:color="auto"/>
                                                    <w:right w:val="none" w:sz="0" w:space="0" w:color="auto"/>
                                                  </w:divBdr>
                                                  <w:divsChild>
                                                    <w:div w:id="1047073367">
                                                      <w:marLeft w:val="0"/>
                                                      <w:marRight w:val="0"/>
                                                      <w:marTop w:val="0"/>
                                                      <w:marBottom w:val="0"/>
                                                      <w:divBdr>
                                                        <w:top w:val="none" w:sz="0" w:space="0" w:color="auto"/>
                                                        <w:left w:val="none" w:sz="0" w:space="0" w:color="auto"/>
                                                        <w:bottom w:val="none" w:sz="0" w:space="0" w:color="auto"/>
                                                        <w:right w:val="none" w:sz="0" w:space="0" w:color="auto"/>
                                                      </w:divBdr>
                                                      <w:divsChild>
                                                        <w:div w:id="11814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0519850">
      <w:bodyDiv w:val="1"/>
      <w:marLeft w:val="0"/>
      <w:marRight w:val="0"/>
      <w:marTop w:val="0"/>
      <w:marBottom w:val="0"/>
      <w:divBdr>
        <w:top w:val="none" w:sz="0" w:space="0" w:color="auto"/>
        <w:left w:val="none" w:sz="0" w:space="0" w:color="auto"/>
        <w:bottom w:val="none" w:sz="0" w:space="0" w:color="auto"/>
        <w:right w:val="none" w:sz="0" w:space="0" w:color="auto"/>
      </w:divBdr>
      <w:divsChild>
        <w:div w:id="377163796">
          <w:marLeft w:val="0"/>
          <w:marRight w:val="0"/>
          <w:marTop w:val="0"/>
          <w:marBottom w:val="0"/>
          <w:divBdr>
            <w:top w:val="none" w:sz="0" w:space="0" w:color="auto"/>
            <w:left w:val="none" w:sz="0" w:space="0" w:color="auto"/>
            <w:bottom w:val="none" w:sz="0" w:space="0" w:color="auto"/>
            <w:right w:val="none" w:sz="0" w:space="0" w:color="auto"/>
          </w:divBdr>
        </w:div>
      </w:divsChild>
    </w:div>
    <w:div w:id="1810437291">
      <w:bodyDiv w:val="1"/>
      <w:marLeft w:val="0"/>
      <w:marRight w:val="0"/>
      <w:marTop w:val="0"/>
      <w:marBottom w:val="0"/>
      <w:divBdr>
        <w:top w:val="none" w:sz="0" w:space="0" w:color="auto"/>
        <w:left w:val="none" w:sz="0" w:space="0" w:color="auto"/>
        <w:bottom w:val="none" w:sz="0" w:space="0" w:color="auto"/>
        <w:right w:val="none" w:sz="0" w:space="0" w:color="auto"/>
      </w:divBdr>
    </w:div>
    <w:div w:id="1890608276">
      <w:bodyDiv w:val="1"/>
      <w:marLeft w:val="0"/>
      <w:marRight w:val="0"/>
      <w:marTop w:val="0"/>
      <w:marBottom w:val="0"/>
      <w:divBdr>
        <w:top w:val="none" w:sz="0" w:space="0" w:color="auto"/>
        <w:left w:val="none" w:sz="0" w:space="0" w:color="auto"/>
        <w:bottom w:val="none" w:sz="0" w:space="0" w:color="auto"/>
        <w:right w:val="none" w:sz="0" w:space="0" w:color="auto"/>
      </w:divBdr>
      <w:divsChild>
        <w:div w:id="182086950">
          <w:marLeft w:val="0"/>
          <w:marRight w:val="0"/>
          <w:marTop w:val="0"/>
          <w:marBottom w:val="0"/>
          <w:divBdr>
            <w:top w:val="none" w:sz="0" w:space="0" w:color="auto"/>
            <w:left w:val="none" w:sz="0" w:space="0" w:color="auto"/>
            <w:bottom w:val="none" w:sz="0" w:space="0" w:color="auto"/>
            <w:right w:val="none" w:sz="0" w:space="0" w:color="auto"/>
          </w:divBdr>
          <w:divsChild>
            <w:div w:id="149519702">
              <w:marLeft w:val="0"/>
              <w:marRight w:val="0"/>
              <w:marTop w:val="0"/>
              <w:marBottom w:val="0"/>
              <w:divBdr>
                <w:top w:val="none" w:sz="0" w:space="0" w:color="auto"/>
                <w:left w:val="none" w:sz="0" w:space="0" w:color="auto"/>
                <w:bottom w:val="none" w:sz="0" w:space="0" w:color="auto"/>
                <w:right w:val="none" w:sz="0" w:space="0" w:color="auto"/>
              </w:divBdr>
              <w:divsChild>
                <w:div w:id="630133231">
                  <w:marLeft w:val="0"/>
                  <w:marRight w:val="0"/>
                  <w:marTop w:val="0"/>
                  <w:marBottom w:val="0"/>
                  <w:divBdr>
                    <w:top w:val="none" w:sz="0" w:space="0" w:color="auto"/>
                    <w:left w:val="none" w:sz="0" w:space="0" w:color="auto"/>
                    <w:bottom w:val="none" w:sz="0" w:space="0" w:color="auto"/>
                    <w:right w:val="none" w:sz="0" w:space="0" w:color="auto"/>
                  </w:divBdr>
                  <w:divsChild>
                    <w:div w:id="716315501">
                      <w:marLeft w:val="0"/>
                      <w:marRight w:val="0"/>
                      <w:marTop w:val="0"/>
                      <w:marBottom w:val="0"/>
                      <w:divBdr>
                        <w:top w:val="none" w:sz="0" w:space="0" w:color="auto"/>
                        <w:left w:val="none" w:sz="0" w:space="0" w:color="auto"/>
                        <w:bottom w:val="none" w:sz="0" w:space="0" w:color="auto"/>
                        <w:right w:val="none" w:sz="0" w:space="0" w:color="auto"/>
                      </w:divBdr>
                      <w:divsChild>
                        <w:div w:id="873427527">
                          <w:marLeft w:val="0"/>
                          <w:marRight w:val="0"/>
                          <w:marTop w:val="0"/>
                          <w:marBottom w:val="0"/>
                          <w:divBdr>
                            <w:top w:val="none" w:sz="0" w:space="0" w:color="auto"/>
                            <w:left w:val="none" w:sz="0" w:space="0" w:color="auto"/>
                            <w:bottom w:val="none" w:sz="0" w:space="0" w:color="auto"/>
                            <w:right w:val="none" w:sz="0" w:space="0" w:color="auto"/>
                          </w:divBdr>
                          <w:divsChild>
                            <w:div w:id="601377705">
                              <w:marLeft w:val="0"/>
                              <w:marRight w:val="0"/>
                              <w:marTop w:val="0"/>
                              <w:marBottom w:val="0"/>
                              <w:divBdr>
                                <w:top w:val="none" w:sz="0" w:space="0" w:color="auto"/>
                                <w:left w:val="none" w:sz="0" w:space="0" w:color="auto"/>
                                <w:bottom w:val="none" w:sz="0" w:space="0" w:color="auto"/>
                                <w:right w:val="none" w:sz="0" w:space="0" w:color="auto"/>
                              </w:divBdr>
                              <w:divsChild>
                                <w:div w:id="827091189">
                                  <w:marLeft w:val="0"/>
                                  <w:marRight w:val="0"/>
                                  <w:marTop w:val="0"/>
                                  <w:marBottom w:val="0"/>
                                  <w:divBdr>
                                    <w:top w:val="none" w:sz="0" w:space="0" w:color="auto"/>
                                    <w:left w:val="none" w:sz="0" w:space="0" w:color="auto"/>
                                    <w:bottom w:val="none" w:sz="0" w:space="0" w:color="auto"/>
                                    <w:right w:val="none" w:sz="0" w:space="0" w:color="auto"/>
                                  </w:divBdr>
                                  <w:divsChild>
                                    <w:div w:id="714308925">
                                      <w:marLeft w:val="0"/>
                                      <w:marRight w:val="0"/>
                                      <w:marTop w:val="0"/>
                                      <w:marBottom w:val="0"/>
                                      <w:divBdr>
                                        <w:top w:val="none" w:sz="0" w:space="0" w:color="auto"/>
                                        <w:left w:val="none" w:sz="0" w:space="0" w:color="auto"/>
                                        <w:bottom w:val="none" w:sz="0" w:space="0" w:color="auto"/>
                                        <w:right w:val="none" w:sz="0" w:space="0" w:color="auto"/>
                                      </w:divBdr>
                                      <w:divsChild>
                                        <w:div w:id="1200974610">
                                          <w:marLeft w:val="0"/>
                                          <w:marRight w:val="0"/>
                                          <w:marTop w:val="0"/>
                                          <w:marBottom w:val="0"/>
                                          <w:divBdr>
                                            <w:top w:val="none" w:sz="0" w:space="0" w:color="auto"/>
                                            <w:left w:val="none" w:sz="0" w:space="0" w:color="auto"/>
                                            <w:bottom w:val="none" w:sz="0" w:space="0" w:color="auto"/>
                                            <w:right w:val="none" w:sz="0" w:space="0" w:color="auto"/>
                                          </w:divBdr>
                                          <w:divsChild>
                                            <w:div w:id="667975300">
                                              <w:marLeft w:val="0"/>
                                              <w:marRight w:val="0"/>
                                              <w:marTop w:val="0"/>
                                              <w:marBottom w:val="0"/>
                                              <w:divBdr>
                                                <w:top w:val="none" w:sz="0" w:space="0" w:color="auto"/>
                                                <w:left w:val="none" w:sz="0" w:space="0" w:color="auto"/>
                                                <w:bottom w:val="none" w:sz="0" w:space="0" w:color="auto"/>
                                                <w:right w:val="none" w:sz="0" w:space="0" w:color="auto"/>
                                              </w:divBdr>
                                              <w:divsChild>
                                                <w:div w:id="419135047">
                                                  <w:marLeft w:val="0"/>
                                                  <w:marRight w:val="0"/>
                                                  <w:marTop w:val="0"/>
                                                  <w:marBottom w:val="0"/>
                                                  <w:divBdr>
                                                    <w:top w:val="none" w:sz="0" w:space="0" w:color="auto"/>
                                                    <w:left w:val="none" w:sz="0" w:space="0" w:color="auto"/>
                                                    <w:bottom w:val="none" w:sz="0" w:space="0" w:color="auto"/>
                                                    <w:right w:val="none" w:sz="0" w:space="0" w:color="auto"/>
                                                  </w:divBdr>
                                                  <w:divsChild>
                                                    <w:div w:id="1553736857">
                                                      <w:marLeft w:val="0"/>
                                                      <w:marRight w:val="0"/>
                                                      <w:marTop w:val="0"/>
                                                      <w:marBottom w:val="0"/>
                                                      <w:divBdr>
                                                        <w:top w:val="none" w:sz="0" w:space="0" w:color="auto"/>
                                                        <w:left w:val="none" w:sz="0" w:space="0" w:color="auto"/>
                                                        <w:bottom w:val="none" w:sz="0" w:space="0" w:color="auto"/>
                                                        <w:right w:val="none" w:sz="0" w:space="0" w:color="auto"/>
                                                      </w:divBdr>
                                                      <w:divsChild>
                                                        <w:div w:id="178496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2252292">
      <w:bodyDiv w:val="1"/>
      <w:marLeft w:val="0"/>
      <w:marRight w:val="0"/>
      <w:marTop w:val="0"/>
      <w:marBottom w:val="0"/>
      <w:divBdr>
        <w:top w:val="none" w:sz="0" w:space="0" w:color="auto"/>
        <w:left w:val="none" w:sz="0" w:space="0" w:color="auto"/>
        <w:bottom w:val="none" w:sz="0" w:space="0" w:color="auto"/>
        <w:right w:val="none" w:sz="0" w:space="0" w:color="auto"/>
      </w:divBdr>
    </w:div>
    <w:div w:id="196480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arpansa.gov.au/sites/default/files/legacy/pubs/rps/rps14.pdf" TargetMode="External"/><Relationship Id="rId1" Type="http://schemas.openxmlformats.org/officeDocument/2006/relationships/hyperlink" Target="https://www.arpansa.gov.au/understanding-radiation/what-is-radiation/ionising-radiation/health-eff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66C4DDC98B045D4C87158373E83E6A30" ma:contentTypeVersion="" ma:contentTypeDescription="PDMS Documentation Content Type" ma:contentTypeScope="" ma:versionID="86379a03c75d37fa992012a7e4b3ad55">
  <xsd:schema xmlns:xsd="http://www.w3.org/2001/XMLSchema" xmlns:xs="http://www.w3.org/2001/XMLSchema" xmlns:p="http://schemas.microsoft.com/office/2006/metadata/properties" xmlns:ns2="973F82A1-D468-4260-89D3-A49618D43933" targetNamespace="http://schemas.microsoft.com/office/2006/metadata/properties" ma:root="true" ma:fieldsID="8761982258489d9ccba8b3b6235c6e51" ns2:_="">
    <xsd:import namespace="973F82A1-D468-4260-89D3-A49618D43933"/>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F82A1-D468-4260-89D3-A49618D4393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ms_Reason xmlns="973F82A1-D468-4260-89D3-A49618D43933" xsi:nil="true"/>
    <pdms_SecurityClassification xmlns="973F82A1-D468-4260-89D3-A49618D43933" xsi:nil="true"/>
    <SecurityClassification xmlns="973F82A1-D468-4260-89D3-A49618D43933" xsi:nil="true"/>
    <pdms_AttachedBy xmlns="973F82A1-D468-4260-89D3-A49618D43933" xsi:nil="true"/>
    <pdms_DocumentType xmlns="973F82A1-D468-4260-89D3-A49618D4393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36771-A8E2-43D0-B03A-01F0A9C2A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F82A1-D468-4260-89D3-A49618D43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A9BF5F-922D-4671-98F7-A198827D7774}">
  <ds:schemaRefs>
    <ds:schemaRef ds:uri="http://schemas.microsoft.com/sharepoint/v3/contenttype/forms"/>
  </ds:schemaRefs>
</ds:datastoreItem>
</file>

<file path=customXml/itemProps3.xml><?xml version="1.0" encoding="utf-8"?>
<ds:datastoreItem xmlns:ds="http://schemas.openxmlformats.org/officeDocument/2006/customXml" ds:itemID="{55FAE2F0-02F1-4D7B-8121-AB6B62BEF1C6}">
  <ds:schemaRefs>
    <ds:schemaRef ds:uri="http://purl.org/dc/dcmitype/"/>
    <ds:schemaRef ds:uri="http://schemas.microsoft.com/office/2006/documentManagement/types"/>
    <ds:schemaRef ds:uri="973F82A1-D468-4260-89D3-A49618D43933"/>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59F7CCA-02E3-407D-A244-7019BE7DA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2638</Words>
  <Characters>15043</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STAKER</dc:creator>
  <cp:lastModifiedBy>Nadine DEAKIN</cp:lastModifiedBy>
  <cp:revision>2</cp:revision>
  <cp:lastPrinted>2018-10-10T00:06:00Z</cp:lastPrinted>
  <dcterms:created xsi:type="dcterms:W3CDTF">2019-02-19T03:59:00Z</dcterms:created>
  <dcterms:modified xsi:type="dcterms:W3CDTF">2019-02-19T03:59:00Z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edData">
    <vt:lpwstr>ProtectedData</vt:lpwstr>
  </property>
  <property fmtid="{D5CDD505-2E9C-101B-9397-08002B2CF9AE}" pid="3" name="ContentTypeId">
    <vt:lpwstr>0x010100266966F133664895A6EE3632470D45F5010066C4DDC98B045D4C87158373E83E6A30</vt:lpwstr>
  </property>
</Properties>
</file>