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C6885" w14:textId="77777777" w:rsidR="00925162" w:rsidRPr="00645B27" w:rsidRDefault="00925162" w:rsidP="00D26ADA">
      <w:pPr>
        <w:spacing w:before="0"/>
        <w:ind w:right="40"/>
        <w:jc w:val="center"/>
        <w:rPr>
          <w:b/>
          <w:szCs w:val="24"/>
          <w:u w:val="single"/>
        </w:rPr>
      </w:pPr>
      <w:r w:rsidRPr="00645B27">
        <w:rPr>
          <w:b/>
          <w:szCs w:val="24"/>
          <w:u w:val="single"/>
        </w:rPr>
        <w:t xml:space="preserve">EXPLANATORY </w:t>
      </w:r>
      <w:r w:rsidR="0074366F" w:rsidRPr="00645B27">
        <w:rPr>
          <w:b/>
          <w:szCs w:val="24"/>
          <w:u w:val="single"/>
        </w:rPr>
        <w:t>STATEMENT</w:t>
      </w:r>
    </w:p>
    <w:p w14:paraId="15428D29" w14:textId="77777777" w:rsidR="0043632A" w:rsidRPr="00645B27" w:rsidRDefault="0043632A" w:rsidP="00D26ADA">
      <w:pPr>
        <w:spacing w:before="0"/>
        <w:ind w:right="40"/>
        <w:jc w:val="center"/>
        <w:rPr>
          <w:b/>
          <w:szCs w:val="24"/>
          <w:u w:val="single"/>
        </w:rPr>
      </w:pPr>
    </w:p>
    <w:p w14:paraId="73144931" w14:textId="77777777" w:rsidR="00FA7806" w:rsidRPr="00FA7806" w:rsidRDefault="00BF6037" w:rsidP="00FA7806">
      <w:pPr>
        <w:spacing w:before="120" w:after="120"/>
        <w:jc w:val="center"/>
      </w:pPr>
      <w:r w:rsidRPr="00645B27">
        <w:rPr>
          <w:szCs w:val="24"/>
        </w:rPr>
        <w:t xml:space="preserve">Issued by </w:t>
      </w:r>
      <w:r w:rsidRPr="00C42D43">
        <w:rPr>
          <w:szCs w:val="24"/>
        </w:rPr>
        <w:t xml:space="preserve">the </w:t>
      </w:r>
      <w:r w:rsidR="00FA7806" w:rsidRPr="00C42D43">
        <w:t>Minister for Immigration, Citizenship and Multicultural Affairs</w:t>
      </w:r>
    </w:p>
    <w:p w14:paraId="465CB8A7" w14:textId="77777777" w:rsidR="00BF6037" w:rsidRPr="00645B27" w:rsidRDefault="00BF6037" w:rsidP="00D26ADA">
      <w:pPr>
        <w:spacing w:before="0"/>
        <w:ind w:right="40"/>
        <w:jc w:val="center"/>
        <w:rPr>
          <w:szCs w:val="24"/>
        </w:rPr>
      </w:pPr>
    </w:p>
    <w:p w14:paraId="35A1E8D4" w14:textId="3962D226" w:rsidR="00D0525E" w:rsidRPr="00645B27" w:rsidRDefault="00BF6037" w:rsidP="00016D3E">
      <w:pPr>
        <w:spacing w:before="0"/>
        <w:ind w:right="40"/>
        <w:jc w:val="center"/>
        <w:rPr>
          <w:i/>
          <w:szCs w:val="24"/>
        </w:rPr>
      </w:pPr>
      <w:r w:rsidRPr="00645B27">
        <w:rPr>
          <w:i/>
          <w:szCs w:val="24"/>
        </w:rPr>
        <w:t>Migration Act 1958</w:t>
      </w:r>
    </w:p>
    <w:p w14:paraId="138A7099" w14:textId="77777777" w:rsidR="0060602C" w:rsidRPr="00645B27" w:rsidRDefault="0060602C" w:rsidP="00D26ADA">
      <w:pPr>
        <w:spacing w:before="0"/>
        <w:ind w:right="40"/>
        <w:jc w:val="center"/>
        <w:rPr>
          <w:i/>
          <w:szCs w:val="24"/>
        </w:rPr>
      </w:pPr>
    </w:p>
    <w:p w14:paraId="4A576AAE" w14:textId="043A6C99" w:rsidR="000729B0" w:rsidRPr="00B65BF6" w:rsidRDefault="000729B0" w:rsidP="000729B0">
      <w:pPr>
        <w:spacing w:before="0"/>
        <w:ind w:left="1440" w:right="91"/>
        <w:rPr>
          <w:i/>
        </w:rPr>
      </w:pPr>
      <w:r w:rsidRPr="00D95A70">
        <w:rPr>
          <w:i/>
        </w:rPr>
        <w:t>Migration Amendment (</w:t>
      </w:r>
      <w:r w:rsidR="00FA7806" w:rsidRPr="00D95A70">
        <w:rPr>
          <w:i/>
        </w:rPr>
        <w:t>Working Holiday Maker</w:t>
      </w:r>
      <w:r w:rsidRPr="00D95A70">
        <w:rPr>
          <w:i/>
        </w:rPr>
        <w:t>) Regulations 201</w:t>
      </w:r>
      <w:r w:rsidR="0014323A" w:rsidRPr="00D95A70">
        <w:rPr>
          <w:i/>
        </w:rPr>
        <w:t>9</w:t>
      </w:r>
    </w:p>
    <w:p w14:paraId="612E47E5" w14:textId="77777777" w:rsidR="000729B0" w:rsidRDefault="000729B0" w:rsidP="00186DA1">
      <w:pPr>
        <w:keepNext/>
        <w:keepLines/>
        <w:spacing w:before="0"/>
        <w:ind w:right="91"/>
        <w:rPr>
          <w:szCs w:val="24"/>
        </w:rPr>
      </w:pPr>
    </w:p>
    <w:p w14:paraId="26B76431" w14:textId="36FB490D" w:rsidR="00186DA1" w:rsidRPr="00186DA1" w:rsidRDefault="00186DA1" w:rsidP="00186DA1">
      <w:pPr>
        <w:keepNext/>
        <w:keepLines/>
        <w:spacing w:before="0"/>
        <w:ind w:right="91"/>
        <w:rPr>
          <w:szCs w:val="24"/>
        </w:rPr>
      </w:pPr>
      <w:r w:rsidRPr="00186DA1">
        <w:rPr>
          <w:szCs w:val="24"/>
        </w:rPr>
        <w:t xml:space="preserve">The </w:t>
      </w:r>
      <w:r w:rsidRPr="00186DA1">
        <w:rPr>
          <w:i/>
          <w:szCs w:val="24"/>
        </w:rPr>
        <w:t>Migration Act 1958</w:t>
      </w:r>
      <w:r w:rsidRPr="00186DA1">
        <w:rPr>
          <w:szCs w:val="24"/>
        </w:rPr>
        <w:t xml:space="preserve"> (the Migration Act) is an Act relating to the entry into, and presence in, Australia of aliens, and the departure or deportation from Australia of aliens and certain other persons.</w:t>
      </w:r>
    </w:p>
    <w:p w14:paraId="648B83D7" w14:textId="77777777" w:rsidR="00186DA1" w:rsidRPr="00186DA1" w:rsidRDefault="00186DA1" w:rsidP="00186DA1">
      <w:pPr>
        <w:keepNext/>
        <w:keepLines/>
        <w:spacing w:before="0"/>
        <w:ind w:right="91"/>
        <w:rPr>
          <w:szCs w:val="24"/>
        </w:rPr>
      </w:pPr>
    </w:p>
    <w:p w14:paraId="574DB95A" w14:textId="77777777" w:rsidR="00186DA1" w:rsidRPr="00186DA1" w:rsidRDefault="00186DA1" w:rsidP="00186DA1">
      <w:pPr>
        <w:keepNext/>
        <w:keepLines/>
        <w:spacing w:before="0"/>
        <w:ind w:right="91"/>
        <w:rPr>
          <w:szCs w:val="24"/>
        </w:rPr>
      </w:pPr>
      <w:r w:rsidRPr="00186DA1">
        <w:rPr>
          <w:szCs w:val="24"/>
        </w:rPr>
        <w:t xml:space="preserve">Subsection 504(1) of the Migration Act in summary provides that the Governor-General may make regulations prescribing matters required or permitted by the Migration Act to be prescribed, or which are necessary or convenient to be prescribed for carrying out or giving effect to the Migration Act. </w:t>
      </w:r>
    </w:p>
    <w:p w14:paraId="5BCCA143" w14:textId="77777777" w:rsidR="00186DA1" w:rsidRPr="00186DA1" w:rsidRDefault="00186DA1" w:rsidP="00186DA1">
      <w:pPr>
        <w:keepNext/>
        <w:keepLines/>
        <w:spacing w:before="0"/>
        <w:ind w:right="91"/>
        <w:rPr>
          <w:szCs w:val="24"/>
        </w:rPr>
      </w:pPr>
    </w:p>
    <w:p w14:paraId="545372F0" w14:textId="77777777" w:rsidR="00186DA1" w:rsidRPr="00186DA1" w:rsidRDefault="00186DA1" w:rsidP="00186DA1">
      <w:pPr>
        <w:keepNext/>
        <w:keepLines/>
        <w:spacing w:before="0"/>
        <w:ind w:right="91"/>
        <w:rPr>
          <w:szCs w:val="24"/>
        </w:rPr>
      </w:pPr>
      <w:r w:rsidRPr="00186DA1">
        <w:rPr>
          <w:szCs w:val="24"/>
        </w:rPr>
        <w:t xml:space="preserve">In addition, regulations may be made pursuant to the provisions of the Migration Act listed in </w:t>
      </w:r>
      <w:r w:rsidRPr="00186DA1">
        <w:rPr>
          <w:szCs w:val="24"/>
          <w:u w:val="single"/>
        </w:rPr>
        <w:t>Attachment A</w:t>
      </w:r>
      <w:r w:rsidRPr="00186DA1">
        <w:rPr>
          <w:szCs w:val="24"/>
        </w:rPr>
        <w:t>.</w:t>
      </w:r>
    </w:p>
    <w:p w14:paraId="206D34BC" w14:textId="77777777" w:rsidR="00186DA1" w:rsidRPr="00186DA1" w:rsidRDefault="00186DA1" w:rsidP="00186DA1">
      <w:pPr>
        <w:keepNext/>
        <w:keepLines/>
        <w:spacing w:before="0"/>
        <w:ind w:right="91"/>
        <w:rPr>
          <w:szCs w:val="24"/>
          <w:lang w:val="en"/>
        </w:rPr>
      </w:pPr>
    </w:p>
    <w:p w14:paraId="4D4D1536" w14:textId="59DF80EE" w:rsidR="00D95A70" w:rsidRDefault="00D95A70" w:rsidP="00D95A70">
      <w:pPr>
        <w:spacing w:before="0"/>
        <w:ind w:right="91"/>
      </w:pPr>
      <w:r>
        <w:rPr>
          <w:lang w:val="en"/>
        </w:rPr>
        <w:t>T</w:t>
      </w:r>
      <w:r w:rsidRPr="00407E9C">
        <w:rPr>
          <w:lang w:val="en"/>
        </w:rPr>
        <w:t xml:space="preserve">he </w:t>
      </w:r>
      <w:r w:rsidRPr="00391F5C">
        <w:rPr>
          <w:i/>
        </w:rPr>
        <w:t xml:space="preserve">Migration Amendment </w:t>
      </w:r>
      <w:r w:rsidRPr="00044902">
        <w:rPr>
          <w:i/>
        </w:rPr>
        <w:t xml:space="preserve">(Working Holiday Maker) Regulations 2019 </w:t>
      </w:r>
      <w:r w:rsidRPr="00044902">
        <w:t>(the Regulations</w:t>
      </w:r>
      <w:proofErr w:type="gramStart"/>
      <w:r w:rsidRPr="00044902">
        <w:t>)  amend</w:t>
      </w:r>
      <w:proofErr w:type="gramEnd"/>
      <w:r w:rsidRPr="00044902">
        <w:t xml:space="preserve"> the </w:t>
      </w:r>
      <w:r w:rsidRPr="00044902">
        <w:rPr>
          <w:i/>
        </w:rPr>
        <w:t>Migrations Regulations</w:t>
      </w:r>
      <w:r w:rsidRPr="00AE56B8">
        <w:rPr>
          <w:i/>
        </w:rPr>
        <w:t xml:space="preserve"> 1994</w:t>
      </w:r>
      <w:r w:rsidR="00283A31">
        <w:rPr>
          <w:i/>
        </w:rPr>
        <w:t xml:space="preserve"> </w:t>
      </w:r>
      <w:r w:rsidR="00283A31">
        <w:t>(the Principal Regulations)</w:t>
      </w:r>
      <w:r w:rsidRPr="00AE56B8">
        <w:t xml:space="preserve"> </w:t>
      </w:r>
      <w:r>
        <w:t>to assist in addressing labour</w:t>
      </w:r>
      <w:r w:rsidRPr="00936B31">
        <w:t xml:space="preserve"> </w:t>
      </w:r>
      <w:r>
        <w:t xml:space="preserve">shortages in regional Australia, particularly in the agricultural sector. </w:t>
      </w:r>
    </w:p>
    <w:p w14:paraId="2133A33E" w14:textId="77777777" w:rsidR="00D95A70" w:rsidRDefault="00D95A70" w:rsidP="00D95A70">
      <w:pPr>
        <w:spacing w:before="0"/>
        <w:ind w:right="91"/>
      </w:pPr>
    </w:p>
    <w:p w14:paraId="13F25FE5" w14:textId="77777777" w:rsidR="00601AF8" w:rsidRDefault="00D95A70" w:rsidP="00D95A70">
      <w:pPr>
        <w:spacing w:before="0" w:line="259" w:lineRule="auto"/>
      </w:pPr>
      <w:r>
        <w:t xml:space="preserve">In particular, </w:t>
      </w:r>
      <w:bookmarkStart w:id="0" w:name="_GoBack"/>
      <w:r>
        <w:t xml:space="preserve">the Regulations increase the maximum number of ‘working holiday maker’ visas that a person may hold in Australia from two to three if they meet additional work requirements.  The applicant is required to complete 6 months specified work in specified circumstances in order to be eligible for a third ‘working holiday maker’ visa.  </w:t>
      </w:r>
      <w:bookmarkEnd w:id="0"/>
    </w:p>
    <w:p w14:paraId="7502B78A" w14:textId="77777777" w:rsidR="00601AF8" w:rsidRDefault="00601AF8" w:rsidP="00D95A70">
      <w:pPr>
        <w:spacing w:before="0" w:line="259" w:lineRule="auto"/>
      </w:pPr>
    </w:p>
    <w:p w14:paraId="5BCFAD4E" w14:textId="367BF4F2" w:rsidR="00D95A70" w:rsidRDefault="00D95A70" w:rsidP="00D95A70">
      <w:pPr>
        <w:spacing w:before="0" w:line="259" w:lineRule="auto"/>
      </w:pPr>
      <w:r>
        <w:t>The specified work and circumstances are set out i</w:t>
      </w:r>
      <w:r w:rsidR="00283A31">
        <w:t xml:space="preserve">n an instrument made under the </w:t>
      </w:r>
      <w:proofErr w:type="spellStart"/>
      <w:r w:rsidR="00283A31">
        <w:t>Prinicpal</w:t>
      </w:r>
      <w:proofErr w:type="spellEnd"/>
      <w:r w:rsidR="00283A31">
        <w:t xml:space="preserve"> R</w:t>
      </w:r>
      <w:r>
        <w:t>egulations and support labour shortages in regional Australia, particularly in the agricultural sector. The ‘working holiday maker’ visas are the Subclass 417 Working Holiday visa and the Subclass 462 Work and Holiday visa.</w:t>
      </w:r>
    </w:p>
    <w:p w14:paraId="3DC143CD" w14:textId="70D67F38" w:rsidR="00B37BDF" w:rsidRDefault="00B37BDF" w:rsidP="0014323A">
      <w:pPr>
        <w:spacing w:before="120" w:after="120"/>
        <w:rPr>
          <w:szCs w:val="24"/>
        </w:rPr>
      </w:pPr>
      <w:r w:rsidRPr="00982FFE">
        <w:rPr>
          <w:szCs w:val="24"/>
        </w:rPr>
        <w:t xml:space="preserve">A Statement of Compatibility with Human Rights (the Statement) has been completed in accordance with the </w:t>
      </w:r>
      <w:r w:rsidRPr="00982FFE">
        <w:rPr>
          <w:i/>
          <w:iCs/>
          <w:szCs w:val="24"/>
        </w:rPr>
        <w:t>Human Rights (Parliamentary Scrutiny) Act 2011</w:t>
      </w:r>
      <w:r w:rsidRPr="00982FFE">
        <w:rPr>
          <w:szCs w:val="24"/>
        </w:rPr>
        <w:t>. The overall assessment is that the Regulation</w:t>
      </w:r>
      <w:r w:rsidR="008D4431">
        <w:rPr>
          <w:szCs w:val="24"/>
        </w:rPr>
        <w:t>s are</w:t>
      </w:r>
      <w:r w:rsidRPr="00982FFE">
        <w:rPr>
          <w:szCs w:val="24"/>
        </w:rPr>
        <w:t xml:space="preserve"> compatible with human rig</w:t>
      </w:r>
      <w:r w:rsidR="00EA2117" w:rsidRPr="00982FFE">
        <w:rPr>
          <w:szCs w:val="24"/>
        </w:rPr>
        <w:t>hts. A copy of the Statement is </w:t>
      </w:r>
      <w:r w:rsidRPr="00982FFE">
        <w:rPr>
          <w:szCs w:val="24"/>
        </w:rPr>
        <w:t xml:space="preserve">at </w:t>
      </w:r>
      <w:r w:rsidRPr="00982FFE">
        <w:rPr>
          <w:szCs w:val="24"/>
          <w:u w:val="single"/>
        </w:rPr>
        <w:t>Attachment B</w:t>
      </w:r>
      <w:r w:rsidRPr="00982FFE">
        <w:rPr>
          <w:szCs w:val="24"/>
        </w:rPr>
        <w:t>.</w:t>
      </w:r>
    </w:p>
    <w:p w14:paraId="7867577A" w14:textId="77777777" w:rsidR="00601AF8" w:rsidRDefault="009A063E" w:rsidP="00601AF8">
      <w:pPr>
        <w:rPr>
          <w:szCs w:val="24"/>
          <w:u w:val="single"/>
        </w:rPr>
      </w:pPr>
      <w:r w:rsidRPr="00FA1E24">
        <w:rPr>
          <w:szCs w:val="24"/>
        </w:rPr>
        <w:t>The Office of Best Practice Regulation (</w:t>
      </w:r>
      <w:r w:rsidR="0092731E" w:rsidRPr="00FA1E24">
        <w:rPr>
          <w:szCs w:val="24"/>
        </w:rPr>
        <w:t xml:space="preserve">the </w:t>
      </w:r>
      <w:r w:rsidRPr="00FA1E24">
        <w:rPr>
          <w:szCs w:val="24"/>
        </w:rPr>
        <w:t>OBPR) has been consulted in relation to the amendments made by the Regulation</w:t>
      </w:r>
      <w:r w:rsidR="008D4431">
        <w:rPr>
          <w:szCs w:val="24"/>
        </w:rPr>
        <w:t>s</w:t>
      </w:r>
      <w:r w:rsidR="00155EA4">
        <w:rPr>
          <w:szCs w:val="24"/>
        </w:rPr>
        <w:t>.</w:t>
      </w:r>
      <w:r w:rsidRPr="00FA1E24">
        <w:rPr>
          <w:szCs w:val="24"/>
        </w:rPr>
        <w:t xml:space="preserve"> </w:t>
      </w:r>
      <w:r w:rsidR="00A762E4">
        <w:rPr>
          <w:szCs w:val="24"/>
        </w:rPr>
        <w:t xml:space="preserve">The OBPR consultation reference is </w:t>
      </w:r>
      <w:r w:rsidR="0014323A" w:rsidRPr="0014323A">
        <w:rPr>
          <w:szCs w:val="24"/>
        </w:rPr>
        <w:t xml:space="preserve">24272. </w:t>
      </w:r>
      <w:r w:rsidR="0014323A">
        <w:rPr>
          <w:szCs w:val="24"/>
        </w:rPr>
        <w:t xml:space="preserve">A short </w:t>
      </w:r>
      <w:r w:rsidR="009672DF">
        <w:rPr>
          <w:szCs w:val="24"/>
        </w:rPr>
        <w:t xml:space="preserve">form </w:t>
      </w:r>
      <w:r w:rsidR="0014323A">
        <w:rPr>
          <w:szCs w:val="24"/>
        </w:rPr>
        <w:t xml:space="preserve">Regulation Impact Statement is at </w:t>
      </w:r>
      <w:r w:rsidR="00D95A70">
        <w:rPr>
          <w:szCs w:val="24"/>
          <w:u w:val="single"/>
        </w:rPr>
        <w:t>Attachment C</w:t>
      </w:r>
      <w:r w:rsidR="0014323A">
        <w:rPr>
          <w:szCs w:val="24"/>
          <w:u w:val="single"/>
        </w:rPr>
        <w:t>.</w:t>
      </w:r>
    </w:p>
    <w:p w14:paraId="57B7A828" w14:textId="7D982046" w:rsidR="00D95A70" w:rsidRPr="00601AF8" w:rsidRDefault="00D95A70" w:rsidP="00601AF8">
      <w:pPr>
        <w:rPr>
          <w:szCs w:val="24"/>
          <w:u w:val="single"/>
        </w:rPr>
      </w:pPr>
      <w:r>
        <w:t>The Department of Home Affairs (the Department) consulted</w:t>
      </w:r>
      <w:r w:rsidRPr="00BF62FD">
        <w:t xml:space="preserve"> with the Department of Foreign Affairs, the Department of Jobs and Small Business, the Department of Agriculture and Water Resources, the Department of </w:t>
      </w:r>
      <w:r w:rsidR="009672DF">
        <w:t>I</w:t>
      </w:r>
      <w:r w:rsidRPr="00BF62FD">
        <w:t>nfrastructure, Regional Development and Cities, the Department of Finance, the</w:t>
      </w:r>
      <w:r w:rsidR="00601AF8">
        <w:t xml:space="preserve"> </w:t>
      </w:r>
      <w:r w:rsidRPr="00BF62FD">
        <w:t xml:space="preserve">Treasury and the Department of </w:t>
      </w:r>
      <w:r w:rsidR="009672DF">
        <w:t xml:space="preserve">the </w:t>
      </w:r>
      <w:r w:rsidRPr="00BF62FD">
        <w:t>Prime Minister and Cabinet</w:t>
      </w:r>
      <w:r>
        <w:t xml:space="preserve"> in relation to the </w:t>
      </w:r>
      <w:r w:rsidR="00920DAF">
        <w:t>changes</w:t>
      </w:r>
      <w:r w:rsidR="0069389C">
        <w:t>.</w:t>
      </w:r>
    </w:p>
    <w:p w14:paraId="0A04DEF6" w14:textId="69416FB1" w:rsidR="00FF6A4D" w:rsidRDefault="00FF6A4D" w:rsidP="00D26ADA">
      <w:pPr>
        <w:tabs>
          <w:tab w:val="left" w:pos="6521"/>
        </w:tabs>
        <w:spacing w:before="0"/>
        <w:ind w:right="42"/>
        <w:rPr>
          <w:lang w:val="en-US"/>
        </w:rPr>
      </w:pPr>
    </w:p>
    <w:p w14:paraId="48A0D6C4" w14:textId="0BEDD367" w:rsidR="00D95A70" w:rsidRPr="00043DE4" w:rsidRDefault="00D95A70" w:rsidP="00D95A70">
      <w:pPr>
        <w:spacing w:before="0"/>
        <w:ind w:right="42"/>
        <w:rPr>
          <w:szCs w:val="24"/>
        </w:rPr>
      </w:pPr>
      <w:r>
        <w:rPr>
          <w:szCs w:val="24"/>
        </w:rPr>
        <w:lastRenderedPageBreak/>
        <w:t xml:space="preserve">Details of the Regulations are set out in </w:t>
      </w:r>
      <w:r>
        <w:rPr>
          <w:szCs w:val="24"/>
          <w:u w:val="single"/>
        </w:rPr>
        <w:t>Attachment D</w:t>
      </w:r>
      <w:r>
        <w:rPr>
          <w:szCs w:val="24"/>
        </w:rPr>
        <w:t>.</w:t>
      </w:r>
    </w:p>
    <w:p w14:paraId="0E66B83D" w14:textId="77777777" w:rsidR="00D95A70" w:rsidRDefault="00D95A70" w:rsidP="00D26ADA">
      <w:pPr>
        <w:tabs>
          <w:tab w:val="left" w:pos="6521"/>
        </w:tabs>
        <w:spacing w:before="0"/>
        <w:ind w:right="42"/>
        <w:rPr>
          <w:lang w:val="en-US"/>
        </w:rPr>
      </w:pPr>
    </w:p>
    <w:p w14:paraId="449166CA" w14:textId="3B676E72" w:rsidR="006C356F" w:rsidRPr="00B6180D" w:rsidRDefault="006C356F" w:rsidP="00D26ADA">
      <w:pPr>
        <w:tabs>
          <w:tab w:val="left" w:pos="6521"/>
        </w:tabs>
        <w:spacing w:before="0"/>
        <w:ind w:right="42"/>
        <w:rPr>
          <w:szCs w:val="24"/>
        </w:rPr>
      </w:pPr>
      <w:r w:rsidRPr="00B6180D">
        <w:rPr>
          <w:szCs w:val="24"/>
        </w:rPr>
        <w:t>The Migration Act</w:t>
      </w:r>
      <w:r>
        <w:rPr>
          <w:szCs w:val="24"/>
        </w:rPr>
        <w:t xml:space="preserve"> specifies</w:t>
      </w:r>
      <w:r w:rsidRPr="00B6180D">
        <w:rPr>
          <w:szCs w:val="24"/>
        </w:rPr>
        <w:t xml:space="preserve"> no conditions that need to be satisfied before the power to make the Regulation</w:t>
      </w:r>
      <w:r w:rsidR="008D4431">
        <w:rPr>
          <w:szCs w:val="24"/>
        </w:rPr>
        <w:t>s</w:t>
      </w:r>
      <w:r w:rsidRPr="00B6180D">
        <w:rPr>
          <w:szCs w:val="24"/>
        </w:rPr>
        <w:t xml:space="preserve"> may be exercised. </w:t>
      </w:r>
    </w:p>
    <w:p w14:paraId="259C34C7" w14:textId="77777777" w:rsidR="002A4DB4" w:rsidRDefault="002A4DB4" w:rsidP="00D26ADA">
      <w:pPr>
        <w:tabs>
          <w:tab w:val="left" w:pos="6521"/>
        </w:tabs>
        <w:spacing w:before="0"/>
        <w:ind w:right="-2"/>
        <w:rPr>
          <w:szCs w:val="24"/>
        </w:rPr>
      </w:pPr>
    </w:p>
    <w:p w14:paraId="26D9AC03" w14:textId="31778869" w:rsidR="006C356F" w:rsidRPr="0061423F" w:rsidRDefault="006C356F" w:rsidP="00D26ADA">
      <w:pPr>
        <w:tabs>
          <w:tab w:val="left" w:pos="6521"/>
        </w:tabs>
        <w:spacing w:before="0"/>
        <w:ind w:right="-2"/>
        <w:rPr>
          <w:szCs w:val="24"/>
        </w:rPr>
      </w:pPr>
      <w:r w:rsidRPr="005D7CFC">
        <w:rPr>
          <w:szCs w:val="24"/>
        </w:rPr>
        <w:t xml:space="preserve">The </w:t>
      </w:r>
      <w:r>
        <w:rPr>
          <w:szCs w:val="24"/>
        </w:rPr>
        <w:t>Regulation</w:t>
      </w:r>
      <w:r w:rsidR="008D4431">
        <w:rPr>
          <w:szCs w:val="24"/>
        </w:rPr>
        <w:t>s</w:t>
      </w:r>
      <w:r>
        <w:rPr>
          <w:szCs w:val="24"/>
        </w:rPr>
        <w:t xml:space="preserve"> </w:t>
      </w:r>
      <w:r w:rsidR="00D768EE">
        <w:rPr>
          <w:szCs w:val="24"/>
        </w:rPr>
        <w:t>are</w:t>
      </w:r>
      <w:r w:rsidRPr="0061423F">
        <w:rPr>
          <w:szCs w:val="24"/>
        </w:rPr>
        <w:t xml:space="preserve"> a legislative instrument for the purposes of the </w:t>
      </w:r>
      <w:r w:rsidRPr="00964D79">
        <w:rPr>
          <w:i/>
          <w:szCs w:val="24"/>
        </w:rPr>
        <w:t>Legislat</w:t>
      </w:r>
      <w:r w:rsidR="00572D83" w:rsidRPr="00964D79">
        <w:rPr>
          <w:i/>
          <w:szCs w:val="24"/>
        </w:rPr>
        <w:t>ion Act</w:t>
      </w:r>
      <w:r w:rsidR="00964D79">
        <w:rPr>
          <w:szCs w:val="24"/>
        </w:rPr>
        <w:t xml:space="preserve"> </w:t>
      </w:r>
      <w:r w:rsidR="00964D79" w:rsidRPr="00964D79">
        <w:rPr>
          <w:i/>
          <w:szCs w:val="24"/>
        </w:rPr>
        <w:t>2003</w:t>
      </w:r>
      <w:r w:rsidRPr="0061423F">
        <w:rPr>
          <w:szCs w:val="24"/>
        </w:rPr>
        <w:t>.</w:t>
      </w:r>
    </w:p>
    <w:p w14:paraId="07A8C0C4" w14:textId="77777777" w:rsidR="006C356F" w:rsidRDefault="006C356F" w:rsidP="00D26ADA">
      <w:pPr>
        <w:tabs>
          <w:tab w:val="left" w:pos="6521"/>
        </w:tabs>
        <w:spacing w:before="0"/>
        <w:ind w:right="521"/>
        <w:rPr>
          <w:szCs w:val="24"/>
        </w:rPr>
      </w:pPr>
    </w:p>
    <w:p w14:paraId="6FF7D23A" w14:textId="79FFECDF" w:rsidR="006C356F" w:rsidRDefault="004426ED" w:rsidP="00D26ADA">
      <w:pPr>
        <w:tabs>
          <w:tab w:val="left" w:pos="6521"/>
        </w:tabs>
        <w:spacing w:before="0"/>
        <w:ind w:right="521"/>
        <w:rPr>
          <w:szCs w:val="24"/>
        </w:rPr>
      </w:pPr>
      <w:r>
        <w:rPr>
          <w:szCs w:val="24"/>
        </w:rPr>
        <w:t>The</w:t>
      </w:r>
      <w:r w:rsidR="00986CC9">
        <w:rPr>
          <w:szCs w:val="24"/>
        </w:rPr>
        <w:t xml:space="preserve"> Regulation</w:t>
      </w:r>
      <w:r w:rsidR="008D4431">
        <w:rPr>
          <w:szCs w:val="24"/>
        </w:rPr>
        <w:t>s commence</w:t>
      </w:r>
      <w:r w:rsidR="00986CC9">
        <w:rPr>
          <w:szCs w:val="24"/>
        </w:rPr>
        <w:t xml:space="preserve"> on </w:t>
      </w:r>
      <w:r w:rsidR="007132ED">
        <w:rPr>
          <w:szCs w:val="24"/>
        </w:rPr>
        <w:t>1 July 2019</w:t>
      </w:r>
      <w:r w:rsidR="00F45196">
        <w:rPr>
          <w:szCs w:val="24"/>
        </w:rPr>
        <w:t>.</w:t>
      </w:r>
      <w:r w:rsidR="006C356F">
        <w:rPr>
          <w:szCs w:val="24"/>
        </w:rPr>
        <w:t xml:space="preserve"> </w:t>
      </w:r>
    </w:p>
    <w:p w14:paraId="1148EFA9" w14:textId="77777777" w:rsidR="006C356F" w:rsidRDefault="006C356F" w:rsidP="00D26ADA">
      <w:pPr>
        <w:tabs>
          <w:tab w:val="left" w:pos="6521"/>
        </w:tabs>
        <w:spacing w:before="0"/>
        <w:ind w:right="521"/>
        <w:rPr>
          <w:szCs w:val="24"/>
        </w:rPr>
      </w:pPr>
    </w:p>
    <w:p w14:paraId="361EF226" w14:textId="77777777" w:rsidR="006C356F" w:rsidRPr="0061423F" w:rsidRDefault="006C356F" w:rsidP="00D26ADA">
      <w:pPr>
        <w:tabs>
          <w:tab w:val="left" w:pos="6521"/>
        </w:tabs>
        <w:spacing w:before="0"/>
        <w:ind w:right="521"/>
        <w:rPr>
          <w:szCs w:val="24"/>
        </w:rPr>
      </w:pPr>
    </w:p>
    <w:p w14:paraId="5C3C67C8" w14:textId="77777777" w:rsidR="006C356F" w:rsidRDefault="006C356F" w:rsidP="00D26ADA">
      <w:pPr>
        <w:spacing w:before="0"/>
        <w:ind w:right="42"/>
        <w:rPr>
          <w:color w:val="FF0000"/>
          <w:szCs w:val="24"/>
        </w:rPr>
      </w:pPr>
    </w:p>
    <w:p w14:paraId="1466448B" w14:textId="77777777" w:rsidR="006C356F" w:rsidRPr="00645B27" w:rsidRDefault="006C356F" w:rsidP="00D26ADA">
      <w:pPr>
        <w:spacing w:before="0"/>
        <w:ind w:right="42"/>
        <w:jc w:val="right"/>
        <w:rPr>
          <w:szCs w:val="24"/>
        </w:rPr>
        <w:sectPr w:rsidR="006C356F" w:rsidRPr="00645B27" w:rsidSect="00AD48DA">
          <w:headerReference w:type="default" r:id="rId11"/>
          <w:pgSz w:w="11906" w:h="16838"/>
          <w:pgMar w:top="1440" w:right="1418" w:bottom="1440" w:left="1418" w:header="709" w:footer="709" w:gutter="0"/>
          <w:cols w:space="708"/>
          <w:titlePg/>
          <w:docGrid w:linePitch="360"/>
        </w:sectPr>
      </w:pPr>
    </w:p>
    <w:p w14:paraId="326036A7" w14:textId="77777777" w:rsidR="007D20EF" w:rsidRPr="00645B27" w:rsidRDefault="007D20EF" w:rsidP="00D26ADA">
      <w:pPr>
        <w:spacing w:before="0"/>
        <w:ind w:right="42"/>
        <w:jc w:val="right"/>
        <w:rPr>
          <w:szCs w:val="24"/>
          <w:u w:val="single"/>
        </w:rPr>
      </w:pPr>
      <w:r w:rsidRPr="00645B27">
        <w:rPr>
          <w:b/>
          <w:szCs w:val="24"/>
          <w:u w:val="single"/>
        </w:rPr>
        <w:lastRenderedPageBreak/>
        <w:t>ATTACHMENT</w:t>
      </w:r>
      <w:r w:rsidR="001E6AC4" w:rsidRPr="00645B27">
        <w:rPr>
          <w:b/>
          <w:szCs w:val="24"/>
          <w:u w:val="single"/>
        </w:rPr>
        <w:t xml:space="preserve"> A</w:t>
      </w:r>
    </w:p>
    <w:p w14:paraId="301D7A50" w14:textId="77777777" w:rsidR="007D20EF" w:rsidRPr="00645B27" w:rsidRDefault="007D20EF" w:rsidP="00D26ADA">
      <w:pPr>
        <w:tabs>
          <w:tab w:val="left" w:pos="435"/>
        </w:tabs>
        <w:spacing w:before="0"/>
        <w:ind w:right="42"/>
        <w:rPr>
          <w:szCs w:val="24"/>
        </w:rPr>
      </w:pPr>
    </w:p>
    <w:p w14:paraId="75EA1A23" w14:textId="77777777" w:rsidR="007D20EF" w:rsidRPr="00645B27" w:rsidRDefault="007D20EF" w:rsidP="00D26ADA">
      <w:pPr>
        <w:tabs>
          <w:tab w:val="left" w:pos="435"/>
        </w:tabs>
        <w:spacing w:before="0"/>
        <w:ind w:right="42"/>
        <w:jc w:val="center"/>
        <w:rPr>
          <w:b/>
          <w:szCs w:val="24"/>
        </w:rPr>
      </w:pPr>
      <w:r w:rsidRPr="00645B27">
        <w:rPr>
          <w:b/>
          <w:szCs w:val="24"/>
        </w:rPr>
        <w:t>AUTHORISING PROVISIONS</w:t>
      </w:r>
    </w:p>
    <w:p w14:paraId="30F9B111" w14:textId="77777777" w:rsidR="007D20EF" w:rsidRPr="00645B27" w:rsidRDefault="007D20EF" w:rsidP="00D26ADA">
      <w:pPr>
        <w:tabs>
          <w:tab w:val="left" w:pos="435"/>
        </w:tabs>
        <w:spacing w:before="0"/>
        <w:ind w:right="42"/>
        <w:rPr>
          <w:szCs w:val="24"/>
        </w:rPr>
      </w:pPr>
    </w:p>
    <w:p w14:paraId="760AB8DB" w14:textId="3EB17279" w:rsidR="004C1EE3" w:rsidRDefault="004C1EE3" w:rsidP="00D26ADA">
      <w:pPr>
        <w:spacing w:before="0"/>
        <w:ind w:right="42"/>
        <w:rPr>
          <w:szCs w:val="24"/>
        </w:rPr>
      </w:pPr>
      <w:r w:rsidRPr="005D7CFC">
        <w:rPr>
          <w:szCs w:val="24"/>
        </w:rPr>
        <w:t xml:space="preserve">Subsection 504(1) of </w:t>
      </w:r>
      <w:r>
        <w:rPr>
          <w:szCs w:val="24"/>
        </w:rPr>
        <w:t>the</w:t>
      </w:r>
      <w:r w:rsidRPr="005D7CFC">
        <w:rPr>
          <w:szCs w:val="24"/>
        </w:rPr>
        <w:t xml:space="preserve"> </w:t>
      </w:r>
      <w:r w:rsidRPr="00233F4A">
        <w:rPr>
          <w:i/>
          <w:szCs w:val="24"/>
        </w:rPr>
        <w:t>Migration Act</w:t>
      </w:r>
      <w:r w:rsidR="00233F4A" w:rsidRPr="00233F4A">
        <w:rPr>
          <w:i/>
          <w:szCs w:val="24"/>
        </w:rPr>
        <w:t xml:space="preserve"> 1958</w:t>
      </w:r>
      <w:r w:rsidR="00233F4A">
        <w:rPr>
          <w:szCs w:val="24"/>
        </w:rPr>
        <w:t xml:space="preserve"> (the Migration Act)</w:t>
      </w:r>
      <w:r w:rsidRPr="005D7CFC">
        <w:rPr>
          <w:szCs w:val="24"/>
        </w:rPr>
        <w:t xml:space="preserve"> relevantly provides that the Governor</w:t>
      </w:r>
      <w:r w:rsidRPr="005D7CFC">
        <w:rPr>
          <w:szCs w:val="24"/>
        </w:rPr>
        <w:noBreakHyphen/>
        <w:t>General may make regulations, not inconsistent with the</w:t>
      </w:r>
      <w:r w:rsidR="00233F4A">
        <w:rPr>
          <w:szCs w:val="24"/>
        </w:rPr>
        <w:t xml:space="preserve"> Migration</w:t>
      </w:r>
      <w:r w:rsidRPr="005D7CFC">
        <w:rPr>
          <w:szCs w:val="24"/>
        </w:rPr>
        <w:t xml:space="preserve"> Act, prescribing all matters which by the </w:t>
      </w:r>
      <w:r w:rsidR="00233F4A">
        <w:rPr>
          <w:szCs w:val="24"/>
        </w:rPr>
        <w:t xml:space="preserve">Migration </w:t>
      </w:r>
      <w:r w:rsidRPr="005D7CFC">
        <w:rPr>
          <w:szCs w:val="24"/>
        </w:rPr>
        <w:t xml:space="preserve">Act are required or permitted to be prescribed or which are necessary or convenient to be prescribed for carrying out or giving effect to the </w:t>
      </w:r>
      <w:r w:rsidR="00233F4A">
        <w:rPr>
          <w:szCs w:val="24"/>
        </w:rPr>
        <w:t xml:space="preserve">Migration </w:t>
      </w:r>
      <w:r w:rsidRPr="005D7CFC">
        <w:rPr>
          <w:szCs w:val="24"/>
        </w:rPr>
        <w:t>Act.</w:t>
      </w:r>
      <w:r w:rsidRPr="006A2F2C">
        <w:rPr>
          <w:szCs w:val="24"/>
        </w:rPr>
        <w:t xml:space="preserve"> </w:t>
      </w:r>
    </w:p>
    <w:p w14:paraId="1462A80A" w14:textId="77777777" w:rsidR="004C1EE3" w:rsidRDefault="004C1EE3" w:rsidP="00D26ADA">
      <w:pPr>
        <w:spacing w:before="0"/>
        <w:ind w:right="42"/>
        <w:rPr>
          <w:szCs w:val="24"/>
        </w:rPr>
      </w:pPr>
    </w:p>
    <w:p w14:paraId="3DCA4A7F" w14:textId="515B201E" w:rsidR="004C1EE3" w:rsidRPr="00883F31" w:rsidRDefault="004C1EE3" w:rsidP="00883F31">
      <w:pPr>
        <w:spacing w:before="0"/>
        <w:ind w:right="43"/>
        <w:rPr>
          <w:szCs w:val="24"/>
        </w:rPr>
      </w:pPr>
      <w:r w:rsidRPr="0061423F">
        <w:rPr>
          <w:szCs w:val="24"/>
        </w:rPr>
        <w:t>In addition, the following provision</w:t>
      </w:r>
      <w:r w:rsidR="00EF7992">
        <w:rPr>
          <w:szCs w:val="24"/>
        </w:rPr>
        <w:t>s</w:t>
      </w:r>
      <w:r w:rsidRPr="0061423F">
        <w:rPr>
          <w:szCs w:val="24"/>
        </w:rPr>
        <w:t xml:space="preserve"> of the </w:t>
      </w:r>
      <w:r w:rsidR="00233F4A">
        <w:rPr>
          <w:szCs w:val="24"/>
        </w:rPr>
        <w:t xml:space="preserve">Migration </w:t>
      </w:r>
      <w:r w:rsidRPr="0061423F">
        <w:rPr>
          <w:szCs w:val="24"/>
        </w:rPr>
        <w:t>Act may apply:</w:t>
      </w:r>
    </w:p>
    <w:p w14:paraId="15B84FB0" w14:textId="58F12AFC" w:rsidR="001210D4" w:rsidRPr="00F17203" w:rsidRDefault="004C5CAE" w:rsidP="001210D4">
      <w:pPr>
        <w:pStyle w:val="ListParagraph"/>
        <w:numPr>
          <w:ilvl w:val="0"/>
          <w:numId w:val="18"/>
        </w:numPr>
      </w:pPr>
      <w:proofErr w:type="gramStart"/>
      <w:r>
        <w:rPr>
          <w:szCs w:val="24"/>
        </w:rPr>
        <w:t>p</w:t>
      </w:r>
      <w:r w:rsidR="00A067D7" w:rsidRPr="00A067D7">
        <w:rPr>
          <w:szCs w:val="24"/>
        </w:rPr>
        <w:t>aragraph</w:t>
      </w:r>
      <w:proofErr w:type="gramEnd"/>
      <w:r w:rsidR="00A067D7" w:rsidRPr="00A067D7">
        <w:rPr>
          <w:szCs w:val="24"/>
        </w:rPr>
        <w:t xml:space="preserve"> </w:t>
      </w:r>
      <w:r w:rsidR="00F17203">
        <w:rPr>
          <w:szCs w:val="24"/>
        </w:rPr>
        <w:t>46(1)(b) provides that, subject to subsections (1A), (2) and (2A), an application for a visa is valid if, and only if, it satisfies the criteria and requir</w:t>
      </w:r>
      <w:r w:rsidR="00964D79">
        <w:rPr>
          <w:szCs w:val="24"/>
        </w:rPr>
        <w:t>ements pres</w:t>
      </w:r>
      <w:r w:rsidR="00F17203">
        <w:rPr>
          <w:szCs w:val="24"/>
        </w:rPr>
        <w:t xml:space="preserve">cribed under this section. </w:t>
      </w:r>
    </w:p>
    <w:p w14:paraId="1B096EB8" w14:textId="1DF97A0E" w:rsidR="00F17203" w:rsidRDefault="00F17203" w:rsidP="001210D4">
      <w:pPr>
        <w:pStyle w:val="ListParagraph"/>
        <w:numPr>
          <w:ilvl w:val="0"/>
          <w:numId w:val="18"/>
        </w:numPr>
      </w:pPr>
      <w:r>
        <w:rPr>
          <w:szCs w:val="24"/>
        </w:rPr>
        <w:t xml:space="preserve">Subparagraph 65(1)(a)(ii) provides that subject to sections 84 and 86, after considering a valid application for a visa, the Minister, if satisfied that the other criteria for it prescribed by this Act or regulations have been satisfied, is to grant the visa. </w:t>
      </w:r>
    </w:p>
    <w:p w14:paraId="0E1356EE" w14:textId="2D919522" w:rsidR="004C5CAE" w:rsidRPr="00A067D7" w:rsidRDefault="004C5CAE" w:rsidP="00F17203">
      <w:pPr>
        <w:pStyle w:val="ListParagraph"/>
      </w:pPr>
    </w:p>
    <w:p w14:paraId="5682BE2B" w14:textId="3D5F343C" w:rsidR="00D6132D" w:rsidRDefault="00D6132D" w:rsidP="00D26ADA">
      <w:pPr>
        <w:spacing w:before="0"/>
        <w:rPr>
          <w:szCs w:val="24"/>
        </w:rPr>
      </w:pPr>
    </w:p>
    <w:p w14:paraId="0863C0F6" w14:textId="3F860C20" w:rsidR="00172208" w:rsidRDefault="00172208">
      <w:pPr>
        <w:spacing w:before="0"/>
        <w:rPr>
          <w:szCs w:val="24"/>
        </w:rPr>
      </w:pPr>
      <w:r>
        <w:rPr>
          <w:szCs w:val="24"/>
        </w:rPr>
        <w:br w:type="page"/>
      </w:r>
    </w:p>
    <w:p w14:paraId="148C079C" w14:textId="77777777" w:rsidR="004C5CAE" w:rsidRPr="00645B27" w:rsidRDefault="004C5CAE" w:rsidP="00D26ADA">
      <w:pPr>
        <w:spacing w:before="0"/>
        <w:rPr>
          <w:szCs w:val="24"/>
        </w:rPr>
      </w:pPr>
    </w:p>
    <w:p w14:paraId="70C66AB5" w14:textId="77777777" w:rsidR="00D6132D" w:rsidRPr="00645B27" w:rsidRDefault="00D6132D" w:rsidP="00D26ADA">
      <w:pPr>
        <w:tabs>
          <w:tab w:val="left" w:pos="345"/>
        </w:tabs>
        <w:spacing w:before="0"/>
        <w:ind w:left="360" w:right="43"/>
        <w:rPr>
          <w:szCs w:val="24"/>
        </w:rPr>
      </w:pPr>
    </w:p>
    <w:p w14:paraId="06F8A1F6" w14:textId="77777777" w:rsidR="00F536DE" w:rsidRPr="00645B27" w:rsidRDefault="00F536DE" w:rsidP="00D26ADA">
      <w:pPr>
        <w:tabs>
          <w:tab w:val="left" w:pos="345"/>
        </w:tabs>
        <w:spacing w:before="0"/>
        <w:ind w:right="43"/>
        <w:contextualSpacing/>
        <w:jc w:val="right"/>
        <w:rPr>
          <w:b/>
          <w:szCs w:val="24"/>
          <w:u w:val="single"/>
        </w:rPr>
      </w:pPr>
      <w:r w:rsidRPr="00FE4459">
        <w:rPr>
          <w:b/>
          <w:szCs w:val="24"/>
          <w:u w:val="single"/>
        </w:rPr>
        <w:t>ATTACHMENT B</w:t>
      </w:r>
    </w:p>
    <w:p w14:paraId="0B6A05C1" w14:textId="77777777" w:rsidR="00F536DE" w:rsidRPr="00645B27" w:rsidRDefault="00F536DE" w:rsidP="00D26ADA">
      <w:pPr>
        <w:tabs>
          <w:tab w:val="left" w:pos="345"/>
        </w:tabs>
        <w:spacing w:before="0"/>
        <w:ind w:right="43"/>
        <w:contextualSpacing/>
        <w:jc w:val="right"/>
        <w:rPr>
          <w:b/>
          <w:szCs w:val="24"/>
          <w:u w:val="single"/>
        </w:rPr>
      </w:pPr>
    </w:p>
    <w:p w14:paraId="7D6B771B" w14:textId="77777777" w:rsidR="008A4DE2" w:rsidRPr="00645B27" w:rsidRDefault="008A4DE2" w:rsidP="00D26ADA">
      <w:pPr>
        <w:pStyle w:val="Default"/>
        <w:jc w:val="center"/>
        <w:rPr>
          <w:color w:val="auto"/>
        </w:rPr>
      </w:pPr>
      <w:r w:rsidRPr="00645B27">
        <w:rPr>
          <w:b/>
          <w:bCs/>
          <w:color w:val="auto"/>
        </w:rPr>
        <w:t>Statement of Compatibility with Human Rights</w:t>
      </w:r>
    </w:p>
    <w:p w14:paraId="1EC53747" w14:textId="77777777" w:rsidR="008A4DE2" w:rsidRPr="00645B27" w:rsidRDefault="008A4DE2" w:rsidP="00D26ADA">
      <w:pPr>
        <w:pStyle w:val="Default"/>
        <w:jc w:val="center"/>
        <w:rPr>
          <w:i/>
          <w:iCs/>
          <w:color w:val="auto"/>
        </w:rPr>
      </w:pPr>
      <w:r w:rsidRPr="00645B27">
        <w:rPr>
          <w:i/>
          <w:iCs/>
          <w:color w:val="auto"/>
        </w:rPr>
        <w:t>Prepared in accordance with Part 3 of the Human Rights (Parliamentary Scrutiny) Act 2011</w:t>
      </w:r>
    </w:p>
    <w:p w14:paraId="0EE66B00" w14:textId="77777777" w:rsidR="00FC2BAB" w:rsidRPr="00645B27" w:rsidRDefault="00FC2BAB" w:rsidP="00D26ADA">
      <w:pPr>
        <w:pStyle w:val="Default"/>
        <w:jc w:val="center"/>
        <w:rPr>
          <w:b/>
          <w:i/>
          <w:iCs/>
          <w:color w:val="auto"/>
        </w:rPr>
      </w:pPr>
    </w:p>
    <w:p w14:paraId="38A38810" w14:textId="0057229A" w:rsidR="00645B27" w:rsidRPr="00645B27" w:rsidRDefault="00645B27" w:rsidP="00D26ADA">
      <w:pPr>
        <w:spacing w:before="0"/>
        <w:ind w:right="40"/>
        <w:jc w:val="center"/>
        <w:rPr>
          <w:b/>
          <w:i/>
          <w:szCs w:val="24"/>
        </w:rPr>
      </w:pPr>
      <w:r w:rsidRPr="00D50F97">
        <w:rPr>
          <w:b/>
          <w:i/>
          <w:szCs w:val="24"/>
        </w:rPr>
        <w:t>Migra</w:t>
      </w:r>
      <w:r w:rsidR="001210D4">
        <w:rPr>
          <w:b/>
          <w:i/>
          <w:szCs w:val="24"/>
        </w:rPr>
        <w:t>tion</w:t>
      </w:r>
      <w:r w:rsidR="006F1AFF">
        <w:rPr>
          <w:b/>
          <w:i/>
          <w:szCs w:val="24"/>
        </w:rPr>
        <w:t xml:space="preserve"> Amendment </w:t>
      </w:r>
      <w:r w:rsidR="001210D4">
        <w:rPr>
          <w:b/>
          <w:i/>
          <w:szCs w:val="24"/>
        </w:rPr>
        <w:t xml:space="preserve">(Working Holiday </w:t>
      </w:r>
      <w:r w:rsidR="001210D4" w:rsidRPr="001210D4">
        <w:rPr>
          <w:b/>
          <w:i/>
          <w:szCs w:val="24"/>
        </w:rPr>
        <w:t>Maker)</w:t>
      </w:r>
      <w:r w:rsidRPr="001210D4">
        <w:rPr>
          <w:b/>
          <w:i/>
          <w:szCs w:val="24"/>
        </w:rPr>
        <w:t xml:space="preserve"> Regulation</w:t>
      </w:r>
      <w:r w:rsidR="00A27634" w:rsidRPr="001210D4">
        <w:rPr>
          <w:b/>
          <w:i/>
          <w:szCs w:val="24"/>
        </w:rPr>
        <w:t>s</w:t>
      </w:r>
      <w:r w:rsidR="006F1AFF">
        <w:rPr>
          <w:b/>
          <w:i/>
          <w:szCs w:val="24"/>
        </w:rPr>
        <w:t> </w:t>
      </w:r>
      <w:r w:rsidR="001210D4">
        <w:rPr>
          <w:b/>
          <w:i/>
          <w:szCs w:val="24"/>
        </w:rPr>
        <w:t>2019</w:t>
      </w:r>
    </w:p>
    <w:p w14:paraId="74A795F7" w14:textId="77777777" w:rsidR="00FC2BAB" w:rsidRPr="00645B27" w:rsidRDefault="00FC2BAB" w:rsidP="00D26ADA">
      <w:pPr>
        <w:pStyle w:val="Default"/>
        <w:jc w:val="center"/>
        <w:rPr>
          <w:color w:val="auto"/>
        </w:rPr>
      </w:pPr>
    </w:p>
    <w:p w14:paraId="5C3121DC" w14:textId="77777777" w:rsidR="008A4DE2" w:rsidRPr="00645B27" w:rsidRDefault="00EE3000" w:rsidP="00D26ADA">
      <w:pPr>
        <w:pStyle w:val="Default"/>
        <w:jc w:val="center"/>
        <w:rPr>
          <w:color w:val="auto"/>
        </w:rPr>
      </w:pPr>
      <w:r w:rsidRPr="00645B27">
        <w:rPr>
          <w:color w:val="auto"/>
        </w:rPr>
        <w:t xml:space="preserve">This legislative instrument is </w:t>
      </w:r>
      <w:r w:rsidR="008A4DE2" w:rsidRPr="00645B27">
        <w:rPr>
          <w:color w:val="auto"/>
        </w:rPr>
        <w:t xml:space="preserve">compatible with the human rights and freedoms recognised or declared in the international instruments listed in section 3 of the </w:t>
      </w:r>
      <w:r w:rsidR="008A4DE2" w:rsidRPr="00645B27">
        <w:rPr>
          <w:i/>
          <w:iCs/>
          <w:color w:val="auto"/>
        </w:rPr>
        <w:t>Human Rights (Parliamentary Scrutiny) Act 2011</w:t>
      </w:r>
      <w:r w:rsidR="008A4DE2" w:rsidRPr="00645B27">
        <w:rPr>
          <w:color w:val="auto"/>
        </w:rPr>
        <w:t>.</w:t>
      </w:r>
    </w:p>
    <w:p w14:paraId="63ECDBF2" w14:textId="77777777" w:rsidR="000424E3" w:rsidRPr="00645B27" w:rsidRDefault="000424E3" w:rsidP="00D26ADA">
      <w:pPr>
        <w:spacing w:before="0"/>
        <w:contextualSpacing/>
        <w:rPr>
          <w:b/>
          <w:szCs w:val="24"/>
          <w:u w:val="single"/>
        </w:rPr>
      </w:pPr>
    </w:p>
    <w:p w14:paraId="38D585A8" w14:textId="72D0219B" w:rsidR="00BA77DA" w:rsidRDefault="00E419C7" w:rsidP="00642927">
      <w:pPr>
        <w:tabs>
          <w:tab w:val="left" w:pos="601"/>
        </w:tabs>
        <w:spacing w:before="0"/>
        <w:ind w:left="601" w:hanging="601"/>
        <w:rPr>
          <w:b/>
          <w:szCs w:val="24"/>
        </w:rPr>
      </w:pPr>
      <w:r>
        <w:rPr>
          <w:b/>
          <w:szCs w:val="24"/>
        </w:rPr>
        <w:t>Overview of the Legislative Instrument</w:t>
      </w:r>
    </w:p>
    <w:p w14:paraId="72754C7A" w14:textId="3756D05D" w:rsidR="00BA77DA" w:rsidRDefault="00BA77DA" w:rsidP="00D26ADA">
      <w:pPr>
        <w:tabs>
          <w:tab w:val="left" w:pos="601"/>
        </w:tabs>
        <w:spacing w:before="0"/>
        <w:ind w:left="601" w:hanging="601"/>
        <w:rPr>
          <w:rFonts w:eastAsia="Calibri"/>
          <w:szCs w:val="24"/>
          <w:lang w:eastAsia="en-US"/>
        </w:rPr>
      </w:pPr>
    </w:p>
    <w:p w14:paraId="64E99C52" w14:textId="6A7EC7E3" w:rsidR="001210D4" w:rsidRPr="007A43F7" w:rsidRDefault="001210D4" w:rsidP="001210D4">
      <w:pPr>
        <w:pStyle w:val="BodyText"/>
        <w:spacing w:line="259" w:lineRule="auto"/>
        <w:ind w:left="0" w:right="232"/>
        <w:rPr>
          <w:rFonts w:ascii="Times New Roman" w:eastAsia="Times New Roman" w:hAnsi="Times New Roman" w:cs="Times New Roman"/>
          <w:i w:val="0"/>
          <w:sz w:val="24"/>
          <w:szCs w:val="24"/>
          <w:lang w:val="en-AU" w:eastAsia="en-AU"/>
        </w:rPr>
      </w:pPr>
      <w:r w:rsidRPr="007A43F7">
        <w:rPr>
          <w:rFonts w:ascii="Times New Roman" w:eastAsia="Times New Roman" w:hAnsi="Times New Roman" w:cs="Times New Roman"/>
          <w:i w:val="0"/>
          <w:sz w:val="24"/>
          <w:szCs w:val="24"/>
          <w:lang w:val="en-AU" w:eastAsia="en-AU"/>
        </w:rPr>
        <w:t>The Working Holiday Maker (WHM) program consists of two visa subclasses, the Working Holiday (subclass 417) visa and the Work and Holiday (subclass 462) visa.  Both WHM visas are granted with a 12-month stay period.</w:t>
      </w:r>
    </w:p>
    <w:p w14:paraId="711ED34C" w14:textId="55B2040C" w:rsidR="001210D4" w:rsidRPr="007A43F7" w:rsidRDefault="001210D4" w:rsidP="001210D4">
      <w:pPr>
        <w:pStyle w:val="BodyText"/>
        <w:spacing w:line="259" w:lineRule="auto"/>
        <w:ind w:left="0" w:right="232"/>
        <w:rPr>
          <w:rFonts w:ascii="Times New Roman" w:eastAsia="Times New Roman" w:hAnsi="Times New Roman" w:cs="Times New Roman"/>
          <w:i w:val="0"/>
          <w:sz w:val="24"/>
          <w:szCs w:val="24"/>
          <w:lang w:val="en-AU" w:eastAsia="en-AU"/>
        </w:rPr>
      </w:pPr>
      <w:r w:rsidRPr="007A43F7">
        <w:rPr>
          <w:rFonts w:ascii="Times New Roman" w:eastAsia="Times New Roman" w:hAnsi="Times New Roman" w:cs="Times New Roman"/>
          <w:i w:val="0"/>
          <w:sz w:val="24"/>
          <w:szCs w:val="24"/>
          <w:lang w:val="en-AU" w:eastAsia="en-AU"/>
        </w:rPr>
        <w:t>Working holiday makers holding a first Subclass 417 or 462 visa (having never been previously in Australia as a holder of a WHM visa) can be granted a second visa if they have carried out three months of specified work in regional Australia while on their first visa.</w:t>
      </w:r>
    </w:p>
    <w:p w14:paraId="469CFED3" w14:textId="77777777" w:rsidR="001210D4" w:rsidRPr="007A43F7" w:rsidRDefault="001210D4" w:rsidP="001210D4">
      <w:pPr>
        <w:pStyle w:val="BodyText"/>
        <w:spacing w:before="135" w:line="256" w:lineRule="auto"/>
        <w:ind w:left="0" w:right="274"/>
        <w:rPr>
          <w:rFonts w:ascii="Times New Roman" w:eastAsia="Times New Roman" w:hAnsi="Times New Roman" w:cs="Times New Roman"/>
          <w:i w:val="0"/>
          <w:sz w:val="24"/>
          <w:szCs w:val="24"/>
          <w:lang w:val="en-AU" w:eastAsia="en-AU"/>
        </w:rPr>
      </w:pPr>
      <w:r w:rsidRPr="007A43F7">
        <w:rPr>
          <w:rFonts w:ascii="Times New Roman" w:eastAsia="Times New Roman" w:hAnsi="Times New Roman" w:cs="Times New Roman"/>
          <w:i w:val="0"/>
          <w:sz w:val="24"/>
          <w:szCs w:val="24"/>
          <w:lang w:val="en-AU" w:eastAsia="en-AU"/>
        </w:rPr>
        <w:t xml:space="preserve">The legislative instrument amends the </w:t>
      </w:r>
      <w:r w:rsidRPr="00233F4A">
        <w:rPr>
          <w:rFonts w:ascii="Times New Roman" w:eastAsia="Times New Roman" w:hAnsi="Times New Roman" w:cs="Times New Roman"/>
          <w:sz w:val="24"/>
          <w:szCs w:val="24"/>
          <w:lang w:val="en-AU" w:eastAsia="en-AU"/>
        </w:rPr>
        <w:t>Migration Regulations 1994</w:t>
      </w:r>
      <w:r w:rsidRPr="007A43F7">
        <w:rPr>
          <w:rFonts w:ascii="Times New Roman" w:eastAsia="Times New Roman" w:hAnsi="Times New Roman" w:cs="Times New Roman"/>
          <w:i w:val="0"/>
          <w:sz w:val="24"/>
          <w:szCs w:val="24"/>
          <w:lang w:val="en-AU" w:eastAsia="en-AU"/>
        </w:rPr>
        <w:t xml:space="preserve"> (the Regulations) to allow holders of a second Subclass 417 (Working Holiday) visa or Subclass 462 (Work and Holiday) visa to obtain a third visa of the same type if they have spent 6 months working in specified areas of regional Australia. This is in addition to the three months of work required to obtain the second visa.</w:t>
      </w:r>
    </w:p>
    <w:p w14:paraId="6D4E4B8C" w14:textId="24B520EA" w:rsidR="001210D4" w:rsidRPr="007A43F7" w:rsidRDefault="001210D4" w:rsidP="001210D4">
      <w:pPr>
        <w:pStyle w:val="BodyText"/>
        <w:spacing w:before="135" w:line="256" w:lineRule="auto"/>
        <w:ind w:left="0" w:right="274"/>
        <w:rPr>
          <w:rFonts w:ascii="Times New Roman" w:eastAsia="Times New Roman" w:hAnsi="Times New Roman" w:cs="Times New Roman"/>
          <w:i w:val="0"/>
          <w:sz w:val="24"/>
          <w:szCs w:val="24"/>
          <w:lang w:val="en-AU" w:eastAsia="en-AU"/>
        </w:rPr>
      </w:pPr>
      <w:r w:rsidRPr="007A43F7">
        <w:rPr>
          <w:rFonts w:ascii="Times New Roman" w:eastAsia="Times New Roman" w:hAnsi="Times New Roman" w:cs="Times New Roman"/>
          <w:i w:val="0"/>
          <w:sz w:val="24"/>
          <w:szCs w:val="24"/>
          <w:lang w:val="en-AU" w:eastAsia="en-AU"/>
        </w:rPr>
        <w:t>Additionally, this instrument makes minor amendments to align terminology regarding the period of work required for the second WHM visa between the two visa subclasses.</w:t>
      </w:r>
    </w:p>
    <w:p w14:paraId="6FB53B1C" w14:textId="0FDF48FD" w:rsidR="001210D4" w:rsidRPr="001210D4" w:rsidRDefault="001210D4" w:rsidP="001210D4">
      <w:pPr>
        <w:pStyle w:val="Heading3"/>
        <w:rPr>
          <w:rFonts w:ascii="Times New Roman" w:eastAsia="Times New Roman" w:hAnsi="Times New Roman" w:cs="Times New Roman"/>
          <w:bCs w:val="0"/>
          <w:color w:val="auto"/>
          <w:szCs w:val="24"/>
        </w:rPr>
      </w:pPr>
      <w:r w:rsidRPr="001210D4">
        <w:rPr>
          <w:rFonts w:ascii="Times New Roman" w:eastAsia="Times New Roman" w:hAnsi="Times New Roman" w:cs="Times New Roman"/>
          <w:bCs w:val="0"/>
          <w:color w:val="auto"/>
          <w:szCs w:val="24"/>
        </w:rPr>
        <w:t>Human rights implications</w:t>
      </w:r>
    </w:p>
    <w:p w14:paraId="16A987C0" w14:textId="77777777" w:rsidR="001210D4" w:rsidRDefault="001210D4" w:rsidP="001210D4">
      <w:pPr>
        <w:spacing w:before="120" w:after="120"/>
        <w:rPr>
          <w:sz w:val="22"/>
          <w:szCs w:val="22"/>
        </w:rPr>
      </w:pPr>
      <w:r>
        <w:t>The Disallowable Legislative Instrument has been assessed against the seven core international human rights treaties and engages the following rights:</w:t>
      </w:r>
    </w:p>
    <w:p w14:paraId="00C99DDB" w14:textId="77777777" w:rsidR="001210D4" w:rsidRDefault="001210D4" w:rsidP="001210D4">
      <w:pPr>
        <w:pStyle w:val="ListParagraph"/>
        <w:numPr>
          <w:ilvl w:val="0"/>
          <w:numId w:val="33"/>
        </w:numPr>
        <w:spacing w:before="120" w:after="120"/>
        <w:contextualSpacing/>
      </w:pPr>
      <w:r>
        <w:t>Right to freedom of movement</w:t>
      </w:r>
    </w:p>
    <w:p w14:paraId="51B98A83" w14:textId="77777777" w:rsidR="001210D4" w:rsidRDefault="001210D4" w:rsidP="001210D4">
      <w:pPr>
        <w:pStyle w:val="ListParagraph"/>
        <w:numPr>
          <w:ilvl w:val="0"/>
          <w:numId w:val="33"/>
        </w:numPr>
        <w:spacing w:before="120" w:after="120"/>
        <w:contextualSpacing/>
      </w:pPr>
      <w:r>
        <w:t>Right to work and rights at work</w:t>
      </w:r>
    </w:p>
    <w:p w14:paraId="5603A705" w14:textId="77777777" w:rsidR="001210D4" w:rsidRDefault="001210D4" w:rsidP="001210D4">
      <w:pPr>
        <w:pStyle w:val="ListParagraph"/>
        <w:numPr>
          <w:ilvl w:val="0"/>
          <w:numId w:val="33"/>
        </w:numPr>
        <w:spacing w:before="120" w:after="120"/>
        <w:contextualSpacing/>
      </w:pPr>
      <w:r>
        <w:t xml:space="preserve">Rights to equality and non-discrimination  </w:t>
      </w:r>
    </w:p>
    <w:p w14:paraId="142754FA" w14:textId="77777777" w:rsidR="00C030AC" w:rsidRDefault="00C030AC" w:rsidP="001210D4">
      <w:pPr>
        <w:spacing w:before="120" w:after="120"/>
      </w:pPr>
    </w:p>
    <w:p w14:paraId="49E41C75" w14:textId="530F7C7B" w:rsidR="001210D4" w:rsidRDefault="001210D4" w:rsidP="001210D4">
      <w:pPr>
        <w:spacing w:before="120" w:after="120"/>
        <w:rPr>
          <w:u w:val="single"/>
        </w:rPr>
      </w:pPr>
      <w:r>
        <w:rPr>
          <w:u w:val="single"/>
        </w:rPr>
        <w:t>Right to freedom of movement:</w:t>
      </w:r>
    </w:p>
    <w:p w14:paraId="4F24A1F9" w14:textId="77777777" w:rsidR="001210D4" w:rsidRDefault="001210D4" w:rsidP="001210D4">
      <w:r>
        <w:t>Article 12(1) of the International Covenant on Civil and Political Rights (ICCPR) states:</w:t>
      </w:r>
    </w:p>
    <w:p w14:paraId="4B66B5C2" w14:textId="77777777" w:rsidR="001210D4" w:rsidRDefault="001210D4" w:rsidP="001210D4">
      <w:pPr>
        <w:rPr>
          <w:i/>
        </w:rPr>
      </w:pPr>
      <w:r>
        <w:rPr>
          <w:i/>
        </w:rPr>
        <w:t>Everyone lawfully within the territory of a State shall, within that territory, have the right to liberty of movement and freedom to choose his residence.</w:t>
      </w:r>
    </w:p>
    <w:p w14:paraId="43BAD872" w14:textId="10572C87" w:rsidR="001210D4" w:rsidRDefault="001210D4" w:rsidP="001210D4">
      <w:r>
        <w:lastRenderedPageBreak/>
        <w:t>The introduction of a third year visa option has been designed to leverage incentives for WHMs to work where there is a critical regional need and will directly benefit regional Australia through an additional 6 months of regional work</w:t>
      </w:r>
      <w:r w:rsidR="00C9096B">
        <w:t>.</w:t>
      </w:r>
    </w:p>
    <w:p w14:paraId="720E5737" w14:textId="2A83F769" w:rsidR="001210D4" w:rsidRDefault="001210D4" w:rsidP="001210D4">
      <w:r>
        <w:t>Australia’s international obligations mean that visa holders cannot be required to live or work in particular areas, but they may be encouraged to do so. As the third WHM visa initiative works as an incentive mechanism</w:t>
      </w:r>
      <w:r w:rsidR="009672DF">
        <w:t>,</w:t>
      </w:r>
      <w:r>
        <w:t xml:space="preserve"> and there is no obligation on visa holders to undertake specified work, there is nothing to preclude first time WHM visa holders working in any area or industry during their first year in Australia.  Similarly, for those who have acquired eligibility for a second or third year, by choosing to work in a regional area for the specified period in the first and second year, they too may then work anywhere they choose in their final year.</w:t>
      </w:r>
    </w:p>
    <w:p w14:paraId="2501174F" w14:textId="62AD55FB" w:rsidR="001210D4" w:rsidRDefault="001210D4" w:rsidP="001210D4">
      <w:pPr>
        <w:rPr>
          <w:u w:val="single"/>
        </w:rPr>
      </w:pPr>
      <w:r>
        <w:rPr>
          <w:u w:val="single"/>
        </w:rPr>
        <w:t>Right to work, rights at work and rights to equality and non-discrimination</w:t>
      </w:r>
    </w:p>
    <w:p w14:paraId="32375A34" w14:textId="20039D6D" w:rsidR="001210D4" w:rsidRDefault="001210D4" w:rsidP="001210D4">
      <w:pPr>
        <w:rPr>
          <w:bCs/>
          <w:highlight w:val="magenta"/>
        </w:rPr>
      </w:pPr>
      <w:r>
        <w:rPr>
          <w:bCs/>
        </w:rPr>
        <w:t>The amendment engages Article 6 of the International Covenant on Economic, Social and Cultural Rights (ICESCR), which states that:</w:t>
      </w:r>
    </w:p>
    <w:p w14:paraId="108C4C8B" w14:textId="77777777" w:rsidR="001210D4" w:rsidRDefault="001210D4" w:rsidP="001210D4">
      <w:pPr>
        <w:rPr>
          <w:bCs/>
          <w:i/>
        </w:rPr>
      </w:pPr>
      <w:r>
        <w:rPr>
          <w:bCs/>
          <w:i/>
        </w:rPr>
        <w:t>The States Parties to the present Covenant recognize the right to work, which includes the right of everyone to the opportunity to gain his living by work which he freely chooses or accepts, and will take appropriate steps to safeguard this right.</w:t>
      </w:r>
    </w:p>
    <w:p w14:paraId="4C4369C0" w14:textId="080E6E4F" w:rsidR="001210D4" w:rsidRDefault="001210D4" w:rsidP="001210D4">
      <w:pPr>
        <w:rPr>
          <w:rFonts w:eastAsiaTheme="minorHAnsi"/>
        </w:rPr>
      </w:pPr>
      <w:r>
        <w:t>This amendment also engages the rights of equality and non-discrimination, primarily Articles 2(1) and 26 of the International Covenant on Civil and Political Rights (ICCPR) and Article 2(2) of the ICESCR especially as it relates to the right to work and the conditions of work under the ICESCR.</w:t>
      </w:r>
    </w:p>
    <w:p w14:paraId="250672BE" w14:textId="77777777" w:rsidR="001210D4" w:rsidRDefault="001210D4" w:rsidP="001210D4">
      <w:r>
        <w:t>Article 2(1) of the ICCPR states that:</w:t>
      </w:r>
    </w:p>
    <w:p w14:paraId="036CABB5" w14:textId="77777777" w:rsidR="001210D4" w:rsidRDefault="001210D4" w:rsidP="001210D4">
      <w:pPr>
        <w:rPr>
          <w:i/>
        </w:rPr>
      </w:pPr>
      <w:r>
        <w:rPr>
          <w:i/>
        </w:rPr>
        <w:t>Each State Party to the present Covenant undertakes to respect and to ensure to all individuals within its territory and subject to its jurisdiction the rights recognized in the present Covenant, without distinction of any kind, such as race, colour, sex, language, religion, political or other opinion, national or social origin, property, birth or other status.</w:t>
      </w:r>
    </w:p>
    <w:p w14:paraId="628A466E" w14:textId="7390F7B1" w:rsidR="001210D4" w:rsidRDefault="001210D4" w:rsidP="001210D4">
      <w:r>
        <w:t>Article 26 of the ICCPR states that:</w:t>
      </w:r>
    </w:p>
    <w:p w14:paraId="6DBCD57B" w14:textId="77777777" w:rsidR="001210D4" w:rsidRDefault="001210D4" w:rsidP="001210D4">
      <w:pPr>
        <w:rPr>
          <w:i/>
        </w:rPr>
      </w:pPr>
      <w:r>
        <w:rPr>
          <w:i/>
        </w:rPr>
        <w:t>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p>
    <w:p w14:paraId="1B75402E" w14:textId="78F95503" w:rsidR="001210D4" w:rsidRDefault="001210D4" w:rsidP="001210D4">
      <w:r>
        <w:t>Article 2(2) of the ICESCR states:</w:t>
      </w:r>
    </w:p>
    <w:p w14:paraId="7C2BE632" w14:textId="77777777" w:rsidR="001210D4" w:rsidRDefault="001210D4" w:rsidP="001210D4">
      <w:pPr>
        <w:rPr>
          <w:i/>
        </w:rPr>
      </w:pPr>
      <w:r>
        <w:rPr>
          <w:i/>
        </w:rPr>
        <w:t>The States Parties to the present Covenant undertake to guarantee that the rights enunciated in the present Covenant will be exercised without discrimination of any kind as to race, colour, sex, language, religion, political or other opinion, national or social origin, property, birth or other status.</w:t>
      </w:r>
    </w:p>
    <w:p w14:paraId="7E43FB5B" w14:textId="2A7AFEF2" w:rsidR="001210D4" w:rsidRDefault="001210D4" w:rsidP="001210D4">
      <w:pPr>
        <w:rPr>
          <w:rFonts w:eastAsiaTheme="minorHAnsi"/>
        </w:rPr>
      </w:pPr>
      <w:r>
        <w:rPr>
          <w:rFonts w:eastAsia="Arial"/>
          <w:lang w:val="en-US"/>
        </w:rPr>
        <w:t xml:space="preserve">The primary purpose of the WHM program is to build people-to-people and cultural links between Australia and partner countries, and allow young adults to fund their extended holiday through short-term work. Reciprocity is a key feature of the WHM program, </w:t>
      </w:r>
      <w:r>
        <w:rPr>
          <w:rFonts w:eastAsia="Arial"/>
          <w:lang w:val="en-US"/>
        </w:rPr>
        <w:lastRenderedPageBreak/>
        <w:t>providing young Australians with the same opportunity to travel overseas and undertake incidental and short-term work.</w:t>
      </w:r>
      <w:r>
        <w:rPr>
          <w:lang w:val="en-US"/>
        </w:rPr>
        <w:t xml:space="preserve"> </w:t>
      </w:r>
    </w:p>
    <w:p w14:paraId="011B00B7" w14:textId="70A5F8EF" w:rsidR="001210D4" w:rsidRDefault="001210D4" w:rsidP="001210D4">
      <w:pPr>
        <w:rPr>
          <w:rFonts w:eastAsia="Arial"/>
          <w:lang w:val="en-US"/>
        </w:rPr>
      </w:pPr>
      <w:r>
        <w:rPr>
          <w:rFonts w:eastAsia="Arial"/>
          <w:lang w:val="en-US"/>
        </w:rPr>
        <w:t xml:space="preserve">Given that work is not the primary focus of the WHM program, the specified work and eligible regional areas for the purposes of the third WHM visa initiative have been designed to leverage incentives for WHMs to work where there is a critical regional need and in priority agriculture sectors. By restricting the type of work and regions that will be </w:t>
      </w:r>
      <w:proofErr w:type="spellStart"/>
      <w:r>
        <w:rPr>
          <w:rFonts w:eastAsia="Arial"/>
          <w:lang w:val="en-US"/>
        </w:rPr>
        <w:t>recognised</w:t>
      </w:r>
      <w:proofErr w:type="spellEnd"/>
      <w:r>
        <w:rPr>
          <w:rFonts w:eastAsia="Arial"/>
          <w:lang w:val="en-US"/>
        </w:rPr>
        <w:t xml:space="preserve"> to meet eligibility for the third WHM visa if a working holiday maker wishes to avail themselves of that option, the Government aims to </w:t>
      </w:r>
      <w:proofErr w:type="spellStart"/>
      <w:r>
        <w:rPr>
          <w:rFonts w:eastAsia="Arial"/>
          <w:lang w:val="en-US"/>
        </w:rPr>
        <w:t>maximise</w:t>
      </w:r>
      <w:proofErr w:type="spellEnd"/>
      <w:r>
        <w:rPr>
          <w:rFonts w:eastAsia="Arial"/>
          <w:lang w:val="en-US"/>
        </w:rPr>
        <w:t xml:space="preserve"> the benefit felt by these regions, whilst also </w:t>
      </w:r>
      <w:proofErr w:type="spellStart"/>
      <w:r>
        <w:rPr>
          <w:rFonts w:eastAsia="Arial"/>
          <w:lang w:val="en-US"/>
        </w:rPr>
        <w:t>minimising</w:t>
      </w:r>
      <w:proofErr w:type="spellEnd"/>
      <w:r>
        <w:rPr>
          <w:rFonts w:eastAsia="Arial"/>
          <w:lang w:val="en-US"/>
        </w:rPr>
        <w:t xml:space="preserve"> the impact on local job opportunities for young Australians.</w:t>
      </w:r>
    </w:p>
    <w:p w14:paraId="78EF753D" w14:textId="77777777" w:rsidR="00C030AC" w:rsidRDefault="00C030AC" w:rsidP="001210D4">
      <w:pPr>
        <w:contextualSpacing/>
        <w:rPr>
          <w:rFonts w:eastAsia="Arial"/>
          <w:lang w:val="en-US"/>
        </w:rPr>
      </w:pPr>
    </w:p>
    <w:p w14:paraId="382D8739" w14:textId="70312BDD" w:rsidR="001210D4" w:rsidRDefault="001210D4" w:rsidP="001210D4">
      <w:pPr>
        <w:contextualSpacing/>
        <w:rPr>
          <w:bCs/>
        </w:rPr>
      </w:pPr>
      <w:r>
        <w:rPr>
          <w:rFonts w:eastAsia="Arial"/>
          <w:lang w:val="en-US"/>
        </w:rPr>
        <w:t xml:space="preserve">These limitations on the right to work </w:t>
      </w:r>
      <w:r>
        <w:rPr>
          <w:bCs/>
        </w:rPr>
        <w:t xml:space="preserve">are reasonable in the context of setting entry conditions for non-citizens and allowing extra visa time for working holiday makers who have chosen to work in regional areas </w:t>
      </w:r>
      <w:r w:rsidR="00AE6D9D">
        <w:rPr>
          <w:bCs/>
        </w:rPr>
        <w:t xml:space="preserve">and </w:t>
      </w:r>
      <w:r>
        <w:rPr>
          <w:bCs/>
        </w:rPr>
        <w:t>is a benefit that supports regional Australia, rather than impermissibly discriminating against those who choose not to take up regional opportunities.  The measures are also consistent with the rights of Australian citizens and permanent residents to work</w:t>
      </w:r>
      <w:r w:rsidR="009672DF">
        <w:rPr>
          <w:bCs/>
        </w:rPr>
        <w:t>,</w:t>
      </w:r>
      <w:r>
        <w:rPr>
          <w:bCs/>
        </w:rPr>
        <w:t xml:space="preserve"> and the employment of Australian job seekers will continue to be prioritised.</w:t>
      </w:r>
    </w:p>
    <w:p w14:paraId="29901EF4" w14:textId="4F0025AE" w:rsidR="001210D4" w:rsidRDefault="001210D4" w:rsidP="001210D4">
      <w:r>
        <w:t>Article 7 of ICESCR, states:</w:t>
      </w:r>
    </w:p>
    <w:p w14:paraId="19004505" w14:textId="77777777" w:rsidR="001210D4" w:rsidRDefault="001210D4" w:rsidP="001210D4">
      <w:pPr>
        <w:pStyle w:val="NormalWeb"/>
        <w:spacing w:before="120" w:after="0"/>
        <w:rPr>
          <w:i/>
          <w:color w:val="000000"/>
          <w:sz w:val="22"/>
          <w:szCs w:val="22"/>
        </w:rPr>
      </w:pPr>
      <w:r>
        <w:rPr>
          <w:i/>
          <w:color w:val="000000"/>
          <w:sz w:val="22"/>
          <w:szCs w:val="22"/>
        </w:rPr>
        <w:t>The States Parties to the present Covenant recognize the right of everyone to the enjoyment of just and favourable conditions of work, which ensure, in particular:</w:t>
      </w:r>
    </w:p>
    <w:p w14:paraId="3A648425" w14:textId="77777777" w:rsidR="001210D4" w:rsidRDefault="001210D4" w:rsidP="001210D4">
      <w:pPr>
        <w:pStyle w:val="NormalWeb"/>
        <w:spacing w:before="120" w:after="0"/>
        <w:rPr>
          <w:i/>
          <w:color w:val="000000"/>
          <w:sz w:val="22"/>
          <w:szCs w:val="22"/>
        </w:rPr>
      </w:pPr>
      <w:r>
        <w:rPr>
          <w:i/>
          <w:color w:val="000000"/>
          <w:sz w:val="22"/>
          <w:szCs w:val="22"/>
        </w:rPr>
        <w:t>(a) Remuneration which provides all workers, as a minimum, with:</w:t>
      </w:r>
    </w:p>
    <w:p w14:paraId="3D2E432D" w14:textId="77777777" w:rsidR="001210D4" w:rsidRDefault="001210D4" w:rsidP="001210D4">
      <w:pPr>
        <w:pStyle w:val="NormalWeb"/>
        <w:spacing w:before="120" w:after="0"/>
        <w:ind w:left="720"/>
        <w:rPr>
          <w:i/>
          <w:color w:val="000000"/>
          <w:sz w:val="22"/>
          <w:szCs w:val="22"/>
        </w:rPr>
      </w:pPr>
      <w:r>
        <w:rPr>
          <w:i/>
          <w:color w:val="000000"/>
          <w:sz w:val="22"/>
          <w:szCs w:val="22"/>
        </w:rPr>
        <w:t>(</w:t>
      </w:r>
      <w:proofErr w:type="spellStart"/>
      <w:r>
        <w:rPr>
          <w:i/>
          <w:color w:val="000000"/>
          <w:sz w:val="22"/>
          <w:szCs w:val="22"/>
        </w:rPr>
        <w:t>i</w:t>
      </w:r>
      <w:proofErr w:type="spellEnd"/>
      <w:r>
        <w:rPr>
          <w:i/>
          <w:color w:val="000000"/>
          <w:sz w:val="22"/>
          <w:szCs w:val="22"/>
        </w:rPr>
        <w:t>) Fair wages and equal remuneration for work of equal value without distinction of any kind, in particular women being guaranteed conditions of work not inferior to those enjoyed by men, with equal pay for equal work;</w:t>
      </w:r>
    </w:p>
    <w:p w14:paraId="32D3F6FB" w14:textId="77777777" w:rsidR="001210D4" w:rsidRDefault="001210D4" w:rsidP="001210D4">
      <w:pPr>
        <w:pStyle w:val="NormalWeb"/>
        <w:spacing w:before="120" w:after="0"/>
        <w:ind w:left="720"/>
        <w:rPr>
          <w:i/>
          <w:color w:val="000000"/>
          <w:sz w:val="22"/>
          <w:szCs w:val="22"/>
        </w:rPr>
      </w:pPr>
      <w:r>
        <w:rPr>
          <w:i/>
          <w:color w:val="000000"/>
          <w:sz w:val="22"/>
          <w:szCs w:val="22"/>
        </w:rPr>
        <w:t>(ii) A decent living for themselves and their families in accordance with the provisions of the present Covenant;</w:t>
      </w:r>
    </w:p>
    <w:p w14:paraId="08B6C8AA" w14:textId="77777777" w:rsidR="001210D4" w:rsidRDefault="001210D4" w:rsidP="001210D4">
      <w:pPr>
        <w:pStyle w:val="NormalWeb"/>
        <w:spacing w:before="120" w:after="0"/>
        <w:rPr>
          <w:i/>
          <w:color w:val="000000"/>
          <w:sz w:val="22"/>
          <w:szCs w:val="22"/>
        </w:rPr>
      </w:pPr>
      <w:r>
        <w:rPr>
          <w:i/>
          <w:color w:val="000000"/>
          <w:sz w:val="22"/>
          <w:szCs w:val="22"/>
        </w:rPr>
        <w:t>(b) Safe and healthy working conditions;</w:t>
      </w:r>
    </w:p>
    <w:p w14:paraId="673CCE30" w14:textId="77777777" w:rsidR="001210D4" w:rsidRDefault="001210D4" w:rsidP="001210D4">
      <w:pPr>
        <w:pStyle w:val="NormalWeb"/>
        <w:spacing w:before="120" w:after="0"/>
        <w:rPr>
          <w:i/>
          <w:color w:val="000000"/>
          <w:sz w:val="22"/>
          <w:szCs w:val="22"/>
        </w:rPr>
      </w:pPr>
      <w:r>
        <w:rPr>
          <w:i/>
          <w:color w:val="000000"/>
          <w:sz w:val="22"/>
          <w:szCs w:val="22"/>
        </w:rPr>
        <w:t>(c) Equal opportunity for everyone to be promoted in his employment to an appropriate higher level, subject to no considerations other than those of seniority and competence;</w:t>
      </w:r>
    </w:p>
    <w:p w14:paraId="22BEFCA1" w14:textId="77777777" w:rsidR="001210D4" w:rsidRDefault="001210D4" w:rsidP="001210D4">
      <w:pPr>
        <w:pStyle w:val="NormalWeb"/>
        <w:spacing w:before="120" w:after="0"/>
        <w:rPr>
          <w:i/>
          <w:color w:val="000000"/>
          <w:sz w:val="22"/>
          <w:szCs w:val="22"/>
        </w:rPr>
      </w:pPr>
      <w:r>
        <w:rPr>
          <w:i/>
          <w:color w:val="000000"/>
          <w:sz w:val="22"/>
          <w:szCs w:val="22"/>
        </w:rPr>
        <w:t>(d) Rest, leisure and reasonable limitation of working hours and periodic holidays with pay, as well as remuneration for public holidays.</w:t>
      </w:r>
    </w:p>
    <w:p w14:paraId="3B62D2B6" w14:textId="77857845" w:rsidR="001210D4" w:rsidRDefault="001210D4" w:rsidP="001210D4">
      <w:pPr>
        <w:spacing w:before="120" w:after="120"/>
        <w:rPr>
          <w:rFonts w:eastAsia="Arial"/>
          <w:lang w:val="en-US" w:eastAsia="en-US"/>
        </w:rPr>
      </w:pPr>
      <w:r>
        <w:rPr>
          <w:rFonts w:eastAsia="Arial"/>
          <w:lang w:val="en-US"/>
        </w:rPr>
        <w:t xml:space="preserve">The introduction of the third visa will be achieved through this amendment, with the WHM program (including visa conditions) remaining </w:t>
      </w:r>
      <w:r w:rsidR="00136827">
        <w:rPr>
          <w:rFonts w:eastAsia="Arial"/>
          <w:lang w:val="en-US"/>
        </w:rPr>
        <w:t xml:space="preserve">otherwise </w:t>
      </w:r>
      <w:r>
        <w:rPr>
          <w:rFonts w:eastAsia="Arial"/>
          <w:lang w:val="en-US"/>
        </w:rPr>
        <w:t xml:space="preserve">unchanged.  This includes the requirement that WHM visa holders must provide evidence of lawful remuneration for the required specified work, in accordance with the relevant Australian legislation and awards. </w:t>
      </w:r>
    </w:p>
    <w:p w14:paraId="593A73FF" w14:textId="77777777" w:rsidR="001210D4" w:rsidRDefault="001210D4" w:rsidP="001210D4">
      <w:pPr>
        <w:spacing w:before="120" w:after="120"/>
        <w:rPr>
          <w:rFonts w:eastAsia="Arial"/>
          <w:lang w:val="en-US"/>
        </w:rPr>
      </w:pPr>
      <w:r>
        <w:rPr>
          <w:rFonts w:eastAsia="Arial"/>
          <w:lang w:val="en-US"/>
        </w:rPr>
        <w:t xml:space="preserve">The Government takes issues of migrant worker exploitation very seriously and is committed to ensuring that working holiday makers are treated fairly while working in Australia.  </w:t>
      </w:r>
    </w:p>
    <w:p w14:paraId="3280DC59" w14:textId="77777777" w:rsidR="001210D4" w:rsidRDefault="001210D4" w:rsidP="001210D4">
      <w:pPr>
        <w:spacing w:before="120" w:after="120"/>
        <w:rPr>
          <w:rFonts w:eastAsia="Arial"/>
          <w:lang w:val="en-US"/>
        </w:rPr>
      </w:pPr>
      <w:r>
        <w:rPr>
          <w:rFonts w:eastAsia="Arial"/>
          <w:lang w:val="en-US"/>
        </w:rPr>
        <w:t xml:space="preserve">While the Government does not direct the recruitment practices of companies, these practices must satisfy Australian equal opportunity and non-discrimination laws.  Holders of temporary </w:t>
      </w:r>
      <w:r>
        <w:rPr>
          <w:rFonts w:eastAsia="Arial"/>
          <w:lang w:val="en-US"/>
        </w:rPr>
        <w:lastRenderedPageBreak/>
        <w:t>work visas are subject to the same workplace laws, entitlements, and protections as Australian citizens and permanent residents.  The Fair Work Ombudsman (FWO) enforces these protections and will also monitor the compliance of employers with Australian workplace law.</w:t>
      </w:r>
    </w:p>
    <w:p w14:paraId="14920C97" w14:textId="77777777" w:rsidR="001210D4" w:rsidRDefault="001210D4" w:rsidP="001210D4">
      <w:pPr>
        <w:spacing w:before="120" w:after="120"/>
        <w:rPr>
          <w:rFonts w:eastAsia="Arial"/>
          <w:lang w:val="en-US"/>
        </w:rPr>
      </w:pPr>
      <w:r>
        <w:rPr>
          <w:rFonts w:eastAsia="Arial"/>
          <w:lang w:val="en-US"/>
        </w:rPr>
        <w:t>The protection measures within the WHM program will continue to apply to WHM visa holders throughout their third year. Additional exploitation or discrimination concerns are not expected as this measure is only an extension on the period of time WHMs have access to the program.</w:t>
      </w:r>
    </w:p>
    <w:p w14:paraId="22F71E2A" w14:textId="77777777" w:rsidR="001210D4" w:rsidRPr="00C030AC" w:rsidRDefault="001210D4" w:rsidP="001210D4">
      <w:pPr>
        <w:pStyle w:val="Heading3"/>
        <w:rPr>
          <w:rFonts w:ascii="Times New Roman" w:eastAsia="Times New Roman" w:hAnsi="Times New Roman" w:cs="Times New Roman"/>
          <w:bCs w:val="0"/>
          <w:color w:val="auto"/>
          <w:szCs w:val="24"/>
        </w:rPr>
      </w:pPr>
      <w:r w:rsidRPr="00C030AC">
        <w:rPr>
          <w:rFonts w:ascii="Times New Roman" w:eastAsia="Times New Roman" w:hAnsi="Times New Roman" w:cs="Times New Roman"/>
          <w:bCs w:val="0"/>
          <w:color w:val="auto"/>
          <w:szCs w:val="24"/>
        </w:rPr>
        <w:t>Conclusion</w:t>
      </w:r>
    </w:p>
    <w:p w14:paraId="7D4CFE48" w14:textId="40C42896" w:rsidR="001210D4" w:rsidRDefault="001210D4" w:rsidP="001210D4">
      <w:pPr>
        <w:spacing w:before="120" w:after="120"/>
        <w:rPr>
          <w:sz w:val="22"/>
          <w:szCs w:val="22"/>
        </w:rPr>
      </w:pPr>
      <w:r>
        <w:t>The Disallowable Legislative Instrument is compatible with human rights because</w:t>
      </w:r>
      <w:r w:rsidR="00AE6D9D">
        <w:t xml:space="preserve">, </w:t>
      </w:r>
      <w:r>
        <w:t>to the extent it may limit human rights, those limitations are reasonable, necessary and proportionate.</w:t>
      </w:r>
    </w:p>
    <w:p w14:paraId="0DC405DF" w14:textId="77777777" w:rsidR="001210D4" w:rsidRDefault="001210D4" w:rsidP="001210D4">
      <w:pPr>
        <w:spacing w:before="120" w:after="120"/>
      </w:pPr>
    </w:p>
    <w:p w14:paraId="3421FD46" w14:textId="77777777" w:rsidR="001210D4" w:rsidRDefault="001210D4" w:rsidP="001210D4">
      <w:pPr>
        <w:spacing w:before="120" w:after="120"/>
        <w:jc w:val="center"/>
      </w:pPr>
      <w:r>
        <w:rPr>
          <w:b/>
        </w:rPr>
        <w:t>THE HON DAVID COLEMAN MP</w:t>
      </w:r>
      <w:r>
        <w:br/>
      </w:r>
      <w:r>
        <w:rPr>
          <w:b/>
        </w:rPr>
        <w:t>Minister for Immigration, Citizenship and Multicultural Affairs</w:t>
      </w:r>
    </w:p>
    <w:p w14:paraId="15E32F4E" w14:textId="77777777" w:rsidR="00645B27" w:rsidRDefault="00645B27" w:rsidP="00D26ADA">
      <w:pPr>
        <w:spacing w:before="0"/>
        <w:rPr>
          <w:b/>
          <w:szCs w:val="24"/>
          <w:u w:val="single"/>
        </w:rPr>
      </w:pPr>
      <w:r>
        <w:rPr>
          <w:b/>
          <w:szCs w:val="24"/>
          <w:u w:val="single"/>
        </w:rPr>
        <w:br w:type="page"/>
      </w:r>
    </w:p>
    <w:p w14:paraId="6FF73E93" w14:textId="633339DD" w:rsidR="00D95A70" w:rsidRDefault="00D95A70" w:rsidP="00D95A70">
      <w:pPr>
        <w:spacing w:before="0"/>
        <w:jc w:val="right"/>
        <w:rPr>
          <w:rFonts w:eastAsiaTheme="minorHAnsi"/>
          <w:b/>
          <w:szCs w:val="24"/>
          <w:u w:val="single"/>
          <w:lang w:eastAsia="en-US"/>
        </w:rPr>
      </w:pPr>
      <w:r w:rsidRPr="00FA7806">
        <w:rPr>
          <w:rFonts w:eastAsiaTheme="minorHAnsi"/>
          <w:b/>
          <w:szCs w:val="24"/>
          <w:u w:val="single"/>
          <w:lang w:eastAsia="en-US"/>
        </w:rPr>
        <w:lastRenderedPageBreak/>
        <w:t xml:space="preserve">ATTACHMENT </w:t>
      </w:r>
      <w:r>
        <w:rPr>
          <w:rFonts w:eastAsiaTheme="minorHAnsi"/>
          <w:b/>
          <w:szCs w:val="24"/>
          <w:u w:val="single"/>
          <w:lang w:eastAsia="en-US"/>
        </w:rPr>
        <w:t>C</w:t>
      </w:r>
    </w:p>
    <w:p w14:paraId="7B2872DA" w14:textId="77777777" w:rsidR="00D95A70" w:rsidRDefault="00D95A70" w:rsidP="00D95A70">
      <w:pPr>
        <w:spacing w:before="0"/>
        <w:jc w:val="right"/>
        <w:rPr>
          <w:rFonts w:eastAsiaTheme="minorHAnsi"/>
          <w:b/>
          <w:szCs w:val="24"/>
          <w:u w:val="single"/>
          <w:lang w:eastAsia="en-US"/>
        </w:rPr>
      </w:pPr>
    </w:p>
    <w:p w14:paraId="59CB134C" w14:textId="77777777" w:rsidR="00D95A70" w:rsidRDefault="00D95A70" w:rsidP="00D95A70">
      <w:pPr>
        <w:pStyle w:val="Default"/>
        <w:jc w:val="center"/>
        <w:rPr>
          <w:b/>
          <w:bCs/>
          <w:sz w:val="28"/>
        </w:rPr>
      </w:pPr>
      <w:r>
        <w:rPr>
          <w:b/>
          <w:bCs/>
          <w:sz w:val="28"/>
        </w:rPr>
        <w:t>Short Form Regulation Impact Statement</w:t>
      </w:r>
    </w:p>
    <w:p w14:paraId="5EB03F6C" w14:textId="77777777" w:rsidR="00D95A70" w:rsidRDefault="00D95A70" w:rsidP="00D95A70">
      <w:pPr>
        <w:pStyle w:val="Default"/>
      </w:pPr>
    </w:p>
    <w:p w14:paraId="2A7DF2E5" w14:textId="77777777" w:rsidR="00D95A70" w:rsidRDefault="00D95A70" w:rsidP="00D95A70">
      <w:pPr>
        <w:pStyle w:val="Default"/>
      </w:pPr>
      <w:r>
        <w:rPr>
          <w:b/>
        </w:rPr>
        <w:t>Name of department/agency:</w:t>
      </w:r>
      <w:r>
        <w:t xml:space="preserve"> The Department of Home Affairs </w:t>
      </w:r>
    </w:p>
    <w:p w14:paraId="3CDBFACE" w14:textId="77777777" w:rsidR="00D95A70" w:rsidRDefault="00D95A70" w:rsidP="00D95A70">
      <w:pPr>
        <w:pStyle w:val="Default"/>
        <w:rPr>
          <w:b/>
        </w:rPr>
      </w:pPr>
    </w:p>
    <w:p w14:paraId="5E3192D7" w14:textId="77777777" w:rsidR="00D95A70" w:rsidRDefault="00D95A70" w:rsidP="00D95A70">
      <w:pPr>
        <w:pStyle w:val="Default"/>
      </w:pPr>
      <w:r>
        <w:rPr>
          <w:b/>
        </w:rPr>
        <w:t>OBPR Reference number:</w:t>
      </w:r>
      <w:r>
        <w:t xml:space="preserve"> </w:t>
      </w:r>
    </w:p>
    <w:p w14:paraId="2EDB326D" w14:textId="77777777" w:rsidR="00D95A70" w:rsidRDefault="00D95A70" w:rsidP="00D95A70">
      <w:pPr>
        <w:pStyle w:val="Default"/>
        <w:rPr>
          <w:color w:val="000000" w:themeColor="text1"/>
        </w:rPr>
      </w:pPr>
      <w:r>
        <w:rPr>
          <w:i/>
          <w:color w:val="000000" w:themeColor="text1"/>
        </w:rPr>
        <w:t>Working Holiday Maker (WHM) Programme</w:t>
      </w:r>
      <w:r>
        <w:rPr>
          <w:color w:val="000000" w:themeColor="text1"/>
        </w:rPr>
        <w:t>: ID 24272</w:t>
      </w:r>
    </w:p>
    <w:p w14:paraId="2C2DD428" w14:textId="77777777" w:rsidR="00D95A70" w:rsidRDefault="00D95A70" w:rsidP="00D95A70">
      <w:pPr>
        <w:pStyle w:val="Default"/>
        <w:rPr>
          <w:b/>
        </w:rPr>
      </w:pPr>
    </w:p>
    <w:p w14:paraId="7530DFF7" w14:textId="77777777" w:rsidR="00D95A70" w:rsidRDefault="00D95A70" w:rsidP="00D95A70">
      <w:pPr>
        <w:pStyle w:val="Default"/>
      </w:pPr>
      <w:r>
        <w:rPr>
          <w:b/>
        </w:rPr>
        <w:t>Name of proposal:</w:t>
      </w:r>
      <w:r>
        <w:t xml:space="preserve"> Immediate measures to address regional workforce shortages  </w:t>
      </w:r>
    </w:p>
    <w:p w14:paraId="6F0CF3F9" w14:textId="77777777" w:rsidR="00D95A70" w:rsidRDefault="00D95A70" w:rsidP="00D95A70">
      <w:pPr>
        <w:pStyle w:val="Default"/>
      </w:pPr>
    </w:p>
    <w:p w14:paraId="5EF8915D" w14:textId="77777777" w:rsidR="00D95A70" w:rsidRDefault="00D95A70" w:rsidP="00D95A70">
      <w:pPr>
        <w:pStyle w:val="Default"/>
        <w:rPr>
          <w:b/>
        </w:rPr>
      </w:pPr>
      <w:r>
        <w:rPr>
          <w:b/>
        </w:rPr>
        <w:t xml:space="preserve">Summary of the proposed policy and any options considered: </w:t>
      </w:r>
    </w:p>
    <w:p w14:paraId="00ED8B02" w14:textId="77777777" w:rsidR="00D95A70" w:rsidRDefault="00D95A70" w:rsidP="00D95A70">
      <w:pPr>
        <w:pStyle w:val="Default"/>
        <w:rPr>
          <w:b/>
        </w:rPr>
      </w:pPr>
    </w:p>
    <w:p w14:paraId="33FA869F" w14:textId="77777777" w:rsidR="00D95A70" w:rsidRDefault="00D95A70" w:rsidP="00D95A70">
      <w:pPr>
        <w:pStyle w:val="Default"/>
      </w:pPr>
      <w:r>
        <w:t>To introduce immediate measures within the existing visa framework to provide assistance to regional industries with critical workforce shortages. As of 1 November 2018, the proposals will increase the numbers of foreign temporary workers in Australia, enable worker portability and expand the definition of priority regional areas for certain temporary visa holders.</w:t>
      </w:r>
    </w:p>
    <w:p w14:paraId="2D0B52C3" w14:textId="77777777" w:rsidR="00D95A70" w:rsidRPr="00FA7806" w:rsidRDefault="00D95A70" w:rsidP="00D95A70">
      <w:pPr>
        <w:pStyle w:val="Default"/>
        <w:rPr>
          <w:b/>
          <w:color w:val="auto"/>
          <w:u w:val="single"/>
        </w:rPr>
      </w:pPr>
    </w:p>
    <w:p w14:paraId="2672CF62" w14:textId="77777777" w:rsidR="00D95A70" w:rsidRDefault="00D95A70" w:rsidP="00D95A70">
      <w:pPr>
        <w:pStyle w:val="Default"/>
        <w:rPr>
          <w:b/>
          <w:bCs/>
          <w:color w:val="auto"/>
          <w:u w:val="single"/>
        </w:rPr>
      </w:pPr>
      <w:r>
        <w:rPr>
          <w:b/>
          <w:bCs/>
          <w:color w:val="auto"/>
          <w:u w:val="single"/>
        </w:rPr>
        <w:t>WHM Programme:</w:t>
      </w:r>
    </w:p>
    <w:p w14:paraId="1D8A97D7" w14:textId="006B8062" w:rsidR="00D95A70" w:rsidRDefault="00D95A70" w:rsidP="00D95A70">
      <w:pPr>
        <w:pStyle w:val="ListParagraph"/>
        <w:numPr>
          <w:ilvl w:val="0"/>
          <w:numId w:val="34"/>
        </w:numPr>
        <w:spacing w:before="0" w:after="200"/>
        <w:contextualSpacing/>
      </w:pPr>
      <w:r>
        <w:t xml:space="preserve">Instrument changes to </w:t>
      </w:r>
      <w:r w:rsidR="00921143">
        <w:t>expand</w:t>
      </w:r>
      <w:r w:rsidRPr="00D95A70">
        <w:t xml:space="preserve"> the postcodes listed for ‘specified </w:t>
      </w:r>
      <w:r>
        <w:t xml:space="preserve">subclass 462 work’ from northern Australia to targeted southern areas of Australia. </w:t>
      </w:r>
    </w:p>
    <w:p w14:paraId="68EFDBE5" w14:textId="77777777" w:rsidR="00D95A70" w:rsidRDefault="00D95A70" w:rsidP="00D95A70">
      <w:pPr>
        <w:pStyle w:val="ListParagraph"/>
        <w:numPr>
          <w:ilvl w:val="0"/>
          <w:numId w:val="34"/>
        </w:numPr>
        <w:spacing w:before="0" w:after="200"/>
        <w:contextualSpacing/>
      </w:pPr>
      <w:r>
        <w:t>Regulation changes to enable the introduction of a third year visa option for Working Holiday Makers (both subclasses 417 and 462), who from 1 July 2019 onwards complete six months of regional work in the second year.</w:t>
      </w:r>
    </w:p>
    <w:p w14:paraId="54D3DF02" w14:textId="77777777" w:rsidR="00D95A70" w:rsidRDefault="00D95A70" w:rsidP="00D95A70">
      <w:pPr>
        <w:pStyle w:val="ListParagraph"/>
        <w:numPr>
          <w:ilvl w:val="0"/>
          <w:numId w:val="34"/>
        </w:numPr>
        <w:spacing w:before="0" w:after="200"/>
        <w:contextualSpacing/>
        <w:rPr>
          <w:color w:val="000000"/>
        </w:rPr>
      </w:pPr>
      <w:r>
        <w:t xml:space="preserve">Policy changes to enable the </w:t>
      </w:r>
      <w:r>
        <w:rPr>
          <w:color w:val="000000"/>
        </w:rPr>
        <w:t>relaxation of the 6 month employer limitation to allow workers to remain with the same horticultural employer for up to 12 months</w:t>
      </w:r>
      <w:r>
        <w:rPr>
          <w:color w:val="1F497D"/>
        </w:rPr>
        <w:t>.</w:t>
      </w:r>
      <w:r>
        <w:rPr>
          <w:color w:val="000000"/>
        </w:rPr>
        <w:t xml:space="preserve"> </w:t>
      </w:r>
    </w:p>
    <w:p w14:paraId="5F1F26CB" w14:textId="600594E4" w:rsidR="00D95A70" w:rsidRDefault="00D95A70" w:rsidP="00D95A70">
      <w:pPr>
        <w:pStyle w:val="ListParagraph"/>
        <w:numPr>
          <w:ilvl w:val="0"/>
          <w:numId w:val="34"/>
        </w:numPr>
        <w:spacing w:before="0"/>
        <w:rPr>
          <w:color w:val="000000"/>
        </w:rPr>
      </w:pPr>
      <w:r>
        <w:t xml:space="preserve">Policy changes to </w:t>
      </w:r>
      <w:r>
        <w:rPr>
          <w:color w:val="000000"/>
        </w:rPr>
        <w:t>increase caps on select WHM partner countries to lift the total number of Work and Holiday makers entering Australia</w:t>
      </w:r>
      <w:proofErr w:type="gramStart"/>
      <w:r w:rsidR="0069389C">
        <w:rPr>
          <w:color w:val="000000"/>
        </w:rPr>
        <w:t>.</w:t>
      </w:r>
      <w:r>
        <w:rPr>
          <w:color w:val="000000"/>
        </w:rPr>
        <w:t>.</w:t>
      </w:r>
      <w:proofErr w:type="gramEnd"/>
    </w:p>
    <w:p w14:paraId="27E56BEC" w14:textId="03072CE4" w:rsidR="00D95A70" w:rsidRDefault="00D95A70" w:rsidP="00D95A70">
      <w:pPr>
        <w:pStyle w:val="Default"/>
        <w:rPr>
          <w:b/>
        </w:rPr>
      </w:pPr>
    </w:p>
    <w:p w14:paraId="276A0412" w14:textId="77777777" w:rsidR="00D95A70" w:rsidRDefault="00D95A70" w:rsidP="00D95A70">
      <w:pPr>
        <w:pStyle w:val="Default"/>
      </w:pPr>
      <w:r>
        <w:rPr>
          <w:b/>
        </w:rPr>
        <w:t>What are the regulatory impacts associated with this proposal?</w:t>
      </w:r>
      <w:r>
        <w:t xml:space="preserve">  </w:t>
      </w:r>
    </w:p>
    <w:p w14:paraId="292AE568" w14:textId="49992E7C" w:rsidR="00D95A70" w:rsidRDefault="00D95A70" w:rsidP="00D95A70">
      <w:pPr>
        <w:pStyle w:val="Default"/>
      </w:pPr>
      <w:proofErr w:type="gramStart"/>
      <w:r>
        <w:t>Th</w:t>
      </w:r>
      <w:r w:rsidR="008A08E1">
        <w:t>is</w:t>
      </w:r>
      <w:r>
        <w:t xml:space="preserve"> proposals</w:t>
      </w:r>
      <w:proofErr w:type="gramEnd"/>
      <w:r>
        <w:t xml:space="preserve"> will have Nil regulatory impacts.  </w:t>
      </w:r>
    </w:p>
    <w:p w14:paraId="6DAF8977" w14:textId="77777777" w:rsidR="00D95A70" w:rsidRDefault="00D95A70" w:rsidP="00D95A70">
      <w:pPr>
        <w:pStyle w:val="Default"/>
      </w:pPr>
    </w:p>
    <w:p w14:paraId="02398D66" w14:textId="77777777" w:rsidR="00D95A70" w:rsidRDefault="00D95A70" w:rsidP="00D95A70">
      <w:pPr>
        <w:pStyle w:val="Default"/>
      </w:pPr>
    </w:p>
    <w:p w14:paraId="74F23C92" w14:textId="77777777" w:rsidR="00D95A70" w:rsidRDefault="00D95A70" w:rsidP="00D95A70">
      <w:pPr>
        <w:pStyle w:val="Default"/>
        <w:rPr>
          <w:i/>
          <w:iCs/>
        </w:rPr>
      </w:pPr>
      <w:r>
        <w:rPr>
          <w:b/>
        </w:rPr>
        <w:t xml:space="preserve">What are the regulatory costs/savings associated with this proposal? </w:t>
      </w:r>
    </w:p>
    <w:p w14:paraId="7F9609E9" w14:textId="77777777" w:rsidR="00D95A70" w:rsidRDefault="00D95A70" w:rsidP="00D95A70">
      <w:pPr>
        <w:rPr>
          <w:szCs w:val="24"/>
        </w:rPr>
      </w:pPr>
      <w:r>
        <w:rPr>
          <w:szCs w:val="24"/>
        </w:rPr>
        <w:t xml:space="preserve">It is expected that the overall regulatory costs will be reduced through the proposals. </w:t>
      </w:r>
    </w:p>
    <w:p w14:paraId="114D527D" w14:textId="0E792813" w:rsidR="00D95A70" w:rsidRPr="00D95A70" w:rsidRDefault="00D95A70" w:rsidP="00D95A70">
      <w:pPr>
        <w:rPr>
          <w:szCs w:val="24"/>
        </w:rPr>
      </w:pPr>
      <w:r>
        <w:rPr>
          <w:szCs w:val="24"/>
        </w:rPr>
        <w:t>Changes to the WHM programme will provide visa holders with additional flexibility in how they spend their time in Australia, particularly if they wish to seek a</w:t>
      </w:r>
      <w:r w:rsidR="00C9096B">
        <w:rPr>
          <w:szCs w:val="24"/>
        </w:rPr>
        <w:t xml:space="preserve"> second or third</w:t>
      </w:r>
      <w:r>
        <w:rPr>
          <w:szCs w:val="24"/>
        </w:rPr>
        <w:t xml:space="preserve"> WHM visa. These changes will have no effect on the</w:t>
      </w:r>
      <w:r>
        <w:rPr>
          <w:rFonts w:ascii="Calibri" w:hAnsi="Calibri" w:cs="Calibri"/>
        </w:rPr>
        <w:t xml:space="preserve"> </w:t>
      </w:r>
      <w:r>
        <w:rPr>
          <w:szCs w:val="24"/>
        </w:rPr>
        <w:t>visa application or compliance of WHM visa holders. There will not be a change in processes</w:t>
      </w:r>
      <w:proofErr w:type="gramStart"/>
      <w:r w:rsidR="00430E46">
        <w:rPr>
          <w:szCs w:val="24"/>
        </w:rPr>
        <w:t>.</w:t>
      </w:r>
      <w:r>
        <w:rPr>
          <w:szCs w:val="24"/>
        </w:rPr>
        <w:t>.</w:t>
      </w:r>
      <w:proofErr w:type="gramEnd"/>
      <w:r>
        <w:rPr>
          <w:szCs w:val="24"/>
        </w:rPr>
        <w:t xml:space="preserve"> </w:t>
      </w:r>
    </w:p>
    <w:p w14:paraId="514A27E1" w14:textId="77777777" w:rsidR="00D95A70" w:rsidRDefault="00D95A70" w:rsidP="00D95A70">
      <w:pPr>
        <w:rPr>
          <w:bCs/>
          <w:szCs w:val="24"/>
        </w:rPr>
      </w:pPr>
      <w:r>
        <w:rPr>
          <w:bCs/>
          <w:szCs w:val="24"/>
        </w:rPr>
        <w:t>Relaxing the 6-month limitation would enable employers to have more stable access to labour and reduce how often they will need to recruit workers. While this provides benefits to business and reduces their overall costs, this does not reduce the regulatory costs to businesses.</w:t>
      </w:r>
    </w:p>
    <w:p w14:paraId="05F3D180" w14:textId="6A997D3C" w:rsidR="00D95A70" w:rsidRDefault="00D95A70" w:rsidP="00D95A70">
      <w:pPr>
        <w:spacing w:before="0"/>
        <w:rPr>
          <w:b/>
          <w:szCs w:val="24"/>
          <w:u w:val="single"/>
        </w:rPr>
      </w:pPr>
      <w:r>
        <w:rPr>
          <w:rFonts w:eastAsiaTheme="minorHAnsi"/>
          <w:szCs w:val="24"/>
          <w:lang w:eastAsia="en-US"/>
        </w:rPr>
        <w:br w:type="page"/>
      </w:r>
    </w:p>
    <w:p w14:paraId="49870478" w14:textId="77777777" w:rsidR="00D95A70" w:rsidRDefault="00D95A70" w:rsidP="00D26ADA">
      <w:pPr>
        <w:tabs>
          <w:tab w:val="left" w:pos="345"/>
        </w:tabs>
        <w:spacing w:before="0"/>
        <w:ind w:right="43"/>
        <w:jc w:val="right"/>
        <w:rPr>
          <w:b/>
          <w:szCs w:val="24"/>
          <w:u w:val="single"/>
        </w:rPr>
      </w:pPr>
    </w:p>
    <w:p w14:paraId="7922A701" w14:textId="77777777" w:rsidR="00D95A70" w:rsidRDefault="00D95A70" w:rsidP="00D26ADA">
      <w:pPr>
        <w:tabs>
          <w:tab w:val="left" w:pos="345"/>
        </w:tabs>
        <w:spacing w:before="0"/>
        <w:ind w:right="43"/>
        <w:jc w:val="right"/>
        <w:rPr>
          <w:b/>
          <w:szCs w:val="24"/>
          <w:u w:val="single"/>
        </w:rPr>
      </w:pPr>
    </w:p>
    <w:p w14:paraId="479A7FBA" w14:textId="1DA25DC4" w:rsidR="00781B14" w:rsidRPr="00B87B61" w:rsidRDefault="00781B14" w:rsidP="00D26ADA">
      <w:pPr>
        <w:tabs>
          <w:tab w:val="left" w:pos="345"/>
        </w:tabs>
        <w:spacing w:before="0"/>
        <w:ind w:right="43"/>
        <w:jc w:val="right"/>
        <w:rPr>
          <w:b/>
          <w:szCs w:val="24"/>
          <w:u w:val="single"/>
        </w:rPr>
      </w:pPr>
      <w:r w:rsidRPr="00B87B61">
        <w:rPr>
          <w:b/>
          <w:szCs w:val="24"/>
          <w:u w:val="single"/>
        </w:rPr>
        <w:t xml:space="preserve">ATTACHMENT </w:t>
      </w:r>
      <w:r w:rsidR="00D95A70">
        <w:rPr>
          <w:b/>
          <w:szCs w:val="24"/>
          <w:u w:val="single"/>
        </w:rPr>
        <w:t>D</w:t>
      </w:r>
    </w:p>
    <w:p w14:paraId="0D22EBD9" w14:textId="77777777" w:rsidR="00781B14" w:rsidRPr="00B87B61" w:rsidRDefault="00781B14" w:rsidP="00D26ADA">
      <w:pPr>
        <w:tabs>
          <w:tab w:val="left" w:pos="345"/>
        </w:tabs>
        <w:spacing w:before="0"/>
        <w:ind w:right="43"/>
        <w:jc w:val="right"/>
        <w:rPr>
          <w:b/>
          <w:szCs w:val="24"/>
          <w:u w:val="single"/>
        </w:rPr>
      </w:pPr>
    </w:p>
    <w:p w14:paraId="1E6254F9" w14:textId="77777777" w:rsidR="00D95A70" w:rsidRPr="000411A1" w:rsidRDefault="00D95A70" w:rsidP="00D95A70">
      <w:pPr>
        <w:pStyle w:val="Default"/>
        <w:rPr>
          <w:b/>
          <w:i/>
          <w:color w:val="auto"/>
          <w:u w:val="single"/>
        </w:rPr>
      </w:pPr>
      <w:r w:rsidRPr="000411A1">
        <w:rPr>
          <w:b/>
          <w:color w:val="auto"/>
          <w:u w:val="single"/>
        </w:rPr>
        <w:t xml:space="preserve">Details of the </w:t>
      </w:r>
      <w:r w:rsidRPr="000411A1">
        <w:rPr>
          <w:b/>
          <w:i/>
          <w:u w:val="single"/>
        </w:rPr>
        <w:t>Migration Amendment (Working Holiday Maker) Regulations 2019</w:t>
      </w:r>
    </w:p>
    <w:p w14:paraId="3D628BE8" w14:textId="77777777" w:rsidR="00D95A70" w:rsidRDefault="00D95A70" w:rsidP="00D95A70">
      <w:pPr>
        <w:spacing w:before="0"/>
        <w:ind w:right="91"/>
        <w:jc w:val="both"/>
        <w:rPr>
          <w:u w:val="single"/>
        </w:rPr>
      </w:pPr>
    </w:p>
    <w:p w14:paraId="089E06A5" w14:textId="77777777" w:rsidR="00D95A70" w:rsidRDefault="00D95A70" w:rsidP="00D95A70">
      <w:pPr>
        <w:spacing w:before="0"/>
        <w:ind w:right="91"/>
        <w:jc w:val="both"/>
      </w:pPr>
      <w:r>
        <w:rPr>
          <w:u w:val="single"/>
        </w:rPr>
        <w:t xml:space="preserve">Section 1 – Name </w:t>
      </w:r>
    </w:p>
    <w:p w14:paraId="3171A6BC" w14:textId="77777777" w:rsidR="00D95A70" w:rsidRDefault="00D95A70" w:rsidP="00D95A70">
      <w:pPr>
        <w:spacing w:before="0"/>
        <w:ind w:right="91"/>
        <w:jc w:val="both"/>
      </w:pPr>
    </w:p>
    <w:p w14:paraId="70163603" w14:textId="77777777" w:rsidR="00D95A70" w:rsidRPr="001C5042" w:rsidRDefault="00D95A70" w:rsidP="00D95A70">
      <w:pPr>
        <w:pStyle w:val="Default"/>
        <w:rPr>
          <w:color w:val="auto"/>
        </w:rPr>
      </w:pPr>
      <w:r>
        <w:rPr>
          <w:color w:val="auto"/>
        </w:rPr>
        <w:t xml:space="preserve">This section provides that the title of the Regulations is the </w:t>
      </w:r>
      <w:r w:rsidRPr="00391F5C">
        <w:rPr>
          <w:i/>
        </w:rPr>
        <w:t xml:space="preserve">Migration </w:t>
      </w:r>
      <w:r w:rsidRPr="001C5042">
        <w:rPr>
          <w:i/>
        </w:rPr>
        <w:t>Amendment (Working Holiday Maker) Regulations 2019</w:t>
      </w:r>
      <w:r w:rsidRPr="001C5042">
        <w:rPr>
          <w:color w:val="auto"/>
        </w:rPr>
        <w:t xml:space="preserve"> (the Regulations).</w:t>
      </w:r>
    </w:p>
    <w:p w14:paraId="1F230861" w14:textId="77777777" w:rsidR="00D95A70" w:rsidRPr="001C5042" w:rsidRDefault="00D95A70" w:rsidP="00D95A70">
      <w:pPr>
        <w:spacing w:before="0"/>
        <w:ind w:right="91"/>
        <w:jc w:val="both"/>
      </w:pPr>
    </w:p>
    <w:p w14:paraId="1E052B4F" w14:textId="77777777" w:rsidR="00D95A70" w:rsidRPr="001C5042" w:rsidRDefault="00D95A70" w:rsidP="00D95A70">
      <w:pPr>
        <w:spacing w:before="0"/>
        <w:ind w:right="91"/>
        <w:jc w:val="both"/>
        <w:rPr>
          <w:u w:val="single"/>
        </w:rPr>
      </w:pPr>
      <w:r w:rsidRPr="001C5042">
        <w:rPr>
          <w:u w:val="single"/>
        </w:rPr>
        <w:t>Section 2 – Commencement</w:t>
      </w:r>
    </w:p>
    <w:p w14:paraId="475B46C6" w14:textId="77777777" w:rsidR="00D95A70" w:rsidRPr="001C5042" w:rsidRDefault="00D95A70" w:rsidP="00D95A70">
      <w:pPr>
        <w:spacing w:before="0"/>
        <w:ind w:right="91"/>
        <w:jc w:val="both"/>
      </w:pPr>
    </w:p>
    <w:p w14:paraId="13B6E1F0" w14:textId="77777777" w:rsidR="00D95A70" w:rsidRPr="001C5042" w:rsidRDefault="00D95A70" w:rsidP="00D95A70">
      <w:pPr>
        <w:pStyle w:val="Default"/>
      </w:pPr>
      <w:r w:rsidRPr="001C5042">
        <w:t xml:space="preserve">Subsection 2(1) provides that each provision of the Regulations specified in column 1 of the table commences, or is taken to have commenced, in accordance with column 2 of the table. Any other statement in column 2 has effect according to its terms. </w:t>
      </w:r>
    </w:p>
    <w:p w14:paraId="6A067D04" w14:textId="77777777" w:rsidR="00D95A70" w:rsidRPr="001C5042" w:rsidRDefault="00D95A70" w:rsidP="00D95A70">
      <w:pPr>
        <w:pStyle w:val="Default"/>
      </w:pPr>
    </w:p>
    <w:p w14:paraId="15F6F193" w14:textId="77777777" w:rsidR="00D95A70" w:rsidRDefault="00D95A70" w:rsidP="00D95A70">
      <w:pPr>
        <w:pStyle w:val="Default"/>
      </w:pPr>
      <w:r w:rsidRPr="001C5042">
        <w:t>The table states that the whole of the instrument commences on 1 July 2019.</w:t>
      </w:r>
      <w:r>
        <w:t xml:space="preserve"> </w:t>
      </w:r>
    </w:p>
    <w:p w14:paraId="3D9E5631" w14:textId="77777777" w:rsidR="00D95A70" w:rsidRDefault="00D95A70" w:rsidP="00D95A70">
      <w:pPr>
        <w:pStyle w:val="Default"/>
      </w:pPr>
    </w:p>
    <w:p w14:paraId="7E5D5BB5" w14:textId="77777777" w:rsidR="00D95A70" w:rsidRDefault="00D95A70" w:rsidP="00D95A70">
      <w:pPr>
        <w:pStyle w:val="Default"/>
      </w:pPr>
      <w:r>
        <w:t>A note clarifies that this table relates only to the provisions of this instrument as originally made. It will not be amended to deal with any later amendments of this instrument.</w:t>
      </w:r>
    </w:p>
    <w:p w14:paraId="5E941AA6" w14:textId="77777777" w:rsidR="00D95A70" w:rsidRDefault="00D95A70" w:rsidP="00D95A70">
      <w:pPr>
        <w:pStyle w:val="Default"/>
      </w:pPr>
    </w:p>
    <w:p w14:paraId="72CF41B8" w14:textId="77777777" w:rsidR="00D95A70" w:rsidRDefault="00D95A70" w:rsidP="00D95A70">
      <w:pPr>
        <w:pStyle w:val="Default"/>
      </w:pPr>
      <w:r>
        <w:t>Subsection 2(2) provides that any information in column 3 of the table is not part of the Regulations. Information may be inserted in this column, or information in it may be edited, in any published version of this instrument. Column 3 of the table provides the date/details of the commencement date.</w:t>
      </w:r>
    </w:p>
    <w:p w14:paraId="141933DF" w14:textId="77777777" w:rsidR="00D95A70" w:rsidRDefault="00D95A70" w:rsidP="00D95A70">
      <w:pPr>
        <w:pStyle w:val="Default"/>
      </w:pPr>
    </w:p>
    <w:p w14:paraId="25E7A796" w14:textId="77777777" w:rsidR="00D95A70" w:rsidRDefault="00D95A70" w:rsidP="00D95A70">
      <w:pPr>
        <w:tabs>
          <w:tab w:val="left" w:pos="8364"/>
        </w:tabs>
        <w:spacing w:before="0"/>
        <w:ind w:right="84"/>
        <w:rPr>
          <w:szCs w:val="24"/>
        </w:rPr>
      </w:pPr>
      <w:r>
        <w:rPr>
          <w:szCs w:val="24"/>
        </w:rPr>
        <w:t>The purpose of this section is to provide for when the amendments made by the Regulations commence.</w:t>
      </w:r>
    </w:p>
    <w:p w14:paraId="4314FA76" w14:textId="77777777" w:rsidR="00D95A70" w:rsidRDefault="00D95A70" w:rsidP="00D95A70">
      <w:pPr>
        <w:tabs>
          <w:tab w:val="left" w:pos="8364"/>
        </w:tabs>
        <w:spacing w:before="0"/>
        <w:ind w:right="84"/>
        <w:rPr>
          <w:szCs w:val="24"/>
        </w:rPr>
      </w:pPr>
    </w:p>
    <w:p w14:paraId="16D959F6" w14:textId="77777777" w:rsidR="00D95A70" w:rsidRDefault="00D95A70" w:rsidP="00D95A70">
      <w:pPr>
        <w:spacing w:before="0"/>
        <w:ind w:right="91"/>
        <w:jc w:val="both"/>
      </w:pPr>
      <w:r>
        <w:rPr>
          <w:u w:val="single"/>
        </w:rPr>
        <w:t>Section 3 – Authority</w:t>
      </w:r>
    </w:p>
    <w:p w14:paraId="2B5CE4B8" w14:textId="77777777" w:rsidR="00D95A70" w:rsidRDefault="00D95A70" w:rsidP="00D95A70">
      <w:pPr>
        <w:spacing w:before="0"/>
        <w:ind w:right="91"/>
        <w:jc w:val="both"/>
      </w:pPr>
    </w:p>
    <w:p w14:paraId="25BF4315" w14:textId="77777777" w:rsidR="00D95A70" w:rsidRDefault="00D95A70" w:rsidP="00D95A70">
      <w:pPr>
        <w:spacing w:before="0"/>
        <w:ind w:right="91"/>
        <w:rPr>
          <w:rFonts w:eastAsia="Calibri"/>
          <w:szCs w:val="24"/>
          <w:lang w:eastAsia="en-US"/>
        </w:rPr>
      </w:pPr>
      <w:r>
        <w:rPr>
          <w:rFonts w:eastAsia="Calibri"/>
          <w:szCs w:val="24"/>
          <w:lang w:eastAsia="en-US"/>
        </w:rPr>
        <w:t xml:space="preserve">This section provides that the </w:t>
      </w:r>
      <w:r>
        <w:t>Regulations are</w:t>
      </w:r>
      <w:r>
        <w:rPr>
          <w:rFonts w:eastAsia="Calibri"/>
          <w:szCs w:val="24"/>
          <w:lang w:eastAsia="en-US"/>
        </w:rPr>
        <w:t xml:space="preserve"> made under the </w:t>
      </w:r>
      <w:r>
        <w:rPr>
          <w:rFonts w:eastAsia="Calibri"/>
          <w:i/>
          <w:szCs w:val="24"/>
          <w:lang w:eastAsia="en-US"/>
        </w:rPr>
        <w:t>Migration Act 1958</w:t>
      </w:r>
      <w:r>
        <w:rPr>
          <w:rFonts w:eastAsia="Calibri"/>
          <w:szCs w:val="24"/>
          <w:lang w:eastAsia="en-US"/>
        </w:rPr>
        <w:t xml:space="preserve"> (the Act). </w:t>
      </w:r>
    </w:p>
    <w:p w14:paraId="357D471C" w14:textId="77777777" w:rsidR="00D95A70" w:rsidRDefault="00D95A70" w:rsidP="00D95A70">
      <w:pPr>
        <w:spacing w:before="0"/>
        <w:ind w:right="91"/>
        <w:jc w:val="both"/>
        <w:rPr>
          <w:rFonts w:eastAsia="Calibri"/>
          <w:szCs w:val="24"/>
          <w:lang w:eastAsia="en-US"/>
        </w:rPr>
      </w:pPr>
    </w:p>
    <w:p w14:paraId="221DC5C8" w14:textId="77777777" w:rsidR="00D95A70" w:rsidRDefault="00D95A70" w:rsidP="00D95A70">
      <w:pPr>
        <w:spacing w:before="0"/>
        <w:ind w:right="91"/>
        <w:jc w:val="both"/>
        <w:rPr>
          <w:rFonts w:eastAsia="Calibri"/>
          <w:szCs w:val="24"/>
          <w:lang w:eastAsia="en-US"/>
        </w:rPr>
      </w:pPr>
      <w:r>
        <w:rPr>
          <w:rFonts w:eastAsia="Calibri"/>
          <w:szCs w:val="24"/>
          <w:lang w:eastAsia="en-US"/>
        </w:rPr>
        <w:t>The purpose of this section is to set out the Act under which the Regulations are made.</w:t>
      </w:r>
    </w:p>
    <w:p w14:paraId="6B393D81" w14:textId="77777777" w:rsidR="00D95A70" w:rsidRDefault="00D95A70" w:rsidP="00D95A70">
      <w:pPr>
        <w:spacing w:before="0"/>
        <w:ind w:right="91"/>
        <w:jc w:val="both"/>
        <w:rPr>
          <w:rFonts w:eastAsia="Calibri"/>
          <w:szCs w:val="24"/>
          <w:lang w:eastAsia="en-US"/>
        </w:rPr>
      </w:pPr>
    </w:p>
    <w:p w14:paraId="0DF97261" w14:textId="77777777" w:rsidR="00D95A70" w:rsidRDefault="00D95A70" w:rsidP="00D95A70">
      <w:pPr>
        <w:pStyle w:val="EMHeading"/>
        <w:keepNext w:val="0"/>
        <w:spacing w:after="0"/>
        <w:ind w:right="91"/>
        <w:jc w:val="both"/>
      </w:pPr>
      <w:r>
        <w:t>Section 4 – Schedule(s)</w:t>
      </w:r>
    </w:p>
    <w:p w14:paraId="35A5B819" w14:textId="77777777" w:rsidR="00D95A70" w:rsidRDefault="00D95A70" w:rsidP="00D95A70">
      <w:pPr>
        <w:spacing w:before="0"/>
        <w:ind w:right="91"/>
        <w:jc w:val="both"/>
      </w:pPr>
    </w:p>
    <w:p w14:paraId="31946E26" w14:textId="77777777" w:rsidR="00D95A70" w:rsidRDefault="00D95A70" w:rsidP="00D95A70">
      <w:pPr>
        <w:spacing w:before="0"/>
        <w:ind w:right="91"/>
        <w:jc w:val="both"/>
        <w:rPr>
          <w:rFonts w:eastAsia="Calibri"/>
          <w:szCs w:val="24"/>
          <w:lang w:eastAsia="en-US"/>
        </w:rPr>
      </w:pPr>
      <w:r>
        <w:t xml:space="preserve">This section provides that each instrument </w:t>
      </w:r>
      <w:r>
        <w:rPr>
          <w:rFonts w:eastAsia="Calibri"/>
          <w:szCs w:val="24"/>
          <w:lang w:eastAsia="en-US"/>
        </w:rPr>
        <w:t>that is specified in a Schedule to this instrument is amended or repealed as set out in the applicable items in the Schedule concerned, and any other item in a Schedule to this instrument has effect according to its terms.</w:t>
      </w:r>
    </w:p>
    <w:p w14:paraId="26528431" w14:textId="77777777" w:rsidR="00D95A70" w:rsidRDefault="00D95A70" w:rsidP="00D95A70">
      <w:pPr>
        <w:spacing w:before="0"/>
        <w:ind w:right="91"/>
        <w:jc w:val="both"/>
      </w:pPr>
    </w:p>
    <w:p w14:paraId="46A62437" w14:textId="77777777" w:rsidR="00D95A70" w:rsidRDefault="00D95A70" w:rsidP="00D95A70">
      <w:pPr>
        <w:spacing w:before="0"/>
        <w:ind w:right="91"/>
        <w:jc w:val="both"/>
        <w:rPr>
          <w:rFonts w:eastAsia="Calibri"/>
          <w:szCs w:val="24"/>
          <w:lang w:eastAsia="en-US"/>
        </w:rPr>
      </w:pPr>
      <w:r>
        <w:t xml:space="preserve">The effect of this section is that the </w:t>
      </w:r>
      <w:r>
        <w:rPr>
          <w:szCs w:val="24"/>
        </w:rPr>
        <w:t xml:space="preserve">Act is </w:t>
      </w:r>
      <w:r>
        <w:rPr>
          <w:rFonts w:eastAsia="Calibri"/>
          <w:szCs w:val="24"/>
          <w:lang w:eastAsia="en-US"/>
        </w:rPr>
        <w:t>amended as set out in the applicable items in the Schedules to the Regulation.</w:t>
      </w:r>
    </w:p>
    <w:p w14:paraId="6EC838B4" w14:textId="77777777" w:rsidR="00D95A70" w:rsidRDefault="00D95A70" w:rsidP="00D95A70">
      <w:pPr>
        <w:spacing w:before="0"/>
        <w:ind w:right="91"/>
        <w:jc w:val="both"/>
        <w:rPr>
          <w:rFonts w:eastAsia="Calibri"/>
          <w:szCs w:val="24"/>
          <w:lang w:eastAsia="en-US"/>
        </w:rPr>
      </w:pPr>
    </w:p>
    <w:p w14:paraId="123452B8" w14:textId="77777777" w:rsidR="00D95A70" w:rsidRDefault="00D95A70" w:rsidP="00D95A70">
      <w:pPr>
        <w:widowControl w:val="0"/>
        <w:spacing w:before="0"/>
        <w:rPr>
          <w:rFonts w:eastAsia="Calibri"/>
          <w:szCs w:val="24"/>
          <w:lang w:eastAsia="en-US"/>
        </w:rPr>
      </w:pPr>
      <w:r>
        <w:rPr>
          <w:rFonts w:eastAsia="Calibri"/>
          <w:szCs w:val="24"/>
          <w:lang w:eastAsia="en-US"/>
        </w:rPr>
        <w:t>The purpose of this section is to provide for how the amendments in these Regulations operate.</w:t>
      </w:r>
    </w:p>
    <w:p w14:paraId="7C562419" w14:textId="77777777" w:rsidR="00D95A70" w:rsidRDefault="00D95A70" w:rsidP="00D95A70">
      <w:pPr>
        <w:widowControl w:val="0"/>
        <w:spacing w:before="0"/>
        <w:rPr>
          <w:rFonts w:eastAsia="Calibri"/>
          <w:szCs w:val="24"/>
          <w:lang w:eastAsia="en-US"/>
        </w:rPr>
      </w:pPr>
    </w:p>
    <w:p w14:paraId="0FB3C952" w14:textId="77777777" w:rsidR="00D95A70" w:rsidRDefault="00D95A70" w:rsidP="00D95A70">
      <w:pPr>
        <w:widowControl w:val="0"/>
        <w:spacing w:before="0"/>
        <w:rPr>
          <w:rFonts w:eastAsia="Calibri"/>
          <w:szCs w:val="24"/>
          <w:lang w:eastAsia="en-US"/>
        </w:rPr>
      </w:pPr>
    </w:p>
    <w:p w14:paraId="7F3F1A8A" w14:textId="77777777" w:rsidR="00D95A70" w:rsidRDefault="00D95A70" w:rsidP="00D95A70">
      <w:pPr>
        <w:widowControl w:val="0"/>
        <w:spacing w:before="0"/>
        <w:rPr>
          <w:rFonts w:eastAsia="Calibri"/>
          <w:szCs w:val="24"/>
          <w:lang w:eastAsia="en-US"/>
        </w:rPr>
      </w:pPr>
    </w:p>
    <w:p w14:paraId="32EA1279" w14:textId="77777777" w:rsidR="00D95A70" w:rsidRDefault="00D95A70" w:rsidP="00D95A70">
      <w:pPr>
        <w:widowControl w:val="0"/>
        <w:spacing w:before="0"/>
        <w:rPr>
          <w:rFonts w:eastAsiaTheme="minorHAnsi"/>
          <w:b/>
          <w:szCs w:val="24"/>
          <w:u w:val="single"/>
          <w:lang w:eastAsia="en-US"/>
        </w:rPr>
      </w:pPr>
      <w:r>
        <w:rPr>
          <w:rFonts w:eastAsiaTheme="minorHAnsi"/>
          <w:b/>
          <w:szCs w:val="24"/>
          <w:u w:val="single"/>
          <w:lang w:eastAsia="en-US"/>
        </w:rPr>
        <w:lastRenderedPageBreak/>
        <w:t>Schedule 1 – Amendments</w:t>
      </w:r>
    </w:p>
    <w:p w14:paraId="58D38CFD" w14:textId="77777777" w:rsidR="00D95A70" w:rsidRDefault="00D95A70" w:rsidP="00D95A70">
      <w:pPr>
        <w:spacing w:before="0" w:line="259" w:lineRule="auto"/>
      </w:pPr>
    </w:p>
    <w:p w14:paraId="46D4A85E" w14:textId="77777777" w:rsidR="00D95A70" w:rsidRDefault="00D95A70" w:rsidP="00D95A70">
      <w:pPr>
        <w:spacing w:before="0" w:line="259" w:lineRule="auto"/>
      </w:pPr>
      <w:r>
        <w:t xml:space="preserve">The purpose of the Regulations is to increase the maximum number of ‘working holiday maker’ visas that a person may hold in Australia from two to three if they complete 6 months specified work while the holder of a second working holiday maker visa or a bridging visa that is in effect and was granted on the basis that they have applied for a second working holiday maker visa.  </w:t>
      </w:r>
    </w:p>
    <w:p w14:paraId="674BEB8C" w14:textId="77777777" w:rsidR="00D95A70" w:rsidRPr="00BA01B4" w:rsidRDefault="00D95A70" w:rsidP="00D95A70">
      <w:pPr>
        <w:rPr>
          <w:b/>
          <w:szCs w:val="24"/>
          <w:u w:val="single"/>
        </w:rPr>
      </w:pPr>
      <w:r w:rsidRPr="00BA01B4">
        <w:rPr>
          <w:b/>
          <w:szCs w:val="24"/>
          <w:u w:val="single"/>
        </w:rPr>
        <w:t xml:space="preserve">Item </w:t>
      </w:r>
      <w:proofErr w:type="gramStart"/>
      <w:r w:rsidRPr="00BA01B4">
        <w:rPr>
          <w:b/>
          <w:szCs w:val="24"/>
          <w:u w:val="single"/>
        </w:rPr>
        <w:t>1  -</w:t>
      </w:r>
      <w:proofErr w:type="gramEnd"/>
      <w:r w:rsidRPr="00BA01B4">
        <w:rPr>
          <w:b/>
          <w:szCs w:val="24"/>
          <w:u w:val="single"/>
        </w:rPr>
        <w:t xml:space="preserve"> Subparagraph 1224A(3)(c)(ii) of Schedule 1</w:t>
      </w:r>
    </w:p>
    <w:p w14:paraId="66984C0C" w14:textId="77777777" w:rsidR="00D95A70" w:rsidRPr="00BA01B4" w:rsidRDefault="00D95A70" w:rsidP="00D95A70">
      <w:pPr>
        <w:rPr>
          <w:szCs w:val="24"/>
        </w:rPr>
      </w:pPr>
      <w:r w:rsidRPr="00BA01B4">
        <w:rPr>
          <w:szCs w:val="24"/>
        </w:rPr>
        <w:t xml:space="preserve">This item </w:t>
      </w:r>
      <w:r>
        <w:rPr>
          <w:szCs w:val="24"/>
        </w:rPr>
        <w:t xml:space="preserve">makes a consequential amendment to </w:t>
      </w:r>
      <w:r w:rsidRPr="00BA01B4">
        <w:rPr>
          <w:szCs w:val="24"/>
        </w:rPr>
        <w:t xml:space="preserve">ensure that the requirement to declare that the applicant has carried out at least 3 months specified Subclass 462 work in order to make a valid application only applies to applicants who are applying for their second Subclass 462 visa. </w:t>
      </w:r>
    </w:p>
    <w:p w14:paraId="7BAA61AA" w14:textId="77777777" w:rsidR="00D95A70" w:rsidRPr="00BA01B4" w:rsidRDefault="00D95A70" w:rsidP="00D95A70">
      <w:pPr>
        <w:rPr>
          <w:szCs w:val="24"/>
        </w:rPr>
      </w:pPr>
      <w:r w:rsidRPr="00BA01B4">
        <w:rPr>
          <w:szCs w:val="24"/>
        </w:rPr>
        <w:t>This is consequential to changes that allow a person to apply for and be granted a third Subclass 462 visa if they complete additional required work.</w:t>
      </w:r>
    </w:p>
    <w:p w14:paraId="5271B9E2" w14:textId="77777777" w:rsidR="00D95A70" w:rsidRPr="00BA01B4" w:rsidRDefault="00D95A70" w:rsidP="00D95A70">
      <w:pPr>
        <w:rPr>
          <w:b/>
          <w:szCs w:val="24"/>
          <w:u w:val="single"/>
        </w:rPr>
      </w:pPr>
      <w:r w:rsidRPr="00BA01B4">
        <w:rPr>
          <w:b/>
          <w:szCs w:val="24"/>
          <w:u w:val="single"/>
        </w:rPr>
        <w:t xml:space="preserve">Item 2 - Subparagraph </w:t>
      </w:r>
      <w:proofErr w:type="gramStart"/>
      <w:r w:rsidRPr="00BA01B4">
        <w:rPr>
          <w:b/>
          <w:szCs w:val="24"/>
          <w:u w:val="single"/>
        </w:rPr>
        <w:t>1224A(</w:t>
      </w:r>
      <w:proofErr w:type="gramEnd"/>
      <w:r w:rsidRPr="00BA01B4">
        <w:rPr>
          <w:b/>
          <w:szCs w:val="24"/>
          <w:u w:val="single"/>
        </w:rPr>
        <w:t>3)(c)(iii) of Schedule 1</w:t>
      </w:r>
    </w:p>
    <w:p w14:paraId="6FF4E824" w14:textId="77777777" w:rsidR="00D95A70" w:rsidRPr="00BA01B4" w:rsidRDefault="00D95A70" w:rsidP="00D95A70">
      <w:pPr>
        <w:rPr>
          <w:szCs w:val="24"/>
        </w:rPr>
      </w:pPr>
      <w:proofErr w:type="gramStart"/>
      <w:r>
        <w:rPr>
          <w:szCs w:val="24"/>
        </w:rPr>
        <w:t>New subparagraph 1224A(3)(c)(</w:t>
      </w:r>
      <w:proofErr w:type="spellStart"/>
      <w:r>
        <w:rPr>
          <w:szCs w:val="24"/>
        </w:rPr>
        <w:t>iia</w:t>
      </w:r>
      <w:proofErr w:type="spellEnd"/>
      <w:r w:rsidRPr="00BA01B4">
        <w:rPr>
          <w:szCs w:val="24"/>
        </w:rPr>
        <w:t>) inserts a new requirement that persons who have held two Subclass 462 visas in Australia (including any currently held) and who are applying for their third Subclass 462 visa must provide a declaration that they have carried out specified Subclass 462 work for a total period of at least 6 months in order to make a valid application for their third Subclass 462 visa.</w:t>
      </w:r>
      <w:proofErr w:type="gramEnd"/>
      <w:r w:rsidRPr="00BA01B4">
        <w:rPr>
          <w:szCs w:val="24"/>
        </w:rPr>
        <w:t xml:space="preserve">  </w:t>
      </w:r>
    </w:p>
    <w:p w14:paraId="217AB380" w14:textId="77777777" w:rsidR="00D95A70" w:rsidRPr="00BA01B4" w:rsidRDefault="00D95A70" w:rsidP="00D95A70">
      <w:pPr>
        <w:rPr>
          <w:szCs w:val="24"/>
        </w:rPr>
      </w:pPr>
      <w:r w:rsidRPr="00BA01B4">
        <w:rPr>
          <w:szCs w:val="24"/>
        </w:rPr>
        <w:t>The work must have been carried out either while holding their second Subclass 462 visa or while holding a bridging visa</w:t>
      </w:r>
      <w:r>
        <w:rPr>
          <w:szCs w:val="24"/>
        </w:rPr>
        <w:t xml:space="preserve"> that was in effect and </w:t>
      </w:r>
      <w:r>
        <w:t xml:space="preserve">was granted on the basis that they applied for a second </w:t>
      </w:r>
      <w:r w:rsidRPr="00BA01B4">
        <w:rPr>
          <w:szCs w:val="24"/>
        </w:rPr>
        <w:t xml:space="preserve">Subclass 462 visa. </w:t>
      </w:r>
    </w:p>
    <w:p w14:paraId="7B450A3E" w14:textId="77777777" w:rsidR="00D95A70" w:rsidRPr="00311A86" w:rsidRDefault="00D95A70" w:rsidP="00D95A70">
      <w:pPr>
        <w:rPr>
          <w:szCs w:val="24"/>
        </w:rPr>
      </w:pPr>
      <w:r w:rsidRPr="00BA01B4">
        <w:rPr>
          <w:szCs w:val="24"/>
        </w:rPr>
        <w:t xml:space="preserve">The reason for permitting the work to be carried out while on a bridging visa waiting for the grant of the second Subclass 462 visa (as well as while actually holding the second visa) is because the time spent on a bridging visa waiting for the grant of the second visa is in effect ‘deducted’ from the length of the second visa (see clause 462.513).  Therefore, it is intended that work done during this time may be counted.   However, it is not intended that work carried out while holding the first Subclass 462 visa can be counted, hence the work can only be counted while </w:t>
      </w:r>
      <w:r>
        <w:rPr>
          <w:szCs w:val="24"/>
        </w:rPr>
        <w:t>the person holds</w:t>
      </w:r>
      <w:r w:rsidRPr="00BA01B4">
        <w:rPr>
          <w:szCs w:val="24"/>
        </w:rPr>
        <w:t xml:space="preserve"> the relevant bridging visa</w:t>
      </w:r>
      <w:r>
        <w:rPr>
          <w:szCs w:val="24"/>
        </w:rPr>
        <w:t xml:space="preserve"> in effect</w:t>
      </w:r>
      <w:r w:rsidRPr="00BA01B4">
        <w:rPr>
          <w:szCs w:val="24"/>
        </w:rPr>
        <w:t xml:space="preserve"> (</w:t>
      </w:r>
      <w:r w:rsidRPr="00311A86">
        <w:rPr>
          <w:szCs w:val="24"/>
        </w:rPr>
        <w:t xml:space="preserve">after the first Subclass 462 visa has ceased) or while holding the second Subclass 462 visa.  </w:t>
      </w:r>
      <w:r>
        <w:rPr>
          <w:szCs w:val="24"/>
        </w:rPr>
        <w:t>This</w:t>
      </w:r>
      <w:r w:rsidRPr="00311A86">
        <w:rPr>
          <w:szCs w:val="24"/>
        </w:rPr>
        <w:t xml:space="preserve"> is intended to increase the benefits to regional Australia by encouraging working holiday makers to spend time in regional Australia throughout the span of their visas. </w:t>
      </w:r>
    </w:p>
    <w:p w14:paraId="22A6D713" w14:textId="77777777" w:rsidR="00D95A70" w:rsidRPr="00311A86" w:rsidRDefault="00D95A70" w:rsidP="00D95A70">
      <w:pPr>
        <w:rPr>
          <w:szCs w:val="24"/>
        </w:rPr>
      </w:pPr>
      <w:r w:rsidRPr="00311A86">
        <w:rPr>
          <w:szCs w:val="24"/>
        </w:rPr>
        <w:t xml:space="preserve">A further requirement is that all of the work must be carried out on or after 1 July 2019.  This ensures that the changes are in place and have commenced before working holiday makers undertake the additional required work. </w:t>
      </w:r>
    </w:p>
    <w:p w14:paraId="7595B2C4" w14:textId="77777777" w:rsidR="00D95A70" w:rsidRPr="00BA01B4" w:rsidRDefault="00D95A70" w:rsidP="00D95A70">
      <w:pPr>
        <w:rPr>
          <w:szCs w:val="24"/>
        </w:rPr>
      </w:pPr>
      <w:r w:rsidRPr="00311A86">
        <w:rPr>
          <w:szCs w:val="24"/>
        </w:rPr>
        <w:t>If a person was granted a Subclass 462 visa outside Australia and</w:t>
      </w:r>
      <w:r w:rsidRPr="00BA01B4">
        <w:rPr>
          <w:szCs w:val="24"/>
        </w:rPr>
        <w:t xml:space="preserve"> never travelled to Australia on that visa, then that visa is not counted as one of the previous two visas.  The requirement </w:t>
      </w:r>
      <w:r>
        <w:rPr>
          <w:szCs w:val="24"/>
        </w:rPr>
        <w:t xml:space="preserve">only </w:t>
      </w:r>
      <w:r w:rsidRPr="00BA01B4">
        <w:rPr>
          <w:szCs w:val="24"/>
        </w:rPr>
        <w:t xml:space="preserve">applies if the person held two Subclass 462 visas </w:t>
      </w:r>
      <w:r w:rsidRPr="00BA01B4">
        <w:rPr>
          <w:i/>
          <w:szCs w:val="24"/>
        </w:rPr>
        <w:t xml:space="preserve">in Australia </w:t>
      </w:r>
      <w:r w:rsidRPr="00BA01B4">
        <w:rPr>
          <w:szCs w:val="24"/>
        </w:rPr>
        <w:t xml:space="preserve">and is applying for a third Subclass 462 visa. </w:t>
      </w:r>
    </w:p>
    <w:p w14:paraId="0AF7F242" w14:textId="77777777" w:rsidR="00D95A70" w:rsidRPr="00BA01B4" w:rsidRDefault="00D95A70" w:rsidP="00D95A70">
      <w:pPr>
        <w:rPr>
          <w:szCs w:val="24"/>
        </w:rPr>
      </w:pPr>
      <w:r w:rsidRPr="00BA01B4">
        <w:rPr>
          <w:szCs w:val="24"/>
        </w:rPr>
        <w:lastRenderedPageBreak/>
        <w:t xml:space="preserve">The effect of amended subparagraph </w:t>
      </w:r>
      <w:proofErr w:type="gramStart"/>
      <w:r w:rsidRPr="00BA01B4">
        <w:rPr>
          <w:szCs w:val="24"/>
        </w:rPr>
        <w:t>1224A(</w:t>
      </w:r>
      <w:proofErr w:type="gramEnd"/>
      <w:r w:rsidRPr="00BA01B4">
        <w:rPr>
          <w:szCs w:val="24"/>
        </w:rPr>
        <w:t xml:space="preserve">3)(c)(iii) is to increase the maximum number of Subclass 462 visas that can be held in Australia from two to three. </w:t>
      </w:r>
    </w:p>
    <w:p w14:paraId="65157490" w14:textId="77777777" w:rsidR="00D95A70" w:rsidRPr="00BA01B4" w:rsidRDefault="00D95A70" w:rsidP="00D95A70">
      <w:pPr>
        <w:rPr>
          <w:szCs w:val="24"/>
        </w:rPr>
      </w:pPr>
      <w:r w:rsidRPr="00BA01B4">
        <w:rPr>
          <w:szCs w:val="24"/>
        </w:rPr>
        <w:t xml:space="preserve">Previously, a person could only apply for another Subclass 462 visa if they had only held </w:t>
      </w:r>
      <w:r w:rsidRPr="00BA01B4">
        <w:rPr>
          <w:i/>
          <w:szCs w:val="24"/>
        </w:rPr>
        <w:t>one</w:t>
      </w:r>
      <w:r w:rsidRPr="00BA01B4">
        <w:rPr>
          <w:szCs w:val="24"/>
        </w:rPr>
        <w:t xml:space="preserve"> Subclass 462 visa in Australia (including any held at the time of application), with the effect that a person could hold a maximum of two Subclass 462 visas in Australia. </w:t>
      </w:r>
    </w:p>
    <w:p w14:paraId="0325A710" w14:textId="77777777" w:rsidR="00D95A70" w:rsidRPr="00BA01B4" w:rsidRDefault="00D95A70" w:rsidP="00D95A70">
      <w:pPr>
        <w:rPr>
          <w:szCs w:val="24"/>
        </w:rPr>
      </w:pPr>
      <w:r w:rsidRPr="00BA01B4">
        <w:rPr>
          <w:szCs w:val="24"/>
        </w:rPr>
        <w:t xml:space="preserve">The provision now ensures that a person can only apply for another Subclass 462 visa if they have only held </w:t>
      </w:r>
      <w:r w:rsidRPr="00BA01B4">
        <w:rPr>
          <w:i/>
          <w:szCs w:val="24"/>
        </w:rPr>
        <w:t>two</w:t>
      </w:r>
      <w:r w:rsidRPr="00BA01B4">
        <w:rPr>
          <w:szCs w:val="24"/>
        </w:rPr>
        <w:t xml:space="preserve"> Subclass 462 visas in Australia (including any held at the time of application), with the effect that a person can hold a maximum of three Subclass 462 visas in Australia. </w:t>
      </w:r>
    </w:p>
    <w:p w14:paraId="5686AFC2" w14:textId="77777777" w:rsidR="00D95A70" w:rsidRPr="00BA01B4" w:rsidRDefault="00D95A70" w:rsidP="00D95A70">
      <w:pPr>
        <w:rPr>
          <w:szCs w:val="24"/>
        </w:rPr>
      </w:pPr>
      <w:r w:rsidRPr="00BA01B4">
        <w:rPr>
          <w:szCs w:val="24"/>
        </w:rPr>
        <w:t>If a person was granted a Subclass 462 visa outside Australia and never travelled to Australia on that visa, then that visa is not counted as one of the permitted visas.  The limit is a maximum of three Subclass 462 visas held (for any length) in Australia.</w:t>
      </w:r>
    </w:p>
    <w:p w14:paraId="08117FFF" w14:textId="77777777" w:rsidR="00D95A70" w:rsidRPr="00BA01B4" w:rsidRDefault="00D95A70" w:rsidP="00D95A70">
      <w:pPr>
        <w:rPr>
          <w:b/>
          <w:szCs w:val="24"/>
          <w:u w:val="single"/>
        </w:rPr>
      </w:pPr>
      <w:r w:rsidRPr="00BA01B4">
        <w:rPr>
          <w:b/>
          <w:szCs w:val="24"/>
          <w:u w:val="single"/>
        </w:rPr>
        <w:t>Item 3 - Paragraph 1225(3B</w:t>
      </w:r>
      <w:proofErr w:type="gramStart"/>
      <w:r w:rsidRPr="00BA01B4">
        <w:rPr>
          <w:b/>
          <w:szCs w:val="24"/>
          <w:u w:val="single"/>
        </w:rPr>
        <w:t>)(</w:t>
      </w:r>
      <w:proofErr w:type="gramEnd"/>
      <w:r w:rsidRPr="00BA01B4">
        <w:rPr>
          <w:b/>
          <w:szCs w:val="24"/>
          <w:u w:val="single"/>
        </w:rPr>
        <w:t>c) of Schedule 1</w:t>
      </w:r>
    </w:p>
    <w:p w14:paraId="22680DF0" w14:textId="77777777" w:rsidR="00D95A70" w:rsidRPr="00BA01B4" w:rsidRDefault="00D95A70" w:rsidP="00D95A70">
      <w:pPr>
        <w:rPr>
          <w:szCs w:val="24"/>
        </w:rPr>
      </w:pPr>
      <w:r w:rsidRPr="00BA01B4">
        <w:rPr>
          <w:szCs w:val="24"/>
        </w:rPr>
        <w:t xml:space="preserve">This item </w:t>
      </w:r>
      <w:r>
        <w:rPr>
          <w:szCs w:val="24"/>
        </w:rPr>
        <w:t>makes a consequential amendment to ensure</w:t>
      </w:r>
      <w:r w:rsidRPr="00BA01B4">
        <w:rPr>
          <w:szCs w:val="24"/>
        </w:rPr>
        <w:t xml:space="preserve"> that the requirement to declare that the applicant has carried out at least 3 months specified work in regional Australia in order to make a valid application </w:t>
      </w:r>
      <w:r>
        <w:rPr>
          <w:szCs w:val="24"/>
        </w:rPr>
        <w:t xml:space="preserve">only </w:t>
      </w:r>
      <w:r w:rsidRPr="00BA01B4">
        <w:rPr>
          <w:szCs w:val="24"/>
        </w:rPr>
        <w:t xml:space="preserve">applies to applicants who are applying for their second Subclass 417 visa. </w:t>
      </w:r>
    </w:p>
    <w:p w14:paraId="0CEB81CA" w14:textId="77777777" w:rsidR="00D95A70" w:rsidRPr="00BA01B4" w:rsidRDefault="00D95A70" w:rsidP="00D95A70">
      <w:pPr>
        <w:rPr>
          <w:szCs w:val="24"/>
        </w:rPr>
      </w:pPr>
      <w:r w:rsidRPr="00BA01B4">
        <w:rPr>
          <w:szCs w:val="24"/>
        </w:rPr>
        <w:t>This is consequential to changes that allow a person to apply for and be granted a third Subclass 417 visa if they complete additional required work.</w:t>
      </w:r>
    </w:p>
    <w:p w14:paraId="41DECE71" w14:textId="77777777" w:rsidR="00D95A70" w:rsidRPr="00BA01B4" w:rsidRDefault="00D95A70" w:rsidP="00D95A70">
      <w:pPr>
        <w:pStyle w:val="ItemHead"/>
        <w:rPr>
          <w:rFonts w:ascii="Times New Roman" w:eastAsiaTheme="minorHAnsi" w:hAnsi="Times New Roman"/>
          <w:kern w:val="0"/>
          <w:szCs w:val="24"/>
          <w:u w:val="single"/>
          <w:lang w:eastAsia="en-US"/>
        </w:rPr>
      </w:pPr>
      <w:r w:rsidRPr="00BA01B4">
        <w:rPr>
          <w:rFonts w:ascii="Times New Roman" w:eastAsiaTheme="minorHAnsi" w:hAnsi="Times New Roman"/>
          <w:kern w:val="0"/>
          <w:szCs w:val="24"/>
          <w:u w:val="single"/>
          <w:lang w:eastAsia="en-US"/>
        </w:rPr>
        <w:t>Item 4 - Paragraph 1225(3B</w:t>
      </w:r>
      <w:proofErr w:type="gramStart"/>
      <w:r w:rsidRPr="00BA01B4">
        <w:rPr>
          <w:rFonts w:ascii="Times New Roman" w:eastAsiaTheme="minorHAnsi" w:hAnsi="Times New Roman"/>
          <w:kern w:val="0"/>
          <w:szCs w:val="24"/>
          <w:u w:val="single"/>
          <w:lang w:eastAsia="en-US"/>
        </w:rPr>
        <w:t>)(</w:t>
      </w:r>
      <w:proofErr w:type="gramEnd"/>
      <w:r w:rsidRPr="00BA01B4">
        <w:rPr>
          <w:rFonts w:ascii="Times New Roman" w:eastAsiaTheme="minorHAnsi" w:hAnsi="Times New Roman"/>
          <w:kern w:val="0"/>
          <w:szCs w:val="24"/>
          <w:u w:val="single"/>
          <w:lang w:eastAsia="en-US"/>
        </w:rPr>
        <w:t>d) of Schedule 1</w:t>
      </w:r>
    </w:p>
    <w:p w14:paraId="1BA29766" w14:textId="77777777" w:rsidR="00D95A70" w:rsidRPr="00BA01B4" w:rsidRDefault="00D95A70" w:rsidP="00D95A70">
      <w:pPr>
        <w:rPr>
          <w:szCs w:val="24"/>
        </w:rPr>
      </w:pPr>
      <w:proofErr w:type="gramStart"/>
      <w:r w:rsidRPr="00BA01B4">
        <w:rPr>
          <w:szCs w:val="24"/>
        </w:rPr>
        <w:t>New paragraph 1225(3B)(ca)) inserts a new requirement that persons who have held two Subclass 417 visas in Australia (including any currently held) and who are applying for their third Subclass 417 visa must provide a declaration that they have carried out specified work in regional Australia for a total period of at least 6 months in order to make a valid application for their third Subclass 417 visa.</w:t>
      </w:r>
      <w:proofErr w:type="gramEnd"/>
      <w:r w:rsidRPr="00BA01B4">
        <w:rPr>
          <w:szCs w:val="24"/>
        </w:rPr>
        <w:t xml:space="preserve">  </w:t>
      </w:r>
    </w:p>
    <w:p w14:paraId="4796EF6F" w14:textId="77777777" w:rsidR="00D95A70" w:rsidRPr="00BA01B4" w:rsidRDefault="00D95A70" w:rsidP="00D95A70">
      <w:pPr>
        <w:rPr>
          <w:szCs w:val="24"/>
        </w:rPr>
      </w:pPr>
      <w:r w:rsidRPr="00BA01B4">
        <w:rPr>
          <w:szCs w:val="24"/>
        </w:rPr>
        <w:t>The work must have been carried out either while holding their second Subclass 4</w:t>
      </w:r>
      <w:r>
        <w:rPr>
          <w:szCs w:val="24"/>
        </w:rPr>
        <w:t>17</w:t>
      </w:r>
      <w:r w:rsidRPr="00BA01B4">
        <w:rPr>
          <w:szCs w:val="24"/>
        </w:rPr>
        <w:t xml:space="preserve"> visa or while holding a bridging visa</w:t>
      </w:r>
      <w:r>
        <w:rPr>
          <w:szCs w:val="24"/>
        </w:rPr>
        <w:t xml:space="preserve"> that was in effect and </w:t>
      </w:r>
      <w:r>
        <w:t xml:space="preserve">was granted on the basis that they applied for a second </w:t>
      </w:r>
      <w:r w:rsidRPr="00BA01B4">
        <w:rPr>
          <w:szCs w:val="24"/>
        </w:rPr>
        <w:t>Subclass 4</w:t>
      </w:r>
      <w:r>
        <w:rPr>
          <w:szCs w:val="24"/>
        </w:rPr>
        <w:t>17</w:t>
      </w:r>
      <w:r w:rsidRPr="00BA01B4">
        <w:rPr>
          <w:szCs w:val="24"/>
        </w:rPr>
        <w:t xml:space="preserve"> visa. </w:t>
      </w:r>
    </w:p>
    <w:p w14:paraId="046C44D4" w14:textId="77777777" w:rsidR="00D95A70" w:rsidRPr="00311A86" w:rsidRDefault="00D95A70" w:rsidP="00D95A70">
      <w:pPr>
        <w:rPr>
          <w:szCs w:val="24"/>
        </w:rPr>
      </w:pPr>
      <w:r w:rsidRPr="00BA01B4">
        <w:rPr>
          <w:szCs w:val="24"/>
        </w:rPr>
        <w:t>The reason for permitting the work to be carried out while on a bridging visa waiting for the grant of the second Subclass 417 visa (as well as while actually holding the second visa) is because the time spent on a bridging visa waiting for the grant of the second visa is in effect ‘deducted’ from the length of the second visa (see subclause 417.511(2)).  Therefore, it is intended that work done during this time may be counted.   However, it is not intended that work carried out while holding the first Subclass 417 visa can be counted, hence the work the can only be counted while holding the relevant bridging visa</w:t>
      </w:r>
      <w:r>
        <w:rPr>
          <w:szCs w:val="24"/>
        </w:rPr>
        <w:t xml:space="preserve"> in effect</w:t>
      </w:r>
      <w:r w:rsidRPr="00BA01B4">
        <w:rPr>
          <w:szCs w:val="24"/>
        </w:rPr>
        <w:t xml:space="preserve"> (after the first Subclass 417 visa has ceased) or while </w:t>
      </w:r>
      <w:r>
        <w:rPr>
          <w:szCs w:val="24"/>
        </w:rPr>
        <w:t>the persons holds</w:t>
      </w:r>
      <w:r w:rsidRPr="00BA01B4">
        <w:rPr>
          <w:szCs w:val="24"/>
        </w:rPr>
        <w:t xml:space="preserve"> the second Subclass 417 </w:t>
      </w:r>
      <w:r w:rsidRPr="00311A86">
        <w:rPr>
          <w:szCs w:val="24"/>
        </w:rPr>
        <w:t xml:space="preserve">visa. </w:t>
      </w:r>
      <w:r>
        <w:rPr>
          <w:szCs w:val="24"/>
        </w:rPr>
        <w:t>This</w:t>
      </w:r>
      <w:r w:rsidRPr="00311A86">
        <w:rPr>
          <w:szCs w:val="24"/>
        </w:rPr>
        <w:t xml:space="preserve"> is intended to increase the benefits to regional Australia by encouraging working holiday makers to spend time in regional Australia throughout the span of their visas. </w:t>
      </w:r>
    </w:p>
    <w:p w14:paraId="489921C7" w14:textId="77777777" w:rsidR="00D95A70" w:rsidRPr="00311A86" w:rsidRDefault="00D95A70" w:rsidP="00D95A70">
      <w:pPr>
        <w:rPr>
          <w:szCs w:val="24"/>
        </w:rPr>
      </w:pPr>
      <w:r w:rsidRPr="00311A86">
        <w:rPr>
          <w:szCs w:val="24"/>
        </w:rPr>
        <w:t xml:space="preserve">A further requirement is that all of the work must be carried out on or after 1 July 2019.  This ensures that the changes are in place and have commenced before working holiday makers undertake the additional required work. </w:t>
      </w:r>
    </w:p>
    <w:p w14:paraId="35B1A1F1" w14:textId="77777777" w:rsidR="00D95A70" w:rsidRPr="00BA01B4" w:rsidRDefault="00D95A70" w:rsidP="00D95A70">
      <w:pPr>
        <w:rPr>
          <w:i/>
          <w:szCs w:val="24"/>
        </w:rPr>
      </w:pPr>
      <w:r w:rsidRPr="00311A86">
        <w:rPr>
          <w:szCs w:val="24"/>
        </w:rPr>
        <w:lastRenderedPageBreak/>
        <w:t>If a person was granted a Subclass 417 visa outside Australia and</w:t>
      </w:r>
      <w:r w:rsidRPr="00BA01B4">
        <w:rPr>
          <w:szCs w:val="24"/>
        </w:rPr>
        <w:t xml:space="preserve"> never travelled to Australia on that visa, then that visa is not counted as one of the previous two.  The requirement applies if the person held two Subclass 417 visas </w:t>
      </w:r>
      <w:r w:rsidRPr="00BA01B4">
        <w:rPr>
          <w:i/>
          <w:szCs w:val="24"/>
        </w:rPr>
        <w:t xml:space="preserve">in Australia. </w:t>
      </w:r>
    </w:p>
    <w:p w14:paraId="7A9E5B6F" w14:textId="77777777" w:rsidR="00D95A70" w:rsidRPr="00BA01B4" w:rsidRDefault="00D95A70" w:rsidP="00D95A70">
      <w:pPr>
        <w:rPr>
          <w:szCs w:val="24"/>
        </w:rPr>
      </w:pPr>
      <w:r w:rsidRPr="00BA01B4">
        <w:rPr>
          <w:szCs w:val="24"/>
        </w:rPr>
        <w:t>The effect of amended paragraph 1225(3B</w:t>
      </w:r>
      <w:proofErr w:type="gramStart"/>
      <w:r w:rsidRPr="00BA01B4">
        <w:rPr>
          <w:szCs w:val="24"/>
        </w:rPr>
        <w:t>)(</w:t>
      </w:r>
      <w:proofErr w:type="gramEnd"/>
      <w:r w:rsidRPr="00BA01B4">
        <w:rPr>
          <w:szCs w:val="24"/>
        </w:rPr>
        <w:t xml:space="preserve">d) is to increase the maximum number of Subclass 417 visas that can be held in Australia from two to three. </w:t>
      </w:r>
    </w:p>
    <w:p w14:paraId="2826BD11" w14:textId="77777777" w:rsidR="00D95A70" w:rsidRPr="00BA01B4" w:rsidRDefault="00D95A70" w:rsidP="00D95A70">
      <w:pPr>
        <w:rPr>
          <w:szCs w:val="24"/>
        </w:rPr>
      </w:pPr>
      <w:r w:rsidRPr="00BA01B4">
        <w:rPr>
          <w:szCs w:val="24"/>
        </w:rPr>
        <w:t xml:space="preserve">Previously, a person could only apply for another Subclass 417 visa if they had only held </w:t>
      </w:r>
      <w:r w:rsidRPr="00BA01B4">
        <w:rPr>
          <w:i/>
          <w:szCs w:val="24"/>
        </w:rPr>
        <w:t xml:space="preserve">one </w:t>
      </w:r>
      <w:r w:rsidRPr="00BA01B4">
        <w:rPr>
          <w:szCs w:val="24"/>
        </w:rPr>
        <w:t xml:space="preserve">Subclass 417 visa in Australia (including any held at the time of application), with the effect that a person could hold a maximum of two Subclass 417 visas in Australia. </w:t>
      </w:r>
    </w:p>
    <w:p w14:paraId="713005DF" w14:textId="77777777" w:rsidR="00D95A70" w:rsidRPr="00BA01B4" w:rsidRDefault="00D95A70" w:rsidP="00D95A70">
      <w:pPr>
        <w:rPr>
          <w:szCs w:val="24"/>
        </w:rPr>
      </w:pPr>
      <w:r w:rsidRPr="00BA01B4">
        <w:rPr>
          <w:szCs w:val="24"/>
        </w:rPr>
        <w:t xml:space="preserve">The provision now ensures that a person can only apply for another Subclass 417 visa if they have only held </w:t>
      </w:r>
      <w:r w:rsidRPr="00BA01B4">
        <w:rPr>
          <w:i/>
          <w:szCs w:val="24"/>
        </w:rPr>
        <w:t>two</w:t>
      </w:r>
      <w:r w:rsidRPr="00BA01B4">
        <w:rPr>
          <w:szCs w:val="24"/>
        </w:rPr>
        <w:t xml:space="preserve"> Subclass 417 visas in Australia (including any held at the time of application), with the effect that a person can hold a maximum of three Subclass 417 visas in Australia. </w:t>
      </w:r>
    </w:p>
    <w:p w14:paraId="5A5E2DE7" w14:textId="77777777" w:rsidR="00D95A70" w:rsidRPr="00BA01B4" w:rsidRDefault="00D95A70" w:rsidP="00D95A70">
      <w:pPr>
        <w:rPr>
          <w:szCs w:val="24"/>
        </w:rPr>
      </w:pPr>
      <w:r w:rsidRPr="00BA01B4">
        <w:rPr>
          <w:szCs w:val="24"/>
        </w:rPr>
        <w:t>If a person was granted a Subclass 417 visa outside Australia and never travelled to Australia on that visa, then that visa is not counted as one of the permitted visas.  The limit is a maximum of three Subclass 417 visas held (for any length) in Australia.</w:t>
      </w:r>
    </w:p>
    <w:p w14:paraId="6A13D45A" w14:textId="77777777" w:rsidR="00D95A70" w:rsidRPr="00BA01B4" w:rsidRDefault="00D95A70" w:rsidP="00D95A70">
      <w:pPr>
        <w:rPr>
          <w:b/>
          <w:szCs w:val="24"/>
          <w:u w:val="single"/>
        </w:rPr>
      </w:pPr>
      <w:r w:rsidRPr="00BA01B4">
        <w:rPr>
          <w:b/>
          <w:szCs w:val="24"/>
          <w:u w:val="single"/>
        </w:rPr>
        <w:t>Item 5 - Subclause 417.211(1) of Schedule 2</w:t>
      </w:r>
    </w:p>
    <w:p w14:paraId="15C66DF2" w14:textId="77777777" w:rsidR="00D95A70" w:rsidRDefault="00D95A70" w:rsidP="00D95A70">
      <w:pPr>
        <w:rPr>
          <w:szCs w:val="24"/>
        </w:rPr>
      </w:pPr>
      <w:r w:rsidRPr="00BA01B4">
        <w:rPr>
          <w:szCs w:val="24"/>
        </w:rPr>
        <w:t xml:space="preserve">This item makes a consequential amendment to include a reference to new subclause 417.211(6) as one of the criteria that must be satisfied at time of application if applicable (refer to Item 9 below).   </w:t>
      </w:r>
    </w:p>
    <w:p w14:paraId="787489F1" w14:textId="77777777" w:rsidR="00D95A70" w:rsidRPr="00BA01B4" w:rsidRDefault="00D95A70" w:rsidP="00D95A70">
      <w:pPr>
        <w:pStyle w:val="ItemHead"/>
        <w:rPr>
          <w:rFonts w:ascii="Times New Roman" w:hAnsi="Times New Roman"/>
          <w:kern w:val="0"/>
          <w:szCs w:val="24"/>
          <w:u w:val="single"/>
        </w:rPr>
      </w:pPr>
      <w:r w:rsidRPr="00BA01B4">
        <w:rPr>
          <w:rFonts w:ascii="Times New Roman" w:hAnsi="Times New Roman"/>
          <w:kern w:val="0"/>
          <w:szCs w:val="24"/>
          <w:u w:val="single"/>
        </w:rPr>
        <w:t>Item 6 - Subclause 417.211(5) of Schedule 2</w:t>
      </w:r>
    </w:p>
    <w:p w14:paraId="29DCE920" w14:textId="77777777" w:rsidR="00D95A70" w:rsidRPr="00BA01B4" w:rsidRDefault="00D95A70" w:rsidP="00D95A70">
      <w:pPr>
        <w:rPr>
          <w:szCs w:val="24"/>
        </w:rPr>
      </w:pPr>
      <w:r w:rsidRPr="00BA01B4">
        <w:rPr>
          <w:szCs w:val="24"/>
        </w:rPr>
        <w:t>This item</w:t>
      </w:r>
      <w:r>
        <w:rPr>
          <w:szCs w:val="24"/>
        </w:rPr>
        <w:t xml:space="preserve"> makes a consequential amendment to</w:t>
      </w:r>
      <w:r w:rsidRPr="00BA01B4">
        <w:rPr>
          <w:szCs w:val="24"/>
        </w:rPr>
        <w:t xml:space="preserve"> ensure that the requirement that the applicant has carried out at least 3 months specified work in regional Australia only applies to applicants who are seeking their second Subclass 417 visa. </w:t>
      </w:r>
    </w:p>
    <w:p w14:paraId="1AE82CCC" w14:textId="77777777" w:rsidR="00D95A70" w:rsidRPr="00BA01B4" w:rsidRDefault="00D95A70" w:rsidP="00D95A70">
      <w:pPr>
        <w:rPr>
          <w:szCs w:val="24"/>
        </w:rPr>
      </w:pPr>
      <w:r w:rsidRPr="00BA01B4">
        <w:rPr>
          <w:szCs w:val="24"/>
        </w:rPr>
        <w:t>This is consequential to changes that allow a person to be granted a third Subclass 417 visa if they complete additional required work.</w:t>
      </w:r>
    </w:p>
    <w:p w14:paraId="580B3C1D" w14:textId="77777777" w:rsidR="00D95A70" w:rsidRPr="00BA01B4" w:rsidRDefault="00D95A70" w:rsidP="00D95A70">
      <w:pPr>
        <w:pStyle w:val="ItemHead"/>
        <w:rPr>
          <w:rFonts w:ascii="Times New Roman" w:eastAsiaTheme="minorHAnsi" w:hAnsi="Times New Roman"/>
          <w:kern w:val="0"/>
          <w:szCs w:val="24"/>
          <w:u w:val="single"/>
          <w:lang w:eastAsia="en-US"/>
        </w:rPr>
      </w:pPr>
      <w:r w:rsidRPr="00BA01B4">
        <w:rPr>
          <w:rFonts w:ascii="Times New Roman" w:eastAsiaTheme="minorHAnsi" w:hAnsi="Times New Roman"/>
          <w:kern w:val="0"/>
          <w:szCs w:val="24"/>
          <w:u w:val="single"/>
          <w:lang w:eastAsia="en-US"/>
        </w:rPr>
        <w:t>Items 7</w:t>
      </w:r>
      <w:r>
        <w:rPr>
          <w:rFonts w:ascii="Times New Roman" w:eastAsiaTheme="minorHAnsi" w:hAnsi="Times New Roman"/>
          <w:kern w:val="0"/>
          <w:szCs w:val="24"/>
          <w:u w:val="single"/>
          <w:lang w:eastAsia="en-US"/>
        </w:rPr>
        <w:t xml:space="preserve"> and 8</w:t>
      </w:r>
      <w:r w:rsidRPr="00BA01B4">
        <w:rPr>
          <w:rFonts w:ascii="Times New Roman" w:eastAsiaTheme="minorHAnsi" w:hAnsi="Times New Roman"/>
          <w:kern w:val="0"/>
          <w:szCs w:val="24"/>
          <w:u w:val="single"/>
          <w:lang w:eastAsia="en-US"/>
        </w:rPr>
        <w:t xml:space="preserve"> - Paragraph</w:t>
      </w:r>
      <w:r>
        <w:rPr>
          <w:rFonts w:ascii="Times New Roman" w:eastAsiaTheme="minorHAnsi" w:hAnsi="Times New Roman"/>
          <w:kern w:val="0"/>
          <w:szCs w:val="24"/>
          <w:u w:val="single"/>
          <w:lang w:eastAsia="en-US"/>
        </w:rPr>
        <w:t>s</w:t>
      </w:r>
      <w:r w:rsidRPr="00BA01B4">
        <w:rPr>
          <w:rFonts w:ascii="Times New Roman" w:eastAsiaTheme="minorHAnsi" w:hAnsi="Times New Roman"/>
          <w:kern w:val="0"/>
          <w:szCs w:val="24"/>
          <w:u w:val="single"/>
          <w:lang w:eastAsia="en-US"/>
        </w:rPr>
        <w:t xml:space="preserve"> 417.211(5</w:t>
      </w:r>
      <w:proofErr w:type="gramStart"/>
      <w:r w:rsidRPr="00BA01B4">
        <w:rPr>
          <w:rFonts w:ascii="Times New Roman" w:eastAsiaTheme="minorHAnsi" w:hAnsi="Times New Roman"/>
          <w:kern w:val="0"/>
          <w:szCs w:val="24"/>
          <w:u w:val="single"/>
          <w:lang w:eastAsia="en-US"/>
        </w:rPr>
        <w:t>)(</w:t>
      </w:r>
      <w:proofErr w:type="gramEnd"/>
      <w:r w:rsidRPr="00BA01B4">
        <w:rPr>
          <w:rFonts w:ascii="Times New Roman" w:eastAsiaTheme="minorHAnsi" w:hAnsi="Times New Roman"/>
          <w:kern w:val="0"/>
          <w:szCs w:val="24"/>
          <w:u w:val="single"/>
          <w:lang w:eastAsia="en-US"/>
        </w:rPr>
        <w:t xml:space="preserve">a) </w:t>
      </w:r>
      <w:r>
        <w:rPr>
          <w:rFonts w:ascii="Times New Roman" w:eastAsiaTheme="minorHAnsi" w:hAnsi="Times New Roman"/>
          <w:kern w:val="0"/>
          <w:szCs w:val="24"/>
          <w:u w:val="single"/>
          <w:lang w:eastAsia="en-US"/>
        </w:rPr>
        <w:t xml:space="preserve">and (b) </w:t>
      </w:r>
      <w:r w:rsidRPr="00BA01B4">
        <w:rPr>
          <w:rFonts w:ascii="Times New Roman" w:eastAsiaTheme="minorHAnsi" w:hAnsi="Times New Roman"/>
          <w:kern w:val="0"/>
          <w:szCs w:val="24"/>
          <w:u w:val="single"/>
          <w:lang w:eastAsia="en-US"/>
        </w:rPr>
        <w:t xml:space="preserve">of Schedule 2 </w:t>
      </w:r>
    </w:p>
    <w:p w14:paraId="420E129B" w14:textId="77777777" w:rsidR="00D95A70" w:rsidRDefault="00D95A70" w:rsidP="00D95A70">
      <w:pPr>
        <w:rPr>
          <w:szCs w:val="24"/>
        </w:rPr>
      </w:pPr>
      <w:r w:rsidRPr="00BA01B4">
        <w:rPr>
          <w:szCs w:val="24"/>
        </w:rPr>
        <w:t xml:space="preserve">These items make technical changes so that the provisions are consistent with the equivalent provisions in Subclass 462.  No substantive change is intended, nor </w:t>
      </w:r>
      <w:r>
        <w:rPr>
          <w:szCs w:val="24"/>
        </w:rPr>
        <w:t xml:space="preserve">is the intent changed. </w:t>
      </w:r>
    </w:p>
    <w:p w14:paraId="30EC97A1" w14:textId="77777777" w:rsidR="00D95A70" w:rsidRPr="00BA01B4" w:rsidRDefault="00D95A70" w:rsidP="00D95A70">
      <w:pPr>
        <w:rPr>
          <w:szCs w:val="24"/>
        </w:rPr>
      </w:pPr>
      <w:r w:rsidRPr="00BA01B4">
        <w:rPr>
          <w:b/>
          <w:szCs w:val="24"/>
          <w:u w:val="single"/>
        </w:rPr>
        <w:t>Item 9 - At the end of clause 417.211 of Schedule 2</w:t>
      </w:r>
    </w:p>
    <w:p w14:paraId="7F81D4B9" w14:textId="77777777" w:rsidR="00D95A70" w:rsidRPr="00BA01B4" w:rsidRDefault="00D95A70" w:rsidP="00D95A70">
      <w:pPr>
        <w:rPr>
          <w:szCs w:val="24"/>
        </w:rPr>
      </w:pPr>
      <w:r w:rsidRPr="00BA01B4">
        <w:rPr>
          <w:szCs w:val="24"/>
        </w:rPr>
        <w:t xml:space="preserve">This item inserts a new criterion for grant of a Subclass 417 visa that, for persons who have held two Subclass 417 visas in Australia (including any currently held) and who are seeking their third Subclass 417 visa, the Minister must be satisfied that they have carried out specified work in regional Australia for a total period of at least 6 months.  </w:t>
      </w:r>
    </w:p>
    <w:p w14:paraId="32CACA39" w14:textId="77777777" w:rsidR="00D95A70" w:rsidRDefault="00D95A70" w:rsidP="00D95A70">
      <w:pPr>
        <w:rPr>
          <w:szCs w:val="24"/>
        </w:rPr>
      </w:pPr>
      <w:r w:rsidRPr="00BA01B4">
        <w:rPr>
          <w:szCs w:val="24"/>
        </w:rPr>
        <w:t>The work must have been carried out either while holding their second Subclass 4</w:t>
      </w:r>
      <w:r>
        <w:rPr>
          <w:szCs w:val="24"/>
        </w:rPr>
        <w:t>17</w:t>
      </w:r>
      <w:r w:rsidRPr="00BA01B4">
        <w:rPr>
          <w:szCs w:val="24"/>
        </w:rPr>
        <w:t xml:space="preserve"> visa or while holding a bridging visa</w:t>
      </w:r>
      <w:r>
        <w:rPr>
          <w:szCs w:val="24"/>
        </w:rPr>
        <w:t xml:space="preserve"> that was in effect and </w:t>
      </w:r>
      <w:r>
        <w:t xml:space="preserve">was granted on the basis that they applied for a second </w:t>
      </w:r>
      <w:r w:rsidRPr="00BA01B4">
        <w:rPr>
          <w:szCs w:val="24"/>
        </w:rPr>
        <w:t>Subclass 4</w:t>
      </w:r>
      <w:r>
        <w:rPr>
          <w:szCs w:val="24"/>
        </w:rPr>
        <w:t>17</w:t>
      </w:r>
      <w:r w:rsidRPr="00BA01B4">
        <w:rPr>
          <w:szCs w:val="24"/>
        </w:rPr>
        <w:t xml:space="preserve"> visa</w:t>
      </w:r>
      <w:r>
        <w:rPr>
          <w:szCs w:val="24"/>
        </w:rPr>
        <w:t xml:space="preserve"> </w:t>
      </w:r>
      <w:r w:rsidRPr="00BA01B4">
        <w:rPr>
          <w:szCs w:val="24"/>
        </w:rPr>
        <w:t xml:space="preserve">and </w:t>
      </w:r>
      <w:r>
        <w:rPr>
          <w:szCs w:val="24"/>
        </w:rPr>
        <w:t xml:space="preserve">the work </w:t>
      </w:r>
      <w:r w:rsidRPr="00BA01B4">
        <w:rPr>
          <w:szCs w:val="24"/>
        </w:rPr>
        <w:t xml:space="preserve">must have been completed before the application for the third visa as this is a criterion to be satisfied at time of application.  </w:t>
      </w:r>
    </w:p>
    <w:p w14:paraId="28BCC0DA" w14:textId="77777777" w:rsidR="00D95A70" w:rsidRPr="00311A86" w:rsidRDefault="00D95A70" w:rsidP="00D95A70">
      <w:pPr>
        <w:rPr>
          <w:szCs w:val="24"/>
        </w:rPr>
      </w:pPr>
      <w:r w:rsidRPr="00BA01B4">
        <w:rPr>
          <w:szCs w:val="24"/>
        </w:rPr>
        <w:lastRenderedPageBreak/>
        <w:t>The reason for permitting the work to be carried out while on a bridging visa waiting for the grant of the second Subclass 417 visa (as well as while actually holding the second visa) is because the time spent on a bridging visa waiting for the grant of the second visa is in effect ‘deducted’ from the length of the second visa (see subclause 417.511(2)).  Therefore, it is intended that work done during this time may be counted.   However, it is not intended that work carried out while holding the first Subclass 417 visa can be counted, hence the work the can only be counted while holding the relevant bridging visa</w:t>
      </w:r>
      <w:r>
        <w:rPr>
          <w:szCs w:val="24"/>
        </w:rPr>
        <w:t xml:space="preserve"> in effect</w:t>
      </w:r>
      <w:r w:rsidRPr="00BA01B4">
        <w:rPr>
          <w:szCs w:val="24"/>
        </w:rPr>
        <w:t xml:space="preserve"> (after the first Subclass 417 visa has ceased) or while holding the second Subclass 417 </w:t>
      </w:r>
      <w:r>
        <w:rPr>
          <w:szCs w:val="24"/>
        </w:rPr>
        <w:t>visa. This</w:t>
      </w:r>
      <w:r w:rsidRPr="00311A86">
        <w:rPr>
          <w:szCs w:val="24"/>
        </w:rPr>
        <w:t xml:space="preserve"> is intended to increase the benefits to regional Australia by encouraging working holiday makers to spend time in regional Australia throughout the span of their visas. </w:t>
      </w:r>
    </w:p>
    <w:p w14:paraId="6C3F445C" w14:textId="77777777" w:rsidR="00D95A70" w:rsidRPr="00BA01B4" w:rsidRDefault="00D95A70" w:rsidP="00D95A70">
      <w:pPr>
        <w:rPr>
          <w:szCs w:val="24"/>
        </w:rPr>
      </w:pPr>
      <w:r w:rsidRPr="00311A86">
        <w:rPr>
          <w:szCs w:val="24"/>
        </w:rPr>
        <w:t>Further requirements are that all of the work must be carried out</w:t>
      </w:r>
      <w:r w:rsidRPr="00BA01B4">
        <w:rPr>
          <w:szCs w:val="24"/>
        </w:rPr>
        <w:t xml:space="preserve"> on or after 1 July 2019 and the applicant must have been remunerated for that work in accordance with relevant Australian legislation and awards. </w:t>
      </w:r>
    </w:p>
    <w:p w14:paraId="522E5D1B" w14:textId="77777777" w:rsidR="00D95A70" w:rsidRPr="00BA01B4" w:rsidRDefault="00D95A70" w:rsidP="00D95A70">
      <w:pPr>
        <w:rPr>
          <w:i/>
          <w:szCs w:val="24"/>
        </w:rPr>
      </w:pPr>
      <w:r w:rsidRPr="00BA01B4">
        <w:rPr>
          <w:szCs w:val="24"/>
        </w:rPr>
        <w:t xml:space="preserve">If a person was granted a Subclass 417 visa outside Australia and never travelled to Australia on that visa, then that visa is not counted as one of the previous two.  The requirement applies if the person held two Subclass 417 visas (for any length) </w:t>
      </w:r>
      <w:r w:rsidRPr="00BA01B4">
        <w:rPr>
          <w:i/>
          <w:szCs w:val="24"/>
        </w:rPr>
        <w:t xml:space="preserve">in Australia. </w:t>
      </w:r>
    </w:p>
    <w:p w14:paraId="57B6AD00" w14:textId="77777777" w:rsidR="00D95A70" w:rsidRPr="00BA01B4" w:rsidRDefault="00D95A70" w:rsidP="00D95A70">
      <w:pPr>
        <w:rPr>
          <w:b/>
          <w:szCs w:val="24"/>
          <w:u w:val="single"/>
        </w:rPr>
      </w:pPr>
      <w:r w:rsidRPr="00BA01B4">
        <w:rPr>
          <w:b/>
          <w:szCs w:val="24"/>
          <w:u w:val="single"/>
        </w:rPr>
        <w:t>Item 10 - Paragraph 417.221(2</w:t>
      </w:r>
      <w:proofErr w:type="gramStart"/>
      <w:r w:rsidRPr="00BA01B4">
        <w:rPr>
          <w:b/>
          <w:szCs w:val="24"/>
          <w:u w:val="single"/>
        </w:rPr>
        <w:t>)(</w:t>
      </w:r>
      <w:proofErr w:type="gramEnd"/>
      <w:r w:rsidRPr="00BA01B4">
        <w:rPr>
          <w:b/>
          <w:szCs w:val="24"/>
          <w:u w:val="single"/>
        </w:rPr>
        <w:t>a) of Schedule 2</w:t>
      </w:r>
    </w:p>
    <w:p w14:paraId="1617AAD3" w14:textId="77777777" w:rsidR="00D95A70" w:rsidRPr="00BA01B4" w:rsidRDefault="00D95A70" w:rsidP="00D95A70">
      <w:pPr>
        <w:rPr>
          <w:szCs w:val="24"/>
        </w:rPr>
      </w:pPr>
      <w:r w:rsidRPr="00BA01B4">
        <w:rPr>
          <w:szCs w:val="24"/>
        </w:rPr>
        <w:t xml:space="preserve">This item makes a consequential amendment to include a reference to new subclause 417.211(6) as one of the criteria that must continue to be satisfied at time of decision if it applies (refer to Item 9 above).  </w:t>
      </w:r>
    </w:p>
    <w:p w14:paraId="2501219E" w14:textId="77777777" w:rsidR="00D95A70" w:rsidRPr="00BA01B4" w:rsidRDefault="00D95A70" w:rsidP="00D95A70">
      <w:pPr>
        <w:rPr>
          <w:b/>
          <w:szCs w:val="24"/>
          <w:u w:val="single"/>
        </w:rPr>
      </w:pPr>
      <w:r w:rsidRPr="00BA01B4">
        <w:rPr>
          <w:b/>
          <w:szCs w:val="24"/>
          <w:u w:val="single"/>
        </w:rPr>
        <w:t>Item 11 - Paragraph 417.222(b) of Schedule 2</w:t>
      </w:r>
    </w:p>
    <w:p w14:paraId="37737062" w14:textId="77777777" w:rsidR="00D95A70" w:rsidRPr="00BA01B4" w:rsidRDefault="00D95A70" w:rsidP="00D95A70">
      <w:pPr>
        <w:rPr>
          <w:szCs w:val="24"/>
        </w:rPr>
      </w:pPr>
      <w:r w:rsidRPr="00BA01B4">
        <w:rPr>
          <w:szCs w:val="24"/>
        </w:rPr>
        <w:t xml:space="preserve">The effect of this item is to increase the maximum number of Subclass 417 visas that can be held in Australia from two to three. </w:t>
      </w:r>
    </w:p>
    <w:p w14:paraId="62AB2C1A" w14:textId="77777777" w:rsidR="00D95A70" w:rsidRPr="00BA01B4" w:rsidRDefault="00D95A70" w:rsidP="00D95A70">
      <w:pPr>
        <w:rPr>
          <w:szCs w:val="24"/>
        </w:rPr>
      </w:pPr>
      <w:r w:rsidRPr="00BA01B4">
        <w:rPr>
          <w:szCs w:val="24"/>
        </w:rPr>
        <w:t xml:space="preserve">Previously, a person could only be granted another Subclass 417 visa if they had only held one Subclass 417 visa in Australia (including any held at the time of </w:t>
      </w:r>
      <w:r>
        <w:rPr>
          <w:szCs w:val="24"/>
        </w:rPr>
        <w:t>decision</w:t>
      </w:r>
      <w:r w:rsidRPr="00BA01B4">
        <w:rPr>
          <w:szCs w:val="24"/>
        </w:rPr>
        <w:t xml:space="preserve">), with the effect that a person could hold a maximum of two Subclass 417 visas in Australia. </w:t>
      </w:r>
    </w:p>
    <w:p w14:paraId="5BC7CCBE" w14:textId="77777777" w:rsidR="00D95A70" w:rsidRPr="00BA01B4" w:rsidRDefault="00D95A70" w:rsidP="00D95A70">
      <w:pPr>
        <w:rPr>
          <w:szCs w:val="24"/>
        </w:rPr>
      </w:pPr>
      <w:r w:rsidRPr="00BA01B4">
        <w:rPr>
          <w:szCs w:val="24"/>
        </w:rPr>
        <w:t xml:space="preserve">The provision now ensures that a person can only be granted another Subclass 417 visa if they have only held two Subclass 417 visas in Australia (including any held at the time of </w:t>
      </w:r>
      <w:r>
        <w:rPr>
          <w:szCs w:val="24"/>
        </w:rPr>
        <w:t>decision</w:t>
      </w:r>
      <w:r w:rsidRPr="00BA01B4">
        <w:rPr>
          <w:szCs w:val="24"/>
        </w:rPr>
        <w:t xml:space="preserve">), with the effect that a person can hold a maximum of three Subclass 417 visas in Australia. </w:t>
      </w:r>
    </w:p>
    <w:p w14:paraId="1B067310" w14:textId="77777777" w:rsidR="00D95A70" w:rsidRPr="00BA01B4" w:rsidRDefault="00D95A70" w:rsidP="00D95A70">
      <w:pPr>
        <w:rPr>
          <w:szCs w:val="24"/>
        </w:rPr>
      </w:pPr>
      <w:r w:rsidRPr="00BA01B4">
        <w:rPr>
          <w:szCs w:val="24"/>
        </w:rPr>
        <w:t>If a person was granted a Subclass 417 visa outside Australia and never travelled to Australia on that visa, then that visa is not counted as one of the permitted visas.  The limit is a maximum of three Subclass 417 visas held (for any length) in Australia.</w:t>
      </w:r>
    </w:p>
    <w:p w14:paraId="6178DEB7" w14:textId="77777777" w:rsidR="00D95A70" w:rsidRPr="00BA01B4" w:rsidRDefault="00D95A70" w:rsidP="00D95A70">
      <w:pPr>
        <w:rPr>
          <w:b/>
          <w:szCs w:val="24"/>
          <w:u w:val="single"/>
        </w:rPr>
      </w:pPr>
      <w:r w:rsidRPr="00BA01B4">
        <w:rPr>
          <w:b/>
          <w:szCs w:val="24"/>
          <w:u w:val="single"/>
        </w:rPr>
        <w:t>Item 12 - Clause 462.211B of Schedule 2</w:t>
      </w:r>
    </w:p>
    <w:p w14:paraId="7504EB45" w14:textId="77777777" w:rsidR="00D95A70" w:rsidRPr="00BA01B4" w:rsidRDefault="00D95A70" w:rsidP="00D95A70">
      <w:pPr>
        <w:rPr>
          <w:szCs w:val="24"/>
        </w:rPr>
      </w:pPr>
      <w:r w:rsidRPr="00BA01B4">
        <w:rPr>
          <w:szCs w:val="24"/>
        </w:rPr>
        <w:t xml:space="preserve">This item makes a consequential amendment to include a reference to new subclause 462.219 as one of the criteria that must be satisfied at time of application if applicable (refer to Item 14 below).  </w:t>
      </w:r>
    </w:p>
    <w:p w14:paraId="58C29945" w14:textId="77777777" w:rsidR="00D95A70" w:rsidRPr="00BA01B4" w:rsidRDefault="00D95A70" w:rsidP="00D95A70">
      <w:pPr>
        <w:pStyle w:val="ItemHead"/>
        <w:rPr>
          <w:rFonts w:ascii="Times New Roman" w:eastAsiaTheme="minorHAnsi" w:hAnsi="Times New Roman"/>
          <w:kern w:val="0"/>
          <w:szCs w:val="24"/>
          <w:u w:val="single"/>
          <w:lang w:eastAsia="en-US"/>
        </w:rPr>
      </w:pPr>
      <w:r w:rsidRPr="00BA01B4">
        <w:rPr>
          <w:rFonts w:ascii="Times New Roman" w:eastAsiaTheme="minorHAnsi" w:hAnsi="Times New Roman"/>
          <w:kern w:val="0"/>
          <w:szCs w:val="24"/>
          <w:u w:val="single"/>
          <w:lang w:eastAsia="en-US"/>
        </w:rPr>
        <w:lastRenderedPageBreak/>
        <w:t>Item 13 - Clause 462.218 of Schedule 2</w:t>
      </w:r>
    </w:p>
    <w:p w14:paraId="3C7ED8CA" w14:textId="77777777" w:rsidR="00D95A70" w:rsidRPr="00BA01B4" w:rsidRDefault="00D95A70" w:rsidP="00D95A70">
      <w:pPr>
        <w:rPr>
          <w:szCs w:val="24"/>
        </w:rPr>
      </w:pPr>
      <w:r w:rsidRPr="00BA01B4">
        <w:rPr>
          <w:szCs w:val="24"/>
        </w:rPr>
        <w:t xml:space="preserve">This item ensures that the requirement that the applicant has carried out at least 3 months specified Subclass 462 work only applies to applicants who are seeking their second Subclass 462 visa. </w:t>
      </w:r>
    </w:p>
    <w:p w14:paraId="694F865C" w14:textId="77777777" w:rsidR="00D95A70" w:rsidRPr="00BA01B4" w:rsidRDefault="00D95A70" w:rsidP="00D95A70">
      <w:pPr>
        <w:rPr>
          <w:szCs w:val="24"/>
        </w:rPr>
      </w:pPr>
      <w:r w:rsidRPr="00BA01B4">
        <w:rPr>
          <w:szCs w:val="24"/>
        </w:rPr>
        <w:t>This is consequential to changes that allow a person to be granted a third Subclass 462 visa if they complete additional required work.</w:t>
      </w:r>
      <w:r w:rsidRPr="00BA01B4">
        <w:rPr>
          <w:szCs w:val="24"/>
        </w:rPr>
        <w:tab/>
      </w:r>
      <w:r w:rsidRPr="00BA01B4">
        <w:rPr>
          <w:szCs w:val="24"/>
        </w:rPr>
        <w:tab/>
      </w:r>
    </w:p>
    <w:p w14:paraId="2AE2747B" w14:textId="77777777" w:rsidR="00D95A70" w:rsidRPr="00BA01B4" w:rsidRDefault="00D95A70" w:rsidP="00D95A70">
      <w:pPr>
        <w:pStyle w:val="ItemHead"/>
        <w:rPr>
          <w:rFonts w:ascii="Times New Roman" w:eastAsiaTheme="minorHAnsi" w:hAnsi="Times New Roman"/>
          <w:kern w:val="0"/>
          <w:szCs w:val="24"/>
          <w:u w:val="single"/>
          <w:lang w:eastAsia="en-US"/>
        </w:rPr>
      </w:pPr>
      <w:r w:rsidRPr="00BA01B4">
        <w:rPr>
          <w:rFonts w:ascii="Times New Roman" w:eastAsiaTheme="minorHAnsi" w:hAnsi="Times New Roman"/>
          <w:kern w:val="0"/>
          <w:szCs w:val="24"/>
          <w:u w:val="single"/>
          <w:lang w:eastAsia="en-US"/>
        </w:rPr>
        <w:t>Item 14 - At the end of Subdivision 462.21 of Schedule 2</w:t>
      </w:r>
    </w:p>
    <w:p w14:paraId="4C9B4C3A" w14:textId="77777777" w:rsidR="00D95A70" w:rsidRPr="00BA01B4" w:rsidRDefault="00D95A70" w:rsidP="00D95A70">
      <w:pPr>
        <w:rPr>
          <w:szCs w:val="24"/>
        </w:rPr>
      </w:pPr>
      <w:r w:rsidRPr="00BA01B4">
        <w:rPr>
          <w:szCs w:val="24"/>
        </w:rPr>
        <w:t xml:space="preserve">This item inserts a new criterion for the grant of a Subclass 462 visa that, for persons who have held two Subclass 462 visas in Australia (including any currently held) and who are seeking their third Subclass 462 visa, the Minister must be satisfied that they have carried out specified Subclass 462 work for a total period of at least 6 months.  </w:t>
      </w:r>
    </w:p>
    <w:p w14:paraId="7CC83A16" w14:textId="77777777" w:rsidR="00D95A70" w:rsidRPr="00BA01B4" w:rsidRDefault="00D95A70" w:rsidP="00D95A70">
      <w:pPr>
        <w:rPr>
          <w:szCs w:val="24"/>
        </w:rPr>
      </w:pPr>
      <w:r w:rsidRPr="00BA01B4">
        <w:rPr>
          <w:szCs w:val="24"/>
        </w:rPr>
        <w:t xml:space="preserve">The work must have been carried out either while holding their second Subclass 462 visa or while holding a bridging visa granted while waiting for the grant of the second Subclass 462 visa and must have been completed before the application for the third visa as this is a criterion to be satisfied at time of application.  </w:t>
      </w:r>
    </w:p>
    <w:p w14:paraId="28696936" w14:textId="77777777" w:rsidR="00D95A70" w:rsidRPr="00311A86" w:rsidRDefault="00D95A70" w:rsidP="00D95A70">
      <w:pPr>
        <w:rPr>
          <w:szCs w:val="24"/>
        </w:rPr>
      </w:pPr>
      <w:r w:rsidRPr="00BA01B4">
        <w:rPr>
          <w:szCs w:val="24"/>
        </w:rPr>
        <w:t xml:space="preserve">The reason for permitting the work to be carried out while on a bridging visa waiting for the grant of the second Subclass 462 visa (as well as while actually holding the second visa) is because the time spent on a bridging visa waiting for the grant of the second visa is in effect ‘deducted’ from the length of the second visa (see clause 462.513).  Therefore, it is intended that work done during this time may be counted.   However, it is not intended that work carried out while holding the first Subclass 462 visa can be counted, hence the work the can only be counted while holding the relevant bridging visa (after the first Subclass 462 visa has ceased) or while holding the second Subclass 462 </w:t>
      </w:r>
      <w:r w:rsidRPr="00311A86">
        <w:rPr>
          <w:szCs w:val="24"/>
        </w:rPr>
        <w:t xml:space="preserve">visa. It is intended to increase the benefits to regional Australia by encouraging working holiday makers to spend time in regional Australia throughout the span of their visas. </w:t>
      </w:r>
    </w:p>
    <w:p w14:paraId="6EF602F9" w14:textId="77777777" w:rsidR="00D95A70" w:rsidRPr="00BA01B4" w:rsidRDefault="00D95A70" w:rsidP="00D95A70">
      <w:pPr>
        <w:rPr>
          <w:szCs w:val="24"/>
        </w:rPr>
      </w:pPr>
      <w:r w:rsidRPr="00311A86">
        <w:rPr>
          <w:szCs w:val="24"/>
        </w:rPr>
        <w:t>Further requirements are that all of the work must be carri</w:t>
      </w:r>
      <w:r w:rsidRPr="00BA01B4">
        <w:rPr>
          <w:szCs w:val="24"/>
        </w:rPr>
        <w:t xml:space="preserve">ed out on or after 1 July 2019 and the applicant must have been remunerated for that work in accordance with relevant Australian legislation and awards.  </w:t>
      </w:r>
    </w:p>
    <w:p w14:paraId="6EDCF9CC" w14:textId="77777777" w:rsidR="00D95A70" w:rsidRPr="00BA01B4" w:rsidRDefault="00D95A70" w:rsidP="00D95A70">
      <w:pPr>
        <w:rPr>
          <w:i/>
          <w:szCs w:val="24"/>
        </w:rPr>
      </w:pPr>
      <w:r w:rsidRPr="00BA01B4">
        <w:rPr>
          <w:szCs w:val="24"/>
        </w:rPr>
        <w:t xml:space="preserve">If a person was granted a Subclass 462 visa outside Australia and never travelled to Australia on that visa, then that visa is not counted as one of the previous two.  The requirement applies if the person held two Subclass 462 visas </w:t>
      </w:r>
      <w:r w:rsidRPr="00BA01B4">
        <w:rPr>
          <w:i/>
          <w:szCs w:val="24"/>
        </w:rPr>
        <w:t xml:space="preserve">in Australia. </w:t>
      </w:r>
    </w:p>
    <w:p w14:paraId="2E680451" w14:textId="77777777" w:rsidR="00D95A70" w:rsidRPr="00BA01B4" w:rsidRDefault="00D95A70" w:rsidP="00D95A70">
      <w:pPr>
        <w:pStyle w:val="ItemHead"/>
        <w:rPr>
          <w:rFonts w:ascii="Times New Roman" w:hAnsi="Times New Roman"/>
          <w:szCs w:val="24"/>
          <w:u w:val="single"/>
        </w:rPr>
      </w:pPr>
      <w:r w:rsidRPr="00BA01B4">
        <w:rPr>
          <w:rFonts w:ascii="Times New Roman" w:hAnsi="Times New Roman"/>
          <w:szCs w:val="24"/>
          <w:u w:val="single"/>
        </w:rPr>
        <w:t xml:space="preserve">Item 15 - Paragraph </w:t>
      </w:r>
      <w:proofErr w:type="gramStart"/>
      <w:r w:rsidRPr="00BA01B4">
        <w:rPr>
          <w:rFonts w:ascii="Times New Roman" w:hAnsi="Times New Roman"/>
          <w:szCs w:val="24"/>
          <w:u w:val="single"/>
        </w:rPr>
        <w:t>462.221A(</w:t>
      </w:r>
      <w:proofErr w:type="gramEnd"/>
      <w:r w:rsidRPr="00BA01B4">
        <w:rPr>
          <w:rFonts w:ascii="Times New Roman" w:hAnsi="Times New Roman"/>
          <w:szCs w:val="24"/>
          <w:u w:val="single"/>
        </w:rPr>
        <w:t>a) of Schedule 2</w:t>
      </w:r>
    </w:p>
    <w:p w14:paraId="677A5EFB" w14:textId="77777777" w:rsidR="00D95A70" w:rsidRPr="00BA01B4" w:rsidRDefault="00D95A70" w:rsidP="00D95A70">
      <w:pPr>
        <w:rPr>
          <w:szCs w:val="24"/>
        </w:rPr>
      </w:pPr>
      <w:r w:rsidRPr="00BA01B4">
        <w:rPr>
          <w:szCs w:val="24"/>
        </w:rPr>
        <w:t xml:space="preserve">This item makes a consequential amendment to include a reference to new subclause 462.219 as one of the criteria that must continue to be satisfied at time of decision if it applies (refer to Item 14 above).  </w:t>
      </w:r>
    </w:p>
    <w:p w14:paraId="5C9AAEEE" w14:textId="77777777" w:rsidR="00D95A70" w:rsidRPr="00BA01B4" w:rsidRDefault="00D95A70" w:rsidP="00D95A70">
      <w:pPr>
        <w:pStyle w:val="ItemHead"/>
        <w:rPr>
          <w:rFonts w:ascii="Times New Roman" w:hAnsi="Times New Roman"/>
          <w:szCs w:val="24"/>
        </w:rPr>
      </w:pPr>
      <w:r w:rsidRPr="00BA01B4">
        <w:rPr>
          <w:rFonts w:ascii="Times New Roman" w:hAnsi="Times New Roman"/>
          <w:szCs w:val="24"/>
          <w:u w:val="single"/>
        </w:rPr>
        <w:t>Item 16 - At the end of Subdivision 462.22 of Schedule</w:t>
      </w:r>
      <w:r w:rsidRPr="00BA01B4">
        <w:rPr>
          <w:rFonts w:ascii="Times New Roman" w:hAnsi="Times New Roman"/>
          <w:szCs w:val="24"/>
        </w:rPr>
        <w:t xml:space="preserve"> 2</w:t>
      </w:r>
    </w:p>
    <w:p w14:paraId="3535C1F2" w14:textId="77777777" w:rsidR="00D95A70" w:rsidRPr="00BA01B4" w:rsidRDefault="00D95A70" w:rsidP="00D95A70">
      <w:pPr>
        <w:rPr>
          <w:szCs w:val="24"/>
        </w:rPr>
      </w:pPr>
      <w:r w:rsidRPr="00BA01B4">
        <w:rPr>
          <w:szCs w:val="24"/>
        </w:rPr>
        <w:t xml:space="preserve">The effect of this item is to increase the maximum number of Subclass 462 visas that can be held in Australia from two to three. </w:t>
      </w:r>
    </w:p>
    <w:p w14:paraId="6A5E2073" w14:textId="77777777" w:rsidR="00D95A70" w:rsidRPr="00BA01B4" w:rsidRDefault="00D95A70" w:rsidP="00D95A70">
      <w:pPr>
        <w:rPr>
          <w:szCs w:val="24"/>
        </w:rPr>
      </w:pPr>
      <w:r w:rsidRPr="00BA01B4">
        <w:rPr>
          <w:szCs w:val="24"/>
        </w:rPr>
        <w:lastRenderedPageBreak/>
        <w:t xml:space="preserve">Previously, a person could only be granted another Subclass 462 visa if they had only held one Subclass 462 visa in Australia (including any held at the time of grant), with the effect that a person could hold a maximum of two Subclass 462 visas in Australia. </w:t>
      </w:r>
    </w:p>
    <w:p w14:paraId="380FDD2E" w14:textId="77777777" w:rsidR="00D95A70" w:rsidRPr="00BA01B4" w:rsidRDefault="00D95A70" w:rsidP="00D95A70">
      <w:pPr>
        <w:rPr>
          <w:szCs w:val="24"/>
        </w:rPr>
      </w:pPr>
      <w:r w:rsidRPr="00BA01B4">
        <w:rPr>
          <w:szCs w:val="24"/>
        </w:rPr>
        <w:t xml:space="preserve">The provision now ensures that a person can only be granted another Subclass 462 visa if they have only held two Subclass 462 visas in Australia (including any held at the time of grant), with the effect that a person can hold a maximum of three Subclass 462 visas in Australia. </w:t>
      </w:r>
    </w:p>
    <w:p w14:paraId="53A4FBC9" w14:textId="77777777" w:rsidR="00D95A70" w:rsidRPr="00BA01B4" w:rsidRDefault="00D95A70" w:rsidP="00D95A70">
      <w:pPr>
        <w:rPr>
          <w:szCs w:val="24"/>
        </w:rPr>
      </w:pPr>
      <w:r w:rsidRPr="00BA01B4">
        <w:rPr>
          <w:szCs w:val="24"/>
        </w:rPr>
        <w:t>If a person was granted a Subclass 462 visa outside Australia and never travelled to Australia on that visa, then that visa is not counted as one of the permitted visas.  The limit is a maximum of three Subclass 462 visas held (for any length) in Australia.</w:t>
      </w:r>
    </w:p>
    <w:p w14:paraId="7B5C3232" w14:textId="77777777" w:rsidR="00D95A70" w:rsidRPr="00BA01B4" w:rsidRDefault="00D95A70" w:rsidP="00D95A70">
      <w:pPr>
        <w:pStyle w:val="ItemHead"/>
        <w:rPr>
          <w:rFonts w:ascii="Times New Roman" w:hAnsi="Times New Roman"/>
          <w:szCs w:val="24"/>
          <w:u w:val="single"/>
        </w:rPr>
      </w:pPr>
      <w:r w:rsidRPr="00BA01B4">
        <w:rPr>
          <w:rFonts w:ascii="Times New Roman" w:hAnsi="Times New Roman"/>
          <w:szCs w:val="24"/>
          <w:u w:val="single"/>
        </w:rPr>
        <w:t>Item 17 - In the appropriate position in Schedule 13</w:t>
      </w:r>
    </w:p>
    <w:p w14:paraId="1AFEA2C0" w14:textId="77777777" w:rsidR="00D95A70" w:rsidRPr="00BA01B4" w:rsidRDefault="00D95A70" w:rsidP="00D95A70">
      <w:pPr>
        <w:rPr>
          <w:szCs w:val="24"/>
        </w:rPr>
      </w:pPr>
      <w:r w:rsidRPr="00BA01B4">
        <w:rPr>
          <w:szCs w:val="24"/>
        </w:rPr>
        <w:t>This item provides that the</w:t>
      </w:r>
      <w:r>
        <w:rPr>
          <w:szCs w:val="24"/>
        </w:rPr>
        <w:t xml:space="preserve">se amendments only apply to </w:t>
      </w:r>
      <w:r w:rsidRPr="00BA01B4">
        <w:rPr>
          <w:szCs w:val="24"/>
        </w:rPr>
        <w:t xml:space="preserve">visa applications made on or after 1 July 2019. </w:t>
      </w:r>
    </w:p>
    <w:p w14:paraId="35B65985" w14:textId="77777777" w:rsidR="00D95A70" w:rsidRPr="00BA01B4" w:rsidRDefault="00D95A70" w:rsidP="00D95A70">
      <w:pPr>
        <w:rPr>
          <w:szCs w:val="24"/>
        </w:rPr>
      </w:pPr>
    </w:p>
    <w:p w14:paraId="2F951EE1" w14:textId="77777777" w:rsidR="00D95A70" w:rsidRPr="00BA01B4" w:rsidRDefault="00D95A70" w:rsidP="00D95A70">
      <w:pPr>
        <w:rPr>
          <w:szCs w:val="24"/>
        </w:rPr>
      </w:pPr>
    </w:p>
    <w:p w14:paraId="5FCC2E32" w14:textId="1A7618E9" w:rsidR="00FA7806" w:rsidRDefault="00FA7806" w:rsidP="00FA7806">
      <w:pPr>
        <w:spacing w:before="0"/>
        <w:rPr>
          <w:szCs w:val="24"/>
          <w:u w:val="single"/>
        </w:rPr>
      </w:pPr>
    </w:p>
    <w:p w14:paraId="785C08E1" w14:textId="77777777" w:rsidR="00FA7806" w:rsidRDefault="00FA7806" w:rsidP="00FA7806">
      <w:pPr>
        <w:spacing w:before="0"/>
        <w:rPr>
          <w:szCs w:val="24"/>
          <w:u w:val="single"/>
        </w:rPr>
      </w:pPr>
    </w:p>
    <w:p w14:paraId="70E0AC41" w14:textId="77777777" w:rsidR="00FA7806" w:rsidRDefault="00FA7806" w:rsidP="00FA7806">
      <w:pPr>
        <w:spacing w:before="0"/>
        <w:rPr>
          <w:szCs w:val="24"/>
          <w:u w:val="single"/>
        </w:rPr>
      </w:pPr>
    </w:p>
    <w:p w14:paraId="372F444E" w14:textId="77777777" w:rsidR="00FA7806" w:rsidRDefault="00FA7806" w:rsidP="00FA7806">
      <w:pPr>
        <w:spacing w:before="0"/>
        <w:rPr>
          <w:szCs w:val="24"/>
          <w:u w:val="single"/>
        </w:rPr>
      </w:pPr>
    </w:p>
    <w:p w14:paraId="0FD4C747" w14:textId="77777777" w:rsidR="00FA7806" w:rsidRDefault="00FA7806" w:rsidP="00FA7806">
      <w:pPr>
        <w:spacing w:before="0"/>
        <w:rPr>
          <w:szCs w:val="24"/>
          <w:u w:val="single"/>
        </w:rPr>
      </w:pPr>
    </w:p>
    <w:p w14:paraId="0397E688" w14:textId="594881A0" w:rsidR="00FA7806" w:rsidRDefault="00FA7806" w:rsidP="00D95A70">
      <w:pPr>
        <w:spacing w:before="0"/>
        <w:jc w:val="right"/>
        <w:rPr>
          <w:color w:val="000000" w:themeColor="text1"/>
          <w:szCs w:val="24"/>
        </w:rPr>
      </w:pPr>
      <w:r>
        <w:rPr>
          <w:rFonts w:eastAsiaTheme="minorHAnsi"/>
          <w:szCs w:val="24"/>
          <w:lang w:eastAsia="en-US"/>
        </w:rPr>
        <w:tab/>
      </w:r>
      <w:r>
        <w:rPr>
          <w:rFonts w:eastAsiaTheme="minorHAnsi"/>
          <w:szCs w:val="24"/>
          <w:lang w:eastAsia="en-US"/>
        </w:rPr>
        <w:tab/>
      </w:r>
      <w:r>
        <w:rPr>
          <w:rFonts w:eastAsiaTheme="minorHAnsi"/>
          <w:szCs w:val="24"/>
          <w:lang w:eastAsia="en-US"/>
        </w:rPr>
        <w:tab/>
      </w:r>
      <w:r>
        <w:rPr>
          <w:rFonts w:eastAsiaTheme="minorHAnsi"/>
          <w:szCs w:val="24"/>
          <w:lang w:eastAsia="en-US"/>
        </w:rPr>
        <w:tab/>
      </w:r>
      <w:r>
        <w:rPr>
          <w:rFonts w:eastAsiaTheme="minorHAnsi"/>
          <w:szCs w:val="24"/>
          <w:lang w:eastAsia="en-US"/>
        </w:rPr>
        <w:tab/>
      </w:r>
      <w:r>
        <w:rPr>
          <w:rFonts w:eastAsiaTheme="minorHAnsi"/>
          <w:szCs w:val="24"/>
          <w:lang w:eastAsia="en-US"/>
        </w:rPr>
        <w:tab/>
      </w:r>
      <w:r>
        <w:rPr>
          <w:rFonts w:eastAsiaTheme="minorHAnsi"/>
          <w:szCs w:val="24"/>
          <w:lang w:eastAsia="en-US"/>
        </w:rPr>
        <w:tab/>
      </w:r>
      <w:r>
        <w:rPr>
          <w:rFonts w:eastAsiaTheme="minorHAnsi"/>
          <w:szCs w:val="24"/>
          <w:lang w:eastAsia="en-US"/>
        </w:rPr>
        <w:tab/>
      </w:r>
      <w:r>
        <w:rPr>
          <w:color w:val="000000" w:themeColor="text1"/>
          <w:szCs w:val="24"/>
        </w:rPr>
        <w:t xml:space="preserve"> </w:t>
      </w:r>
    </w:p>
    <w:p w14:paraId="228FF683" w14:textId="77777777" w:rsidR="00FA7806" w:rsidRPr="00FA7806" w:rsidRDefault="00FA7806" w:rsidP="00FA7806">
      <w:pPr>
        <w:spacing w:before="0"/>
        <w:rPr>
          <w:rFonts w:eastAsiaTheme="minorHAnsi"/>
          <w:szCs w:val="24"/>
          <w:lang w:eastAsia="en-US"/>
        </w:rPr>
      </w:pPr>
    </w:p>
    <w:sectPr w:rsidR="00FA7806" w:rsidRPr="00FA7806" w:rsidSect="00AD48DA">
      <w:headerReference w:type="default" r:id="rId12"/>
      <w:pgSz w:w="11906" w:h="16838"/>
      <w:pgMar w:top="1440"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8198C" w14:textId="77777777" w:rsidR="00D8034E" w:rsidRDefault="00D8034E" w:rsidP="007A1709">
      <w:pPr>
        <w:spacing w:before="0"/>
      </w:pPr>
      <w:r>
        <w:separator/>
      </w:r>
    </w:p>
  </w:endnote>
  <w:endnote w:type="continuationSeparator" w:id="0">
    <w:p w14:paraId="01E00B58" w14:textId="77777777" w:rsidR="00D8034E" w:rsidRDefault="00D8034E" w:rsidP="007A170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4AA43" w14:textId="77777777" w:rsidR="00D8034E" w:rsidRDefault="00D8034E" w:rsidP="007A1709">
      <w:pPr>
        <w:spacing w:before="0"/>
      </w:pPr>
      <w:r>
        <w:separator/>
      </w:r>
    </w:p>
  </w:footnote>
  <w:footnote w:type="continuationSeparator" w:id="0">
    <w:p w14:paraId="6DA68F3E" w14:textId="77777777" w:rsidR="00D8034E" w:rsidRDefault="00D8034E" w:rsidP="007A170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811296"/>
      <w:docPartObj>
        <w:docPartGallery w:val="Page Numbers (Top of Page)"/>
        <w:docPartUnique/>
      </w:docPartObj>
    </w:sdtPr>
    <w:sdtEndPr>
      <w:rPr>
        <w:noProof/>
      </w:rPr>
    </w:sdtEndPr>
    <w:sdtContent>
      <w:p w14:paraId="637F5728" w14:textId="3592FF07" w:rsidR="00D8034E" w:rsidRDefault="00D8034E">
        <w:pPr>
          <w:pStyle w:val="Header"/>
          <w:jc w:val="center"/>
        </w:pPr>
        <w:r>
          <w:fldChar w:fldCharType="begin"/>
        </w:r>
        <w:r>
          <w:instrText xml:space="preserve"> PAGE   \* MERGEFORMAT </w:instrText>
        </w:r>
        <w:r>
          <w:fldChar w:fldCharType="separate"/>
        </w:r>
        <w:r w:rsidR="009A06BB">
          <w:rPr>
            <w:noProof/>
          </w:rPr>
          <w:t>2</w:t>
        </w:r>
        <w:r>
          <w:rPr>
            <w:noProof/>
          </w:rPr>
          <w:fldChar w:fldCharType="end"/>
        </w:r>
      </w:p>
    </w:sdtContent>
  </w:sdt>
  <w:p w14:paraId="273F8874" w14:textId="77777777" w:rsidR="00D8034E" w:rsidRDefault="00D80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86512"/>
      <w:docPartObj>
        <w:docPartGallery w:val="Page Numbers (Top of Page)"/>
        <w:docPartUnique/>
      </w:docPartObj>
    </w:sdtPr>
    <w:sdtEndPr>
      <w:rPr>
        <w:noProof/>
      </w:rPr>
    </w:sdtEndPr>
    <w:sdtContent>
      <w:p w14:paraId="2259446F" w14:textId="52FD7A31" w:rsidR="00D8034E" w:rsidRDefault="00D8034E">
        <w:pPr>
          <w:pStyle w:val="Header"/>
          <w:jc w:val="center"/>
        </w:pPr>
        <w:r>
          <w:fldChar w:fldCharType="begin"/>
        </w:r>
        <w:r>
          <w:instrText xml:space="preserve"> PAGE   \* MERGEFORMAT </w:instrText>
        </w:r>
        <w:r>
          <w:fldChar w:fldCharType="separate"/>
        </w:r>
        <w:r w:rsidR="009A06BB">
          <w:rPr>
            <w:noProof/>
          </w:rPr>
          <w:t>13</w:t>
        </w:r>
        <w:r>
          <w:rPr>
            <w:noProof/>
          </w:rPr>
          <w:fldChar w:fldCharType="end"/>
        </w:r>
      </w:p>
    </w:sdtContent>
  </w:sdt>
  <w:p w14:paraId="55A328BF" w14:textId="77777777" w:rsidR="00D8034E" w:rsidRDefault="00D80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9EC"/>
    <w:multiLevelType w:val="hybridMultilevel"/>
    <w:tmpl w:val="99F245A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41F20"/>
    <w:multiLevelType w:val="hybridMultilevel"/>
    <w:tmpl w:val="93ACC424"/>
    <w:lvl w:ilvl="0" w:tplc="0C090001">
      <w:start w:val="1"/>
      <w:numFmt w:val="bullet"/>
      <w:lvlText w:val=""/>
      <w:lvlJc w:val="left"/>
      <w:pPr>
        <w:ind w:left="1206" w:hanging="360"/>
      </w:pPr>
      <w:rPr>
        <w:rFonts w:ascii="Symbol" w:hAnsi="Symbol" w:hint="default"/>
      </w:rPr>
    </w:lvl>
    <w:lvl w:ilvl="1" w:tplc="0C090003" w:tentative="1">
      <w:start w:val="1"/>
      <w:numFmt w:val="bullet"/>
      <w:lvlText w:val="o"/>
      <w:lvlJc w:val="left"/>
      <w:pPr>
        <w:ind w:left="1926" w:hanging="360"/>
      </w:pPr>
      <w:rPr>
        <w:rFonts w:ascii="Courier New" w:hAnsi="Courier New" w:cs="Courier New" w:hint="default"/>
      </w:rPr>
    </w:lvl>
    <w:lvl w:ilvl="2" w:tplc="0C090005" w:tentative="1">
      <w:start w:val="1"/>
      <w:numFmt w:val="bullet"/>
      <w:lvlText w:val=""/>
      <w:lvlJc w:val="left"/>
      <w:pPr>
        <w:ind w:left="2646" w:hanging="360"/>
      </w:pPr>
      <w:rPr>
        <w:rFonts w:ascii="Wingdings" w:hAnsi="Wingdings" w:hint="default"/>
      </w:rPr>
    </w:lvl>
    <w:lvl w:ilvl="3" w:tplc="0C090001" w:tentative="1">
      <w:start w:val="1"/>
      <w:numFmt w:val="bullet"/>
      <w:lvlText w:val=""/>
      <w:lvlJc w:val="left"/>
      <w:pPr>
        <w:ind w:left="3366" w:hanging="360"/>
      </w:pPr>
      <w:rPr>
        <w:rFonts w:ascii="Symbol" w:hAnsi="Symbol" w:hint="default"/>
      </w:rPr>
    </w:lvl>
    <w:lvl w:ilvl="4" w:tplc="0C090003" w:tentative="1">
      <w:start w:val="1"/>
      <w:numFmt w:val="bullet"/>
      <w:lvlText w:val="o"/>
      <w:lvlJc w:val="left"/>
      <w:pPr>
        <w:ind w:left="4086" w:hanging="360"/>
      </w:pPr>
      <w:rPr>
        <w:rFonts w:ascii="Courier New" w:hAnsi="Courier New" w:cs="Courier New" w:hint="default"/>
      </w:rPr>
    </w:lvl>
    <w:lvl w:ilvl="5" w:tplc="0C090005" w:tentative="1">
      <w:start w:val="1"/>
      <w:numFmt w:val="bullet"/>
      <w:lvlText w:val=""/>
      <w:lvlJc w:val="left"/>
      <w:pPr>
        <w:ind w:left="4806" w:hanging="360"/>
      </w:pPr>
      <w:rPr>
        <w:rFonts w:ascii="Wingdings" w:hAnsi="Wingdings" w:hint="default"/>
      </w:rPr>
    </w:lvl>
    <w:lvl w:ilvl="6" w:tplc="0C090001" w:tentative="1">
      <w:start w:val="1"/>
      <w:numFmt w:val="bullet"/>
      <w:lvlText w:val=""/>
      <w:lvlJc w:val="left"/>
      <w:pPr>
        <w:ind w:left="5526" w:hanging="360"/>
      </w:pPr>
      <w:rPr>
        <w:rFonts w:ascii="Symbol" w:hAnsi="Symbol" w:hint="default"/>
      </w:rPr>
    </w:lvl>
    <w:lvl w:ilvl="7" w:tplc="0C090003" w:tentative="1">
      <w:start w:val="1"/>
      <w:numFmt w:val="bullet"/>
      <w:lvlText w:val="o"/>
      <w:lvlJc w:val="left"/>
      <w:pPr>
        <w:ind w:left="6246" w:hanging="360"/>
      </w:pPr>
      <w:rPr>
        <w:rFonts w:ascii="Courier New" w:hAnsi="Courier New" w:cs="Courier New" w:hint="default"/>
      </w:rPr>
    </w:lvl>
    <w:lvl w:ilvl="8" w:tplc="0C090005" w:tentative="1">
      <w:start w:val="1"/>
      <w:numFmt w:val="bullet"/>
      <w:lvlText w:val=""/>
      <w:lvlJc w:val="left"/>
      <w:pPr>
        <w:ind w:left="6966" w:hanging="360"/>
      </w:pPr>
      <w:rPr>
        <w:rFonts w:ascii="Wingdings" w:hAnsi="Wingdings" w:hint="default"/>
      </w:rPr>
    </w:lvl>
  </w:abstractNum>
  <w:abstractNum w:abstractNumId="2" w15:restartNumberingAfterBreak="0">
    <w:nsid w:val="0A58096B"/>
    <w:multiLevelType w:val="hybridMultilevel"/>
    <w:tmpl w:val="8D1614C4"/>
    <w:lvl w:ilvl="0" w:tplc="351E2ABA">
      <w:start w:val="12"/>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BE045F4"/>
    <w:multiLevelType w:val="hybridMultilevel"/>
    <w:tmpl w:val="6EE82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B44FDE"/>
    <w:multiLevelType w:val="singleLevel"/>
    <w:tmpl w:val="88CA48B0"/>
    <w:lvl w:ilvl="0">
      <w:start w:val="1"/>
      <w:numFmt w:val="decimal"/>
      <w:pStyle w:val="DINumberedParagraph"/>
      <w:lvlText w:val="%1."/>
      <w:lvlJc w:val="left"/>
      <w:pPr>
        <w:tabs>
          <w:tab w:val="num" w:pos="360"/>
        </w:tabs>
        <w:ind w:left="0" w:firstLine="0"/>
      </w:pPr>
      <w:rPr>
        <w:rFonts w:hint="default"/>
        <w:i w:val="0"/>
      </w:rPr>
    </w:lvl>
  </w:abstractNum>
  <w:abstractNum w:abstractNumId="5" w15:restartNumberingAfterBreak="0">
    <w:nsid w:val="1B42711C"/>
    <w:multiLevelType w:val="hybridMultilevel"/>
    <w:tmpl w:val="C4A44DCA"/>
    <w:lvl w:ilvl="0" w:tplc="8DF0A45E">
      <w:start w:val="1"/>
      <w:numFmt w:val="decimal"/>
      <w:lvlText w:val="%1."/>
      <w:lvlJc w:val="left"/>
      <w:pPr>
        <w:ind w:left="360" w:hanging="360"/>
      </w:pPr>
      <w:rPr>
        <w:rFonts w:asciiTheme="minorHAnsi" w:hAnsiTheme="minorHAnsi" w:cstheme="minorHAnsi" w:hint="default"/>
        <w:strike w:val="0"/>
      </w:rPr>
    </w:lvl>
    <w:lvl w:ilvl="1" w:tplc="0C090001">
      <w:start w:val="1"/>
      <w:numFmt w:val="bullet"/>
      <w:lvlText w:val=""/>
      <w:lvlJc w:val="left"/>
      <w:pPr>
        <w:ind w:left="1080" w:hanging="360"/>
      </w:pPr>
      <w:rPr>
        <w:rFonts w:ascii="Symbol" w:hAnsi="Symbol" w:hint="default"/>
        <w:strike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7300669"/>
    <w:multiLevelType w:val="hybridMultilevel"/>
    <w:tmpl w:val="1978827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32B2072A"/>
    <w:multiLevelType w:val="hybridMultilevel"/>
    <w:tmpl w:val="6F5EC6AC"/>
    <w:lvl w:ilvl="0" w:tplc="2536F6D2">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C86890"/>
    <w:multiLevelType w:val="hybridMultilevel"/>
    <w:tmpl w:val="4B1AB852"/>
    <w:lvl w:ilvl="0" w:tplc="D32A7C34">
      <w:start w:val="1"/>
      <w:numFmt w:val="lowerLetter"/>
      <w:lvlText w:val="(%1)"/>
      <w:lvlJc w:val="left"/>
      <w:pPr>
        <w:ind w:left="720" w:hanging="360"/>
      </w:pPr>
      <w:rPr>
        <w:rFonts w:ascii="Times New Roman" w:eastAsiaTheme="minorHAnsi" w:hAnsi="Times New Roman" w:cs="Times New Roman"/>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730C84"/>
    <w:multiLevelType w:val="hybridMultilevel"/>
    <w:tmpl w:val="3C5635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11C048E"/>
    <w:multiLevelType w:val="hybridMultilevel"/>
    <w:tmpl w:val="972859C4"/>
    <w:lvl w:ilvl="0" w:tplc="E8FA796E">
      <w:start w:val="1"/>
      <w:numFmt w:val="bullet"/>
      <w:lvlText w:val=""/>
      <w:lvlJc w:val="left"/>
      <w:pPr>
        <w:ind w:left="842" w:hanging="360"/>
      </w:pPr>
      <w:rPr>
        <w:rFonts w:ascii="Symbol" w:hAnsi="Symbol" w:hint="default"/>
      </w:rPr>
    </w:lvl>
    <w:lvl w:ilvl="1" w:tplc="0C090003" w:tentative="1">
      <w:start w:val="1"/>
      <w:numFmt w:val="bullet"/>
      <w:lvlText w:val="o"/>
      <w:lvlJc w:val="left"/>
      <w:pPr>
        <w:ind w:left="1562" w:hanging="360"/>
      </w:pPr>
      <w:rPr>
        <w:rFonts w:ascii="Courier New" w:hAnsi="Courier New" w:cs="Courier New" w:hint="default"/>
      </w:rPr>
    </w:lvl>
    <w:lvl w:ilvl="2" w:tplc="0C090005" w:tentative="1">
      <w:start w:val="1"/>
      <w:numFmt w:val="bullet"/>
      <w:lvlText w:val=""/>
      <w:lvlJc w:val="left"/>
      <w:pPr>
        <w:ind w:left="2282" w:hanging="360"/>
      </w:pPr>
      <w:rPr>
        <w:rFonts w:ascii="Wingdings" w:hAnsi="Wingdings" w:hint="default"/>
      </w:rPr>
    </w:lvl>
    <w:lvl w:ilvl="3" w:tplc="0C090001" w:tentative="1">
      <w:start w:val="1"/>
      <w:numFmt w:val="bullet"/>
      <w:lvlText w:val=""/>
      <w:lvlJc w:val="left"/>
      <w:pPr>
        <w:ind w:left="3002" w:hanging="360"/>
      </w:pPr>
      <w:rPr>
        <w:rFonts w:ascii="Symbol" w:hAnsi="Symbol" w:hint="default"/>
      </w:rPr>
    </w:lvl>
    <w:lvl w:ilvl="4" w:tplc="0C090003" w:tentative="1">
      <w:start w:val="1"/>
      <w:numFmt w:val="bullet"/>
      <w:lvlText w:val="o"/>
      <w:lvlJc w:val="left"/>
      <w:pPr>
        <w:ind w:left="3722" w:hanging="360"/>
      </w:pPr>
      <w:rPr>
        <w:rFonts w:ascii="Courier New" w:hAnsi="Courier New" w:cs="Courier New" w:hint="default"/>
      </w:rPr>
    </w:lvl>
    <w:lvl w:ilvl="5" w:tplc="0C090005" w:tentative="1">
      <w:start w:val="1"/>
      <w:numFmt w:val="bullet"/>
      <w:lvlText w:val=""/>
      <w:lvlJc w:val="left"/>
      <w:pPr>
        <w:ind w:left="4442" w:hanging="360"/>
      </w:pPr>
      <w:rPr>
        <w:rFonts w:ascii="Wingdings" w:hAnsi="Wingdings" w:hint="default"/>
      </w:rPr>
    </w:lvl>
    <w:lvl w:ilvl="6" w:tplc="0C090001" w:tentative="1">
      <w:start w:val="1"/>
      <w:numFmt w:val="bullet"/>
      <w:lvlText w:val=""/>
      <w:lvlJc w:val="left"/>
      <w:pPr>
        <w:ind w:left="5162" w:hanging="360"/>
      </w:pPr>
      <w:rPr>
        <w:rFonts w:ascii="Symbol" w:hAnsi="Symbol" w:hint="default"/>
      </w:rPr>
    </w:lvl>
    <w:lvl w:ilvl="7" w:tplc="0C090003" w:tentative="1">
      <w:start w:val="1"/>
      <w:numFmt w:val="bullet"/>
      <w:lvlText w:val="o"/>
      <w:lvlJc w:val="left"/>
      <w:pPr>
        <w:ind w:left="5882" w:hanging="360"/>
      </w:pPr>
      <w:rPr>
        <w:rFonts w:ascii="Courier New" w:hAnsi="Courier New" w:cs="Courier New" w:hint="default"/>
      </w:rPr>
    </w:lvl>
    <w:lvl w:ilvl="8" w:tplc="0C090005" w:tentative="1">
      <w:start w:val="1"/>
      <w:numFmt w:val="bullet"/>
      <w:lvlText w:val=""/>
      <w:lvlJc w:val="left"/>
      <w:pPr>
        <w:ind w:left="6602" w:hanging="360"/>
      </w:pPr>
      <w:rPr>
        <w:rFonts w:ascii="Wingdings" w:hAnsi="Wingdings" w:hint="default"/>
      </w:rPr>
    </w:lvl>
  </w:abstractNum>
  <w:abstractNum w:abstractNumId="11" w15:restartNumberingAfterBreak="0">
    <w:nsid w:val="42725F2D"/>
    <w:multiLevelType w:val="hybridMultilevel"/>
    <w:tmpl w:val="1BE80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C070D0"/>
    <w:multiLevelType w:val="hybridMultilevel"/>
    <w:tmpl w:val="B6C2D8A8"/>
    <w:lvl w:ilvl="0" w:tplc="6A92BF18">
      <w:start w:val="3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9A6CDA"/>
    <w:multiLevelType w:val="hybridMultilevel"/>
    <w:tmpl w:val="6DF02712"/>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4" w15:restartNumberingAfterBreak="0">
    <w:nsid w:val="48146F64"/>
    <w:multiLevelType w:val="hybridMultilevel"/>
    <w:tmpl w:val="1DFA7B8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345056"/>
    <w:multiLevelType w:val="hybridMultilevel"/>
    <w:tmpl w:val="3BE29F5C"/>
    <w:lvl w:ilvl="0" w:tplc="A9B2A96C">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C8674C2"/>
    <w:multiLevelType w:val="hybridMultilevel"/>
    <w:tmpl w:val="11EC0CC8"/>
    <w:lvl w:ilvl="0" w:tplc="E8FA796E">
      <w:start w:val="1"/>
      <w:numFmt w:val="bullet"/>
      <w:lvlText w:val=""/>
      <w:lvlJc w:val="left"/>
      <w:pPr>
        <w:ind w:left="1503" w:hanging="360"/>
      </w:pPr>
      <w:rPr>
        <w:rFonts w:ascii="Symbol" w:hAnsi="Symbol" w:hint="default"/>
      </w:rPr>
    </w:lvl>
    <w:lvl w:ilvl="1" w:tplc="0C090003" w:tentative="1">
      <w:start w:val="1"/>
      <w:numFmt w:val="bullet"/>
      <w:lvlText w:val="o"/>
      <w:lvlJc w:val="left"/>
      <w:pPr>
        <w:ind w:left="2223" w:hanging="360"/>
      </w:pPr>
      <w:rPr>
        <w:rFonts w:ascii="Courier New" w:hAnsi="Courier New" w:cs="Courier New" w:hint="default"/>
      </w:rPr>
    </w:lvl>
    <w:lvl w:ilvl="2" w:tplc="0C090005" w:tentative="1">
      <w:start w:val="1"/>
      <w:numFmt w:val="bullet"/>
      <w:lvlText w:val=""/>
      <w:lvlJc w:val="left"/>
      <w:pPr>
        <w:ind w:left="2943" w:hanging="360"/>
      </w:pPr>
      <w:rPr>
        <w:rFonts w:ascii="Wingdings" w:hAnsi="Wingdings" w:hint="default"/>
      </w:rPr>
    </w:lvl>
    <w:lvl w:ilvl="3" w:tplc="0C090001" w:tentative="1">
      <w:start w:val="1"/>
      <w:numFmt w:val="bullet"/>
      <w:lvlText w:val=""/>
      <w:lvlJc w:val="left"/>
      <w:pPr>
        <w:ind w:left="3663" w:hanging="360"/>
      </w:pPr>
      <w:rPr>
        <w:rFonts w:ascii="Symbol" w:hAnsi="Symbol" w:hint="default"/>
      </w:rPr>
    </w:lvl>
    <w:lvl w:ilvl="4" w:tplc="0C090003" w:tentative="1">
      <w:start w:val="1"/>
      <w:numFmt w:val="bullet"/>
      <w:lvlText w:val="o"/>
      <w:lvlJc w:val="left"/>
      <w:pPr>
        <w:ind w:left="4383" w:hanging="360"/>
      </w:pPr>
      <w:rPr>
        <w:rFonts w:ascii="Courier New" w:hAnsi="Courier New" w:cs="Courier New" w:hint="default"/>
      </w:rPr>
    </w:lvl>
    <w:lvl w:ilvl="5" w:tplc="0C090005" w:tentative="1">
      <w:start w:val="1"/>
      <w:numFmt w:val="bullet"/>
      <w:lvlText w:val=""/>
      <w:lvlJc w:val="left"/>
      <w:pPr>
        <w:ind w:left="5103" w:hanging="360"/>
      </w:pPr>
      <w:rPr>
        <w:rFonts w:ascii="Wingdings" w:hAnsi="Wingdings" w:hint="default"/>
      </w:rPr>
    </w:lvl>
    <w:lvl w:ilvl="6" w:tplc="0C090001" w:tentative="1">
      <w:start w:val="1"/>
      <w:numFmt w:val="bullet"/>
      <w:lvlText w:val=""/>
      <w:lvlJc w:val="left"/>
      <w:pPr>
        <w:ind w:left="5823" w:hanging="360"/>
      </w:pPr>
      <w:rPr>
        <w:rFonts w:ascii="Symbol" w:hAnsi="Symbol" w:hint="default"/>
      </w:rPr>
    </w:lvl>
    <w:lvl w:ilvl="7" w:tplc="0C090003" w:tentative="1">
      <w:start w:val="1"/>
      <w:numFmt w:val="bullet"/>
      <w:lvlText w:val="o"/>
      <w:lvlJc w:val="left"/>
      <w:pPr>
        <w:ind w:left="6543" w:hanging="360"/>
      </w:pPr>
      <w:rPr>
        <w:rFonts w:ascii="Courier New" w:hAnsi="Courier New" w:cs="Courier New" w:hint="default"/>
      </w:rPr>
    </w:lvl>
    <w:lvl w:ilvl="8" w:tplc="0C090005" w:tentative="1">
      <w:start w:val="1"/>
      <w:numFmt w:val="bullet"/>
      <w:lvlText w:val=""/>
      <w:lvlJc w:val="left"/>
      <w:pPr>
        <w:ind w:left="7263" w:hanging="360"/>
      </w:pPr>
      <w:rPr>
        <w:rFonts w:ascii="Wingdings" w:hAnsi="Wingdings" w:hint="default"/>
      </w:rPr>
    </w:lvl>
  </w:abstractNum>
  <w:abstractNum w:abstractNumId="17" w15:restartNumberingAfterBreak="0">
    <w:nsid w:val="4EC40645"/>
    <w:multiLevelType w:val="hybridMultilevel"/>
    <w:tmpl w:val="ABBE2E20"/>
    <w:lvl w:ilvl="0" w:tplc="CE04FF56">
      <w:start w:val="1"/>
      <w:numFmt w:val="lowerLetter"/>
      <w:lvlText w:val="(%1)"/>
      <w:lvlJc w:val="left"/>
      <w:pPr>
        <w:ind w:left="720" w:hanging="360"/>
      </w:pPr>
      <w:rPr>
        <w:rFonts w:hint="default"/>
      </w:rPr>
    </w:lvl>
    <w:lvl w:ilvl="1" w:tplc="0C602900">
      <w:start w:val="1"/>
      <w:numFmt w:val="lowerRoman"/>
      <w:lvlText w:val="%2."/>
      <w:lvlJc w:val="left"/>
      <w:pPr>
        <w:ind w:left="1440" w:hanging="360"/>
      </w:pPr>
      <w:rPr>
        <w:rFonts w:ascii="Times New Roman" w:eastAsiaTheme="minorHAnsi" w:hAnsi="Times New Roman"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72431B"/>
    <w:multiLevelType w:val="hybridMultilevel"/>
    <w:tmpl w:val="79A675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601182"/>
    <w:multiLevelType w:val="hybridMultilevel"/>
    <w:tmpl w:val="57E2DE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05234D"/>
    <w:multiLevelType w:val="hybridMultilevel"/>
    <w:tmpl w:val="0448BE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4E107E"/>
    <w:multiLevelType w:val="hybridMultilevel"/>
    <w:tmpl w:val="E0F81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78155A"/>
    <w:multiLevelType w:val="hybridMultilevel"/>
    <w:tmpl w:val="9E9687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FE22FD1"/>
    <w:multiLevelType w:val="hybridMultilevel"/>
    <w:tmpl w:val="B2BC65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0C81320"/>
    <w:multiLevelType w:val="hybridMultilevel"/>
    <w:tmpl w:val="E6C6EB9A"/>
    <w:lvl w:ilvl="0" w:tplc="E8FA79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671379"/>
    <w:multiLevelType w:val="hybridMultilevel"/>
    <w:tmpl w:val="70D29A5E"/>
    <w:lvl w:ilvl="0" w:tplc="E8FA796E">
      <w:start w:val="1"/>
      <w:numFmt w:val="bullet"/>
      <w:lvlText w:val=""/>
      <w:lvlJc w:val="left"/>
      <w:pPr>
        <w:ind w:left="842" w:hanging="360"/>
      </w:pPr>
      <w:rPr>
        <w:rFonts w:ascii="Symbol" w:hAnsi="Symbol" w:hint="default"/>
      </w:rPr>
    </w:lvl>
    <w:lvl w:ilvl="1" w:tplc="0C090003" w:tentative="1">
      <w:start w:val="1"/>
      <w:numFmt w:val="bullet"/>
      <w:lvlText w:val="o"/>
      <w:lvlJc w:val="left"/>
      <w:pPr>
        <w:ind w:left="1562" w:hanging="360"/>
      </w:pPr>
      <w:rPr>
        <w:rFonts w:ascii="Courier New" w:hAnsi="Courier New" w:cs="Courier New" w:hint="default"/>
      </w:rPr>
    </w:lvl>
    <w:lvl w:ilvl="2" w:tplc="0C090005" w:tentative="1">
      <w:start w:val="1"/>
      <w:numFmt w:val="bullet"/>
      <w:lvlText w:val=""/>
      <w:lvlJc w:val="left"/>
      <w:pPr>
        <w:ind w:left="2282" w:hanging="360"/>
      </w:pPr>
      <w:rPr>
        <w:rFonts w:ascii="Wingdings" w:hAnsi="Wingdings" w:hint="default"/>
      </w:rPr>
    </w:lvl>
    <w:lvl w:ilvl="3" w:tplc="0C090001" w:tentative="1">
      <w:start w:val="1"/>
      <w:numFmt w:val="bullet"/>
      <w:lvlText w:val=""/>
      <w:lvlJc w:val="left"/>
      <w:pPr>
        <w:ind w:left="3002" w:hanging="360"/>
      </w:pPr>
      <w:rPr>
        <w:rFonts w:ascii="Symbol" w:hAnsi="Symbol" w:hint="default"/>
      </w:rPr>
    </w:lvl>
    <w:lvl w:ilvl="4" w:tplc="0C090003" w:tentative="1">
      <w:start w:val="1"/>
      <w:numFmt w:val="bullet"/>
      <w:lvlText w:val="o"/>
      <w:lvlJc w:val="left"/>
      <w:pPr>
        <w:ind w:left="3722" w:hanging="360"/>
      </w:pPr>
      <w:rPr>
        <w:rFonts w:ascii="Courier New" w:hAnsi="Courier New" w:cs="Courier New" w:hint="default"/>
      </w:rPr>
    </w:lvl>
    <w:lvl w:ilvl="5" w:tplc="0C090005" w:tentative="1">
      <w:start w:val="1"/>
      <w:numFmt w:val="bullet"/>
      <w:lvlText w:val=""/>
      <w:lvlJc w:val="left"/>
      <w:pPr>
        <w:ind w:left="4442" w:hanging="360"/>
      </w:pPr>
      <w:rPr>
        <w:rFonts w:ascii="Wingdings" w:hAnsi="Wingdings" w:hint="default"/>
      </w:rPr>
    </w:lvl>
    <w:lvl w:ilvl="6" w:tplc="0C090001" w:tentative="1">
      <w:start w:val="1"/>
      <w:numFmt w:val="bullet"/>
      <w:lvlText w:val=""/>
      <w:lvlJc w:val="left"/>
      <w:pPr>
        <w:ind w:left="5162" w:hanging="360"/>
      </w:pPr>
      <w:rPr>
        <w:rFonts w:ascii="Symbol" w:hAnsi="Symbol" w:hint="default"/>
      </w:rPr>
    </w:lvl>
    <w:lvl w:ilvl="7" w:tplc="0C090003" w:tentative="1">
      <w:start w:val="1"/>
      <w:numFmt w:val="bullet"/>
      <w:lvlText w:val="o"/>
      <w:lvlJc w:val="left"/>
      <w:pPr>
        <w:ind w:left="5882" w:hanging="360"/>
      </w:pPr>
      <w:rPr>
        <w:rFonts w:ascii="Courier New" w:hAnsi="Courier New" w:cs="Courier New" w:hint="default"/>
      </w:rPr>
    </w:lvl>
    <w:lvl w:ilvl="8" w:tplc="0C090005" w:tentative="1">
      <w:start w:val="1"/>
      <w:numFmt w:val="bullet"/>
      <w:lvlText w:val=""/>
      <w:lvlJc w:val="left"/>
      <w:pPr>
        <w:ind w:left="6602" w:hanging="360"/>
      </w:pPr>
      <w:rPr>
        <w:rFonts w:ascii="Wingdings" w:hAnsi="Wingdings" w:hint="default"/>
      </w:rPr>
    </w:lvl>
  </w:abstractNum>
  <w:abstractNum w:abstractNumId="26" w15:restartNumberingAfterBreak="0">
    <w:nsid w:val="6C525759"/>
    <w:multiLevelType w:val="hybridMultilevel"/>
    <w:tmpl w:val="C2B422E8"/>
    <w:lvl w:ilvl="0" w:tplc="E8FA79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D8571D"/>
    <w:multiLevelType w:val="hybridMultilevel"/>
    <w:tmpl w:val="9558D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A34492"/>
    <w:multiLevelType w:val="hybridMultilevel"/>
    <w:tmpl w:val="C5B675F6"/>
    <w:lvl w:ilvl="0" w:tplc="E8FA796E">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9" w15:restartNumberingAfterBreak="0">
    <w:nsid w:val="717B4C33"/>
    <w:multiLevelType w:val="hybridMultilevel"/>
    <w:tmpl w:val="ECEA64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77E261FA"/>
    <w:multiLevelType w:val="hybridMultilevel"/>
    <w:tmpl w:val="B33CA8C0"/>
    <w:lvl w:ilvl="0" w:tplc="E8FA79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077B6C"/>
    <w:multiLevelType w:val="hybridMultilevel"/>
    <w:tmpl w:val="5C3E1DDA"/>
    <w:lvl w:ilvl="0" w:tplc="E8FA796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AE33227"/>
    <w:multiLevelType w:val="hybridMultilevel"/>
    <w:tmpl w:val="999219BC"/>
    <w:lvl w:ilvl="0" w:tplc="E8FA79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0"/>
  </w:num>
  <w:num w:numId="4">
    <w:abstractNumId w:val="15"/>
  </w:num>
  <w:num w:numId="5">
    <w:abstractNumId w:val="1"/>
  </w:num>
  <w:num w:numId="6">
    <w:abstractNumId w:val="31"/>
  </w:num>
  <w:num w:numId="7">
    <w:abstractNumId w:val="3"/>
  </w:num>
  <w:num w:numId="8">
    <w:abstractNumId w:val="28"/>
  </w:num>
  <w:num w:numId="9">
    <w:abstractNumId w:val="11"/>
  </w:num>
  <w:num w:numId="10">
    <w:abstractNumId w:val="32"/>
  </w:num>
  <w:num w:numId="11">
    <w:abstractNumId w:val="26"/>
  </w:num>
  <w:num w:numId="12">
    <w:abstractNumId w:val="30"/>
  </w:num>
  <w:num w:numId="13">
    <w:abstractNumId w:val="25"/>
  </w:num>
  <w:num w:numId="14">
    <w:abstractNumId w:val="10"/>
  </w:num>
  <w:num w:numId="15">
    <w:abstractNumId w:val="24"/>
  </w:num>
  <w:num w:numId="16">
    <w:abstractNumId w:val="16"/>
  </w:num>
  <w:num w:numId="17">
    <w:abstractNumId w:val="9"/>
  </w:num>
  <w:num w:numId="18">
    <w:abstractNumId w:val="18"/>
  </w:num>
  <w:num w:numId="19">
    <w:abstractNumId w:val="4"/>
    <w:lvlOverride w:ilvl="0">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0"/>
  </w:num>
  <w:num w:numId="23">
    <w:abstractNumId w:val="27"/>
  </w:num>
  <w:num w:numId="24">
    <w:abstractNumId w:val="22"/>
  </w:num>
  <w:num w:numId="25">
    <w:abstractNumId w:val="13"/>
  </w:num>
  <w:num w:numId="26">
    <w:abstractNumId w:val="21"/>
  </w:num>
  <w:num w:numId="27">
    <w:abstractNumId w:val="6"/>
  </w:num>
  <w:num w:numId="28">
    <w:abstractNumId w:val="8"/>
  </w:num>
  <w:num w:numId="29">
    <w:abstractNumId w:val="17"/>
  </w:num>
  <w:num w:numId="30">
    <w:abstractNumId w:val="5"/>
  </w:num>
  <w:num w:numId="31">
    <w:abstractNumId w:val="7"/>
  </w:num>
  <w:num w:numId="32">
    <w:abstractNumId w:val="12"/>
  </w:num>
  <w:num w:numId="33">
    <w:abstractNumId w:val="2"/>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A49F24F-E9B6-4F26-A594-806185319ADB}"/>
    <w:docVar w:name="dgnword-eventsink" w:val="147535280"/>
  </w:docVars>
  <w:rsids>
    <w:rsidRoot w:val="007367DA"/>
    <w:rsid w:val="000000A1"/>
    <w:rsid w:val="00000B2E"/>
    <w:rsid w:val="00000D90"/>
    <w:rsid w:val="00001111"/>
    <w:rsid w:val="000013C6"/>
    <w:rsid w:val="00001FAA"/>
    <w:rsid w:val="00003580"/>
    <w:rsid w:val="00004096"/>
    <w:rsid w:val="00005394"/>
    <w:rsid w:val="000059FE"/>
    <w:rsid w:val="00005C05"/>
    <w:rsid w:val="00005D70"/>
    <w:rsid w:val="00005F03"/>
    <w:rsid w:val="000061E8"/>
    <w:rsid w:val="00007F58"/>
    <w:rsid w:val="00010A0C"/>
    <w:rsid w:val="000126D1"/>
    <w:rsid w:val="00013747"/>
    <w:rsid w:val="00014B53"/>
    <w:rsid w:val="0001541D"/>
    <w:rsid w:val="00015D74"/>
    <w:rsid w:val="000165B0"/>
    <w:rsid w:val="00016D3E"/>
    <w:rsid w:val="00017166"/>
    <w:rsid w:val="00017F5D"/>
    <w:rsid w:val="00021BA3"/>
    <w:rsid w:val="00022797"/>
    <w:rsid w:val="00022A71"/>
    <w:rsid w:val="00022D1F"/>
    <w:rsid w:val="000239BD"/>
    <w:rsid w:val="00023ED3"/>
    <w:rsid w:val="00024565"/>
    <w:rsid w:val="00025CCA"/>
    <w:rsid w:val="00025E01"/>
    <w:rsid w:val="0002642E"/>
    <w:rsid w:val="00026FDA"/>
    <w:rsid w:val="00030CB6"/>
    <w:rsid w:val="00031F85"/>
    <w:rsid w:val="00032D97"/>
    <w:rsid w:val="00033184"/>
    <w:rsid w:val="000334DC"/>
    <w:rsid w:val="0003489F"/>
    <w:rsid w:val="00034C64"/>
    <w:rsid w:val="00034E8E"/>
    <w:rsid w:val="00035506"/>
    <w:rsid w:val="00035664"/>
    <w:rsid w:val="00035E1F"/>
    <w:rsid w:val="000364C8"/>
    <w:rsid w:val="00036988"/>
    <w:rsid w:val="00036DFE"/>
    <w:rsid w:val="00041BD2"/>
    <w:rsid w:val="00042284"/>
    <w:rsid w:val="000424E3"/>
    <w:rsid w:val="00043545"/>
    <w:rsid w:val="00043D3A"/>
    <w:rsid w:val="00043DE4"/>
    <w:rsid w:val="0004465B"/>
    <w:rsid w:val="00044FB3"/>
    <w:rsid w:val="00045848"/>
    <w:rsid w:val="00046088"/>
    <w:rsid w:val="00047475"/>
    <w:rsid w:val="00047CD0"/>
    <w:rsid w:val="00050FF7"/>
    <w:rsid w:val="00051447"/>
    <w:rsid w:val="00051EDF"/>
    <w:rsid w:val="0005237B"/>
    <w:rsid w:val="000530FA"/>
    <w:rsid w:val="00054102"/>
    <w:rsid w:val="00054368"/>
    <w:rsid w:val="00054755"/>
    <w:rsid w:val="00054973"/>
    <w:rsid w:val="0005561A"/>
    <w:rsid w:val="00055647"/>
    <w:rsid w:val="00056397"/>
    <w:rsid w:val="00056455"/>
    <w:rsid w:val="000565AC"/>
    <w:rsid w:val="00056677"/>
    <w:rsid w:val="00056E21"/>
    <w:rsid w:val="000605E9"/>
    <w:rsid w:val="000607DD"/>
    <w:rsid w:val="000608E3"/>
    <w:rsid w:val="00060FBA"/>
    <w:rsid w:val="00062100"/>
    <w:rsid w:val="00062428"/>
    <w:rsid w:val="00062855"/>
    <w:rsid w:val="0006306A"/>
    <w:rsid w:val="00063F40"/>
    <w:rsid w:val="00065CA1"/>
    <w:rsid w:val="00066199"/>
    <w:rsid w:val="0007148C"/>
    <w:rsid w:val="00071DAD"/>
    <w:rsid w:val="00071E50"/>
    <w:rsid w:val="00072047"/>
    <w:rsid w:val="000729B0"/>
    <w:rsid w:val="00072FB2"/>
    <w:rsid w:val="000730AB"/>
    <w:rsid w:val="00073F56"/>
    <w:rsid w:val="00075975"/>
    <w:rsid w:val="00075DFB"/>
    <w:rsid w:val="00075FAD"/>
    <w:rsid w:val="000775C3"/>
    <w:rsid w:val="00077EE3"/>
    <w:rsid w:val="0008082B"/>
    <w:rsid w:val="00081009"/>
    <w:rsid w:val="00081734"/>
    <w:rsid w:val="00081DA2"/>
    <w:rsid w:val="00082A8A"/>
    <w:rsid w:val="0008415F"/>
    <w:rsid w:val="00084D27"/>
    <w:rsid w:val="00084F9B"/>
    <w:rsid w:val="00085744"/>
    <w:rsid w:val="000860CC"/>
    <w:rsid w:val="00086407"/>
    <w:rsid w:val="00087615"/>
    <w:rsid w:val="0008793E"/>
    <w:rsid w:val="000907AB"/>
    <w:rsid w:val="00091C5D"/>
    <w:rsid w:val="00091F4D"/>
    <w:rsid w:val="000927F8"/>
    <w:rsid w:val="00096FC1"/>
    <w:rsid w:val="000A5BA5"/>
    <w:rsid w:val="000A7DB8"/>
    <w:rsid w:val="000B0366"/>
    <w:rsid w:val="000B1B36"/>
    <w:rsid w:val="000B55CF"/>
    <w:rsid w:val="000B5749"/>
    <w:rsid w:val="000B5D14"/>
    <w:rsid w:val="000B6537"/>
    <w:rsid w:val="000B772E"/>
    <w:rsid w:val="000C0C7E"/>
    <w:rsid w:val="000C0DC5"/>
    <w:rsid w:val="000C1218"/>
    <w:rsid w:val="000C1A89"/>
    <w:rsid w:val="000C2096"/>
    <w:rsid w:val="000C2CB5"/>
    <w:rsid w:val="000C32EE"/>
    <w:rsid w:val="000C4088"/>
    <w:rsid w:val="000C4C63"/>
    <w:rsid w:val="000C561D"/>
    <w:rsid w:val="000C59AA"/>
    <w:rsid w:val="000C6014"/>
    <w:rsid w:val="000C7AD2"/>
    <w:rsid w:val="000C7D40"/>
    <w:rsid w:val="000D0308"/>
    <w:rsid w:val="000D1A8F"/>
    <w:rsid w:val="000D1D28"/>
    <w:rsid w:val="000D4CA8"/>
    <w:rsid w:val="000D53E0"/>
    <w:rsid w:val="000D54EB"/>
    <w:rsid w:val="000D5F18"/>
    <w:rsid w:val="000E0BA9"/>
    <w:rsid w:val="000E0D1C"/>
    <w:rsid w:val="000E0F33"/>
    <w:rsid w:val="000E16BD"/>
    <w:rsid w:val="000E2470"/>
    <w:rsid w:val="000E2C24"/>
    <w:rsid w:val="000E2D6F"/>
    <w:rsid w:val="000E5716"/>
    <w:rsid w:val="000E6FE5"/>
    <w:rsid w:val="000E7B8B"/>
    <w:rsid w:val="000E7C5C"/>
    <w:rsid w:val="000F1D03"/>
    <w:rsid w:val="000F363A"/>
    <w:rsid w:val="000F42D3"/>
    <w:rsid w:val="000F4A85"/>
    <w:rsid w:val="000F4EBB"/>
    <w:rsid w:val="000F4F00"/>
    <w:rsid w:val="000F5345"/>
    <w:rsid w:val="000F5859"/>
    <w:rsid w:val="000F5BC4"/>
    <w:rsid w:val="000F63AC"/>
    <w:rsid w:val="000F6D9B"/>
    <w:rsid w:val="000F71A5"/>
    <w:rsid w:val="00100239"/>
    <w:rsid w:val="001043EC"/>
    <w:rsid w:val="00104501"/>
    <w:rsid w:val="00105FAA"/>
    <w:rsid w:val="00110840"/>
    <w:rsid w:val="001117C9"/>
    <w:rsid w:val="0011251A"/>
    <w:rsid w:val="00113467"/>
    <w:rsid w:val="001135FD"/>
    <w:rsid w:val="00113F67"/>
    <w:rsid w:val="001140C8"/>
    <w:rsid w:val="00114B08"/>
    <w:rsid w:val="00114D73"/>
    <w:rsid w:val="001151DB"/>
    <w:rsid w:val="001166B6"/>
    <w:rsid w:val="00117063"/>
    <w:rsid w:val="00120DC6"/>
    <w:rsid w:val="001210D4"/>
    <w:rsid w:val="00121C1C"/>
    <w:rsid w:val="001260F2"/>
    <w:rsid w:val="001260F3"/>
    <w:rsid w:val="00126CC6"/>
    <w:rsid w:val="00126CDC"/>
    <w:rsid w:val="00127185"/>
    <w:rsid w:val="001273CA"/>
    <w:rsid w:val="001277AA"/>
    <w:rsid w:val="00127B04"/>
    <w:rsid w:val="001307EE"/>
    <w:rsid w:val="00130CCB"/>
    <w:rsid w:val="00132729"/>
    <w:rsid w:val="00132B4D"/>
    <w:rsid w:val="00133FAC"/>
    <w:rsid w:val="0013424B"/>
    <w:rsid w:val="001347DF"/>
    <w:rsid w:val="00135411"/>
    <w:rsid w:val="00135D8B"/>
    <w:rsid w:val="00136637"/>
    <w:rsid w:val="00136827"/>
    <w:rsid w:val="00136FC0"/>
    <w:rsid w:val="001377A2"/>
    <w:rsid w:val="001379C9"/>
    <w:rsid w:val="00140D59"/>
    <w:rsid w:val="00140D8D"/>
    <w:rsid w:val="00141B79"/>
    <w:rsid w:val="0014204E"/>
    <w:rsid w:val="001420D9"/>
    <w:rsid w:val="00143061"/>
    <w:rsid w:val="0014323A"/>
    <w:rsid w:val="00144BDC"/>
    <w:rsid w:val="00145436"/>
    <w:rsid w:val="00146F7F"/>
    <w:rsid w:val="00147F67"/>
    <w:rsid w:val="00150279"/>
    <w:rsid w:val="001505BB"/>
    <w:rsid w:val="00150DEE"/>
    <w:rsid w:val="00150DF3"/>
    <w:rsid w:val="00151D5B"/>
    <w:rsid w:val="00151D90"/>
    <w:rsid w:val="001521E4"/>
    <w:rsid w:val="001525FC"/>
    <w:rsid w:val="001529E6"/>
    <w:rsid w:val="00152E9A"/>
    <w:rsid w:val="0015396D"/>
    <w:rsid w:val="001557FD"/>
    <w:rsid w:val="00155BE0"/>
    <w:rsid w:val="00155EA4"/>
    <w:rsid w:val="001602A9"/>
    <w:rsid w:val="00160C99"/>
    <w:rsid w:val="00160FEF"/>
    <w:rsid w:val="00161103"/>
    <w:rsid w:val="00161722"/>
    <w:rsid w:val="00161F05"/>
    <w:rsid w:val="001630A9"/>
    <w:rsid w:val="001632C6"/>
    <w:rsid w:val="00163406"/>
    <w:rsid w:val="001635DC"/>
    <w:rsid w:val="0016393D"/>
    <w:rsid w:val="00163E31"/>
    <w:rsid w:val="00164565"/>
    <w:rsid w:val="001646A4"/>
    <w:rsid w:val="00164EB9"/>
    <w:rsid w:val="001652B0"/>
    <w:rsid w:val="001677EC"/>
    <w:rsid w:val="00171492"/>
    <w:rsid w:val="00172208"/>
    <w:rsid w:val="001730EA"/>
    <w:rsid w:val="00174ABB"/>
    <w:rsid w:val="00176DAB"/>
    <w:rsid w:val="001801B4"/>
    <w:rsid w:val="00180E2E"/>
    <w:rsid w:val="00180E49"/>
    <w:rsid w:val="0018245C"/>
    <w:rsid w:val="00182FB2"/>
    <w:rsid w:val="001830CA"/>
    <w:rsid w:val="00183996"/>
    <w:rsid w:val="00184F4A"/>
    <w:rsid w:val="00185579"/>
    <w:rsid w:val="00185835"/>
    <w:rsid w:val="00186DA1"/>
    <w:rsid w:val="00187EB6"/>
    <w:rsid w:val="001905F6"/>
    <w:rsid w:val="00190602"/>
    <w:rsid w:val="001912CE"/>
    <w:rsid w:val="0019235B"/>
    <w:rsid w:val="001943D7"/>
    <w:rsid w:val="00194D53"/>
    <w:rsid w:val="00196A01"/>
    <w:rsid w:val="001A161B"/>
    <w:rsid w:val="001A2578"/>
    <w:rsid w:val="001A2D0D"/>
    <w:rsid w:val="001A3A1D"/>
    <w:rsid w:val="001A447C"/>
    <w:rsid w:val="001A5591"/>
    <w:rsid w:val="001A5DC3"/>
    <w:rsid w:val="001A6B3C"/>
    <w:rsid w:val="001A70AE"/>
    <w:rsid w:val="001A7FB2"/>
    <w:rsid w:val="001B0F33"/>
    <w:rsid w:val="001B1CDC"/>
    <w:rsid w:val="001B3463"/>
    <w:rsid w:val="001B36D1"/>
    <w:rsid w:val="001B3E46"/>
    <w:rsid w:val="001B3F32"/>
    <w:rsid w:val="001B452E"/>
    <w:rsid w:val="001B4BCC"/>
    <w:rsid w:val="001B4C3E"/>
    <w:rsid w:val="001B54C9"/>
    <w:rsid w:val="001B585B"/>
    <w:rsid w:val="001B5B5A"/>
    <w:rsid w:val="001B6584"/>
    <w:rsid w:val="001B7C83"/>
    <w:rsid w:val="001C0724"/>
    <w:rsid w:val="001C1A21"/>
    <w:rsid w:val="001C3155"/>
    <w:rsid w:val="001C3286"/>
    <w:rsid w:val="001C4093"/>
    <w:rsid w:val="001C4186"/>
    <w:rsid w:val="001C4857"/>
    <w:rsid w:val="001C6235"/>
    <w:rsid w:val="001D0EE6"/>
    <w:rsid w:val="001D180C"/>
    <w:rsid w:val="001D3316"/>
    <w:rsid w:val="001D3867"/>
    <w:rsid w:val="001D4899"/>
    <w:rsid w:val="001D65D5"/>
    <w:rsid w:val="001D67B9"/>
    <w:rsid w:val="001E0162"/>
    <w:rsid w:val="001E0393"/>
    <w:rsid w:val="001E20FE"/>
    <w:rsid w:val="001E23B6"/>
    <w:rsid w:val="001E4B47"/>
    <w:rsid w:val="001E5739"/>
    <w:rsid w:val="001E5F55"/>
    <w:rsid w:val="001E61D6"/>
    <w:rsid w:val="001E623E"/>
    <w:rsid w:val="001E69C7"/>
    <w:rsid w:val="001E6AC4"/>
    <w:rsid w:val="001E72E3"/>
    <w:rsid w:val="001F29F3"/>
    <w:rsid w:val="001F3BDE"/>
    <w:rsid w:val="001F45FD"/>
    <w:rsid w:val="001F4A0B"/>
    <w:rsid w:val="001F54DC"/>
    <w:rsid w:val="001F5E49"/>
    <w:rsid w:val="001F6F0A"/>
    <w:rsid w:val="001F6F97"/>
    <w:rsid w:val="00200247"/>
    <w:rsid w:val="00200D38"/>
    <w:rsid w:val="002034D1"/>
    <w:rsid w:val="00203836"/>
    <w:rsid w:val="0020404A"/>
    <w:rsid w:val="002046D4"/>
    <w:rsid w:val="00204A92"/>
    <w:rsid w:val="00205C69"/>
    <w:rsid w:val="00206359"/>
    <w:rsid w:val="00206524"/>
    <w:rsid w:val="00207004"/>
    <w:rsid w:val="0020756A"/>
    <w:rsid w:val="00210677"/>
    <w:rsid w:val="00211AFF"/>
    <w:rsid w:val="002129DD"/>
    <w:rsid w:val="00213B5A"/>
    <w:rsid w:val="002145FA"/>
    <w:rsid w:val="0021497E"/>
    <w:rsid w:val="00214ACE"/>
    <w:rsid w:val="00214E15"/>
    <w:rsid w:val="00214EAB"/>
    <w:rsid w:val="00214FD7"/>
    <w:rsid w:val="00215456"/>
    <w:rsid w:val="0021572F"/>
    <w:rsid w:val="00215ED6"/>
    <w:rsid w:val="0021705D"/>
    <w:rsid w:val="00217711"/>
    <w:rsid w:val="00217F36"/>
    <w:rsid w:val="0022014F"/>
    <w:rsid w:val="002211FD"/>
    <w:rsid w:val="00221257"/>
    <w:rsid w:val="0022339F"/>
    <w:rsid w:val="00224774"/>
    <w:rsid w:val="00226E49"/>
    <w:rsid w:val="00227D05"/>
    <w:rsid w:val="00230E0D"/>
    <w:rsid w:val="002314AF"/>
    <w:rsid w:val="00231621"/>
    <w:rsid w:val="002329E1"/>
    <w:rsid w:val="00233935"/>
    <w:rsid w:val="00233A0B"/>
    <w:rsid w:val="00233F4A"/>
    <w:rsid w:val="00234C25"/>
    <w:rsid w:val="002350B3"/>
    <w:rsid w:val="00236941"/>
    <w:rsid w:val="00236AA0"/>
    <w:rsid w:val="0024014E"/>
    <w:rsid w:val="00243735"/>
    <w:rsid w:val="00244FCF"/>
    <w:rsid w:val="00245E0A"/>
    <w:rsid w:val="002461C7"/>
    <w:rsid w:val="00246437"/>
    <w:rsid w:val="0025033C"/>
    <w:rsid w:val="00250BB8"/>
    <w:rsid w:val="00250E3A"/>
    <w:rsid w:val="0025138F"/>
    <w:rsid w:val="00257475"/>
    <w:rsid w:val="002576E1"/>
    <w:rsid w:val="0026103C"/>
    <w:rsid w:val="002630D6"/>
    <w:rsid w:val="00265749"/>
    <w:rsid w:val="002664EF"/>
    <w:rsid w:val="00266A00"/>
    <w:rsid w:val="00267618"/>
    <w:rsid w:val="0027091E"/>
    <w:rsid w:val="00271F51"/>
    <w:rsid w:val="00271FF1"/>
    <w:rsid w:val="00273254"/>
    <w:rsid w:val="002737A1"/>
    <w:rsid w:val="00275236"/>
    <w:rsid w:val="002756A1"/>
    <w:rsid w:val="00277FED"/>
    <w:rsid w:val="00280A82"/>
    <w:rsid w:val="00281E95"/>
    <w:rsid w:val="00283A31"/>
    <w:rsid w:val="00285FD9"/>
    <w:rsid w:val="00291167"/>
    <w:rsid w:val="00291AAC"/>
    <w:rsid w:val="00291E10"/>
    <w:rsid w:val="00292FE8"/>
    <w:rsid w:val="00293053"/>
    <w:rsid w:val="00294752"/>
    <w:rsid w:val="002969B4"/>
    <w:rsid w:val="002A111E"/>
    <w:rsid w:val="002A12FE"/>
    <w:rsid w:val="002A1454"/>
    <w:rsid w:val="002A1B42"/>
    <w:rsid w:val="002A2388"/>
    <w:rsid w:val="002A2B04"/>
    <w:rsid w:val="002A2BCF"/>
    <w:rsid w:val="002A4105"/>
    <w:rsid w:val="002A4AB0"/>
    <w:rsid w:val="002A4DB4"/>
    <w:rsid w:val="002A6E52"/>
    <w:rsid w:val="002B09EE"/>
    <w:rsid w:val="002B0C61"/>
    <w:rsid w:val="002B260E"/>
    <w:rsid w:val="002B3E2F"/>
    <w:rsid w:val="002B40CA"/>
    <w:rsid w:val="002B42D0"/>
    <w:rsid w:val="002B43FB"/>
    <w:rsid w:val="002B49BD"/>
    <w:rsid w:val="002C1A84"/>
    <w:rsid w:val="002C380D"/>
    <w:rsid w:val="002C458E"/>
    <w:rsid w:val="002C4956"/>
    <w:rsid w:val="002C5749"/>
    <w:rsid w:val="002C583C"/>
    <w:rsid w:val="002C7D99"/>
    <w:rsid w:val="002D15ED"/>
    <w:rsid w:val="002D1EEC"/>
    <w:rsid w:val="002D288C"/>
    <w:rsid w:val="002D4625"/>
    <w:rsid w:val="002D4BB9"/>
    <w:rsid w:val="002D4BF2"/>
    <w:rsid w:val="002D5543"/>
    <w:rsid w:val="002D6BA8"/>
    <w:rsid w:val="002D733E"/>
    <w:rsid w:val="002D79AC"/>
    <w:rsid w:val="002D7CBD"/>
    <w:rsid w:val="002E0069"/>
    <w:rsid w:val="002E1113"/>
    <w:rsid w:val="002E29C9"/>
    <w:rsid w:val="002E3254"/>
    <w:rsid w:val="002E3AA6"/>
    <w:rsid w:val="002E3B5C"/>
    <w:rsid w:val="002E3D89"/>
    <w:rsid w:val="002E3DB9"/>
    <w:rsid w:val="002E6D9A"/>
    <w:rsid w:val="002F1120"/>
    <w:rsid w:val="002F1BA2"/>
    <w:rsid w:val="002F22B8"/>
    <w:rsid w:val="002F27B8"/>
    <w:rsid w:val="002F2D3E"/>
    <w:rsid w:val="002F3543"/>
    <w:rsid w:val="002F3ACC"/>
    <w:rsid w:val="002F3CF1"/>
    <w:rsid w:val="002F4660"/>
    <w:rsid w:val="002F5480"/>
    <w:rsid w:val="002F5600"/>
    <w:rsid w:val="002F5D53"/>
    <w:rsid w:val="002F5EB3"/>
    <w:rsid w:val="002F62EC"/>
    <w:rsid w:val="002F7EBE"/>
    <w:rsid w:val="00300B7E"/>
    <w:rsid w:val="003011B4"/>
    <w:rsid w:val="00301AD3"/>
    <w:rsid w:val="00301F0B"/>
    <w:rsid w:val="00302719"/>
    <w:rsid w:val="00302E78"/>
    <w:rsid w:val="00303314"/>
    <w:rsid w:val="00304091"/>
    <w:rsid w:val="003043A6"/>
    <w:rsid w:val="003047B3"/>
    <w:rsid w:val="00305FBE"/>
    <w:rsid w:val="00306151"/>
    <w:rsid w:val="0030646C"/>
    <w:rsid w:val="003074E4"/>
    <w:rsid w:val="00313667"/>
    <w:rsid w:val="00313B3A"/>
    <w:rsid w:val="00314031"/>
    <w:rsid w:val="00314DEC"/>
    <w:rsid w:val="00314E9A"/>
    <w:rsid w:val="00315AD5"/>
    <w:rsid w:val="003166B4"/>
    <w:rsid w:val="00316956"/>
    <w:rsid w:val="003175D4"/>
    <w:rsid w:val="0031770C"/>
    <w:rsid w:val="00317BB3"/>
    <w:rsid w:val="003202AC"/>
    <w:rsid w:val="00321684"/>
    <w:rsid w:val="003220C9"/>
    <w:rsid w:val="00322173"/>
    <w:rsid w:val="00322221"/>
    <w:rsid w:val="003239D3"/>
    <w:rsid w:val="003246EB"/>
    <w:rsid w:val="0032560A"/>
    <w:rsid w:val="00326080"/>
    <w:rsid w:val="00326266"/>
    <w:rsid w:val="00330AC9"/>
    <w:rsid w:val="0033126F"/>
    <w:rsid w:val="00331DDE"/>
    <w:rsid w:val="00332DF2"/>
    <w:rsid w:val="003331CB"/>
    <w:rsid w:val="00334EF4"/>
    <w:rsid w:val="00335315"/>
    <w:rsid w:val="00335EFE"/>
    <w:rsid w:val="00336240"/>
    <w:rsid w:val="003407C1"/>
    <w:rsid w:val="00341288"/>
    <w:rsid w:val="00343DB9"/>
    <w:rsid w:val="00344361"/>
    <w:rsid w:val="00344FFE"/>
    <w:rsid w:val="0034719A"/>
    <w:rsid w:val="00353D97"/>
    <w:rsid w:val="003546FB"/>
    <w:rsid w:val="00354B3E"/>
    <w:rsid w:val="00356011"/>
    <w:rsid w:val="00357D34"/>
    <w:rsid w:val="00360835"/>
    <w:rsid w:val="00362A0C"/>
    <w:rsid w:val="00362F79"/>
    <w:rsid w:val="00362F86"/>
    <w:rsid w:val="003636B5"/>
    <w:rsid w:val="00363DB6"/>
    <w:rsid w:val="0036403D"/>
    <w:rsid w:val="00364B28"/>
    <w:rsid w:val="00364FFB"/>
    <w:rsid w:val="003655FF"/>
    <w:rsid w:val="00365B81"/>
    <w:rsid w:val="00366933"/>
    <w:rsid w:val="00366A30"/>
    <w:rsid w:val="00366B44"/>
    <w:rsid w:val="00366BB9"/>
    <w:rsid w:val="00366E9D"/>
    <w:rsid w:val="00370513"/>
    <w:rsid w:val="003715B9"/>
    <w:rsid w:val="00371CB1"/>
    <w:rsid w:val="00373320"/>
    <w:rsid w:val="0037354F"/>
    <w:rsid w:val="00377CD8"/>
    <w:rsid w:val="00380B39"/>
    <w:rsid w:val="003812CB"/>
    <w:rsid w:val="003814EC"/>
    <w:rsid w:val="00382EB5"/>
    <w:rsid w:val="003843FA"/>
    <w:rsid w:val="00390855"/>
    <w:rsid w:val="00390CF6"/>
    <w:rsid w:val="00391313"/>
    <w:rsid w:val="00391475"/>
    <w:rsid w:val="003917BF"/>
    <w:rsid w:val="00391D73"/>
    <w:rsid w:val="00392D35"/>
    <w:rsid w:val="00392E53"/>
    <w:rsid w:val="00392F8E"/>
    <w:rsid w:val="0039376A"/>
    <w:rsid w:val="0039414B"/>
    <w:rsid w:val="003942B8"/>
    <w:rsid w:val="00395AD9"/>
    <w:rsid w:val="00395FF7"/>
    <w:rsid w:val="00396366"/>
    <w:rsid w:val="003977C2"/>
    <w:rsid w:val="00397823"/>
    <w:rsid w:val="003A1309"/>
    <w:rsid w:val="003A31E4"/>
    <w:rsid w:val="003A554F"/>
    <w:rsid w:val="003A6016"/>
    <w:rsid w:val="003A6E3A"/>
    <w:rsid w:val="003A73D2"/>
    <w:rsid w:val="003A74A6"/>
    <w:rsid w:val="003A7EAA"/>
    <w:rsid w:val="003B03F2"/>
    <w:rsid w:val="003B07AC"/>
    <w:rsid w:val="003B1C80"/>
    <w:rsid w:val="003B1C9C"/>
    <w:rsid w:val="003B21E1"/>
    <w:rsid w:val="003B29E8"/>
    <w:rsid w:val="003B39F5"/>
    <w:rsid w:val="003B48CF"/>
    <w:rsid w:val="003B4B28"/>
    <w:rsid w:val="003B584E"/>
    <w:rsid w:val="003B67C2"/>
    <w:rsid w:val="003B68C8"/>
    <w:rsid w:val="003B71DA"/>
    <w:rsid w:val="003B7BCF"/>
    <w:rsid w:val="003C01EA"/>
    <w:rsid w:val="003C040A"/>
    <w:rsid w:val="003C0BBE"/>
    <w:rsid w:val="003C1191"/>
    <w:rsid w:val="003C1753"/>
    <w:rsid w:val="003C17C3"/>
    <w:rsid w:val="003C2F7C"/>
    <w:rsid w:val="003C344B"/>
    <w:rsid w:val="003C3AAE"/>
    <w:rsid w:val="003C3E51"/>
    <w:rsid w:val="003C4565"/>
    <w:rsid w:val="003C4B1E"/>
    <w:rsid w:val="003C4CD3"/>
    <w:rsid w:val="003C5396"/>
    <w:rsid w:val="003C624D"/>
    <w:rsid w:val="003C6341"/>
    <w:rsid w:val="003C6BB9"/>
    <w:rsid w:val="003C7B06"/>
    <w:rsid w:val="003C7F2F"/>
    <w:rsid w:val="003D0B77"/>
    <w:rsid w:val="003D19CC"/>
    <w:rsid w:val="003D1D85"/>
    <w:rsid w:val="003D28AE"/>
    <w:rsid w:val="003D2A86"/>
    <w:rsid w:val="003D416E"/>
    <w:rsid w:val="003D4F09"/>
    <w:rsid w:val="003D5CAA"/>
    <w:rsid w:val="003D74E8"/>
    <w:rsid w:val="003D79ED"/>
    <w:rsid w:val="003E079B"/>
    <w:rsid w:val="003E1812"/>
    <w:rsid w:val="003E34D8"/>
    <w:rsid w:val="003E6A8D"/>
    <w:rsid w:val="003F028D"/>
    <w:rsid w:val="003F0C5C"/>
    <w:rsid w:val="003F1BB1"/>
    <w:rsid w:val="003F23D9"/>
    <w:rsid w:val="003F23EA"/>
    <w:rsid w:val="003F36A1"/>
    <w:rsid w:val="003F697A"/>
    <w:rsid w:val="003F6EB5"/>
    <w:rsid w:val="003F7D6C"/>
    <w:rsid w:val="004015D1"/>
    <w:rsid w:val="004018B4"/>
    <w:rsid w:val="0040287D"/>
    <w:rsid w:val="00402F92"/>
    <w:rsid w:val="004036C2"/>
    <w:rsid w:val="00404931"/>
    <w:rsid w:val="0040500E"/>
    <w:rsid w:val="00405383"/>
    <w:rsid w:val="00407FA6"/>
    <w:rsid w:val="00411089"/>
    <w:rsid w:val="0041136C"/>
    <w:rsid w:val="0041147B"/>
    <w:rsid w:val="00411686"/>
    <w:rsid w:val="00411BD7"/>
    <w:rsid w:val="00412974"/>
    <w:rsid w:val="00413463"/>
    <w:rsid w:val="00414C9B"/>
    <w:rsid w:val="004158A8"/>
    <w:rsid w:val="004159F5"/>
    <w:rsid w:val="00415AE5"/>
    <w:rsid w:val="004163F4"/>
    <w:rsid w:val="00417F43"/>
    <w:rsid w:val="004204F7"/>
    <w:rsid w:val="004208CA"/>
    <w:rsid w:val="0042093C"/>
    <w:rsid w:val="00420F33"/>
    <w:rsid w:val="00421118"/>
    <w:rsid w:val="004212D7"/>
    <w:rsid w:val="00421E86"/>
    <w:rsid w:val="00423372"/>
    <w:rsid w:val="00423EC4"/>
    <w:rsid w:val="004262D1"/>
    <w:rsid w:val="00427504"/>
    <w:rsid w:val="0042761F"/>
    <w:rsid w:val="00430E46"/>
    <w:rsid w:val="00430FB3"/>
    <w:rsid w:val="004316C4"/>
    <w:rsid w:val="004318D0"/>
    <w:rsid w:val="00432C42"/>
    <w:rsid w:val="00432F29"/>
    <w:rsid w:val="004333D0"/>
    <w:rsid w:val="0043345C"/>
    <w:rsid w:val="00433596"/>
    <w:rsid w:val="00433F44"/>
    <w:rsid w:val="00434B1C"/>
    <w:rsid w:val="0043632A"/>
    <w:rsid w:val="00440A2F"/>
    <w:rsid w:val="00440C24"/>
    <w:rsid w:val="0044189B"/>
    <w:rsid w:val="00441CB0"/>
    <w:rsid w:val="004426ED"/>
    <w:rsid w:val="00442743"/>
    <w:rsid w:val="00444596"/>
    <w:rsid w:val="004445B8"/>
    <w:rsid w:val="00444F31"/>
    <w:rsid w:val="0044620E"/>
    <w:rsid w:val="00446701"/>
    <w:rsid w:val="00447601"/>
    <w:rsid w:val="00447BC2"/>
    <w:rsid w:val="00450EE6"/>
    <w:rsid w:val="004512E2"/>
    <w:rsid w:val="00452C07"/>
    <w:rsid w:val="00452D9C"/>
    <w:rsid w:val="00452F1F"/>
    <w:rsid w:val="00453B57"/>
    <w:rsid w:val="00454D31"/>
    <w:rsid w:val="00456F76"/>
    <w:rsid w:val="00457887"/>
    <w:rsid w:val="0046070F"/>
    <w:rsid w:val="0046240D"/>
    <w:rsid w:val="004628D7"/>
    <w:rsid w:val="0046379B"/>
    <w:rsid w:val="00465AAD"/>
    <w:rsid w:val="00465B88"/>
    <w:rsid w:val="004661DE"/>
    <w:rsid w:val="004667DC"/>
    <w:rsid w:val="0046689E"/>
    <w:rsid w:val="00467AE7"/>
    <w:rsid w:val="00470C93"/>
    <w:rsid w:val="00470EC9"/>
    <w:rsid w:val="00472939"/>
    <w:rsid w:val="004738A8"/>
    <w:rsid w:val="00474C47"/>
    <w:rsid w:val="00475BC2"/>
    <w:rsid w:val="004772AC"/>
    <w:rsid w:val="00477FE3"/>
    <w:rsid w:val="00480295"/>
    <w:rsid w:val="004806BD"/>
    <w:rsid w:val="00483426"/>
    <w:rsid w:val="00483D5F"/>
    <w:rsid w:val="00484EF4"/>
    <w:rsid w:val="00485683"/>
    <w:rsid w:val="00486379"/>
    <w:rsid w:val="00487290"/>
    <w:rsid w:val="00487BE5"/>
    <w:rsid w:val="00487FA8"/>
    <w:rsid w:val="00492579"/>
    <w:rsid w:val="004941DF"/>
    <w:rsid w:val="0049467F"/>
    <w:rsid w:val="00494D83"/>
    <w:rsid w:val="0049512B"/>
    <w:rsid w:val="00495CB7"/>
    <w:rsid w:val="00496D71"/>
    <w:rsid w:val="004A07BD"/>
    <w:rsid w:val="004A124A"/>
    <w:rsid w:val="004A1985"/>
    <w:rsid w:val="004A3285"/>
    <w:rsid w:val="004A37D2"/>
    <w:rsid w:val="004A3B7E"/>
    <w:rsid w:val="004A622E"/>
    <w:rsid w:val="004A7A47"/>
    <w:rsid w:val="004B1717"/>
    <w:rsid w:val="004B2118"/>
    <w:rsid w:val="004B3953"/>
    <w:rsid w:val="004B3C58"/>
    <w:rsid w:val="004B42AF"/>
    <w:rsid w:val="004B4854"/>
    <w:rsid w:val="004B49F5"/>
    <w:rsid w:val="004B50AE"/>
    <w:rsid w:val="004B6B5A"/>
    <w:rsid w:val="004C00AC"/>
    <w:rsid w:val="004C1EE3"/>
    <w:rsid w:val="004C2083"/>
    <w:rsid w:val="004C38A2"/>
    <w:rsid w:val="004C440B"/>
    <w:rsid w:val="004C4C64"/>
    <w:rsid w:val="004C5CAE"/>
    <w:rsid w:val="004C5FE2"/>
    <w:rsid w:val="004C7EAA"/>
    <w:rsid w:val="004C7F45"/>
    <w:rsid w:val="004D0AD5"/>
    <w:rsid w:val="004D129F"/>
    <w:rsid w:val="004D2060"/>
    <w:rsid w:val="004D24DE"/>
    <w:rsid w:val="004D2521"/>
    <w:rsid w:val="004D2ADF"/>
    <w:rsid w:val="004D5779"/>
    <w:rsid w:val="004D5A4B"/>
    <w:rsid w:val="004D6063"/>
    <w:rsid w:val="004D6749"/>
    <w:rsid w:val="004D7480"/>
    <w:rsid w:val="004D74FD"/>
    <w:rsid w:val="004D77C6"/>
    <w:rsid w:val="004E01DE"/>
    <w:rsid w:val="004E049E"/>
    <w:rsid w:val="004E0730"/>
    <w:rsid w:val="004E1663"/>
    <w:rsid w:val="004E23E6"/>
    <w:rsid w:val="004E3EF1"/>
    <w:rsid w:val="004E66C5"/>
    <w:rsid w:val="004E6CE8"/>
    <w:rsid w:val="004E781B"/>
    <w:rsid w:val="004E7B61"/>
    <w:rsid w:val="004E7D1C"/>
    <w:rsid w:val="004F16F6"/>
    <w:rsid w:val="004F1AC8"/>
    <w:rsid w:val="004F2FAA"/>
    <w:rsid w:val="004F367F"/>
    <w:rsid w:val="004F475E"/>
    <w:rsid w:val="004F5A94"/>
    <w:rsid w:val="004F651C"/>
    <w:rsid w:val="004F74E0"/>
    <w:rsid w:val="00500265"/>
    <w:rsid w:val="00500919"/>
    <w:rsid w:val="0050170A"/>
    <w:rsid w:val="00502523"/>
    <w:rsid w:val="0050269A"/>
    <w:rsid w:val="00503515"/>
    <w:rsid w:val="00503785"/>
    <w:rsid w:val="0050379E"/>
    <w:rsid w:val="00503A23"/>
    <w:rsid w:val="005050D0"/>
    <w:rsid w:val="00507399"/>
    <w:rsid w:val="0051068A"/>
    <w:rsid w:val="00510DAF"/>
    <w:rsid w:val="005115C6"/>
    <w:rsid w:val="005115F4"/>
    <w:rsid w:val="00512442"/>
    <w:rsid w:val="005137E9"/>
    <w:rsid w:val="00514638"/>
    <w:rsid w:val="005162C4"/>
    <w:rsid w:val="00517412"/>
    <w:rsid w:val="00523375"/>
    <w:rsid w:val="00523D85"/>
    <w:rsid w:val="005251E8"/>
    <w:rsid w:val="00525E9B"/>
    <w:rsid w:val="005269BC"/>
    <w:rsid w:val="00530E70"/>
    <w:rsid w:val="00532AC9"/>
    <w:rsid w:val="005335BB"/>
    <w:rsid w:val="0053369E"/>
    <w:rsid w:val="005336B0"/>
    <w:rsid w:val="005364B1"/>
    <w:rsid w:val="00540C5F"/>
    <w:rsid w:val="0054253D"/>
    <w:rsid w:val="00543BD9"/>
    <w:rsid w:val="0054485F"/>
    <w:rsid w:val="00544F88"/>
    <w:rsid w:val="00546D3A"/>
    <w:rsid w:val="00550789"/>
    <w:rsid w:val="00550C15"/>
    <w:rsid w:val="00551ABB"/>
    <w:rsid w:val="00551FEA"/>
    <w:rsid w:val="00553D5B"/>
    <w:rsid w:val="00554EA7"/>
    <w:rsid w:val="00554EBF"/>
    <w:rsid w:val="00555125"/>
    <w:rsid w:val="005570E0"/>
    <w:rsid w:val="00557A4C"/>
    <w:rsid w:val="00557B12"/>
    <w:rsid w:val="00557BB2"/>
    <w:rsid w:val="005615FC"/>
    <w:rsid w:val="00561896"/>
    <w:rsid w:val="005631BB"/>
    <w:rsid w:val="00563A97"/>
    <w:rsid w:val="00563DCC"/>
    <w:rsid w:val="005650E9"/>
    <w:rsid w:val="00565592"/>
    <w:rsid w:val="00571D3C"/>
    <w:rsid w:val="00572C08"/>
    <w:rsid w:val="00572D83"/>
    <w:rsid w:val="00572E00"/>
    <w:rsid w:val="00572E1C"/>
    <w:rsid w:val="005746BC"/>
    <w:rsid w:val="00574958"/>
    <w:rsid w:val="00574EB7"/>
    <w:rsid w:val="005751AE"/>
    <w:rsid w:val="00575D36"/>
    <w:rsid w:val="00577141"/>
    <w:rsid w:val="00577C2C"/>
    <w:rsid w:val="00580913"/>
    <w:rsid w:val="0058135C"/>
    <w:rsid w:val="00581375"/>
    <w:rsid w:val="005829D3"/>
    <w:rsid w:val="00583335"/>
    <w:rsid w:val="00584393"/>
    <w:rsid w:val="0058439D"/>
    <w:rsid w:val="005861FF"/>
    <w:rsid w:val="005900C5"/>
    <w:rsid w:val="005906AA"/>
    <w:rsid w:val="005908FA"/>
    <w:rsid w:val="00592CB7"/>
    <w:rsid w:val="00592F45"/>
    <w:rsid w:val="0059410E"/>
    <w:rsid w:val="0059608F"/>
    <w:rsid w:val="00597A9F"/>
    <w:rsid w:val="00597DF9"/>
    <w:rsid w:val="00597E27"/>
    <w:rsid w:val="005A148B"/>
    <w:rsid w:val="005A2CEE"/>
    <w:rsid w:val="005A3582"/>
    <w:rsid w:val="005A4A43"/>
    <w:rsid w:val="005A5847"/>
    <w:rsid w:val="005A5FD7"/>
    <w:rsid w:val="005A6139"/>
    <w:rsid w:val="005A69DE"/>
    <w:rsid w:val="005B21FD"/>
    <w:rsid w:val="005B278C"/>
    <w:rsid w:val="005B7100"/>
    <w:rsid w:val="005B745B"/>
    <w:rsid w:val="005C0AA9"/>
    <w:rsid w:val="005C0E53"/>
    <w:rsid w:val="005C0F1B"/>
    <w:rsid w:val="005C1A80"/>
    <w:rsid w:val="005C25FC"/>
    <w:rsid w:val="005C2749"/>
    <w:rsid w:val="005C2EA7"/>
    <w:rsid w:val="005C511A"/>
    <w:rsid w:val="005C566A"/>
    <w:rsid w:val="005C74CD"/>
    <w:rsid w:val="005D21CD"/>
    <w:rsid w:val="005D2F8A"/>
    <w:rsid w:val="005D3AC5"/>
    <w:rsid w:val="005D47A2"/>
    <w:rsid w:val="005D4825"/>
    <w:rsid w:val="005D6FF5"/>
    <w:rsid w:val="005D759B"/>
    <w:rsid w:val="005D76B4"/>
    <w:rsid w:val="005D7CFC"/>
    <w:rsid w:val="005D7FBE"/>
    <w:rsid w:val="005E0101"/>
    <w:rsid w:val="005E0240"/>
    <w:rsid w:val="005E0C6E"/>
    <w:rsid w:val="005E2696"/>
    <w:rsid w:val="005E30E1"/>
    <w:rsid w:val="005E3318"/>
    <w:rsid w:val="005E47FB"/>
    <w:rsid w:val="005E5192"/>
    <w:rsid w:val="005E5299"/>
    <w:rsid w:val="005E5A2E"/>
    <w:rsid w:val="005E5A66"/>
    <w:rsid w:val="005E6A98"/>
    <w:rsid w:val="005E74B4"/>
    <w:rsid w:val="005E7A95"/>
    <w:rsid w:val="005F0CA7"/>
    <w:rsid w:val="005F1CA6"/>
    <w:rsid w:val="005F1ED5"/>
    <w:rsid w:val="005F230C"/>
    <w:rsid w:val="005F3E49"/>
    <w:rsid w:val="005F4AB6"/>
    <w:rsid w:val="005F523C"/>
    <w:rsid w:val="005F5A20"/>
    <w:rsid w:val="005F5EC8"/>
    <w:rsid w:val="005F65A8"/>
    <w:rsid w:val="005F6C47"/>
    <w:rsid w:val="005F7167"/>
    <w:rsid w:val="005F71A8"/>
    <w:rsid w:val="005F74AC"/>
    <w:rsid w:val="0060194C"/>
    <w:rsid w:val="00601AF8"/>
    <w:rsid w:val="0060369B"/>
    <w:rsid w:val="00603800"/>
    <w:rsid w:val="00603BC3"/>
    <w:rsid w:val="00603CDD"/>
    <w:rsid w:val="006045B9"/>
    <w:rsid w:val="0060602C"/>
    <w:rsid w:val="00606A53"/>
    <w:rsid w:val="00606DEA"/>
    <w:rsid w:val="00607905"/>
    <w:rsid w:val="00610825"/>
    <w:rsid w:val="006109FA"/>
    <w:rsid w:val="00610F21"/>
    <w:rsid w:val="006111C1"/>
    <w:rsid w:val="0061143C"/>
    <w:rsid w:val="0061366D"/>
    <w:rsid w:val="0061423F"/>
    <w:rsid w:val="0061573A"/>
    <w:rsid w:val="006165DE"/>
    <w:rsid w:val="006166F0"/>
    <w:rsid w:val="00617248"/>
    <w:rsid w:val="00617D35"/>
    <w:rsid w:val="00617DBD"/>
    <w:rsid w:val="00617FD8"/>
    <w:rsid w:val="00621D4F"/>
    <w:rsid w:val="0062231C"/>
    <w:rsid w:val="006227E3"/>
    <w:rsid w:val="006246E0"/>
    <w:rsid w:val="00624B28"/>
    <w:rsid w:val="00625604"/>
    <w:rsid w:val="00625BE8"/>
    <w:rsid w:val="00626059"/>
    <w:rsid w:val="0062634C"/>
    <w:rsid w:val="00627610"/>
    <w:rsid w:val="00627B6E"/>
    <w:rsid w:val="00630BA5"/>
    <w:rsid w:val="00632D38"/>
    <w:rsid w:val="00633474"/>
    <w:rsid w:val="00633AE1"/>
    <w:rsid w:val="00634319"/>
    <w:rsid w:val="006345BC"/>
    <w:rsid w:val="0063576A"/>
    <w:rsid w:val="006357D1"/>
    <w:rsid w:val="00637843"/>
    <w:rsid w:val="006408A6"/>
    <w:rsid w:val="00641BE8"/>
    <w:rsid w:val="00642927"/>
    <w:rsid w:val="0064299A"/>
    <w:rsid w:val="0064318B"/>
    <w:rsid w:val="006434C0"/>
    <w:rsid w:val="006435E6"/>
    <w:rsid w:val="00643927"/>
    <w:rsid w:val="006459C3"/>
    <w:rsid w:val="00645B27"/>
    <w:rsid w:val="00647873"/>
    <w:rsid w:val="00651094"/>
    <w:rsid w:val="006519E3"/>
    <w:rsid w:val="00653FF4"/>
    <w:rsid w:val="00655423"/>
    <w:rsid w:val="0065557D"/>
    <w:rsid w:val="00655BE1"/>
    <w:rsid w:val="00657CBA"/>
    <w:rsid w:val="00657EF3"/>
    <w:rsid w:val="006605B5"/>
    <w:rsid w:val="00660D0C"/>
    <w:rsid w:val="006623C1"/>
    <w:rsid w:val="00662DE7"/>
    <w:rsid w:val="00665EB7"/>
    <w:rsid w:val="00666D5C"/>
    <w:rsid w:val="0067076D"/>
    <w:rsid w:val="00670BE7"/>
    <w:rsid w:val="00670FB6"/>
    <w:rsid w:val="0067221B"/>
    <w:rsid w:val="0067311C"/>
    <w:rsid w:val="0067453E"/>
    <w:rsid w:val="00674653"/>
    <w:rsid w:val="0067467D"/>
    <w:rsid w:val="00675376"/>
    <w:rsid w:val="0068060F"/>
    <w:rsid w:val="00680E22"/>
    <w:rsid w:val="00681793"/>
    <w:rsid w:val="00681E9A"/>
    <w:rsid w:val="00682BD9"/>
    <w:rsid w:val="0068400C"/>
    <w:rsid w:val="006843B8"/>
    <w:rsid w:val="00684BF2"/>
    <w:rsid w:val="0068645B"/>
    <w:rsid w:val="006901A0"/>
    <w:rsid w:val="0069051F"/>
    <w:rsid w:val="00690F3D"/>
    <w:rsid w:val="0069389C"/>
    <w:rsid w:val="006957EF"/>
    <w:rsid w:val="00695CF0"/>
    <w:rsid w:val="006960E5"/>
    <w:rsid w:val="00696270"/>
    <w:rsid w:val="006967B0"/>
    <w:rsid w:val="006A21A1"/>
    <w:rsid w:val="006A2623"/>
    <w:rsid w:val="006A2F2C"/>
    <w:rsid w:val="006A3720"/>
    <w:rsid w:val="006A4766"/>
    <w:rsid w:val="006A4AA4"/>
    <w:rsid w:val="006A5575"/>
    <w:rsid w:val="006A5937"/>
    <w:rsid w:val="006A5A0B"/>
    <w:rsid w:val="006A7A9E"/>
    <w:rsid w:val="006B022B"/>
    <w:rsid w:val="006B1018"/>
    <w:rsid w:val="006B1197"/>
    <w:rsid w:val="006B1C54"/>
    <w:rsid w:val="006B2B09"/>
    <w:rsid w:val="006B38E1"/>
    <w:rsid w:val="006B4009"/>
    <w:rsid w:val="006B4EE8"/>
    <w:rsid w:val="006B4F92"/>
    <w:rsid w:val="006B512D"/>
    <w:rsid w:val="006B5A63"/>
    <w:rsid w:val="006B5C9E"/>
    <w:rsid w:val="006B5D63"/>
    <w:rsid w:val="006B7906"/>
    <w:rsid w:val="006C0150"/>
    <w:rsid w:val="006C049F"/>
    <w:rsid w:val="006C1020"/>
    <w:rsid w:val="006C14CA"/>
    <w:rsid w:val="006C1B9B"/>
    <w:rsid w:val="006C203E"/>
    <w:rsid w:val="006C2C2F"/>
    <w:rsid w:val="006C356F"/>
    <w:rsid w:val="006C37B8"/>
    <w:rsid w:val="006C4D7B"/>
    <w:rsid w:val="006C5012"/>
    <w:rsid w:val="006C5A78"/>
    <w:rsid w:val="006C5E41"/>
    <w:rsid w:val="006C6533"/>
    <w:rsid w:val="006C68E2"/>
    <w:rsid w:val="006C6AB1"/>
    <w:rsid w:val="006C7787"/>
    <w:rsid w:val="006C7E3F"/>
    <w:rsid w:val="006D0D24"/>
    <w:rsid w:val="006D1CF1"/>
    <w:rsid w:val="006D1E80"/>
    <w:rsid w:val="006D1F1B"/>
    <w:rsid w:val="006D3D38"/>
    <w:rsid w:val="006D3E06"/>
    <w:rsid w:val="006D458B"/>
    <w:rsid w:val="006D62D4"/>
    <w:rsid w:val="006D7582"/>
    <w:rsid w:val="006D7658"/>
    <w:rsid w:val="006D7931"/>
    <w:rsid w:val="006D7F75"/>
    <w:rsid w:val="006E012E"/>
    <w:rsid w:val="006E0601"/>
    <w:rsid w:val="006E0C34"/>
    <w:rsid w:val="006E0E1C"/>
    <w:rsid w:val="006E0E8C"/>
    <w:rsid w:val="006E1799"/>
    <w:rsid w:val="006E224C"/>
    <w:rsid w:val="006E6076"/>
    <w:rsid w:val="006E6E27"/>
    <w:rsid w:val="006E727C"/>
    <w:rsid w:val="006E72A4"/>
    <w:rsid w:val="006E7425"/>
    <w:rsid w:val="006F0A50"/>
    <w:rsid w:val="006F0CD4"/>
    <w:rsid w:val="006F145F"/>
    <w:rsid w:val="006F18F0"/>
    <w:rsid w:val="006F1AFF"/>
    <w:rsid w:val="006F22B5"/>
    <w:rsid w:val="006F2472"/>
    <w:rsid w:val="006F2722"/>
    <w:rsid w:val="006F3DE2"/>
    <w:rsid w:val="006F54B7"/>
    <w:rsid w:val="006F5AA6"/>
    <w:rsid w:val="006F5C99"/>
    <w:rsid w:val="006F5F2A"/>
    <w:rsid w:val="006F66BB"/>
    <w:rsid w:val="006F66C1"/>
    <w:rsid w:val="006F6E24"/>
    <w:rsid w:val="006F70C2"/>
    <w:rsid w:val="00700C0A"/>
    <w:rsid w:val="007014AD"/>
    <w:rsid w:val="00701895"/>
    <w:rsid w:val="0070365F"/>
    <w:rsid w:val="00704663"/>
    <w:rsid w:val="00704D4B"/>
    <w:rsid w:val="00707322"/>
    <w:rsid w:val="007106A3"/>
    <w:rsid w:val="007113F4"/>
    <w:rsid w:val="00712A47"/>
    <w:rsid w:val="007130CD"/>
    <w:rsid w:val="007132ED"/>
    <w:rsid w:val="00713739"/>
    <w:rsid w:val="007138A1"/>
    <w:rsid w:val="0071466C"/>
    <w:rsid w:val="007148FB"/>
    <w:rsid w:val="00714E1D"/>
    <w:rsid w:val="00717F5B"/>
    <w:rsid w:val="007204DC"/>
    <w:rsid w:val="007206B6"/>
    <w:rsid w:val="007215F6"/>
    <w:rsid w:val="00722A37"/>
    <w:rsid w:val="00722ADA"/>
    <w:rsid w:val="00722DEC"/>
    <w:rsid w:val="00723482"/>
    <w:rsid w:val="00725657"/>
    <w:rsid w:val="00725A4E"/>
    <w:rsid w:val="00726467"/>
    <w:rsid w:val="0072757F"/>
    <w:rsid w:val="0073020D"/>
    <w:rsid w:val="00730657"/>
    <w:rsid w:val="00731FF2"/>
    <w:rsid w:val="00732624"/>
    <w:rsid w:val="0073283D"/>
    <w:rsid w:val="0073305C"/>
    <w:rsid w:val="00733310"/>
    <w:rsid w:val="007338B7"/>
    <w:rsid w:val="00733EA4"/>
    <w:rsid w:val="00734D18"/>
    <w:rsid w:val="00734E20"/>
    <w:rsid w:val="007367DA"/>
    <w:rsid w:val="00736CDA"/>
    <w:rsid w:val="007412A7"/>
    <w:rsid w:val="00742CFE"/>
    <w:rsid w:val="00743097"/>
    <w:rsid w:val="007432CE"/>
    <w:rsid w:val="0074366F"/>
    <w:rsid w:val="00743A6A"/>
    <w:rsid w:val="007478B7"/>
    <w:rsid w:val="0074790E"/>
    <w:rsid w:val="00747FA8"/>
    <w:rsid w:val="00750653"/>
    <w:rsid w:val="0075169F"/>
    <w:rsid w:val="00751BD6"/>
    <w:rsid w:val="00754915"/>
    <w:rsid w:val="007554E9"/>
    <w:rsid w:val="00755611"/>
    <w:rsid w:val="007613B3"/>
    <w:rsid w:val="00762811"/>
    <w:rsid w:val="00764EE4"/>
    <w:rsid w:val="00765396"/>
    <w:rsid w:val="00766C86"/>
    <w:rsid w:val="0076747B"/>
    <w:rsid w:val="0076769A"/>
    <w:rsid w:val="0076782B"/>
    <w:rsid w:val="00767991"/>
    <w:rsid w:val="00770B1C"/>
    <w:rsid w:val="00770FFA"/>
    <w:rsid w:val="00773296"/>
    <w:rsid w:val="00774B00"/>
    <w:rsid w:val="00774E21"/>
    <w:rsid w:val="0077528D"/>
    <w:rsid w:val="0077747B"/>
    <w:rsid w:val="0077755C"/>
    <w:rsid w:val="007801E3"/>
    <w:rsid w:val="007807D9"/>
    <w:rsid w:val="007808E4"/>
    <w:rsid w:val="00781534"/>
    <w:rsid w:val="00781B14"/>
    <w:rsid w:val="00781B98"/>
    <w:rsid w:val="00784652"/>
    <w:rsid w:val="00784BED"/>
    <w:rsid w:val="00784C4F"/>
    <w:rsid w:val="00784DDF"/>
    <w:rsid w:val="00784DF7"/>
    <w:rsid w:val="00785A24"/>
    <w:rsid w:val="007860A9"/>
    <w:rsid w:val="0078669C"/>
    <w:rsid w:val="0078681C"/>
    <w:rsid w:val="007872C2"/>
    <w:rsid w:val="00790679"/>
    <w:rsid w:val="00790B78"/>
    <w:rsid w:val="00791EAB"/>
    <w:rsid w:val="007923B2"/>
    <w:rsid w:val="007925B9"/>
    <w:rsid w:val="00792C86"/>
    <w:rsid w:val="00793460"/>
    <w:rsid w:val="00793539"/>
    <w:rsid w:val="0079383D"/>
    <w:rsid w:val="00793BCA"/>
    <w:rsid w:val="007949F7"/>
    <w:rsid w:val="00794F60"/>
    <w:rsid w:val="00797353"/>
    <w:rsid w:val="0079746D"/>
    <w:rsid w:val="00797AB7"/>
    <w:rsid w:val="007A07DC"/>
    <w:rsid w:val="007A0805"/>
    <w:rsid w:val="007A1709"/>
    <w:rsid w:val="007A1816"/>
    <w:rsid w:val="007A1AAC"/>
    <w:rsid w:val="007A3698"/>
    <w:rsid w:val="007A43F7"/>
    <w:rsid w:val="007A4D5D"/>
    <w:rsid w:val="007A4FE2"/>
    <w:rsid w:val="007A60CB"/>
    <w:rsid w:val="007A686C"/>
    <w:rsid w:val="007A6D7D"/>
    <w:rsid w:val="007B04BB"/>
    <w:rsid w:val="007B1122"/>
    <w:rsid w:val="007B1ECA"/>
    <w:rsid w:val="007B2158"/>
    <w:rsid w:val="007B2205"/>
    <w:rsid w:val="007B2BB8"/>
    <w:rsid w:val="007B388D"/>
    <w:rsid w:val="007B417B"/>
    <w:rsid w:val="007B52A9"/>
    <w:rsid w:val="007B735D"/>
    <w:rsid w:val="007C0A4B"/>
    <w:rsid w:val="007C159F"/>
    <w:rsid w:val="007C2010"/>
    <w:rsid w:val="007C3649"/>
    <w:rsid w:val="007C3A4B"/>
    <w:rsid w:val="007C4CC5"/>
    <w:rsid w:val="007C55FD"/>
    <w:rsid w:val="007C620B"/>
    <w:rsid w:val="007C65D0"/>
    <w:rsid w:val="007C68BB"/>
    <w:rsid w:val="007D20EF"/>
    <w:rsid w:val="007D35AE"/>
    <w:rsid w:val="007D3E83"/>
    <w:rsid w:val="007D6081"/>
    <w:rsid w:val="007D6AE3"/>
    <w:rsid w:val="007D6AFC"/>
    <w:rsid w:val="007D6C39"/>
    <w:rsid w:val="007D7754"/>
    <w:rsid w:val="007D78CF"/>
    <w:rsid w:val="007D790B"/>
    <w:rsid w:val="007D7B40"/>
    <w:rsid w:val="007E0619"/>
    <w:rsid w:val="007E0E9D"/>
    <w:rsid w:val="007E1991"/>
    <w:rsid w:val="007E1E6E"/>
    <w:rsid w:val="007E2431"/>
    <w:rsid w:val="007E29E4"/>
    <w:rsid w:val="007E2E2F"/>
    <w:rsid w:val="007E39B5"/>
    <w:rsid w:val="007E4F27"/>
    <w:rsid w:val="007E5AE6"/>
    <w:rsid w:val="007E5BA2"/>
    <w:rsid w:val="007E75CD"/>
    <w:rsid w:val="007E7B74"/>
    <w:rsid w:val="007F042C"/>
    <w:rsid w:val="007F0A15"/>
    <w:rsid w:val="007F0A49"/>
    <w:rsid w:val="007F123E"/>
    <w:rsid w:val="007F2BD4"/>
    <w:rsid w:val="007F2FD1"/>
    <w:rsid w:val="007F4146"/>
    <w:rsid w:val="007F534F"/>
    <w:rsid w:val="007F55CC"/>
    <w:rsid w:val="007F5B67"/>
    <w:rsid w:val="007F6F23"/>
    <w:rsid w:val="007F6FE3"/>
    <w:rsid w:val="007F745D"/>
    <w:rsid w:val="007F779F"/>
    <w:rsid w:val="008016EC"/>
    <w:rsid w:val="00803C63"/>
    <w:rsid w:val="00804823"/>
    <w:rsid w:val="00804966"/>
    <w:rsid w:val="00804B7A"/>
    <w:rsid w:val="00805BD0"/>
    <w:rsid w:val="00805E9D"/>
    <w:rsid w:val="00806256"/>
    <w:rsid w:val="008070FE"/>
    <w:rsid w:val="008071A9"/>
    <w:rsid w:val="0080739F"/>
    <w:rsid w:val="00811BC8"/>
    <w:rsid w:val="008125B7"/>
    <w:rsid w:val="00813282"/>
    <w:rsid w:val="00813C89"/>
    <w:rsid w:val="00813D0F"/>
    <w:rsid w:val="00816414"/>
    <w:rsid w:val="00816433"/>
    <w:rsid w:val="00816F05"/>
    <w:rsid w:val="008177B1"/>
    <w:rsid w:val="00817B9D"/>
    <w:rsid w:val="00820A1C"/>
    <w:rsid w:val="00822983"/>
    <w:rsid w:val="00822CB0"/>
    <w:rsid w:val="00822D5C"/>
    <w:rsid w:val="008235B7"/>
    <w:rsid w:val="00824405"/>
    <w:rsid w:val="0082527A"/>
    <w:rsid w:val="008253A3"/>
    <w:rsid w:val="008255D9"/>
    <w:rsid w:val="0082662D"/>
    <w:rsid w:val="0082748B"/>
    <w:rsid w:val="00830096"/>
    <w:rsid w:val="0083089A"/>
    <w:rsid w:val="0083266F"/>
    <w:rsid w:val="00832831"/>
    <w:rsid w:val="00833655"/>
    <w:rsid w:val="00833657"/>
    <w:rsid w:val="00834EA3"/>
    <w:rsid w:val="00836238"/>
    <w:rsid w:val="00837039"/>
    <w:rsid w:val="00840332"/>
    <w:rsid w:val="008405CD"/>
    <w:rsid w:val="008414C1"/>
    <w:rsid w:val="0084339C"/>
    <w:rsid w:val="0084367E"/>
    <w:rsid w:val="00843D18"/>
    <w:rsid w:val="00844B8B"/>
    <w:rsid w:val="00844E0D"/>
    <w:rsid w:val="008463D9"/>
    <w:rsid w:val="008466D2"/>
    <w:rsid w:val="0085030E"/>
    <w:rsid w:val="00850E9C"/>
    <w:rsid w:val="008515D6"/>
    <w:rsid w:val="00851881"/>
    <w:rsid w:val="00851DCD"/>
    <w:rsid w:val="00853D1A"/>
    <w:rsid w:val="0085440C"/>
    <w:rsid w:val="0085473F"/>
    <w:rsid w:val="0085506C"/>
    <w:rsid w:val="00855846"/>
    <w:rsid w:val="00855852"/>
    <w:rsid w:val="00860804"/>
    <w:rsid w:val="00864719"/>
    <w:rsid w:val="0086478E"/>
    <w:rsid w:val="00866A2E"/>
    <w:rsid w:val="008675FE"/>
    <w:rsid w:val="008678C8"/>
    <w:rsid w:val="008701B7"/>
    <w:rsid w:val="00870277"/>
    <w:rsid w:val="00871198"/>
    <w:rsid w:val="008714D0"/>
    <w:rsid w:val="008730F9"/>
    <w:rsid w:val="008744CA"/>
    <w:rsid w:val="00874D26"/>
    <w:rsid w:val="0087592A"/>
    <w:rsid w:val="00875A34"/>
    <w:rsid w:val="00875D3F"/>
    <w:rsid w:val="00876C42"/>
    <w:rsid w:val="008779F6"/>
    <w:rsid w:val="008808F5"/>
    <w:rsid w:val="00880980"/>
    <w:rsid w:val="00881008"/>
    <w:rsid w:val="008832FB"/>
    <w:rsid w:val="00883B9F"/>
    <w:rsid w:val="00883BFD"/>
    <w:rsid w:val="00883F31"/>
    <w:rsid w:val="00884CDD"/>
    <w:rsid w:val="00885CB7"/>
    <w:rsid w:val="00885D14"/>
    <w:rsid w:val="00885E30"/>
    <w:rsid w:val="008863B0"/>
    <w:rsid w:val="00886667"/>
    <w:rsid w:val="0088719E"/>
    <w:rsid w:val="00887A00"/>
    <w:rsid w:val="008908F4"/>
    <w:rsid w:val="00891314"/>
    <w:rsid w:val="00892595"/>
    <w:rsid w:val="008932C1"/>
    <w:rsid w:val="0089342B"/>
    <w:rsid w:val="00894B49"/>
    <w:rsid w:val="0089679F"/>
    <w:rsid w:val="00897B46"/>
    <w:rsid w:val="008A08E1"/>
    <w:rsid w:val="008A08F2"/>
    <w:rsid w:val="008A16B1"/>
    <w:rsid w:val="008A1F19"/>
    <w:rsid w:val="008A2588"/>
    <w:rsid w:val="008A2C82"/>
    <w:rsid w:val="008A2FC9"/>
    <w:rsid w:val="008A36D0"/>
    <w:rsid w:val="008A4CCD"/>
    <w:rsid w:val="008A4DE2"/>
    <w:rsid w:val="008A5B6F"/>
    <w:rsid w:val="008A6165"/>
    <w:rsid w:val="008A622D"/>
    <w:rsid w:val="008A7C25"/>
    <w:rsid w:val="008A7D12"/>
    <w:rsid w:val="008B0700"/>
    <w:rsid w:val="008B1A07"/>
    <w:rsid w:val="008B1B6F"/>
    <w:rsid w:val="008B2FEB"/>
    <w:rsid w:val="008B3848"/>
    <w:rsid w:val="008B47B0"/>
    <w:rsid w:val="008B5207"/>
    <w:rsid w:val="008B5F15"/>
    <w:rsid w:val="008B7195"/>
    <w:rsid w:val="008B7C4A"/>
    <w:rsid w:val="008C08A4"/>
    <w:rsid w:val="008C116B"/>
    <w:rsid w:val="008C20DB"/>
    <w:rsid w:val="008C25DD"/>
    <w:rsid w:val="008C31BE"/>
    <w:rsid w:val="008C3A84"/>
    <w:rsid w:val="008C454A"/>
    <w:rsid w:val="008C4D2B"/>
    <w:rsid w:val="008C5A04"/>
    <w:rsid w:val="008C5B03"/>
    <w:rsid w:val="008C651B"/>
    <w:rsid w:val="008C65B2"/>
    <w:rsid w:val="008C67DC"/>
    <w:rsid w:val="008C7E25"/>
    <w:rsid w:val="008D01CE"/>
    <w:rsid w:val="008D058E"/>
    <w:rsid w:val="008D2E88"/>
    <w:rsid w:val="008D2F72"/>
    <w:rsid w:val="008D3964"/>
    <w:rsid w:val="008D4431"/>
    <w:rsid w:val="008D455F"/>
    <w:rsid w:val="008D5448"/>
    <w:rsid w:val="008D5748"/>
    <w:rsid w:val="008D6469"/>
    <w:rsid w:val="008D6ECD"/>
    <w:rsid w:val="008D73EF"/>
    <w:rsid w:val="008D785E"/>
    <w:rsid w:val="008D79BE"/>
    <w:rsid w:val="008E0160"/>
    <w:rsid w:val="008E0A24"/>
    <w:rsid w:val="008E27CF"/>
    <w:rsid w:val="008E379F"/>
    <w:rsid w:val="008E3BEF"/>
    <w:rsid w:val="008E3D95"/>
    <w:rsid w:val="008E3E23"/>
    <w:rsid w:val="008E4336"/>
    <w:rsid w:val="008E45CB"/>
    <w:rsid w:val="008E567B"/>
    <w:rsid w:val="008E75E8"/>
    <w:rsid w:val="008E7D9E"/>
    <w:rsid w:val="008F0190"/>
    <w:rsid w:val="008F0A2F"/>
    <w:rsid w:val="008F11A7"/>
    <w:rsid w:val="008F218B"/>
    <w:rsid w:val="008F297B"/>
    <w:rsid w:val="008F36F0"/>
    <w:rsid w:val="008F3ABD"/>
    <w:rsid w:val="008F4910"/>
    <w:rsid w:val="008F4A47"/>
    <w:rsid w:val="008F4F7A"/>
    <w:rsid w:val="008F51B1"/>
    <w:rsid w:val="008F5AC5"/>
    <w:rsid w:val="008F6C15"/>
    <w:rsid w:val="00900090"/>
    <w:rsid w:val="00901504"/>
    <w:rsid w:val="009017C1"/>
    <w:rsid w:val="00901930"/>
    <w:rsid w:val="00902135"/>
    <w:rsid w:val="00905074"/>
    <w:rsid w:val="00906178"/>
    <w:rsid w:val="00911558"/>
    <w:rsid w:val="00911E10"/>
    <w:rsid w:val="00911E73"/>
    <w:rsid w:val="0091364B"/>
    <w:rsid w:val="0091387E"/>
    <w:rsid w:val="00913EE3"/>
    <w:rsid w:val="00916657"/>
    <w:rsid w:val="009172C0"/>
    <w:rsid w:val="00917702"/>
    <w:rsid w:val="00917A94"/>
    <w:rsid w:val="00920585"/>
    <w:rsid w:val="00920DAF"/>
    <w:rsid w:val="00921143"/>
    <w:rsid w:val="00922BFD"/>
    <w:rsid w:val="00922D69"/>
    <w:rsid w:val="00924084"/>
    <w:rsid w:val="00925162"/>
    <w:rsid w:val="009258CA"/>
    <w:rsid w:val="00926063"/>
    <w:rsid w:val="0092731E"/>
    <w:rsid w:val="00927ACF"/>
    <w:rsid w:val="009313F1"/>
    <w:rsid w:val="00931625"/>
    <w:rsid w:val="009319A4"/>
    <w:rsid w:val="009321A2"/>
    <w:rsid w:val="00932702"/>
    <w:rsid w:val="009329FE"/>
    <w:rsid w:val="00932A61"/>
    <w:rsid w:val="009332BC"/>
    <w:rsid w:val="00934CE8"/>
    <w:rsid w:val="009373F2"/>
    <w:rsid w:val="00937D45"/>
    <w:rsid w:val="009415BF"/>
    <w:rsid w:val="00943866"/>
    <w:rsid w:val="00946ACF"/>
    <w:rsid w:val="00946C99"/>
    <w:rsid w:val="00946F99"/>
    <w:rsid w:val="00950CC8"/>
    <w:rsid w:val="00951635"/>
    <w:rsid w:val="009549B7"/>
    <w:rsid w:val="00954A3B"/>
    <w:rsid w:val="0095523B"/>
    <w:rsid w:val="00956093"/>
    <w:rsid w:val="00956749"/>
    <w:rsid w:val="00957FBA"/>
    <w:rsid w:val="00963361"/>
    <w:rsid w:val="00964971"/>
    <w:rsid w:val="00964A21"/>
    <w:rsid w:val="00964A46"/>
    <w:rsid w:val="00964D79"/>
    <w:rsid w:val="00965F2A"/>
    <w:rsid w:val="00966A73"/>
    <w:rsid w:val="00966E90"/>
    <w:rsid w:val="009672DF"/>
    <w:rsid w:val="00970119"/>
    <w:rsid w:val="009704E1"/>
    <w:rsid w:val="009710C2"/>
    <w:rsid w:val="00972047"/>
    <w:rsid w:val="009733B1"/>
    <w:rsid w:val="009745CD"/>
    <w:rsid w:val="009750B5"/>
    <w:rsid w:val="009752B8"/>
    <w:rsid w:val="00975C99"/>
    <w:rsid w:val="00975D3C"/>
    <w:rsid w:val="00977EEF"/>
    <w:rsid w:val="00980C6E"/>
    <w:rsid w:val="00981193"/>
    <w:rsid w:val="0098172F"/>
    <w:rsid w:val="00981F62"/>
    <w:rsid w:val="00982FFE"/>
    <w:rsid w:val="00983BFF"/>
    <w:rsid w:val="009846F4"/>
    <w:rsid w:val="009860BD"/>
    <w:rsid w:val="00986A79"/>
    <w:rsid w:val="00986CC9"/>
    <w:rsid w:val="009875C0"/>
    <w:rsid w:val="00987772"/>
    <w:rsid w:val="0098781C"/>
    <w:rsid w:val="0099064A"/>
    <w:rsid w:val="00991127"/>
    <w:rsid w:val="009922CB"/>
    <w:rsid w:val="009922CF"/>
    <w:rsid w:val="009932D8"/>
    <w:rsid w:val="00994E27"/>
    <w:rsid w:val="0099574B"/>
    <w:rsid w:val="009959DE"/>
    <w:rsid w:val="009966FE"/>
    <w:rsid w:val="00996CAC"/>
    <w:rsid w:val="00996D20"/>
    <w:rsid w:val="0099765B"/>
    <w:rsid w:val="009A0314"/>
    <w:rsid w:val="009A063E"/>
    <w:rsid w:val="009A06BB"/>
    <w:rsid w:val="009A0F56"/>
    <w:rsid w:val="009A113C"/>
    <w:rsid w:val="009A2464"/>
    <w:rsid w:val="009A316E"/>
    <w:rsid w:val="009A55D2"/>
    <w:rsid w:val="009A563B"/>
    <w:rsid w:val="009A5D22"/>
    <w:rsid w:val="009A6617"/>
    <w:rsid w:val="009A7B81"/>
    <w:rsid w:val="009A7C4D"/>
    <w:rsid w:val="009B03CD"/>
    <w:rsid w:val="009B1587"/>
    <w:rsid w:val="009B215A"/>
    <w:rsid w:val="009B2A1A"/>
    <w:rsid w:val="009B4991"/>
    <w:rsid w:val="009B4B64"/>
    <w:rsid w:val="009B4DCD"/>
    <w:rsid w:val="009B4FC1"/>
    <w:rsid w:val="009B6462"/>
    <w:rsid w:val="009B6A22"/>
    <w:rsid w:val="009B71CA"/>
    <w:rsid w:val="009B76E1"/>
    <w:rsid w:val="009B792A"/>
    <w:rsid w:val="009B7F7C"/>
    <w:rsid w:val="009C010F"/>
    <w:rsid w:val="009C02C8"/>
    <w:rsid w:val="009C0594"/>
    <w:rsid w:val="009C1C08"/>
    <w:rsid w:val="009C2299"/>
    <w:rsid w:val="009C29E3"/>
    <w:rsid w:val="009C416A"/>
    <w:rsid w:val="009C48A3"/>
    <w:rsid w:val="009C54B4"/>
    <w:rsid w:val="009D0415"/>
    <w:rsid w:val="009D079C"/>
    <w:rsid w:val="009D0F8D"/>
    <w:rsid w:val="009D242E"/>
    <w:rsid w:val="009D349B"/>
    <w:rsid w:val="009D3C6D"/>
    <w:rsid w:val="009D3FE6"/>
    <w:rsid w:val="009D45B7"/>
    <w:rsid w:val="009D6A26"/>
    <w:rsid w:val="009D77D7"/>
    <w:rsid w:val="009E086A"/>
    <w:rsid w:val="009E3C1D"/>
    <w:rsid w:val="009E3FED"/>
    <w:rsid w:val="009E40AA"/>
    <w:rsid w:val="009E4AA2"/>
    <w:rsid w:val="009E5020"/>
    <w:rsid w:val="009E502A"/>
    <w:rsid w:val="009E5903"/>
    <w:rsid w:val="009E5956"/>
    <w:rsid w:val="009E7158"/>
    <w:rsid w:val="009F1096"/>
    <w:rsid w:val="009F2826"/>
    <w:rsid w:val="009F3D44"/>
    <w:rsid w:val="009F4451"/>
    <w:rsid w:val="009F48FC"/>
    <w:rsid w:val="009F54A3"/>
    <w:rsid w:val="009F5568"/>
    <w:rsid w:val="009F55DA"/>
    <w:rsid w:val="009F659F"/>
    <w:rsid w:val="009F6FB6"/>
    <w:rsid w:val="009F75EE"/>
    <w:rsid w:val="00A0032F"/>
    <w:rsid w:val="00A00D1C"/>
    <w:rsid w:val="00A01919"/>
    <w:rsid w:val="00A01987"/>
    <w:rsid w:val="00A02B7D"/>
    <w:rsid w:val="00A02D01"/>
    <w:rsid w:val="00A02D38"/>
    <w:rsid w:val="00A05228"/>
    <w:rsid w:val="00A0526C"/>
    <w:rsid w:val="00A05B5A"/>
    <w:rsid w:val="00A067D7"/>
    <w:rsid w:val="00A0797F"/>
    <w:rsid w:val="00A107A1"/>
    <w:rsid w:val="00A10D83"/>
    <w:rsid w:val="00A1137F"/>
    <w:rsid w:val="00A13705"/>
    <w:rsid w:val="00A15655"/>
    <w:rsid w:val="00A15738"/>
    <w:rsid w:val="00A1670D"/>
    <w:rsid w:val="00A179EB"/>
    <w:rsid w:val="00A17F34"/>
    <w:rsid w:val="00A20345"/>
    <w:rsid w:val="00A20AB6"/>
    <w:rsid w:val="00A218C7"/>
    <w:rsid w:val="00A22A21"/>
    <w:rsid w:val="00A23BB0"/>
    <w:rsid w:val="00A23D3C"/>
    <w:rsid w:val="00A2658E"/>
    <w:rsid w:val="00A27634"/>
    <w:rsid w:val="00A30B11"/>
    <w:rsid w:val="00A31BCE"/>
    <w:rsid w:val="00A32EA7"/>
    <w:rsid w:val="00A35CE2"/>
    <w:rsid w:val="00A36389"/>
    <w:rsid w:val="00A364D6"/>
    <w:rsid w:val="00A3765D"/>
    <w:rsid w:val="00A377EF"/>
    <w:rsid w:val="00A40A7A"/>
    <w:rsid w:val="00A41EE0"/>
    <w:rsid w:val="00A42381"/>
    <w:rsid w:val="00A44315"/>
    <w:rsid w:val="00A44610"/>
    <w:rsid w:val="00A4509D"/>
    <w:rsid w:val="00A457B5"/>
    <w:rsid w:val="00A46B19"/>
    <w:rsid w:val="00A500BE"/>
    <w:rsid w:val="00A504CD"/>
    <w:rsid w:val="00A508B0"/>
    <w:rsid w:val="00A512A2"/>
    <w:rsid w:val="00A5214A"/>
    <w:rsid w:val="00A5333B"/>
    <w:rsid w:val="00A5460D"/>
    <w:rsid w:val="00A546F8"/>
    <w:rsid w:val="00A55402"/>
    <w:rsid w:val="00A56DEC"/>
    <w:rsid w:val="00A603C1"/>
    <w:rsid w:val="00A6077A"/>
    <w:rsid w:val="00A60ED8"/>
    <w:rsid w:val="00A61889"/>
    <w:rsid w:val="00A61BDB"/>
    <w:rsid w:val="00A61EC6"/>
    <w:rsid w:val="00A6394A"/>
    <w:rsid w:val="00A64C44"/>
    <w:rsid w:val="00A64F3B"/>
    <w:rsid w:val="00A65299"/>
    <w:rsid w:val="00A660BE"/>
    <w:rsid w:val="00A6692E"/>
    <w:rsid w:val="00A66BC8"/>
    <w:rsid w:val="00A67048"/>
    <w:rsid w:val="00A705E2"/>
    <w:rsid w:val="00A70B88"/>
    <w:rsid w:val="00A70DA2"/>
    <w:rsid w:val="00A7144B"/>
    <w:rsid w:val="00A7162E"/>
    <w:rsid w:val="00A7266A"/>
    <w:rsid w:val="00A75A33"/>
    <w:rsid w:val="00A75DF5"/>
    <w:rsid w:val="00A76252"/>
    <w:rsid w:val="00A762E4"/>
    <w:rsid w:val="00A76BD5"/>
    <w:rsid w:val="00A76EDE"/>
    <w:rsid w:val="00A80A5C"/>
    <w:rsid w:val="00A82577"/>
    <w:rsid w:val="00A831A9"/>
    <w:rsid w:val="00A84739"/>
    <w:rsid w:val="00A84837"/>
    <w:rsid w:val="00A85342"/>
    <w:rsid w:val="00A85C91"/>
    <w:rsid w:val="00A866E6"/>
    <w:rsid w:val="00A86BD4"/>
    <w:rsid w:val="00A87558"/>
    <w:rsid w:val="00A92ACC"/>
    <w:rsid w:val="00A93B00"/>
    <w:rsid w:val="00A93B9F"/>
    <w:rsid w:val="00A94955"/>
    <w:rsid w:val="00A9558D"/>
    <w:rsid w:val="00A97853"/>
    <w:rsid w:val="00AA06F1"/>
    <w:rsid w:val="00AA10D3"/>
    <w:rsid w:val="00AA11B6"/>
    <w:rsid w:val="00AA211F"/>
    <w:rsid w:val="00AA256A"/>
    <w:rsid w:val="00AA4B48"/>
    <w:rsid w:val="00AA569D"/>
    <w:rsid w:val="00AA613B"/>
    <w:rsid w:val="00AA6828"/>
    <w:rsid w:val="00AA716B"/>
    <w:rsid w:val="00AB015A"/>
    <w:rsid w:val="00AB13C6"/>
    <w:rsid w:val="00AB1B71"/>
    <w:rsid w:val="00AB1EF6"/>
    <w:rsid w:val="00AB2BCA"/>
    <w:rsid w:val="00AB4131"/>
    <w:rsid w:val="00AB4F39"/>
    <w:rsid w:val="00AB5C03"/>
    <w:rsid w:val="00AB6316"/>
    <w:rsid w:val="00AB65E1"/>
    <w:rsid w:val="00AB6F2B"/>
    <w:rsid w:val="00AC11E2"/>
    <w:rsid w:val="00AC257C"/>
    <w:rsid w:val="00AC2586"/>
    <w:rsid w:val="00AC2DCD"/>
    <w:rsid w:val="00AC3639"/>
    <w:rsid w:val="00AC3991"/>
    <w:rsid w:val="00AD16B3"/>
    <w:rsid w:val="00AD23D1"/>
    <w:rsid w:val="00AD3173"/>
    <w:rsid w:val="00AD3210"/>
    <w:rsid w:val="00AD369D"/>
    <w:rsid w:val="00AD3FF4"/>
    <w:rsid w:val="00AD40C1"/>
    <w:rsid w:val="00AD48DA"/>
    <w:rsid w:val="00AD4A99"/>
    <w:rsid w:val="00AD4B55"/>
    <w:rsid w:val="00AD4D26"/>
    <w:rsid w:val="00AD7386"/>
    <w:rsid w:val="00AD7AF3"/>
    <w:rsid w:val="00AE1B4A"/>
    <w:rsid w:val="00AE31E5"/>
    <w:rsid w:val="00AE3EA1"/>
    <w:rsid w:val="00AE3FF6"/>
    <w:rsid w:val="00AE545C"/>
    <w:rsid w:val="00AE5580"/>
    <w:rsid w:val="00AE591A"/>
    <w:rsid w:val="00AE6D9D"/>
    <w:rsid w:val="00AE7866"/>
    <w:rsid w:val="00AF0E46"/>
    <w:rsid w:val="00AF1638"/>
    <w:rsid w:val="00AF260E"/>
    <w:rsid w:val="00AF340E"/>
    <w:rsid w:val="00AF4A2F"/>
    <w:rsid w:val="00AF4B4F"/>
    <w:rsid w:val="00AF6C18"/>
    <w:rsid w:val="00AF7806"/>
    <w:rsid w:val="00B01A7A"/>
    <w:rsid w:val="00B02D35"/>
    <w:rsid w:val="00B02F95"/>
    <w:rsid w:val="00B02FFB"/>
    <w:rsid w:val="00B03879"/>
    <w:rsid w:val="00B03AE3"/>
    <w:rsid w:val="00B03C0B"/>
    <w:rsid w:val="00B04174"/>
    <w:rsid w:val="00B069C6"/>
    <w:rsid w:val="00B07B17"/>
    <w:rsid w:val="00B07F49"/>
    <w:rsid w:val="00B1130C"/>
    <w:rsid w:val="00B13565"/>
    <w:rsid w:val="00B14123"/>
    <w:rsid w:val="00B14AD6"/>
    <w:rsid w:val="00B16069"/>
    <w:rsid w:val="00B16A36"/>
    <w:rsid w:val="00B16A51"/>
    <w:rsid w:val="00B2092B"/>
    <w:rsid w:val="00B21D7D"/>
    <w:rsid w:val="00B22AC5"/>
    <w:rsid w:val="00B2319E"/>
    <w:rsid w:val="00B239EF"/>
    <w:rsid w:val="00B23B22"/>
    <w:rsid w:val="00B23F92"/>
    <w:rsid w:val="00B25D48"/>
    <w:rsid w:val="00B26D19"/>
    <w:rsid w:val="00B26D9A"/>
    <w:rsid w:val="00B27712"/>
    <w:rsid w:val="00B27F9A"/>
    <w:rsid w:val="00B30205"/>
    <w:rsid w:val="00B30B2E"/>
    <w:rsid w:val="00B30B51"/>
    <w:rsid w:val="00B312FB"/>
    <w:rsid w:val="00B3332C"/>
    <w:rsid w:val="00B339CD"/>
    <w:rsid w:val="00B33C14"/>
    <w:rsid w:val="00B34CC7"/>
    <w:rsid w:val="00B34F45"/>
    <w:rsid w:val="00B35167"/>
    <w:rsid w:val="00B353F9"/>
    <w:rsid w:val="00B36393"/>
    <w:rsid w:val="00B36611"/>
    <w:rsid w:val="00B3667D"/>
    <w:rsid w:val="00B3778C"/>
    <w:rsid w:val="00B37887"/>
    <w:rsid w:val="00B37BDF"/>
    <w:rsid w:val="00B401AA"/>
    <w:rsid w:val="00B40BA2"/>
    <w:rsid w:val="00B420FA"/>
    <w:rsid w:val="00B4349A"/>
    <w:rsid w:val="00B43D41"/>
    <w:rsid w:val="00B4582F"/>
    <w:rsid w:val="00B4597F"/>
    <w:rsid w:val="00B45BA1"/>
    <w:rsid w:val="00B4623D"/>
    <w:rsid w:val="00B46D70"/>
    <w:rsid w:val="00B47593"/>
    <w:rsid w:val="00B4763C"/>
    <w:rsid w:val="00B47BEF"/>
    <w:rsid w:val="00B47C05"/>
    <w:rsid w:val="00B5018D"/>
    <w:rsid w:val="00B504F0"/>
    <w:rsid w:val="00B509F1"/>
    <w:rsid w:val="00B53781"/>
    <w:rsid w:val="00B55171"/>
    <w:rsid w:val="00B56CA3"/>
    <w:rsid w:val="00B56DEE"/>
    <w:rsid w:val="00B60154"/>
    <w:rsid w:val="00B60E09"/>
    <w:rsid w:val="00B620C9"/>
    <w:rsid w:val="00B627EA"/>
    <w:rsid w:val="00B64419"/>
    <w:rsid w:val="00B65415"/>
    <w:rsid w:val="00B65A5B"/>
    <w:rsid w:val="00B66145"/>
    <w:rsid w:val="00B66849"/>
    <w:rsid w:val="00B66CFF"/>
    <w:rsid w:val="00B677B3"/>
    <w:rsid w:val="00B70325"/>
    <w:rsid w:val="00B72084"/>
    <w:rsid w:val="00B7277C"/>
    <w:rsid w:val="00B72848"/>
    <w:rsid w:val="00B73C08"/>
    <w:rsid w:val="00B7525E"/>
    <w:rsid w:val="00B81AD8"/>
    <w:rsid w:val="00B821B2"/>
    <w:rsid w:val="00B82957"/>
    <w:rsid w:val="00B83036"/>
    <w:rsid w:val="00B8346D"/>
    <w:rsid w:val="00B83D69"/>
    <w:rsid w:val="00B84A44"/>
    <w:rsid w:val="00B84C21"/>
    <w:rsid w:val="00B855AC"/>
    <w:rsid w:val="00B8560F"/>
    <w:rsid w:val="00B875CA"/>
    <w:rsid w:val="00B87B61"/>
    <w:rsid w:val="00B907C5"/>
    <w:rsid w:val="00B90E53"/>
    <w:rsid w:val="00B9151C"/>
    <w:rsid w:val="00B9163B"/>
    <w:rsid w:val="00B9219A"/>
    <w:rsid w:val="00B92A0E"/>
    <w:rsid w:val="00B92C83"/>
    <w:rsid w:val="00B93834"/>
    <w:rsid w:val="00B94081"/>
    <w:rsid w:val="00B9459C"/>
    <w:rsid w:val="00B94942"/>
    <w:rsid w:val="00B95858"/>
    <w:rsid w:val="00B9781E"/>
    <w:rsid w:val="00B97D92"/>
    <w:rsid w:val="00BA0221"/>
    <w:rsid w:val="00BA088F"/>
    <w:rsid w:val="00BA0BE6"/>
    <w:rsid w:val="00BA0F63"/>
    <w:rsid w:val="00BA1887"/>
    <w:rsid w:val="00BA1AD6"/>
    <w:rsid w:val="00BA1BC1"/>
    <w:rsid w:val="00BA2376"/>
    <w:rsid w:val="00BA25E3"/>
    <w:rsid w:val="00BA2F61"/>
    <w:rsid w:val="00BA370B"/>
    <w:rsid w:val="00BA3DE3"/>
    <w:rsid w:val="00BA40C4"/>
    <w:rsid w:val="00BA456D"/>
    <w:rsid w:val="00BA4A58"/>
    <w:rsid w:val="00BA4E9F"/>
    <w:rsid w:val="00BA5D83"/>
    <w:rsid w:val="00BA6A56"/>
    <w:rsid w:val="00BA6E23"/>
    <w:rsid w:val="00BA77DA"/>
    <w:rsid w:val="00BA79BF"/>
    <w:rsid w:val="00BB0A15"/>
    <w:rsid w:val="00BB0ECA"/>
    <w:rsid w:val="00BB339E"/>
    <w:rsid w:val="00BB4D1F"/>
    <w:rsid w:val="00BB5408"/>
    <w:rsid w:val="00BB558D"/>
    <w:rsid w:val="00BB6C47"/>
    <w:rsid w:val="00BB754F"/>
    <w:rsid w:val="00BC0DF5"/>
    <w:rsid w:val="00BC19EF"/>
    <w:rsid w:val="00BC2511"/>
    <w:rsid w:val="00BC4360"/>
    <w:rsid w:val="00BC4649"/>
    <w:rsid w:val="00BC6090"/>
    <w:rsid w:val="00BC6539"/>
    <w:rsid w:val="00BC723B"/>
    <w:rsid w:val="00BD3BEA"/>
    <w:rsid w:val="00BD6C7D"/>
    <w:rsid w:val="00BD72D5"/>
    <w:rsid w:val="00BD7525"/>
    <w:rsid w:val="00BD7652"/>
    <w:rsid w:val="00BD7A01"/>
    <w:rsid w:val="00BE07E3"/>
    <w:rsid w:val="00BE0D0D"/>
    <w:rsid w:val="00BE1D9D"/>
    <w:rsid w:val="00BE2871"/>
    <w:rsid w:val="00BE3CAC"/>
    <w:rsid w:val="00BE3CB3"/>
    <w:rsid w:val="00BE4B70"/>
    <w:rsid w:val="00BE509F"/>
    <w:rsid w:val="00BE518F"/>
    <w:rsid w:val="00BE5239"/>
    <w:rsid w:val="00BE6CD0"/>
    <w:rsid w:val="00BE72C6"/>
    <w:rsid w:val="00BE731C"/>
    <w:rsid w:val="00BE7EC1"/>
    <w:rsid w:val="00BF0441"/>
    <w:rsid w:val="00BF072A"/>
    <w:rsid w:val="00BF1520"/>
    <w:rsid w:val="00BF1633"/>
    <w:rsid w:val="00BF2C10"/>
    <w:rsid w:val="00BF2C7F"/>
    <w:rsid w:val="00BF5624"/>
    <w:rsid w:val="00BF5E14"/>
    <w:rsid w:val="00BF6037"/>
    <w:rsid w:val="00BF6085"/>
    <w:rsid w:val="00BF6ECA"/>
    <w:rsid w:val="00C00C20"/>
    <w:rsid w:val="00C01111"/>
    <w:rsid w:val="00C01377"/>
    <w:rsid w:val="00C01558"/>
    <w:rsid w:val="00C0164F"/>
    <w:rsid w:val="00C0296B"/>
    <w:rsid w:val="00C030AC"/>
    <w:rsid w:val="00C03590"/>
    <w:rsid w:val="00C03AE2"/>
    <w:rsid w:val="00C03DDC"/>
    <w:rsid w:val="00C04F06"/>
    <w:rsid w:val="00C04F97"/>
    <w:rsid w:val="00C0564C"/>
    <w:rsid w:val="00C06353"/>
    <w:rsid w:val="00C06F16"/>
    <w:rsid w:val="00C07965"/>
    <w:rsid w:val="00C07AA6"/>
    <w:rsid w:val="00C10E65"/>
    <w:rsid w:val="00C11A0C"/>
    <w:rsid w:val="00C11B0D"/>
    <w:rsid w:val="00C1385C"/>
    <w:rsid w:val="00C1416D"/>
    <w:rsid w:val="00C149EF"/>
    <w:rsid w:val="00C159D4"/>
    <w:rsid w:val="00C16836"/>
    <w:rsid w:val="00C171FA"/>
    <w:rsid w:val="00C205BC"/>
    <w:rsid w:val="00C2135A"/>
    <w:rsid w:val="00C213C6"/>
    <w:rsid w:val="00C22008"/>
    <w:rsid w:val="00C22C65"/>
    <w:rsid w:val="00C2356A"/>
    <w:rsid w:val="00C23A5F"/>
    <w:rsid w:val="00C243CF"/>
    <w:rsid w:val="00C2589E"/>
    <w:rsid w:val="00C25BA9"/>
    <w:rsid w:val="00C2753D"/>
    <w:rsid w:val="00C31D34"/>
    <w:rsid w:val="00C34286"/>
    <w:rsid w:val="00C34910"/>
    <w:rsid w:val="00C35505"/>
    <w:rsid w:val="00C37556"/>
    <w:rsid w:val="00C400FB"/>
    <w:rsid w:val="00C4021C"/>
    <w:rsid w:val="00C4096C"/>
    <w:rsid w:val="00C41E3C"/>
    <w:rsid w:val="00C42D43"/>
    <w:rsid w:val="00C42FEA"/>
    <w:rsid w:val="00C4368B"/>
    <w:rsid w:val="00C43B39"/>
    <w:rsid w:val="00C505F9"/>
    <w:rsid w:val="00C50610"/>
    <w:rsid w:val="00C50CC4"/>
    <w:rsid w:val="00C52ECA"/>
    <w:rsid w:val="00C53314"/>
    <w:rsid w:val="00C54A56"/>
    <w:rsid w:val="00C54AFD"/>
    <w:rsid w:val="00C55F5B"/>
    <w:rsid w:val="00C577BB"/>
    <w:rsid w:val="00C57F23"/>
    <w:rsid w:val="00C6014C"/>
    <w:rsid w:val="00C63378"/>
    <w:rsid w:val="00C63EC1"/>
    <w:rsid w:val="00C64482"/>
    <w:rsid w:val="00C67317"/>
    <w:rsid w:val="00C70041"/>
    <w:rsid w:val="00C7041D"/>
    <w:rsid w:val="00C70CB4"/>
    <w:rsid w:val="00C710C4"/>
    <w:rsid w:val="00C715E4"/>
    <w:rsid w:val="00C7217E"/>
    <w:rsid w:val="00C72370"/>
    <w:rsid w:val="00C72B2F"/>
    <w:rsid w:val="00C74480"/>
    <w:rsid w:val="00C75529"/>
    <w:rsid w:val="00C7567C"/>
    <w:rsid w:val="00C75A44"/>
    <w:rsid w:val="00C76785"/>
    <w:rsid w:val="00C76BD2"/>
    <w:rsid w:val="00C77026"/>
    <w:rsid w:val="00C779E2"/>
    <w:rsid w:val="00C77E87"/>
    <w:rsid w:val="00C818BA"/>
    <w:rsid w:val="00C82B6C"/>
    <w:rsid w:val="00C834AE"/>
    <w:rsid w:val="00C838FF"/>
    <w:rsid w:val="00C83A18"/>
    <w:rsid w:val="00C8454C"/>
    <w:rsid w:val="00C84C9C"/>
    <w:rsid w:val="00C85527"/>
    <w:rsid w:val="00C860F9"/>
    <w:rsid w:val="00C86FBD"/>
    <w:rsid w:val="00C871D6"/>
    <w:rsid w:val="00C877AC"/>
    <w:rsid w:val="00C9096B"/>
    <w:rsid w:val="00C913B7"/>
    <w:rsid w:val="00C920BE"/>
    <w:rsid w:val="00C94DF3"/>
    <w:rsid w:val="00C95C60"/>
    <w:rsid w:val="00C96075"/>
    <w:rsid w:val="00C969D6"/>
    <w:rsid w:val="00C96F44"/>
    <w:rsid w:val="00C97594"/>
    <w:rsid w:val="00CA0673"/>
    <w:rsid w:val="00CA09CC"/>
    <w:rsid w:val="00CA1FE1"/>
    <w:rsid w:val="00CA218F"/>
    <w:rsid w:val="00CA34A7"/>
    <w:rsid w:val="00CA5067"/>
    <w:rsid w:val="00CA509E"/>
    <w:rsid w:val="00CA512C"/>
    <w:rsid w:val="00CA5E81"/>
    <w:rsid w:val="00CA6263"/>
    <w:rsid w:val="00CA6924"/>
    <w:rsid w:val="00CA7094"/>
    <w:rsid w:val="00CA78EB"/>
    <w:rsid w:val="00CB0F0B"/>
    <w:rsid w:val="00CB1DAB"/>
    <w:rsid w:val="00CB322A"/>
    <w:rsid w:val="00CB3DF4"/>
    <w:rsid w:val="00CB540A"/>
    <w:rsid w:val="00CC0017"/>
    <w:rsid w:val="00CC0721"/>
    <w:rsid w:val="00CC0B3D"/>
    <w:rsid w:val="00CC0DF0"/>
    <w:rsid w:val="00CC0FEC"/>
    <w:rsid w:val="00CC1A1F"/>
    <w:rsid w:val="00CC2BEC"/>
    <w:rsid w:val="00CC2ED6"/>
    <w:rsid w:val="00CC32C6"/>
    <w:rsid w:val="00CC386F"/>
    <w:rsid w:val="00CC3990"/>
    <w:rsid w:val="00CC3AE6"/>
    <w:rsid w:val="00CC569A"/>
    <w:rsid w:val="00CC6264"/>
    <w:rsid w:val="00CC6277"/>
    <w:rsid w:val="00CC769C"/>
    <w:rsid w:val="00CC76A4"/>
    <w:rsid w:val="00CC76F4"/>
    <w:rsid w:val="00CD11ED"/>
    <w:rsid w:val="00CD1FF5"/>
    <w:rsid w:val="00CD3167"/>
    <w:rsid w:val="00CD4623"/>
    <w:rsid w:val="00CD464E"/>
    <w:rsid w:val="00CD6CBC"/>
    <w:rsid w:val="00CD71C6"/>
    <w:rsid w:val="00CE0C5A"/>
    <w:rsid w:val="00CE0EE5"/>
    <w:rsid w:val="00CE26C7"/>
    <w:rsid w:val="00CE2E96"/>
    <w:rsid w:val="00CE33B5"/>
    <w:rsid w:val="00CE541D"/>
    <w:rsid w:val="00CE5812"/>
    <w:rsid w:val="00CE6F76"/>
    <w:rsid w:val="00CE77D2"/>
    <w:rsid w:val="00CE7BCC"/>
    <w:rsid w:val="00CF0A42"/>
    <w:rsid w:val="00CF0E36"/>
    <w:rsid w:val="00CF2265"/>
    <w:rsid w:val="00CF2E06"/>
    <w:rsid w:val="00CF32D8"/>
    <w:rsid w:val="00CF638D"/>
    <w:rsid w:val="00CF6CA0"/>
    <w:rsid w:val="00CF71C9"/>
    <w:rsid w:val="00CF79BC"/>
    <w:rsid w:val="00D00093"/>
    <w:rsid w:val="00D005F0"/>
    <w:rsid w:val="00D037F7"/>
    <w:rsid w:val="00D04468"/>
    <w:rsid w:val="00D051E6"/>
    <w:rsid w:val="00D0525E"/>
    <w:rsid w:val="00D05502"/>
    <w:rsid w:val="00D0581C"/>
    <w:rsid w:val="00D10259"/>
    <w:rsid w:val="00D1030D"/>
    <w:rsid w:val="00D1131A"/>
    <w:rsid w:val="00D11BF0"/>
    <w:rsid w:val="00D11FEF"/>
    <w:rsid w:val="00D13F4E"/>
    <w:rsid w:val="00D1635E"/>
    <w:rsid w:val="00D17C97"/>
    <w:rsid w:val="00D17D98"/>
    <w:rsid w:val="00D20238"/>
    <w:rsid w:val="00D22155"/>
    <w:rsid w:val="00D225DA"/>
    <w:rsid w:val="00D259CE"/>
    <w:rsid w:val="00D2600E"/>
    <w:rsid w:val="00D26127"/>
    <w:rsid w:val="00D26ADA"/>
    <w:rsid w:val="00D30457"/>
    <w:rsid w:val="00D304D9"/>
    <w:rsid w:val="00D30730"/>
    <w:rsid w:val="00D314EE"/>
    <w:rsid w:val="00D31532"/>
    <w:rsid w:val="00D318AC"/>
    <w:rsid w:val="00D31D8A"/>
    <w:rsid w:val="00D31E1E"/>
    <w:rsid w:val="00D340C9"/>
    <w:rsid w:val="00D34345"/>
    <w:rsid w:val="00D3468C"/>
    <w:rsid w:val="00D34AA3"/>
    <w:rsid w:val="00D36E63"/>
    <w:rsid w:val="00D37E8D"/>
    <w:rsid w:val="00D403D0"/>
    <w:rsid w:val="00D40C6C"/>
    <w:rsid w:val="00D41FD1"/>
    <w:rsid w:val="00D4390A"/>
    <w:rsid w:val="00D452F9"/>
    <w:rsid w:val="00D4539B"/>
    <w:rsid w:val="00D45561"/>
    <w:rsid w:val="00D458BB"/>
    <w:rsid w:val="00D47214"/>
    <w:rsid w:val="00D47247"/>
    <w:rsid w:val="00D47EC6"/>
    <w:rsid w:val="00D50F97"/>
    <w:rsid w:val="00D52F46"/>
    <w:rsid w:val="00D547DF"/>
    <w:rsid w:val="00D549C6"/>
    <w:rsid w:val="00D56628"/>
    <w:rsid w:val="00D56812"/>
    <w:rsid w:val="00D5699E"/>
    <w:rsid w:val="00D57437"/>
    <w:rsid w:val="00D57E07"/>
    <w:rsid w:val="00D60A5E"/>
    <w:rsid w:val="00D60D1F"/>
    <w:rsid w:val="00D6132D"/>
    <w:rsid w:val="00D61928"/>
    <w:rsid w:val="00D64E0B"/>
    <w:rsid w:val="00D64EBE"/>
    <w:rsid w:val="00D64FF9"/>
    <w:rsid w:val="00D65EE6"/>
    <w:rsid w:val="00D677CF"/>
    <w:rsid w:val="00D678D8"/>
    <w:rsid w:val="00D67E43"/>
    <w:rsid w:val="00D72B0E"/>
    <w:rsid w:val="00D7333E"/>
    <w:rsid w:val="00D73340"/>
    <w:rsid w:val="00D7358D"/>
    <w:rsid w:val="00D73777"/>
    <w:rsid w:val="00D73CA6"/>
    <w:rsid w:val="00D740EA"/>
    <w:rsid w:val="00D74120"/>
    <w:rsid w:val="00D75686"/>
    <w:rsid w:val="00D757FD"/>
    <w:rsid w:val="00D763B1"/>
    <w:rsid w:val="00D768EE"/>
    <w:rsid w:val="00D77E4B"/>
    <w:rsid w:val="00D8034E"/>
    <w:rsid w:val="00D821EC"/>
    <w:rsid w:val="00D82846"/>
    <w:rsid w:val="00D832C4"/>
    <w:rsid w:val="00D833F6"/>
    <w:rsid w:val="00D846DF"/>
    <w:rsid w:val="00D8637C"/>
    <w:rsid w:val="00D865ED"/>
    <w:rsid w:val="00D87749"/>
    <w:rsid w:val="00D87880"/>
    <w:rsid w:val="00D9044F"/>
    <w:rsid w:val="00D905AF"/>
    <w:rsid w:val="00D9095F"/>
    <w:rsid w:val="00D921DA"/>
    <w:rsid w:val="00D935FC"/>
    <w:rsid w:val="00D939A0"/>
    <w:rsid w:val="00D945D9"/>
    <w:rsid w:val="00D95808"/>
    <w:rsid w:val="00D95855"/>
    <w:rsid w:val="00D95A70"/>
    <w:rsid w:val="00D968B4"/>
    <w:rsid w:val="00D968F8"/>
    <w:rsid w:val="00D97AA1"/>
    <w:rsid w:val="00DA02CE"/>
    <w:rsid w:val="00DA0AEC"/>
    <w:rsid w:val="00DA1E33"/>
    <w:rsid w:val="00DA2195"/>
    <w:rsid w:val="00DA232B"/>
    <w:rsid w:val="00DA2BAA"/>
    <w:rsid w:val="00DA2C0E"/>
    <w:rsid w:val="00DA2EFA"/>
    <w:rsid w:val="00DA3036"/>
    <w:rsid w:val="00DA420B"/>
    <w:rsid w:val="00DA4DAD"/>
    <w:rsid w:val="00DA5C45"/>
    <w:rsid w:val="00DA6974"/>
    <w:rsid w:val="00DA7051"/>
    <w:rsid w:val="00DA7AED"/>
    <w:rsid w:val="00DB00A7"/>
    <w:rsid w:val="00DB095D"/>
    <w:rsid w:val="00DB18E9"/>
    <w:rsid w:val="00DB1BA5"/>
    <w:rsid w:val="00DB2752"/>
    <w:rsid w:val="00DB2825"/>
    <w:rsid w:val="00DC1518"/>
    <w:rsid w:val="00DC3E32"/>
    <w:rsid w:val="00DC49D4"/>
    <w:rsid w:val="00DC49DE"/>
    <w:rsid w:val="00DC6158"/>
    <w:rsid w:val="00DD2082"/>
    <w:rsid w:val="00DD2A5D"/>
    <w:rsid w:val="00DD3176"/>
    <w:rsid w:val="00DD33D9"/>
    <w:rsid w:val="00DD45A3"/>
    <w:rsid w:val="00DD5D79"/>
    <w:rsid w:val="00DD64D0"/>
    <w:rsid w:val="00DD6AE6"/>
    <w:rsid w:val="00DD6E5C"/>
    <w:rsid w:val="00DD765B"/>
    <w:rsid w:val="00DE0610"/>
    <w:rsid w:val="00DE0D9E"/>
    <w:rsid w:val="00DE1D78"/>
    <w:rsid w:val="00DE3B0A"/>
    <w:rsid w:val="00DE45BB"/>
    <w:rsid w:val="00DE48A5"/>
    <w:rsid w:val="00DE58CD"/>
    <w:rsid w:val="00DE5EF4"/>
    <w:rsid w:val="00DE71F4"/>
    <w:rsid w:val="00DE7F53"/>
    <w:rsid w:val="00DF004A"/>
    <w:rsid w:val="00DF0A1C"/>
    <w:rsid w:val="00DF0E90"/>
    <w:rsid w:val="00DF1CCC"/>
    <w:rsid w:val="00DF25E8"/>
    <w:rsid w:val="00DF2BFA"/>
    <w:rsid w:val="00DF424C"/>
    <w:rsid w:val="00DF4BBD"/>
    <w:rsid w:val="00DF6683"/>
    <w:rsid w:val="00DF7692"/>
    <w:rsid w:val="00E00352"/>
    <w:rsid w:val="00E00590"/>
    <w:rsid w:val="00E0163E"/>
    <w:rsid w:val="00E02A4F"/>
    <w:rsid w:val="00E03A9B"/>
    <w:rsid w:val="00E0460C"/>
    <w:rsid w:val="00E0482B"/>
    <w:rsid w:val="00E05E72"/>
    <w:rsid w:val="00E06F10"/>
    <w:rsid w:val="00E074AE"/>
    <w:rsid w:val="00E076AE"/>
    <w:rsid w:val="00E07D03"/>
    <w:rsid w:val="00E10002"/>
    <w:rsid w:val="00E10853"/>
    <w:rsid w:val="00E108FD"/>
    <w:rsid w:val="00E11290"/>
    <w:rsid w:val="00E12793"/>
    <w:rsid w:val="00E12AA3"/>
    <w:rsid w:val="00E1513F"/>
    <w:rsid w:val="00E16357"/>
    <w:rsid w:val="00E16381"/>
    <w:rsid w:val="00E1646E"/>
    <w:rsid w:val="00E16CD5"/>
    <w:rsid w:val="00E17639"/>
    <w:rsid w:val="00E179E2"/>
    <w:rsid w:val="00E2011F"/>
    <w:rsid w:val="00E22323"/>
    <w:rsid w:val="00E22FE0"/>
    <w:rsid w:val="00E240B6"/>
    <w:rsid w:val="00E24EC0"/>
    <w:rsid w:val="00E2519A"/>
    <w:rsid w:val="00E26C0C"/>
    <w:rsid w:val="00E26DD9"/>
    <w:rsid w:val="00E277EF"/>
    <w:rsid w:val="00E30DB0"/>
    <w:rsid w:val="00E30FE2"/>
    <w:rsid w:val="00E326FF"/>
    <w:rsid w:val="00E3314A"/>
    <w:rsid w:val="00E3345C"/>
    <w:rsid w:val="00E339C6"/>
    <w:rsid w:val="00E34A35"/>
    <w:rsid w:val="00E35304"/>
    <w:rsid w:val="00E369D3"/>
    <w:rsid w:val="00E36C1A"/>
    <w:rsid w:val="00E372D7"/>
    <w:rsid w:val="00E37A0D"/>
    <w:rsid w:val="00E4003F"/>
    <w:rsid w:val="00E40219"/>
    <w:rsid w:val="00E41691"/>
    <w:rsid w:val="00E419C7"/>
    <w:rsid w:val="00E420A2"/>
    <w:rsid w:val="00E423D1"/>
    <w:rsid w:val="00E43967"/>
    <w:rsid w:val="00E4475D"/>
    <w:rsid w:val="00E44EE2"/>
    <w:rsid w:val="00E45024"/>
    <w:rsid w:val="00E457AB"/>
    <w:rsid w:val="00E46011"/>
    <w:rsid w:val="00E46F3E"/>
    <w:rsid w:val="00E50391"/>
    <w:rsid w:val="00E50593"/>
    <w:rsid w:val="00E51CF4"/>
    <w:rsid w:val="00E54642"/>
    <w:rsid w:val="00E566F3"/>
    <w:rsid w:val="00E6085E"/>
    <w:rsid w:val="00E60927"/>
    <w:rsid w:val="00E60B3B"/>
    <w:rsid w:val="00E60EBA"/>
    <w:rsid w:val="00E61567"/>
    <w:rsid w:val="00E61ED0"/>
    <w:rsid w:val="00E624AB"/>
    <w:rsid w:val="00E641BD"/>
    <w:rsid w:val="00E65CD7"/>
    <w:rsid w:val="00E66089"/>
    <w:rsid w:val="00E66696"/>
    <w:rsid w:val="00E71600"/>
    <w:rsid w:val="00E71CB4"/>
    <w:rsid w:val="00E724BC"/>
    <w:rsid w:val="00E728FA"/>
    <w:rsid w:val="00E72948"/>
    <w:rsid w:val="00E740E4"/>
    <w:rsid w:val="00E744D7"/>
    <w:rsid w:val="00E749F0"/>
    <w:rsid w:val="00E74D5B"/>
    <w:rsid w:val="00E74F4D"/>
    <w:rsid w:val="00E76944"/>
    <w:rsid w:val="00E76B21"/>
    <w:rsid w:val="00E7737B"/>
    <w:rsid w:val="00E773BE"/>
    <w:rsid w:val="00E77771"/>
    <w:rsid w:val="00E81274"/>
    <w:rsid w:val="00E813B8"/>
    <w:rsid w:val="00E81808"/>
    <w:rsid w:val="00E82E87"/>
    <w:rsid w:val="00E83365"/>
    <w:rsid w:val="00E84CE1"/>
    <w:rsid w:val="00E858D9"/>
    <w:rsid w:val="00E85AE8"/>
    <w:rsid w:val="00E85C60"/>
    <w:rsid w:val="00E90230"/>
    <w:rsid w:val="00E90F02"/>
    <w:rsid w:val="00E9119E"/>
    <w:rsid w:val="00E91436"/>
    <w:rsid w:val="00E92183"/>
    <w:rsid w:val="00E93303"/>
    <w:rsid w:val="00E94E17"/>
    <w:rsid w:val="00E95D8F"/>
    <w:rsid w:val="00E969C4"/>
    <w:rsid w:val="00E973A6"/>
    <w:rsid w:val="00E975BE"/>
    <w:rsid w:val="00E975E4"/>
    <w:rsid w:val="00E97B25"/>
    <w:rsid w:val="00E97B3C"/>
    <w:rsid w:val="00E97F5D"/>
    <w:rsid w:val="00EA1288"/>
    <w:rsid w:val="00EA1A16"/>
    <w:rsid w:val="00EA1AA2"/>
    <w:rsid w:val="00EA1C42"/>
    <w:rsid w:val="00EA1DC5"/>
    <w:rsid w:val="00EA2117"/>
    <w:rsid w:val="00EA2ADA"/>
    <w:rsid w:val="00EA3CC1"/>
    <w:rsid w:val="00EA59AE"/>
    <w:rsid w:val="00EA5CA8"/>
    <w:rsid w:val="00EA6427"/>
    <w:rsid w:val="00EA6E15"/>
    <w:rsid w:val="00EA7E5E"/>
    <w:rsid w:val="00EB15D9"/>
    <w:rsid w:val="00EB1983"/>
    <w:rsid w:val="00EB1A95"/>
    <w:rsid w:val="00EB5113"/>
    <w:rsid w:val="00EB5BF6"/>
    <w:rsid w:val="00EB76AC"/>
    <w:rsid w:val="00EB7A4B"/>
    <w:rsid w:val="00EC1625"/>
    <w:rsid w:val="00EC252E"/>
    <w:rsid w:val="00EC2A9A"/>
    <w:rsid w:val="00EC2DC7"/>
    <w:rsid w:val="00EC5002"/>
    <w:rsid w:val="00EC7276"/>
    <w:rsid w:val="00ED0A97"/>
    <w:rsid w:val="00ED0AFE"/>
    <w:rsid w:val="00ED0AFF"/>
    <w:rsid w:val="00ED125A"/>
    <w:rsid w:val="00ED1E72"/>
    <w:rsid w:val="00ED23AD"/>
    <w:rsid w:val="00ED2500"/>
    <w:rsid w:val="00ED2B9C"/>
    <w:rsid w:val="00ED3D3D"/>
    <w:rsid w:val="00ED3FF3"/>
    <w:rsid w:val="00ED416D"/>
    <w:rsid w:val="00ED4807"/>
    <w:rsid w:val="00ED4A21"/>
    <w:rsid w:val="00ED4F4A"/>
    <w:rsid w:val="00ED6351"/>
    <w:rsid w:val="00ED6750"/>
    <w:rsid w:val="00EE19B3"/>
    <w:rsid w:val="00EE1E7E"/>
    <w:rsid w:val="00EE25B4"/>
    <w:rsid w:val="00EE3000"/>
    <w:rsid w:val="00EE3701"/>
    <w:rsid w:val="00EE45A0"/>
    <w:rsid w:val="00EE4B72"/>
    <w:rsid w:val="00EE571A"/>
    <w:rsid w:val="00EF0F87"/>
    <w:rsid w:val="00EF140B"/>
    <w:rsid w:val="00EF1903"/>
    <w:rsid w:val="00EF2740"/>
    <w:rsid w:val="00EF2C64"/>
    <w:rsid w:val="00EF45A5"/>
    <w:rsid w:val="00EF58BD"/>
    <w:rsid w:val="00EF6247"/>
    <w:rsid w:val="00EF7992"/>
    <w:rsid w:val="00F0219D"/>
    <w:rsid w:val="00F026E3"/>
    <w:rsid w:val="00F0540D"/>
    <w:rsid w:val="00F05C09"/>
    <w:rsid w:val="00F0621D"/>
    <w:rsid w:val="00F075B8"/>
    <w:rsid w:val="00F07854"/>
    <w:rsid w:val="00F108A7"/>
    <w:rsid w:val="00F11ACD"/>
    <w:rsid w:val="00F11CAB"/>
    <w:rsid w:val="00F17203"/>
    <w:rsid w:val="00F179AF"/>
    <w:rsid w:val="00F2282D"/>
    <w:rsid w:val="00F22B29"/>
    <w:rsid w:val="00F23938"/>
    <w:rsid w:val="00F245B6"/>
    <w:rsid w:val="00F24A66"/>
    <w:rsid w:val="00F25E46"/>
    <w:rsid w:val="00F279F5"/>
    <w:rsid w:val="00F27F34"/>
    <w:rsid w:val="00F3055F"/>
    <w:rsid w:val="00F315D4"/>
    <w:rsid w:val="00F31A28"/>
    <w:rsid w:val="00F33066"/>
    <w:rsid w:val="00F354E9"/>
    <w:rsid w:val="00F358DC"/>
    <w:rsid w:val="00F359E9"/>
    <w:rsid w:val="00F3727E"/>
    <w:rsid w:val="00F417CB"/>
    <w:rsid w:val="00F41B75"/>
    <w:rsid w:val="00F434CF"/>
    <w:rsid w:val="00F43EC8"/>
    <w:rsid w:val="00F45196"/>
    <w:rsid w:val="00F477E1"/>
    <w:rsid w:val="00F47A8C"/>
    <w:rsid w:val="00F47E2F"/>
    <w:rsid w:val="00F50F88"/>
    <w:rsid w:val="00F51472"/>
    <w:rsid w:val="00F5245C"/>
    <w:rsid w:val="00F53369"/>
    <w:rsid w:val="00F536DE"/>
    <w:rsid w:val="00F53E30"/>
    <w:rsid w:val="00F54C23"/>
    <w:rsid w:val="00F5692E"/>
    <w:rsid w:val="00F56940"/>
    <w:rsid w:val="00F6084A"/>
    <w:rsid w:val="00F610B0"/>
    <w:rsid w:val="00F6136C"/>
    <w:rsid w:val="00F614CE"/>
    <w:rsid w:val="00F62DA2"/>
    <w:rsid w:val="00F639A4"/>
    <w:rsid w:val="00F63A67"/>
    <w:rsid w:val="00F64E67"/>
    <w:rsid w:val="00F6535C"/>
    <w:rsid w:val="00F65553"/>
    <w:rsid w:val="00F65DC1"/>
    <w:rsid w:val="00F65FC5"/>
    <w:rsid w:val="00F663A6"/>
    <w:rsid w:val="00F67561"/>
    <w:rsid w:val="00F709BC"/>
    <w:rsid w:val="00F70ED8"/>
    <w:rsid w:val="00F715FA"/>
    <w:rsid w:val="00F7251C"/>
    <w:rsid w:val="00F72786"/>
    <w:rsid w:val="00F72F05"/>
    <w:rsid w:val="00F734B1"/>
    <w:rsid w:val="00F74A35"/>
    <w:rsid w:val="00F74E96"/>
    <w:rsid w:val="00F76B54"/>
    <w:rsid w:val="00F77302"/>
    <w:rsid w:val="00F80192"/>
    <w:rsid w:val="00F808A9"/>
    <w:rsid w:val="00F80DB7"/>
    <w:rsid w:val="00F81770"/>
    <w:rsid w:val="00F81E7D"/>
    <w:rsid w:val="00F82485"/>
    <w:rsid w:val="00F826B6"/>
    <w:rsid w:val="00F83D56"/>
    <w:rsid w:val="00F8515C"/>
    <w:rsid w:val="00F85272"/>
    <w:rsid w:val="00F8567D"/>
    <w:rsid w:val="00F8568A"/>
    <w:rsid w:val="00F86631"/>
    <w:rsid w:val="00F87494"/>
    <w:rsid w:val="00F87506"/>
    <w:rsid w:val="00F90E9A"/>
    <w:rsid w:val="00F92146"/>
    <w:rsid w:val="00F9252A"/>
    <w:rsid w:val="00F92982"/>
    <w:rsid w:val="00F93839"/>
    <w:rsid w:val="00F93F75"/>
    <w:rsid w:val="00F94115"/>
    <w:rsid w:val="00F941D0"/>
    <w:rsid w:val="00F9522B"/>
    <w:rsid w:val="00F969B6"/>
    <w:rsid w:val="00FA0ED7"/>
    <w:rsid w:val="00FA16E4"/>
    <w:rsid w:val="00FA1E24"/>
    <w:rsid w:val="00FA26E7"/>
    <w:rsid w:val="00FA28A0"/>
    <w:rsid w:val="00FA2B82"/>
    <w:rsid w:val="00FA311B"/>
    <w:rsid w:val="00FA39C0"/>
    <w:rsid w:val="00FA3B20"/>
    <w:rsid w:val="00FA4463"/>
    <w:rsid w:val="00FA4748"/>
    <w:rsid w:val="00FA54A5"/>
    <w:rsid w:val="00FA5566"/>
    <w:rsid w:val="00FA5D02"/>
    <w:rsid w:val="00FA72DC"/>
    <w:rsid w:val="00FA758E"/>
    <w:rsid w:val="00FA7806"/>
    <w:rsid w:val="00FB0580"/>
    <w:rsid w:val="00FB1059"/>
    <w:rsid w:val="00FB14F5"/>
    <w:rsid w:val="00FB16A4"/>
    <w:rsid w:val="00FB300D"/>
    <w:rsid w:val="00FB3543"/>
    <w:rsid w:val="00FB414D"/>
    <w:rsid w:val="00FB49F6"/>
    <w:rsid w:val="00FB4FDC"/>
    <w:rsid w:val="00FB6139"/>
    <w:rsid w:val="00FB648C"/>
    <w:rsid w:val="00FB73E6"/>
    <w:rsid w:val="00FB764A"/>
    <w:rsid w:val="00FB7A1B"/>
    <w:rsid w:val="00FB7D56"/>
    <w:rsid w:val="00FC0894"/>
    <w:rsid w:val="00FC2729"/>
    <w:rsid w:val="00FC2BAB"/>
    <w:rsid w:val="00FC3267"/>
    <w:rsid w:val="00FC3647"/>
    <w:rsid w:val="00FC3903"/>
    <w:rsid w:val="00FC438B"/>
    <w:rsid w:val="00FC4482"/>
    <w:rsid w:val="00FC45EA"/>
    <w:rsid w:val="00FC5422"/>
    <w:rsid w:val="00FC5445"/>
    <w:rsid w:val="00FC6921"/>
    <w:rsid w:val="00FC6DD1"/>
    <w:rsid w:val="00FC7086"/>
    <w:rsid w:val="00FC7F80"/>
    <w:rsid w:val="00FD02F5"/>
    <w:rsid w:val="00FD0CA3"/>
    <w:rsid w:val="00FD2A0C"/>
    <w:rsid w:val="00FD2B07"/>
    <w:rsid w:val="00FD350F"/>
    <w:rsid w:val="00FD3D5A"/>
    <w:rsid w:val="00FD51C3"/>
    <w:rsid w:val="00FD7DB3"/>
    <w:rsid w:val="00FE008A"/>
    <w:rsid w:val="00FE1E77"/>
    <w:rsid w:val="00FE1F2D"/>
    <w:rsid w:val="00FE291F"/>
    <w:rsid w:val="00FE29FE"/>
    <w:rsid w:val="00FE2A17"/>
    <w:rsid w:val="00FE385F"/>
    <w:rsid w:val="00FE4459"/>
    <w:rsid w:val="00FE47D1"/>
    <w:rsid w:val="00FE5A4C"/>
    <w:rsid w:val="00FE7970"/>
    <w:rsid w:val="00FF08EC"/>
    <w:rsid w:val="00FF17B7"/>
    <w:rsid w:val="00FF2377"/>
    <w:rsid w:val="00FF2B8A"/>
    <w:rsid w:val="00FF3E70"/>
    <w:rsid w:val="00FF4D91"/>
    <w:rsid w:val="00FF4EAF"/>
    <w:rsid w:val="00FF5115"/>
    <w:rsid w:val="00FF5335"/>
    <w:rsid w:val="00FF6A4D"/>
    <w:rsid w:val="00FF701B"/>
    <w:rsid w:val="00FF72D5"/>
    <w:rsid w:val="00FF75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926AA"/>
  <w15:docId w15:val="{CA32217F-F2B6-4857-8036-01CA645B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162"/>
    <w:pPr>
      <w:spacing w:before="240"/>
    </w:pPr>
    <w:rPr>
      <w:sz w:val="24"/>
    </w:rPr>
  </w:style>
  <w:style w:type="paragraph" w:styleId="Heading1">
    <w:name w:val="heading 1"/>
    <w:basedOn w:val="Normal"/>
    <w:next w:val="Normal"/>
    <w:link w:val="Heading1Char"/>
    <w:uiPriority w:val="9"/>
    <w:qFormat/>
    <w:rsid w:val="003B1C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4445B8"/>
    <w:pPr>
      <w:keepNext/>
      <w:spacing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75A3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039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6">
    <w:name w:val="heading 6"/>
    <w:basedOn w:val="Normal"/>
    <w:next w:val="Normal"/>
    <w:qFormat/>
    <w:rsid w:val="00925162"/>
    <w:pPr>
      <w:keepNext/>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rsid w:val="00925162"/>
    <w:pPr>
      <w:spacing w:before="120" w:after="120"/>
    </w:pPr>
    <w:rPr>
      <w:rFonts w:ascii="Arial" w:hAnsi="Arial"/>
      <w:sz w:val="22"/>
      <w:lang w:eastAsia="en-US"/>
    </w:rPr>
  </w:style>
  <w:style w:type="paragraph" w:customStyle="1" w:styleId="EMparagraph">
    <w:name w:val="EM paragraph"/>
    <w:basedOn w:val="Normal"/>
    <w:rsid w:val="004445B8"/>
    <w:pPr>
      <w:widowControl w:val="0"/>
      <w:adjustRightInd w:val="0"/>
      <w:spacing w:before="0" w:after="240"/>
      <w:ind w:right="85"/>
      <w:textAlignment w:val="baseline"/>
    </w:pPr>
  </w:style>
  <w:style w:type="paragraph" w:customStyle="1" w:styleId="EMHeading">
    <w:name w:val="EM Heading"/>
    <w:basedOn w:val="Heading2"/>
    <w:link w:val="EMHeadingChar"/>
    <w:rsid w:val="004445B8"/>
    <w:pPr>
      <w:spacing w:before="0" w:after="240"/>
    </w:pPr>
    <w:rPr>
      <w:rFonts w:ascii="Times New Roman" w:hAnsi="Times New Roman" w:cs="Times New Roman"/>
      <w:b w:val="0"/>
      <w:bCs w:val="0"/>
      <w:i w:val="0"/>
      <w:iCs w:val="0"/>
      <w:sz w:val="24"/>
      <w:szCs w:val="20"/>
      <w:u w:val="single"/>
    </w:rPr>
  </w:style>
  <w:style w:type="character" w:customStyle="1" w:styleId="EMHeadingChar">
    <w:name w:val="EM Heading Char"/>
    <w:basedOn w:val="DefaultParagraphFont"/>
    <w:link w:val="EMHeading"/>
    <w:rsid w:val="004445B8"/>
    <w:rPr>
      <w:sz w:val="24"/>
      <w:u w:val="single"/>
      <w:lang w:val="en-AU" w:eastAsia="en-AU" w:bidi="ar-SA"/>
    </w:rPr>
  </w:style>
  <w:style w:type="character" w:styleId="CommentReference">
    <w:name w:val="annotation reference"/>
    <w:basedOn w:val="DefaultParagraphFont"/>
    <w:uiPriority w:val="99"/>
    <w:semiHidden/>
    <w:unhideWhenUsed/>
    <w:rsid w:val="008832FB"/>
    <w:rPr>
      <w:sz w:val="16"/>
      <w:szCs w:val="16"/>
    </w:rPr>
  </w:style>
  <w:style w:type="paragraph" w:styleId="CommentText">
    <w:name w:val="annotation text"/>
    <w:basedOn w:val="Normal"/>
    <w:link w:val="CommentTextChar"/>
    <w:uiPriority w:val="99"/>
    <w:unhideWhenUsed/>
    <w:rsid w:val="008832FB"/>
    <w:rPr>
      <w:sz w:val="20"/>
    </w:rPr>
  </w:style>
  <w:style w:type="character" w:customStyle="1" w:styleId="CommentTextChar">
    <w:name w:val="Comment Text Char"/>
    <w:basedOn w:val="DefaultParagraphFont"/>
    <w:link w:val="CommentText"/>
    <w:uiPriority w:val="99"/>
    <w:rsid w:val="008832FB"/>
  </w:style>
  <w:style w:type="paragraph" w:styleId="CommentSubject">
    <w:name w:val="annotation subject"/>
    <w:basedOn w:val="CommentText"/>
    <w:next w:val="CommentText"/>
    <w:link w:val="CommentSubjectChar"/>
    <w:uiPriority w:val="99"/>
    <w:semiHidden/>
    <w:unhideWhenUsed/>
    <w:rsid w:val="008832FB"/>
    <w:rPr>
      <w:b/>
      <w:bCs/>
    </w:rPr>
  </w:style>
  <w:style w:type="character" w:customStyle="1" w:styleId="CommentSubjectChar">
    <w:name w:val="Comment Subject Char"/>
    <w:basedOn w:val="CommentTextChar"/>
    <w:link w:val="CommentSubject"/>
    <w:uiPriority w:val="99"/>
    <w:semiHidden/>
    <w:rsid w:val="008832FB"/>
    <w:rPr>
      <w:b/>
      <w:bCs/>
    </w:rPr>
  </w:style>
  <w:style w:type="paragraph" w:styleId="BalloonText">
    <w:name w:val="Balloon Text"/>
    <w:basedOn w:val="Normal"/>
    <w:link w:val="BalloonTextChar"/>
    <w:uiPriority w:val="99"/>
    <w:semiHidden/>
    <w:unhideWhenUsed/>
    <w:rsid w:val="008832F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FB"/>
    <w:rPr>
      <w:rFonts w:ascii="Tahoma" w:hAnsi="Tahoma" w:cs="Tahoma"/>
      <w:sz w:val="16"/>
      <w:szCs w:val="16"/>
    </w:rPr>
  </w:style>
  <w:style w:type="paragraph" w:styleId="ListParagraph">
    <w:name w:val="List Paragraph"/>
    <w:aliases w:val="List Paragraph1,Recommendation,List Paragraph11,List Paragraph111,L,F5 List Paragraph,Dot pt,CV text,Table text,Medium Grid 1 - Accent 21,Numbered Paragraph,List Paragraph2,Bullets,Main numbered paragraph,Numbered List Paragraph,TOC style"/>
    <w:basedOn w:val="Normal"/>
    <w:link w:val="ListParagraphChar"/>
    <w:uiPriority w:val="34"/>
    <w:qFormat/>
    <w:rsid w:val="00FA2B82"/>
    <w:pPr>
      <w:ind w:left="720"/>
    </w:pPr>
  </w:style>
  <w:style w:type="paragraph" w:styleId="Header">
    <w:name w:val="header"/>
    <w:basedOn w:val="Normal"/>
    <w:link w:val="HeaderChar"/>
    <w:uiPriority w:val="99"/>
    <w:unhideWhenUsed/>
    <w:rsid w:val="007A1709"/>
    <w:pPr>
      <w:tabs>
        <w:tab w:val="center" w:pos="4513"/>
        <w:tab w:val="right" w:pos="9026"/>
      </w:tabs>
      <w:spacing w:before="0"/>
    </w:pPr>
  </w:style>
  <w:style w:type="character" w:customStyle="1" w:styleId="HeaderChar">
    <w:name w:val="Header Char"/>
    <w:basedOn w:val="DefaultParagraphFont"/>
    <w:link w:val="Header"/>
    <w:uiPriority w:val="99"/>
    <w:rsid w:val="007A1709"/>
    <w:rPr>
      <w:sz w:val="24"/>
    </w:rPr>
  </w:style>
  <w:style w:type="paragraph" w:styleId="Footer">
    <w:name w:val="footer"/>
    <w:basedOn w:val="Normal"/>
    <w:link w:val="FooterChar"/>
    <w:uiPriority w:val="99"/>
    <w:unhideWhenUsed/>
    <w:rsid w:val="007A1709"/>
    <w:pPr>
      <w:tabs>
        <w:tab w:val="center" w:pos="4513"/>
        <w:tab w:val="right" w:pos="9026"/>
      </w:tabs>
      <w:spacing w:before="0"/>
    </w:pPr>
  </w:style>
  <w:style w:type="character" w:customStyle="1" w:styleId="FooterChar">
    <w:name w:val="Footer Char"/>
    <w:basedOn w:val="DefaultParagraphFont"/>
    <w:link w:val="Footer"/>
    <w:uiPriority w:val="99"/>
    <w:rsid w:val="007A1709"/>
    <w:rPr>
      <w:sz w:val="24"/>
    </w:rPr>
  </w:style>
  <w:style w:type="paragraph" w:styleId="Revision">
    <w:name w:val="Revision"/>
    <w:hidden/>
    <w:uiPriority w:val="99"/>
    <w:semiHidden/>
    <w:rsid w:val="00584393"/>
    <w:rPr>
      <w:sz w:val="24"/>
    </w:rPr>
  </w:style>
  <w:style w:type="table" w:styleId="TableGrid">
    <w:name w:val="Table Grid"/>
    <w:basedOn w:val="TableNormal"/>
    <w:uiPriority w:val="59"/>
    <w:rsid w:val="00CC1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NumberedParagraph">
    <w:name w:val="DI Numbered Paragraph"/>
    <w:basedOn w:val="Normal"/>
    <w:link w:val="DINumberedParagraphChar"/>
    <w:rsid w:val="00D968F8"/>
    <w:pPr>
      <w:numPr>
        <w:numId w:val="2"/>
      </w:numPr>
      <w:tabs>
        <w:tab w:val="left" w:pos="567"/>
      </w:tabs>
      <w:spacing w:before="0" w:after="240"/>
    </w:pPr>
  </w:style>
  <w:style w:type="character" w:customStyle="1" w:styleId="Heading4Char">
    <w:name w:val="Heading 4 Char"/>
    <w:basedOn w:val="DefaultParagraphFont"/>
    <w:link w:val="Heading4"/>
    <w:uiPriority w:val="9"/>
    <w:rsid w:val="001E0393"/>
    <w:rPr>
      <w:rFonts w:asciiTheme="majorHAnsi" w:eastAsiaTheme="majorEastAsia" w:hAnsiTheme="majorHAnsi" w:cstheme="majorBidi"/>
      <w:b/>
      <w:bCs/>
      <w:i/>
      <w:iCs/>
      <w:color w:val="4F81BD" w:themeColor="accent1"/>
      <w:sz w:val="22"/>
      <w:szCs w:val="22"/>
      <w:lang w:eastAsia="en-US"/>
    </w:rPr>
  </w:style>
  <w:style w:type="character" w:customStyle="1" w:styleId="Heading1Char">
    <w:name w:val="Heading 1 Char"/>
    <w:basedOn w:val="DefaultParagraphFont"/>
    <w:link w:val="Heading1"/>
    <w:uiPriority w:val="9"/>
    <w:rsid w:val="003B1C8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B1C80"/>
    <w:pPr>
      <w:spacing w:before="1440" w:after="240"/>
      <w:contextualSpacing/>
      <w:jc w:val="right"/>
    </w:pPr>
    <w:rPr>
      <w:rFonts w:ascii="Arial" w:eastAsiaTheme="minorHAnsi" w:hAnsi="Arial" w:cs="Arial"/>
      <w:b/>
      <w:color w:val="003768"/>
      <w:sz w:val="52"/>
      <w:szCs w:val="52"/>
      <w:lang w:val="en-GB" w:eastAsia="en-US"/>
    </w:rPr>
  </w:style>
  <w:style w:type="character" w:customStyle="1" w:styleId="TitleChar">
    <w:name w:val="Title Char"/>
    <w:basedOn w:val="DefaultParagraphFont"/>
    <w:link w:val="Title"/>
    <w:uiPriority w:val="10"/>
    <w:rsid w:val="003B1C80"/>
    <w:rPr>
      <w:rFonts w:ascii="Arial" w:eastAsiaTheme="minorHAnsi" w:hAnsi="Arial" w:cs="Arial"/>
      <w:b/>
      <w:color w:val="003768"/>
      <w:sz w:val="52"/>
      <w:szCs w:val="52"/>
      <w:lang w:val="en-GB" w:eastAsia="en-US"/>
    </w:rPr>
  </w:style>
  <w:style w:type="paragraph" w:styleId="Subtitle">
    <w:name w:val="Subtitle"/>
    <w:basedOn w:val="Normal"/>
    <w:next w:val="Normal"/>
    <w:link w:val="SubtitleChar"/>
    <w:uiPriority w:val="11"/>
    <w:qFormat/>
    <w:rsid w:val="003B1C80"/>
    <w:pPr>
      <w:numPr>
        <w:ilvl w:val="1"/>
      </w:numPr>
      <w:spacing w:before="120" w:beforeAutospacing="1" w:after="120" w:afterAutospacing="1" w:line="280" w:lineRule="exact"/>
      <w:jc w:val="right"/>
    </w:pPr>
    <w:rPr>
      <w:rFonts w:ascii="Arial" w:eastAsiaTheme="minorHAnsi" w:hAnsi="Arial" w:cs="Arial"/>
      <w:b/>
      <w:color w:val="6A737B"/>
      <w:sz w:val="36"/>
      <w:szCs w:val="28"/>
      <w:lang w:val="en-GB" w:eastAsia="en-US"/>
    </w:rPr>
  </w:style>
  <w:style w:type="character" w:customStyle="1" w:styleId="SubtitleChar">
    <w:name w:val="Subtitle Char"/>
    <w:basedOn w:val="DefaultParagraphFont"/>
    <w:link w:val="Subtitle"/>
    <w:uiPriority w:val="11"/>
    <w:rsid w:val="003B1C80"/>
    <w:rPr>
      <w:rFonts w:ascii="Arial" w:eastAsiaTheme="minorHAnsi" w:hAnsi="Arial" w:cs="Arial"/>
      <w:b/>
      <w:color w:val="6A737B"/>
      <w:sz w:val="36"/>
      <w:szCs w:val="28"/>
      <w:lang w:val="en-GB" w:eastAsia="en-US"/>
    </w:rPr>
  </w:style>
  <w:style w:type="paragraph" w:styleId="TOCHeading">
    <w:name w:val="TOC Heading"/>
    <w:basedOn w:val="Heading1"/>
    <w:next w:val="Normal"/>
    <w:uiPriority w:val="39"/>
    <w:unhideWhenUsed/>
    <w:qFormat/>
    <w:rsid w:val="003B1C80"/>
    <w:pPr>
      <w:spacing w:beforeAutospacing="1" w:afterAutospacing="1" w:line="288" w:lineRule="auto"/>
      <w:outlineLvl w:val="9"/>
    </w:pPr>
    <w:rPr>
      <w:rFonts w:ascii="Arial" w:hAnsi="Arial" w:cs="Arial"/>
      <w:b w:val="0"/>
      <w:color w:val="003768"/>
      <w:lang w:val="en-US" w:eastAsia="ja-JP"/>
    </w:rPr>
  </w:style>
  <w:style w:type="paragraph" w:styleId="TOC1">
    <w:name w:val="toc 1"/>
    <w:basedOn w:val="Normal"/>
    <w:next w:val="Normal"/>
    <w:autoRedefine/>
    <w:uiPriority w:val="39"/>
    <w:unhideWhenUsed/>
    <w:rsid w:val="003B1C80"/>
    <w:pPr>
      <w:spacing w:before="100" w:beforeAutospacing="1" w:after="100" w:afterAutospacing="1" w:line="280" w:lineRule="exact"/>
    </w:pPr>
    <w:rPr>
      <w:rFonts w:ascii="Arial" w:eastAsiaTheme="minorHAnsi" w:hAnsi="Arial" w:cs="Arial"/>
      <w:sz w:val="20"/>
      <w:lang w:val="en-GB" w:eastAsia="en-US"/>
    </w:rPr>
  </w:style>
  <w:style w:type="paragraph" w:styleId="TOC2">
    <w:name w:val="toc 2"/>
    <w:basedOn w:val="Normal"/>
    <w:next w:val="Normal"/>
    <w:autoRedefine/>
    <w:uiPriority w:val="39"/>
    <w:unhideWhenUsed/>
    <w:rsid w:val="003B1C80"/>
    <w:pPr>
      <w:spacing w:before="100" w:beforeAutospacing="1" w:after="100" w:afterAutospacing="1" w:line="280" w:lineRule="exact"/>
      <w:ind w:left="200"/>
    </w:pPr>
    <w:rPr>
      <w:rFonts w:ascii="Arial" w:eastAsiaTheme="minorHAnsi" w:hAnsi="Arial" w:cs="Arial"/>
      <w:sz w:val="20"/>
      <w:lang w:val="en-GB" w:eastAsia="en-US"/>
    </w:rPr>
  </w:style>
  <w:style w:type="character" w:styleId="Hyperlink">
    <w:name w:val="Hyperlink"/>
    <w:basedOn w:val="DefaultParagraphFont"/>
    <w:uiPriority w:val="99"/>
    <w:unhideWhenUsed/>
    <w:rsid w:val="003B1C80"/>
    <w:rPr>
      <w:color w:val="0000FF" w:themeColor="hyperlink"/>
      <w:u w:val="single"/>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rsid w:val="003B1C80"/>
    <w:rPr>
      <w:sz w:val="24"/>
    </w:rPr>
  </w:style>
  <w:style w:type="paragraph" w:styleId="Caption">
    <w:name w:val="caption"/>
    <w:basedOn w:val="Normal"/>
    <w:next w:val="Normal"/>
    <w:uiPriority w:val="35"/>
    <w:unhideWhenUsed/>
    <w:qFormat/>
    <w:rsid w:val="003B1C80"/>
    <w:pPr>
      <w:keepNext/>
      <w:spacing w:before="100" w:beforeAutospacing="1" w:after="100" w:afterAutospacing="1" w:line="280" w:lineRule="exact"/>
    </w:pPr>
    <w:rPr>
      <w:rFonts w:ascii="Arial" w:eastAsiaTheme="minorHAnsi" w:hAnsi="Arial" w:cstheme="majorBidi"/>
      <w:b/>
      <w:color w:val="003768"/>
      <w:sz w:val="20"/>
      <w:lang w:val="en-GB" w:eastAsia="en-US"/>
    </w:rPr>
  </w:style>
  <w:style w:type="character" w:customStyle="1" w:styleId="CharPartText">
    <w:name w:val="CharPartText"/>
    <w:basedOn w:val="DefaultParagraphFont"/>
    <w:uiPriority w:val="1"/>
    <w:qFormat/>
    <w:rsid w:val="001B6584"/>
  </w:style>
  <w:style w:type="paragraph" w:customStyle="1" w:styleId="DIHeading1">
    <w:name w:val="DI Heading 1"/>
    <w:basedOn w:val="Normal"/>
    <w:rsid w:val="00047475"/>
    <w:pPr>
      <w:spacing w:before="0" w:after="240"/>
    </w:pPr>
    <w:rPr>
      <w:b/>
      <w:caps/>
      <w:szCs w:val="24"/>
    </w:rPr>
  </w:style>
  <w:style w:type="paragraph" w:customStyle="1" w:styleId="paragraph">
    <w:name w:val="paragraph"/>
    <w:aliases w:val="a"/>
    <w:basedOn w:val="Normal"/>
    <w:link w:val="paragraphChar"/>
    <w:rsid w:val="006C1B9B"/>
    <w:pPr>
      <w:tabs>
        <w:tab w:val="right" w:pos="1531"/>
      </w:tabs>
      <w:spacing w:before="40"/>
      <w:ind w:left="1644" w:hanging="1644"/>
    </w:pPr>
    <w:rPr>
      <w:sz w:val="22"/>
    </w:rPr>
  </w:style>
  <w:style w:type="paragraph" w:customStyle="1" w:styleId="contentelement-indentone">
    <w:name w:val="contentelement-indentone"/>
    <w:basedOn w:val="Normal"/>
    <w:rsid w:val="00DD5D79"/>
    <w:pPr>
      <w:spacing w:before="0" w:after="120" w:line="360" w:lineRule="auto"/>
      <w:ind w:left="468"/>
    </w:pPr>
    <w:rPr>
      <w:szCs w:val="24"/>
    </w:rPr>
  </w:style>
  <w:style w:type="paragraph" w:customStyle="1" w:styleId="contentelement-indenttwo">
    <w:name w:val="contentelement-indenttwo"/>
    <w:basedOn w:val="Normal"/>
    <w:rsid w:val="00DD5D79"/>
    <w:pPr>
      <w:spacing w:before="0" w:after="120" w:line="360" w:lineRule="auto"/>
      <w:ind w:left="936"/>
    </w:pPr>
    <w:rPr>
      <w:szCs w:val="24"/>
    </w:rPr>
  </w:style>
  <w:style w:type="paragraph" w:styleId="FootnoteText">
    <w:name w:val="footnote text"/>
    <w:basedOn w:val="Normal"/>
    <w:link w:val="FootnoteTextChar"/>
    <w:uiPriority w:val="99"/>
    <w:unhideWhenUsed/>
    <w:rsid w:val="00F90E9A"/>
    <w:pPr>
      <w:spacing w:before="0"/>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rsid w:val="00F90E9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F90E9A"/>
    <w:rPr>
      <w:vertAlign w:val="superscript"/>
    </w:rPr>
  </w:style>
  <w:style w:type="paragraph" w:customStyle="1" w:styleId="BodyText1">
    <w:name w:val="Body Text1"/>
    <w:basedOn w:val="Normal"/>
    <w:qFormat/>
    <w:rsid w:val="00BB5408"/>
    <w:rPr>
      <w:rFonts w:ascii="Arial" w:hAnsi="Arial" w:cs="Arial"/>
      <w:szCs w:val="24"/>
    </w:rPr>
  </w:style>
  <w:style w:type="character" w:customStyle="1" w:styleId="paragraphChar">
    <w:name w:val="paragraph Char"/>
    <w:aliases w:val="a Char"/>
    <w:link w:val="paragraph"/>
    <w:rsid w:val="00F87506"/>
    <w:rPr>
      <w:sz w:val="22"/>
    </w:rPr>
  </w:style>
  <w:style w:type="paragraph" w:customStyle="1" w:styleId="Default">
    <w:name w:val="Default"/>
    <w:rsid w:val="005137E9"/>
    <w:pPr>
      <w:autoSpaceDE w:val="0"/>
      <w:autoSpaceDN w:val="0"/>
      <w:adjustRightInd w:val="0"/>
    </w:pPr>
    <w:rPr>
      <w:color w:val="000000"/>
      <w:sz w:val="24"/>
      <w:szCs w:val="24"/>
    </w:rPr>
  </w:style>
  <w:style w:type="paragraph" w:styleId="NoSpacing">
    <w:name w:val="No Spacing"/>
    <w:uiPriority w:val="1"/>
    <w:qFormat/>
    <w:rsid w:val="005137E9"/>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6F66BB"/>
    <w:pPr>
      <w:spacing w:before="0" w:after="408" w:line="360" w:lineRule="auto"/>
    </w:pPr>
    <w:rPr>
      <w:szCs w:val="24"/>
    </w:rPr>
  </w:style>
  <w:style w:type="character" w:customStyle="1" w:styleId="DINumberedParagraphChar">
    <w:name w:val="DI Numbered Paragraph Char"/>
    <w:link w:val="DINumberedParagraph"/>
    <w:locked/>
    <w:rsid w:val="00755611"/>
    <w:rPr>
      <w:sz w:val="24"/>
    </w:rPr>
  </w:style>
  <w:style w:type="paragraph" w:customStyle="1" w:styleId="ActHead2">
    <w:name w:val="ActHead 2"/>
    <w:aliases w:val="p"/>
    <w:basedOn w:val="Normal"/>
    <w:next w:val="Normal"/>
    <w:qFormat/>
    <w:rsid w:val="00755611"/>
    <w:pPr>
      <w:keepNext/>
      <w:keepLines/>
      <w:spacing w:before="280"/>
      <w:ind w:left="1134" w:hanging="1134"/>
      <w:outlineLvl w:val="1"/>
    </w:pPr>
    <w:rPr>
      <w:b/>
      <w:kern w:val="28"/>
      <w:sz w:val="32"/>
    </w:rPr>
  </w:style>
  <w:style w:type="character" w:customStyle="1" w:styleId="CharPartNo">
    <w:name w:val="CharPartNo"/>
    <w:basedOn w:val="DefaultParagraphFont"/>
    <w:uiPriority w:val="1"/>
    <w:qFormat/>
    <w:rsid w:val="00755611"/>
  </w:style>
  <w:style w:type="character" w:customStyle="1" w:styleId="Heading3Char">
    <w:name w:val="Heading 3 Char"/>
    <w:basedOn w:val="DefaultParagraphFont"/>
    <w:link w:val="Heading3"/>
    <w:uiPriority w:val="9"/>
    <w:semiHidden/>
    <w:rsid w:val="00875A34"/>
    <w:rPr>
      <w:rFonts w:asciiTheme="majorHAnsi" w:eastAsiaTheme="majorEastAsia" w:hAnsiTheme="majorHAnsi" w:cstheme="majorBidi"/>
      <w:b/>
      <w:bCs/>
      <w:color w:val="4F81BD" w:themeColor="accent1"/>
      <w:sz w:val="24"/>
    </w:rPr>
  </w:style>
  <w:style w:type="paragraph" w:customStyle="1" w:styleId="default0">
    <w:name w:val="default"/>
    <w:basedOn w:val="Normal"/>
    <w:rsid w:val="009A063E"/>
    <w:pPr>
      <w:spacing w:before="100" w:beforeAutospacing="1" w:after="100" w:afterAutospacing="1"/>
    </w:pPr>
    <w:rPr>
      <w:szCs w:val="24"/>
    </w:rPr>
  </w:style>
  <w:style w:type="character" w:customStyle="1" w:styleId="CharAmSchText">
    <w:name w:val="CharAmSchText"/>
    <w:basedOn w:val="DefaultParagraphFont"/>
    <w:qFormat/>
    <w:rsid w:val="00AE5580"/>
  </w:style>
  <w:style w:type="paragraph" w:customStyle="1" w:styleId="contentelement-indentthree1">
    <w:name w:val="contentelement-indentthree1"/>
    <w:basedOn w:val="Normal"/>
    <w:uiPriority w:val="99"/>
    <w:rsid w:val="009B2A1A"/>
    <w:pPr>
      <w:spacing w:after="240"/>
      <w:ind w:left="1404"/>
    </w:pPr>
    <w:rPr>
      <w:rFonts w:eastAsiaTheme="minorHAnsi"/>
      <w:szCs w:val="24"/>
    </w:rPr>
  </w:style>
  <w:style w:type="paragraph" w:styleId="BodyText">
    <w:name w:val="Body Text"/>
    <w:basedOn w:val="Normal"/>
    <w:link w:val="BodyTextChar"/>
    <w:uiPriority w:val="1"/>
    <w:unhideWhenUsed/>
    <w:qFormat/>
    <w:rsid w:val="001210D4"/>
    <w:pPr>
      <w:widowControl w:val="0"/>
      <w:spacing w:before="144"/>
      <w:ind w:left="110"/>
    </w:pPr>
    <w:rPr>
      <w:rFonts w:ascii="Arial" w:eastAsia="Arial" w:hAnsi="Arial" w:cstheme="minorBidi"/>
      <w:i/>
      <w:sz w:val="20"/>
      <w:lang w:val="en-US" w:eastAsia="en-US"/>
    </w:rPr>
  </w:style>
  <w:style w:type="character" w:customStyle="1" w:styleId="BodyTextChar">
    <w:name w:val="Body Text Char"/>
    <w:basedOn w:val="DefaultParagraphFont"/>
    <w:link w:val="BodyText"/>
    <w:uiPriority w:val="1"/>
    <w:rsid w:val="001210D4"/>
    <w:rPr>
      <w:rFonts w:ascii="Arial" w:eastAsia="Arial" w:hAnsi="Arial" w:cstheme="minorBidi"/>
      <w:i/>
      <w:lang w:val="en-US" w:eastAsia="en-US"/>
    </w:rPr>
  </w:style>
  <w:style w:type="paragraph" w:customStyle="1" w:styleId="TableTextform">
    <w:name w:val="TableText form"/>
    <w:basedOn w:val="Normal"/>
    <w:qFormat/>
    <w:rsid w:val="00FA7806"/>
    <w:pPr>
      <w:spacing w:before="40" w:after="240"/>
    </w:pPr>
    <w:rPr>
      <w:rFonts w:ascii="Arial" w:eastAsiaTheme="majorEastAsia" w:hAnsi="Arial" w:cs="Arial"/>
      <w:bCs/>
      <w:sz w:val="20"/>
      <w:lang w:eastAsia="en-US"/>
    </w:rPr>
  </w:style>
  <w:style w:type="paragraph" w:customStyle="1" w:styleId="ItemHead">
    <w:name w:val="ItemHead"/>
    <w:aliases w:val="ih"/>
    <w:basedOn w:val="Normal"/>
    <w:next w:val="Normal"/>
    <w:rsid w:val="00D95A70"/>
    <w:pPr>
      <w:keepNext/>
      <w:keepLines/>
      <w:spacing w:before="220"/>
      <w:ind w:left="709" w:hanging="709"/>
    </w:pPr>
    <w:rPr>
      <w:rFonts w:ascii="Arial" w:hAnsi="Arial"/>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16340">
      <w:bodyDiv w:val="1"/>
      <w:marLeft w:val="0"/>
      <w:marRight w:val="0"/>
      <w:marTop w:val="0"/>
      <w:marBottom w:val="0"/>
      <w:divBdr>
        <w:top w:val="none" w:sz="0" w:space="0" w:color="auto"/>
        <w:left w:val="none" w:sz="0" w:space="0" w:color="auto"/>
        <w:bottom w:val="none" w:sz="0" w:space="0" w:color="auto"/>
        <w:right w:val="none" w:sz="0" w:space="0" w:color="auto"/>
      </w:divBdr>
    </w:div>
    <w:div w:id="288364884">
      <w:bodyDiv w:val="1"/>
      <w:marLeft w:val="0"/>
      <w:marRight w:val="0"/>
      <w:marTop w:val="0"/>
      <w:marBottom w:val="0"/>
      <w:divBdr>
        <w:top w:val="none" w:sz="0" w:space="0" w:color="auto"/>
        <w:left w:val="none" w:sz="0" w:space="0" w:color="auto"/>
        <w:bottom w:val="none" w:sz="0" w:space="0" w:color="auto"/>
        <w:right w:val="none" w:sz="0" w:space="0" w:color="auto"/>
      </w:divBdr>
    </w:div>
    <w:div w:id="312955455">
      <w:bodyDiv w:val="1"/>
      <w:marLeft w:val="0"/>
      <w:marRight w:val="0"/>
      <w:marTop w:val="0"/>
      <w:marBottom w:val="0"/>
      <w:divBdr>
        <w:top w:val="none" w:sz="0" w:space="0" w:color="auto"/>
        <w:left w:val="none" w:sz="0" w:space="0" w:color="auto"/>
        <w:bottom w:val="none" w:sz="0" w:space="0" w:color="auto"/>
        <w:right w:val="none" w:sz="0" w:space="0" w:color="auto"/>
      </w:divBdr>
    </w:div>
    <w:div w:id="390621730">
      <w:bodyDiv w:val="1"/>
      <w:marLeft w:val="0"/>
      <w:marRight w:val="0"/>
      <w:marTop w:val="0"/>
      <w:marBottom w:val="0"/>
      <w:divBdr>
        <w:top w:val="none" w:sz="0" w:space="0" w:color="auto"/>
        <w:left w:val="none" w:sz="0" w:space="0" w:color="auto"/>
        <w:bottom w:val="none" w:sz="0" w:space="0" w:color="auto"/>
        <w:right w:val="none" w:sz="0" w:space="0" w:color="auto"/>
      </w:divBdr>
    </w:div>
    <w:div w:id="552623520">
      <w:bodyDiv w:val="1"/>
      <w:marLeft w:val="0"/>
      <w:marRight w:val="0"/>
      <w:marTop w:val="0"/>
      <w:marBottom w:val="0"/>
      <w:divBdr>
        <w:top w:val="none" w:sz="0" w:space="0" w:color="auto"/>
        <w:left w:val="none" w:sz="0" w:space="0" w:color="auto"/>
        <w:bottom w:val="none" w:sz="0" w:space="0" w:color="auto"/>
        <w:right w:val="none" w:sz="0" w:space="0" w:color="auto"/>
      </w:divBdr>
    </w:div>
    <w:div w:id="555969582">
      <w:bodyDiv w:val="1"/>
      <w:marLeft w:val="0"/>
      <w:marRight w:val="0"/>
      <w:marTop w:val="0"/>
      <w:marBottom w:val="0"/>
      <w:divBdr>
        <w:top w:val="none" w:sz="0" w:space="0" w:color="auto"/>
        <w:left w:val="none" w:sz="0" w:space="0" w:color="auto"/>
        <w:bottom w:val="none" w:sz="0" w:space="0" w:color="auto"/>
        <w:right w:val="none" w:sz="0" w:space="0" w:color="auto"/>
      </w:divBdr>
    </w:div>
    <w:div w:id="702680172">
      <w:bodyDiv w:val="1"/>
      <w:marLeft w:val="0"/>
      <w:marRight w:val="0"/>
      <w:marTop w:val="0"/>
      <w:marBottom w:val="0"/>
      <w:divBdr>
        <w:top w:val="none" w:sz="0" w:space="0" w:color="auto"/>
        <w:left w:val="none" w:sz="0" w:space="0" w:color="auto"/>
        <w:bottom w:val="none" w:sz="0" w:space="0" w:color="auto"/>
        <w:right w:val="none" w:sz="0" w:space="0" w:color="auto"/>
      </w:divBdr>
    </w:div>
    <w:div w:id="723875416">
      <w:bodyDiv w:val="1"/>
      <w:marLeft w:val="0"/>
      <w:marRight w:val="0"/>
      <w:marTop w:val="0"/>
      <w:marBottom w:val="0"/>
      <w:divBdr>
        <w:top w:val="none" w:sz="0" w:space="0" w:color="auto"/>
        <w:left w:val="none" w:sz="0" w:space="0" w:color="auto"/>
        <w:bottom w:val="none" w:sz="0" w:space="0" w:color="auto"/>
        <w:right w:val="none" w:sz="0" w:space="0" w:color="auto"/>
      </w:divBdr>
      <w:divsChild>
        <w:div w:id="923880715">
          <w:marLeft w:val="0"/>
          <w:marRight w:val="0"/>
          <w:marTop w:val="0"/>
          <w:marBottom w:val="0"/>
          <w:divBdr>
            <w:top w:val="none" w:sz="0" w:space="0" w:color="auto"/>
            <w:left w:val="none" w:sz="0" w:space="0" w:color="auto"/>
            <w:bottom w:val="none" w:sz="0" w:space="0" w:color="auto"/>
            <w:right w:val="none" w:sz="0" w:space="0" w:color="auto"/>
          </w:divBdr>
          <w:divsChild>
            <w:div w:id="1400250228">
              <w:marLeft w:val="0"/>
              <w:marRight w:val="0"/>
              <w:marTop w:val="0"/>
              <w:marBottom w:val="0"/>
              <w:divBdr>
                <w:top w:val="none" w:sz="0" w:space="0" w:color="auto"/>
                <w:left w:val="none" w:sz="0" w:space="0" w:color="auto"/>
                <w:bottom w:val="none" w:sz="0" w:space="0" w:color="auto"/>
                <w:right w:val="none" w:sz="0" w:space="0" w:color="auto"/>
              </w:divBdr>
              <w:divsChild>
                <w:div w:id="1390878184">
                  <w:marLeft w:val="0"/>
                  <w:marRight w:val="0"/>
                  <w:marTop w:val="0"/>
                  <w:marBottom w:val="0"/>
                  <w:divBdr>
                    <w:top w:val="none" w:sz="0" w:space="0" w:color="auto"/>
                    <w:left w:val="none" w:sz="0" w:space="0" w:color="auto"/>
                    <w:bottom w:val="none" w:sz="0" w:space="0" w:color="auto"/>
                    <w:right w:val="none" w:sz="0" w:space="0" w:color="auto"/>
                  </w:divBdr>
                  <w:divsChild>
                    <w:div w:id="1112478787">
                      <w:marLeft w:val="0"/>
                      <w:marRight w:val="0"/>
                      <w:marTop w:val="0"/>
                      <w:marBottom w:val="0"/>
                      <w:divBdr>
                        <w:top w:val="none" w:sz="0" w:space="0" w:color="auto"/>
                        <w:left w:val="none" w:sz="0" w:space="0" w:color="auto"/>
                        <w:bottom w:val="none" w:sz="0" w:space="0" w:color="auto"/>
                        <w:right w:val="none" w:sz="0" w:space="0" w:color="auto"/>
                      </w:divBdr>
                      <w:divsChild>
                        <w:div w:id="476260930">
                          <w:marLeft w:val="0"/>
                          <w:marRight w:val="0"/>
                          <w:marTop w:val="0"/>
                          <w:marBottom w:val="0"/>
                          <w:divBdr>
                            <w:top w:val="single" w:sz="6" w:space="0" w:color="828282"/>
                            <w:left w:val="single" w:sz="6" w:space="0" w:color="828282"/>
                            <w:bottom w:val="single" w:sz="6" w:space="0" w:color="828282"/>
                            <w:right w:val="single" w:sz="6" w:space="0" w:color="828282"/>
                          </w:divBdr>
                          <w:divsChild>
                            <w:div w:id="1330718153">
                              <w:marLeft w:val="0"/>
                              <w:marRight w:val="0"/>
                              <w:marTop w:val="0"/>
                              <w:marBottom w:val="0"/>
                              <w:divBdr>
                                <w:top w:val="none" w:sz="0" w:space="0" w:color="auto"/>
                                <w:left w:val="none" w:sz="0" w:space="0" w:color="auto"/>
                                <w:bottom w:val="none" w:sz="0" w:space="0" w:color="auto"/>
                                <w:right w:val="none" w:sz="0" w:space="0" w:color="auto"/>
                              </w:divBdr>
                              <w:divsChild>
                                <w:div w:id="1828740001">
                                  <w:marLeft w:val="0"/>
                                  <w:marRight w:val="0"/>
                                  <w:marTop w:val="0"/>
                                  <w:marBottom w:val="0"/>
                                  <w:divBdr>
                                    <w:top w:val="none" w:sz="0" w:space="0" w:color="auto"/>
                                    <w:left w:val="none" w:sz="0" w:space="0" w:color="auto"/>
                                    <w:bottom w:val="none" w:sz="0" w:space="0" w:color="auto"/>
                                    <w:right w:val="none" w:sz="0" w:space="0" w:color="auto"/>
                                  </w:divBdr>
                                  <w:divsChild>
                                    <w:div w:id="1395078626">
                                      <w:marLeft w:val="0"/>
                                      <w:marRight w:val="0"/>
                                      <w:marTop w:val="0"/>
                                      <w:marBottom w:val="0"/>
                                      <w:divBdr>
                                        <w:top w:val="none" w:sz="0" w:space="0" w:color="auto"/>
                                        <w:left w:val="none" w:sz="0" w:space="0" w:color="auto"/>
                                        <w:bottom w:val="none" w:sz="0" w:space="0" w:color="auto"/>
                                        <w:right w:val="none" w:sz="0" w:space="0" w:color="auto"/>
                                      </w:divBdr>
                                      <w:divsChild>
                                        <w:div w:id="2029989883">
                                          <w:marLeft w:val="0"/>
                                          <w:marRight w:val="0"/>
                                          <w:marTop w:val="0"/>
                                          <w:marBottom w:val="0"/>
                                          <w:divBdr>
                                            <w:top w:val="none" w:sz="0" w:space="0" w:color="auto"/>
                                            <w:left w:val="none" w:sz="0" w:space="0" w:color="auto"/>
                                            <w:bottom w:val="none" w:sz="0" w:space="0" w:color="auto"/>
                                            <w:right w:val="none" w:sz="0" w:space="0" w:color="auto"/>
                                          </w:divBdr>
                                          <w:divsChild>
                                            <w:div w:id="1288928611">
                                              <w:marLeft w:val="0"/>
                                              <w:marRight w:val="0"/>
                                              <w:marTop w:val="0"/>
                                              <w:marBottom w:val="0"/>
                                              <w:divBdr>
                                                <w:top w:val="none" w:sz="0" w:space="0" w:color="auto"/>
                                                <w:left w:val="none" w:sz="0" w:space="0" w:color="auto"/>
                                                <w:bottom w:val="none" w:sz="0" w:space="0" w:color="auto"/>
                                                <w:right w:val="none" w:sz="0" w:space="0" w:color="auto"/>
                                              </w:divBdr>
                                              <w:divsChild>
                                                <w:div w:id="338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9280093">
      <w:bodyDiv w:val="1"/>
      <w:marLeft w:val="0"/>
      <w:marRight w:val="0"/>
      <w:marTop w:val="0"/>
      <w:marBottom w:val="0"/>
      <w:divBdr>
        <w:top w:val="none" w:sz="0" w:space="0" w:color="auto"/>
        <w:left w:val="none" w:sz="0" w:space="0" w:color="auto"/>
        <w:bottom w:val="none" w:sz="0" w:space="0" w:color="auto"/>
        <w:right w:val="none" w:sz="0" w:space="0" w:color="auto"/>
      </w:divBdr>
    </w:div>
    <w:div w:id="803694171">
      <w:bodyDiv w:val="1"/>
      <w:marLeft w:val="0"/>
      <w:marRight w:val="0"/>
      <w:marTop w:val="0"/>
      <w:marBottom w:val="0"/>
      <w:divBdr>
        <w:top w:val="none" w:sz="0" w:space="0" w:color="auto"/>
        <w:left w:val="none" w:sz="0" w:space="0" w:color="auto"/>
        <w:bottom w:val="none" w:sz="0" w:space="0" w:color="auto"/>
        <w:right w:val="none" w:sz="0" w:space="0" w:color="auto"/>
      </w:divBdr>
    </w:div>
    <w:div w:id="831802085">
      <w:bodyDiv w:val="1"/>
      <w:marLeft w:val="0"/>
      <w:marRight w:val="0"/>
      <w:marTop w:val="0"/>
      <w:marBottom w:val="0"/>
      <w:divBdr>
        <w:top w:val="none" w:sz="0" w:space="0" w:color="auto"/>
        <w:left w:val="none" w:sz="0" w:space="0" w:color="auto"/>
        <w:bottom w:val="none" w:sz="0" w:space="0" w:color="auto"/>
        <w:right w:val="none" w:sz="0" w:space="0" w:color="auto"/>
      </w:divBdr>
    </w:div>
    <w:div w:id="856967168">
      <w:bodyDiv w:val="1"/>
      <w:marLeft w:val="0"/>
      <w:marRight w:val="0"/>
      <w:marTop w:val="0"/>
      <w:marBottom w:val="0"/>
      <w:divBdr>
        <w:top w:val="none" w:sz="0" w:space="0" w:color="auto"/>
        <w:left w:val="none" w:sz="0" w:space="0" w:color="auto"/>
        <w:bottom w:val="none" w:sz="0" w:space="0" w:color="auto"/>
        <w:right w:val="none" w:sz="0" w:space="0" w:color="auto"/>
      </w:divBdr>
    </w:div>
    <w:div w:id="1190146830">
      <w:bodyDiv w:val="1"/>
      <w:marLeft w:val="0"/>
      <w:marRight w:val="0"/>
      <w:marTop w:val="0"/>
      <w:marBottom w:val="0"/>
      <w:divBdr>
        <w:top w:val="none" w:sz="0" w:space="0" w:color="auto"/>
        <w:left w:val="none" w:sz="0" w:space="0" w:color="auto"/>
        <w:bottom w:val="none" w:sz="0" w:space="0" w:color="auto"/>
        <w:right w:val="none" w:sz="0" w:space="0" w:color="auto"/>
      </w:divBdr>
    </w:div>
    <w:div w:id="1237059655">
      <w:bodyDiv w:val="1"/>
      <w:marLeft w:val="0"/>
      <w:marRight w:val="0"/>
      <w:marTop w:val="0"/>
      <w:marBottom w:val="0"/>
      <w:divBdr>
        <w:top w:val="none" w:sz="0" w:space="0" w:color="auto"/>
        <w:left w:val="none" w:sz="0" w:space="0" w:color="auto"/>
        <w:bottom w:val="none" w:sz="0" w:space="0" w:color="auto"/>
        <w:right w:val="none" w:sz="0" w:space="0" w:color="auto"/>
      </w:divBdr>
    </w:div>
    <w:div w:id="1283464667">
      <w:bodyDiv w:val="1"/>
      <w:marLeft w:val="0"/>
      <w:marRight w:val="0"/>
      <w:marTop w:val="0"/>
      <w:marBottom w:val="0"/>
      <w:divBdr>
        <w:top w:val="none" w:sz="0" w:space="0" w:color="auto"/>
        <w:left w:val="none" w:sz="0" w:space="0" w:color="auto"/>
        <w:bottom w:val="none" w:sz="0" w:space="0" w:color="auto"/>
        <w:right w:val="none" w:sz="0" w:space="0" w:color="auto"/>
      </w:divBdr>
    </w:div>
    <w:div w:id="1297759373">
      <w:bodyDiv w:val="1"/>
      <w:marLeft w:val="0"/>
      <w:marRight w:val="0"/>
      <w:marTop w:val="0"/>
      <w:marBottom w:val="0"/>
      <w:divBdr>
        <w:top w:val="none" w:sz="0" w:space="0" w:color="auto"/>
        <w:left w:val="none" w:sz="0" w:space="0" w:color="auto"/>
        <w:bottom w:val="none" w:sz="0" w:space="0" w:color="auto"/>
        <w:right w:val="none" w:sz="0" w:space="0" w:color="auto"/>
      </w:divBdr>
    </w:div>
    <w:div w:id="1395198075">
      <w:bodyDiv w:val="1"/>
      <w:marLeft w:val="0"/>
      <w:marRight w:val="0"/>
      <w:marTop w:val="0"/>
      <w:marBottom w:val="0"/>
      <w:divBdr>
        <w:top w:val="none" w:sz="0" w:space="0" w:color="auto"/>
        <w:left w:val="none" w:sz="0" w:space="0" w:color="auto"/>
        <w:bottom w:val="none" w:sz="0" w:space="0" w:color="auto"/>
        <w:right w:val="none" w:sz="0" w:space="0" w:color="auto"/>
      </w:divBdr>
    </w:div>
    <w:div w:id="1572345042">
      <w:bodyDiv w:val="1"/>
      <w:marLeft w:val="0"/>
      <w:marRight w:val="0"/>
      <w:marTop w:val="0"/>
      <w:marBottom w:val="0"/>
      <w:divBdr>
        <w:top w:val="none" w:sz="0" w:space="0" w:color="auto"/>
        <w:left w:val="none" w:sz="0" w:space="0" w:color="auto"/>
        <w:bottom w:val="none" w:sz="0" w:space="0" w:color="auto"/>
        <w:right w:val="none" w:sz="0" w:space="0" w:color="auto"/>
      </w:divBdr>
      <w:divsChild>
        <w:div w:id="2010478596">
          <w:marLeft w:val="0"/>
          <w:marRight w:val="0"/>
          <w:marTop w:val="0"/>
          <w:marBottom w:val="0"/>
          <w:divBdr>
            <w:top w:val="none" w:sz="0" w:space="0" w:color="auto"/>
            <w:left w:val="none" w:sz="0" w:space="0" w:color="auto"/>
            <w:bottom w:val="none" w:sz="0" w:space="0" w:color="auto"/>
            <w:right w:val="none" w:sz="0" w:space="0" w:color="auto"/>
          </w:divBdr>
          <w:divsChild>
            <w:div w:id="1259634637">
              <w:marLeft w:val="0"/>
              <w:marRight w:val="0"/>
              <w:marTop w:val="0"/>
              <w:marBottom w:val="0"/>
              <w:divBdr>
                <w:top w:val="none" w:sz="0" w:space="0" w:color="auto"/>
                <w:left w:val="none" w:sz="0" w:space="0" w:color="auto"/>
                <w:bottom w:val="none" w:sz="0" w:space="0" w:color="auto"/>
                <w:right w:val="none" w:sz="0" w:space="0" w:color="auto"/>
              </w:divBdr>
              <w:divsChild>
                <w:div w:id="981345414">
                  <w:marLeft w:val="0"/>
                  <w:marRight w:val="0"/>
                  <w:marTop w:val="0"/>
                  <w:marBottom w:val="0"/>
                  <w:divBdr>
                    <w:top w:val="none" w:sz="0" w:space="0" w:color="auto"/>
                    <w:left w:val="none" w:sz="0" w:space="0" w:color="auto"/>
                    <w:bottom w:val="none" w:sz="0" w:space="0" w:color="auto"/>
                    <w:right w:val="none" w:sz="0" w:space="0" w:color="auto"/>
                  </w:divBdr>
                  <w:divsChild>
                    <w:div w:id="1443375368">
                      <w:marLeft w:val="0"/>
                      <w:marRight w:val="0"/>
                      <w:marTop w:val="0"/>
                      <w:marBottom w:val="0"/>
                      <w:divBdr>
                        <w:top w:val="none" w:sz="0" w:space="0" w:color="auto"/>
                        <w:left w:val="none" w:sz="0" w:space="0" w:color="auto"/>
                        <w:bottom w:val="none" w:sz="0" w:space="0" w:color="auto"/>
                        <w:right w:val="none" w:sz="0" w:space="0" w:color="auto"/>
                      </w:divBdr>
                      <w:divsChild>
                        <w:div w:id="2056588241">
                          <w:marLeft w:val="0"/>
                          <w:marRight w:val="0"/>
                          <w:marTop w:val="0"/>
                          <w:marBottom w:val="0"/>
                          <w:divBdr>
                            <w:top w:val="none" w:sz="0" w:space="0" w:color="auto"/>
                            <w:left w:val="none" w:sz="0" w:space="0" w:color="auto"/>
                            <w:bottom w:val="none" w:sz="0" w:space="0" w:color="auto"/>
                            <w:right w:val="none" w:sz="0" w:space="0" w:color="auto"/>
                          </w:divBdr>
                          <w:divsChild>
                            <w:div w:id="1346051791">
                              <w:marLeft w:val="0"/>
                              <w:marRight w:val="0"/>
                              <w:marTop w:val="0"/>
                              <w:marBottom w:val="0"/>
                              <w:divBdr>
                                <w:top w:val="none" w:sz="0" w:space="0" w:color="auto"/>
                                <w:left w:val="none" w:sz="0" w:space="0" w:color="auto"/>
                                <w:bottom w:val="none" w:sz="0" w:space="0" w:color="auto"/>
                                <w:right w:val="none" w:sz="0" w:space="0" w:color="auto"/>
                              </w:divBdr>
                              <w:divsChild>
                                <w:div w:id="2095085375">
                                  <w:marLeft w:val="0"/>
                                  <w:marRight w:val="0"/>
                                  <w:marTop w:val="0"/>
                                  <w:marBottom w:val="0"/>
                                  <w:divBdr>
                                    <w:top w:val="none" w:sz="0" w:space="0" w:color="auto"/>
                                    <w:left w:val="none" w:sz="0" w:space="0" w:color="auto"/>
                                    <w:bottom w:val="none" w:sz="0" w:space="0" w:color="auto"/>
                                    <w:right w:val="none" w:sz="0" w:space="0" w:color="auto"/>
                                  </w:divBdr>
                                  <w:divsChild>
                                    <w:div w:id="1489445894">
                                      <w:marLeft w:val="0"/>
                                      <w:marRight w:val="0"/>
                                      <w:marTop w:val="0"/>
                                      <w:marBottom w:val="0"/>
                                      <w:divBdr>
                                        <w:top w:val="none" w:sz="0" w:space="0" w:color="auto"/>
                                        <w:left w:val="none" w:sz="0" w:space="0" w:color="auto"/>
                                        <w:bottom w:val="none" w:sz="0" w:space="0" w:color="auto"/>
                                        <w:right w:val="none" w:sz="0" w:space="0" w:color="auto"/>
                                      </w:divBdr>
                                      <w:divsChild>
                                        <w:div w:id="1757553452">
                                          <w:marLeft w:val="0"/>
                                          <w:marRight w:val="0"/>
                                          <w:marTop w:val="0"/>
                                          <w:marBottom w:val="0"/>
                                          <w:divBdr>
                                            <w:top w:val="none" w:sz="0" w:space="0" w:color="auto"/>
                                            <w:left w:val="none" w:sz="0" w:space="0" w:color="auto"/>
                                            <w:bottom w:val="none" w:sz="0" w:space="0" w:color="auto"/>
                                            <w:right w:val="none" w:sz="0" w:space="0" w:color="auto"/>
                                          </w:divBdr>
                                          <w:divsChild>
                                            <w:div w:id="1353991906">
                                              <w:marLeft w:val="0"/>
                                              <w:marRight w:val="135"/>
                                              <w:marTop w:val="180"/>
                                              <w:marBottom w:val="0"/>
                                              <w:divBdr>
                                                <w:top w:val="single" w:sz="6" w:space="0" w:color="9E9E9E"/>
                                                <w:left w:val="single" w:sz="6" w:space="0" w:color="9E9E9E"/>
                                                <w:bottom w:val="single" w:sz="6" w:space="0" w:color="9E9E9E"/>
                                                <w:right w:val="single" w:sz="6" w:space="0" w:color="9E9E9E"/>
                                              </w:divBdr>
                                              <w:divsChild>
                                                <w:div w:id="1086417963">
                                                  <w:marLeft w:val="0"/>
                                                  <w:marRight w:val="0"/>
                                                  <w:marTop w:val="0"/>
                                                  <w:marBottom w:val="0"/>
                                                  <w:divBdr>
                                                    <w:top w:val="single" w:sz="6" w:space="0" w:color="9E9E9E"/>
                                                    <w:left w:val="single" w:sz="6" w:space="0" w:color="9E9E9E"/>
                                                    <w:bottom w:val="single" w:sz="6" w:space="0" w:color="9E9E9E"/>
                                                    <w:right w:val="single" w:sz="6" w:space="0" w:color="9E9E9E"/>
                                                  </w:divBdr>
                                                  <w:divsChild>
                                                    <w:div w:id="11426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624472">
      <w:bodyDiv w:val="1"/>
      <w:marLeft w:val="0"/>
      <w:marRight w:val="0"/>
      <w:marTop w:val="0"/>
      <w:marBottom w:val="0"/>
      <w:divBdr>
        <w:top w:val="none" w:sz="0" w:space="0" w:color="auto"/>
        <w:left w:val="none" w:sz="0" w:space="0" w:color="auto"/>
        <w:bottom w:val="none" w:sz="0" w:space="0" w:color="auto"/>
        <w:right w:val="none" w:sz="0" w:space="0" w:color="auto"/>
      </w:divBdr>
      <w:divsChild>
        <w:div w:id="1404721881">
          <w:marLeft w:val="0"/>
          <w:marRight w:val="0"/>
          <w:marTop w:val="0"/>
          <w:marBottom w:val="0"/>
          <w:divBdr>
            <w:top w:val="none" w:sz="0" w:space="0" w:color="auto"/>
            <w:left w:val="none" w:sz="0" w:space="0" w:color="auto"/>
            <w:bottom w:val="none" w:sz="0" w:space="0" w:color="auto"/>
            <w:right w:val="none" w:sz="0" w:space="0" w:color="auto"/>
          </w:divBdr>
          <w:divsChild>
            <w:div w:id="1530798788">
              <w:marLeft w:val="0"/>
              <w:marRight w:val="0"/>
              <w:marTop w:val="0"/>
              <w:marBottom w:val="0"/>
              <w:divBdr>
                <w:top w:val="none" w:sz="0" w:space="0" w:color="auto"/>
                <w:left w:val="none" w:sz="0" w:space="0" w:color="auto"/>
                <w:bottom w:val="none" w:sz="0" w:space="0" w:color="auto"/>
                <w:right w:val="none" w:sz="0" w:space="0" w:color="auto"/>
              </w:divBdr>
              <w:divsChild>
                <w:div w:id="51740313">
                  <w:marLeft w:val="0"/>
                  <w:marRight w:val="0"/>
                  <w:marTop w:val="0"/>
                  <w:marBottom w:val="0"/>
                  <w:divBdr>
                    <w:top w:val="none" w:sz="0" w:space="0" w:color="auto"/>
                    <w:left w:val="none" w:sz="0" w:space="0" w:color="auto"/>
                    <w:bottom w:val="none" w:sz="0" w:space="0" w:color="auto"/>
                    <w:right w:val="none" w:sz="0" w:space="0" w:color="auto"/>
                  </w:divBdr>
                  <w:divsChild>
                    <w:div w:id="2093382528">
                      <w:marLeft w:val="0"/>
                      <w:marRight w:val="0"/>
                      <w:marTop w:val="0"/>
                      <w:marBottom w:val="0"/>
                      <w:divBdr>
                        <w:top w:val="none" w:sz="0" w:space="0" w:color="auto"/>
                        <w:left w:val="none" w:sz="0" w:space="0" w:color="auto"/>
                        <w:bottom w:val="none" w:sz="0" w:space="0" w:color="auto"/>
                        <w:right w:val="none" w:sz="0" w:space="0" w:color="auto"/>
                      </w:divBdr>
                      <w:divsChild>
                        <w:div w:id="2019189874">
                          <w:marLeft w:val="0"/>
                          <w:marRight w:val="0"/>
                          <w:marTop w:val="0"/>
                          <w:marBottom w:val="0"/>
                          <w:divBdr>
                            <w:top w:val="none" w:sz="0" w:space="0" w:color="auto"/>
                            <w:left w:val="none" w:sz="0" w:space="0" w:color="auto"/>
                            <w:bottom w:val="none" w:sz="0" w:space="0" w:color="auto"/>
                            <w:right w:val="none" w:sz="0" w:space="0" w:color="auto"/>
                          </w:divBdr>
                          <w:divsChild>
                            <w:div w:id="998339675">
                              <w:marLeft w:val="0"/>
                              <w:marRight w:val="0"/>
                              <w:marTop w:val="0"/>
                              <w:marBottom w:val="0"/>
                              <w:divBdr>
                                <w:top w:val="none" w:sz="0" w:space="0" w:color="auto"/>
                                <w:left w:val="none" w:sz="0" w:space="0" w:color="auto"/>
                                <w:bottom w:val="none" w:sz="0" w:space="0" w:color="auto"/>
                                <w:right w:val="none" w:sz="0" w:space="0" w:color="auto"/>
                              </w:divBdr>
                              <w:divsChild>
                                <w:div w:id="909584055">
                                  <w:marLeft w:val="0"/>
                                  <w:marRight w:val="0"/>
                                  <w:marTop w:val="0"/>
                                  <w:marBottom w:val="0"/>
                                  <w:divBdr>
                                    <w:top w:val="none" w:sz="0" w:space="0" w:color="auto"/>
                                    <w:left w:val="none" w:sz="0" w:space="0" w:color="auto"/>
                                    <w:bottom w:val="none" w:sz="0" w:space="0" w:color="auto"/>
                                    <w:right w:val="none" w:sz="0" w:space="0" w:color="auto"/>
                                  </w:divBdr>
                                  <w:divsChild>
                                    <w:div w:id="1307473780">
                                      <w:marLeft w:val="0"/>
                                      <w:marRight w:val="0"/>
                                      <w:marTop w:val="0"/>
                                      <w:marBottom w:val="0"/>
                                      <w:divBdr>
                                        <w:top w:val="none" w:sz="0" w:space="0" w:color="auto"/>
                                        <w:left w:val="none" w:sz="0" w:space="0" w:color="auto"/>
                                        <w:bottom w:val="none" w:sz="0" w:space="0" w:color="auto"/>
                                        <w:right w:val="none" w:sz="0" w:space="0" w:color="auto"/>
                                      </w:divBdr>
                                      <w:divsChild>
                                        <w:div w:id="1852255864">
                                          <w:marLeft w:val="0"/>
                                          <w:marRight w:val="0"/>
                                          <w:marTop w:val="0"/>
                                          <w:marBottom w:val="0"/>
                                          <w:divBdr>
                                            <w:top w:val="none" w:sz="0" w:space="0" w:color="auto"/>
                                            <w:left w:val="none" w:sz="0" w:space="0" w:color="auto"/>
                                            <w:bottom w:val="none" w:sz="0" w:space="0" w:color="auto"/>
                                            <w:right w:val="none" w:sz="0" w:space="0" w:color="auto"/>
                                          </w:divBdr>
                                          <w:divsChild>
                                            <w:div w:id="334773412">
                                              <w:marLeft w:val="0"/>
                                              <w:marRight w:val="135"/>
                                              <w:marTop w:val="180"/>
                                              <w:marBottom w:val="0"/>
                                              <w:divBdr>
                                                <w:top w:val="single" w:sz="6" w:space="0" w:color="9E9E9E"/>
                                                <w:left w:val="single" w:sz="6" w:space="0" w:color="9E9E9E"/>
                                                <w:bottom w:val="single" w:sz="6" w:space="0" w:color="9E9E9E"/>
                                                <w:right w:val="single" w:sz="6" w:space="0" w:color="9E9E9E"/>
                                              </w:divBdr>
                                              <w:divsChild>
                                                <w:div w:id="95954206">
                                                  <w:marLeft w:val="0"/>
                                                  <w:marRight w:val="0"/>
                                                  <w:marTop w:val="0"/>
                                                  <w:marBottom w:val="0"/>
                                                  <w:divBdr>
                                                    <w:top w:val="single" w:sz="6" w:space="0" w:color="9E9E9E"/>
                                                    <w:left w:val="single" w:sz="6" w:space="0" w:color="9E9E9E"/>
                                                    <w:bottom w:val="single" w:sz="6" w:space="0" w:color="9E9E9E"/>
                                                    <w:right w:val="single" w:sz="6" w:space="0" w:color="9E9E9E"/>
                                                  </w:divBdr>
                                                  <w:divsChild>
                                                    <w:div w:id="699817844">
                                                      <w:marLeft w:val="0"/>
                                                      <w:marRight w:val="0"/>
                                                      <w:marTop w:val="0"/>
                                                      <w:marBottom w:val="0"/>
                                                      <w:divBdr>
                                                        <w:top w:val="none" w:sz="0" w:space="0" w:color="auto"/>
                                                        <w:left w:val="none" w:sz="0" w:space="0" w:color="auto"/>
                                                        <w:bottom w:val="none" w:sz="0" w:space="0" w:color="auto"/>
                                                        <w:right w:val="none" w:sz="0" w:space="0" w:color="auto"/>
                                                      </w:divBdr>
                                                      <w:divsChild>
                                                        <w:div w:id="7112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9447904">
      <w:bodyDiv w:val="1"/>
      <w:marLeft w:val="0"/>
      <w:marRight w:val="0"/>
      <w:marTop w:val="0"/>
      <w:marBottom w:val="0"/>
      <w:divBdr>
        <w:top w:val="none" w:sz="0" w:space="0" w:color="auto"/>
        <w:left w:val="none" w:sz="0" w:space="0" w:color="auto"/>
        <w:bottom w:val="none" w:sz="0" w:space="0" w:color="auto"/>
        <w:right w:val="none" w:sz="0" w:space="0" w:color="auto"/>
      </w:divBdr>
    </w:div>
    <w:div w:id="1924487261">
      <w:bodyDiv w:val="1"/>
      <w:marLeft w:val="0"/>
      <w:marRight w:val="0"/>
      <w:marTop w:val="0"/>
      <w:marBottom w:val="0"/>
      <w:divBdr>
        <w:top w:val="none" w:sz="0" w:space="0" w:color="auto"/>
        <w:left w:val="none" w:sz="0" w:space="0" w:color="auto"/>
        <w:bottom w:val="none" w:sz="0" w:space="0" w:color="auto"/>
        <w:right w:val="none" w:sz="0" w:space="0" w:color="auto"/>
      </w:divBdr>
    </w:div>
    <w:div w:id="1949852105">
      <w:bodyDiv w:val="1"/>
      <w:marLeft w:val="0"/>
      <w:marRight w:val="0"/>
      <w:marTop w:val="0"/>
      <w:marBottom w:val="0"/>
      <w:divBdr>
        <w:top w:val="none" w:sz="0" w:space="0" w:color="auto"/>
        <w:left w:val="none" w:sz="0" w:space="0" w:color="auto"/>
        <w:bottom w:val="none" w:sz="0" w:space="0" w:color="auto"/>
        <w:right w:val="none" w:sz="0" w:space="0" w:color="auto"/>
      </w:divBdr>
      <w:divsChild>
        <w:div w:id="21984164">
          <w:marLeft w:val="0"/>
          <w:marRight w:val="0"/>
          <w:marTop w:val="0"/>
          <w:marBottom w:val="0"/>
          <w:divBdr>
            <w:top w:val="none" w:sz="0" w:space="0" w:color="auto"/>
            <w:left w:val="none" w:sz="0" w:space="0" w:color="auto"/>
            <w:bottom w:val="none" w:sz="0" w:space="0" w:color="auto"/>
            <w:right w:val="none" w:sz="0" w:space="0" w:color="auto"/>
          </w:divBdr>
          <w:divsChild>
            <w:div w:id="903176989">
              <w:marLeft w:val="0"/>
              <w:marRight w:val="0"/>
              <w:marTop w:val="0"/>
              <w:marBottom w:val="0"/>
              <w:divBdr>
                <w:top w:val="none" w:sz="0" w:space="0" w:color="auto"/>
                <w:left w:val="none" w:sz="0" w:space="0" w:color="auto"/>
                <w:bottom w:val="none" w:sz="0" w:space="0" w:color="auto"/>
                <w:right w:val="none" w:sz="0" w:space="0" w:color="auto"/>
              </w:divBdr>
              <w:divsChild>
                <w:div w:id="343360368">
                  <w:marLeft w:val="0"/>
                  <w:marRight w:val="0"/>
                  <w:marTop w:val="0"/>
                  <w:marBottom w:val="0"/>
                  <w:divBdr>
                    <w:top w:val="none" w:sz="0" w:space="0" w:color="auto"/>
                    <w:left w:val="none" w:sz="0" w:space="0" w:color="auto"/>
                    <w:bottom w:val="none" w:sz="0" w:space="0" w:color="auto"/>
                    <w:right w:val="none" w:sz="0" w:space="0" w:color="auto"/>
                  </w:divBdr>
                  <w:divsChild>
                    <w:div w:id="724569443">
                      <w:marLeft w:val="0"/>
                      <w:marRight w:val="0"/>
                      <w:marTop w:val="0"/>
                      <w:marBottom w:val="0"/>
                      <w:divBdr>
                        <w:top w:val="none" w:sz="0" w:space="0" w:color="auto"/>
                        <w:left w:val="none" w:sz="0" w:space="0" w:color="auto"/>
                        <w:bottom w:val="none" w:sz="0" w:space="0" w:color="auto"/>
                        <w:right w:val="none" w:sz="0" w:space="0" w:color="auto"/>
                      </w:divBdr>
                      <w:divsChild>
                        <w:div w:id="1519391643">
                          <w:marLeft w:val="0"/>
                          <w:marRight w:val="0"/>
                          <w:marTop w:val="0"/>
                          <w:marBottom w:val="0"/>
                          <w:divBdr>
                            <w:top w:val="single" w:sz="6" w:space="0" w:color="828282"/>
                            <w:left w:val="single" w:sz="6" w:space="0" w:color="828282"/>
                            <w:bottom w:val="single" w:sz="6" w:space="0" w:color="828282"/>
                            <w:right w:val="single" w:sz="6" w:space="0" w:color="828282"/>
                          </w:divBdr>
                          <w:divsChild>
                            <w:div w:id="1429305501">
                              <w:marLeft w:val="0"/>
                              <w:marRight w:val="0"/>
                              <w:marTop w:val="0"/>
                              <w:marBottom w:val="0"/>
                              <w:divBdr>
                                <w:top w:val="none" w:sz="0" w:space="0" w:color="auto"/>
                                <w:left w:val="none" w:sz="0" w:space="0" w:color="auto"/>
                                <w:bottom w:val="none" w:sz="0" w:space="0" w:color="auto"/>
                                <w:right w:val="none" w:sz="0" w:space="0" w:color="auto"/>
                              </w:divBdr>
                              <w:divsChild>
                                <w:div w:id="1411736845">
                                  <w:marLeft w:val="0"/>
                                  <w:marRight w:val="0"/>
                                  <w:marTop w:val="0"/>
                                  <w:marBottom w:val="0"/>
                                  <w:divBdr>
                                    <w:top w:val="none" w:sz="0" w:space="0" w:color="auto"/>
                                    <w:left w:val="none" w:sz="0" w:space="0" w:color="auto"/>
                                    <w:bottom w:val="none" w:sz="0" w:space="0" w:color="auto"/>
                                    <w:right w:val="none" w:sz="0" w:space="0" w:color="auto"/>
                                  </w:divBdr>
                                  <w:divsChild>
                                    <w:div w:id="269361826">
                                      <w:marLeft w:val="0"/>
                                      <w:marRight w:val="0"/>
                                      <w:marTop w:val="0"/>
                                      <w:marBottom w:val="0"/>
                                      <w:divBdr>
                                        <w:top w:val="none" w:sz="0" w:space="0" w:color="auto"/>
                                        <w:left w:val="none" w:sz="0" w:space="0" w:color="auto"/>
                                        <w:bottom w:val="none" w:sz="0" w:space="0" w:color="auto"/>
                                        <w:right w:val="none" w:sz="0" w:space="0" w:color="auto"/>
                                      </w:divBdr>
                                      <w:divsChild>
                                        <w:div w:id="1002314407">
                                          <w:marLeft w:val="0"/>
                                          <w:marRight w:val="0"/>
                                          <w:marTop w:val="0"/>
                                          <w:marBottom w:val="0"/>
                                          <w:divBdr>
                                            <w:top w:val="none" w:sz="0" w:space="0" w:color="auto"/>
                                            <w:left w:val="none" w:sz="0" w:space="0" w:color="auto"/>
                                            <w:bottom w:val="none" w:sz="0" w:space="0" w:color="auto"/>
                                            <w:right w:val="none" w:sz="0" w:space="0" w:color="auto"/>
                                          </w:divBdr>
                                          <w:divsChild>
                                            <w:div w:id="853810843">
                                              <w:marLeft w:val="0"/>
                                              <w:marRight w:val="0"/>
                                              <w:marTop w:val="0"/>
                                              <w:marBottom w:val="0"/>
                                              <w:divBdr>
                                                <w:top w:val="none" w:sz="0" w:space="0" w:color="auto"/>
                                                <w:left w:val="none" w:sz="0" w:space="0" w:color="auto"/>
                                                <w:bottom w:val="none" w:sz="0" w:space="0" w:color="auto"/>
                                                <w:right w:val="none" w:sz="0" w:space="0" w:color="auto"/>
                                              </w:divBdr>
                                              <w:divsChild>
                                                <w:div w:id="13151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2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dms_Reason xmlns="973F82A1-D468-4260-89D3-A49618D43933" xsi:nil="true"/>
    <pdms_SecurityClassification xmlns="973F82A1-D468-4260-89D3-A49618D43933" xsi:nil="true"/>
    <SecurityClassification xmlns="973F82A1-D468-4260-89D3-A49618D43933" xsi:nil="true"/>
    <pdms_AttachedBy xmlns="973F82A1-D468-4260-89D3-A49618D43933" xsi:nil="true"/>
    <pdms_DocumentType xmlns="973F82A1-D468-4260-89D3-A49618D4393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66C4DDC98B045D4C87158373E83E6A30" ma:contentTypeVersion="" ma:contentTypeDescription="PDMS Documentation Content Type" ma:contentTypeScope="" ma:versionID="86379a03c75d37fa992012a7e4b3ad55">
  <xsd:schema xmlns:xsd="http://www.w3.org/2001/XMLSchema" xmlns:xs="http://www.w3.org/2001/XMLSchema" xmlns:p="http://schemas.microsoft.com/office/2006/metadata/properties" xmlns:ns2="973F82A1-D468-4260-89D3-A49618D43933" targetNamespace="http://schemas.microsoft.com/office/2006/metadata/properties" ma:root="true" ma:fieldsID="8761982258489d9ccba8b3b6235c6e51" ns2:_="">
    <xsd:import namespace="973F82A1-D468-4260-89D3-A49618D43933"/>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F82A1-D468-4260-89D3-A49618D4393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E671-B659-4E09-952B-D15A91A0C55E}">
  <ds:schemaRefs>
    <ds:schemaRef ds:uri="http://schemas.microsoft.com/sharepoint/v3/contenttype/forms"/>
  </ds:schemaRefs>
</ds:datastoreItem>
</file>

<file path=customXml/itemProps2.xml><?xml version="1.0" encoding="utf-8"?>
<ds:datastoreItem xmlns:ds="http://schemas.openxmlformats.org/officeDocument/2006/customXml" ds:itemID="{C104C1AA-DB59-4587-9B1A-A9BE080E08B1}">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973F82A1-D468-4260-89D3-A49618D43933"/>
    <ds:schemaRef ds:uri="http://www.w3.org/XML/1998/namespace"/>
  </ds:schemaRefs>
</ds:datastoreItem>
</file>

<file path=customXml/itemProps3.xml><?xml version="1.0" encoding="utf-8"?>
<ds:datastoreItem xmlns:ds="http://schemas.openxmlformats.org/officeDocument/2006/customXml" ds:itemID="{1281134C-7244-4371-9CCC-2F9F2F499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F82A1-D468-4260-89D3-A49618D43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F81075-E40C-41B8-897E-A89FD817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5432</Words>
  <Characters>27474</Characters>
  <Application>Microsoft Office Word</Application>
  <DocSecurity>4</DocSecurity>
  <Lines>228</Lines>
  <Paragraphs>65</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DIAC</Company>
  <LinksUpToDate>false</LinksUpToDate>
  <CharactersWithSpaces>32841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Bambie NGUYEN-TRAN</dc:creator>
  <cp:lastModifiedBy>Nadine DEAKIN</cp:lastModifiedBy>
  <cp:revision>2</cp:revision>
  <cp:lastPrinted>2016-09-08T00:58:00Z</cp:lastPrinted>
  <dcterms:created xsi:type="dcterms:W3CDTF">2019-02-19T04:06:00Z</dcterms:created>
  <dcterms:modified xsi:type="dcterms:W3CDTF">2019-02-19T04:06:00Z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edData">
    <vt:lpwstr>ProtectedData</vt:lpwstr>
  </property>
  <property fmtid="{D5CDD505-2E9C-101B-9397-08002B2CF9AE}" pid="3" name="ContentTypeId">
    <vt:lpwstr>0x010100266966F133664895A6EE3632470D45F5010066C4DDC98B045D4C87158373E83E6A30</vt:lpwstr>
  </property>
</Properties>
</file>