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3783C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C109B5" wp14:editId="789E345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6F42" w14:textId="77777777" w:rsidR="00715914" w:rsidRPr="00E500D4" w:rsidRDefault="00715914" w:rsidP="00715914">
      <w:pPr>
        <w:rPr>
          <w:sz w:val="19"/>
        </w:rPr>
      </w:pPr>
    </w:p>
    <w:p w14:paraId="43813289" w14:textId="25308183" w:rsidR="00715914" w:rsidRPr="00E500D4" w:rsidRDefault="00FE227E" w:rsidP="00715914">
      <w:pPr>
        <w:pStyle w:val="ShortT"/>
      </w:pPr>
      <w:r w:rsidRPr="00FE227E">
        <w:t>Australian Securities and Investments Commission (Investigation into Grandfathered Conflicted Remuneration for Financial Advice) Direction 2019</w:t>
      </w:r>
    </w:p>
    <w:p w14:paraId="4E7C7967" w14:textId="51862518" w:rsidR="00D54A90" w:rsidRPr="00BC5754" w:rsidRDefault="00FE227E" w:rsidP="00D54A90">
      <w:pPr>
        <w:pStyle w:val="SignCoverPageStart"/>
        <w:spacing w:before="240"/>
        <w:rPr>
          <w:szCs w:val="22"/>
        </w:rPr>
      </w:pPr>
      <w:r w:rsidRPr="00FE227E">
        <w:rPr>
          <w:szCs w:val="22"/>
        </w:rPr>
        <w:t>I, Josh Frydenberg, Treasurer, give the following direction to the Australian Securities and Investments Commission.</w:t>
      </w:r>
    </w:p>
    <w:p w14:paraId="184A30C6" w14:textId="4A2D0F13" w:rsidR="00D54A90" w:rsidRPr="00BC5754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47534D">
        <w:rPr>
          <w:szCs w:val="22"/>
        </w:rPr>
        <w:t xml:space="preserve">21 February </w:t>
      </w:r>
      <w:bookmarkStart w:id="0" w:name="_GoBack"/>
      <w:bookmarkEnd w:id="0"/>
      <w:r w:rsidR="00FE227E">
        <w:rPr>
          <w:szCs w:val="22"/>
        </w:rPr>
        <w:t>2019</w:t>
      </w:r>
    </w:p>
    <w:p w14:paraId="67019E77" w14:textId="2B5CEB54" w:rsidR="00D54A90" w:rsidRPr="00BC5754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429221B" w14:textId="68EA4848" w:rsidR="00D54A90" w:rsidRPr="00BC5754" w:rsidRDefault="00FE227E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14:paraId="790E4EB4" w14:textId="10A536C2" w:rsidR="00D54A90" w:rsidRPr="00BC5754" w:rsidRDefault="00FE227E" w:rsidP="00D54A90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34EE5AFC" w14:textId="77777777" w:rsidR="00D54A90" w:rsidRPr="00BC5754" w:rsidRDefault="00D54A90" w:rsidP="00D54A90">
      <w:pPr>
        <w:rPr>
          <w:rStyle w:val="CharAmSchNo"/>
        </w:rPr>
      </w:pPr>
    </w:p>
    <w:p w14:paraId="3725384F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9EE0279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AE19248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AB5A215" w14:textId="77777777" w:rsidR="00715914" w:rsidRDefault="00715914" w:rsidP="00715914">
      <w:pPr>
        <w:sectPr w:rsidR="00715914" w:rsidSect="00FA1E52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17D5E0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4F46746" w14:textId="77777777" w:rsidR="001A4312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A4312">
        <w:rPr>
          <w:noProof/>
        </w:rPr>
        <w:t>Part 1—Preliminary</w:t>
      </w:r>
      <w:r w:rsidR="001A4312">
        <w:rPr>
          <w:noProof/>
        </w:rPr>
        <w:tab/>
      </w:r>
      <w:r w:rsidR="001A4312" w:rsidRPr="001A4312">
        <w:rPr>
          <w:b w:val="0"/>
          <w:noProof/>
          <w:sz w:val="18"/>
        </w:rPr>
        <w:fldChar w:fldCharType="begin"/>
      </w:r>
      <w:r w:rsidR="001A4312" w:rsidRPr="001A4312">
        <w:rPr>
          <w:b w:val="0"/>
          <w:noProof/>
          <w:sz w:val="18"/>
        </w:rPr>
        <w:instrText xml:space="preserve"> PAGEREF _Toc794872 \h </w:instrText>
      </w:r>
      <w:r w:rsidR="001A4312" w:rsidRPr="001A4312">
        <w:rPr>
          <w:b w:val="0"/>
          <w:noProof/>
          <w:sz w:val="18"/>
        </w:rPr>
      </w:r>
      <w:r w:rsidR="001A4312" w:rsidRPr="001A4312">
        <w:rPr>
          <w:b w:val="0"/>
          <w:noProof/>
          <w:sz w:val="18"/>
        </w:rPr>
        <w:fldChar w:fldCharType="separate"/>
      </w:r>
      <w:r w:rsidR="001A4312" w:rsidRPr="001A4312">
        <w:rPr>
          <w:b w:val="0"/>
          <w:noProof/>
          <w:sz w:val="18"/>
        </w:rPr>
        <w:t>1</w:t>
      </w:r>
      <w:r w:rsidR="001A4312" w:rsidRPr="001A4312">
        <w:rPr>
          <w:b w:val="0"/>
          <w:noProof/>
          <w:sz w:val="18"/>
        </w:rPr>
        <w:fldChar w:fldCharType="end"/>
      </w:r>
    </w:p>
    <w:p w14:paraId="2F2AAA4B" w14:textId="14C0DF8F" w:rsidR="001A4312" w:rsidRDefault="001A4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_Toc794873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D3CC20" w14:textId="77777777" w:rsidR="001A4312" w:rsidRDefault="001A4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_Toc794874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4AA909" w14:textId="77777777" w:rsidR="001A4312" w:rsidRDefault="001A4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_Toc794875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43AE10" w14:textId="77777777" w:rsidR="001A4312" w:rsidRDefault="001A4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_Toc794876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7975F3" w14:textId="77777777" w:rsidR="001A4312" w:rsidRDefault="001A431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2—Direction to undertake investigation</w:t>
      </w:r>
      <w:r>
        <w:rPr>
          <w:noProof/>
        </w:rPr>
        <w:tab/>
      </w:r>
      <w:r w:rsidRPr="001A4312">
        <w:rPr>
          <w:b w:val="0"/>
          <w:noProof/>
          <w:sz w:val="18"/>
        </w:rPr>
        <w:fldChar w:fldCharType="begin"/>
      </w:r>
      <w:r w:rsidRPr="001A4312">
        <w:rPr>
          <w:b w:val="0"/>
          <w:noProof/>
          <w:sz w:val="18"/>
        </w:rPr>
        <w:instrText xml:space="preserve"> PAGEREF _Toc794877 \h </w:instrText>
      </w:r>
      <w:r w:rsidRPr="001A4312">
        <w:rPr>
          <w:b w:val="0"/>
          <w:noProof/>
          <w:sz w:val="18"/>
        </w:rPr>
      </w:r>
      <w:r w:rsidRPr="001A4312">
        <w:rPr>
          <w:b w:val="0"/>
          <w:noProof/>
          <w:sz w:val="18"/>
        </w:rPr>
        <w:fldChar w:fldCharType="separate"/>
      </w:r>
      <w:r w:rsidRPr="001A4312">
        <w:rPr>
          <w:b w:val="0"/>
          <w:noProof/>
          <w:sz w:val="18"/>
        </w:rPr>
        <w:t>2</w:t>
      </w:r>
      <w:r w:rsidRPr="001A4312">
        <w:rPr>
          <w:b w:val="0"/>
          <w:noProof/>
          <w:sz w:val="18"/>
        </w:rPr>
        <w:fldChar w:fldCharType="end"/>
      </w:r>
    </w:p>
    <w:p w14:paraId="7EAED8D2" w14:textId="77777777" w:rsidR="001A4312" w:rsidRDefault="001A4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Direction to undertake investigation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_Toc794878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4CBD8D" w14:textId="77777777" w:rsidR="00AE1A82" w:rsidRDefault="00EC38CB" w:rsidP="00715914">
      <w:r>
        <w:fldChar w:fldCharType="end"/>
      </w:r>
    </w:p>
    <w:p w14:paraId="52109FF1" w14:textId="77777777" w:rsidR="00670EA1" w:rsidRDefault="00670EA1" w:rsidP="00715914">
      <w:pPr>
        <w:sectPr w:rsidR="00670EA1" w:rsidSect="0024301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D4B298" w14:textId="77777777" w:rsidR="00715914" w:rsidRDefault="00715914" w:rsidP="00715914">
      <w:pPr>
        <w:pStyle w:val="ActHead2"/>
      </w:pPr>
      <w:bookmarkStart w:id="1" w:name="_Toc794872"/>
      <w:r>
        <w:lastRenderedPageBreak/>
        <w:t>Part 1—Preliminary</w:t>
      </w:r>
      <w:bookmarkEnd w:id="1"/>
    </w:p>
    <w:p w14:paraId="14D46D74" w14:textId="77777777" w:rsidR="00715914" w:rsidRDefault="00715914" w:rsidP="00715914">
      <w:pPr>
        <w:pStyle w:val="Header"/>
      </w:pPr>
      <w:r>
        <w:t xml:space="preserve">  </w:t>
      </w:r>
    </w:p>
    <w:p w14:paraId="3477B4C3" w14:textId="77777777" w:rsidR="00715914" w:rsidRDefault="00715914" w:rsidP="00715914">
      <w:pPr>
        <w:pStyle w:val="ActHead5"/>
      </w:pPr>
      <w:bookmarkStart w:id="2" w:name="_Toc794873"/>
      <w:r w:rsidRPr="00C2746F">
        <w:rPr>
          <w:rStyle w:val="CharSectno"/>
        </w:rPr>
        <w:t>1</w:t>
      </w:r>
      <w:r>
        <w:t xml:space="preserve">  </w:t>
      </w:r>
      <w:r w:rsidR="00CE493D">
        <w:t>Name</w:t>
      </w:r>
      <w:bookmarkEnd w:id="2"/>
    </w:p>
    <w:p w14:paraId="6F5E6A77" w14:textId="2109234A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 </w:t>
      </w:r>
      <w:r w:rsidR="00FE227E" w:rsidRPr="00FE227E">
        <w:rPr>
          <w:i/>
          <w:noProof/>
        </w:rPr>
        <w:t>Australian Securities and Investments Commission (Investigation into Grandfathered Conflicted Remuneration for Financial Advice) Direction 2019</w:t>
      </w:r>
      <w:r w:rsidRPr="009A038B">
        <w:t>.</w:t>
      </w:r>
    </w:p>
    <w:p w14:paraId="142737F7" w14:textId="77777777" w:rsidR="00715914" w:rsidRDefault="00715914" w:rsidP="00715914">
      <w:pPr>
        <w:pStyle w:val="ActHead5"/>
      </w:pPr>
      <w:bookmarkStart w:id="3" w:name="_Toc794874"/>
      <w:r w:rsidRPr="009A038B">
        <w:rPr>
          <w:rStyle w:val="CharSectno"/>
        </w:rPr>
        <w:t>2</w:t>
      </w:r>
      <w:r w:rsidRPr="009A038B">
        <w:t xml:space="preserve">  Commencement</w:t>
      </w:r>
      <w:bookmarkEnd w:id="3"/>
    </w:p>
    <w:p w14:paraId="3F9AC563" w14:textId="5702ED6C" w:rsidR="00BA0C87" w:rsidRDefault="00BA0C87" w:rsidP="00593449">
      <w:pPr>
        <w:pStyle w:val="subsection"/>
      </w:pPr>
      <w:r>
        <w:tab/>
        <w:t>(1)</w:t>
      </w:r>
      <w:r>
        <w:tab/>
        <w:t xml:space="preserve">Each provision of </w:t>
      </w:r>
      <w:r w:rsidR="00FE227E">
        <w:t xml:space="preserve">this </w:t>
      </w:r>
      <w:r w:rsidR="00D54A90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F934BD2" w14:textId="77777777" w:rsidR="00BA0C87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14:paraId="196B528C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D07D7F" w14:textId="77777777" w:rsidR="00BA0C87" w:rsidRPr="00416235" w:rsidRDefault="00BA0C87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BA0C87" w:rsidRPr="00416235" w14:paraId="75CC1311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4A7D6E" w14:textId="77777777" w:rsidR="00BA0C87" w:rsidRPr="00416235" w:rsidRDefault="00BA0C87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BAC41E" w14:textId="77777777" w:rsidR="00BA0C87" w:rsidRPr="00416235" w:rsidRDefault="00BA0C87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02A6F6" w14:textId="77777777" w:rsidR="00BA0C87" w:rsidRPr="00416235" w:rsidRDefault="00BA0C87" w:rsidP="00612709">
            <w:pPr>
              <w:pStyle w:val="TableHeading"/>
            </w:pPr>
            <w:r w:rsidRPr="00416235">
              <w:t>Column 3</w:t>
            </w:r>
          </w:p>
        </w:tc>
      </w:tr>
      <w:tr w:rsidR="00BA0C87" w14:paraId="539EEF1F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045C00" w14:textId="77777777" w:rsidR="00BA0C87" w:rsidRPr="00416235" w:rsidRDefault="00BA0C87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4A4A57" w14:textId="77777777" w:rsidR="00BA0C87" w:rsidRPr="00416235" w:rsidRDefault="00BA0C87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129305" w14:textId="77777777" w:rsidR="00BA0C87" w:rsidRPr="00416235" w:rsidRDefault="00BA0C87" w:rsidP="00612709">
            <w:pPr>
              <w:pStyle w:val="TableHeading"/>
            </w:pPr>
            <w:r w:rsidRPr="00416235">
              <w:t>Date/Details</w:t>
            </w:r>
          </w:p>
        </w:tc>
      </w:tr>
      <w:tr w:rsidR="00BA0C87" w14:paraId="559ADE22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4D0224" w14:textId="61190EFC" w:rsidR="00BA0C87" w:rsidRDefault="00FE227E">
            <w:pPr>
              <w:pStyle w:val="Tabletext"/>
            </w:pPr>
            <w:r>
              <w:t>1</w:t>
            </w:r>
            <w:r w:rsidR="00BA0C87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E57F7B7" w14:textId="027FA5A0" w:rsidR="00BA0C87" w:rsidRDefault="00FE227E">
            <w:pPr>
              <w:pStyle w:val="Tabletext"/>
            </w:pPr>
            <w:r>
              <w:t>1 July 2019.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FC7231D" w14:textId="77777777" w:rsidR="00BA0C87" w:rsidRDefault="00BA0C87">
            <w:pPr>
              <w:pStyle w:val="Tabletext"/>
            </w:pPr>
          </w:p>
        </w:tc>
      </w:tr>
    </w:tbl>
    <w:p w14:paraId="3148ACF2" w14:textId="77777777" w:rsidR="00BA0C87" w:rsidRPr="001E6DD6" w:rsidRDefault="00BA0C87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D54A90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D54A90"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4C1F9DA6" w14:textId="77777777" w:rsidR="00BA0C87" w:rsidRPr="00FB7638" w:rsidRDefault="00BA0C87" w:rsidP="00D455E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D54A90">
        <w:t>instrument</w:t>
      </w:r>
      <w:r w:rsidRPr="005F477A">
        <w:t xml:space="preserve">. Information may be inserted in this column, or information in it may be edited, in any published version of this </w:t>
      </w:r>
      <w:r w:rsidR="00D54A90">
        <w:t>instrument</w:t>
      </w:r>
      <w:r w:rsidRPr="005F477A">
        <w:t>.</w:t>
      </w:r>
    </w:p>
    <w:p w14:paraId="73EFCC0F" w14:textId="77777777" w:rsidR="007500C8" w:rsidRDefault="007500C8" w:rsidP="007500C8">
      <w:pPr>
        <w:pStyle w:val="ActHead5"/>
      </w:pPr>
      <w:bookmarkStart w:id="4" w:name="_Toc794875"/>
      <w:r w:rsidRPr="00C2746F">
        <w:rPr>
          <w:rStyle w:val="CharSectno"/>
        </w:rPr>
        <w:t>3</w:t>
      </w:r>
      <w:r>
        <w:t xml:space="preserve">  Authority</w:t>
      </w:r>
      <w:bookmarkEnd w:id="4"/>
    </w:p>
    <w:p w14:paraId="517444B9" w14:textId="006A5442" w:rsidR="00157B8B" w:rsidRDefault="007500C8" w:rsidP="007E667A">
      <w:pPr>
        <w:pStyle w:val="subsection"/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 the</w:t>
      </w:r>
      <w:r w:rsidRPr="00FD30C3">
        <w:t xml:space="preserve"> </w:t>
      </w:r>
      <w:r w:rsidR="00FE227E" w:rsidRPr="00FE227E">
        <w:rPr>
          <w:i/>
        </w:rPr>
        <w:t>Australian Securities and Investments Commission Act 2001</w:t>
      </w:r>
      <w:r w:rsidR="00F4350D" w:rsidRPr="003C6231">
        <w:t>.</w:t>
      </w:r>
    </w:p>
    <w:p w14:paraId="747D4EFC" w14:textId="5F4D49D9" w:rsidR="00AE1A82" w:rsidRDefault="00AE1A82" w:rsidP="00AE1A82">
      <w:pPr>
        <w:pStyle w:val="ActHead5"/>
      </w:pPr>
      <w:bookmarkStart w:id="5" w:name="_Toc794876"/>
      <w:r w:rsidRPr="00AE1A82">
        <w:rPr>
          <w:rStyle w:val="CharSectno"/>
        </w:rPr>
        <w:t>4</w:t>
      </w:r>
      <w:r>
        <w:t xml:space="preserve">  </w:t>
      </w:r>
      <w:r w:rsidR="00FE227E">
        <w:t>Definitions</w:t>
      </w:r>
      <w:bookmarkEnd w:id="5"/>
    </w:p>
    <w:p w14:paraId="064C1B54" w14:textId="184AEDA6" w:rsidR="00AE1A82" w:rsidRPr="00FE227E" w:rsidRDefault="00AE1A82" w:rsidP="00AE1A82">
      <w:pPr>
        <w:pStyle w:val="subsection"/>
      </w:pPr>
      <w:r>
        <w:tab/>
      </w:r>
      <w:r>
        <w:tab/>
      </w:r>
      <w:r w:rsidR="00FE227E" w:rsidRPr="00FE227E">
        <w:t>In this instrument:</w:t>
      </w:r>
    </w:p>
    <w:p w14:paraId="3B9D3018" w14:textId="0A5F14B5" w:rsidR="00FE227E" w:rsidRDefault="00FE227E" w:rsidP="00FE227E">
      <w:pPr>
        <w:pStyle w:val="Definition"/>
      </w:pPr>
      <w:r w:rsidRPr="00FE227E">
        <w:rPr>
          <w:b/>
          <w:i/>
        </w:rPr>
        <w:t>Act</w:t>
      </w:r>
      <w:r>
        <w:t xml:space="preserve"> means the </w:t>
      </w:r>
      <w:r>
        <w:rPr>
          <w:i/>
        </w:rPr>
        <w:t>Australian Securities and Investments Commission Act 2001</w:t>
      </w:r>
      <w:r w:rsidRPr="00FE227E">
        <w:t>.</w:t>
      </w:r>
    </w:p>
    <w:p w14:paraId="002AF0A8" w14:textId="4086C427" w:rsidR="00FE227E" w:rsidRDefault="00FE227E" w:rsidP="00FE227E">
      <w:pPr>
        <w:pStyle w:val="Definition"/>
      </w:pPr>
      <w:r w:rsidRPr="00FE227E">
        <w:rPr>
          <w:b/>
          <w:i/>
        </w:rPr>
        <w:t>Grandfathered conflicted remuneration</w:t>
      </w:r>
      <w:r w:rsidRPr="00FE227E">
        <w:t xml:space="preserve"> means any benefit, the giving or acceptance of which would be prohibited by Subdivision C of Division 4 of Part</w:t>
      </w:r>
      <w:r>
        <w:t> </w:t>
      </w:r>
      <w:r w:rsidRPr="00FE227E">
        <w:t xml:space="preserve">7.7A of the </w:t>
      </w:r>
      <w:r w:rsidRPr="00FE227E">
        <w:rPr>
          <w:i/>
        </w:rPr>
        <w:t>Corporations Act 2001</w:t>
      </w:r>
      <w:r w:rsidRPr="00FE227E">
        <w:t xml:space="preserve"> but for the operation of section 1528 of that Act.</w:t>
      </w:r>
    </w:p>
    <w:p w14:paraId="39D74F92" w14:textId="77777777" w:rsidR="00FE227E" w:rsidRPr="006255D8" w:rsidRDefault="00FE227E" w:rsidP="00FE227E">
      <w:pPr>
        <w:pStyle w:val="ActHead2"/>
        <w:pageBreakBefore/>
        <w:outlineLvl w:val="9"/>
      </w:pPr>
      <w:bookmarkStart w:id="6" w:name="_Toc531086058"/>
      <w:bookmarkStart w:id="7" w:name="_Toc794877"/>
      <w:r w:rsidRPr="006255D8">
        <w:rPr>
          <w:rStyle w:val="CharPartNo"/>
        </w:rPr>
        <w:lastRenderedPageBreak/>
        <w:t>Part 2</w:t>
      </w:r>
      <w:r w:rsidRPr="006255D8">
        <w:t>—</w:t>
      </w:r>
      <w:r w:rsidRPr="006255D8">
        <w:rPr>
          <w:rStyle w:val="CharPartText"/>
        </w:rPr>
        <w:t xml:space="preserve">Direction to </w:t>
      </w:r>
      <w:bookmarkEnd w:id="6"/>
      <w:r>
        <w:rPr>
          <w:rStyle w:val="CharPartText"/>
        </w:rPr>
        <w:t>undertake investigation</w:t>
      </w:r>
      <w:bookmarkEnd w:id="7"/>
    </w:p>
    <w:p w14:paraId="14145AED" w14:textId="77777777" w:rsidR="00FE227E" w:rsidRPr="006255D8" w:rsidRDefault="00FE227E" w:rsidP="00FE227E">
      <w:pPr>
        <w:pStyle w:val="Header"/>
      </w:pPr>
      <w:r w:rsidRPr="006255D8">
        <w:rPr>
          <w:rStyle w:val="CharDivNo"/>
        </w:rPr>
        <w:t xml:space="preserve"> </w:t>
      </w:r>
      <w:r w:rsidRPr="006255D8">
        <w:rPr>
          <w:rStyle w:val="CharDivText"/>
        </w:rPr>
        <w:t xml:space="preserve"> </w:t>
      </w:r>
    </w:p>
    <w:p w14:paraId="6BF0E321" w14:textId="77777777" w:rsidR="00FE227E" w:rsidRPr="006255D8" w:rsidRDefault="00FE227E" w:rsidP="00FE227E">
      <w:pPr>
        <w:pStyle w:val="ActHead5"/>
        <w:tabs>
          <w:tab w:val="left" w:pos="5218"/>
        </w:tabs>
      </w:pPr>
      <w:bookmarkStart w:id="8" w:name="_Toc531086059"/>
      <w:bookmarkStart w:id="9" w:name="_Toc794878"/>
      <w:r w:rsidRPr="006255D8">
        <w:rPr>
          <w:rStyle w:val="CharSectno"/>
        </w:rPr>
        <w:t>5</w:t>
      </w:r>
      <w:r w:rsidRPr="006255D8">
        <w:t xml:space="preserve">  </w:t>
      </w:r>
      <w:bookmarkEnd w:id="8"/>
      <w:r>
        <w:t>Direction to undertake investigation</w:t>
      </w:r>
      <w:bookmarkEnd w:id="9"/>
      <w:r>
        <w:tab/>
      </w:r>
    </w:p>
    <w:p w14:paraId="13464933" w14:textId="77777777" w:rsidR="00FE227E" w:rsidRPr="006255D8" w:rsidRDefault="00FE227E" w:rsidP="00FE227E">
      <w:pPr>
        <w:pStyle w:val="subsection"/>
      </w:pPr>
      <w:r w:rsidRPr="006255D8">
        <w:tab/>
      </w:r>
      <w:r w:rsidRPr="006255D8">
        <w:tab/>
        <w:t xml:space="preserve">Under section </w:t>
      </w:r>
      <w:r>
        <w:t>14</w:t>
      </w:r>
      <w:r w:rsidRPr="006255D8">
        <w:t xml:space="preserve"> of the Act, </w:t>
      </w:r>
      <w:r>
        <w:t xml:space="preserve">the </w:t>
      </w:r>
      <w:r w:rsidRPr="006255D8">
        <w:t xml:space="preserve">Australian </w:t>
      </w:r>
      <w:r>
        <w:t xml:space="preserve">Securities and Investments Commission </w:t>
      </w:r>
      <w:r w:rsidRPr="006255D8">
        <w:t>is directed to</w:t>
      </w:r>
      <w:r>
        <w:t xml:space="preserve"> investigate the extent to which persons who are giving or accepting grandfathered conflicted remuneration, as at the commencement of this instrument, are</w:t>
      </w:r>
      <w:r w:rsidRPr="006255D8">
        <w:t>:</w:t>
      </w:r>
    </w:p>
    <w:p w14:paraId="0A72E5B3" w14:textId="77777777" w:rsidR="00FE227E" w:rsidRPr="006255D8" w:rsidRDefault="00FE227E" w:rsidP="00FE227E">
      <w:pPr>
        <w:pStyle w:val="paragraph"/>
      </w:pPr>
      <w:r w:rsidRPr="006255D8">
        <w:tab/>
        <w:t>(a)</w:t>
      </w:r>
      <w:r w:rsidRPr="006255D8">
        <w:tab/>
      </w:r>
      <w:r w:rsidRPr="00FE5D2E">
        <w:t>chang</w:t>
      </w:r>
      <w:r>
        <w:t>ing</w:t>
      </w:r>
      <w:r w:rsidRPr="00FE5D2E">
        <w:t xml:space="preserve"> their arrangements to end the payment of </w:t>
      </w:r>
      <w:r>
        <w:t>g</w:t>
      </w:r>
      <w:r w:rsidRPr="00FE5D2E">
        <w:t xml:space="preserve">randfathered </w:t>
      </w:r>
      <w:r>
        <w:t>c</w:t>
      </w:r>
      <w:r w:rsidRPr="00FE5D2E">
        <w:t xml:space="preserve">onflicted </w:t>
      </w:r>
      <w:r>
        <w:t>r</w:t>
      </w:r>
      <w:r w:rsidRPr="00FE5D2E">
        <w:t>emuneration prior to 1 January 2021</w:t>
      </w:r>
      <w:r w:rsidRPr="006255D8">
        <w:t>; and</w:t>
      </w:r>
    </w:p>
    <w:p w14:paraId="74E2B208" w14:textId="77777777" w:rsidR="00FE227E" w:rsidRPr="006255D8" w:rsidRDefault="00FE227E" w:rsidP="00FE227E">
      <w:pPr>
        <w:pStyle w:val="paragraph"/>
      </w:pPr>
      <w:r w:rsidRPr="006255D8">
        <w:tab/>
        <w:t>(b)</w:t>
      </w:r>
      <w:r w:rsidRPr="006255D8">
        <w:tab/>
      </w:r>
      <w:r>
        <w:t>passing the benefit of ending the payment of grandfathered conflicted remuneration on to clients, whether through direct rebates or otherwise</w:t>
      </w:r>
      <w:r w:rsidRPr="006255D8">
        <w:t>.</w:t>
      </w:r>
    </w:p>
    <w:sectPr w:rsidR="00FE227E" w:rsidRPr="006255D8" w:rsidSect="002430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609BF" w14:textId="77777777" w:rsidR="00136CFC" w:rsidRDefault="00136CFC" w:rsidP="00715914">
      <w:pPr>
        <w:spacing w:line="240" w:lineRule="auto"/>
      </w:pPr>
      <w:r>
        <w:separator/>
      </w:r>
    </w:p>
  </w:endnote>
  <w:endnote w:type="continuationSeparator" w:id="0">
    <w:p w14:paraId="553EF051" w14:textId="77777777" w:rsidR="00136CFC" w:rsidRDefault="00136C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B68A" w14:textId="5AC87681" w:rsidR="00715914" w:rsidRDefault="00715914" w:rsidP="007500C8">
    <w:pPr>
      <w:pStyle w:val="Footer"/>
    </w:pPr>
  </w:p>
  <w:p w14:paraId="2DF33A7E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E12D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6320" w14:textId="4E1C3E41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81BA7EF" w14:textId="77777777" w:rsidTr="001A43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5F870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C37E4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A4312">
            <w:rPr>
              <w:i/>
              <w:noProof/>
              <w:sz w:val="18"/>
            </w:rPr>
            <w:t>Australian Securities and Investments Commission (Investigation into Grandfathered Conflicted Remuneration for Financial Advice)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88F49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FEE53B1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6D915" w14:textId="15BDD2DF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B5C041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82F2D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0A9FCE3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Australian Securities and Investments Commission (Investigation into Grandfathered Conflicted Remuneration for Financial Advice)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77CD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674685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91F6" w14:textId="465DAEAF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48D4ECE" w14:textId="77777777" w:rsidTr="001A43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08C3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8011F1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Australian Securities and Investments Commission (Investigation into Grandfathered Conflicted Remuneration for Financial Advice)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3D1CF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F2FF6CF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A86B7" w14:textId="63EE0B15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0910020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1F263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0A2968" w14:textId="77777777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Australian Securities and Investments Commission (Investigation into Grandfathered Conflicted Remuneration for Financial Advice)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E3466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534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F88567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D96D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3A97439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504C0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82BDC2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431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B67AF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EFAAF0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A509B" w14:textId="77777777" w:rsidR="00136CFC" w:rsidRDefault="00136CFC" w:rsidP="00715914">
      <w:pPr>
        <w:spacing w:line="240" w:lineRule="auto"/>
      </w:pPr>
      <w:r>
        <w:separator/>
      </w:r>
    </w:p>
  </w:footnote>
  <w:footnote w:type="continuationSeparator" w:id="0">
    <w:p w14:paraId="459F28A9" w14:textId="77777777" w:rsidR="00136CFC" w:rsidRDefault="00136C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64B0" w14:textId="799B969B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EAF54" w14:textId="08E6D03D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BD5D9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23E58" w14:textId="163C034C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E0BF" w14:textId="1301E06E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3005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278C" w14:textId="777A4A5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D7ED30" w14:textId="7777777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7534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7534D">
      <w:rPr>
        <w:noProof/>
        <w:sz w:val="20"/>
      </w:rPr>
      <w:t>Direction to undertake investigation</w:t>
    </w:r>
    <w:r>
      <w:rPr>
        <w:sz w:val="20"/>
      </w:rPr>
      <w:fldChar w:fldCharType="end"/>
    </w:r>
  </w:p>
  <w:p w14:paraId="14B31050" w14:textId="7777777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4857BF8" w14:textId="77777777" w:rsidR="00715914" w:rsidRPr="007A1328" w:rsidRDefault="00715914" w:rsidP="00715914">
    <w:pPr>
      <w:rPr>
        <w:b/>
        <w:sz w:val="24"/>
      </w:rPr>
    </w:pPr>
  </w:p>
  <w:p w14:paraId="7FF1A7B1" w14:textId="7777777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A431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7534D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371ED" w14:textId="4AF14A7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F673ED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ECA3B57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F535631" w14:textId="77777777" w:rsidR="00715914" w:rsidRPr="007A1328" w:rsidRDefault="00715914" w:rsidP="00715914">
    <w:pPr>
      <w:jc w:val="right"/>
      <w:rPr>
        <w:b/>
        <w:sz w:val="24"/>
      </w:rPr>
    </w:pPr>
  </w:p>
  <w:p w14:paraId="5B1E6A9E" w14:textId="77777777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A431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7534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DE6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C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36CFC"/>
    <w:rsid w:val="00142B62"/>
    <w:rsid w:val="0014539C"/>
    <w:rsid w:val="00157B8B"/>
    <w:rsid w:val="00166C2F"/>
    <w:rsid w:val="001809D7"/>
    <w:rsid w:val="001939E1"/>
    <w:rsid w:val="00194C3E"/>
    <w:rsid w:val="00195382"/>
    <w:rsid w:val="001A431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534D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1A8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C38CB"/>
    <w:rsid w:val="00ED2BB6"/>
    <w:rsid w:val="00ED34E1"/>
    <w:rsid w:val="00ED3B8D"/>
    <w:rsid w:val="00ED659C"/>
    <w:rsid w:val="00EE1A4E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1AFF"/>
    <w:rsid w:val="00F73BD6"/>
    <w:rsid w:val="00F83989"/>
    <w:rsid w:val="00F85099"/>
    <w:rsid w:val="00F9379C"/>
    <w:rsid w:val="00F9632C"/>
    <w:rsid w:val="00FA1E52"/>
    <w:rsid w:val="00FD30C3"/>
    <w:rsid w:val="00FE227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65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2019RG-111-11009</_dlc_DocId>
    <TaxCatchAll xmlns="0f563589-9cf9-4143-b1eb-fb0534803d38">
      <Value>11</Value>
    </TaxCatchAll>
    <_dlc_DocIdUrl xmlns="0f563589-9cf9-4143-b1eb-fb0534803d38">
      <Url>http://tweb/sites/rg/ldp/lmu/_layouts/15/DocIdRedir.aspx?ID=2019RG-111-11009</Url>
      <Description>2019RG-111-11009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003" ma:contentTypeDescription=" " ma:contentTypeScope="" ma:versionID="571f89714f5f76fa1419a685975bb32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http://schemas.microsoft.com/sharepoint/v4"/>
    <ds:schemaRef ds:uri="9f7bc583-7cbe-45b9-a2bd-8bbb6543b37e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B5254A-E872-474F-B8CB-6C2D88B9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8F1452-6CFE-4CAA-8A5F-98C656F1FA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62B40C-7C67-4F4F-86CB-D04EF6E5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18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Edwards, Sarah</cp:lastModifiedBy>
  <cp:revision>5</cp:revision>
  <cp:lastPrinted>2017-04-26T00:22:00Z</cp:lastPrinted>
  <dcterms:created xsi:type="dcterms:W3CDTF">2019-02-11T05:21:00Z</dcterms:created>
  <dcterms:modified xsi:type="dcterms:W3CDTF">2019-02-24T22:04:00Z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5c76e516-134d-4b35-bb5c-70c36b0e324d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ActiveItemUniqueId">
    <vt:lpwstr>{5c76e516-134d-4b35-bb5c-70c36b0e324d}</vt:lpwstr>
  </property>
  <property fmtid="{D5CDD505-2E9C-101B-9397-08002B2CF9AE}" pid="22" name="RecordPoint_RecordNumberSubmitted">
    <vt:lpwstr>R0002008269</vt:lpwstr>
  </property>
  <property fmtid="{D5CDD505-2E9C-101B-9397-08002B2CF9AE}" pid="23" name="RecordPoint_SubmissionCompleted">
    <vt:lpwstr>2019-02-25T08:51:19.3528913+11:00</vt:lpwstr>
  </property>
  <property fmtid="{D5CDD505-2E9C-101B-9397-08002B2CF9AE}" pid="24" name="_AdHocReviewCycleID">
    <vt:i4>-1121198909</vt:i4>
  </property>
  <property fmtid="{D5CDD505-2E9C-101B-9397-08002B2CF9AE}" pid="25" name="_NewReviewCycle">
    <vt:lpwstr/>
  </property>
  <property fmtid="{D5CDD505-2E9C-101B-9397-08002B2CF9AE}" pid="26" name="_EmailSubject">
    <vt:lpwstr>Urgent - MS - Ending Grandfathering of Conflicted Remuneration [DLM=For-Official-Use-Only]</vt:lpwstr>
  </property>
  <property fmtid="{D5CDD505-2E9C-101B-9397-08002B2CF9AE}" pid="27" name="_AuthorEmail">
    <vt:lpwstr>Chris.Leggett@TREASURY.GOV.AU</vt:lpwstr>
  </property>
  <property fmtid="{D5CDD505-2E9C-101B-9397-08002B2CF9AE}" pid="28" name="_AuthorEmailDisplayName">
    <vt:lpwstr>Leggett, Chris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_ReviewingToolsShownOnce">
    <vt:lpwstr/>
  </property>
</Properties>
</file>