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0A" w:rsidRPr="001F4A54" w:rsidRDefault="00AA4015" w:rsidP="001F4A54">
      <w:pPr>
        <w:spacing w:before="81"/>
        <w:jc w:val="center"/>
        <w:rPr>
          <w:b/>
          <w:sz w:val="24"/>
          <w:szCs w:val="24"/>
        </w:rPr>
      </w:pPr>
      <w:r w:rsidRPr="001F4A54">
        <w:rPr>
          <w:b/>
          <w:color w:val="242424"/>
          <w:w w:val="105"/>
          <w:sz w:val="24"/>
          <w:szCs w:val="24"/>
        </w:rPr>
        <w:t>EXPLANATORY STATEMENT</w:t>
      </w:r>
    </w:p>
    <w:p w:rsidR="005C220A" w:rsidRDefault="00AA4015" w:rsidP="001F4A54">
      <w:pPr>
        <w:spacing w:before="222"/>
        <w:jc w:val="center"/>
        <w:rPr>
          <w:i/>
          <w:sz w:val="23"/>
        </w:rPr>
      </w:pPr>
      <w:r>
        <w:rPr>
          <w:i/>
          <w:color w:val="242424"/>
          <w:w w:val="105"/>
          <w:sz w:val="23"/>
        </w:rPr>
        <w:t>Private Health Insurance Act 2007</w:t>
      </w:r>
    </w:p>
    <w:p w:rsidR="005C220A" w:rsidRDefault="005C220A">
      <w:pPr>
        <w:pStyle w:val="BodyText"/>
        <w:spacing w:before="8"/>
        <w:rPr>
          <w:i/>
          <w:sz w:val="21"/>
        </w:rPr>
      </w:pPr>
    </w:p>
    <w:p w:rsidR="005C220A" w:rsidRDefault="00AA4015" w:rsidP="001F4A54">
      <w:pPr>
        <w:jc w:val="center"/>
        <w:rPr>
          <w:i/>
          <w:sz w:val="23"/>
        </w:rPr>
      </w:pPr>
      <w:r>
        <w:rPr>
          <w:i/>
          <w:color w:val="242424"/>
          <w:w w:val="105"/>
          <w:sz w:val="23"/>
        </w:rPr>
        <w:t xml:space="preserve">Private Health Insurance (Prostheses) Amendment Rules (No. </w:t>
      </w:r>
      <w:r w:rsidR="00F83327">
        <w:rPr>
          <w:i/>
          <w:color w:val="242424"/>
          <w:w w:val="105"/>
          <w:sz w:val="23"/>
        </w:rPr>
        <w:t>3</w:t>
      </w:r>
      <w:r>
        <w:rPr>
          <w:i/>
          <w:color w:val="242424"/>
          <w:w w:val="105"/>
          <w:sz w:val="23"/>
        </w:rPr>
        <w:t>) 2019</w:t>
      </w:r>
    </w:p>
    <w:p w:rsidR="005C220A" w:rsidRDefault="005C220A">
      <w:pPr>
        <w:pStyle w:val="BodyText"/>
        <w:spacing w:before="4"/>
        <w:rPr>
          <w:i/>
          <w:sz w:val="21"/>
        </w:rPr>
      </w:pPr>
    </w:p>
    <w:p w:rsidR="005C220A" w:rsidRDefault="00AA4015" w:rsidP="001F4A54">
      <w:pPr>
        <w:pStyle w:val="Heading1"/>
        <w:spacing w:line="242" w:lineRule="auto"/>
        <w:ind w:left="160" w:right="117" w:firstLine="6"/>
        <w:jc w:val="both"/>
      </w:pPr>
      <w:r>
        <w:rPr>
          <w:color w:val="242424"/>
        </w:rPr>
        <w:t xml:space="preserve">Section 333-20 of the </w:t>
      </w:r>
      <w:r>
        <w:rPr>
          <w:i/>
          <w:color w:val="242424"/>
          <w:sz w:val="23"/>
        </w:rPr>
        <w:t xml:space="preserve">Private Health Insurance Act 2007 </w:t>
      </w:r>
      <w:r>
        <w:rPr>
          <w:color w:val="242424"/>
        </w:rPr>
        <w:t>(the Act) provides that the Minister may make Private Health Insurance (Prostheses) Rules, providing for matters required or permitted by Part 3-3 of the Act, or necessary or convenient in order to carry out or give effect to Part 3-3 of the Act.</w:t>
      </w:r>
    </w:p>
    <w:p w:rsidR="005C220A" w:rsidRDefault="005C220A" w:rsidP="001F4A54">
      <w:pPr>
        <w:pStyle w:val="BodyText"/>
        <w:spacing w:before="11"/>
        <w:jc w:val="both"/>
        <w:rPr>
          <w:sz w:val="22"/>
        </w:rPr>
      </w:pPr>
    </w:p>
    <w:p w:rsidR="005C220A" w:rsidRDefault="00AA4015" w:rsidP="001F4A54">
      <w:pPr>
        <w:ind w:left="155" w:right="192" w:firstLine="6"/>
        <w:jc w:val="both"/>
        <w:rPr>
          <w:sz w:val="24"/>
        </w:rPr>
      </w:pPr>
      <w:r>
        <w:rPr>
          <w:color w:val="242424"/>
          <w:sz w:val="24"/>
        </w:rPr>
        <w:t xml:space="preserve">In addition to the power to make this instrument under section 333-20 of the Act, subsection 33(3) of the </w:t>
      </w:r>
      <w:r w:rsidRPr="001F4A54">
        <w:rPr>
          <w:i/>
          <w:color w:val="242424"/>
          <w:sz w:val="24"/>
          <w:szCs w:val="24"/>
        </w:rPr>
        <w:t>Acts Interpretation Act 1901</w:t>
      </w:r>
      <w:r>
        <w:rPr>
          <w:i/>
          <w:color w:val="242424"/>
          <w:sz w:val="23"/>
        </w:rPr>
        <w:t xml:space="preserve"> </w:t>
      </w:r>
      <w:r>
        <w:rPr>
          <w:color w:val="242424"/>
          <w:sz w:val="24"/>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5C220A" w:rsidRDefault="005C220A" w:rsidP="001F4A54">
      <w:pPr>
        <w:pStyle w:val="BodyText"/>
        <w:spacing w:before="2"/>
        <w:jc w:val="both"/>
        <w:rPr>
          <w:sz w:val="24"/>
        </w:rPr>
      </w:pPr>
    </w:p>
    <w:p w:rsidR="005C220A" w:rsidRDefault="00AA4015" w:rsidP="001F4A54">
      <w:pPr>
        <w:ind w:left="149" w:right="132" w:firstLine="1"/>
        <w:jc w:val="both"/>
        <w:rPr>
          <w:sz w:val="24"/>
        </w:rPr>
      </w:pPr>
      <w:r>
        <w:rPr>
          <w:color w:val="242424"/>
          <w:sz w:val="24"/>
        </w:rPr>
        <w:t xml:space="preserve">The table in subsection 72-1(2) of Part 3-3 of the Act provides for benefit requirements that a complying health insurance policy that covers hospital treatment must meet. Under item 4 of that table there must be a benefit for the provision of </w:t>
      </w:r>
      <w:proofErr w:type="gramStart"/>
      <w:r>
        <w:rPr>
          <w:color w:val="242424"/>
          <w:sz w:val="24"/>
        </w:rPr>
        <w:t>a prosthesis</w:t>
      </w:r>
      <w:proofErr w:type="gramEnd"/>
      <w:r>
        <w:rPr>
          <w:color w:val="242424"/>
          <w:sz w:val="24"/>
        </w:rPr>
        <w:t>, of a kind listed in Private Health Insurance (Prostheses) Rules (i.e. a listed prosthesis), in specified circumstances and under any specified conditions. The specified circumstances are that the listed prosthesis</w:t>
      </w:r>
      <w:r w:rsidR="004D1BAD">
        <w:rPr>
          <w:color w:val="242424"/>
          <w:sz w:val="24"/>
        </w:rPr>
        <w:t xml:space="preserve"> </w:t>
      </w:r>
      <w:r>
        <w:rPr>
          <w:color w:val="242424"/>
          <w:sz w:val="24"/>
        </w:rPr>
        <w:t>is provided in circumstances in which a medicare benefit is payable or in other circumstances which may be set out in Private Health Insurance (Prostheses) Rules. The specified conditions are any that may be set out in Private Health Insurance (Prostheses)</w:t>
      </w:r>
      <w:r>
        <w:rPr>
          <w:color w:val="242424"/>
          <w:spacing w:val="15"/>
          <w:sz w:val="24"/>
        </w:rPr>
        <w:t xml:space="preserve"> </w:t>
      </w:r>
      <w:r>
        <w:rPr>
          <w:color w:val="242424"/>
          <w:sz w:val="24"/>
        </w:rPr>
        <w:t>Rules.</w:t>
      </w:r>
    </w:p>
    <w:p w:rsidR="005C220A" w:rsidRDefault="005C220A" w:rsidP="001F4A54">
      <w:pPr>
        <w:pStyle w:val="BodyText"/>
        <w:spacing w:before="6"/>
        <w:jc w:val="both"/>
        <w:rPr>
          <w:sz w:val="20"/>
        </w:rPr>
      </w:pPr>
    </w:p>
    <w:p w:rsidR="005C220A" w:rsidRDefault="00AA4015" w:rsidP="001F4A54">
      <w:pPr>
        <w:spacing w:line="230" w:lineRule="auto"/>
        <w:ind w:left="145" w:right="310" w:hanging="1"/>
        <w:jc w:val="both"/>
        <w:rPr>
          <w:sz w:val="24"/>
        </w:rPr>
      </w:pPr>
      <w:r>
        <w:rPr>
          <w:color w:val="242424"/>
          <w:sz w:val="29"/>
        </w:rPr>
        <w:t xml:space="preserve">If </w:t>
      </w:r>
      <w:r>
        <w:rPr>
          <w:color w:val="242424"/>
          <w:sz w:val="24"/>
        </w:rPr>
        <w:t>the complying health insurance policy also covers hospital-substitute treatment, under item 4 of the table in subsection 72-1(2) of Part 3-3 of the Act the same requirements</w:t>
      </w:r>
      <w:r>
        <w:rPr>
          <w:color w:val="242424"/>
          <w:spacing w:val="-14"/>
          <w:sz w:val="24"/>
        </w:rPr>
        <w:t xml:space="preserve"> </w:t>
      </w:r>
      <w:r>
        <w:rPr>
          <w:color w:val="242424"/>
          <w:sz w:val="24"/>
        </w:rPr>
        <w:t>apply.</w:t>
      </w:r>
    </w:p>
    <w:p w:rsidR="005C220A" w:rsidRDefault="005C220A" w:rsidP="001F4A54">
      <w:pPr>
        <w:pStyle w:val="BodyText"/>
        <w:spacing w:before="2"/>
        <w:jc w:val="both"/>
        <w:rPr>
          <w:sz w:val="24"/>
        </w:rPr>
      </w:pPr>
    </w:p>
    <w:p w:rsidR="005C220A" w:rsidRDefault="00AA4015" w:rsidP="001F4A54">
      <w:pPr>
        <w:ind w:left="144" w:right="140" w:firstLine="1"/>
        <w:jc w:val="both"/>
        <w:rPr>
          <w:sz w:val="24"/>
        </w:rPr>
      </w:pPr>
      <w:r>
        <w:rPr>
          <w:color w:val="242424"/>
          <w:w w:val="105"/>
          <w:sz w:val="24"/>
        </w:rPr>
        <w:t>The</w:t>
      </w:r>
      <w:r>
        <w:rPr>
          <w:color w:val="242424"/>
          <w:spacing w:val="-12"/>
          <w:w w:val="105"/>
          <w:sz w:val="24"/>
        </w:rPr>
        <w:t xml:space="preserve"> </w:t>
      </w:r>
      <w:r w:rsidRPr="001F4A54">
        <w:rPr>
          <w:i/>
          <w:color w:val="242424"/>
          <w:w w:val="105"/>
          <w:sz w:val="24"/>
          <w:szCs w:val="24"/>
        </w:rPr>
        <w:t>Private</w:t>
      </w:r>
      <w:r w:rsidRPr="001F4A54">
        <w:rPr>
          <w:i/>
          <w:color w:val="242424"/>
          <w:spacing w:val="-6"/>
          <w:w w:val="105"/>
          <w:sz w:val="24"/>
          <w:szCs w:val="24"/>
        </w:rPr>
        <w:t xml:space="preserve"> </w:t>
      </w:r>
      <w:r w:rsidRPr="001F4A54">
        <w:rPr>
          <w:i/>
          <w:color w:val="242424"/>
          <w:w w:val="105"/>
          <w:sz w:val="24"/>
          <w:szCs w:val="24"/>
        </w:rPr>
        <w:t>Health</w:t>
      </w:r>
      <w:r w:rsidRPr="001F4A54">
        <w:rPr>
          <w:i/>
          <w:color w:val="242424"/>
          <w:spacing w:val="-4"/>
          <w:w w:val="105"/>
          <w:sz w:val="24"/>
          <w:szCs w:val="24"/>
        </w:rPr>
        <w:t xml:space="preserve"> </w:t>
      </w:r>
      <w:r w:rsidRPr="001F4A54">
        <w:rPr>
          <w:i/>
          <w:color w:val="242424"/>
          <w:w w:val="105"/>
          <w:sz w:val="24"/>
          <w:szCs w:val="24"/>
        </w:rPr>
        <w:t>Insurance (Prostheses)</w:t>
      </w:r>
      <w:r w:rsidRPr="001F4A54">
        <w:rPr>
          <w:i/>
          <w:color w:val="242424"/>
          <w:spacing w:val="5"/>
          <w:w w:val="105"/>
          <w:sz w:val="24"/>
          <w:szCs w:val="24"/>
        </w:rPr>
        <w:t xml:space="preserve"> </w:t>
      </w:r>
      <w:r w:rsidRPr="001F4A54">
        <w:rPr>
          <w:i/>
          <w:color w:val="242424"/>
          <w:w w:val="105"/>
          <w:sz w:val="24"/>
          <w:szCs w:val="24"/>
        </w:rPr>
        <w:t>Rules</w:t>
      </w:r>
      <w:r w:rsidRPr="001F4A54">
        <w:rPr>
          <w:i/>
          <w:color w:val="242424"/>
          <w:spacing w:val="-5"/>
          <w:w w:val="105"/>
          <w:sz w:val="24"/>
          <w:szCs w:val="24"/>
        </w:rPr>
        <w:t xml:space="preserve"> </w:t>
      </w:r>
      <w:r w:rsidRPr="001F4A54">
        <w:rPr>
          <w:i/>
          <w:color w:val="242424"/>
          <w:w w:val="105"/>
          <w:sz w:val="24"/>
          <w:szCs w:val="24"/>
        </w:rPr>
        <w:t>2019</w:t>
      </w:r>
      <w:r w:rsidRPr="001F4A54">
        <w:rPr>
          <w:i/>
          <w:color w:val="242424"/>
          <w:spacing w:val="-11"/>
          <w:w w:val="105"/>
          <w:sz w:val="24"/>
          <w:szCs w:val="24"/>
        </w:rPr>
        <w:t xml:space="preserve"> </w:t>
      </w:r>
      <w:r w:rsidRPr="001F4A54">
        <w:rPr>
          <w:i/>
          <w:color w:val="242424"/>
          <w:w w:val="105"/>
          <w:sz w:val="24"/>
          <w:szCs w:val="24"/>
        </w:rPr>
        <w:t>(No.</w:t>
      </w:r>
      <w:r w:rsidRPr="001F4A54">
        <w:rPr>
          <w:i/>
          <w:color w:val="242424"/>
          <w:spacing w:val="-8"/>
          <w:w w:val="105"/>
          <w:sz w:val="24"/>
          <w:szCs w:val="24"/>
        </w:rPr>
        <w:t xml:space="preserve"> </w:t>
      </w:r>
      <w:r w:rsidRPr="001F4A54">
        <w:rPr>
          <w:i/>
          <w:color w:val="242424"/>
          <w:w w:val="105"/>
          <w:sz w:val="24"/>
          <w:szCs w:val="24"/>
        </w:rPr>
        <w:t>1)</w:t>
      </w:r>
      <w:r>
        <w:rPr>
          <w:i/>
          <w:color w:val="242424"/>
          <w:spacing w:val="-8"/>
          <w:w w:val="105"/>
          <w:sz w:val="23"/>
        </w:rPr>
        <w:t xml:space="preserve"> </w:t>
      </w:r>
      <w:r>
        <w:rPr>
          <w:color w:val="242424"/>
          <w:w w:val="105"/>
          <w:sz w:val="24"/>
        </w:rPr>
        <w:t>(Prostheses Rules)</w:t>
      </w:r>
      <w:r>
        <w:rPr>
          <w:color w:val="242424"/>
          <w:spacing w:val="-11"/>
          <w:w w:val="105"/>
          <w:sz w:val="24"/>
        </w:rPr>
        <w:t xml:space="preserve"> </w:t>
      </w:r>
      <w:r>
        <w:rPr>
          <w:color w:val="242424"/>
          <w:w w:val="105"/>
          <w:sz w:val="24"/>
        </w:rPr>
        <w:t>were</w:t>
      </w:r>
      <w:r>
        <w:rPr>
          <w:color w:val="242424"/>
          <w:spacing w:val="-18"/>
          <w:w w:val="105"/>
          <w:sz w:val="24"/>
        </w:rPr>
        <w:t xml:space="preserve"> </w:t>
      </w:r>
      <w:r>
        <w:rPr>
          <w:color w:val="242424"/>
          <w:w w:val="105"/>
          <w:sz w:val="24"/>
        </w:rPr>
        <w:t>made</w:t>
      </w:r>
      <w:r>
        <w:rPr>
          <w:color w:val="242424"/>
          <w:spacing w:val="-12"/>
          <w:w w:val="105"/>
          <w:sz w:val="24"/>
        </w:rPr>
        <w:t xml:space="preserve"> </w:t>
      </w:r>
      <w:r>
        <w:rPr>
          <w:color w:val="242424"/>
          <w:w w:val="105"/>
          <w:sz w:val="24"/>
        </w:rPr>
        <w:t>for</w:t>
      </w:r>
      <w:r>
        <w:rPr>
          <w:color w:val="242424"/>
          <w:spacing w:val="-13"/>
          <w:w w:val="105"/>
          <w:sz w:val="24"/>
        </w:rPr>
        <w:t xml:space="preserve"> </w:t>
      </w:r>
      <w:r>
        <w:rPr>
          <w:color w:val="242424"/>
          <w:w w:val="105"/>
          <w:sz w:val="24"/>
        </w:rPr>
        <w:t>the purposes</w:t>
      </w:r>
      <w:r>
        <w:rPr>
          <w:color w:val="242424"/>
          <w:spacing w:val="-7"/>
          <w:w w:val="105"/>
          <w:sz w:val="24"/>
        </w:rPr>
        <w:t xml:space="preserve"> </w:t>
      </w:r>
      <w:r>
        <w:rPr>
          <w:color w:val="242424"/>
          <w:w w:val="105"/>
          <w:sz w:val="24"/>
        </w:rPr>
        <w:t>of</w:t>
      </w:r>
      <w:r>
        <w:rPr>
          <w:color w:val="242424"/>
          <w:spacing w:val="-11"/>
          <w:w w:val="105"/>
          <w:sz w:val="24"/>
        </w:rPr>
        <w:t xml:space="preserve"> </w:t>
      </w:r>
      <w:r>
        <w:rPr>
          <w:color w:val="242424"/>
          <w:w w:val="105"/>
          <w:sz w:val="24"/>
        </w:rPr>
        <w:t>section</w:t>
      </w:r>
      <w:r>
        <w:rPr>
          <w:color w:val="242424"/>
          <w:spacing w:val="-4"/>
          <w:w w:val="105"/>
          <w:sz w:val="24"/>
        </w:rPr>
        <w:t xml:space="preserve"> </w:t>
      </w:r>
      <w:r>
        <w:rPr>
          <w:color w:val="242424"/>
          <w:w w:val="105"/>
          <w:sz w:val="24"/>
        </w:rPr>
        <w:t>333-20</w:t>
      </w:r>
      <w:r>
        <w:rPr>
          <w:color w:val="242424"/>
          <w:spacing w:val="-5"/>
          <w:w w:val="105"/>
          <w:sz w:val="24"/>
        </w:rPr>
        <w:t xml:space="preserve"> </w:t>
      </w:r>
      <w:r>
        <w:rPr>
          <w:color w:val="242424"/>
          <w:w w:val="105"/>
          <w:sz w:val="24"/>
        </w:rPr>
        <w:t>of</w:t>
      </w:r>
      <w:r>
        <w:rPr>
          <w:color w:val="242424"/>
          <w:spacing w:val="-11"/>
          <w:w w:val="105"/>
          <w:sz w:val="24"/>
        </w:rPr>
        <w:t xml:space="preserve"> </w:t>
      </w:r>
      <w:r>
        <w:rPr>
          <w:color w:val="242424"/>
          <w:w w:val="105"/>
          <w:sz w:val="24"/>
        </w:rPr>
        <w:t>the</w:t>
      </w:r>
      <w:r>
        <w:rPr>
          <w:color w:val="242424"/>
          <w:spacing w:val="-11"/>
          <w:w w:val="105"/>
          <w:sz w:val="24"/>
        </w:rPr>
        <w:t xml:space="preserve"> </w:t>
      </w:r>
      <w:r>
        <w:rPr>
          <w:color w:val="242424"/>
          <w:w w:val="105"/>
          <w:sz w:val="24"/>
        </w:rPr>
        <w:t>Act.</w:t>
      </w:r>
      <w:r>
        <w:rPr>
          <w:color w:val="242424"/>
          <w:spacing w:val="-3"/>
          <w:w w:val="105"/>
          <w:sz w:val="24"/>
        </w:rPr>
        <w:t xml:space="preserve"> </w:t>
      </w:r>
      <w:r>
        <w:rPr>
          <w:color w:val="242424"/>
          <w:w w:val="105"/>
          <w:sz w:val="24"/>
        </w:rPr>
        <w:t>Listed</w:t>
      </w:r>
      <w:r>
        <w:rPr>
          <w:color w:val="242424"/>
          <w:spacing w:val="-11"/>
          <w:w w:val="105"/>
          <w:sz w:val="24"/>
        </w:rPr>
        <w:t xml:space="preserve"> </w:t>
      </w:r>
      <w:r>
        <w:rPr>
          <w:color w:val="242424"/>
          <w:w w:val="105"/>
          <w:sz w:val="24"/>
        </w:rPr>
        <w:t>prostheses and</w:t>
      </w:r>
      <w:r>
        <w:rPr>
          <w:color w:val="242424"/>
          <w:spacing w:val="-2"/>
          <w:w w:val="105"/>
          <w:sz w:val="24"/>
        </w:rPr>
        <w:t xml:space="preserve"> </w:t>
      </w:r>
      <w:r>
        <w:rPr>
          <w:color w:val="242424"/>
          <w:w w:val="105"/>
          <w:sz w:val="24"/>
        </w:rPr>
        <w:t>their</w:t>
      </w:r>
      <w:r>
        <w:rPr>
          <w:color w:val="242424"/>
          <w:spacing w:val="-6"/>
          <w:w w:val="105"/>
          <w:sz w:val="24"/>
        </w:rPr>
        <w:t xml:space="preserve"> </w:t>
      </w:r>
      <w:r>
        <w:rPr>
          <w:color w:val="242424"/>
          <w:w w:val="105"/>
          <w:sz w:val="24"/>
        </w:rPr>
        <w:t>minimum</w:t>
      </w:r>
      <w:r>
        <w:rPr>
          <w:color w:val="242424"/>
          <w:spacing w:val="1"/>
          <w:w w:val="105"/>
          <w:sz w:val="24"/>
        </w:rPr>
        <w:t xml:space="preserve"> </w:t>
      </w:r>
      <w:r>
        <w:rPr>
          <w:color w:val="242424"/>
          <w:w w:val="105"/>
          <w:sz w:val="24"/>
        </w:rPr>
        <w:t>benefits</w:t>
      </w:r>
      <w:r>
        <w:rPr>
          <w:color w:val="242424"/>
          <w:spacing w:val="-3"/>
          <w:w w:val="105"/>
          <w:sz w:val="24"/>
        </w:rPr>
        <w:t xml:space="preserve"> </w:t>
      </w:r>
      <w:r>
        <w:rPr>
          <w:color w:val="242424"/>
          <w:w w:val="105"/>
          <w:sz w:val="24"/>
        </w:rPr>
        <w:t>are</w:t>
      </w:r>
      <w:r>
        <w:rPr>
          <w:color w:val="242424"/>
          <w:spacing w:val="-12"/>
          <w:w w:val="105"/>
          <w:sz w:val="24"/>
        </w:rPr>
        <w:t xml:space="preserve"> </w:t>
      </w:r>
      <w:r>
        <w:rPr>
          <w:color w:val="242424"/>
          <w:w w:val="105"/>
          <w:sz w:val="24"/>
        </w:rPr>
        <w:t>set</w:t>
      </w:r>
      <w:r>
        <w:rPr>
          <w:color w:val="242424"/>
          <w:spacing w:val="-4"/>
          <w:w w:val="105"/>
          <w:sz w:val="24"/>
        </w:rPr>
        <w:t xml:space="preserve"> </w:t>
      </w:r>
      <w:r>
        <w:rPr>
          <w:color w:val="242424"/>
          <w:w w:val="105"/>
          <w:sz w:val="24"/>
        </w:rPr>
        <w:t>out</w:t>
      </w:r>
      <w:r>
        <w:rPr>
          <w:color w:val="242424"/>
          <w:spacing w:val="-3"/>
          <w:w w:val="105"/>
          <w:sz w:val="24"/>
        </w:rPr>
        <w:t xml:space="preserve"> </w:t>
      </w:r>
      <w:r>
        <w:rPr>
          <w:color w:val="242424"/>
          <w:w w:val="105"/>
          <w:sz w:val="24"/>
        </w:rPr>
        <w:t>in the Schedule to the Rules. The list of prostheses in the Schedule is commonly referred to as the Prostheses</w:t>
      </w:r>
      <w:r>
        <w:rPr>
          <w:color w:val="242424"/>
          <w:spacing w:val="15"/>
          <w:w w:val="105"/>
          <w:sz w:val="24"/>
        </w:rPr>
        <w:t xml:space="preserve"> </w:t>
      </w:r>
      <w:r>
        <w:rPr>
          <w:color w:val="242424"/>
          <w:w w:val="105"/>
          <w:sz w:val="24"/>
        </w:rPr>
        <w:t>List.</w:t>
      </w:r>
    </w:p>
    <w:p w:rsidR="005C220A" w:rsidRDefault="005C220A" w:rsidP="001F4A54">
      <w:pPr>
        <w:pStyle w:val="BodyText"/>
        <w:spacing w:before="6"/>
        <w:jc w:val="both"/>
        <w:rPr>
          <w:sz w:val="25"/>
        </w:rPr>
      </w:pPr>
    </w:p>
    <w:p w:rsidR="005C220A" w:rsidRDefault="00AA4015" w:rsidP="001F4A54">
      <w:pPr>
        <w:pStyle w:val="Heading2"/>
        <w:spacing w:before="1"/>
        <w:ind w:left="142"/>
        <w:jc w:val="both"/>
      </w:pPr>
      <w:r>
        <w:rPr>
          <w:color w:val="242424"/>
          <w:w w:val="105"/>
        </w:rPr>
        <w:t>Purpose</w:t>
      </w:r>
    </w:p>
    <w:p w:rsidR="005C220A" w:rsidRDefault="00AA4015" w:rsidP="007D3AAE">
      <w:pPr>
        <w:spacing w:before="110"/>
        <w:ind w:left="139" w:right="192" w:hanging="4"/>
        <w:jc w:val="both"/>
        <w:rPr>
          <w:color w:val="242424"/>
          <w:w w:val="105"/>
          <w:sz w:val="24"/>
          <w:szCs w:val="24"/>
        </w:rPr>
      </w:pPr>
      <w:r>
        <w:rPr>
          <w:color w:val="242424"/>
          <w:w w:val="105"/>
          <w:sz w:val="24"/>
        </w:rPr>
        <w:t xml:space="preserve">The purpose of the </w:t>
      </w:r>
      <w:r w:rsidRPr="001F4A54">
        <w:rPr>
          <w:i/>
          <w:color w:val="242424"/>
          <w:w w:val="105"/>
          <w:sz w:val="24"/>
          <w:szCs w:val="24"/>
        </w:rPr>
        <w:t xml:space="preserve">Private Health Insurance (Prostheses) Amendment Rules (No. </w:t>
      </w:r>
      <w:r w:rsidR="007D3AAE">
        <w:rPr>
          <w:i/>
          <w:color w:val="242424"/>
          <w:w w:val="105"/>
          <w:sz w:val="24"/>
          <w:szCs w:val="24"/>
        </w:rPr>
        <w:t>3</w:t>
      </w:r>
      <w:r w:rsidRPr="001F4A54">
        <w:rPr>
          <w:i/>
          <w:color w:val="242424"/>
          <w:w w:val="105"/>
          <w:sz w:val="24"/>
          <w:szCs w:val="24"/>
        </w:rPr>
        <w:t>) 2019</w:t>
      </w:r>
      <w:r>
        <w:rPr>
          <w:i/>
          <w:color w:val="242424"/>
          <w:w w:val="105"/>
          <w:sz w:val="23"/>
        </w:rPr>
        <w:t xml:space="preserve"> </w:t>
      </w:r>
      <w:r>
        <w:rPr>
          <w:color w:val="242424"/>
          <w:w w:val="105"/>
          <w:sz w:val="24"/>
        </w:rPr>
        <w:t>(the Amending</w:t>
      </w:r>
      <w:r>
        <w:rPr>
          <w:color w:val="242424"/>
          <w:spacing w:val="-10"/>
          <w:w w:val="105"/>
          <w:sz w:val="24"/>
        </w:rPr>
        <w:t xml:space="preserve"> </w:t>
      </w:r>
      <w:r>
        <w:rPr>
          <w:color w:val="242424"/>
          <w:w w:val="105"/>
          <w:sz w:val="24"/>
        </w:rPr>
        <w:t>Rules)</w:t>
      </w:r>
      <w:r>
        <w:rPr>
          <w:color w:val="242424"/>
          <w:spacing w:val="-22"/>
          <w:w w:val="105"/>
          <w:sz w:val="24"/>
        </w:rPr>
        <w:t xml:space="preserve"> </w:t>
      </w:r>
      <w:r w:rsidR="007D3AAE">
        <w:rPr>
          <w:color w:val="242424"/>
          <w:spacing w:val="-22"/>
          <w:w w:val="105"/>
          <w:sz w:val="24"/>
        </w:rPr>
        <w:t>is to</w:t>
      </w:r>
      <w:r w:rsidRPr="001F4A54">
        <w:rPr>
          <w:color w:val="242424"/>
          <w:w w:val="105"/>
          <w:sz w:val="24"/>
          <w:szCs w:val="24"/>
        </w:rPr>
        <w:t xml:space="preserve"> correct error</w:t>
      </w:r>
      <w:r w:rsidR="00F23887">
        <w:rPr>
          <w:color w:val="242424"/>
          <w:w w:val="105"/>
          <w:sz w:val="24"/>
          <w:szCs w:val="24"/>
        </w:rPr>
        <w:t>s</w:t>
      </w:r>
      <w:r w:rsidRPr="001F4A54">
        <w:rPr>
          <w:color w:val="242424"/>
          <w:w w:val="105"/>
          <w:sz w:val="24"/>
          <w:szCs w:val="24"/>
        </w:rPr>
        <w:t xml:space="preserve"> in </w:t>
      </w:r>
      <w:r w:rsidR="007D3AAE">
        <w:rPr>
          <w:color w:val="242424"/>
          <w:w w:val="105"/>
          <w:sz w:val="24"/>
          <w:szCs w:val="24"/>
        </w:rPr>
        <w:t>the</w:t>
      </w:r>
      <w:r w:rsidRPr="001F4A54">
        <w:rPr>
          <w:color w:val="242424"/>
          <w:w w:val="105"/>
          <w:sz w:val="24"/>
          <w:szCs w:val="24"/>
        </w:rPr>
        <w:t xml:space="preserve"> </w:t>
      </w:r>
      <w:r w:rsidR="00F23887">
        <w:rPr>
          <w:color w:val="242424"/>
          <w:w w:val="105"/>
          <w:sz w:val="24"/>
          <w:szCs w:val="24"/>
        </w:rPr>
        <w:t xml:space="preserve">listing and the </w:t>
      </w:r>
      <w:r w:rsidRPr="001F4A54">
        <w:rPr>
          <w:color w:val="242424"/>
          <w:w w:val="105"/>
          <w:sz w:val="24"/>
          <w:szCs w:val="24"/>
        </w:rPr>
        <w:t xml:space="preserve">minimum benefit for one prosthesis </w:t>
      </w:r>
      <w:r w:rsidR="00F23887">
        <w:rPr>
          <w:color w:val="242424"/>
          <w:w w:val="105"/>
          <w:sz w:val="24"/>
          <w:szCs w:val="24"/>
        </w:rPr>
        <w:t xml:space="preserve">in </w:t>
      </w:r>
      <w:r w:rsidRPr="001F4A54">
        <w:rPr>
          <w:color w:val="242424"/>
          <w:w w:val="105"/>
          <w:sz w:val="24"/>
          <w:szCs w:val="24"/>
        </w:rPr>
        <w:t xml:space="preserve">Part </w:t>
      </w:r>
      <w:r w:rsidR="007D3AAE">
        <w:rPr>
          <w:color w:val="242424"/>
          <w:w w:val="105"/>
          <w:sz w:val="24"/>
          <w:szCs w:val="24"/>
        </w:rPr>
        <w:t>C</w:t>
      </w:r>
      <w:r w:rsidRPr="001F4A54">
        <w:rPr>
          <w:color w:val="242424"/>
          <w:w w:val="105"/>
          <w:sz w:val="24"/>
          <w:szCs w:val="24"/>
        </w:rPr>
        <w:t xml:space="preserve"> of Schedule</w:t>
      </w:r>
      <w:r w:rsidR="007D3AAE">
        <w:rPr>
          <w:color w:val="242424"/>
          <w:w w:val="105"/>
          <w:sz w:val="24"/>
          <w:szCs w:val="24"/>
        </w:rPr>
        <w:t> </w:t>
      </w:r>
      <w:r w:rsidRPr="001F4A54">
        <w:rPr>
          <w:color w:val="242424"/>
          <w:w w:val="105"/>
          <w:sz w:val="24"/>
          <w:szCs w:val="24"/>
        </w:rPr>
        <w:t>1 to the Prostheses Rules.</w:t>
      </w:r>
    </w:p>
    <w:p w:rsidR="007D3AAE" w:rsidRPr="007D3AAE" w:rsidRDefault="007D3AAE" w:rsidP="007D3AAE">
      <w:pPr>
        <w:spacing w:before="110"/>
        <w:ind w:left="139" w:right="192" w:hanging="4"/>
        <w:jc w:val="both"/>
        <w:rPr>
          <w:sz w:val="24"/>
          <w:szCs w:val="24"/>
        </w:rPr>
      </w:pPr>
      <w:r>
        <w:rPr>
          <w:color w:val="242424"/>
          <w:w w:val="105"/>
          <w:sz w:val="24"/>
          <w:szCs w:val="24"/>
        </w:rPr>
        <w:t>Th</w:t>
      </w:r>
      <w:r w:rsidR="00F23887">
        <w:rPr>
          <w:color w:val="242424"/>
          <w:w w:val="105"/>
          <w:sz w:val="24"/>
          <w:szCs w:val="24"/>
        </w:rPr>
        <w:t>e</w:t>
      </w:r>
      <w:r>
        <w:rPr>
          <w:color w:val="242424"/>
          <w:w w:val="105"/>
          <w:sz w:val="24"/>
          <w:szCs w:val="24"/>
        </w:rPr>
        <w:t xml:space="preserve"> error</w:t>
      </w:r>
      <w:r w:rsidR="00F23887">
        <w:rPr>
          <w:color w:val="242424"/>
          <w:w w:val="105"/>
          <w:sz w:val="24"/>
          <w:szCs w:val="24"/>
        </w:rPr>
        <w:t>s</w:t>
      </w:r>
      <w:r>
        <w:rPr>
          <w:color w:val="242424"/>
          <w:w w:val="105"/>
          <w:sz w:val="24"/>
          <w:szCs w:val="24"/>
        </w:rPr>
        <w:t xml:space="preserve"> w</w:t>
      </w:r>
      <w:r w:rsidR="00F23887">
        <w:rPr>
          <w:color w:val="242424"/>
          <w:w w:val="105"/>
          <w:sz w:val="24"/>
          <w:szCs w:val="24"/>
        </w:rPr>
        <w:t>ere</w:t>
      </w:r>
      <w:r>
        <w:rPr>
          <w:color w:val="242424"/>
          <w:w w:val="105"/>
          <w:sz w:val="24"/>
          <w:szCs w:val="24"/>
        </w:rPr>
        <w:t xml:space="preserve"> contained in the </w:t>
      </w:r>
      <w:r>
        <w:rPr>
          <w:i/>
          <w:color w:val="242424"/>
          <w:w w:val="105"/>
          <w:sz w:val="24"/>
          <w:szCs w:val="24"/>
        </w:rPr>
        <w:t>Private Health Insurance (</w:t>
      </w:r>
      <w:r w:rsidR="008C2213">
        <w:rPr>
          <w:i/>
          <w:color w:val="242424"/>
          <w:w w:val="105"/>
          <w:sz w:val="24"/>
          <w:szCs w:val="24"/>
        </w:rPr>
        <w:t xml:space="preserve">Prostheses) Amendment Rules (No. 2) 2019 </w:t>
      </w:r>
      <w:r>
        <w:rPr>
          <w:color w:val="242424"/>
          <w:w w:val="105"/>
          <w:sz w:val="24"/>
          <w:szCs w:val="24"/>
        </w:rPr>
        <w:t>that implement the listing of this prosthesis on the Prostheses List</w:t>
      </w:r>
      <w:r w:rsidR="008C2213">
        <w:rPr>
          <w:color w:val="242424"/>
          <w:w w:val="105"/>
          <w:sz w:val="24"/>
          <w:szCs w:val="24"/>
        </w:rPr>
        <w:t>, among other amendments to the Prostheses Rules</w:t>
      </w:r>
      <w:r>
        <w:rPr>
          <w:color w:val="242424"/>
          <w:w w:val="105"/>
          <w:sz w:val="24"/>
          <w:szCs w:val="24"/>
        </w:rPr>
        <w:t>.</w:t>
      </w:r>
    </w:p>
    <w:p w:rsidR="005C220A" w:rsidRDefault="005C220A" w:rsidP="00E938B6">
      <w:pPr>
        <w:pStyle w:val="BodyText"/>
        <w:spacing w:before="1"/>
        <w:jc w:val="both"/>
        <w:rPr>
          <w:sz w:val="21"/>
        </w:rPr>
      </w:pPr>
    </w:p>
    <w:p w:rsidR="005C220A" w:rsidRDefault="00AA4015" w:rsidP="00E938B6">
      <w:pPr>
        <w:keepNext/>
        <w:widowControl/>
        <w:spacing w:line="275" w:lineRule="exact"/>
        <w:ind w:left="158"/>
        <w:jc w:val="both"/>
        <w:rPr>
          <w:b/>
          <w:color w:val="242424"/>
          <w:sz w:val="24"/>
        </w:rPr>
      </w:pPr>
      <w:r>
        <w:rPr>
          <w:b/>
          <w:color w:val="242424"/>
          <w:sz w:val="24"/>
        </w:rPr>
        <w:t>Consultation</w:t>
      </w:r>
    </w:p>
    <w:p w:rsidR="007D3AAE" w:rsidRPr="007D3AAE" w:rsidRDefault="007D3AAE" w:rsidP="00E938B6">
      <w:pPr>
        <w:keepNext/>
        <w:widowControl/>
        <w:spacing w:line="275" w:lineRule="exact"/>
        <w:ind w:left="158"/>
        <w:jc w:val="both"/>
        <w:rPr>
          <w:sz w:val="24"/>
        </w:rPr>
      </w:pPr>
      <w:r>
        <w:rPr>
          <w:color w:val="242424"/>
          <w:sz w:val="24"/>
        </w:rPr>
        <w:t>The sponsor of the prosthesis affected was consulted on this correction.</w:t>
      </w:r>
    </w:p>
    <w:p w:rsidR="005C220A" w:rsidRDefault="005C220A" w:rsidP="00E938B6">
      <w:pPr>
        <w:pStyle w:val="BodyText"/>
        <w:spacing w:before="8"/>
        <w:jc w:val="both"/>
        <w:rPr>
          <w:sz w:val="15"/>
        </w:rPr>
      </w:pPr>
    </w:p>
    <w:p w:rsidR="005C220A" w:rsidRPr="001F4A54" w:rsidRDefault="00AA4015" w:rsidP="00E938B6">
      <w:pPr>
        <w:pStyle w:val="BodyText"/>
        <w:spacing w:before="91"/>
        <w:ind w:left="139"/>
        <w:jc w:val="both"/>
        <w:rPr>
          <w:sz w:val="24"/>
          <w:szCs w:val="24"/>
        </w:rPr>
      </w:pPr>
      <w:r w:rsidRPr="001F4A54">
        <w:rPr>
          <w:color w:val="242424"/>
          <w:w w:val="105"/>
          <w:sz w:val="24"/>
          <w:szCs w:val="24"/>
        </w:rPr>
        <w:t xml:space="preserve">Details of the Amending Instrument are set out in the </w:t>
      </w:r>
      <w:r w:rsidRPr="001F4A54">
        <w:rPr>
          <w:color w:val="242424"/>
          <w:w w:val="105"/>
          <w:sz w:val="24"/>
          <w:szCs w:val="24"/>
          <w:u w:val="single" w:color="242424"/>
        </w:rPr>
        <w:t>Attachment</w:t>
      </w:r>
      <w:r w:rsidRPr="001F4A54">
        <w:rPr>
          <w:color w:val="242424"/>
          <w:w w:val="105"/>
          <w:sz w:val="24"/>
          <w:szCs w:val="24"/>
          <w:u w:color="242424"/>
        </w:rPr>
        <w:t>.</w:t>
      </w:r>
    </w:p>
    <w:p w:rsidR="005C220A" w:rsidRPr="001F4A54" w:rsidRDefault="005C220A" w:rsidP="00E938B6">
      <w:pPr>
        <w:pStyle w:val="BodyText"/>
        <w:spacing w:before="8"/>
        <w:jc w:val="both"/>
        <w:rPr>
          <w:sz w:val="24"/>
          <w:szCs w:val="24"/>
        </w:rPr>
      </w:pPr>
    </w:p>
    <w:p w:rsidR="005C220A" w:rsidRPr="008C2213" w:rsidRDefault="00AA4015" w:rsidP="00E938B6">
      <w:pPr>
        <w:pStyle w:val="BodyText"/>
        <w:spacing w:line="256" w:lineRule="auto"/>
        <w:ind w:left="134" w:hanging="3"/>
        <w:jc w:val="both"/>
        <w:rPr>
          <w:sz w:val="24"/>
          <w:szCs w:val="24"/>
        </w:rPr>
      </w:pPr>
      <w:r w:rsidRPr="001F4A54">
        <w:rPr>
          <w:color w:val="242424"/>
          <w:w w:val="105"/>
          <w:sz w:val="24"/>
          <w:szCs w:val="24"/>
        </w:rPr>
        <w:t xml:space="preserve">The Amending Instrument commences immediately following the commencement of the </w:t>
      </w:r>
      <w:r w:rsidR="008C2213">
        <w:rPr>
          <w:i/>
          <w:color w:val="242424"/>
          <w:w w:val="105"/>
          <w:sz w:val="24"/>
          <w:szCs w:val="24"/>
        </w:rPr>
        <w:t>Private Health Insurance (Prostheses) Amendment Rules (No. 2) 2019</w:t>
      </w:r>
      <w:r w:rsidR="008C2213">
        <w:rPr>
          <w:color w:val="242424"/>
          <w:w w:val="105"/>
          <w:sz w:val="24"/>
          <w:szCs w:val="24"/>
        </w:rPr>
        <w:t>.</w:t>
      </w:r>
    </w:p>
    <w:p w:rsidR="005C220A" w:rsidRPr="001F4A54" w:rsidRDefault="005C220A">
      <w:pPr>
        <w:pStyle w:val="BodyText"/>
        <w:spacing w:before="1"/>
        <w:rPr>
          <w:sz w:val="24"/>
          <w:szCs w:val="24"/>
        </w:rPr>
      </w:pPr>
    </w:p>
    <w:p w:rsidR="005C220A" w:rsidRPr="001F4A54" w:rsidRDefault="00AA4015" w:rsidP="00E938B6">
      <w:pPr>
        <w:ind w:left="131"/>
        <w:jc w:val="both"/>
        <w:rPr>
          <w:i/>
          <w:sz w:val="24"/>
          <w:szCs w:val="24"/>
        </w:rPr>
      </w:pPr>
      <w:r w:rsidRPr="001F4A54">
        <w:rPr>
          <w:color w:val="242424"/>
          <w:w w:val="105"/>
          <w:sz w:val="24"/>
          <w:szCs w:val="24"/>
        </w:rPr>
        <w:t xml:space="preserve">The Amending Instrument is a legislative instrument for the purposes of the </w:t>
      </w:r>
      <w:r w:rsidRPr="001F4A54">
        <w:rPr>
          <w:i/>
          <w:color w:val="242424"/>
          <w:w w:val="105"/>
          <w:sz w:val="24"/>
          <w:szCs w:val="24"/>
        </w:rPr>
        <w:t>Legislation Act 2003</w:t>
      </w:r>
      <w:r w:rsidRPr="001F4A54">
        <w:rPr>
          <w:i/>
          <w:color w:val="696969"/>
          <w:w w:val="105"/>
          <w:sz w:val="24"/>
          <w:szCs w:val="24"/>
        </w:rPr>
        <w:t>.</w:t>
      </w:r>
    </w:p>
    <w:p w:rsidR="005C220A" w:rsidRPr="001F4A54" w:rsidRDefault="005C220A" w:rsidP="00E938B6">
      <w:pPr>
        <w:jc w:val="both"/>
        <w:rPr>
          <w:sz w:val="24"/>
          <w:szCs w:val="24"/>
        </w:rPr>
        <w:sectPr w:rsidR="005C220A" w:rsidRPr="001F4A54" w:rsidSect="007D3AAE">
          <w:footerReference w:type="default" r:id="rId8"/>
          <w:pgSz w:w="11900" w:h="16820"/>
          <w:pgMar w:top="1500" w:right="880" w:bottom="1170" w:left="900" w:header="720" w:footer="720" w:gutter="0"/>
          <w:cols w:space="720"/>
        </w:sectPr>
      </w:pPr>
    </w:p>
    <w:p w:rsidR="005C220A" w:rsidRDefault="00AA4015">
      <w:pPr>
        <w:pStyle w:val="Heading2"/>
        <w:spacing w:before="78"/>
        <w:ind w:left="0" w:right="128"/>
        <w:jc w:val="right"/>
      </w:pPr>
      <w:r>
        <w:rPr>
          <w:color w:val="262626"/>
        </w:rPr>
        <w:lastRenderedPageBreak/>
        <w:t>ATTACHMENT</w:t>
      </w:r>
    </w:p>
    <w:p w:rsidR="005C220A" w:rsidRDefault="005C220A">
      <w:pPr>
        <w:pStyle w:val="BodyText"/>
        <w:spacing w:before="7"/>
        <w:rPr>
          <w:b/>
          <w:sz w:val="24"/>
        </w:rPr>
      </w:pPr>
    </w:p>
    <w:p w:rsidR="005C220A" w:rsidRPr="001F4A54" w:rsidRDefault="00AA4015">
      <w:pPr>
        <w:ind w:left="178"/>
        <w:rPr>
          <w:b/>
          <w:i/>
          <w:sz w:val="24"/>
          <w:szCs w:val="24"/>
        </w:rPr>
      </w:pPr>
      <w:r w:rsidRPr="001F4A54">
        <w:rPr>
          <w:b/>
          <w:color w:val="262626"/>
          <w:w w:val="105"/>
          <w:sz w:val="24"/>
          <w:szCs w:val="24"/>
        </w:rPr>
        <w:t xml:space="preserve">Details of the Private </w:t>
      </w:r>
      <w:r w:rsidRPr="001F4A54">
        <w:rPr>
          <w:b/>
          <w:i/>
          <w:color w:val="262626"/>
          <w:w w:val="105"/>
          <w:sz w:val="24"/>
          <w:szCs w:val="24"/>
        </w:rPr>
        <w:t xml:space="preserve">Health Insurance (Prostheses) Amendment Rules (No. </w:t>
      </w:r>
      <w:r w:rsidR="008C2213">
        <w:rPr>
          <w:b/>
          <w:i/>
          <w:color w:val="262626"/>
          <w:w w:val="105"/>
          <w:sz w:val="24"/>
          <w:szCs w:val="24"/>
        </w:rPr>
        <w:t>3</w:t>
      </w:r>
      <w:r w:rsidRPr="001F4A54">
        <w:rPr>
          <w:b/>
          <w:i/>
          <w:color w:val="262626"/>
          <w:w w:val="105"/>
          <w:sz w:val="24"/>
          <w:szCs w:val="24"/>
        </w:rPr>
        <w:t>) 2019</w:t>
      </w:r>
    </w:p>
    <w:p w:rsidR="005C220A" w:rsidRPr="001F4A54" w:rsidRDefault="005C220A">
      <w:pPr>
        <w:pStyle w:val="BodyText"/>
        <w:spacing w:before="9"/>
        <w:rPr>
          <w:b/>
          <w:i/>
          <w:sz w:val="24"/>
          <w:szCs w:val="24"/>
        </w:rPr>
      </w:pPr>
    </w:p>
    <w:p w:rsidR="005C220A" w:rsidRPr="001F4A54" w:rsidRDefault="00AA4015">
      <w:pPr>
        <w:pStyle w:val="BodyText"/>
        <w:spacing w:before="90"/>
        <w:ind w:left="172"/>
        <w:rPr>
          <w:sz w:val="24"/>
          <w:szCs w:val="24"/>
          <w:u w:val="single"/>
        </w:rPr>
      </w:pPr>
      <w:r w:rsidRPr="001F4A54">
        <w:rPr>
          <w:color w:val="262626"/>
          <w:w w:val="110"/>
          <w:sz w:val="24"/>
          <w:szCs w:val="24"/>
          <w:u w:val="single" w:color="262626"/>
        </w:rPr>
        <w:t>Section 1 - Name</w:t>
      </w:r>
    </w:p>
    <w:p w:rsidR="005C220A" w:rsidRPr="001F4A54" w:rsidRDefault="005C220A">
      <w:pPr>
        <w:pStyle w:val="BodyText"/>
        <w:spacing w:before="1"/>
        <w:rPr>
          <w:sz w:val="24"/>
          <w:szCs w:val="24"/>
        </w:rPr>
      </w:pPr>
    </w:p>
    <w:p w:rsidR="005C220A" w:rsidRPr="001F4A54" w:rsidRDefault="00AA4015">
      <w:pPr>
        <w:pStyle w:val="BodyText"/>
        <w:spacing w:line="252" w:lineRule="auto"/>
        <w:ind w:left="172" w:hanging="1"/>
        <w:rPr>
          <w:sz w:val="24"/>
          <w:szCs w:val="24"/>
        </w:rPr>
      </w:pPr>
      <w:r w:rsidRPr="001F4A54">
        <w:rPr>
          <w:color w:val="262626"/>
          <w:w w:val="105"/>
          <w:sz w:val="24"/>
          <w:szCs w:val="24"/>
        </w:rPr>
        <w:t xml:space="preserve">Section 1 provides for the Amending Rules to be referred to as the Private Health Insurance (Prostheses) Amendment Rules (No. </w:t>
      </w:r>
      <w:r w:rsidR="007D3AAE">
        <w:rPr>
          <w:color w:val="262626"/>
          <w:w w:val="105"/>
          <w:sz w:val="24"/>
          <w:szCs w:val="24"/>
        </w:rPr>
        <w:t>3</w:t>
      </w:r>
      <w:r w:rsidRPr="001F4A54">
        <w:rPr>
          <w:color w:val="262626"/>
          <w:w w:val="105"/>
          <w:sz w:val="24"/>
          <w:szCs w:val="24"/>
        </w:rPr>
        <w:t>) 2019.</w:t>
      </w:r>
    </w:p>
    <w:p w:rsidR="005C220A" w:rsidRPr="001F4A54" w:rsidRDefault="005C220A">
      <w:pPr>
        <w:pStyle w:val="BodyText"/>
        <w:spacing w:before="8"/>
        <w:rPr>
          <w:sz w:val="24"/>
          <w:szCs w:val="24"/>
        </w:rPr>
      </w:pPr>
    </w:p>
    <w:p w:rsidR="005C220A" w:rsidRPr="001F4A54" w:rsidRDefault="00AA4015">
      <w:pPr>
        <w:pStyle w:val="BodyText"/>
        <w:spacing w:before="91"/>
        <w:ind w:left="167"/>
        <w:rPr>
          <w:sz w:val="24"/>
          <w:szCs w:val="24"/>
          <w:u w:val="single"/>
        </w:rPr>
      </w:pPr>
      <w:r w:rsidRPr="001F4A54">
        <w:rPr>
          <w:color w:val="262626"/>
          <w:w w:val="105"/>
          <w:sz w:val="24"/>
          <w:szCs w:val="24"/>
          <w:u w:val="single" w:color="262626"/>
        </w:rPr>
        <w:t>Section 2 -</w:t>
      </w:r>
      <w:r w:rsidRPr="001F4A54">
        <w:rPr>
          <w:color w:val="262626"/>
          <w:spacing w:val="57"/>
          <w:w w:val="105"/>
          <w:sz w:val="24"/>
          <w:szCs w:val="24"/>
          <w:u w:val="single" w:color="262626"/>
        </w:rPr>
        <w:t xml:space="preserve"> </w:t>
      </w:r>
      <w:r w:rsidRPr="001F4A54">
        <w:rPr>
          <w:color w:val="262626"/>
          <w:w w:val="105"/>
          <w:sz w:val="24"/>
          <w:szCs w:val="24"/>
          <w:u w:val="single" w:color="262626"/>
        </w:rPr>
        <w:t>Commencement</w:t>
      </w:r>
    </w:p>
    <w:p w:rsidR="005C220A" w:rsidRPr="001F4A54" w:rsidRDefault="005C220A">
      <w:pPr>
        <w:pStyle w:val="BodyText"/>
        <w:spacing w:before="5"/>
        <w:rPr>
          <w:sz w:val="24"/>
          <w:szCs w:val="24"/>
        </w:rPr>
      </w:pPr>
    </w:p>
    <w:p w:rsidR="005C220A" w:rsidRPr="001F4A54" w:rsidRDefault="00AA4015">
      <w:pPr>
        <w:spacing w:line="249" w:lineRule="auto"/>
        <w:ind w:left="163" w:right="36" w:firstLine="4"/>
        <w:rPr>
          <w:sz w:val="24"/>
          <w:szCs w:val="24"/>
        </w:rPr>
      </w:pPr>
      <w:r w:rsidRPr="001F4A54">
        <w:rPr>
          <w:color w:val="262626"/>
          <w:w w:val="105"/>
          <w:sz w:val="24"/>
          <w:szCs w:val="24"/>
        </w:rPr>
        <w:t xml:space="preserve">Section 2 provides that the Amending Rules commences immediately after the commencement of the </w:t>
      </w:r>
      <w:r w:rsidRPr="001F4A54">
        <w:rPr>
          <w:i/>
          <w:color w:val="262626"/>
          <w:w w:val="105"/>
          <w:sz w:val="24"/>
          <w:szCs w:val="24"/>
        </w:rPr>
        <w:t xml:space="preserve">Private Health Insurance (Prostheses) Rules </w:t>
      </w:r>
      <w:r w:rsidR="008C2213">
        <w:rPr>
          <w:i/>
          <w:color w:val="262626"/>
          <w:w w:val="105"/>
          <w:sz w:val="24"/>
          <w:szCs w:val="24"/>
        </w:rPr>
        <w:t xml:space="preserve">(No. 2) 2019. </w:t>
      </w:r>
      <w:r w:rsidR="008C2213">
        <w:rPr>
          <w:color w:val="262626"/>
          <w:w w:val="105"/>
          <w:sz w:val="24"/>
          <w:szCs w:val="24"/>
        </w:rPr>
        <w:t xml:space="preserve">The </w:t>
      </w:r>
      <w:r w:rsidR="008C2213">
        <w:rPr>
          <w:i/>
          <w:color w:val="262626"/>
          <w:w w:val="105"/>
          <w:sz w:val="24"/>
          <w:szCs w:val="24"/>
        </w:rPr>
        <w:t xml:space="preserve">Private Health Insurance (Prostheses) Amendment Rules (No. 2) </w:t>
      </w:r>
      <w:proofErr w:type="gramStart"/>
      <w:r w:rsidR="008C2213">
        <w:rPr>
          <w:i/>
          <w:color w:val="262626"/>
          <w:w w:val="105"/>
          <w:sz w:val="24"/>
          <w:szCs w:val="24"/>
        </w:rPr>
        <w:t xml:space="preserve">2019 </w:t>
      </w:r>
      <w:r w:rsidR="007D3AAE">
        <w:rPr>
          <w:color w:val="262626"/>
          <w:w w:val="105"/>
          <w:sz w:val="24"/>
          <w:szCs w:val="24"/>
        </w:rPr>
        <w:t xml:space="preserve"> </w:t>
      </w:r>
      <w:r w:rsidRPr="001F4A54">
        <w:rPr>
          <w:color w:val="262626"/>
          <w:w w:val="105"/>
          <w:sz w:val="24"/>
          <w:szCs w:val="24"/>
        </w:rPr>
        <w:t>commence</w:t>
      </w:r>
      <w:proofErr w:type="gramEnd"/>
      <w:r w:rsidRPr="001F4A54">
        <w:rPr>
          <w:color w:val="262626"/>
          <w:w w:val="105"/>
          <w:sz w:val="24"/>
          <w:szCs w:val="24"/>
        </w:rPr>
        <w:t xml:space="preserve"> </w:t>
      </w:r>
      <w:r w:rsidR="007D3AAE">
        <w:rPr>
          <w:color w:val="262626"/>
          <w:w w:val="105"/>
          <w:sz w:val="24"/>
          <w:szCs w:val="24"/>
        </w:rPr>
        <w:t xml:space="preserve">immediately after the commencement of the </w:t>
      </w:r>
      <w:r w:rsidR="007D3AAE">
        <w:rPr>
          <w:i/>
          <w:color w:val="262626"/>
          <w:w w:val="105"/>
          <w:sz w:val="24"/>
          <w:szCs w:val="24"/>
        </w:rPr>
        <w:t xml:space="preserve">Private Health Insurance (Prostheses) Rules 2019 (No. 1) </w:t>
      </w:r>
      <w:r w:rsidRPr="001F4A54">
        <w:rPr>
          <w:color w:val="262626"/>
          <w:w w:val="105"/>
          <w:sz w:val="24"/>
          <w:szCs w:val="24"/>
        </w:rPr>
        <w:t>on 1 March 2019</w:t>
      </w:r>
      <w:r w:rsidR="007D3AAE">
        <w:rPr>
          <w:color w:val="262626"/>
          <w:w w:val="105"/>
          <w:sz w:val="24"/>
          <w:szCs w:val="24"/>
        </w:rPr>
        <w:t>.</w:t>
      </w:r>
    </w:p>
    <w:p w:rsidR="005C220A" w:rsidRPr="001F4A54" w:rsidRDefault="005C220A">
      <w:pPr>
        <w:pStyle w:val="BodyText"/>
        <w:spacing w:before="1"/>
        <w:rPr>
          <w:sz w:val="24"/>
          <w:szCs w:val="24"/>
        </w:rPr>
      </w:pPr>
    </w:p>
    <w:p w:rsidR="005C220A" w:rsidRPr="001F4A54" w:rsidRDefault="00AA4015">
      <w:pPr>
        <w:pStyle w:val="BodyText"/>
        <w:spacing w:before="91"/>
        <w:ind w:left="157"/>
        <w:rPr>
          <w:sz w:val="24"/>
          <w:szCs w:val="24"/>
          <w:u w:val="single"/>
        </w:rPr>
      </w:pPr>
      <w:r w:rsidRPr="001F4A54">
        <w:rPr>
          <w:color w:val="262626"/>
          <w:w w:val="110"/>
          <w:sz w:val="24"/>
          <w:szCs w:val="24"/>
          <w:u w:val="single" w:color="5E5E5E"/>
        </w:rPr>
        <w:t>Section 3 - Authorit</w:t>
      </w:r>
      <w:r w:rsidRPr="001F4A54">
        <w:rPr>
          <w:color w:val="5E5E5E"/>
          <w:w w:val="110"/>
          <w:sz w:val="24"/>
          <w:szCs w:val="24"/>
          <w:u w:val="single" w:color="5E5E5E"/>
        </w:rPr>
        <w:t>y</w:t>
      </w:r>
    </w:p>
    <w:p w:rsidR="005C220A" w:rsidRPr="001F4A54" w:rsidRDefault="005C220A">
      <w:pPr>
        <w:pStyle w:val="BodyText"/>
        <w:rPr>
          <w:sz w:val="24"/>
          <w:szCs w:val="24"/>
        </w:rPr>
      </w:pPr>
    </w:p>
    <w:p w:rsidR="005C220A" w:rsidRPr="001F4A54" w:rsidRDefault="00AA4015">
      <w:pPr>
        <w:spacing w:line="249" w:lineRule="auto"/>
        <w:ind w:left="155" w:right="192" w:firstLine="2"/>
        <w:rPr>
          <w:i/>
          <w:sz w:val="24"/>
          <w:szCs w:val="24"/>
        </w:rPr>
      </w:pPr>
      <w:r w:rsidRPr="001F4A54">
        <w:rPr>
          <w:color w:val="262626"/>
          <w:w w:val="105"/>
          <w:sz w:val="24"/>
          <w:szCs w:val="24"/>
        </w:rPr>
        <w:t xml:space="preserve">Section 3 provides that the Amending Rules is made under item 4 of the table in section 333-20 of the </w:t>
      </w:r>
      <w:r w:rsidRPr="001F4A54">
        <w:rPr>
          <w:i/>
          <w:color w:val="262626"/>
          <w:w w:val="105"/>
          <w:sz w:val="24"/>
          <w:szCs w:val="24"/>
        </w:rPr>
        <w:t>Private Health Insurance Act 2007.</w:t>
      </w:r>
    </w:p>
    <w:p w:rsidR="005C220A" w:rsidRPr="001F4A54" w:rsidRDefault="005C220A">
      <w:pPr>
        <w:pStyle w:val="BodyText"/>
        <w:spacing w:before="2"/>
        <w:rPr>
          <w:i/>
          <w:sz w:val="24"/>
          <w:szCs w:val="24"/>
        </w:rPr>
      </w:pPr>
    </w:p>
    <w:p w:rsidR="005C220A" w:rsidRPr="00E938B6" w:rsidRDefault="00AA4015">
      <w:pPr>
        <w:pStyle w:val="BodyText"/>
        <w:spacing w:before="91"/>
        <w:ind w:left="153"/>
        <w:rPr>
          <w:sz w:val="24"/>
          <w:szCs w:val="24"/>
          <w:u w:val="single"/>
        </w:rPr>
      </w:pPr>
      <w:r w:rsidRPr="00E938B6">
        <w:rPr>
          <w:color w:val="262626"/>
          <w:w w:val="105"/>
          <w:sz w:val="24"/>
          <w:szCs w:val="24"/>
          <w:u w:val="single" w:color="262626"/>
        </w:rPr>
        <w:t xml:space="preserve">Section 4 </w:t>
      </w:r>
      <w:r w:rsidRPr="00E938B6">
        <w:rPr>
          <w:color w:val="494949"/>
          <w:w w:val="105"/>
          <w:sz w:val="24"/>
          <w:szCs w:val="24"/>
          <w:u w:val="single" w:color="262626"/>
        </w:rPr>
        <w:t>-</w:t>
      </w:r>
      <w:r w:rsidRPr="00E938B6">
        <w:rPr>
          <w:color w:val="494949"/>
          <w:spacing w:val="52"/>
          <w:w w:val="105"/>
          <w:sz w:val="24"/>
          <w:szCs w:val="24"/>
          <w:u w:val="single" w:color="262626"/>
        </w:rPr>
        <w:t xml:space="preserve"> </w:t>
      </w:r>
      <w:r w:rsidRPr="00E938B6">
        <w:rPr>
          <w:color w:val="262626"/>
          <w:w w:val="105"/>
          <w:sz w:val="24"/>
          <w:szCs w:val="24"/>
          <w:u w:val="single" w:color="262626"/>
        </w:rPr>
        <w:t>Schedules</w:t>
      </w:r>
    </w:p>
    <w:p w:rsidR="005C220A" w:rsidRPr="001F4A54" w:rsidRDefault="005C220A">
      <w:pPr>
        <w:pStyle w:val="BodyText"/>
        <w:rPr>
          <w:sz w:val="24"/>
          <w:szCs w:val="24"/>
        </w:rPr>
      </w:pPr>
    </w:p>
    <w:p w:rsidR="005C220A" w:rsidRPr="001F4A54" w:rsidRDefault="00AA4015">
      <w:pPr>
        <w:pStyle w:val="BodyText"/>
        <w:spacing w:line="249" w:lineRule="auto"/>
        <w:ind w:left="146" w:right="192" w:firstLine="2"/>
        <w:rPr>
          <w:sz w:val="24"/>
          <w:szCs w:val="24"/>
        </w:rPr>
      </w:pPr>
      <w:r w:rsidRPr="001F4A54">
        <w:rPr>
          <w:color w:val="262626"/>
          <w:w w:val="105"/>
          <w:sz w:val="24"/>
          <w:szCs w:val="24"/>
        </w:rPr>
        <w:t>Section 4 provides that that each instrument that is specified in a Schedule to this instrument is amended or repealed as set out in the applicable items in the Schedule concerned, and any other item in a Schedule to this instrument has effect according to its terms.</w:t>
      </w:r>
    </w:p>
    <w:p w:rsidR="005C220A" w:rsidRPr="001F4A54" w:rsidRDefault="005C220A">
      <w:pPr>
        <w:pStyle w:val="BodyText"/>
        <w:spacing w:before="1"/>
        <w:rPr>
          <w:sz w:val="24"/>
          <w:szCs w:val="24"/>
        </w:rPr>
      </w:pPr>
    </w:p>
    <w:p w:rsidR="005C220A" w:rsidRPr="00E938B6" w:rsidRDefault="00AA4015">
      <w:pPr>
        <w:pStyle w:val="BodyText"/>
        <w:spacing w:before="91"/>
        <w:ind w:left="143"/>
        <w:rPr>
          <w:sz w:val="24"/>
          <w:szCs w:val="24"/>
          <w:u w:val="single"/>
        </w:rPr>
      </w:pPr>
      <w:r w:rsidRPr="00E938B6">
        <w:rPr>
          <w:color w:val="262626"/>
          <w:w w:val="110"/>
          <w:sz w:val="24"/>
          <w:szCs w:val="24"/>
          <w:u w:val="single" w:color="262626"/>
        </w:rPr>
        <w:t>Schedule 1 - Amendments</w:t>
      </w:r>
    </w:p>
    <w:p w:rsidR="005C220A" w:rsidRPr="001F4A54" w:rsidRDefault="005C220A">
      <w:pPr>
        <w:pStyle w:val="BodyText"/>
        <w:spacing w:before="7"/>
        <w:rPr>
          <w:sz w:val="24"/>
          <w:szCs w:val="24"/>
        </w:rPr>
      </w:pPr>
    </w:p>
    <w:p w:rsidR="005C220A" w:rsidRPr="001F4A54" w:rsidRDefault="00AA4015">
      <w:pPr>
        <w:pStyle w:val="Heading3"/>
        <w:rPr>
          <w:sz w:val="24"/>
          <w:szCs w:val="24"/>
        </w:rPr>
      </w:pPr>
      <w:r w:rsidRPr="001F4A54">
        <w:rPr>
          <w:color w:val="262626"/>
          <w:w w:val="105"/>
          <w:sz w:val="24"/>
          <w:szCs w:val="24"/>
        </w:rPr>
        <w:t>Private Health Insurance (Prostheses) Rules 2019</w:t>
      </w:r>
      <w:r w:rsidR="007D3AAE">
        <w:rPr>
          <w:color w:val="262626"/>
          <w:w w:val="105"/>
          <w:sz w:val="24"/>
          <w:szCs w:val="24"/>
        </w:rPr>
        <w:t xml:space="preserve"> (No. 1)</w:t>
      </w:r>
    </w:p>
    <w:p w:rsidR="005C220A" w:rsidRPr="001F4A54" w:rsidRDefault="005C220A">
      <w:pPr>
        <w:pStyle w:val="BodyText"/>
        <w:spacing w:before="2"/>
        <w:rPr>
          <w:b/>
          <w:i/>
          <w:sz w:val="24"/>
          <w:szCs w:val="24"/>
        </w:rPr>
      </w:pPr>
    </w:p>
    <w:p w:rsidR="005C220A" w:rsidRPr="001F4A54" w:rsidRDefault="00AA4015">
      <w:pPr>
        <w:ind w:left="143"/>
        <w:rPr>
          <w:b/>
          <w:sz w:val="24"/>
          <w:szCs w:val="24"/>
        </w:rPr>
      </w:pPr>
      <w:r w:rsidRPr="001F4A54">
        <w:rPr>
          <w:b/>
          <w:color w:val="262626"/>
          <w:w w:val="110"/>
          <w:sz w:val="24"/>
          <w:szCs w:val="24"/>
        </w:rPr>
        <w:t xml:space="preserve">Item 1 </w:t>
      </w:r>
      <w:r w:rsidR="00F23887">
        <w:rPr>
          <w:color w:val="262626"/>
          <w:w w:val="110"/>
          <w:sz w:val="24"/>
          <w:szCs w:val="24"/>
        </w:rPr>
        <w:t>–</w:t>
      </w:r>
      <w:r w:rsidRPr="001F4A54">
        <w:rPr>
          <w:color w:val="262626"/>
          <w:w w:val="110"/>
          <w:sz w:val="24"/>
          <w:szCs w:val="24"/>
        </w:rPr>
        <w:t xml:space="preserve"> </w:t>
      </w:r>
      <w:r w:rsidR="00F23887" w:rsidRPr="00F23887">
        <w:rPr>
          <w:b/>
          <w:color w:val="262626"/>
          <w:w w:val="110"/>
          <w:sz w:val="24"/>
          <w:szCs w:val="24"/>
        </w:rPr>
        <w:t>Schedule 1, Part C, Billing Code BS</w:t>
      </w:r>
      <w:r w:rsidR="008C2213">
        <w:rPr>
          <w:b/>
          <w:color w:val="262626"/>
          <w:w w:val="110"/>
          <w:sz w:val="24"/>
          <w:szCs w:val="24"/>
        </w:rPr>
        <w:t>3</w:t>
      </w:r>
      <w:r w:rsidR="00F23887" w:rsidRPr="00F23887">
        <w:rPr>
          <w:b/>
          <w:color w:val="262626"/>
          <w:w w:val="110"/>
          <w:sz w:val="24"/>
          <w:szCs w:val="24"/>
        </w:rPr>
        <w:t>59</w:t>
      </w:r>
      <w:r w:rsidR="00F23887">
        <w:rPr>
          <w:color w:val="262626"/>
          <w:w w:val="110"/>
          <w:sz w:val="24"/>
          <w:szCs w:val="24"/>
        </w:rPr>
        <w:t xml:space="preserve"> </w:t>
      </w:r>
    </w:p>
    <w:p w:rsidR="005C220A" w:rsidRPr="001F4A54" w:rsidRDefault="005C220A">
      <w:pPr>
        <w:pStyle w:val="BodyText"/>
        <w:spacing w:before="2"/>
        <w:rPr>
          <w:b/>
          <w:sz w:val="24"/>
          <w:szCs w:val="24"/>
        </w:rPr>
      </w:pPr>
    </w:p>
    <w:p w:rsidR="005C220A" w:rsidRPr="001F4A54" w:rsidRDefault="00AA4015">
      <w:pPr>
        <w:pStyle w:val="BodyText"/>
        <w:spacing w:line="249" w:lineRule="auto"/>
        <w:ind w:left="141" w:hanging="4"/>
        <w:rPr>
          <w:sz w:val="24"/>
          <w:szCs w:val="24"/>
        </w:rPr>
      </w:pPr>
      <w:r w:rsidRPr="001F4A54">
        <w:rPr>
          <w:color w:val="262626"/>
          <w:w w:val="105"/>
          <w:sz w:val="24"/>
          <w:szCs w:val="24"/>
        </w:rPr>
        <w:t xml:space="preserve">Item 1 </w:t>
      </w:r>
      <w:r w:rsidR="00F23887">
        <w:rPr>
          <w:color w:val="262626"/>
          <w:w w:val="105"/>
          <w:sz w:val="24"/>
          <w:szCs w:val="24"/>
        </w:rPr>
        <w:t>repeals the listing of this prosthesis under the incorrect subheading in Part C of Schedule 1 to the Prostheses Rules.</w:t>
      </w:r>
    </w:p>
    <w:p w:rsidR="005C220A" w:rsidRPr="001F4A54" w:rsidRDefault="005C220A">
      <w:pPr>
        <w:pStyle w:val="BodyText"/>
        <w:spacing w:before="5"/>
        <w:rPr>
          <w:sz w:val="24"/>
          <w:szCs w:val="24"/>
        </w:rPr>
      </w:pPr>
    </w:p>
    <w:p w:rsidR="005C220A" w:rsidRPr="00F23887" w:rsidRDefault="00AA4015">
      <w:pPr>
        <w:pStyle w:val="Heading2"/>
        <w:spacing w:before="1"/>
        <w:ind w:left="138"/>
        <w:rPr>
          <w:sz w:val="24"/>
          <w:szCs w:val="24"/>
        </w:rPr>
      </w:pPr>
      <w:r w:rsidRPr="001F4A54">
        <w:rPr>
          <w:color w:val="262626"/>
          <w:w w:val="110"/>
          <w:sz w:val="24"/>
          <w:szCs w:val="24"/>
        </w:rPr>
        <w:t xml:space="preserve">Item 2 </w:t>
      </w:r>
      <w:r w:rsidR="00F23887">
        <w:rPr>
          <w:b w:val="0"/>
          <w:color w:val="262626"/>
          <w:w w:val="110"/>
          <w:sz w:val="24"/>
          <w:szCs w:val="24"/>
        </w:rPr>
        <w:t>–</w:t>
      </w:r>
      <w:r w:rsidRPr="001F4A54">
        <w:rPr>
          <w:b w:val="0"/>
          <w:color w:val="262626"/>
          <w:w w:val="110"/>
          <w:sz w:val="24"/>
          <w:szCs w:val="24"/>
        </w:rPr>
        <w:t xml:space="preserve"> </w:t>
      </w:r>
      <w:r w:rsidR="00F23887">
        <w:rPr>
          <w:color w:val="262626"/>
          <w:w w:val="110"/>
          <w:sz w:val="24"/>
          <w:szCs w:val="24"/>
        </w:rPr>
        <w:t>Schedule 1, Part C, Billing Code BS</w:t>
      </w:r>
      <w:r w:rsidR="008C2213">
        <w:rPr>
          <w:color w:val="262626"/>
          <w:w w:val="110"/>
          <w:sz w:val="24"/>
          <w:szCs w:val="24"/>
        </w:rPr>
        <w:t>3</w:t>
      </w:r>
      <w:r w:rsidR="00F23887">
        <w:rPr>
          <w:color w:val="262626"/>
          <w:w w:val="110"/>
          <w:sz w:val="24"/>
          <w:szCs w:val="24"/>
        </w:rPr>
        <w:t>59</w:t>
      </w:r>
    </w:p>
    <w:p w:rsidR="005C220A" w:rsidRPr="001F4A54" w:rsidRDefault="005C220A">
      <w:pPr>
        <w:pStyle w:val="BodyText"/>
        <w:spacing w:before="2"/>
        <w:rPr>
          <w:b/>
          <w:sz w:val="24"/>
          <w:szCs w:val="24"/>
        </w:rPr>
      </w:pPr>
    </w:p>
    <w:p w:rsidR="005C220A" w:rsidRPr="001F4A54" w:rsidRDefault="00AA4015">
      <w:pPr>
        <w:pStyle w:val="BodyText"/>
        <w:spacing w:line="249" w:lineRule="auto"/>
        <w:ind w:left="129" w:right="192" w:firstLine="7"/>
        <w:rPr>
          <w:sz w:val="24"/>
          <w:szCs w:val="24"/>
        </w:rPr>
      </w:pPr>
      <w:r w:rsidRPr="001F4A54">
        <w:rPr>
          <w:color w:val="262626"/>
          <w:w w:val="105"/>
          <w:sz w:val="24"/>
          <w:szCs w:val="24"/>
        </w:rPr>
        <w:t xml:space="preserve">Item 2 </w:t>
      </w:r>
      <w:r w:rsidR="00F23887">
        <w:rPr>
          <w:color w:val="262626"/>
          <w:w w:val="105"/>
          <w:sz w:val="24"/>
          <w:szCs w:val="24"/>
        </w:rPr>
        <w:t>inserts the listing of this prosthesis under the correct subheading and lists the correct minimum benefit in Part C of Schedule 1 to the Prostheses Rules.</w:t>
      </w:r>
    </w:p>
    <w:p w:rsidR="005C220A" w:rsidRPr="001F4A54" w:rsidRDefault="005C220A">
      <w:pPr>
        <w:pStyle w:val="BodyText"/>
        <w:spacing w:before="10"/>
        <w:rPr>
          <w:sz w:val="24"/>
          <w:szCs w:val="24"/>
        </w:rPr>
      </w:pPr>
    </w:p>
    <w:p w:rsidR="00F23887" w:rsidRDefault="00F23887">
      <w:pPr>
        <w:rPr>
          <w:b/>
          <w:color w:val="262626"/>
          <w:w w:val="105"/>
          <w:sz w:val="24"/>
          <w:szCs w:val="24"/>
        </w:rPr>
      </w:pPr>
      <w:r>
        <w:rPr>
          <w:b/>
          <w:color w:val="262626"/>
          <w:w w:val="105"/>
          <w:sz w:val="24"/>
          <w:szCs w:val="24"/>
        </w:rPr>
        <w:br w:type="page"/>
      </w:r>
    </w:p>
    <w:p w:rsidR="005C220A" w:rsidRPr="001F4A54" w:rsidRDefault="00AA4015">
      <w:pPr>
        <w:spacing w:before="63"/>
        <w:ind w:left="2249"/>
        <w:rPr>
          <w:b/>
          <w:sz w:val="24"/>
          <w:szCs w:val="24"/>
        </w:rPr>
      </w:pPr>
      <w:r w:rsidRPr="001F4A54">
        <w:rPr>
          <w:b/>
          <w:color w:val="262626"/>
          <w:w w:val="105"/>
          <w:sz w:val="24"/>
          <w:szCs w:val="24"/>
        </w:rPr>
        <w:lastRenderedPageBreak/>
        <w:t>Statement of Compatibility with Human Rights</w:t>
      </w:r>
    </w:p>
    <w:p w:rsidR="005C220A" w:rsidRPr="001F4A54" w:rsidRDefault="00AA4015">
      <w:pPr>
        <w:spacing w:before="131"/>
        <w:ind w:left="605"/>
        <w:rPr>
          <w:i/>
          <w:sz w:val="24"/>
          <w:szCs w:val="24"/>
        </w:rPr>
      </w:pPr>
      <w:r w:rsidRPr="001F4A54">
        <w:rPr>
          <w:i/>
          <w:color w:val="262626"/>
          <w:w w:val="105"/>
          <w:sz w:val="24"/>
          <w:szCs w:val="24"/>
        </w:rPr>
        <w:t>Prepared in accordance with Part 3 of the Human Rights (Parliamentary Scrutiny) Act 2011</w:t>
      </w:r>
    </w:p>
    <w:p w:rsidR="005C220A" w:rsidRPr="001F4A54" w:rsidRDefault="005C220A">
      <w:pPr>
        <w:pStyle w:val="BodyText"/>
        <w:rPr>
          <w:i/>
          <w:sz w:val="24"/>
          <w:szCs w:val="24"/>
        </w:rPr>
      </w:pPr>
    </w:p>
    <w:p w:rsidR="005C220A" w:rsidRPr="001F4A54" w:rsidRDefault="00AA4015">
      <w:pPr>
        <w:pStyle w:val="Heading3"/>
        <w:spacing w:before="229"/>
        <w:ind w:left="1592"/>
        <w:rPr>
          <w:sz w:val="24"/>
          <w:szCs w:val="24"/>
        </w:rPr>
      </w:pPr>
      <w:r w:rsidRPr="001F4A54">
        <w:rPr>
          <w:color w:val="262626"/>
          <w:w w:val="105"/>
          <w:sz w:val="24"/>
          <w:szCs w:val="24"/>
        </w:rPr>
        <w:t xml:space="preserve">Private Health Insurance (Prostheses) Amendment Rules (No. </w:t>
      </w:r>
      <w:r w:rsidR="00F23887">
        <w:rPr>
          <w:color w:val="262626"/>
          <w:w w:val="105"/>
          <w:sz w:val="24"/>
          <w:szCs w:val="24"/>
        </w:rPr>
        <w:t>3</w:t>
      </w:r>
      <w:r w:rsidRPr="001F4A54">
        <w:rPr>
          <w:color w:val="262626"/>
          <w:w w:val="105"/>
          <w:sz w:val="24"/>
          <w:szCs w:val="24"/>
        </w:rPr>
        <w:t>) 2019</w:t>
      </w:r>
    </w:p>
    <w:p w:rsidR="005C220A" w:rsidRPr="001F4A54" w:rsidRDefault="005C220A">
      <w:pPr>
        <w:pStyle w:val="BodyText"/>
        <w:spacing w:before="8"/>
        <w:rPr>
          <w:b/>
          <w:i/>
          <w:sz w:val="24"/>
          <w:szCs w:val="24"/>
        </w:rPr>
      </w:pPr>
    </w:p>
    <w:p w:rsidR="005C220A" w:rsidRPr="001F4A54" w:rsidRDefault="00AA4015" w:rsidP="00E938B6">
      <w:pPr>
        <w:spacing w:line="252" w:lineRule="auto"/>
        <w:ind w:left="218" w:right="160" w:firstLine="14"/>
        <w:jc w:val="both"/>
        <w:rPr>
          <w:i/>
          <w:sz w:val="24"/>
          <w:szCs w:val="24"/>
        </w:rPr>
      </w:pPr>
      <w:r w:rsidRPr="001F4A54">
        <w:rPr>
          <w:color w:val="262626"/>
          <w:w w:val="105"/>
          <w:sz w:val="24"/>
          <w:szCs w:val="24"/>
        </w:rPr>
        <w:t xml:space="preserve">This instrument is compatible with the human rights and freedoms recognised or declared in the international instruments listed in section 3 of the </w:t>
      </w:r>
      <w:r w:rsidRPr="001F4A54">
        <w:rPr>
          <w:i/>
          <w:color w:val="262626"/>
          <w:w w:val="105"/>
          <w:sz w:val="24"/>
          <w:szCs w:val="24"/>
        </w:rPr>
        <w:t>Human Rights (Parliamentary Scrutiny) Act 2011.</w:t>
      </w:r>
    </w:p>
    <w:p w:rsidR="005C220A" w:rsidRPr="001F4A54" w:rsidRDefault="00AA4015">
      <w:pPr>
        <w:pStyle w:val="Heading2"/>
        <w:spacing w:before="122"/>
        <w:ind w:left="173"/>
        <w:rPr>
          <w:sz w:val="24"/>
          <w:szCs w:val="24"/>
        </w:rPr>
      </w:pPr>
      <w:r w:rsidRPr="001F4A54">
        <w:rPr>
          <w:color w:val="262626"/>
          <w:w w:val="105"/>
          <w:sz w:val="24"/>
          <w:szCs w:val="24"/>
        </w:rPr>
        <w:t>Overview of the instrument</w:t>
      </w:r>
    </w:p>
    <w:p w:rsidR="00F23887" w:rsidRDefault="00AA4015" w:rsidP="00F23887">
      <w:pPr>
        <w:spacing w:before="110"/>
        <w:ind w:left="139" w:right="192" w:hanging="4"/>
        <w:jc w:val="both"/>
        <w:rPr>
          <w:color w:val="242424"/>
          <w:w w:val="105"/>
          <w:sz w:val="24"/>
          <w:szCs w:val="24"/>
        </w:rPr>
      </w:pPr>
      <w:r w:rsidRPr="001F4A54">
        <w:rPr>
          <w:color w:val="262626"/>
          <w:w w:val="105"/>
          <w:sz w:val="24"/>
          <w:szCs w:val="24"/>
        </w:rPr>
        <w:t xml:space="preserve">The purpose of the </w:t>
      </w:r>
      <w:r w:rsidRPr="001F4A54">
        <w:rPr>
          <w:i/>
          <w:color w:val="262626"/>
          <w:w w:val="105"/>
          <w:sz w:val="24"/>
          <w:szCs w:val="24"/>
        </w:rPr>
        <w:t xml:space="preserve">Private Health Insurance (Prostheses) Amendment Rules (No. </w:t>
      </w:r>
      <w:r w:rsidR="00F23887">
        <w:rPr>
          <w:i/>
          <w:color w:val="262626"/>
          <w:w w:val="105"/>
          <w:sz w:val="24"/>
          <w:szCs w:val="24"/>
        </w:rPr>
        <w:t>3</w:t>
      </w:r>
      <w:r w:rsidRPr="001F4A54">
        <w:rPr>
          <w:i/>
          <w:color w:val="262626"/>
          <w:w w:val="105"/>
          <w:sz w:val="24"/>
          <w:szCs w:val="24"/>
        </w:rPr>
        <w:t xml:space="preserve">) 2019 </w:t>
      </w:r>
      <w:r w:rsidRPr="001F4A54">
        <w:rPr>
          <w:color w:val="262626"/>
          <w:w w:val="105"/>
          <w:sz w:val="24"/>
          <w:szCs w:val="24"/>
        </w:rPr>
        <w:t xml:space="preserve">(the Amending Rules) is to </w:t>
      </w:r>
      <w:r w:rsidR="00F23887" w:rsidRPr="001F4A54">
        <w:rPr>
          <w:color w:val="242424"/>
          <w:w w:val="105"/>
          <w:sz w:val="24"/>
          <w:szCs w:val="24"/>
        </w:rPr>
        <w:t>correct error</w:t>
      </w:r>
      <w:r w:rsidR="00F23887">
        <w:rPr>
          <w:color w:val="242424"/>
          <w:w w:val="105"/>
          <w:sz w:val="24"/>
          <w:szCs w:val="24"/>
        </w:rPr>
        <w:t>s</w:t>
      </w:r>
      <w:r w:rsidR="00F23887" w:rsidRPr="001F4A54">
        <w:rPr>
          <w:color w:val="242424"/>
          <w:w w:val="105"/>
          <w:sz w:val="24"/>
          <w:szCs w:val="24"/>
        </w:rPr>
        <w:t xml:space="preserve"> in </w:t>
      </w:r>
      <w:r w:rsidR="00F23887">
        <w:rPr>
          <w:color w:val="242424"/>
          <w:w w:val="105"/>
          <w:sz w:val="24"/>
          <w:szCs w:val="24"/>
        </w:rPr>
        <w:t>the</w:t>
      </w:r>
      <w:r w:rsidR="00F23887" w:rsidRPr="001F4A54">
        <w:rPr>
          <w:color w:val="242424"/>
          <w:w w:val="105"/>
          <w:sz w:val="24"/>
          <w:szCs w:val="24"/>
        </w:rPr>
        <w:t xml:space="preserve"> </w:t>
      </w:r>
      <w:r w:rsidR="00F23887">
        <w:rPr>
          <w:color w:val="242424"/>
          <w:w w:val="105"/>
          <w:sz w:val="24"/>
          <w:szCs w:val="24"/>
        </w:rPr>
        <w:t xml:space="preserve">listing and the </w:t>
      </w:r>
      <w:r w:rsidR="00F23887" w:rsidRPr="001F4A54">
        <w:rPr>
          <w:color w:val="242424"/>
          <w:w w:val="105"/>
          <w:sz w:val="24"/>
          <w:szCs w:val="24"/>
        </w:rPr>
        <w:t xml:space="preserve">minimum benefit for one prosthesis </w:t>
      </w:r>
      <w:r w:rsidR="00F23887">
        <w:rPr>
          <w:color w:val="242424"/>
          <w:w w:val="105"/>
          <w:sz w:val="24"/>
          <w:szCs w:val="24"/>
        </w:rPr>
        <w:t xml:space="preserve">in </w:t>
      </w:r>
      <w:r w:rsidR="00F23887" w:rsidRPr="001F4A54">
        <w:rPr>
          <w:color w:val="242424"/>
          <w:w w:val="105"/>
          <w:sz w:val="24"/>
          <w:szCs w:val="24"/>
        </w:rPr>
        <w:t xml:space="preserve">Part </w:t>
      </w:r>
      <w:r w:rsidR="00F23887">
        <w:rPr>
          <w:color w:val="242424"/>
          <w:w w:val="105"/>
          <w:sz w:val="24"/>
          <w:szCs w:val="24"/>
        </w:rPr>
        <w:t>C</w:t>
      </w:r>
      <w:r w:rsidR="00F23887" w:rsidRPr="001F4A54">
        <w:rPr>
          <w:color w:val="242424"/>
          <w:w w:val="105"/>
          <w:sz w:val="24"/>
          <w:szCs w:val="24"/>
        </w:rPr>
        <w:t xml:space="preserve"> of Schedule</w:t>
      </w:r>
      <w:r w:rsidR="00F23887">
        <w:rPr>
          <w:color w:val="242424"/>
          <w:w w:val="105"/>
          <w:sz w:val="24"/>
          <w:szCs w:val="24"/>
        </w:rPr>
        <w:t> </w:t>
      </w:r>
      <w:r w:rsidR="00F23887" w:rsidRPr="001F4A54">
        <w:rPr>
          <w:color w:val="242424"/>
          <w:w w:val="105"/>
          <w:sz w:val="24"/>
          <w:szCs w:val="24"/>
        </w:rPr>
        <w:t xml:space="preserve">1 to the </w:t>
      </w:r>
      <w:r w:rsidR="008C2213">
        <w:rPr>
          <w:i/>
          <w:color w:val="242424"/>
          <w:w w:val="105"/>
          <w:sz w:val="24"/>
          <w:szCs w:val="24"/>
        </w:rPr>
        <w:t xml:space="preserve">Private Health Insurance (Prostheses) Rules 2019 (No. 1) </w:t>
      </w:r>
      <w:r w:rsidR="008C2213">
        <w:rPr>
          <w:color w:val="242424"/>
          <w:w w:val="105"/>
          <w:sz w:val="24"/>
          <w:szCs w:val="24"/>
        </w:rPr>
        <w:t xml:space="preserve">(the </w:t>
      </w:r>
      <w:r w:rsidR="00F23887" w:rsidRPr="001F4A54">
        <w:rPr>
          <w:color w:val="242424"/>
          <w:w w:val="105"/>
          <w:sz w:val="24"/>
          <w:szCs w:val="24"/>
        </w:rPr>
        <w:t>Prostheses Rules</w:t>
      </w:r>
      <w:r w:rsidR="008C2213">
        <w:rPr>
          <w:color w:val="242424"/>
          <w:w w:val="105"/>
          <w:sz w:val="24"/>
          <w:szCs w:val="24"/>
        </w:rPr>
        <w:t>)</w:t>
      </w:r>
      <w:r w:rsidR="00F23887" w:rsidRPr="001F4A54">
        <w:rPr>
          <w:color w:val="242424"/>
          <w:w w:val="105"/>
          <w:sz w:val="24"/>
          <w:szCs w:val="24"/>
        </w:rPr>
        <w:t>.</w:t>
      </w:r>
    </w:p>
    <w:p w:rsidR="00F23887" w:rsidRPr="007D3AAE" w:rsidRDefault="00F23887" w:rsidP="00F23887">
      <w:pPr>
        <w:spacing w:before="110"/>
        <w:ind w:left="139" w:right="192" w:hanging="4"/>
        <w:jc w:val="both"/>
        <w:rPr>
          <w:sz w:val="24"/>
          <w:szCs w:val="24"/>
        </w:rPr>
      </w:pPr>
      <w:r>
        <w:rPr>
          <w:color w:val="242424"/>
          <w:w w:val="105"/>
          <w:sz w:val="24"/>
          <w:szCs w:val="24"/>
        </w:rPr>
        <w:t xml:space="preserve">The errors were contained in the </w:t>
      </w:r>
      <w:r>
        <w:rPr>
          <w:i/>
          <w:color w:val="242424"/>
          <w:w w:val="105"/>
          <w:sz w:val="24"/>
          <w:szCs w:val="24"/>
        </w:rPr>
        <w:t>Private Health Insurance (Prostheses) Amendment Rules (No.</w:t>
      </w:r>
      <w:r w:rsidR="008C2213">
        <w:rPr>
          <w:i/>
          <w:color w:val="242424"/>
          <w:w w:val="105"/>
          <w:sz w:val="24"/>
          <w:szCs w:val="24"/>
        </w:rPr>
        <w:t xml:space="preserve"> </w:t>
      </w:r>
      <w:r>
        <w:rPr>
          <w:i/>
          <w:color w:val="242424"/>
          <w:w w:val="105"/>
          <w:sz w:val="24"/>
          <w:szCs w:val="24"/>
        </w:rPr>
        <w:t>2) 2019</w:t>
      </w:r>
      <w:r>
        <w:rPr>
          <w:color w:val="242424"/>
          <w:w w:val="105"/>
          <w:sz w:val="24"/>
          <w:szCs w:val="24"/>
        </w:rPr>
        <w:t xml:space="preserve"> that implement the listing of this prosthesis on the Prostheses List</w:t>
      </w:r>
      <w:r w:rsidR="008C2213">
        <w:rPr>
          <w:color w:val="242424"/>
          <w:w w:val="105"/>
          <w:sz w:val="24"/>
          <w:szCs w:val="24"/>
        </w:rPr>
        <w:t>, among other amendments to the Prostheses Rules</w:t>
      </w:r>
      <w:bookmarkStart w:id="0" w:name="_GoBack"/>
      <w:bookmarkEnd w:id="0"/>
      <w:r>
        <w:rPr>
          <w:color w:val="242424"/>
          <w:w w:val="105"/>
          <w:sz w:val="24"/>
          <w:szCs w:val="24"/>
        </w:rPr>
        <w:t>.</w:t>
      </w:r>
    </w:p>
    <w:p w:rsidR="005C220A" w:rsidRPr="001F4A54" w:rsidRDefault="00AA4015">
      <w:pPr>
        <w:pStyle w:val="Heading2"/>
        <w:spacing w:before="123"/>
        <w:ind w:left="148"/>
        <w:rPr>
          <w:sz w:val="24"/>
          <w:szCs w:val="24"/>
        </w:rPr>
      </w:pPr>
      <w:r w:rsidRPr="001F4A54">
        <w:rPr>
          <w:color w:val="262626"/>
          <w:w w:val="105"/>
          <w:sz w:val="24"/>
          <w:szCs w:val="24"/>
        </w:rPr>
        <w:t>Human rights implications</w:t>
      </w:r>
    </w:p>
    <w:p w:rsidR="005C220A" w:rsidRPr="001F4A54" w:rsidRDefault="00AA4015">
      <w:pPr>
        <w:pStyle w:val="BodyText"/>
        <w:spacing w:before="124" w:line="249" w:lineRule="auto"/>
        <w:ind w:left="139" w:hanging="3"/>
        <w:rPr>
          <w:sz w:val="24"/>
          <w:szCs w:val="24"/>
        </w:rPr>
      </w:pPr>
      <w:r w:rsidRPr="001F4A54">
        <w:rPr>
          <w:color w:val="262626"/>
          <w:w w:val="105"/>
          <w:sz w:val="24"/>
          <w:szCs w:val="24"/>
        </w:rPr>
        <w:t>This instrument engages article 12 of the International Covenant on Economic Social and Cultural Rights (ICESCR), specifically the rights to health.</w:t>
      </w:r>
    </w:p>
    <w:p w:rsidR="005C220A" w:rsidRPr="001F4A54" w:rsidRDefault="00AA4015">
      <w:pPr>
        <w:spacing w:before="118"/>
        <w:ind w:left="139"/>
        <w:rPr>
          <w:i/>
          <w:sz w:val="24"/>
          <w:szCs w:val="24"/>
        </w:rPr>
      </w:pPr>
      <w:r w:rsidRPr="001F4A54">
        <w:rPr>
          <w:i/>
          <w:color w:val="383838"/>
          <w:w w:val="105"/>
          <w:sz w:val="24"/>
          <w:szCs w:val="24"/>
        </w:rPr>
        <w:t>Right to Health</w:t>
      </w:r>
    </w:p>
    <w:p w:rsidR="005C220A" w:rsidRPr="001F4A54" w:rsidRDefault="00AA4015">
      <w:pPr>
        <w:pStyle w:val="BodyText"/>
        <w:spacing w:before="130" w:line="249" w:lineRule="auto"/>
        <w:ind w:left="132" w:right="192" w:firstLine="4"/>
        <w:rPr>
          <w:sz w:val="24"/>
          <w:szCs w:val="24"/>
        </w:rPr>
      </w:pPr>
      <w:r w:rsidRPr="001F4A54">
        <w:rPr>
          <w:color w:val="262626"/>
          <w:w w:val="105"/>
          <w:sz w:val="24"/>
          <w:szCs w:val="24"/>
        </w:rPr>
        <w:t>The right to health - the right to the enjoyment of the highest attainable standard of physical and mental health-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w:t>
      </w:r>
    </w:p>
    <w:p w:rsidR="005C220A" w:rsidRPr="001F4A54" w:rsidRDefault="00AA4015" w:rsidP="00E938B6">
      <w:pPr>
        <w:keepNext/>
        <w:widowControl/>
        <w:spacing w:before="119"/>
        <w:ind w:left="130"/>
        <w:rPr>
          <w:i/>
          <w:sz w:val="24"/>
          <w:szCs w:val="24"/>
        </w:rPr>
      </w:pPr>
      <w:r w:rsidRPr="001F4A54">
        <w:rPr>
          <w:i/>
          <w:color w:val="383838"/>
          <w:w w:val="105"/>
          <w:sz w:val="24"/>
          <w:szCs w:val="24"/>
        </w:rPr>
        <w:t>Analysis</w:t>
      </w:r>
    </w:p>
    <w:p w:rsidR="005C220A" w:rsidRPr="001F4A54" w:rsidRDefault="00AA4015" w:rsidP="00E938B6">
      <w:pPr>
        <w:pStyle w:val="BodyText"/>
        <w:spacing w:before="130" w:line="252" w:lineRule="auto"/>
        <w:ind w:left="131" w:hanging="1"/>
        <w:rPr>
          <w:sz w:val="24"/>
          <w:szCs w:val="24"/>
        </w:rPr>
      </w:pPr>
      <w:r w:rsidRPr="001F4A54">
        <w:rPr>
          <w:color w:val="262626"/>
          <w:w w:val="105"/>
          <w:sz w:val="24"/>
          <w:szCs w:val="24"/>
        </w:rPr>
        <w:t>This instrument</w:t>
      </w:r>
      <w:r w:rsidR="00F23887">
        <w:rPr>
          <w:color w:val="262626"/>
          <w:w w:val="105"/>
          <w:sz w:val="24"/>
          <w:szCs w:val="24"/>
        </w:rPr>
        <w:t xml:space="preserve"> will ensure that the appropriate private health insurance benefit is paid in respect of this prosthesis on the Prostheses List.</w:t>
      </w:r>
      <w:r w:rsidRPr="001F4A54">
        <w:rPr>
          <w:color w:val="232323"/>
          <w:w w:val="105"/>
          <w:sz w:val="24"/>
          <w:szCs w:val="24"/>
        </w:rPr>
        <w:t xml:space="preserve"> This will impact positively on the right to health of insured persons.</w:t>
      </w:r>
    </w:p>
    <w:p w:rsidR="005C220A" w:rsidRPr="001F4A54" w:rsidRDefault="00AA4015">
      <w:pPr>
        <w:pStyle w:val="Heading2"/>
        <w:spacing w:before="129"/>
        <w:ind w:left="148"/>
        <w:rPr>
          <w:sz w:val="24"/>
          <w:szCs w:val="24"/>
        </w:rPr>
      </w:pPr>
      <w:r w:rsidRPr="001F4A54">
        <w:rPr>
          <w:color w:val="232323"/>
          <w:w w:val="105"/>
          <w:sz w:val="24"/>
          <w:szCs w:val="24"/>
        </w:rPr>
        <w:t>Conclusion</w:t>
      </w:r>
    </w:p>
    <w:p w:rsidR="005C220A" w:rsidRPr="001F4A54" w:rsidRDefault="00AA4015">
      <w:pPr>
        <w:pStyle w:val="BodyText"/>
        <w:spacing w:before="125" w:line="256" w:lineRule="auto"/>
        <w:ind w:left="141" w:right="192" w:hanging="1"/>
        <w:rPr>
          <w:sz w:val="24"/>
          <w:szCs w:val="24"/>
        </w:rPr>
      </w:pPr>
      <w:r w:rsidRPr="001F4A54">
        <w:rPr>
          <w:color w:val="232323"/>
          <w:w w:val="105"/>
          <w:sz w:val="24"/>
          <w:szCs w:val="24"/>
        </w:rPr>
        <w:t>The instrument is compatible with human rights because it enables advances in the protection of human rights.</w:t>
      </w:r>
    </w:p>
    <w:p w:rsidR="00E938B6" w:rsidRDefault="00AA4015" w:rsidP="00E938B6">
      <w:pPr>
        <w:pStyle w:val="Heading2"/>
        <w:spacing w:line="252" w:lineRule="auto"/>
        <w:ind w:left="0" w:right="43"/>
        <w:jc w:val="center"/>
        <w:rPr>
          <w:color w:val="232323"/>
          <w:w w:val="105"/>
          <w:sz w:val="24"/>
          <w:szCs w:val="24"/>
        </w:rPr>
      </w:pPr>
      <w:r w:rsidRPr="001F4A54">
        <w:rPr>
          <w:color w:val="232323"/>
          <w:w w:val="105"/>
          <w:sz w:val="24"/>
          <w:szCs w:val="24"/>
        </w:rPr>
        <w:t>Julianne Q</w:t>
      </w:r>
      <w:r w:rsidR="00E938B6">
        <w:rPr>
          <w:color w:val="232323"/>
          <w:w w:val="105"/>
          <w:sz w:val="24"/>
          <w:szCs w:val="24"/>
        </w:rPr>
        <w:t>uaine</w:t>
      </w:r>
    </w:p>
    <w:p w:rsidR="005C220A" w:rsidRDefault="00AA4015" w:rsidP="00E938B6">
      <w:pPr>
        <w:pStyle w:val="Heading2"/>
        <w:spacing w:line="252" w:lineRule="auto"/>
        <w:ind w:left="0" w:right="43"/>
        <w:jc w:val="center"/>
        <w:rPr>
          <w:color w:val="232323"/>
          <w:w w:val="105"/>
          <w:sz w:val="24"/>
          <w:szCs w:val="24"/>
        </w:rPr>
      </w:pPr>
      <w:r w:rsidRPr="001F4A54">
        <w:rPr>
          <w:color w:val="232323"/>
          <w:w w:val="105"/>
          <w:sz w:val="24"/>
          <w:szCs w:val="24"/>
        </w:rPr>
        <w:t xml:space="preserve">Assistant </w:t>
      </w:r>
      <w:r w:rsidR="00E938B6">
        <w:rPr>
          <w:color w:val="232323"/>
          <w:w w:val="105"/>
          <w:sz w:val="24"/>
          <w:szCs w:val="24"/>
        </w:rPr>
        <w:t>S</w:t>
      </w:r>
      <w:r w:rsidRPr="001F4A54">
        <w:rPr>
          <w:color w:val="232323"/>
          <w:w w:val="105"/>
          <w:sz w:val="24"/>
          <w:szCs w:val="24"/>
        </w:rPr>
        <w:t>ecretary</w:t>
      </w:r>
    </w:p>
    <w:p w:rsidR="00E938B6" w:rsidRDefault="00AA4015" w:rsidP="00E938B6">
      <w:pPr>
        <w:spacing w:line="249" w:lineRule="auto"/>
        <w:ind w:right="40" w:hanging="2"/>
        <w:jc w:val="center"/>
        <w:rPr>
          <w:b/>
          <w:color w:val="232323"/>
          <w:w w:val="105"/>
          <w:sz w:val="24"/>
          <w:szCs w:val="24"/>
        </w:rPr>
      </w:pPr>
      <w:r w:rsidRPr="001F4A54">
        <w:rPr>
          <w:b/>
          <w:color w:val="232323"/>
          <w:w w:val="105"/>
          <w:sz w:val="24"/>
          <w:szCs w:val="24"/>
        </w:rPr>
        <w:t xml:space="preserve">Office of Health Technology Assessment </w:t>
      </w:r>
    </w:p>
    <w:p w:rsidR="00E938B6" w:rsidRDefault="00AA4015" w:rsidP="00E938B6">
      <w:pPr>
        <w:spacing w:line="249" w:lineRule="auto"/>
        <w:ind w:right="40" w:hanging="2"/>
        <w:jc w:val="center"/>
        <w:rPr>
          <w:b/>
          <w:color w:val="232323"/>
          <w:w w:val="105"/>
          <w:sz w:val="23"/>
        </w:rPr>
      </w:pPr>
      <w:r w:rsidRPr="001F4A54">
        <w:rPr>
          <w:b/>
          <w:color w:val="232323"/>
          <w:w w:val="105"/>
          <w:sz w:val="24"/>
          <w:szCs w:val="24"/>
        </w:rPr>
        <w:t>Technology Assessment and Access Division</w:t>
      </w:r>
      <w:r>
        <w:rPr>
          <w:b/>
          <w:color w:val="232323"/>
          <w:w w:val="105"/>
          <w:sz w:val="23"/>
        </w:rPr>
        <w:t xml:space="preserve"> </w:t>
      </w:r>
    </w:p>
    <w:p w:rsidR="005C220A" w:rsidRPr="00E938B6" w:rsidRDefault="00AA4015" w:rsidP="00E938B6">
      <w:pPr>
        <w:spacing w:line="249" w:lineRule="auto"/>
        <w:ind w:right="40" w:hanging="2"/>
        <w:jc w:val="center"/>
        <w:rPr>
          <w:b/>
          <w:sz w:val="24"/>
          <w:szCs w:val="24"/>
        </w:rPr>
      </w:pPr>
      <w:r w:rsidRPr="00E938B6">
        <w:rPr>
          <w:b/>
          <w:color w:val="232323"/>
          <w:w w:val="105"/>
          <w:sz w:val="24"/>
          <w:szCs w:val="24"/>
        </w:rPr>
        <w:t>Department of Health</w:t>
      </w:r>
    </w:p>
    <w:sectPr w:rsidR="005C220A" w:rsidRPr="00E938B6" w:rsidSect="00E938B6">
      <w:pgSz w:w="11900" w:h="16820"/>
      <w:pgMar w:top="1520" w:right="880" w:bottom="135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BAD" w:rsidRDefault="004D1BAD" w:rsidP="004D1BAD">
      <w:r>
        <w:separator/>
      </w:r>
    </w:p>
  </w:endnote>
  <w:endnote w:type="continuationSeparator" w:id="0">
    <w:p w:rsidR="004D1BAD" w:rsidRDefault="004D1BAD" w:rsidP="004D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AD" w:rsidRDefault="004D1BAD" w:rsidP="004D1BAD">
    <w:pPr>
      <w:pStyle w:val="Footer"/>
      <w:jc w:val="right"/>
    </w:pPr>
    <w:r>
      <w:fldChar w:fldCharType="begin"/>
    </w:r>
    <w:r>
      <w:instrText xml:space="preserve"> PAGE   \* MERGEFORMAT </w:instrText>
    </w:r>
    <w:r>
      <w:fldChar w:fldCharType="separate"/>
    </w:r>
    <w:r w:rsidR="00B00A78">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BAD" w:rsidRDefault="004D1BAD" w:rsidP="004D1BAD">
      <w:r>
        <w:separator/>
      </w:r>
    </w:p>
  </w:footnote>
  <w:footnote w:type="continuationSeparator" w:id="0">
    <w:p w:rsidR="004D1BAD" w:rsidRDefault="004D1BAD" w:rsidP="004D1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077E9"/>
    <w:multiLevelType w:val="hybridMultilevel"/>
    <w:tmpl w:val="DB8ACC40"/>
    <w:lvl w:ilvl="0" w:tplc="475CF178">
      <w:numFmt w:val="bullet"/>
      <w:lvlText w:val="•"/>
      <w:lvlJc w:val="left"/>
      <w:pPr>
        <w:ind w:left="886" w:hanging="347"/>
      </w:pPr>
      <w:rPr>
        <w:rFonts w:ascii="Arial" w:eastAsia="Arial" w:hAnsi="Arial" w:cs="Arial" w:hint="default"/>
        <w:color w:val="282828"/>
        <w:w w:val="105"/>
        <w:sz w:val="22"/>
        <w:szCs w:val="22"/>
      </w:rPr>
    </w:lvl>
    <w:lvl w:ilvl="1" w:tplc="251E40A2">
      <w:numFmt w:val="bullet"/>
      <w:lvlText w:val="•"/>
      <w:lvlJc w:val="left"/>
      <w:pPr>
        <w:ind w:left="1804" w:hanging="347"/>
      </w:pPr>
      <w:rPr>
        <w:rFonts w:hint="default"/>
      </w:rPr>
    </w:lvl>
    <w:lvl w:ilvl="2" w:tplc="E0A6F45A">
      <w:numFmt w:val="bullet"/>
      <w:lvlText w:val="•"/>
      <w:lvlJc w:val="left"/>
      <w:pPr>
        <w:ind w:left="2728" w:hanging="347"/>
      </w:pPr>
      <w:rPr>
        <w:rFonts w:hint="default"/>
      </w:rPr>
    </w:lvl>
    <w:lvl w:ilvl="3" w:tplc="A9CC9E66">
      <w:numFmt w:val="bullet"/>
      <w:lvlText w:val="•"/>
      <w:lvlJc w:val="left"/>
      <w:pPr>
        <w:ind w:left="3652" w:hanging="347"/>
      </w:pPr>
      <w:rPr>
        <w:rFonts w:hint="default"/>
      </w:rPr>
    </w:lvl>
    <w:lvl w:ilvl="4" w:tplc="38FA522E">
      <w:numFmt w:val="bullet"/>
      <w:lvlText w:val="•"/>
      <w:lvlJc w:val="left"/>
      <w:pPr>
        <w:ind w:left="4576" w:hanging="347"/>
      </w:pPr>
      <w:rPr>
        <w:rFonts w:hint="default"/>
      </w:rPr>
    </w:lvl>
    <w:lvl w:ilvl="5" w:tplc="21E2673A">
      <w:numFmt w:val="bullet"/>
      <w:lvlText w:val="•"/>
      <w:lvlJc w:val="left"/>
      <w:pPr>
        <w:ind w:left="5500" w:hanging="347"/>
      </w:pPr>
      <w:rPr>
        <w:rFonts w:hint="default"/>
      </w:rPr>
    </w:lvl>
    <w:lvl w:ilvl="6" w:tplc="747C34B0">
      <w:numFmt w:val="bullet"/>
      <w:lvlText w:val="•"/>
      <w:lvlJc w:val="left"/>
      <w:pPr>
        <w:ind w:left="6424" w:hanging="347"/>
      </w:pPr>
      <w:rPr>
        <w:rFonts w:hint="default"/>
      </w:rPr>
    </w:lvl>
    <w:lvl w:ilvl="7" w:tplc="CE94A37A">
      <w:numFmt w:val="bullet"/>
      <w:lvlText w:val="•"/>
      <w:lvlJc w:val="left"/>
      <w:pPr>
        <w:ind w:left="7348" w:hanging="347"/>
      </w:pPr>
      <w:rPr>
        <w:rFonts w:hint="default"/>
      </w:rPr>
    </w:lvl>
    <w:lvl w:ilvl="8" w:tplc="31747DA2">
      <w:numFmt w:val="bullet"/>
      <w:lvlText w:val="•"/>
      <w:lvlJc w:val="left"/>
      <w:pPr>
        <w:ind w:left="8272" w:hanging="347"/>
      </w:pPr>
      <w:rPr>
        <w:rFonts w:hint="default"/>
      </w:rPr>
    </w:lvl>
  </w:abstractNum>
  <w:abstractNum w:abstractNumId="1">
    <w:nsid w:val="605D1354"/>
    <w:multiLevelType w:val="hybridMultilevel"/>
    <w:tmpl w:val="7534C81C"/>
    <w:lvl w:ilvl="0" w:tplc="88328460">
      <w:numFmt w:val="bullet"/>
      <w:lvlText w:val="•"/>
      <w:lvlJc w:val="left"/>
      <w:pPr>
        <w:ind w:left="851" w:hanging="347"/>
      </w:pPr>
      <w:rPr>
        <w:rFonts w:ascii="Arial" w:eastAsia="Arial" w:hAnsi="Arial" w:cs="Arial" w:hint="default"/>
        <w:color w:val="282828"/>
        <w:w w:val="106"/>
        <w:sz w:val="22"/>
        <w:szCs w:val="22"/>
      </w:rPr>
    </w:lvl>
    <w:lvl w:ilvl="1" w:tplc="E2B83510">
      <w:numFmt w:val="bullet"/>
      <w:lvlText w:val="•"/>
      <w:lvlJc w:val="left"/>
      <w:pPr>
        <w:ind w:left="1608" w:hanging="367"/>
      </w:pPr>
      <w:rPr>
        <w:rFonts w:ascii="Times New Roman" w:eastAsia="Times New Roman" w:hAnsi="Times New Roman" w:cs="Times New Roman" w:hint="default"/>
        <w:color w:val="242424"/>
        <w:w w:val="98"/>
        <w:sz w:val="23"/>
        <w:szCs w:val="23"/>
      </w:rPr>
    </w:lvl>
    <w:lvl w:ilvl="2" w:tplc="0A548DAA">
      <w:numFmt w:val="bullet"/>
      <w:lvlText w:val="•"/>
      <w:lvlJc w:val="left"/>
      <w:pPr>
        <w:ind w:left="2546" w:hanging="367"/>
      </w:pPr>
      <w:rPr>
        <w:rFonts w:hint="default"/>
      </w:rPr>
    </w:lvl>
    <w:lvl w:ilvl="3" w:tplc="32043212">
      <w:numFmt w:val="bullet"/>
      <w:lvlText w:val="•"/>
      <w:lvlJc w:val="left"/>
      <w:pPr>
        <w:ind w:left="3493" w:hanging="367"/>
      </w:pPr>
      <w:rPr>
        <w:rFonts w:hint="default"/>
      </w:rPr>
    </w:lvl>
    <w:lvl w:ilvl="4" w:tplc="68AA9A94">
      <w:numFmt w:val="bullet"/>
      <w:lvlText w:val="•"/>
      <w:lvlJc w:val="left"/>
      <w:pPr>
        <w:ind w:left="4440" w:hanging="367"/>
      </w:pPr>
      <w:rPr>
        <w:rFonts w:hint="default"/>
      </w:rPr>
    </w:lvl>
    <w:lvl w:ilvl="5" w:tplc="8788CC80">
      <w:numFmt w:val="bullet"/>
      <w:lvlText w:val="•"/>
      <w:lvlJc w:val="left"/>
      <w:pPr>
        <w:ind w:left="5386" w:hanging="367"/>
      </w:pPr>
      <w:rPr>
        <w:rFonts w:hint="default"/>
      </w:rPr>
    </w:lvl>
    <w:lvl w:ilvl="6" w:tplc="CE88F484">
      <w:numFmt w:val="bullet"/>
      <w:lvlText w:val="•"/>
      <w:lvlJc w:val="left"/>
      <w:pPr>
        <w:ind w:left="6333" w:hanging="367"/>
      </w:pPr>
      <w:rPr>
        <w:rFonts w:hint="default"/>
      </w:rPr>
    </w:lvl>
    <w:lvl w:ilvl="7" w:tplc="F07C851C">
      <w:numFmt w:val="bullet"/>
      <w:lvlText w:val="•"/>
      <w:lvlJc w:val="left"/>
      <w:pPr>
        <w:ind w:left="7280" w:hanging="367"/>
      </w:pPr>
      <w:rPr>
        <w:rFonts w:hint="default"/>
      </w:rPr>
    </w:lvl>
    <w:lvl w:ilvl="8" w:tplc="189A3168">
      <w:numFmt w:val="bullet"/>
      <w:lvlText w:val="•"/>
      <w:lvlJc w:val="left"/>
      <w:pPr>
        <w:ind w:left="8226" w:hanging="367"/>
      </w:pPr>
      <w:rPr>
        <w:rFonts w:hint="default"/>
      </w:rPr>
    </w:lvl>
  </w:abstractNum>
  <w:abstractNum w:abstractNumId="2">
    <w:nsid w:val="61F2554C"/>
    <w:multiLevelType w:val="hybridMultilevel"/>
    <w:tmpl w:val="12025548"/>
    <w:lvl w:ilvl="0" w:tplc="1E841C00">
      <w:numFmt w:val="bullet"/>
      <w:lvlText w:val="•"/>
      <w:lvlJc w:val="left"/>
      <w:pPr>
        <w:ind w:left="867" w:hanging="362"/>
      </w:pPr>
      <w:rPr>
        <w:rFonts w:ascii="Times New Roman" w:eastAsia="Times New Roman" w:hAnsi="Times New Roman" w:cs="Times New Roman" w:hint="default"/>
        <w:color w:val="242424"/>
        <w:w w:val="99"/>
        <w:sz w:val="23"/>
        <w:szCs w:val="23"/>
      </w:rPr>
    </w:lvl>
    <w:lvl w:ilvl="1" w:tplc="7B087D9E">
      <w:numFmt w:val="bullet"/>
      <w:lvlText w:val="•"/>
      <w:lvlJc w:val="left"/>
      <w:pPr>
        <w:ind w:left="1786" w:hanging="362"/>
      </w:pPr>
      <w:rPr>
        <w:rFonts w:hint="default"/>
      </w:rPr>
    </w:lvl>
    <w:lvl w:ilvl="2" w:tplc="938A78DA">
      <w:numFmt w:val="bullet"/>
      <w:lvlText w:val="•"/>
      <w:lvlJc w:val="left"/>
      <w:pPr>
        <w:ind w:left="2712" w:hanging="362"/>
      </w:pPr>
      <w:rPr>
        <w:rFonts w:hint="default"/>
      </w:rPr>
    </w:lvl>
    <w:lvl w:ilvl="3" w:tplc="CE8A18DE">
      <w:numFmt w:val="bullet"/>
      <w:lvlText w:val="•"/>
      <w:lvlJc w:val="left"/>
      <w:pPr>
        <w:ind w:left="3638" w:hanging="362"/>
      </w:pPr>
      <w:rPr>
        <w:rFonts w:hint="default"/>
      </w:rPr>
    </w:lvl>
    <w:lvl w:ilvl="4" w:tplc="77B87392">
      <w:numFmt w:val="bullet"/>
      <w:lvlText w:val="•"/>
      <w:lvlJc w:val="left"/>
      <w:pPr>
        <w:ind w:left="4564" w:hanging="362"/>
      </w:pPr>
      <w:rPr>
        <w:rFonts w:hint="default"/>
      </w:rPr>
    </w:lvl>
    <w:lvl w:ilvl="5" w:tplc="05A873A2">
      <w:numFmt w:val="bullet"/>
      <w:lvlText w:val="•"/>
      <w:lvlJc w:val="left"/>
      <w:pPr>
        <w:ind w:left="5490" w:hanging="362"/>
      </w:pPr>
      <w:rPr>
        <w:rFonts w:hint="default"/>
      </w:rPr>
    </w:lvl>
    <w:lvl w:ilvl="6" w:tplc="AB847E58">
      <w:numFmt w:val="bullet"/>
      <w:lvlText w:val="•"/>
      <w:lvlJc w:val="left"/>
      <w:pPr>
        <w:ind w:left="6416" w:hanging="362"/>
      </w:pPr>
      <w:rPr>
        <w:rFonts w:hint="default"/>
      </w:rPr>
    </w:lvl>
    <w:lvl w:ilvl="7" w:tplc="6352B448">
      <w:numFmt w:val="bullet"/>
      <w:lvlText w:val="•"/>
      <w:lvlJc w:val="left"/>
      <w:pPr>
        <w:ind w:left="7342" w:hanging="362"/>
      </w:pPr>
      <w:rPr>
        <w:rFonts w:hint="default"/>
      </w:rPr>
    </w:lvl>
    <w:lvl w:ilvl="8" w:tplc="A6D6F544">
      <w:numFmt w:val="bullet"/>
      <w:lvlText w:val="•"/>
      <w:lvlJc w:val="left"/>
      <w:pPr>
        <w:ind w:left="8268" w:hanging="362"/>
      </w:pPr>
      <w:rPr>
        <w:rFonts w:hint="default"/>
      </w:rPr>
    </w:lvl>
  </w:abstractNum>
  <w:abstractNum w:abstractNumId="3">
    <w:nsid w:val="70FA7FA4"/>
    <w:multiLevelType w:val="hybridMultilevel"/>
    <w:tmpl w:val="0ACA4374"/>
    <w:lvl w:ilvl="0" w:tplc="0B8EADAE">
      <w:numFmt w:val="bullet"/>
      <w:lvlText w:val="•"/>
      <w:lvlJc w:val="left"/>
      <w:pPr>
        <w:ind w:left="867" w:hanging="367"/>
      </w:pPr>
      <w:rPr>
        <w:rFonts w:ascii="Times New Roman" w:eastAsia="Times New Roman" w:hAnsi="Times New Roman" w:cs="Times New Roman" w:hint="default"/>
        <w:color w:val="282828"/>
        <w:w w:val="105"/>
        <w:sz w:val="23"/>
        <w:szCs w:val="23"/>
      </w:rPr>
    </w:lvl>
    <w:lvl w:ilvl="1" w:tplc="78E67B3C">
      <w:numFmt w:val="bullet"/>
      <w:lvlText w:val="•"/>
      <w:lvlJc w:val="left"/>
      <w:pPr>
        <w:ind w:left="1786" w:hanging="367"/>
      </w:pPr>
      <w:rPr>
        <w:rFonts w:hint="default"/>
      </w:rPr>
    </w:lvl>
    <w:lvl w:ilvl="2" w:tplc="0F20874A">
      <w:numFmt w:val="bullet"/>
      <w:lvlText w:val="•"/>
      <w:lvlJc w:val="left"/>
      <w:pPr>
        <w:ind w:left="2712" w:hanging="367"/>
      </w:pPr>
      <w:rPr>
        <w:rFonts w:hint="default"/>
      </w:rPr>
    </w:lvl>
    <w:lvl w:ilvl="3" w:tplc="C80AC762">
      <w:numFmt w:val="bullet"/>
      <w:lvlText w:val="•"/>
      <w:lvlJc w:val="left"/>
      <w:pPr>
        <w:ind w:left="3638" w:hanging="367"/>
      </w:pPr>
      <w:rPr>
        <w:rFonts w:hint="default"/>
      </w:rPr>
    </w:lvl>
    <w:lvl w:ilvl="4" w:tplc="89B8D8CA">
      <w:numFmt w:val="bullet"/>
      <w:lvlText w:val="•"/>
      <w:lvlJc w:val="left"/>
      <w:pPr>
        <w:ind w:left="4564" w:hanging="367"/>
      </w:pPr>
      <w:rPr>
        <w:rFonts w:hint="default"/>
      </w:rPr>
    </w:lvl>
    <w:lvl w:ilvl="5" w:tplc="6B6EC158">
      <w:numFmt w:val="bullet"/>
      <w:lvlText w:val="•"/>
      <w:lvlJc w:val="left"/>
      <w:pPr>
        <w:ind w:left="5490" w:hanging="367"/>
      </w:pPr>
      <w:rPr>
        <w:rFonts w:hint="default"/>
      </w:rPr>
    </w:lvl>
    <w:lvl w:ilvl="6" w:tplc="0526E1FE">
      <w:numFmt w:val="bullet"/>
      <w:lvlText w:val="•"/>
      <w:lvlJc w:val="left"/>
      <w:pPr>
        <w:ind w:left="6416" w:hanging="367"/>
      </w:pPr>
      <w:rPr>
        <w:rFonts w:hint="default"/>
      </w:rPr>
    </w:lvl>
    <w:lvl w:ilvl="7" w:tplc="4F70096E">
      <w:numFmt w:val="bullet"/>
      <w:lvlText w:val="•"/>
      <w:lvlJc w:val="left"/>
      <w:pPr>
        <w:ind w:left="7342" w:hanging="367"/>
      </w:pPr>
      <w:rPr>
        <w:rFonts w:hint="default"/>
      </w:rPr>
    </w:lvl>
    <w:lvl w:ilvl="8" w:tplc="0F44080E">
      <w:numFmt w:val="bullet"/>
      <w:lvlText w:val="•"/>
      <w:lvlJc w:val="left"/>
      <w:pPr>
        <w:ind w:left="8268" w:hanging="367"/>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20A"/>
    <w:rsid w:val="001F4A54"/>
    <w:rsid w:val="004D1BAD"/>
    <w:rsid w:val="005C220A"/>
    <w:rsid w:val="007D3AAE"/>
    <w:rsid w:val="008C2213"/>
    <w:rsid w:val="00AA4015"/>
    <w:rsid w:val="00B00A78"/>
    <w:rsid w:val="00CB037C"/>
    <w:rsid w:val="00E938B6"/>
    <w:rsid w:val="00F23887"/>
    <w:rsid w:val="00F833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2" w:right="192" w:firstLine="1"/>
      <w:outlineLvl w:val="0"/>
    </w:pPr>
    <w:rPr>
      <w:sz w:val="24"/>
      <w:szCs w:val="24"/>
    </w:rPr>
  </w:style>
  <w:style w:type="paragraph" w:styleId="Heading2">
    <w:name w:val="heading 2"/>
    <w:basedOn w:val="Normal"/>
    <w:uiPriority w:val="1"/>
    <w:qFormat/>
    <w:pPr>
      <w:ind w:left="124"/>
      <w:outlineLvl w:val="1"/>
    </w:pPr>
    <w:rPr>
      <w:b/>
      <w:bCs/>
      <w:sz w:val="23"/>
      <w:szCs w:val="23"/>
    </w:rPr>
  </w:style>
  <w:style w:type="paragraph" w:styleId="Heading3">
    <w:name w:val="heading 3"/>
    <w:basedOn w:val="Normal"/>
    <w:uiPriority w:val="1"/>
    <w:qFormat/>
    <w:pPr>
      <w:ind w:left="140"/>
      <w:outlineLvl w:val="2"/>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62" w:hanging="36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4015"/>
    <w:rPr>
      <w:rFonts w:ascii="Tahoma" w:hAnsi="Tahoma" w:cs="Tahoma"/>
      <w:sz w:val="16"/>
      <w:szCs w:val="16"/>
    </w:rPr>
  </w:style>
  <w:style w:type="character" w:customStyle="1" w:styleId="BalloonTextChar">
    <w:name w:val="Balloon Text Char"/>
    <w:basedOn w:val="DefaultParagraphFont"/>
    <w:link w:val="BalloonText"/>
    <w:uiPriority w:val="99"/>
    <w:semiHidden/>
    <w:rsid w:val="00AA4015"/>
    <w:rPr>
      <w:rFonts w:ascii="Tahoma" w:eastAsia="Times New Roman" w:hAnsi="Tahoma" w:cs="Tahoma"/>
      <w:sz w:val="16"/>
      <w:szCs w:val="16"/>
    </w:rPr>
  </w:style>
  <w:style w:type="paragraph" w:styleId="Header">
    <w:name w:val="header"/>
    <w:basedOn w:val="Normal"/>
    <w:link w:val="HeaderChar"/>
    <w:uiPriority w:val="99"/>
    <w:unhideWhenUsed/>
    <w:rsid w:val="004D1BAD"/>
    <w:pPr>
      <w:tabs>
        <w:tab w:val="center" w:pos="4680"/>
        <w:tab w:val="right" w:pos="9360"/>
      </w:tabs>
    </w:pPr>
  </w:style>
  <w:style w:type="character" w:customStyle="1" w:styleId="HeaderChar">
    <w:name w:val="Header Char"/>
    <w:basedOn w:val="DefaultParagraphFont"/>
    <w:link w:val="Header"/>
    <w:uiPriority w:val="99"/>
    <w:rsid w:val="004D1BAD"/>
    <w:rPr>
      <w:rFonts w:ascii="Times New Roman" w:eastAsia="Times New Roman" w:hAnsi="Times New Roman" w:cs="Times New Roman"/>
    </w:rPr>
  </w:style>
  <w:style w:type="paragraph" w:styleId="Footer">
    <w:name w:val="footer"/>
    <w:basedOn w:val="Normal"/>
    <w:link w:val="FooterChar"/>
    <w:uiPriority w:val="99"/>
    <w:unhideWhenUsed/>
    <w:rsid w:val="004D1BAD"/>
    <w:pPr>
      <w:tabs>
        <w:tab w:val="center" w:pos="4680"/>
        <w:tab w:val="right" w:pos="9360"/>
      </w:tabs>
    </w:pPr>
  </w:style>
  <w:style w:type="character" w:customStyle="1" w:styleId="FooterChar">
    <w:name w:val="Footer Char"/>
    <w:basedOn w:val="DefaultParagraphFont"/>
    <w:link w:val="Footer"/>
    <w:uiPriority w:val="99"/>
    <w:rsid w:val="004D1BA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2" w:right="192" w:firstLine="1"/>
      <w:outlineLvl w:val="0"/>
    </w:pPr>
    <w:rPr>
      <w:sz w:val="24"/>
      <w:szCs w:val="24"/>
    </w:rPr>
  </w:style>
  <w:style w:type="paragraph" w:styleId="Heading2">
    <w:name w:val="heading 2"/>
    <w:basedOn w:val="Normal"/>
    <w:uiPriority w:val="1"/>
    <w:qFormat/>
    <w:pPr>
      <w:ind w:left="124"/>
      <w:outlineLvl w:val="1"/>
    </w:pPr>
    <w:rPr>
      <w:b/>
      <w:bCs/>
      <w:sz w:val="23"/>
      <w:szCs w:val="23"/>
    </w:rPr>
  </w:style>
  <w:style w:type="paragraph" w:styleId="Heading3">
    <w:name w:val="heading 3"/>
    <w:basedOn w:val="Normal"/>
    <w:uiPriority w:val="1"/>
    <w:qFormat/>
    <w:pPr>
      <w:ind w:left="140"/>
      <w:outlineLvl w:val="2"/>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62" w:hanging="36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4015"/>
    <w:rPr>
      <w:rFonts w:ascii="Tahoma" w:hAnsi="Tahoma" w:cs="Tahoma"/>
      <w:sz w:val="16"/>
      <w:szCs w:val="16"/>
    </w:rPr>
  </w:style>
  <w:style w:type="character" w:customStyle="1" w:styleId="BalloonTextChar">
    <w:name w:val="Balloon Text Char"/>
    <w:basedOn w:val="DefaultParagraphFont"/>
    <w:link w:val="BalloonText"/>
    <w:uiPriority w:val="99"/>
    <w:semiHidden/>
    <w:rsid w:val="00AA4015"/>
    <w:rPr>
      <w:rFonts w:ascii="Tahoma" w:eastAsia="Times New Roman" w:hAnsi="Tahoma" w:cs="Tahoma"/>
      <w:sz w:val="16"/>
      <w:szCs w:val="16"/>
    </w:rPr>
  </w:style>
  <w:style w:type="paragraph" w:styleId="Header">
    <w:name w:val="header"/>
    <w:basedOn w:val="Normal"/>
    <w:link w:val="HeaderChar"/>
    <w:uiPriority w:val="99"/>
    <w:unhideWhenUsed/>
    <w:rsid w:val="004D1BAD"/>
    <w:pPr>
      <w:tabs>
        <w:tab w:val="center" w:pos="4680"/>
        <w:tab w:val="right" w:pos="9360"/>
      </w:tabs>
    </w:pPr>
  </w:style>
  <w:style w:type="character" w:customStyle="1" w:styleId="HeaderChar">
    <w:name w:val="Header Char"/>
    <w:basedOn w:val="DefaultParagraphFont"/>
    <w:link w:val="Header"/>
    <w:uiPriority w:val="99"/>
    <w:rsid w:val="004D1BAD"/>
    <w:rPr>
      <w:rFonts w:ascii="Times New Roman" w:eastAsia="Times New Roman" w:hAnsi="Times New Roman" w:cs="Times New Roman"/>
    </w:rPr>
  </w:style>
  <w:style w:type="paragraph" w:styleId="Footer">
    <w:name w:val="footer"/>
    <w:basedOn w:val="Normal"/>
    <w:link w:val="FooterChar"/>
    <w:uiPriority w:val="99"/>
    <w:unhideWhenUsed/>
    <w:rsid w:val="004D1BAD"/>
    <w:pPr>
      <w:tabs>
        <w:tab w:val="center" w:pos="4680"/>
        <w:tab w:val="right" w:pos="9360"/>
      </w:tabs>
    </w:pPr>
  </w:style>
  <w:style w:type="character" w:customStyle="1" w:styleId="FooterChar">
    <w:name w:val="Footer Char"/>
    <w:basedOn w:val="DefaultParagraphFont"/>
    <w:link w:val="Footer"/>
    <w:uiPriority w:val="99"/>
    <w:rsid w:val="004D1BA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SKM-C45819022612590</vt:lpstr>
    </vt:vector>
  </TitlesOfParts>
  <Company>Dept Health And Ageing</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SKM-C45819022612590</dc:title>
  <dc:creator>DAWSON, Ros</dc:creator>
  <cp:lastModifiedBy>Dawson Ros</cp:lastModifiedBy>
  <cp:revision>4</cp:revision>
  <cp:lastPrinted>2019-02-27T02:31:00Z</cp:lastPrinted>
  <dcterms:created xsi:type="dcterms:W3CDTF">2019-02-27T01:22:00Z</dcterms:created>
  <dcterms:modified xsi:type="dcterms:W3CDTF">2019-02-27T02:38:00Z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KM-C458</vt:lpwstr>
  </property>
  <property fmtid="{D5CDD505-2E9C-101B-9397-08002B2CF9AE}" pid="4" name="LastSaved">
    <vt:filetime>2019-02-26T00:00:00Z</vt:filetime>
  </property>
</Properties>
</file>