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995" w:rsidRPr="00370995" w:rsidRDefault="00370995" w:rsidP="00370995">
      <w:pPr>
        <w:shd w:val="clear" w:color="auto" w:fill="FFFFFF"/>
        <w:spacing w:after="240" w:line="240" w:lineRule="auto"/>
        <w:jc w:val="center"/>
        <w:rPr>
          <w:rFonts w:eastAsia="Times New Roman" w:cstheme="minorHAnsi"/>
          <w:b/>
          <w:bCs/>
          <w:color w:val="000000"/>
          <w:sz w:val="28"/>
          <w:szCs w:val="28"/>
          <w:lang w:eastAsia="en-AU"/>
        </w:rPr>
      </w:pPr>
      <w:bookmarkStart w:id="0" w:name="_GoBack"/>
      <w:bookmarkEnd w:id="0"/>
      <w:r w:rsidRPr="00370995">
        <w:rPr>
          <w:rFonts w:eastAsia="Times New Roman" w:cstheme="minorHAnsi"/>
          <w:b/>
          <w:bCs/>
          <w:color w:val="000000"/>
          <w:sz w:val="28"/>
          <w:szCs w:val="28"/>
          <w:lang w:eastAsia="en-AU"/>
        </w:rPr>
        <w:t>Explanatory Statement</w:t>
      </w:r>
    </w:p>
    <w:p w:rsidR="00370995" w:rsidRPr="00370995" w:rsidRDefault="00BE20B8" w:rsidP="00370995">
      <w:pPr>
        <w:shd w:val="clear" w:color="auto" w:fill="FFFFFF"/>
        <w:spacing w:after="240" w:line="240" w:lineRule="auto"/>
        <w:jc w:val="center"/>
        <w:rPr>
          <w:rFonts w:eastAsia="Times New Roman" w:cstheme="minorHAnsi"/>
          <w:color w:val="000000"/>
          <w:sz w:val="28"/>
          <w:szCs w:val="28"/>
          <w:lang w:eastAsia="en-AU"/>
        </w:rPr>
      </w:pPr>
      <w:r>
        <w:rPr>
          <w:rFonts w:eastAsia="Times New Roman" w:cstheme="minorHAnsi"/>
          <w:b/>
          <w:bCs/>
          <w:color w:val="000000"/>
          <w:sz w:val="28"/>
          <w:szCs w:val="28"/>
          <w:lang w:eastAsia="en-AU"/>
        </w:rPr>
        <w:t>Director-General</w:t>
      </w:r>
      <w:r w:rsidR="0065711F">
        <w:rPr>
          <w:rFonts w:eastAsia="Times New Roman" w:cstheme="minorHAnsi"/>
          <w:b/>
          <w:bCs/>
          <w:color w:val="000000"/>
          <w:sz w:val="28"/>
          <w:szCs w:val="28"/>
          <w:lang w:eastAsia="en-AU"/>
        </w:rPr>
        <w:t xml:space="preserve"> Notice – Prohibition of Entry</w:t>
      </w:r>
      <w:r>
        <w:rPr>
          <w:rFonts w:eastAsia="Times New Roman" w:cstheme="minorHAnsi"/>
          <w:b/>
          <w:bCs/>
          <w:color w:val="000000"/>
          <w:sz w:val="28"/>
          <w:szCs w:val="28"/>
          <w:lang w:eastAsia="en-AU"/>
        </w:rPr>
        <w:t xml:space="preserve"> Notice</w:t>
      </w:r>
      <w:r w:rsidR="001B4262">
        <w:rPr>
          <w:rFonts w:eastAsia="Times New Roman" w:cstheme="minorHAnsi"/>
          <w:b/>
          <w:bCs/>
          <w:color w:val="000000"/>
          <w:sz w:val="28"/>
          <w:szCs w:val="28"/>
          <w:lang w:eastAsia="en-AU"/>
        </w:rPr>
        <w:t xml:space="preserve"> 2019</w:t>
      </w:r>
    </w:p>
    <w:p w:rsidR="002C23EA" w:rsidRDefault="002C23EA" w:rsidP="002C23EA">
      <w:pPr>
        <w:pStyle w:val="Heading3"/>
        <w:rPr>
          <w:rFonts w:asciiTheme="minorHAnsi" w:eastAsiaTheme="minorHAnsi" w:hAnsiTheme="minorHAnsi" w:cstheme="minorHAnsi"/>
          <w:sz w:val="22"/>
          <w:szCs w:val="22"/>
        </w:rPr>
      </w:pPr>
    </w:p>
    <w:p w:rsidR="00370995" w:rsidRPr="002C23EA" w:rsidRDefault="001B4262" w:rsidP="002C23EA">
      <w:pPr>
        <w:pStyle w:val="Heading3"/>
        <w:rPr>
          <w:rFonts w:ascii="Calibri" w:hAnsi="Calibri" w:cs="Calibri"/>
          <w:color w:val="000000"/>
          <w:lang w:eastAsia="en-AU"/>
        </w:rPr>
      </w:pPr>
      <w:r w:rsidRPr="002C23EA">
        <w:rPr>
          <w:rFonts w:asciiTheme="minorHAnsi" w:eastAsiaTheme="minorHAnsi" w:hAnsiTheme="minorHAnsi" w:cstheme="minorHAnsi"/>
          <w:sz w:val="22"/>
          <w:szCs w:val="22"/>
        </w:rPr>
        <w:t>Authority</w:t>
      </w:r>
      <w:r w:rsidRPr="002C23EA">
        <w:rPr>
          <w:rFonts w:ascii="Calibri" w:hAnsi="Calibri" w:cs="Calibri"/>
          <w:bCs/>
          <w:color w:val="000000"/>
          <w:lang w:eastAsia="en-AU"/>
        </w:rPr>
        <w:t xml:space="preserve"> for making the instrument</w:t>
      </w:r>
    </w:p>
    <w:p w:rsidR="00370995" w:rsidRPr="00370995" w:rsidRDefault="001B4262" w:rsidP="00370995">
      <w:pPr>
        <w:shd w:val="clear" w:color="auto" w:fill="FFFFFF"/>
        <w:spacing w:after="240" w:line="240" w:lineRule="auto"/>
        <w:rPr>
          <w:rFonts w:ascii="Calibri" w:eastAsia="Times New Roman" w:hAnsi="Calibri" w:cs="Calibri"/>
          <w:color w:val="000000"/>
          <w:lang w:eastAsia="en-AU"/>
        </w:rPr>
      </w:pPr>
      <w:r>
        <w:rPr>
          <w:rFonts w:ascii="Calibri" w:eastAsia="Times New Roman" w:hAnsi="Calibri" w:cs="Calibri"/>
          <w:color w:val="000000"/>
          <w:lang w:eastAsia="en-AU"/>
        </w:rPr>
        <w:t>This instrument is made under se</w:t>
      </w:r>
      <w:r w:rsidR="00370995" w:rsidRPr="00370995">
        <w:rPr>
          <w:rFonts w:ascii="Calibri" w:eastAsia="Times New Roman" w:hAnsi="Calibri" w:cs="Calibri"/>
          <w:color w:val="000000"/>
          <w:lang w:eastAsia="en-AU"/>
        </w:rPr>
        <w:t xml:space="preserve">ction </w:t>
      </w:r>
      <w:r>
        <w:rPr>
          <w:rFonts w:ascii="Calibri" w:eastAsia="Times New Roman" w:hAnsi="Calibri" w:cs="Calibri"/>
          <w:color w:val="000000"/>
          <w:lang w:eastAsia="en-AU"/>
        </w:rPr>
        <w:t>20</w:t>
      </w:r>
      <w:r w:rsidR="00370995" w:rsidRPr="00370995">
        <w:rPr>
          <w:rFonts w:ascii="Calibri" w:eastAsia="Times New Roman" w:hAnsi="Calibri" w:cs="Calibri"/>
          <w:color w:val="000000"/>
          <w:lang w:eastAsia="en-AU"/>
        </w:rPr>
        <w:t xml:space="preserve"> of the </w:t>
      </w:r>
      <w:r w:rsidR="00BE20B8">
        <w:rPr>
          <w:rFonts w:ascii="Calibri" w:eastAsia="Times New Roman" w:hAnsi="Calibri" w:cs="Calibri"/>
          <w:i/>
          <w:iCs/>
          <w:color w:val="000000"/>
          <w:lang w:eastAsia="en-AU"/>
        </w:rPr>
        <w:t>National Library Regulations 2018</w:t>
      </w:r>
      <w:r>
        <w:rPr>
          <w:rFonts w:ascii="Calibri" w:eastAsia="Times New Roman" w:hAnsi="Calibri" w:cs="Calibri"/>
          <w:i/>
          <w:iCs/>
          <w:color w:val="000000"/>
          <w:lang w:eastAsia="en-AU"/>
        </w:rPr>
        <w:t xml:space="preserve">.  </w:t>
      </w:r>
    </w:p>
    <w:p w:rsidR="00370995" w:rsidRPr="002C23EA" w:rsidRDefault="001B4262" w:rsidP="002C23EA">
      <w:pPr>
        <w:pStyle w:val="Heading3"/>
        <w:rPr>
          <w:rFonts w:asciiTheme="minorHAnsi" w:eastAsiaTheme="minorHAnsi" w:hAnsiTheme="minorHAnsi" w:cstheme="minorHAnsi"/>
          <w:sz w:val="22"/>
          <w:szCs w:val="22"/>
        </w:rPr>
      </w:pPr>
      <w:r w:rsidRPr="002C23EA">
        <w:rPr>
          <w:rFonts w:asciiTheme="minorHAnsi" w:eastAsiaTheme="minorHAnsi" w:hAnsiTheme="minorHAnsi" w:cstheme="minorHAnsi"/>
          <w:sz w:val="22"/>
          <w:szCs w:val="22"/>
        </w:rPr>
        <w:t>Purpose and operation of the instrument</w:t>
      </w:r>
    </w:p>
    <w:p w:rsidR="00370995" w:rsidRPr="00370995" w:rsidRDefault="001B4262" w:rsidP="00947461">
      <w:pPr>
        <w:shd w:val="clear" w:color="auto" w:fill="FFFFFF"/>
        <w:spacing w:after="24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The instrument prohibits entry to the National Library of Australia, or various areas of the Library outside of opening hours, with the exception of attending approved events.  </w:t>
      </w:r>
    </w:p>
    <w:p w:rsidR="00370995" w:rsidRDefault="001B4262" w:rsidP="002C23EA">
      <w:pPr>
        <w:pStyle w:val="Heading3"/>
        <w:rPr>
          <w:rFonts w:ascii="Calibri" w:hAnsi="Calibri" w:cs="Calibri"/>
          <w:b w:val="0"/>
          <w:bCs/>
          <w:color w:val="000000"/>
          <w:lang w:eastAsia="en-AU"/>
        </w:rPr>
      </w:pPr>
      <w:r w:rsidRPr="002C23EA">
        <w:rPr>
          <w:rFonts w:asciiTheme="minorHAnsi" w:eastAsiaTheme="minorHAnsi" w:hAnsiTheme="minorHAnsi" w:cstheme="minorHAnsi"/>
          <w:sz w:val="22"/>
          <w:szCs w:val="22"/>
        </w:rPr>
        <w:t>Consultation</w:t>
      </w:r>
    </w:p>
    <w:p w:rsidR="001B4262" w:rsidRDefault="001B4262" w:rsidP="002C23EA">
      <w:pPr>
        <w:spacing w:before="120" w:after="120" w:line="240" w:lineRule="auto"/>
        <w:rPr>
          <w:rFonts w:ascii="Calibri" w:eastAsia="Times New Roman" w:hAnsi="Calibri" w:cs="Calibri"/>
          <w:bCs/>
          <w:color w:val="000000"/>
          <w:lang w:eastAsia="en-AU"/>
        </w:rPr>
      </w:pPr>
      <w:r>
        <w:rPr>
          <w:rFonts w:ascii="Calibri" w:eastAsia="Times New Roman" w:hAnsi="Calibri" w:cs="Calibri"/>
          <w:bCs/>
          <w:color w:val="000000"/>
          <w:lang w:eastAsia="en-AU"/>
        </w:rPr>
        <w:t xml:space="preserve">No </w:t>
      </w:r>
      <w:r w:rsidRPr="002C23EA">
        <w:rPr>
          <w:rFonts w:ascii="Calibri" w:hAnsi="Calibri" w:cs="Calibri"/>
          <w:color w:val="000000"/>
          <w:shd w:val="clear" w:color="auto" w:fill="FFFFFF"/>
        </w:rPr>
        <w:t>consultation</w:t>
      </w:r>
      <w:r>
        <w:rPr>
          <w:rFonts w:ascii="Calibri" w:eastAsia="Times New Roman" w:hAnsi="Calibri" w:cs="Calibri"/>
          <w:bCs/>
          <w:color w:val="000000"/>
          <w:lang w:eastAsia="en-AU"/>
        </w:rPr>
        <w:t xml:space="preserve"> was undertaken in relation to this instrument.</w:t>
      </w:r>
    </w:p>
    <w:p w:rsidR="001B4262" w:rsidRPr="001D5966" w:rsidRDefault="001B4262" w:rsidP="001B4262">
      <w:pPr>
        <w:pStyle w:val="Heading2"/>
        <w:jc w:val="left"/>
        <w:rPr>
          <w:rFonts w:asciiTheme="minorHAnsi" w:eastAsiaTheme="minorHAnsi" w:hAnsiTheme="minorHAnsi" w:cstheme="minorHAnsi"/>
          <w:sz w:val="22"/>
          <w:szCs w:val="22"/>
        </w:rPr>
      </w:pPr>
      <w:r w:rsidRPr="001D5966">
        <w:rPr>
          <w:rFonts w:asciiTheme="minorHAnsi" w:eastAsiaTheme="minorHAnsi" w:hAnsiTheme="minorHAnsi" w:cstheme="minorHAnsi"/>
          <w:sz w:val="22"/>
          <w:szCs w:val="22"/>
        </w:rPr>
        <w:t>Statement of Compatibility with Human Rights</w:t>
      </w:r>
    </w:p>
    <w:p w:rsidR="001B4262" w:rsidRPr="001D5966" w:rsidRDefault="001B4262" w:rsidP="001B4262">
      <w:pPr>
        <w:spacing w:before="120" w:after="120" w:line="240" w:lineRule="auto"/>
        <w:rPr>
          <w:rFonts w:cstheme="minorHAnsi"/>
        </w:rPr>
      </w:pPr>
      <w:r w:rsidRPr="001D5966">
        <w:rPr>
          <w:rFonts w:cstheme="minorHAnsi"/>
          <w:i/>
        </w:rPr>
        <w:t>Prepared in accordance with Part 3 of the Human Rights (Parliamentary Scrutiny) Act 2011</w:t>
      </w:r>
    </w:p>
    <w:p w:rsidR="001B4262" w:rsidRPr="001D5966" w:rsidRDefault="001B4262" w:rsidP="001B4262">
      <w:pPr>
        <w:spacing w:before="120" w:after="120" w:line="240" w:lineRule="auto"/>
        <w:rPr>
          <w:rFonts w:cstheme="minorHAnsi"/>
        </w:rPr>
      </w:pPr>
      <w:r w:rsidRPr="001D5966">
        <w:rPr>
          <w:rFonts w:cstheme="minorHAnsi"/>
        </w:rPr>
        <w:t xml:space="preserve">This Legislative Instrument is compatible with the human rights and freedoms recognised or declared in the international instruments listed in section 3 of the </w:t>
      </w:r>
      <w:r w:rsidRPr="001D5966">
        <w:rPr>
          <w:rFonts w:cstheme="minorHAnsi"/>
          <w:i/>
        </w:rPr>
        <w:t>Human Rights (Parliamentary Scrutiny) Act 2011</w:t>
      </w:r>
      <w:r w:rsidRPr="001D5966">
        <w:rPr>
          <w:rFonts w:cstheme="minorHAnsi"/>
        </w:rPr>
        <w:t>.</w:t>
      </w:r>
    </w:p>
    <w:p w:rsidR="001B4262" w:rsidRPr="001D5966" w:rsidRDefault="001B4262" w:rsidP="001B4262">
      <w:pPr>
        <w:pStyle w:val="Heading3"/>
        <w:rPr>
          <w:rFonts w:asciiTheme="minorHAnsi" w:eastAsiaTheme="minorHAnsi" w:hAnsiTheme="minorHAnsi" w:cstheme="minorHAnsi"/>
          <w:sz w:val="22"/>
          <w:szCs w:val="22"/>
        </w:rPr>
      </w:pPr>
      <w:r w:rsidRPr="001D5966">
        <w:rPr>
          <w:rFonts w:asciiTheme="minorHAnsi" w:eastAsiaTheme="minorHAnsi" w:hAnsiTheme="minorHAnsi" w:cstheme="minorHAnsi"/>
          <w:sz w:val="22"/>
          <w:szCs w:val="22"/>
        </w:rPr>
        <w:t>Overview of the Legislative Instrument</w:t>
      </w:r>
    </w:p>
    <w:p w:rsidR="001B4262" w:rsidRPr="001D5966" w:rsidRDefault="001B4262" w:rsidP="001B4262">
      <w:pPr>
        <w:spacing w:before="120" w:after="120" w:line="240" w:lineRule="auto"/>
        <w:rPr>
          <w:rFonts w:cstheme="minorHAnsi"/>
        </w:rPr>
      </w:pPr>
      <w:r>
        <w:rPr>
          <w:rFonts w:ascii="Calibri" w:hAnsi="Calibri" w:cs="Calibri"/>
          <w:color w:val="000000"/>
          <w:shd w:val="clear" w:color="auto" w:fill="FFFFFF"/>
        </w:rPr>
        <w:t xml:space="preserve">Section </w:t>
      </w:r>
      <w:r>
        <w:rPr>
          <w:rFonts w:ascii="Calibri" w:eastAsia="Times New Roman" w:hAnsi="Calibri" w:cs="Calibri"/>
          <w:color w:val="000000"/>
          <w:lang w:eastAsia="en-AU"/>
        </w:rPr>
        <w:t>20</w:t>
      </w:r>
      <w:r w:rsidRPr="00370995">
        <w:rPr>
          <w:rFonts w:ascii="Calibri" w:eastAsia="Times New Roman" w:hAnsi="Calibri" w:cs="Calibri"/>
          <w:color w:val="000000"/>
          <w:lang w:eastAsia="en-AU"/>
        </w:rPr>
        <w:t xml:space="preserve"> of the </w:t>
      </w:r>
      <w:r>
        <w:rPr>
          <w:rFonts w:ascii="Calibri" w:eastAsia="Times New Roman" w:hAnsi="Calibri" w:cs="Calibri"/>
          <w:i/>
          <w:iCs/>
          <w:color w:val="000000"/>
          <w:lang w:eastAsia="en-AU"/>
        </w:rPr>
        <w:t xml:space="preserve">National Library Regulations 2018 </w:t>
      </w:r>
      <w:r>
        <w:rPr>
          <w:rFonts w:ascii="Calibri" w:eastAsia="Times New Roman" w:hAnsi="Calibri" w:cs="Calibri"/>
          <w:iCs/>
          <w:color w:val="000000"/>
          <w:lang w:eastAsia="en-AU"/>
        </w:rPr>
        <w:t>provide</w:t>
      </w:r>
      <w:r w:rsidR="00EB5ABC">
        <w:rPr>
          <w:rFonts w:ascii="Calibri" w:eastAsia="Times New Roman" w:hAnsi="Calibri" w:cs="Calibri"/>
          <w:iCs/>
          <w:color w:val="000000"/>
          <w:lang w:eastAsia="en-AU"/>
        </w:rPr>
        <w:t>s</w:t>
      </w:r>
      <w:r>
        <w:rPr>
          <w:rFonts w:ascii="Calibri" w:eastAsia="Times New Roman" w:hAnsi="Calibri" w:cs="Calibri"/>
          <w:iCs/>
          <w:color w:val="000000"/>
          <w:lang w:eastAsia="en-AU"/>
        </w:rPr>
        <w:t xml:space="preserve"> the Director-General authority </w:t>
      </w:r>
      <w:r w:rsidR="00EB5ABC">
        <w:rPr>
          <w:rFonts w:ascii="Calibri" w:hAnsi="Calibri" w:cs="Calibri"/>
          <w:color w:val="000000"/>
          <w:shd w:val="clear" w:color="auto" w:fill="FFFFFF"/>
        </w:rPr>
        <w:t>to issue a notice that specifies a prohibition or restriction relating to Library property</w:t>
      </w:r>
      <w:r>
        <w:rPr>
          <w:rFonts w:ascii="Calibri" w:hAnsi="Calibri" w:cs="Calibri"/>
          <w:color w:val="000000"/>
          <w:shd w:val="clear" w:color="auto" w:fill="FFFFFF"/>
        </w:rPr>
        <w:t>.</w:t>
      </w:r>
      <w:r w:rsidR="00EB5ABC">
        <w:rPr>
          <w:rFonts w:ascii="Calibri" w:hAnsi="Calibri" w:cs="Calibri"/>
          <w:color w:val="000000"/>
          <w:shd w:val="clear" w:color="auto" w:fill="FFFFFF"/>
        </w:rPr>
        <w:t xml:space="preserve">  The instrument </w:t>
      </w:r>
      <w:r w:rsidR="00EB5ABC" w:rsidRPr="00EB5ABC">
        <w:rPr>
          <w:rFonts w:ascii="Calibri" w:hAnsi="Calibri" w:cs="Calibri"/>
          <w:color w:val="000000"/>
          <w:shd w:val="clear" w:color="auto" w:fill="FFFFFF"/>
        </w:rPr>
        <w:t>provides for the prohibition of entry to the National Library of Australia outside of opening hours with the exception of attendance at approved events that are held outside of opening hours.</w:t>
      </w:r>
      <w:r w:rsidR="00EB5ABC">
        <w:rPr>
          <w:i/>
          <w:iCs/>
        </w:rPr>
        <w:t xml:space="preserve">   </w:t>
      </w:r>
    </w:p>
    <w:p w:rsidR="001B4262" w:rsidRPr="001D5966" w:rsidRDefault="001B4262" w:rsidP="001B4262">
      <w:pPr>
        <w:pStyle w:val="Heading3"/>
        <w:rPr>
          <w:rFonts w:asciiTheme="minorHAnsi" w:eastAsiaTheme="minorHAnsi" w:hAnsiTheme="minorHAnsi" w:cstheme="minorHAnsi"/>
          <w:sz w:val="22"/>
          <w:szCs w:val="22"/>
        </w:rPr>
      </w:pPr>
      <w:r w:rsidRPr="001D5966">
        <w:rPr>
          <w:rFonts w:asciiTheme="minorHAnsi" w:eastAsiaTheme="minorHAnsi" w:hAnsiTheme="minorHAnsi" w:cstheme="minorHAnsi"/>
          <w:sz w:val="22"/>
          <w:szCs w:val="22"/>
        </w:rPr>
        <w:t>Human rights implications</w:t>
      </w:r>
    </w:p>
    <w:p w:rsidR="001B4262" w:rsidRPr="001D5966" w:rsidRDefault="001B4262" w:rsidP="001B4262">
      <w:pPr>
        <w:spacing w:before="120" w:after="120" w:line="240" w:lineRule="auto"/>
        <w:rPr>
          <w:rFonts w:cstheme="minorHAnsi"/>
        </w:rPr>
      </w:pPr>
      <w:r w:rsidRPr="001D5966">
        <w:rPr>
          <w:rFonts w:cstheme="minorHAnsi"/>
        </w:rPr>
        <w:t xml:space="preserve">This Legislative Instrument </w:t>
      </w:r>
      <w:r w:rsidR="00EB5ABC">
        <w:rPr>
          <w:rFonts w:cstheme="minorHAnsi"/>
        </w:rPr>
        <w:t xml:space="preserve">regulates access to the National Library of Australia and therefore </w:t>
      </w:r>
      <w:r w:rsidRPr="001D5966">
        <w:rPr>
          <w:rFonts w:cstheme="minorHAnsi"/>
        </w:rPr>
        <w:t>engage</w:t>
      </w:r>
      <w:r w:rsidR="00EB5ABC">
        <w:rPr>
          <w:rFonts w:cstheme="minorHAnsi"/>
        </w:rPr>
        <w:t>s in the human right to enjoy and benefit from culture.</w:t>
      </w:r>
      <w:r w:rsidR="00BC3FC1">
        <w:rPr>
          <w:rFonts w:cstheme="minorHAnsi"/>
        </w:rPr>
        <w:t xml:space="preserve">  </w:t>
      </w:r>
      <w:r w:rsidR="00BC3FC1" w:rsidRPr="00BC3FC1">
        <w:rPr>
          <w:rFonts w:cstheme="minorHAnsi"/>
        </w:rPr>
        <w:t xml:space="preserve">Article 15 of </w:t>
      </w:r>
      <w:r w:rsidR="00BC3FC1">
        <w:rPr>
          <w:rFonts w:cstheme="minorHAnsi"/>
          <w:i/>
        </w:rPr>
        <w:t>International Covenant on Economic, Social and Cultural Rights</w:t>
      </w:r>
      <w:r w:rsidR="00BC3FC1" w:rsidRPr="00BC3FC1">
        <w:rPr>
          <w:rFonts w:cstheme="minorHAnsi"/>
        </w:rPr>
        <w:t xml:space="preserve"> protects the right of all persons to take part in cultural life and to enjoy the benefits of scientific progress and its applications</w:t>
      </w:r>
      <w:r w:rsidR="00BC3FC1">
        <w:rPr>
          <w:rFonts w:cstheme="minorHAnsi"/>
        </w:rPr>
        <w:t>.</w:t>
      </w:r>
      <w:r w:rsidR="00EB5ABC">
        <w:rPr>
          <w:rFonts w:cstheme="minorHAnsi"/>
        </w:rPr>
        <w:t xml:space="preserve"> </w:t>
      </w:r>
      <w:r w:rsidR="002C23EA">
        <w:rPr>
          <w:rFonts w:cstheme="minorHAnsi"/>
        </w:rPr>
        <w:t xml:space="preserve">  To ensure safety of individuals and security of the collection, </w:t>
      </w:r>
      <w:r w:rsidR="00BC3FC1">
        <w:rPr>
          <w:rFonts w:cstheme="minorHAnsi"/>
        </w:rPr>
        <w:t>prohibiting</w:t>
      </w:r>
      <w:r w:rsidR="002C23EA">
        <w:rPr>
          <w:rFonts w:cstheme="minorHAnsi"/>
        </w:rPr>
        <w:t xml:space="preserve"> access to the Library </w:t>
      </w:r>
      <w:r w:rsidR="00BC3FC1">
        <w:rPr>
          <w:rFonts w:cstheme="minorHAnsi"/>
        </w:rPr>
        <w:t>outside</w:t>
      </w:r>
      <w:r w:rsidR="002C23EA">
        <w:rPr>
          <w:rFonts w:cstheme="minorHAnsi"/>
        </w:rPr>
        <w:t xml:space="preserve"> opening hours is appropriate, and compatible with human rights. </w:t>
      </w:r>
      <w:r w:rsidR="00EB5ABC">
        <w:rPr>
          <w:rFonts w:cstheme="minorHAnsi"/>
        </w:rPr>
        <w:t xml:space="preserve"> </w:t>
      </w:r>
      <w:r w:rsidRPr="001D5966">
        <w:rPr>
          <w:rFonts w:cstheme="minorHAnsi"/>
        </w:rPr>
        <w:t xml:space="preserve"> </w:t>
      </w:r>
    </w:p>
    <w:p w:rsidR="001B4262" w:rsidRPr="001D5966" w:rsidRDefault="001B4262" w:rsidP="001B4262">
      <w:pPr>
        <w:pStyle w:val="Heading3"/>
        <w:rPr>
          <w:rFonts w:asciiTheme="minorHAnsi" w:eastAsiaTheme="minorHAnsi" w:hAnsiTheme="minorHAnsi" w:cstheme="minorHAnsi"/>
          <w:sz w:val="22"/>
          <w:szCs w:val="22"/>
        </w:rPr>
      </w:pPr>
      <w:r w:rsidRPr="001D5966">
        <w:rPr>
          <w:rFonts w:asciiTheme="minorHAnsi" w:eastAsiaTheme="minorHAnsi" w:hAnsiTheme="minorHAnsi" w:cstheme="minorHAnsi"/>
          <w:sz w:val="22"/>
          <w:szCs w:val="22"/>
        </w:rPr>
        <w:t>Conclusion</w:t>
      </w:r>
    </w:p>
    <w:p w:rsidR="001B4262" w:rsidRPr="001D5966" w:rsidRDefault="001B4262" w:rsidP="001B4262">
      <w:pPr>
        <w:spacing w:before="120" w:after="120" w:line="240" w:lineRule="auto"/>
        <w:rPr>
          <w:rFonts w:cstheme="minorHAnsi"/>
        </w:rPr>
      </w:pPr>
      <w:r w:rsidRPr="001D5966">
        <w:rPr>
          <w:rFonts w:cstheme="minorHAnsi"/>
        </w:rPr>
        <w:t>This Legislative Instrument is compatible with human rights.</w:t>
      </w:r>
    </w:p>
    <w:p w:rsidR="001B4262" w:rsidRDefault="001B4262">
      <w:pPr>
        <w:rPr>
          <w:rFonts w:cstheme="minorHAnsi"/>
        </w:rPr>
      </w:pPr>
    </w:p>
    <w:p w:rsidR="002C23EA" w:rsidRDefault="002C23EA" w:rsidP="001B4262">
      <w:pPr>
        <w:jc w:val="right"/>
        <w:rPr>
          <w:rFonts w:cstheme="minorHAnsi"/>
        </w:rPr>
      </w:pPr>
    </w:p>
    <w:p w:rsidR="002C23EA" w:rsidRDefault="002C23EA" w:rsidP="001B4262">
      <w:pPr>
        <w:jc w:val="right"/>
        <w:rPr>
          <w:rFonts w:cstheme="minorHAnsi"/>
        </w:rPr>
      </w:pPr>
    </w:p>
    <w:p w:rsidR="00BE20B8" w:rsidRDefault="001B4262" w:rsidP="001B4262">
      <w:pPr>
        <w:jc w:val="right"/>
        <w:rPr>
          <w:rFonts w:cstheme="minorHAnsi"/>
          <w:b/>
        </w:rPr>
      </w:pPr>
      <w:r>
        <w:rPr>
          <w:rFonts w:cstheme="minorHAnsi"/>
        </w:rPr>
        <w:t>As approved by Dr Marie-Louise Ayres, Director-General on 1 March 2019</w:t>
      </w:r>
    </w:p>
    <w:p w:rsidR="001D5966" w:rsidRPr="001D5966" w:rsidRDefault="001D5966">
      <w:pPr>
        <w:rPr>
          <w:rFonts w:cstheme="minorHAnsi"/>
        </w:rPr>
      </w:pPr>
    </w:p>
    <w:sectPr w:rsidR="001D5966" w:rsidRPr="001D5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95"/>
    <w:rsid w:val="000370D0"/>
    <w:rsid w:val="001B4262"/>
    <w:rsid w:val="001D5966"/>
    <w:rsid w:val="002C23EA"/>
    <w:rsid w:val="003445EB"/>
    <w:rsid w:val="00370995"/>
    <w:rsid w:val="00432CF8"/>
    <w:rsid w:val="00485C0A"/>
    <w:rsid w:val="005A35B1"/>
    <w:rsid w:val="0065711F"/>
    <w:rsid w:val="007968E2"/>
    <w:rsid w:val="00947461"/>
    <w:rsid w:val="00A0099E"/>
    <w:rsid w:val="00BC3FC1"/>
    <w:rsid w:val="00BE20B8"/>
    <w:rsid w:val="00CC372E"/>
    <w:rsid w:val="00D30FBF"/>
    <w:rsid w:val="00D35C3F"/>
    <w:rsid w:val="00D95C5F"/>
    <w:rsid w:val="00EB5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B025B-14F6-4239-B8F2-358EB1FB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5966"/>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1D5966"/>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bold"/>
    <w:basedOn w:val="Normal"/>
    <w:rsid w:val="003709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1D5966"/>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1D5966"/>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sid w:val="002C2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4865">
      <w:bodyDiv w:val="1"/>
      <w:marLeft w:val="0"/>
      <w:marRight w:val="0"/>
      <w:marTop w:val="0"/>
      <w:marBottom w:val="0"/>
      <w:divBdr>
        <w:top w:val="none" w:sz="0" w:space="0" w:color="auto"/>
        <w:left w:val="none" w:sz="0" w:space="0" w:color="auto"/>
        <w:bottom w:val="none" w:sz="0" w:space="0" w:color="auto"/>
        <w:right w:val="none" w:sz="0" w:space="0" w:color="auto"/>
      </w:divBdr>
    </w:div>
    <w:div w:id="381903285">
      <w:bodyDiv w:val="1"/>
      <w:marLeft w:val="0"/>
      <w:marRight w:val="0"/>
      <w:marTop w:val="0"/>
      <w:marBottom w:val="0"/>
      <w:divBdr>
        <w:top w:val="none" w:sz="0" w:space="0" w:color="auto"/>
        <w:left w:val="none" w:sz="0" w:space="0" w:color="auto"/>
        <w:bottom w:val="none" w:sz="0" w:space="0" w:color="auto"/>
        <w:right w:val="none" w:sz="0" w:space="0" w:color="auto"/>
      </w:divBdr>
    </w:div>
    <w:div w:id="13317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1684</Characters>
  <Application>Microsoft Office Word</Application>
  <DocSecurity>4</DocSecurity>
  <Lines>99</Lines>
  <Paragraphs>90</Paragraphs>
  <ScaleCrop>false</ScaleCrop>
  <HeadingPairs>
    <vt:vector size="2" baseType="variant">
      <vt:variant>
        <vt:lpstr>Title</vt:lpstr>
      </vt:variant>
      <vt:variant>
        <vt:i4>1</vt:i4>
      </vt:variant>
    </vt:vector>
  </HeadingPairs>
  <TitlesOfParts>
    <vt:vector size="1" baseType="lpstr">
      <vt:lpstr/>
    </vt:vector>
  </TitlesOfParts>
  <Company>National Library of Australia</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Burns</dc:creator>
  <cp:keywords/>
  <dc:description/>
  <cp:lastModifiedBy>Siew Dyer</cp:lastModifiedBy>
  <cp:revision>2</cp:revision>
  <cp:lastPrinted>2019-03-01T03:19:00Z</cp:lastPrinted>
  <dcterms:created xsi:type="dcterms:W3CDTF">2019-03-04T04:25:00Z</dcterms:created>
  <dcterms:modified xsi:type="dcterms:W3CDTF">2019-03-04T04:25:00Z</dcterms:modified>
</cp:coreProperties>
</file>