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95" w:rsidRDefault="00407795" w:rsidP="00407795">
      <w:pPr>
        <w:pStyle w:val="Title"/>
        <w:spacing w:before="0"/>
        <w:jc w:val="center"/>
        <w:outlineLvl w:val="0"/>
        <w:rPr>
          <w:u w:val="single"/>
        </w:rPr>
      </w:pPr>
      <w:bookmarkStart w:id="0" w:name="_GoBack"/>
      <w:bookmarkEnd w:id="0"/>
      <w:r w:rsidRPr="00010471">
        <w:rPr>
          <w:u w:val="single"/>
        </w:rPr>
        <w:t>EXPLANATORY STATEMENT</w:t>
      </w:r>
    </w:p>
    <w:p w:rsidR="00F60F4B" w:rsidRPr="00407795" w:rsidRDefault="00F60F4B" w:rsidP="000E05B1">
      <w:pPr>
        <w:pStyle w:val="Title"/>
        <w:spacing w:before="0"/>
        <w:outlineLvl w:val="0"/>
        <w:rPr>
          <w:u w:val="single"/>
        </w:rPr>
      </w:pPr>
    </w:p>
    <w:p w:rsidR="00DB42BB" w:rsidRPr="000E05B1" w:rsidRDefault="00123C10" w:rsidP="000E05B1">
      <w:pPr>
        <w:pStyle w:val="BodyText"/>
        <w:spacing w:before="0" w:after="240"/>
        <w:rPr>
          <w:rFonts w:cs="Arial"/>
        </w:rPr>
      </w:pPr>
      <w:r w:rsidRPr="000E05B1">
        <w:rPr>
          <w:rFonts w:cs="Arial"/>
          <w:i/>
        </w:rPr>
        <w:t>Social Security (</w:t>
      </w:r>
      <w:r w:rsidR="000E05B1" w:rsidRPr="000E05B1">
        <w:rPr>
          <w:rFonts w:cs="Arial"/>
          <w:i/>
        </w:rPr>
        <w:t xml:space="preserve">Special Circumstances Exemption </w:t>
      </w:r>
      <w:r w:rsidR="00865562">
        <w:rPr>
          <w:rFonts w:cs="Arial"/>
          <w:i/>
        </w:rPr>
        <w:t xml:space="preserve">to Youth Allowance Activity Test </w:t>
      </w:r>
      <w:r w:rsidR="000E05B1" w:rsidRPr="000E05B1">
        <w:rPr>
          <w:rFonts w:cs="Arial"/>
          <w:i/>
        </w:rPr>
        <w:t>Guidelines</w:t>
      </w:r>
      <w:r w:rsidRPr="000E05B1">
        <w:rPr>
          <w:rFonts w:cs="Arial"/>
          <w:i/>
        </w:rPr>
        <w:t xml:space="preserve">) </w:t>
      </w:r>
      <w:r w:rsidR="00CD7A0E" w:rsidRPr="00010471">
        <w:rPr>
          <w:rFonts w:cs="Arial"/>
          <w:i/>
        </w:rPr>
        <w:t>Instrument</w:t>
      </w:r>
      <w:r w:rsidRPr="00010471">
        <w:rPr>
          <w:rFonts w:cs="Arial"/>
          <w:i/>
        </w:rPr>
        <w:t xml:space="preserve"> 2019</w:t>
      </w:r>
    </w:p>
    <w:p w:rsidR="00407795" w:rsidRPr="00407795" w:rsidRDefault="00407795" w:rsidP="00CB48D4">
      <w:pPr>
        <w:keepNext/>
        <w:spacing w:before="0" w:after="240"/>
        <w:outlineLvl w:val="0"/>
        <w:rPr>
          <w:rFonts w:cs="Arial"/>
          <w:b/>
        </w:rPr>
      </w:pPr>
      <w:r w:rsidRPr="00407795">
        <w:rPr>
          <w:rFonts w:cs="Arial"/>
          <w:b/>
        </w:rPr>
        <w:t>Summary</w:t>
      </w:r>
    </w:p>
    <w:p w:rsidR="00D53217" w:rsidRDefault="003F6BA9" w:rsidP="00895EB3">
      <w:pPr>
        <w:pStyle w:val="numberlist"/>
        <w:tabs>
          <w:tab w:val="center" w:pos="4677"/>
        </w:tabs>
        <w:spacing w:after="240"/>
        <w:rPr>
          <w:rFonts w:cs="Arial"/>
        </w:rPr>
      </w:pPr>
      <w:r w:rsidRPr="003F6BA9">
        <w:t>The</w:t>
      </w:r>
      <w:r>
        <w:rPr>
          <w:i/>
        </w:rPr>
        <w:t xml:space="preserve"> </w:t>
      </w:r>
      <w:r w:rsidR="00123C10">
        <w:rPr>
          <w:i/>
        </w:rPr>
        <w:t>Social Security (</w:t>
      </w:r>
      <w:r w:rsidR="000E05B1" w:rsidRPr="000E05B1">
        <w:rPr>
          <w:i/>
        </w:rPr>
        <w:t xml:space="preserve">Special Circumstances Exemption </w:t>
      </w:r>
      <w:r w:rsidR="00865562">
        <w:rPr>
          <w:i/>
        </w:rPr>
        <w:t xml:space="preserve">to Youth Allowance Activity Test </w:t>
      </w:r>
      <w:r w:rsidR="000E05B1" w:rsidRPr="000E05B1">
        <w:rPr>
          <w:i/>
        </w:rPr>
        <w:t>Guidelines</w:t>
      </w:r>
      <w:r w:rsidR="00123C10">
        <w:rPr>
          <w:i/>
        </w:rPr>
        <w:t xml:space="preserve">) </w:t>
      </w:r>
      <w:r w:rsidR="00CD7A0E" w:rsidRPr="00010471">
        <w:rPr>
          <w:i/>
        </w:rPr>
        <w:t>Instrument</w:t>
      </w:r>
      <w:r w:rsidR="00123C10" w:rsidRPr="00010471">
        <w:rPr>
          <w:i/>
        </w:rPr>
        <w:t xml:space="preserve"> 2019</w:t>
      </w:r>
      <w:r w:rsidR="00D53217" w:rsidRPr="00D53217">
        <w:rPr>
          <w:rFonts w:cs="Arial"/>
        </w:rPr>
        <w:t xml:space="preserve"> </w:t>
      </w:r>
      <w:r w:rsidR="00D93E29">
        <w:rPr>
          <w:rFonts w:cs="Arial"/>
        </w:rPr>
        <w:t xml:space="preserve">(the instrument) </w:t>
      </w:r>
      <w:r w:rsidR="00D53217" w:rsidRPr="00D53217">
        <w:rPr>
          <w:rFonts w:cs="Arial"/>
        </w:rPr>
        <w:t xml:space="preserve">is made by the </w:t>
      </w:r>
      <w:r w:rsidR="00123C10">
        <w:rPr>
          <w:rFonts w:cs="Arial"/>
        </w:rPr>
        <w:t>Minister</w:t>
      </w:r>
      <w:r w:rsidR="00D53217" w:rsidRPr="00D53217">
        <w:rPr>
          <w:rFonts w:cs="Arial"/>
        </w:rPr>
        <w:t xml:space="preserve"> </w:t>
      </w:r>
      <w:r w:rsidR="000E05B1">
        <w:rPr>
          <w:rFonts w:cs="Arial"/>
        </w:rPr>
        <w:t>for</w:t>
      </w:r>
      <w:r w:rsidR="00D53217" w:rsidRPr="00D53217">
        <w:rPr>
          <w:rFonts w:cs="Arial"/>
        </w:rPr>
        <w:t xml:space="preserve"> </w:t>
      </w:r>
      <w:r w:rsidR="00DB3744">
        <w:rPr>
          <w:rFonts w:cs="Arial"/>
        </w:rPr>
        <w:t>Jobs</w:t>
      </w:r>
      <w:r w:rsidR="00BF793B">
        <w:rPr>
          <w:rFonts w:cs="Arial"/>
        </w:rPr>
        <w:t xml:space="preserve"> and</w:t>
      </w:r>
      <w:r w:rsidR="00F80927">
        <w:rPr>
          <w:rFonts w:cs="Arial"/>
        </w:rPr>
        <w:t xml:space="preserve"> Industrial Relations </w:t>
      </w:r>
      <w:r w:rsidR="00B97078">
        <w:rPr>
          <w:rFonts w:cs="Arial"/>
        </w:rPr>
        <w:t>under s</w:t>
      </w:r>
      <w:r w:rsidR="00243FF8">
        <w:rPr>
          <w:rFonts w:cs="Arial"/>
        </w:rPr>
        <w:t>ubsection</w:t>
      </w:r>
      <w:r w:rsidR="000E05B1">
        <w:rPr>
          <w:rFonts w:cs="Arial"/>
        </w:rPr>
        <w:t> </w:t>
      </w:r>
      <w:r w:rsidR="00426FB2">
        <w:rPr>
          <w:rFonts w:cs="Arial"/>
        </w:rPr>
        <w:t>542H(1B)</w:t>
      </w:r>
      <w:r w:rsidR="00B97078">
        <w:rPr>
          <w:rFonts w:cs="Arial"/>
        </w:rPr>
        <w:t xml:space="preserve"> of the </w:t>
      </w:r>
      <w:r w:rsidR="00B97078" w:rsidRPr="003F39DF">
        <w:rPr>
          <w:rFonts w:cs="Arial"/>
          <w:i/>
        </w:rPr>
        <w:t>Social Security</w:t>
      </w:r>
      <w:r w:rsidR="007A5D55">
        <w:rPr>
          <w:rFonts w:cs="Arial"/>
          <w:i/>
        </w:rPr>
        <w:t xml:space="preserve"> Act</w:t>
      </w:r>
      <w:r w:rsidR="00B97078" w:rsidRPr="003F39DF">
        <w:rPr>
          <w:rFonts w:cs="Arial"/>
          <w:i/>
        </w:rPr>
        <w:t xml:space="preserve"> 199</w:t>
      </w:r>
      <w:r w:rsidR="00123C10">
        <w:rPr>
          <w:rFonts w:cs="Arial"/>
          <w:i/>
        </w:rPr>
        <w:t>1</w:t>
      </w:r>
      <w:r w:rsidR="00B97078">
        <w:rPr>
          <w:rFonts w:cs="Arial"/>
        </w:rPr>
        <w:t xml:space="preserve"> (the Act)</w:t>
      </w:r>
      <w:r w:rsidR="00D53217" w:rsidRPr="00D53217">
        <w:rPr>
          <w:rFonts w:cs="Arial"/>
        </w:rPr>
        <w:t>.</w:t>
      </w:r>
    </w:p>
    <w:p w:rsidR="003F6BA9" w:rsidRPr="000E05B1" w:rsidRDefault="003F6BA9" w:rsidP="00895EB3">
      <w:pPr>
        <w:pStyle w:val="numberlist"/>
        <w:tabs>
          <w:tab w:val="center" w:pos="4677"/>
        </w:tabs>
        <w:spacing w:after="240"/>
        <w:rPr>
          <w:rFonts w:cs="Arial"/>
          <w:szCs w:val="24"/>
        </w:rPr>
      </w:pPr>
      <w:r w:rsidRPr="00B51C04">
        <w:rPr>
          <w:rFonts w:cs="Arial"/>
          <w:szCs w:val="24"/>
        </w:rPr>
        <w:t xml:space="preserve">The purpose of the </w:t>
      </w:r>
      <w:r w:rsidR="00E37088" w:rsidRPr="00B51C04">
        <w:rPr>
          <w:rFonts w:cs="Arial"/>
          <w:szCs w:val="24"/>
        </w:rPr>
        <w:t>i</w:t>
      </w:r>
      <w:r w:rsidR="002410A7" w:rsidRPr="00B51C04">
        <w:rPr>
          <w:rFonts w:cs="Arial"/>
          <w:szCs w:val="24"/>
        </w:rPr>
        <w:t>nstrument</w:t>
      </w:r>
      <w:r w:rsidRPr="00B51C04">
        <w:rPr>
          <w:rFonts w:cs="Arial"/>
          <w:szCs w:val="24"/>
        </w:rPr>
        <w:t xml:space="preserve"> is to set out guidelines </w:t>
      </w:r>
      <w:r w:rsidR="00B51C04">
        <w:rPr>
          <w:rFonts w:cs="Arial"/>
          <w:szCs w:val="24"/>
        </w:rPr>
        <w:t>for determining</w:t>
      </w:r>
      <w:r w:rsidRPr="00B51C04">
        <w:rPr>
          <w:rFonts w:cs="Arial"/>
          <w:szCs w:val="24"/>
        </w:rPr>
        <w:t xml:space="preserve"> </w:t>
      </w:r>
      <w:r w:rsidR="00B51C04" w:rsidRPr="00B51C04">
        <w:rPr>
          <w:rFonts w:cs="Arial"/>
          <w:szCs w:val="24"/>
        </w:rPr>
        <w:t xml:space="preserve">whether a </w:t>
      </w:r>
      <w:r w:rsidR="00710092">
        <w:rPr>
          <w:rFonts w:cs="Arial"/>
          <w:szCs w:val="24"/>
        </w:rPr>
        <w:t>person</w:t>
      </w:r>
      <w:r w:rsidR="00B51C04" w:rsidRPr="00B51C04">
        <w:rPr>
          <w:rFonts w:cs="Arial"/>
          <w:szCs w:val="24"/>
        </w:rPr>
        <w:t xml:space="preserve"> has a special circumstances exemption from the activity test for youth allowance</w:t>
      </w:r>
      <w:r w:rsidR="00D446A9">
        <w:rPr>
          <w:rFonts w:cs="Arial"/>
          <w:szCs w:val="24"/>
        </w:rPr>
        <w:t xml:space="preserve"> and provide guidance on the period of that exemption</w:t>
      </w:r>
      <w:r w:rsidR="00B51C04" w:rsidRPr="00B51C04">
        <w:rPr>
          <w:rFonts w:cs="Arial"/>
          <w:szCs w:val="24"/>
        </w:rPr>
        <w:t>.</w:t>
      </w:r>
    </w:p>
    <w:p w:rsidR="00D53217" w:rsidRDefault="008E2D19" w:rsidP="00CB48D4">
      <w:pPr>
        <w:keepNext/>
        <w:spacing w:before="0" w:after="240"/>
        <w:outlineLvl w:val="0"/>
        <w:rPr>
          <w:rFonts w:cs="Arial"/>
          <w:b/>
        </w:rPr>
      </w:pPr>
      <w:r>
        <w:rPr>
          <w:rFonts w:cs="Arial"/>
          <w:b/>
        </w:rPr>
        <w:t>Background</w:t>
      </w:r>
    </w:p>
    <w:p w:rsidR="00DC2059" w:rsidRDefault="00315FC9" w:rsidP="00895EB3">
      <w:pPr>
        <w:pStyle w:val="numberlist"/>
        <w:tabs>
          <w:tab w:val="center" w:pos="4677"/>
        </w:tabs>
        <w:spacing w:after="240"/>
        <w:rPr>
          <w:rFonts w:cs="Arial"/>
          <w:szCs w:val="24"/>
        </w:rPr>
      </w:pPr>
      <w:r w:rsidRPr="00010471">
        <w:rPr>
          <w:rFonts w:cs="Arial"/>
          <w:szCs w:val="24"/>
        </w:rPr>
        <w:t xml:space="preserve">One of the qualifications for youth allowance is that a person must </w:t>
      </w:r>
      <w:r w:rsidR="00B7220E" w:rsidRPr="00010471">
        <w:rPr>
          <w:rFonts w:cs="Arial"/>
          <w:szCs w:val="24"/>
        </w:rPr>
        <w:t xml:space="preserve">either </w:t>
      </w:r>
      <w:r w:rsidR="00A231B9" w:rsidRPr="00010471">
        <w:rPr>
          <w:rFonts w:cs="Arial"/>
          <w:szCs w:val="24"/>
        </w:rPr>
        <w:t>satisfy the activity test or not be required to satisfy the activity test.</w:t>
      </w:r>
      <w:r w:rsidR="00940239">
        <w:rPr>
          <w:rFonts w:cs="Arial"/>
          <w:szCs w:val="24"/>
        </w:rPr>
        <w:t xml:space="preserve"> </w:t>
      </w:r>
      <w:r w:rsidR="00A231B9" w:rsidRPr="00010471">
        <w:rPr>
          <w:rFonts w:cs="Arial"/>
          <w:szCs w:val="24"/>
        </w:rPr>
        <w:t>A person is not required to satisfy the activity test in respect of a period if throughout the period the person has a special circumstances exemption under section 542H of the Act.</w:t>
      </w:r>
    </w:p>
    <w:p w:rsidR="00472718" w:rsidRDefault="003F6BA9" w:rsidP="00895EB3">
      <w:pPr>
        <w:pStyle w:val="numberlist"/>
        <w:tabs>
          <w:tab w:val="center" w:pos="4677"/>
        </w:tabs>
        <w:spacing w:after="240"/>
        <w:rPr>
          <w:rFonts w:cs="Arial"/>
          <w:szCs w:val="24"/>
        </w:rPr>
      </w:pPr>
      <w:r w:rsidRPr="00FE49AD">
        <w:rPr>
          <w:rFonts w:cs="Arial"/>
          <w:szCs w:val="24"/>
        </w:rPr>
        <w:t>Under subsection</w:t>
      </w:r>
      <w:r w:rsidR="000E05B1">
        <w:rPr>
          <w:rFonts w:cs="Arial"/>
          <w:szCs w:val="24"/>
        </w:rPr>
        <w:t> </w:t>
      </w:r>
      <w:r w:rsidRPr="00FE49AD">
        <w:rPr>
          <w:rFonts w:cs="Arial"/>
          <w:szCs w:val="24"/>
        </w:rPr>
        <w:t>542H(1) of the Act, a person has a special circumstances exemption for youth allowance for a period if the Secretary is satisfied that special circumstances bey</w:t>
      </w:r>
      <w:r w:rsidR="000E05B1">
        <w:rPr>
          <w:rFonts w:cs="Arial"/>
          <w:szCs w:val="24"/>
        </w:rPr>
        <w:t>ond the person’s control exist,</w:t>
      </w:r>
      <w:r w:rsidRPr="00FE49AD">
        <w:rPr>
          <w:rFonts w:cs="Arial"/>
          <w:szCs w:val="24"/>
        </w:rPr>
        <w:t xml:space="preserve"> and that it </w:t>
      </w:r>
      <w:r w:rsidR="00FF7B7C">
        <w:rPr>
          <w:rFonts w:cs="Arial"/>
          <w:szCs w:val="24"/>
        </w:rPr>
        <w:t>would</w:t>
      </w:r>
      <w:r w:rsidRPr="00FE49AD">
        <w:rPr>
          <w:rFonts w:cs="Arial"/>
          <w:szCs w:val="24"/>
        </w:rPr>
        <w:t xml:space="preserve"> be unreasonable </w:t>
      </w:r>
      <w:r w:rsidR="00A63774" w:rsidRPr="00FE49AD">
        <w:rPr>
          <w:rFonts w:cs="Arial"/>
          <w:szCs w:val="24"/>
        </w:rPr>
        <w:t xml:space="preserve">in those circumstances </w:t>
      </w:r>
      <w:r w:rsidRPr="00FE49AD">
        <w:rPr>
          <w:rFonts w:cs="Arial"/>
          <w:szCs w:val="24"/>
        </w:rPr>
        <w:t xml:space="preserve">to expect the person to satisfy the </w:t>
      </w:r>
      <w:r w:rsidR="000E05B1">
        <w:rPr>
          <w:rFonts w:cs="Arial"/>
          <w:szCs w:val="24"/>
        </w:rPr>
        <w:t>activity test for that period.</w:t>
      </w:r>
    </w:p>
    <w:p w:rsidR="00170D2D" w:rsidRDefault="00170D2D" w:rsidP="00170D2D">
      <w:pPr>
        <w:pStyle w:val="Default"/>
        <w:spacing w:after="240"/>
      </w:pPr>
      <w:r>
        <w:t>Where the Secretary makes a decision that a person has a special circumstances exemption for a period, the period cannot exceed 13 weeks (s</w:t>
      </w:r>
      <w:r w:rsidR="00BE22BB">
        <w:t>ub</w:t>
      </w:r>
      <w:r>
        <w:t>s</w:t>
      </w:r>
      <w:r w:rsidR="00BE22BB">
        <w:t xml:space="preserve">ection </w:t>
      </w:r>
      <w:r>
        <w:t>542H(2)</w:t>
      </w:r>
      <w:r w:rsidR="00BE22BB">
        <w:t xml:space="preserve"> of the Act</w:t>
      </w:r>
      <w:r>
        <w:t xml:space="preserve">). </w:t>
      </w:r>
      <w:r w:rsidR="00D446A9">
        <w:t xml:space="preserve">However, </w:t>
      </w:r>
      <w:r>
        <w:t xml:space="preserve">the Secretary </w:t>
      </w:r>
      <w:r w:rsidR="00D446A9">
        <w:t xml:space="preserve">can </w:t>
      </w:r>
      <w:r>
        <w:t>make more than one decision that a special circumstances exemption applies</w:t>
      </w:r>
      <w:r w:rsidR="00D446A9">
        <w:t>.</w:t>
      </w:r>
      <w:r w:rsidR="00940239">
        <w:t xml:space="preserve"> </w:t>
      </w:r>
      <w:r w:rsidR="00D446A9">
        <w:t xml:space="preserve">Where this occurs, if </w:t>
      </w:r>
      <w:r>
        <w:t xml:space="preserve">the periods to which the decisions relate form a continuous period, </w:t>
      </w:r>
      <w:r w:rsidRPr="00010471">
        <w:t>th</w:t>
      </w:r>
      <w:r w:rsidR="006E6706" w:rsidRPr="00010471">
        <w:t>e continuous</w:t>
      </w:r>
      <w:r>
        <w:t xml:space="preserve"> period cannot exceed 13 weeks, unless the Secretary decides otherwise having regard to the continued existence, or likely continued existence, of the special circumstances on which the last preceding decision was based (s</w:t>
      </w:r>
      <w:r w:rsidR="00CC798C">
        <w:t>ub</w:t>
      </w:r>
      <w:r>
        <w:t>s</w:t>
      </w:r>
      <w:r w:rsidR="00CC798C">
        <w:t xml:space="preserve">ection </w:t>
      </w:r>
      <w:r>
        <w:t>542H(3)</w:t>
      </w:r>
      <w:r w:rsidR="00BE22BB">
        <w:t xml:space="preserve"> of the Act</w:t>
      </w:r>
      <w:r>
        <w:t xml:space="preserve">).  </w:t>
      </w:r>
    </w:p>
    <w:p w:rsidR="00472718" w:rsidRDefault="003F6BA9" w:rsidP="00895EB3">
      <w:pPr>
        <w:pStyle w:val="numberlist"/>
        <w:tabs>
          <w:tab w:val="center" w:pos="4677"/>
        </w:tabs>
        <w:spacing w:after="240"/>
        <w:rPr>
          <w:rFonts w:cs="Arial"/>
          <w:szCs w:val="24"/>
        </w:rPr>
      </w:pPr>
      <w:r w:rsidRPr="00FE49AD">
        <w:rPr>
          <w:rFonts w:cs="Arial"/>
          <w:szCs w:val="24"/>
        </w:rPr>
        <w:t>In mak</w:t>
      </w:r>
      <w:r w:rsidR="000E05B1">
        <w:rPr>
          <w:rFonts w:cs="Arial"/>
          <w:szCs w:val="24"/>
        </w:rPr>
        <w:t>ing a decision under subsection </w:t>
      </w:r>
      <w:r w:rsidR="00293203">
        <w:rPr>
          <w:rFonts w:cs="Arial"/>
          <w:szCs w:val="24"/>
        </w:rPr>
        <w:t>542H</w:t>
      </w:r>
      <w:r w:rsidRPr="00FE49AD">
        <w:rPr>
          <w:rFonts w:cs="Arial"/>
          <w:szCs w:val="24"/>
        </w:rPr>
        <w:t>(1)</w:t>
      </w:r>
      <w:r w:rsidR="004A2E2E">
        <w:rPr>
          <w:rFonts w:cs="Arial"/>
          <w:szCs w:val="24"/>
        </w:rPr>
        <w:t>,</w:t>
      </w:r>
      <w:r w:rsidRPr="00FE49AD">
        <w:rPr>
          <w:rFonts w:cs="Arial"/>
          <w:szCs w:val="24"/>
        </w:rPr>
        <w:t xml:space="preserve"> </w:t>
      </w:r>
      <w:r w:rsidR="007010B1">
        <w:rPr>
          <w:rFonts w:cs="Arial"/>
          <w:szCs w:val="24"/>
        </w:rPr>
        <w:t>and subject to subsections (2) and (3),</w:t>
      </w:r>
      <w:r w:rsidR="00EE5386">
        <w:rPr>
          <w:rFonts w:cs="Arial"/>
          <w:szCs w:val="24"/>
        </w:rPr>
        <w:t xml:space="preserve"> </w:t>
      </w:r>
      <w:r w:rsidRPr="00FE49AD">
        <w:rPr>
          <w:rFonts w:cs="Arial"/>
          <w:szCs w:val="24"/>
        </w:rPr>
        <w:t>the Secretary is to have regar</w:t>
      </w:r>
      <w:r w:rsidR="000E05B1">
        <w:rPr>
          <w:rFonts w:cs="Arial"/>
          <w:szCs w:val="24"/>
        </w:rPr>
        <w:t xml:space="preserve">d to the guidelines </w:t>
      </w:r>
      <w:r w:rsidR="00A63774">
        <w:rPr>
          <w:rFonts w:cs="Arial"/>
          <w:szCs w:val="24"/>
        </w:rPr>
        <w:t xml:space="preserve">made by the Minister under subsection 542H(1B) of the Act </w:t>
      </w:r>
      <w:r w:rsidR="000E05B1">
        <w:rPr>
          <w:rFonts w:cs="Arial"/>
          <w:szCs w:val="24"/>
        </w:rPr>
        <w:t>(subsection </w:t>
      </w:r>
      <w:r w:rsidRPr="00FE49AD">
        <w:rPr>
          <w:rFonts w:cs="Arial"/>
          <w:szCs w:val="24"/>
        </w:rPr>
        <w:t>542H(</w:t>
      </w:r>
      <w:r>
        <w:rPr>
          <w:rFonts w:cs="Arial"/>
          <w:szCs w:val="24"/>
        </w:rPr>
        <w:t>1A</w:t>
      </w:r>
      <w:r w:rsidRPr="00FE49AD">
        <w:rPr>
          <w:rFonts w:cs="Arial"/>
          <w:szCs w:val="24"/>
        </w:rPr>
        <w:t>)</w:t>
      </w:r>
      <w:r w:rsidR="00142DA1">
        <w:rPr>
          <w:rFonts w:cs="Arial"/>
          <w:szCs w:val="24"/>
        </w:rPr>
        <w:t xml:space="preserve"> of the Act</w:t>
      </w:r>
      <w:r w:rsidR="000E05B1">
        <w:rPr>
          <w:rFonts w:cs="Arial"/>
          <w:szCs w:val="24"/>
        </w:rPr>
        <w:t>).</w:t>
      </w:r>
    </w:p>
    <w:p w:rsidR="00710092" w:rsidRDefault="003F6BA9" w:rsidP="00895EB3">
      <w:pPr>
        <w:pStyle w:val="numberlist"/>
        <w:tabs>
          <w:tab w:val="center" w:pos="4677"/>
        </w:tabs>
        <w:spacing w:after="240"/>
        <w:rPr>
          <w:rFonts w:cs="Arial"/>
          <w:szCs w:val="24"/>
        </w:rPr>
      </w:pPr>
      <w:r w:rsidRPr="00362EDF">
        <w:rPr>
          <w:rFonts w:cs="Arial"/>
          <w:szCs w:val="24"/>
        </w:rPr>
        <w:t xml:space="preserve">The </w:t>
      </w:r>
      <w:r w:rsidR="00642354">
        <w:rPr>
          <w:rFonts w:cs="Arial"/>
          <w:szCs w:val="24"/>
        </w:rPr>
        <w:t>current</w:t>
      </w:r>
      <w:r w:rsidR="00A63774">
        <w:rPr>
          <w:rFonts w:cs="Arial"/>
          <w:szCs w:val="24"/>
        </w:rPr>
        <w:t xml:space="preserve"> g</w:t>
      </w:r>
      <w:r w:rsidRPr="00362EDF">
        <w:rPr>
          <w:rFonts w:cs="Arial"/>
          <w:szCs w:val="24"/>
        </w:rPr>
        <w:t xml:space="preserve">uidelines </w:t>
      </w:r>
      <w:r w:rsidR="00642354">
        <w:rPr>
          <w:rFonts w:cs="Arial"/>
          <w:szCs w:val="24"/>
        </w:rPr>
        <w:t>are</w:t>
      </w:r>
      <w:r w:rsidRPr="00362EDF">
        <w:rPr>
          <w:rFonts w:cs="Arial"/>
          <w:szCs w:val="24"/>
        </w:rPr>
        <w:t xml:space="preserve"> </w:t>
      </w:r>
      <w:r w:rsidR="00A63774">
        <w:rPr>
          <w:rFonts w:cs="Arial"/>
          <w:szCs w:val="24"/>
        </w:rPr>
        <w:t xml:space="preserve">contained </w:t>
      </w:r>
      <w:r w:rsidRPr="00362EDF">
        <w:rPr>
          <w:rFonts w:cs="Arial"/>
          <w:szCs w:val="24"/>
        </w:rPr>
        <w:t xml:space="preserve">in the </w:t>
      </w:r>
      <w:r w:rsidRPr="00362EDF">
        <w:rPr>
          <w:rFonts w:cs="Arial"/>
          <w:i/>
          <w:szCs w:val="24"/>
        </w:rPr>
        <w:t>Youth Allowance (Activity Test Exemption Guidelines) Determination 1998</w:t>
      </w:r>
      <w:r w:rsidR="00A63774">
        <w:rPr>
          <w:rFonts w:cs="Arial"/>
          <w:szCs w:val="24"/>
        </w:rPr>
        <w:t xml:space="preserve"> (the 1998 Determination), which </w:t>
      </w:r>
      <w:r w:rsidR="00642354">
        <w:rPr>
          <w:rFonts w:cs="Arial"/>
          <w:szCs w:val="24"/>
        </w:rPr>
        <w:t>is</w:t>
      </w:r>
      <w:r w:rsidR="00A63774">
        <w:rPr>
          <w:rFonts w:cs="Arial"/>
          <w:szCs w:val="24"/>
        </w:rPr>
        <w:t xml:space="preserve"> due to sunset on 1 April 2019. </w:t>
      </w:r>
      <w:r w:rsidRPr="00362EDF">
        <w:rPr>
          <w:rFonts w:cs="Arial"/>
          <w:szCs w:val="24"/>
        </w:rPr>
        <w:t xml:space="preserve">This </w:t>
      </w:r>
      <w:r w:rsidR="00E37088" w:rsidRPr="00362EDF">
        <w:rPr>
          <w:rFonts w:cs="Arial"/>
          <w:szCs w:val="24"/>
        </w:rPr>
        <w:t>i</w:t>
      </w:r>
      <w:r w:rsidR="00F80927" w:rsidRPr="00362EDF">
        <w:rPr>
          <w:rFonts w:cs="Arial"/>
          <w:szCs w:val="24"/>
        </w:rPr>
        <w:t>nstrument repeals</w:t>
      </w:r>
      <w:r w:rsidRPr="00362EDF">
        <w:rPr>
          <w:rFonts w:cs="Arial"/>
          <w:szCs w:val="24"/>
        </w:rPr>
        <w:t xml:space="preserve"> the 1998 </w:t>
      </w:r>
      <w:r w:rsidR="00970356" w:rsidRPr="00362EDF">
        <w:rPr>
          <w:rFonts w:cs="Arial"/>
          <w:szCs w:val="24"/>
        </w:rPr>
        <w:t>Determination</w:t>
      </w:r>
      <w:r w:rsidR="00B51C04">
        <w:rPr>
          <w:rFonts w:cs="Arial"/>
          <w:szCs w:val="24"/>
        </w:rPr>
        <w:t xml:space="preserve"> and re</w:t>
      </w:r>
      <w:r w:rsidR="000E7321">
        <w:rPr>
          <w:rFonts w:cs="Arial"/>
          <w:szCs w:val="24"/>
        </w:rPr>
        <w:t>places</w:t>
      </w:r>
      <w:r w:rsidR="00B51C04">
        <w:rPr>
          <w:rFonts w:cs="Arial"/>
          <w:szCs w:val="24"/>
        </w:rPr>
        <w:t xml:space="preserve"> the guidelines</w:t>
      </w:r>
      <w:r w:rsidRPr="00362EDF">
        <w:rPr>
          <w:rFonts w:cs="Arial"/>
          <w:szCs w:val="24"/>
        </w:rPr>
        <w:t xml:space="preserve">. </w:t>
      </w:r>
      <w:r w:rsidR="00CD46F5">
        <w:rPr>
          <w:rFonts w:cs="Arial"/>
          <w:szCs w:val="24"/>
        </w:rPr>
        <w:t>Som</w:t>
      </w:r>
      <w:r w:rsidR="00CD46F5">
        <w:t xml:space="preserve">e amendments have been made to the structure of the instrument and it has been updated to be consistent with current practice regarding drafting of legislative instruments. </w:t>
      </w:r>
      <w:r w:rsidR="006408FF">
        <w:t xml:space="preserve">The substance of the previous guidelines have not been changed as they are working well and continue to be fit for purpose both in describing the special circumstances and setting </w:t>
      </w:r>
      <w:r w:rsidR="00940239">
        <w:t xml:space="preserve">guidance for </w:t>
      </w:r>
      <w:r w:rsidR="006408FF">
        <w:t xml:space="preserve">the periods for exemption to the activity test for youth allowance recipients.  </w:t>
      </w:r>
    </w:p>
    <w:p w:rsidR="00BF793B" w:rsidRDefault="00710092" w:rsidP="00895EB3">
      <w:pPr>
        <w:pStyle w:val="numberlist"/>
        <w:tabs>
          <w:tab w:val="center" w:pos="4677"/>
        </w:tabs>
        <w:spacing w:after="240"/>
        <w:rPr>
          <w:rFonts w:cs="Arial"/>
          <w:szCs w:val="24"/>
        </w:rPr>
      </w:pPr>
      <w:r>
        <w:rPr>
          <w:rFonts w:cs="Arial"/>
          <w:szCs w:val="24"/>
        </w:rPr>
        <w:t xml:space="preserve">The Minister for Jobs </w:t>
      </w:r>
      <w:r w:rsidR="00BF793B">
        <w:rPr>
          <w:rFonts w:cs="Arial"/>
          <w:szCs w:val="24"/>
        </w:rPr>
        <w:t xml:space="preserve">and Industrial Relations </w:t>
      </w:r>
      <w:r w:rsidR="00A231B9">
        <w:rPr>
          <w:rFonts w:cs="Arial"/>
          <w:szCs w:val="24"/>
        </w:rPr>
        <w:t>must</w:t>
      </w:r>
      <w:r>
        <w:rPr>
          <w:rFonts w:cs="Arial"/>
          <w:szCs w:val="24"/>
        </w:rPr>
        <w:t xml:space="preserve"> make guidelines in relation to participation payment recipients</w:t>
      </w:r>
      <w:r w:rsidR="00A231B9">
        <w:rPr>
          <w:rFonts w:cs="Arial"/>
          <w:szCs w:val="24"/>
        </w:rPr>
        <w:t xml:space="preserve"> who a</w:t>
      </w:r>
      <w:r w:rsidR="00DC2059">
        <w:rPr>
          <w:rFonts w:cs="Arial"/>
          <w:szCs w:val="24"/>
        </w:rPr>
        <w:t xml:space="preserve">re youth allowance recipients. </w:t>
      </w:r>
      <w:r w:rsidR="00A231B9">
        <w:rPr>
          <w:rFonts w:cs="Arial"/>
          <w:szCs w:val="24"/>
        </w:rPr>
        <w:t xml:space="preserve">The Minister for </w:t>
      </w:r>
      <w:r w:rsidR="00B34BB2">
        <w:rPr>
          <w:rFonts w:cs="Arial"/>
          <w:szCs w:val="24"/>
        </w:rPr>
        <w:t xml:space="preserve">Families and </w:t>
      </w:r>
      <w:r w:rsidR="00A231B9">
        <w:rPr>
          <w:rFonts w:cs="Arial"/>
          <w:szCs w:val="24"/>
        </w:rPr>
        <w:t xml:space="preserve">Social Services must make guidelines in respect of all other youth allowance </w:t>
      </w:r>
      <w:r w:rsidR="00A231B9">
        <w:rPr>
          <w:rFonts w:cs="Arial"/>
          <w:szCs w:val="24"/>
        </w:rPr>
        <w:lastRenderedPageBreak/>
        <w:t>recipients</w:t>
      </w:r>
      <w:r w:rsidR="00865562">
        <w:rPr>
          <w:rFonts w:cs="Arial"/>
          <w:szCs w:val="24"/>
        </w:rPr>
        <w:t xml:space="preserve"> subject to the activity test</w:t>
      </w:r>
      <w:r w:rsidR="00A231B9">
        <w:rPr>
          <w:rFonts w:cs="Arial"/>
          <w:szCs w:val="24"/>
        </w:rPr>
        <w:t xml:space="preserve">.  However, </w:t>
      </w:r>
      <w:r>
        <w:rPr>
          <w:rFonts w:cs="Arial"/>
          <w:szCs w:val="24"/>
        </w:rPr>
        <w:t>pursuant to an authorisation given by the Minister for</w:t>
      </w:r>
      <w:r w:rsidR="00B34BB2">
        <w:rPr>
          <w:rFonts w:cs="Arial"/>
          <w:szCs w:val="24"/>
        </w:rPr>
        <w:t xml:space="preserve"> Families and</w:t>
      </w:r>
      <w:r>
        <w:rPr>
          <w:rFonts w:cs="Arial"/>
          <w:szCs w:val="24"/>
        </w:rPr>
        <w:t xml:space="preserve"> Social Services under s</w:t>
      </w:r>
      <w:r w:rsidR="00132E6B">
        <w:rPr>
          <w:rFonts w:cs="Arial"/>
          <w:szCs w:val="24"/>
        </w:rPr>
        <w:t>ection</w:t>
      </w:r>
      <w:r>
        <w:rPr>
          <w:rFonts w:cs="Arial"/>
          <w:szCs w:val="24"/>
        </w:rPr>
        <w:t xml:space="preserve"> 34AAB of the </w:t>
      </w:r>
      <w:r>
        <w:rPr>
          <w:rFonts w:cs="Arial"/>
          <w:i/>
          <w:szCs w:val="24"/>
        </w:rPr>
        <w:t xml:space="preserve">Acts Interpretation Act </w:t>
      </w:r>
      <w:r w:rsidRPr="00710092">
        <w:rPr>
          <w:rFonts w:cs="Arial"/>
          <w:i/>
          <w:szCs w:val="24"/>
        </w:rPr>
        <w:t>1901</w:t>
      </w:r>
      <w:r>
        <w:rPr>
          <w:rFonts w:cs="Arial"/>
          <w:szCs w:val="24"/>
        </w:rPr>
        <w:t xml:space="preserve">, </w:t>
      </w:r>
      <w:r w:rsidR="00D030CF">
        <w:rPr>
          <w:rFonts w:cs="Arial"/>
          <w:szCs w:val="24"/>
        </w:rPr>
        <w:t xml:space="preserve">one legislative instrument containing guidelines will be made by the Minister for </w:t>
      </w:r>
      <w:r w:rsidR="00B7220E">
        <w:rPr>
          <w:rFonts w:cs="Arial"/>
          <w:szCs w:val="24"/>
        </w:rPr>
        <w:t xml:space="preserve">Jobs </w:t>
      </w:r>
      <w:r w:rsidR="00BF793B">
        <w:rPr>
          <w:rFonts w:cs="Arial"/>
          <w:szCs w:val="24"/>
        </w:rPr>
        <w:t xml:space="preserve">and Industrial Relations </w:t>
      </w:r>
      <w:r w:rsidR="00B7220E">
        <w:rPr>
          <w:rFonts w:cs="Arial"/>
          <w:szCs w:val="24"/>
        </w:rPr>
        <w:t>that</w:t>
      </w:r>
      <w:r w:rsidR="00D030CF">
        <w:rPr>
          <w:rFonts w:cs="Arial"/>
          <w:szCs w:val="24"/>
        </w:rPr>
        <w:t xml:space="preserve"> will apply to all youth allowance recipients</w:t>
      </w:r>
      <w:r w:rsidR="00865562">
        <w:rPr>
          <w:rFonts w:cs="Arial"/>
          <w:szCs w:val="24"/>
        </w:rPr>
        <w:t xml:space="preserve"> who are subject to the activity test</w:t>
      </w:r>
      <w:r>
        <w:rPr>
          <w:rFonts w:cs="Arial"/>
          <w:szCs w:val="24"/>
        </w:rPr>
        <w:t>.</w:t>
      </w:r>
    </w:p>
    <w:p w:rsidR="00BF793B" w:rsidRDefault="00BF793B">
      <w:pPr>
        <w:spacing w:before="0" w:after="200" w:line="276" w:lineRule="auto"/>
        <w:rPr>
          <w:rFonts w:cs="Arial"/>
          <w:szCs w:val="24"/>
        </w:rPr>
      </w:pPr>
      <w:r>
        <w:rPr>
          <w:rFonts w:cs="Arial"/>
          <w:szCs w:val="24"/>
        </w:rPr>
        <w:br w:type="page"/>
      </w:r>
    </w:p>
    <w:p w:rsidR="00895EB3" w:rsidRPr="00A63774" w:rsidRDefault="00895EB3" w:rsidP="00895EB3">
      <w:pPr>
        <w:pStyle w:val="numberlist"/>
        <w:tabs>
          <w:tab w:val="center" w:pos="4677"/>
        </w:tabs>
        <w:spacing w:after="240"/>
        <w:rPr>
          <w:rFonts w:cs="Arial"/>
          <w:szCs w:val="24"/>
        </w:rPr>
      </w:pPr>
    </w:p>
    <w:p w:rsidR="001E26EA" w:rsidRDefault="00407795" w:rsidP="00F678D6">
      <w:pPr>
        <w:spacing w:before="0" w:after="240"/>
        <w:outlineLvl w:val="0"/>
        <w:rPr>
          <w:b/>
        </w:rPr>
      </w:pPr>
      <w:r w:rsidRPr="00F678D6">
        <w:rPr>
          <w:b/>
        </w:rPr>
        <w:t>Operation of the provisions</w:t>
      </w:r>
    </w:p>
    <w:p w:rsidR="003C6E2C" w:rsidRPr="00407795" w:rsidRDefault="003C6E2C" w:rsidP="00F678D6">
      <w:pPr>
        <w:spacing w:before="0" w:after="240"/>
        <w:outlineLvl w:val="0"/>
      </w:pPr>
      <w:r>
        <w:rPr>
          <w:b/>
        </w:rPr>
        <w:t>Part</w:t>
      </w:r>
      <w:r w:rsidR="00A25F62">
        <w:rPr>
          <w:b/>
        </w:rPr>
        <w:t> </w:t>
      </w:r>
      <w:r>
        <w:rPr>
          <w:b/>
        </w:rPr>
        <w:t>1  Preliminary</w:t>
      </w:r>
    </w:p>
    <w:p w:rsidR="00F44874" w:rsidRDefault="00B97078" w:rsidP="00CB48D4">
      <w:pPr>
        <w:pStyle w:val="numberlist"/>
        <w:keepNext/>
        <w:tabs>
          <w:tab w:val="center" w:pos="4677"/>
        </w:tabs>
        <w:spacing w:after="240"/>
        <w:rPr>
          <w:b/>
        </w:rPr>
      </w:pPr>
      <w:r w:rsidRPr="003F39DF">
        <w:rPr>
          <w:b/>
        </w:rPr>
        <w:t>Section</w:t>
      </w:r>
      <w:r w:rsidR="00A25F62">
        <w:rPr>
          <w:b/>
        </w:rPr>
        <w:t> </w:t>
      </w:r>
      <w:r w:rsidRPr="003F39DF">
        <w:rPr>
          <w:b/>
        </w:rPr>
        <w:t>1</w:t>
      </w:r>
      <w:r w:rsidR="00F44874">
        <w:rPr>
          <w:b/>
        </w:rPr>
        <w:t xml:space="preserve"> – Name</w:t>
      </w:r>
    </w:p>
    <w:p w:rsidR="00B97078" w:rsidRDefault="00A25F62" w:rsidP="00895EB3">
      <w:pPr>
        <w:pStyle w:val="numberlist"/>
        <w:tabs>
          <w:tab w:val="center" w:pos="4677"/>
        </w:tabs>
        <w:spacing w:after="240"/>
      </w:pPr>
      <w:r>
        <w:t>This section</w:t>
      </w:r>
      <w:r w:rsidR="00D80838">
        <w:t xml:space="preserve"> provides that the name of the </w:t>
      </w:r>
      <w:r w:rsidR="00E37088">
        <w:t>i</w:t>
      </w:r>
      <w:r w:rsidR="002410A7">
        <w:t>nstrument</w:t>
      </w:r>
      <w:r w:rsidR="00D80838">
        <w:t xml:space="preserve"> is the </w:t>
      </w:r>
      <w:r w:rsidR="00895EB3">
        <w:rPr>
          <w:i/>
        </w:rPr>
        <w:t>Social Security (</w:t>
      </w:r>
      <w:r w:rsidR="00895EB3" w:rsidRPr="000E05B1">
        <w:rPr>
          <w:i/>
        </w:rPr>
        <w:t>Special Circumstances Exemption</w:t>
      </w:r>
      <w:r w:rsidR="00865562">
        <w:rPr>
          <w:i/>
        </w:rPr>
        <w:t xml:space="preserve"> to Youth Allowance Activity Test</w:t>
      </w:r>
      <w:r w:rsidR="00895EB3" w:rsidRPr="000E05B1">
        <w:rPr>
          <w:i/>
        </w:rPr>
        <w:t xml:space="preserve"> Guidelines</w:t>
      </w:r>
      <w:r w:rsidR="00895EB3">
        <w:rPr>
          <w:i/>
        </w:rPr>
        <w:t xml:space="preserve">) Instrument </w:t>
      </w:r>
      <w:r w:rsidR="00895EB3" w:rsidRPr="00010471">
        <w:rPr>
          <w:i/>
        </w:rPr>
        <w:t>2019</w:t>
      </w:r>
      <w:r w:rsidR="00B97078" w:rsidRPr="00010471">
        <w:t>.</w:t>
      </w:r>
    </w:p>
    <w:p w:rsidR="00D80838" w:rsidRDefault="00B97078" w:rsidP="00CB48D4">
      <w:pPr>
        <w:pStyle w:val="numberlist"/>
        <w:keepNext/>
        <w:tabs>
          <w:tab w:val="center" w:pos="4677"/>
        </w:tabs>
        <w:spacing w:after="240"/>
        <w:rPr>
          <w:b/>
        </w:rPr>
      </w:pPr>
      <w:r w:rsidRPr="003F39DF">
        <w:rPr>
          <w:b/>
        </w:rPr>
        <w:t>Section</w:t>
      </w:r>
      <w:r w:rsidR="00A25F62">
        <w:rPr>
          <w:b/>
        </w:rPr>
        <w:t> </w:t>
      </w:r>
      <w:r w:rsidRPr="003F39DF">
        <w:rPr>
          <w:b/>
        </w:rPr>
        <w:t>2</w:t>
      </w:r>
      <w:r w:rsidR="00D80838">
        <w:rPr>
          <w:b/>
        </w:rPr>
        <w:t xml:space="preserve"> – Commencement</w:t>
      </w:r>
    </w:p>
    <w:p w:rsidR="00817F6B" w:rsidRDefault="00A25F62" w:rsidP="00F678D6">
      <w:pPr>
        <w:pStyle w:val="numberlist"/>
        <w:tabs>
          <w:tab w:val="center" w:pos="4677"/>
        </w:tabs>
        <w:spacing w:after="240"/>
      </w:pPr>
      <w:r>
        <w:t>This section</w:t>
      </w:r>
      <w:r w:rsidR="00D80838">
        <w:t xml:space="preserve"> provides</w:t>
      </w:r>
      <w:r w:rsidR="0001011B">
        <w:t xml:space="preserve"> a table setting out the commencement date for the whole of th</w:t>
      </w:r>
      <w:r w:rsidR="006C384C">
        <w:t xml:space="preserve">e </w:t>
      </w:r>
      <w:r w:rsidR="00E37088">
        <w:t>i</w:t>
      </w:r>
      <w:r w:rsidR="00EF593D">
        <w:t>nstrument</w:t>
      </w:r>
      <w:r w:rsidR="000E7045">
        <w:t>.</w:t>
      </w:r>
      <w:r w:rsidR="00D80838">
        <w:t xml:space="preserve"> The </w:t>
      </w:r>
      <w:r w:rsidR="00E37088">
        <w:t>i</w:t>
      </w:r>
      <w:r w:rsidR="00EF593D">
        <w:t>nstrument</w:t>
      </w:r>
      <w:r w:rsidR="00D80838">
        <w:t xml:space="preserve"> commences on </w:t>
      </w:r>
      <w:r>
        <w:t>the day after it is registered</w:t>
      </w:r>
      <w:r w:rsidR="00D80838">
        <w:t>.</w:t>
      </w:r>
    </w:p>
    <w:p w:rsidR="00D80838" w:rsidRDefault="00044A91" w:rsidP="00CB48D4">
      <w:pPr>
        <w:pStyle w:val="numberlist"/>
        <w:keepNext/>
        <w:tabs>
          <w:tab w:val="center" w:pos="4677"/>
        </w:tabs>
        <w:spacing w:after="240"/>
        <w:rPr>
          <w:b/>
        </w:rPr>
      </w:pPr>
      <w:r w:rsidRPr="003F39DF">
        <w:rPr>
          <w:b/>
        </w:rPr>
        <w:t>Section</w:t>
      </w:r>
      <w:r w:rsidR="00A25F62">
        <w:rPr>
          <w:b/>
        </w:rPr>
        <w:t> </w:t>
      </w:r>
      <w:r w:rsidRPr="003F39DF">
        <w:rPr>
          <w:b/>
        </w:rPr>
        <w:t>3</w:t>
      </w:r>
      <w:r w:rsidR="00D80838">
        <w:rPr>
          <w:b/>
        </w:rPr>
        <w:t xml:space="preserve"> – Authority</w:t>
      </w:r>
    </w:p>
    <w:p w:rsidR="00044A91" w:rsidRPr="002B5AE3" w:rsidRDefault="004F4DAA" w:rsidP="00F678D6">
      <w:pPr>
        <w:pStyle w:val="numberlist"/>
        <w:tabs>
          <w:tab w:val="center" w:pos="4677"/>
        </w:tabs>
        <w:spacing w:after="240"/>
      </w:pPr>
      <w:r>
        <w:t>This section</w:t>
      </w:r>
      <w:r w:rsidR="00D80838">
        <w:t xml:space="preserve"> </w:t>
      </w:r>
      <w:r w:rsidR="00044A91">
        <w:t xml:space="preserve">provides that the </w:t>
      </w:r>
      <w:r w:rsidR="00E37088">
        <w:t>i</w:t>
      </w:r>
      <w:r w:rsidR="00EF593D">
        <w:t>nstrument</w:t>
      </w:r>
      <w:r w:rsidR="00044A91">
        <w:t xml:space="preserve"> is made under s</w:t>
      </w:r>
      <w:r w:rsidR="00F8057F">
        <w:t>ubsection</w:t>
      </w:r>
      <w:r w:rsidR="00A25F62">
        <w:t> 542H(1B) of the Act.</w:t>
      </w:r>
    </w:p>
    <w:p w:rsidR="00EF593D" w:rsidRDefault="00EF593D" w:rsidP="00CB48D4">
      <w:pPr>
        <w:pStyle w:val="numberlist"/>
        <w:keepNext/>
        <w:tabs>
          <w:tab w:val="center" w:pos="4677"/>
        </w:tabs>
        <w:spacing w:after="240"/>
        <w:rPr>
          <w:b/>
        </w:rPr>
      </w:pPr>
      <w:r w:rsidRPr="003F39DF">
        <w:rPr>
          <w:b/>
        </w:rPr>
        <w:t>Section</w:t>
      </w:r>
      <w:r w:rsidR="00A25F62">
        <w:rPr>
          <w:b/>
        </w:rPr>
        <w:t> 4</w:t>
      </w:r>
      <w:r>
        <w:rPr>
          <w:b/>
        </w:rPr>
        <w:t xml:space="preserve"> – Definitions</w:t>
      </w:r>
    </w:p>
    <w:p w:rsidR="00EF593D" w:rsidRDefault="00A25F62" w:rsidP="00EF593D">
      <w:pPr>
        <w:pStyle w:val="numberlist"/>
        <w:tabs>
          <w:tab w:val="center" w:pos="4677"/>
        </w:tabs>
        <w:spacing w:after="240"/>
      </w:pPr>
      <w:r>
        <w:t>This section</w:t>
      </w:r>
      <w:r w:rsidR="00EF593D">
        <w:t xml:space="preserve"> defines </w:t>
      </w:r>
      <w:r w:rsidR="00EF593D">
        <w:rPr>
          <w:rFonts w:cs="Arial"/>
        </w:rPr>
        <w:t xml:space="preserve">‘Act’ </w:t>
      </w:r>
      <w:r>
        <w:rPr>
          <w:rFonts w:cs="Arial"/>
        </w:rPr>
        <w:t>as</w:t>
      </w:r>
      <w:r w:rsidR="00EF593D">
        <w:rPr>
          <w:rFonts w:cs="Arial"/>
        </w:rPr>
        <w:t xml:space="preserve"> the </w:t>
      </w:r>
      <w:r w:rsidR="00EF593D">
        <w:rPr>
          <w:rFonts w:cs="Arial"/>
          <w:i/>
        </w:rPr>
        <w:t xml:space="preserve">Social Security </w:t>
      </w:r>
      <w:r w:rsidR="00EF593D" w:rsidRPr="00F60F4B">
        <w:rPr>
          <w:rFonts w:cs="Arial"/>
          <w:i/>
        </w:rPr>
        <w:t>Act</w:t>
      </w:r>
      <w:r w:rsidR="00EF593D">
        <w:rPr>
          <w:rFonts w:cs="Arial"/>
          <w:i/>
        </w:rPr>
        <w:t xml:space="preserve"> 1991</w:t>
      </w:r>
      <w:r w:rsidR="00EF593D">
        <w:rPr>
          <w:rFonts w:cs="Arial"/>
        </w:rPr>
        <w:t>.</w:t>
      </w:r>
      <w:r>
        <w:rPr>
          <w:rFonts w:cs="Arial"/>
        </w:rPr>
        <w:t xml:space="preserve"> </w:t>
      </w:r>
      <w:r w:rsidR="00EF593D">
        <w:t xml:space="preserve">The </w:t>
      </w:r>
      <w:r w:rsidR="00EF593D" w:rsidRPr="003F39DF">
        <w:rPr>
          <w:b/>
        </w:rPr>
        <w:t>note</w:t>
      </w:r>
      <w:r w:rsidR="00EF593D">
        <w:t xml:space="preserve"> to </w:t>
      </w:r>
      <w:r w:rsidR="00FF476D">
        <w:t>the section</w:t>
      </w:r>
      <w:r w:rsidR="00EF593D">
        <w:t xml:space="preserve"> alerts the reader to the fact that certain </w:t>
      </w:r>
      <w:r w:rsidR="00FF476D">
        <w:t>expressions</w:t>
      </w:r>
      <w:r w:rsidR="00EF593D">
        <w:t xml:space="preserve"> used in the </w:t>
      </w:r>
      <w:r w:rsidR="00E37088">
        <w:t>i</w:t>
      </w:r>
      <w:r w:rsidR="00EF593D">
        <w:t>nstrum</w:t>
      </w:r>
      <w:r>
        <w:t xml:space="preserve">ent </w:t>
      </w:r>
      <w:r w:rsidR="00EF593D">
        <w:t>have</w:t>
      </w:r>
      <w:r w:rsidR="00FF476D">
        <w:t xml:space="preserve"> the same meanings given by the Act.</w:t>
      </w:r>
    </w:p>
    <w:p w:rsidR="00E454BE" w:rsidRDefault="00FF476D" w:rsidP="00CB48D4">
      <w:pPr>
        <w:pStyle w:val="numberlist"/>
        <w:keepNext/>
        <w:tabs>
          <w:tab w:val="center" w:pos="4677"/>
        </w:tabs>
        <w:spacing w:after="240"/>
        <w:rPr>
          <w:b/>
        </w:rPr>
      </w:pPr>
      <w:r>
        <w:rPr>
          <w:b/>
        </w:rPr>
        <w:t>Section 5</w:t>
      </w:r>
      <w:r w:rsidR="00E454BE">
        <w:rPr>
          <w:b/>
        </w:rPr>
        <w:t xml:space="preserve"> – </w:t>
      </w:r>
      <w:r w:rsidR="005059E0">
        <w:rPr>
          <w:b/>
        </w:rPr>
        <w:t>Schedules</w:t>
      </w:r>
    </w:p>
    <w:p w:rsidR="005059E0" w:rsidRDefault="00FF476D" w:rsidP="00F678D6">
      <w:pPr>
        <w:pStyle w:val="numberlist"/>
        <w:tabs>
          <w:tab w:val="center" w:pos="4677"/>
        </w:tabs>
        <w:spacing w:after="240"/>
      </w:pPr>
      <w:r>
        <w:t>This section</w:t>
      </w:r>
      <w:r w:rsidR="003C6E2C" w:rsidRPr="003C6E2C">
        <w:t xml:space="preserve"> </w:t>
      </w:r>
      <w:r w:rsidRPr="00FF476D">
        <w:t xml:space="preserve">provides that each instrument that is specified in a Schedule </w:t>
      </w:r>
      <w:r>
        <w:t xml:space="preserve">to the instrument </w:t>
      </w:r>
      <w:r w:rsidRPr="00FF476D">
        <w:t>is amended or repealed as set out in that Schedule.</w:t>
      </w:r>
    </w:p>
    <w:p w:rsidR="003C6E2C" w:rsidRPr="00407795" w:rsidRDefault="003C6E2C" w:rsidP="003C6E2C">
      <w:pPr>
        <w:spacing w:before="0" w:after="240"/>
        <w:outlineLvl w:val="0"/>
      </w:pPr>
      <w:r>
        <w:rPr>
          <w:b/>
        </w:rPr>
        <w:t>Part</w:t>
      </w:r>
      <w:r w:rsidR="001A114B">
        <w:rPr>
          <w:b/>
        </w:rPr>
        <w:t> </w:t>
      </w:r>
      <w:r>
        <w:rPr>
          <w:b/>
        </w:rPr>
        <w:t>2  Guidelines</w:t>
      </w:r>
    </w:p>
    <w:p w:rsidR="00E454BE" w:rsidRDefault="007B7313" w:rsidP="00CB48D4">
      <w:pPr>
        <w:pStyle w:val="numberlist"/>
        <w:keepNext/>
        <w:tabs>
          <w:tab w:val="center" w:pos="4677"/>
        </w:tabs>
        <w:spacing w:after="240"/>
        <w:rPr>
          <w:b/>
        </w:rPr>
      </w:pPr>
      <w:r>
        <w:rPr>
          <w:b/>
        </w:rPr>
        <w:t>Section</w:t>
      </w:r>
      <w:r w:rsidR="001A114B">
        <w:rPr>
          <w:b/>
        </w:rPr>
        <w:t> 6</w:t>
      </w:r>
      <w:r w:rsidR="00E454BE">
        <w:rPr>
          <w:b/>
        </w:rPr>
        <w:t xml:space="preserve"> </w:t>
      </w:r>
      <w:r w:rsidR="00FF476D">
        <w:rPr>
          <w:b/>
        </w:rPr>
        <w:t xml:space="preserve">– </w:t>
      </w:r>
      <w:r w:rsidR="00583CF6">
        <w:rPr>
          <w:b/>
        </w:rPr>
        <w:t>Guidelines for Secretary relating to special circumstances</w:t>
      </w:r>
    </w:p>
    <w:p w:rsidR="0083390A" w:rsidRDefault="001A114B" w:rsidP="00F678D6">
      <w:pPr>
        <w:pStyle w:val="numberlist"/>
        <w:tabs>
          <w:tab w:val="center" w:pos="4677"/>
        </w:tabs>
        <w:spacing w:after="240"/>
      </w:pPr>
      <w:r>
        <w:t>This section</w:t>
      </w:r>
      <w:r w:rsidR="00C94A24">
        <w:t xml:space="preserve"> </w:t>
      </w:r>
      <w:r w:rsidR="00583CF6">
        <w:t>provides that Part</w:t>
      </w:r>
      <w:r>
        <w:t> </w:t>
      </w:r>
      <w:r w:rsidR="00583CF6">
        <w:t xml:space="preserve">2 of the </w:t>
      </w:r>
      <w:r w:rsidR="00E37088">
        <w:t>i</w:t>
      </w:r>
      <w:r w:rsidR="00EF593D">
        <w:t>nstrument</w:t>
      </w:r>
      <w:r w:rsidR="00583CF6">
        <w:t xml:space="preserve"> sets out guidelines for the exercise of the Secretary’s power in subsection 542H(1) of the Act</w:t>
      </w:r>
      <w:r>
        <w:t>.</w:t>
      </w:r>
    </w:p>
    <w:p w:rsidR="00583CF6" w:rsidRPr="00583CF6" w:rsidRDefault="001A114B" w:rsidP="00CB48D4">
      <w:pPr>
        <w:pStyle w:val="numberlist"/>
        <w:keepNext/>
        <w:tabs>
          <w:tab w:val="center" w:pos="4677"/>
        </w:tabs>
        <w:spacing w:after="240"/>
        <w:rPr>
          <w:b/>
        </w:rPr>
      </w:pPr>
      <w:r>
        <w:rPr>
          <w:b/>
        </w:rPr>
        <w:t>Section 7</w:t>
      </w:r>
      <w:r w:rsidR="00583CF6" w:rsidRPr="00583CF6">
        <w:rPr>
          <w:b/>
        </w:rPr>
        <w:t xml:space="preserve"> </w:t>
      </w:r>
      <w:r>
        <w:rPr>
          <w:b/>
        </w:rPr>
        <w:t>– Major disruption to a person’s</w:t>
      </w:r>
      <w:r w:rsidR="00583CF6" w:rsidRPr="00583CF6">
        <w:rPr>
          <w:b/>
        </w:rPr>
        <w:t xml:space="preserve"> home</w:t>
      </w:r>
    </w:p>
    <w:p w:rsidR="006223A3" w:rsidRDefault="007B7313" w:rsidP="00F678D6">
      <w:pPr>
        <w:pStyle w:val="numberlist"/>
        <w:tabs>
          <w:tab w:val="center" w:pos="4677"/>
        </w:tabs>
        <w:spacing w:after="240"/>
      </w:pPr>
      <w:r>
        <w:rPr>
          <w:b/>
        </w:rPr>
        <w:t>S</w:t>
      </w:r>
      <w:r w:rsidR="000B5893">
        <w:rPr>
          <w:b/>
        </w:rPr>
        <w:t>ubs</w:t>
      </w:r>
      <w:r>
        <w:rPr>
          <w:b/>
        </w:rPr>
        <w:t>ection</w:t>
      </w:r>
      <w:r w:rsidR="00CB48D4">
        <w:rPr>
          <w:b/>
        </w:rPr>
        <w:t> </w:t>
      </w:r>
      <w:r w:rsidR="001A114B">
        <w:rPr>
          <w:b/>
        </w:rPr>
        <w:t>7</w:t>
      </w:r>
      <w:r w:rsidR="000B5893" w:rsidRPr="000F0573">
        <w:rPr>
          <w:b/>
        </w:rPr>
        <w:t>(1</w:t>
      </w:r>
      <w:r w:rsidR="000B5893" w:rsidRPr="00F678D6">
        <w:rPr>
          <w:b/>
        </w:rPr>
        <w:t>)</w:t>
      </w:r>
      <w:r w:rsidR="000B5893" w:rsidRPr="001A114B">
        <w:t xml:space="preserve"> </w:t>
      </w:r>
      <w:r w:rsidR="000B5893" w:rsidRPr="003F39DF">
        <w:t>provides that</w:t>
      </w:r>
      <w:r w:rsidR="006223A3">
        <w:t xml:space="preserve"> special circumstances beyond a person’s control exist if a major disruptive event affects the person’s home and the event has a major disruptive consequence for the person.</w:t>
      </w:r>
    </w:p>
    <w:p w:rsidR="00C12976" w:rsidRDefault="00CB48D4" w:rsidP="00F678D6">
      <w:pPr>
        <w:pStyle w:val="numberlist"/>
        <w:tabs>
          <w:tab w:val="center" w:pos="4677"/>
        </w:tabs>
        <w:spacing w:after="240"/>
        <w:rPr>
          <w:rFonts w:cs="Arial"/>
          <w:szCs w:val="24"/>
        </w:rPr>
      </w:pPr>
      <w:r>
        <w:rPr>
          <w:b/>
        </w:rPr>
        <w:t>Subsection </w:t>
      </w:r>
      <w:r w:rsidR="001A114B">
        <w:rPr>
          <w:b/>
        </w:rPr>
        <w:t>7</w:t>
      </w:r>
      <w:r w:rsidR="003E0D5F" w:rsidRPr="000F0573">
        <w:rPr>
          <w:b/>
        </w:rPr>
        <w:t>(2</w:t>
      </w:r>
      <w:r w:rsidR="003E0D5F" w:rsidRPr="00F678D6">
        <w:rPr>
          <w:b/>
        </w:rPr>
        <w:t>)</w:t>
      </w:r>
      <w:r w:rsidR="003E0D5F" w:rsidRPr="003F39DF">
        <w:t xml:space="preserve"> provides </w:t>
      </w:r>
      <w:r w:rsidR="006223A3">
        <w:t>that a major disruptive event includes a flood, a fire, an earth</w:t>
      </w:r>
      <w:r>
        <w:t xml:space="preserve">quake, vandalism and burglary. </w:t>
      </w:r>
      <w:r w:rsidR="006223A3">
        <w:t xml:space="preserve">These things are not exhaustive of what constitutes a major disruptive event and other things </w:t>
      </w:r>
      <w:r w:rsidR="00970356">
        <w:t>could</w:t>
      </w:r>
      <w:r>
        <w:t xml:space="preserve"> be major disruptive events.</w:t>
      </w:r>
    </w:p>
    <w:p w:rsidR="006223A3" w:rsidRDefault="000B5893" w:rsidP="00F678D6">
      <w:pPr>
        <w:pStyle w:val="numberlist"/>
        <w:tabs>
          <w:tab w:val="center" w:pos="4677"/>
        </w:tabs>
        <w:spacing w:after="240"/>
      </w:pPr>
      <w:r w:rsidRPr="00FF738A">
        <w:rPr>
          <w:b/>
        </w:rPr>
        <w:t>Subsection</w:t>
      </w:r>
      <w:r w:rsidR="00CB48D4">
        <w:rPr>
          <w:b/>
        </w:rPr>
        <w:t> </w:t>
      </w:r>
      <w:r w:rsidR="001A114B">
        <w:rPr>
          <w:b/>
        </w:rPr>
        <w:t>7</w:t>
      </w:r>
      <w:r w:rsidRPr="00FF738A">
        <w:rPr>
          <w:b/>
        </w:rPr>
        <w:t>(</w:t>
      </w:r>
      <w:r w:rsidR="003E0D5F">
        <w:rPr>
          <w:b/>
        </w:rPr>
        <w:t>3</w:t>
      </w:r>
      <w:r w:rsidRPr="00FF738A">
        <w:rPr>
          <w:b/>
        </w:rPr>
        <w:t>)</w:t>
      </w:r>
      <w:r w:rsidRPr="003F39DF">
        <w:t xml:space="preserve"> </w:t>
      </w:r>
      <w:r w:rsidR="006223A3">
        <w:t>provides that a major disruptive consequence includes where a person needs to:</w:t>
      </w:r>
    </w:p>
    <w:p w:rsidR="006223A3" w:rsidRDefault="00E861B7" w:rsidP="006223A3">
      <w:pPr>
        <w:pStyle w:val="numberlist"/>
        <w:numPr>
          <w:ilvl w:val="0"/>
          <w:numId w:val="19"/>
        </w:numPr>
        <w:tabs>
          <w:tab w:val="center" w:pos="4677"/>
        </w:tabs>
        <w:spacing w:after="240"/>
      </w:pPr>
      <w:r>
        <w:t>a</w:t>
      </w:r>
      <w:r w:rsidR="006223A3">
        <w:t>rrange alternative accommodati</w:t>
      </w:r>
      <w:r>
        <w:t>o</w:t>
      </w:r>
      <w:r w:rsidR="006223A3">
        <w:t>n;</w:t>
      </w:r>
    </w:p>
    <w:p w:rsidR="006223A3" w:rsidRDefault="00E861B7" w:rsidP="006223A3">
      <w:pPr>
        <w:pStyle w:val="numberlist"/>
        <w:numPr>
          <w:ilvl w:val="0"/>
          <w:numId w:val="19"/>
        </w:numPr>
        <w:tabs>
          <w:tab w:val="center" w:pos="4677"/>
        </w:tabs>
        <w:spacing w:after="240"/>
      </w:pPr>
      <w:r>
        <w:t>a</w:t>
      </w:r>
      <w:r w:rsidR="006223A3">
        <w:t>rrange to repl</w:t>
      </w:r>
      <w:r>
        <w:t>a</w:t>
      </w:r>
      <w:r w:rsidR="006223A3">
        <w:t>ce significant hou</w:t>
      </w:r>
      <w:r>
        <w:t>s</w:t>
      </w:r>
      <w:r w:rsidR="006223A3">
        <w:t>e</w:t>
      </w:r>
      <w:r>
        <w:t>h</w:t>
      </w:r>
      <w:r w:rsidR="006223A3">
        <w:t>old</w:t>
      </w:r>
      <w:r>
        <w:t xml:space="preserve"> </w:t>
      </w:r>
      <w:r w:rsidR="006223A3">
        <w:t>items;</w:t>
      </w:r>
    </w:p>
    <w:p w:rsidR="006223A3" w:rsidRDefault="00E861B7" w:rsidP="006223A3">
      <w:pPr>
        <w:pStyle w:val="numberlist"/>
        <w:numPr>
          <w:ilvl w:val="0"/>
          <w:numId w:val="19"/>
        </w:numPr>
        <w:tabs>
          <w:tab w:val="center" w:pos="4677"/>
        </w:tabs>
        <w:spacing w:after="240"/>
      </w:pPr>
      <w:r>
        <w:lastRenderedPageBreak/>
        <w:t>o</w:t>
      </w:r>
      <w:r w:rsidR="006223A3">
        <w:t>rganise major home repairs</w:t>
      </w:r>
      <w:r>
        <w:t>;</w:t>
      </w:r>
    </w:p>
    <w:p w:rsidR="006223A3" w:rsidRDefault="00E861B7" w:rsidP="006223A3">
      <w:pPr>
        <w:pStyle w:val="numberlist"/>
        <w:numPr>
          <w:ilvl w:val="0"/>
          <w:numId w:val="19"/>
        </w:numPr>
        <w:tabs>
          <w:tab w:val="center" w:pos="4677"/>
        </w:tabs>
        <w:spacing w:after="240"/>
      </w:pPr>
      <w:r>
        <w:t>m</w:t>
      </w:r>
      <w:r w:rsidR="006223A3">
        <w:t xml:space="preserve">ake insurance </w:t>
      </w:r>
      <w:r>
        <w:t>c</w:t>
      </w:r>
      <w:r w:rsidR="006223A3">
        <w:t>laim</w:t>
      </w:r>
      <w:r>
        <w:t>s</w:t>
      </w:r>
      <w:r w:rsidR="006223A3">
        <w:t xml:space="preserve"> for damage </w:t>
      </w:r>
      <w:r w:rsidR="00280F1E">
        <w:t>to household items or the home.</w:t>
      </w:r>
    </w:p>
    <w:p w:rsidR="006223A3" w:rsidRDefault="006223A3" w:rsidP="00F678D6">
      <w:pPr>
        <w:pStyle w:val="numberlist"/>
        <w:tabs>
          <w:tab w:val="center" w:pos="4677"/>
        </w:tabs>
        <w:spacing w:after="240"/>
      </w:pPr>
      <w:r>
        <w:t xml:space="preserve">These </w:t>
      </w:r>
      <w:r w:rsidR="00280F1E">
        <w:t>matters</w:t>
      </w:r>
      <w:r>
        <w:t xml:space="preserve"> are not exhaustive of what constitutes a major disruptive consequence and other </w:t>
      </w:r>
      <w:r w:rsidR="00280F1E">
        <w:t>matters</w:t>
      </w:r>
      <w:r>
        <w:t xml:space="preserve"> </w:t>
      </w:r>
      <w:r w:rsidR="00970356">
        <w:t>could</w:t>
      </w:r>
      <w:r>
        <w:t xml:space="preserve"> be a major disruptive consequence.</w:t>
      </w:r>
    </w:p>
    <w:p w:rsidR="00E861B7" w:rsidRDefault="00CB48D4" w:rsidP="00F678D6">
      <w:pPr>
        <w:pStyle w:val="numberlist"/>
        <w:tabs>
          <w:tab w:val="center" w:pos="4677"/>
        </w:tabs>
        <w:spacing w:after="240"/>
      </w:pPr>
      <w:r>
        <w:rPr>
          <w:b/>
        </w:rPr>
        <w:t>Subsection </w:t>
      </w:r>
      <w:r w:rsidR="001A114B">
        <w:rPr>
          <w:b/>
        </w:rPr>
        <w:t>7</w:t>
      </w:r>
      <w:r w:rsidR="00FF738A">
        <w:rPr>
          <w:b/>
        </w:rPr>
        <w:t>(</w:t>
      </w:r>
      <w:r w:rsidR="00C12976">
        <w:rPr>
          <w:b/>
        </w:rPr>
        <w:t>4</w:t>
      </w:r>
      <w:r w:rsidR="00FF738A">
        <w:rPr>
          <w:b/>
        </w:rPr>
        <w:t xml:space="preserve">) </w:t>
      </w:r>
      <w:r w:rsidR="00E861B7" w:rsidRPr="00E861B7">
        <w:t>provides that</w:t>
      </w:r>
      <w:r w:rsidR="00E861B7">
        <w:t>,</w:t>
      </w:r>
      <w:r w:rsidR="00E861B7" w:rsidRPr="00E861B7">
        <w:t xml:space="preserve"> </w:t>
      </w:r>
      <w:r w:rsidR="00E861B7">
        <w:t>w</w:t>
      </w:r>
      <w:r w:rsidR="00E861B7" w:rsidRPr="00E861B7">
        <w:t>he</w:t>
      </w:r>
      <w:r w:rsidR="00E861B7">
        <w:t>n</w:t>
      </w:r>
      <w:r w:rsidR="00E861B7" w:rsidRPr="00E861B7">
        <w:t xml:space="preserve"> </w:t>
      </w:r>
      <w:r w:rsidR="00E861B7">
        <w:t xml:space="preserve">the </w:t>
      </w:r>
      <w:r w:rsidR="00E861B7" w:rsidRPr="00E861B7">
        <w:t>special cir</w:t>
      </w:r>
      <w:r w:rsidR="00E861B7">
        <w:t>c</w:t>
      </w:r>
      <w:r w:rsidR="00E861B7" w:rsidRPr="00E861B7">
        <w:t>um</w:t>
      </w:r>
      <w:r w:rsidR="00E861B7">
        <w:t>s</w:t>
      </w:r>
      <w:r w:rsidR="00E861B7" w:rsidRPr="00E861B7">
        <w:t>t</w:t>
      </w:r>
      <w:r w:rsidR="00E861B7">
        <w:t>a</w:t>
      </w:r>
      <w:r w:rsidR="00E861B7" w:rsidRPr="00E861B7">
        <w:t>nces mentioned</w:t>
      </w:r>
      <w:r w:rsidR="00E861B7">
        <w:t xml:space="preserve"> </w:t>
      </w:r>
      <w:r w:rsidR="00E861B7" w:rsidRPr="00E861B7">
        <w:t>in subsection</w:t>
      </w:r>
      <w:r>
        <w:t> </w:t>
      </w:r>
      <w:r w:rsidR="00E861B7" w:rsidRPr="00E861B7">
        <w:t>(1) exist</w:t>
      </w:r>
      <w:r w:rsidR="00E861B7">
        <w:t>,</w:t>
      </w:r>
      <w:r w:rsidR="00E861B7" w:rsidRPr="00E861B7">
        <w:t xml:space="preserve"> that it </w:t>
      </w:r>
      <w:r w:rsidR="005E47C4">
        <w:t>may</w:t>
      </w:r>
      <w:r w:rsidR="00E861B7" w:rsidRPr="00E861B7">
        <w:t xml:space="preserve"> be unrea</w:t>
      </w:r>
      <w:r w:rsidR="00E861B7">
        <w:t>s</w:t>
      </w:r>
      <w:r w:rsidR="00E861B7" w:rsidRPr="00E861B7">
        <w:t>on</w:t>
      </w:r>
      <w:r w:rsidR="00E861B7">
        <w:t>a</w:t>
      </w:r>
      <w:r w:rsidR="00E861B7" w:rsidRPr="00E861B7">
        <w:t xml:space="preserve">ble to expect </w:t>
      </w:r>
      <w:r w:rsidR="00E861B7">
        <w:t>t</w:t>
      </w:r>
      <w:r w:rsidR="00E861B7" w:rsidRPr="00E861B7">
        <w:t>he</w:t>
      </w:r>
      <w:r w:rsidR="00E861B7">
        <w:t xml:space="preserve"> </w:t>
      </w:r>
      <w:r w:rsidR="00E861B7" w:rsidRPr="00E861B7">
        <w:t>per</w:t>
      </w:r>
      <w:r w:rsidR="00E861B7">
        <w:t>s</w:t>
      </w:r>
      <w:r w:rsidR="00E861B7" w:rsidRPr="00E861B7">
        <w:t>on to s</w:t>
      </w:r>
      <w:r w:rsidR="00E861B7">
        <w:t>a</w:t>
      </w:r>
      <w:r w:rsidR="00E861B7" w:rsidRPr="00E861B7">
        <w:t>tisfy the activ</w:t>
      </w:r>
      <w:r w:rsidR="00E861B7">
        <w:t>i</w:t>
      </w:r>
      <w:r w:rsidR="00E861B7" w:rsidRPr="00E861B7">
        <w:t xml:space="preserve">ty test </w:t>
      </w:r>
      <w:r w:rsidR="00E861B7">
        <w:t>f</w:t>
      </w:r>
      <w:r w:rsidR="00E861B7" w:rsidRPr="00E861B7">
        <w:t>or</w:t>
      </w:r>
      <w:r w:rsidR="00E861B7">
        <w:t xml:space="preserve"> </w:t>
      </w:r>
      <w:r w:rsidR="00E861B7" w:rsidRPr="00E861B7">
        <w:t xml:space="preserve">a period of up to </w:t>
      </w:r>
      <w:r w:rsidR="00A84B05">
        <w:t>2 weeks</w:t>
      </w:r>
      <w:r w:rsidR="00E861B7" w:rsidRPr="00E861B7">
        <w:t>, starting when the major disruptive event occurs.</w:t>
      </w:r>
    </w:p>
    <w:p w:rsidR="00E861B7" w:rsidRPr="00583CF6" w:rsidRDefault="00E861B7" w:rsidP="00CB48D4">
      <w:pPr>
        <w:pStyle w:val="numberlist"/>
        <w:keepNext/>
        <w:tabs>
          <w:tab w:val="center" w:pos="4677"/>
        </w:tabs>
        <w:spacing w:after="240"/>
        <w:rPr>
          <w:b/>
        </w:rPr>
      </w:pPr>
      <w:r w:rsidRPr="00583CF6">
        <w:rPr>
          <w:b/>
        </w:rPr>
        <w:t>Section</w:t>
      </w:r>
      <w:r w:rsidR="00CB48D4">
        <w:rPr>
          <w:b/>
        </w:rPr>
        <w:t> 8</w:t>
      </w:r>
      <w:r w:rsidRPr="00583CF6">
        <w:rPr>
          <w:b/>
        </w:rPr>
        <w:t xml:space="preserve"> </w:t>
      </w:r>
      <w:r w:rsidR="00CB48D4">
        <w:rPr>
          <w:b/>
        </w:rPr>
        <w:t xml:space="preserve">– </w:t>
      </w:r>
      <w:r w:rsidRPr="00583CF6">
        <w:rPr>
          <w:b/>
        </w:rPr>
        <w:t xml:space="preserve">Major </w:t>
      </w:r>
      <w:r>
        <w:rPr>
          <w:b/>
        </w:rPr>
        <w:t>personal crisis</w:t>
      </w:r>
    </w:p>
    <w:p w:rsidR="00E861B7" w:rsidRDefault="00CB48D4" w:rsidP="00E861B7">
      <w:pPr>
        <w:pStyle w:val="numberlist"/>
        <w:tabs>
          <w:tab w:val="center" w:pos="4677"/>
        </w:tabs>
        <w:spacing w:after="240"/>
      </w:pPr>
      <w:r>
        <w:rPr>
          <w:b/>
        </w:rPr>
        <w:t>Subsection 8</w:t>
      </w:r>
      <w:r w:rsidR="00E861B7" w:rsidRPr="000F0573">
        <w:rPr>
          <w:b/>
        </w:rPr>
        <w:t>(1</w:t>
      </w:r>
      <w:r w:rsidR="00E861B7" w:rsidRPr="00F678D6">
        <w:rPr>
          <w:b/>
        </w:rPr>
        <w:t xml:space="preserve">) </w:t>
      </w:r>
      <w:r w:rsidR="00E861B7" w:rsidRPr="003F39DF">
        <w:t>provides that</w:t>
      </w:r>
      <w:r w:rsidR="00E861B7">
        <w:t xml:space="preserve"> special circumstances beyond a person’s control exist if the person is experiencing a major personal crisis and the </w:t>
      </w:r>
      <w:r w:rsidR="00280F1E">
        <w:t>experience</w:t>
      </w:r>
      <w:r w:rsidR="00E861B7">
        <w:t xml:space="preserve"> has a major disruptive consequence for the person.</w:t>
      </w:r>
    </w:p>
    <w:p w:rsidR="00E861B7" w:rsidRDefault="00CB48D4" w:rsidP="00E861B7">
      <w:pPr>
        <w:pStyle w:val="numberlist"/>
        <w:tabs>
          <w:tab w:val="center" w:pos="4677"/>
        </w:tabs>
        <w:spacing w:after="240"/>
      </w:pPr>
      <w:r>
        <w:rPr>
          <w:b/>
        </w:rPr>
        <w:t>Subsection 8</w:t>
      </w:r>
      <w:r w:rsidR="00E861B7" w:rsidRPr="000F0573">
        <w:rPr>
          <w:b/>
        </w:rPr>
        <w:t>(2</w:t>
      </w:r>
      <w:r w:rsidR="00E861B7" w:rsidRPr="00F678D6">
        <w:rPr>
          <w:b/>
        </w:rPr>
        <w:t>)</w:t>
      </w:r>
      <w:r w:rsidR="00E861B7" w:rsidRPr="003F39DF">
        <w:t xml:space="preserve"> provides </w:t>
      </w:r>
      <w:r w:rsidR="00E861B7">
        <w:t>that a major personal crisis includes:</w:t>
      </w:r>
    </w:p>
    <w:p w:rsidR="00E861B7" w:rsidRDefault="00280F1E" w:rsidP="00E861B7">
      <w:pPr>
        <w:pStyle w:val="numberlist"/>
        <w:numPr>
          <w:ilvl w:val="0"/>
          <w:numId w:val="20"/>
        </w:numPr>
        <w:tabs>
          <w:tab w:val="center" w:pos="4677"/>
        </w:tabs>
        <w:spacing w:after="240"/>
      </w:pPr>
      <w:r>
        <w:t>the death of a family member;</w:t>
      </w:r>
    </w:p>
    <w:p w:rsidR="00E861B7" w:rsidRDefault="00E861B7" w:rsidP="00E861B7">
      <w:pPr>
        <w:pStyle w:val="numberlist"/>
        <w:numPr>
          <w:ilvl w:val="0"/>
          <w:numId w:val="20"/>
        </w:numPr>
        <w:tabs>
          <w:tab w:val="center" w:pos="4677"/>
        </w:tabs>
        <w:spacing w:after="240"/>
      </w:pPr>
      <w:r>
        <w:t xml:space="preserve">for a person who is a member of a couple, the </w:t>
      </w:r>
      <w:r w:rsidR="00280F1E">
        <w:t>breakdown of that relationship;</w:t>
      </w:r>
    </w:p>
    <w:p w:rsidR="00E861B7" w:rsidRDefault="00E861B7" w:rsidP="00E861B7">
      <w:pPr>
        <w:pStyle w:val="numberlist"/>
        <w:numPr>
          <w:ilvl w:val="0"/>
          <w:numId w:val="20"/>
        </w:numPr>
        <w:tabs>
          <w:tab w:val="center" w:pos="4677"/>
        </w:tabs>
        <w:spacing w:after="240"/>
      </w:pPr>
      <w:r>
        <w:t xml:space="preserve">the person is homeless and unable </w:t>
      </w:r>
      <w:r w:rsidR="00280F1E">
        <w:t>to obtain stable accommodation;</w:t>
      </w:r>
    </w:p>
    <w:p w:rsidR="00E861B7" w:rsidRDefault="00E861B7" w:rsidP="00E861B7">
      <w:pPr>
        <w:pStyle w:val="numberlist"/>
        <w:numPr>
          <w:ilvl w:val="0"/>
          <w:numId w:val="20"/>
        </w:numPr>
        <w:tabs>
          <w:tab w:val="center" w:pos="4677"/>
        </w:tabs>
        <w:spacing w:after="240"/>
      </w:pPr>
      <w:r>
        <w:t xml:space="preserve">domestic violence. </w:t>
      </w:r>
    </w:p>
    <w:p w:rsidR="00E861B7" w:rsidRDefault="00E861B7" w:rsidP="00E861B7">
      <w:pPr>
        <w:pStyle w:val="numberlist"/>
        <w:tabs>
          <w:tab w:val="center" w:pos="4677"/>
        </w:tabs>
        <w:spacing w:after="240"/>
        <w:rPr>
          <w:rFonts w:cs="Arial"/>
          <w:szCs w:val="24"/>
        </w:rPr>
      </w:pPr>
      <w:r>
        <w:t xml:space="preserve">These circumstances are not exhaustive of what constitutes a major personal crisis and other circumstances could constitute a major personal crisis. </w:t>
      </w:r>
    </w:p>
    <w:p w:rsidR="00E861B7" w:rsidRDefault="00CB48D4" w:rsidP="00E861B7">
      <w:pPr>
        <w:pStyle w:val="numberlist"/>
        <w:tabs>
          <w:tab w:val="center" w:pos="4677"/>
        </w:tabs>
        <w:spacing w:after="240"/>
      </w:pPr>
      <w:r>
        <w:rPr>
          <w:b/>
        </w:rPr>
        <w:t>Subsection 8</w:t>
      </w:r>
      <w:r w:rsidR="00E861B7" w:rsidRPr="00FF738A">
        <w:rPr>
          <w:b/>
        </w:rPr>
        <w:t>(</w:t>
      </w:r>
      <w:r w:rsidR="00E861B7">
        <w:rPr>
          <w:b/>
        </w:rPr>
        <w:t>3</w:t>
      </w:r>
      <w:r w:rsidR="00E861B7" w:rsidRPr="00FF738A">
        <w:rPr>
          <w:b/>
        </w:rPr>
        <w:t>)</w:t>
      </w:r>
      <w:r w:rsidR="00E861B7" w:rsidRPr="003F39DF">
        <w:t xml:space="preserve"> </w:t>
      </w:r>
      <w:r w:rsidR="00E861B7">
        <w:t>provides that a major disruptive consequence includes where a person needs to:</w:t>
      </w:r>
    </w:p>
    <w:p w:rsidR="00E861B7" w:rsidRDefault="00E861B7" w:rsidP="00E861B7">
      <w:pPr>
        <w:pStyle w:val="numberlist"/>
        <w:numPr>
          <w:ilvl w:val="0"/>
          <w:numId w:val="22"/>
        </w:numPr>
        <w:tabs>
          <w:tab w:val="center" w:pos="4677"/>
        </w:tabs>
        <w:spacing w:after="240"/>
      </w:pPr>
      <w:r>
        <w:t>arrange a funeral for a deceased family member or make arrangements for the property</w:t>
      </w:r>
      <w:r w:rsidR="00280F1E">
        <w:t xml:space="preserve"> of the deceased family member;</w:t>
      </w:r>
    </w:p>
    <w:p w:rsidR="00E861B7" w:rsidRDefault="00E861B7" w:rsidP="00E861B7">
      <w:pPr>
        <w:pStyle w:val="numberlist"/>
        <w:numPr>
          <w:ilvl w:val="0"/>
          <w:numId w:val="22"/>
        </w:numPr>
        <w:tabs>
          <w:tab w:val="center" w:pos="4677"/>
        </w:tabs>
        <w:spacing w:after="240"/>
      </w:pPr>
      <w:r>
        <w:t>arr</w:t>
      </w:r>
      <w:r w:rsidR="00280F1E">
        <w:t>ange alternative accommodation;</w:t>
      </w:r>
    </w:p>
    <w:p w:rsidR="00E861B7" w:rsidRDefault="00E861B7" w:rsidP="00E861B7">
      <w:pPr>
        <w:pStyle w:val="numberlist"/>
        <w:numPr>
          <w:ilvl w:val="0"/>
          <w:numId w:val="22"/>
        </w:numPr>
        <w:tabs>
          <w:tab w:val="center" w:pos="4677"/>
        </w:tabs>
        <w:spacing w:after="240"/>
      </w:pPr>
      <w:r>
        <w:t>move belongings away from his or her present accommodation;</w:t>
      </w:r>
    </w:p>
    <w:p w:rsidR="00E312DE" w:rsidRDefault="00E312DE" w:rsidP="00E861B7">
      <w:pPr>
        <w:pStyle w:val="numberlist"/>
        <w:numPr>
          <w:ilvl w:val="0"/>
          <w:numId w:val="22"/>
        </w:numPr>
        <w:tabs>
          <w:tab w:val="center" w:pos="4677"/>
        </w:tabs>
        <w:spacing w:after="240"/>
      </w:pPr>
      <w:r>
        <w:t>arrange care for his or her child;</w:t>
      </w:r>
    </w:p>
    <w:p w:rsidR="00E861B7" w:rsidRDefault="00E312DE" w:rsidP="00E861B7">
      <w:pPr>
        <w:pStyle w:val="numberlist"/>
        <w:numPr>
          <w:ilvl w:val="0"/>
          <w:numId w:val="22"/>
        </w:numPr>
        <w:tabs>
          <w:tab w:val="center" w:pos="4677"/>
        </w:tabs>
        <w:spacing w:after="240"/>
      </w:pPr>
      <w:r>
        <w:t>attend counselling</w:t>
      </w:r>
      <w:r w:rsidR="00A84B05">
        <w:t>.</w:t>
      </w:r>
    </w:p>
    <w:p w:rsidR="00E861B7" w:rsidRDefault="00E861B7" w:rsidP="00E861B7">
      <w:pPr>
        <w:pStyle w:val="numberlist"/>
        <w:tabs>
          <w:tab w:val="center" w:pos="4677"/>
        </w:tabs>
        <w:spacing w:after="240"/>
      </w:pPr>
      <w:r>
        <w:t xml:space="preserve">These matters are not exhaustive of what constitutes a major disruptive consequence and other matters </w:t>
      </w:r>
      <w:r w:rsidR="00970356">
        <w:t>could</w:t>
      </w:r>
      <w:r>
        <w:t xml:space="preserve"> be a major disruptive consequence.</w:t>
      </w:r>
    </w:p>
    <w:p w:rsidR="00E312DE" w:rsidRDefault="00CB48D4" w:rsidP="00E312DE">
      <w:pPr>
        <w:pStyle w:val="numberlist"/>
        <w:tabs>
          <w:tab w:val="center" w:pos="4677"/>
        </w:tabs>
        <w:spacing w:after="240"/>
      </w:pPr>
      <w:r>
        <w:rPr>
          <w:b/>
        </w:rPr>
        <w:t>Subsection 8</w:t>
      </w:r>
      <w:r w:rsidR="00E312DE">
        <w:rPr>
          <w:b/>
        </w:rPr>
        <w:t xml:space="preserve">(4) </w:t>
      </w:r>
      <w:r w:rsidR="00E312DE" w:rsidRPr="00E861B7">
        <w:t>provides that</w:t>
      </w:r>
      <w:r w:rsidR="00E312DE">
        <w:t>,</w:t>
      </w:r>
      <w:r w:rsidR="00E312DE" w:rsidRPr="00E861B7">
        <w:t xml:space="preserve"> </w:t>
      </w:r>
      <w:r w:rsidR="00E312DE">
        <w:t>w</w:t>
      </w:r>
      <w:r w:rsidR="00E312DE" w:rsidRPr="00E861B7">
        <w:t>he</w:t>
      </w:r>
      <w:r w:rsidR="00E312DE">
        <w:t>n</w:t>
      </w:r>
      <w:r w:rsidR="00E312DE" w:rsidRPr="00E861B7">
        <w:t xml:space="preserve"> </w:t>
      </w:r>
      <w:r w:rsidR="00E312DE">
        <w:t xml:space="preserve">the </w:t>
      </w:r>
      <w:r w:rsidR="00E312DE" w:rsidRPr="00E861B7">
        <w:t>special cir</w:t>
      </w:r>
      <w:r w:rsidR="00E312DE">
        <w:t>c</w:t>
      </w:r>
      <w:r w:rsidR="00E312DE" w:rsidRPr="00E861B7">
        <w:t>um</w:t>
      </w:r>
      <w:r w:rsidR="00E312DE">
        <w:t>s</w:t>
      </w:r>
      <w:r w:rsidR="00E312DE" w:rsidRPr="00E861B7">
        <w:t>t</w:t>
      </w:r>
      <w:r w:rsidR="00E312DE">
        <w:t>a</w:t>
      </w:r>
      <w:r w:rsidR="00E312DE" w:rsidRPr="00E861B7">
        <w:t>nces mentioned</w:t>
      </w:r>
      <w:r w:rsidR="00E312DE">
        <w:t xml:space="preserve"> </w:t>
      </w:r>
      <w:r w:rsidR="00E312DE" w:rsidRPr="00E861B7">
        <w:t>in subsection</w:t>
      </w:r>
      <w:r w:rsidR="00A84B05">
        <w:t> </w:t>
      </w:r>
      <w:r w:rsidR="00E312DE" w:rsidRPr="00E861B7">
        <w:t>(1) exist</w:t>
      </w:r>
      <w:r w:rsidR="00E312DE">
        <w:t>,</w:t>
      </w:r>
      <w:r w:rsidR="00E312DE" w:rsidRPr="00E861B7">
        <w:t xml:space="preserve"> </w:t>
      </w:r>
      <w:r w:rsidR="00C635D3" w:rsidRPr="000F2A87">
        <w:t>except where the person is homeless and unable to obtain stable accommodation</w:t>
      </w:r>
      <w:r w:rsidR="00C635D3">
        <w:t>,</w:t>
      </w:r>
      <w:r w:rsidR="00E312DE" w:rsidRPr="00E861B7">
        <w:t xml:space="preserve"> it </w:t>
      </w:r>
      <w:r w:rsidR="00EF593D">
        <w:t>may</w:t>
      </w:r>
      <w:r w:rsidR="00E312DE" w:rsidRPr="00E861B7">
        <w:t xml:space="preserve"> be unrea</w:t>
      </w:r>
      <w:r w:rsidR="00E312DE">
        <w:t>s</w:t>
      </w:r>
      <w:r w:rsidR="00E312DE" w:rsidRPr="00E861B7">
        <w:t>on</w:t>
      </w:r>
      <w:r w:rsidR="00E312DE">
        <w:t>a</w:t>
      </w:r>
      <w:r w:rsidR="00E312DE" w:rsidRPr="00E861B7">
        <w:t xml:space="preserve">ble to expect </w:t>
      </w:r>
      <w:r w:rsidR="00E312DE">
        <w:t>t</w:t>
      </w:r>
      <w:r w:rsidR="00E312DE" w:rsidRPr="00E861B7">
        <w:t>he</w:t>
      </w:r>
      <w:r w:rsidR="00E312DE">
        <w:t xml:space="preserve"> </w:t>
      </w:r>
      <w:r w:rsidR="00E312DE" w:rsidRPr="00E861B7">
        <w:t>per</w:t>
      </w:r>
      <w:r w:rsidR="00E312DE">
        <w:t>s</w:t>
      </w:r>
      <w:r w:rsidR="00E312DE" w:rsidRPr="00E861B7">
        <w:t>on to s</w:t>
      </w:r>
      <w:r w:rsidR="00E312DE">
        <w:t>a</w:t>
      </w:r>
      <w:r w:rsidR="00E312DE" w:rsidRPr="00E861B7">
        <w:t>tisfy the activ</w:t>
      </w:r>
      <w:r w:rsidR="00E312DE">
        <w:t>i</w:t>
      </w:r>
      <w:r w:rsidR="00E312DE" w:rsidRPr="00E861B7">
        <w:t xml:space="preserve">ty test </w:t>
      </w:r>
      <w:r w:rsidR="00E312DE">
        <w:t>f</w:t>
      </w:r>
      <w:r w:rsidR="00E312DE" w:rsidRPr="00E861B7">
        <w:t>or</w:t>
      </w:r>
      <w:r w:rsidR="00E312DE">
        <w:t xml:space="preserve"> </w:t>
      </w:r>
      <w:r w:rsidR="00E312DE" w:rsidRPr="00E861B7">
        <w:t>a period of up to</w:t>
      </w:r>
      <w:r w:rsidR="00E312DE">
        <w:t>:</w:t>
      </w:r>
    </w:p>
    <w:p w:rsidR="00E312DE" w:rsidRDefault="00A84B05" w:rsidP="00E312DE">
      <w:pPr>
        <w:pStyle w:val="numberlist"/>
        <w:numPr>
          <w:ilvl w:val="0"/>
          <w:numId w:val="23"/>
        </w:numPr>
        <w:tabs>
          <w:tab w:val="center" w:pos="4677"/>
        </w:tabs>
        <w:spacing w:after="240"/>
      </w:pPr>
      <w:r>
        <w:t>2 weeks</w:t>
      </w:r>
      <w:r w:rsidR="00E312DE">
        <w:t>, starting when the person begins to experie</w:t>
      </w:r>
      <w:r>
        <w:t>nce the major personal crisis; or</w:t>
      </w:r>
    </w:p>
    <w:p w:rsidR="00E312DE" w:rsidRDefault="00E312DE" w:rsidP="00E312DE">
      <w:pPr>
        <w:pStyle w:val="numberlist"/>
        <w:numPr>
          <w:ilvl w:val="0"/>
          <w:numId w:val="23"/>
        </w:numPr>
        <w:tabs>
          <w:tab w:val="center" w:pos="4677"/>
        </w:tabs>
        <w:spacing w:after="240"/>
      </w:pPr>
      <w:r>
        <w:t xml:space="preserve">if the special circumstances are extremely traumatic for the person, </w:t>
      </w:r>
      <w:r w:rsidR="00A84B05">
        <w:t>4 weeks</w:t>
      </w:r>
      <w:r w:rsidR="00970356">
        <w:t>,</w:t>
      </w:r>
      <w:r>
        <w:t xml:space="preserve"> starting when the person begins to experience the major crisis.</w:t>
      </w:r>
    </w:p>
    <w:p w:rsidR="004A2E2E" w:rsidRDefault="00CB48D4" w:rsidP="00E312DE">
      <w:pPr>
        <w:pStyle w:val="numberlist"/>
        <w:tabs>
          <w:tab w:val="center" w:pos="4677"/>
        </w:tabs>
        <w:spacing w:after="240"/>
        <w:rPr>
          <w:b/>
        </w:rPr>
      </w:pPr>
      <w:r>
        <w:rPr>
          <w:b/>
        </w:rPr>
        <w:t>Subsection 8</w:t>
      </w:r>
      <w:r w:rsidR="004A2E2E">
        <w:rPr>
          <w:b/>
        </w:rPr>
        <w:t xml:space="preserve">(5) </w:t>
      </w:r>
      <w:r w:rsidR="004A2E2E" w:rsidRPr="004A2E2E">
        <w:t xml:space="preserve">provides that, </w:t>
      </w:r>
      <w:r w:rsidR="00C635D3">
        <w:t xml:space="preserve">where </w:t>
      </w:r>
      <w:r w:rsidR="004A2E2E" w:rsidRPr="000F2A87">
        <w:t xml:space="preserve">the </w:t>
      </w:r>
      <w:r w:rsidR="00C635D3">
        <w:t>special circumstances in subsection</w:t>
      </w:r>
      <w:r w:rsidR="00A84B05">
        <w:t> </w:t>
      </w:r>
      <w:r w:rsidR="00C635D3">
        <w:t xml:space="preserve">(1) exist because the </w:t>
      </w:r>
      <w:r w:rsidR="004A2E2E" w:rsidRPr="000F2A87">
        <w:t xml:space="preserve">person is homeless and unable to obtain stable accommodation, it </w:t>
      </w:r>
      <w:r w:rsidR="004A2E2E">
        <w:t xml:space="preserve">may </w:t>
      </w:r>
      <w:r w:rsidR="004A2E2E" w:rsidRPr="000F2A87">
        <w:t>be unreasonable to expect the person to satisfy the activity test</w:t>
      </w:r>
      <w:r w:rsidR="00A84B05">
        <w:t xml:space="preserve"> for a period of up to 13 </w:t>
      </w:r>
      <w:r w:rsidR="004A2E2E">
        <w:t>weeks, starting at the beginning of that circumstance.</w:t>
      </w:r>
    </w:p>
    <w:p w:rsidR="00E312DE" w:rsidRPr="00583CF6" w:rsidRDefault="00CB48D4" w:rsidP="00CB48D4">
      <w:pPr>
        <w:pStyle w:val="numberlist"/>
        <w:keepNext/>
        <w:tabs>
          <w:tab w:val="center" w:pos="4677"/>
        </w:tabs>
        <w:spacing w:after="240"/>
        <w:rPr>
          <w:b/>
        </w:rPr>
      </w:pPr>
      <w:r>
        <w:rPr>
          <w:b/>
        </w:rPr>
        <w:t>Section 9</w:t>
      </w:r>
      <w:r w:rsidR="00E312DE" w:rsidRPr="00583CF6">
        <w:rPr>
          <w:b/>
        </w:rPr>
        <w:t xml:space="preserve"> </w:t>
      </w:r>
      <w:r>
        <w:rPr>
          <w:b/>
        </w:rPr>
        <w:t xml:space="preserve">– </w:t>
      </w:r>
      <w:r w:rsidR="00A84B05">
        <w:rPr>
          <w:b/>
        </w:rPr>
        <w:t>Carer</w:t>
      </w:r>
      <w:r w:rsidR="00E312DE">
        <w:rPr>
          <w:b/>
        </w:rPr>
        <w:t xml:space="preserve"> duties</w:t>
      </w:r>
    </w:p>
    <w:p w:rsidR="00D60286" w:rsidRDefault="00E312DE" w:rsidP="00E312DE">
      <w:pPr>
        <w:pStyle w:val="numberlist"/>
        <w:tabs>
          <w:tab w:val="center" w:pos="4677"/>
        </w:tabs>
        <w:spacing w:after="240"/>
      </w:pPr>
      <w:r>
        <w:rPr>
          <w:b/>
        </w:rPr>
        <w:t>Subsection</w:t>
      </w:r>
      <w:r w:rsidR="00CB48D4">
        <w:rPr>
          <w:b/>
        </w:rPr>
        <w:t> 9</w:t>
      </w:r>
      <w:r w:rsidRPr="000F0573">
        <w:rPr>
          <w:b/>
        </w:rPr>
        <w:t>(</w:t>
      </w:r>
      <w:r>
        <w:rPr>
          <w:b/>
        </w:rPr>
        <w:t>1</w:t>
      </w:r>
      <w:r w:rsidRPr="00F678D6">
        <w:rPr>
          <w:b/>
        </w:rPr>
        <w:t>)</w:t>
      </w:r>
      <w:r w:rsidRPr="003F39DF">
        <w:t xml:space="preserve"> provides </w:t>
      </w:r>
      <w:r>
        <w:t>that special circumstances beyond a person’s control exist if</w:t>
      </w:r>
      <w:r w:rsidR="00D60286">
        <w:t>:</w:t>
      </w:r>
    </w:p>
    <w:p w:rsidR="00E312DE" w:rsidRDefault="00E312DE" w:rsidP="00D60286">
      <w:pPr>
        <w:pStyle w:val="numberlist"/>
        <w:numPr>
          <w:ilvl w:val="0"/>
          <w:numId w:val="24"/>
        </w:numPr>
        <w:tabs>
          <w:tab w:val="center" w:pos="4677"/>
        </w:tabs>
        <w:spacing w:after="240"/>
      </w:pPr>
      <w:r>
        <w:t>a family member of the person is temporarily incapacitated due to illness or accident</w:t>
      </w:r>
      <w:r w:rsidR="00D60286">
        <w:t>;</w:t>
      </w:r>
      <w:r w:rsidR="00315FC9">
        <w:t xml:space="preserve"> and</w:t>
      </w:r>
    </w:p>
    <w:p w:rsidR="00E312DE" w:rsidRDefault="00E312DE" w:rsidP="00BE22BB">
      <w:pPr>
        <w:pStyle w:val="numberlist"/>
        <w:numPr>
          <w:ilvl w:val="0"/>
          <w:numId w:val="24"/>
        </w:numPr>
        <w:tabs>
          <w:tab w:val="center" w:pos="4677"/>
        </w:tabs>
        <w:spacing w:after="240"/>
      </w:pPr>
      <w:r>
        <w:t>the family member needs full-time care during the incapacity;</w:t>
      </w:r>
      <w:r w:rsidR="00315FC9">
        <w:t xml:space="preserve"> and</w:t>
      </w:r>
    </w:p>
    <w:p w:rsidR="00E312DE" w:rsidRDefault="00A84B05" w:rsidP="00BE22BB">
      <w:pPr>
        <w:pStyle w:val="numberlist"/>
        <w:numPr>
          <w:ilvl w:val="0"/>
          <w:numId w:val="24"/>
        </w:numPr>
        <w:tabs>
          <w:tab w:val="center" w:pos="4677"/>
        </w:tabs>
        <w:spacing w:after="240"/>
      </w:pPr>
      <w:r>
        <w:t>the person provides the care;</w:t>
      </w:r>
      <w:r w:rsidR="00315FC9">
        <w:t xml:space="preserve"> and</w:t>
      </w:r>
    </w:p>
    <w:p w:rsidR="00E312DE" w:rsidRDefault="00E312DE" w:rsidP="00E312DE">
      <w:pPr>
        <w:pStyle w:val="numberlist"/>
        <w:numPr>
          <w:ilvl w:val="0"/>
          <w:numId w:val="24"/>
        </w:numPr>
        <w:tabs>
          <w:tab w:val="center" w:pos="4677"/>
        </w:tabs>
        <w:spacing w:after="240"/>
      </w:pPr>
      <w:r>
        <w:t>other ways of proving the car</w:t>
      </w:r>
      <w:r w:rsidR="00A84B05">
        <w:t>e are not reasonably available;</w:t>
      </w:r>
      <w:r w:rsidR="00315FC9">
        <w:t xml:space="preserve"> and</w:t>
      </w:r>
    </w:p>
    <w:p w:rsidR="00E312DE" w:rsidRDefault="00E312DE" w:rsidP="00E312DE">
      <w:pPr>
        <w:pStyle w:val="numberlist"/>
        <w:numPr>
          <w:ilvl w:val="0"/>
          <w:numId w:val="24"/>
        </w:numPr>
        <w:tabs>
          <w:tab w:val="center" w:pos="4677"/>
        </w:tabs>
        <w:spacing w:after="240"/>
      </w:pPr>
      <w:r>
        <w:t>the person does not qualify for a carer payment under section</w:t>
      </w:r>
      <w:r w:rsidR="00A84B05">
        <w:t> </w:t>
      </w:r>
      <w:r>
        <w:t>198 of the Act; and</w:t>
      </w:r>
    </w:p>
    <w:p w:rsidR="00E312DE" w:rsidRDefault="00E312DE" w:rsidP="00E312DE">
      <w:pPr>
        <w:pStyle w:val="numberlist"/>
        <w:numPr>
          <w:ilvl w:val="0"/>
          <w:numId w:val="24"/>
        </w:numPr>
        <w:tabs>
          <w:tab w:val="center" w:pos="4677"/>
        </w:tabs>
        <w:spacing w:after="240"/>
      </w:pPr>
      <w:r>
        <w:t>the person is unable to satisfy the activity test because th</w:t>
      </w:r>
      <w:r w:rsidR="00A84B05">
        <w:t>e person is providing the care.</w:t>
      </w:r>
    </w:p>
    <w:p w:rsidR="00EF593D" w:rsidRDefault="00EF593D" w:rsidP="00EF593D">
      <w:pPr>
        <w:pStyle w:val="numberlist"/>
        <w:tabs>
          <w:tab w:val="center" w:pos="4677"/>
        </w:tabs>
        <w:spacing w:after="240"/>
      </w:pPr>
      <w:r w:rsidRPr="00EF593D">
        <w:rPr>
          <w:b/>
        </w:rPr>
        <w:t>Subsection</w:t>
      </w:r>
      <w:r w:rsidR="00CB48D4">
        <w:rPr>
          <w:b/>
        </w:rPr>
        <w:t> 9</w:t>
      </w:r>
      <w:r w:rsidRPr="00EF593D">
        <w:rPr>
          <w:b/>
        </w:rPr>
        <w:t>(2)</w:t>
      </w:r>
      <w:r>
        <w:t xml:space="preserve"> provides that</w:t>
      </w:r>
      <w:r w:rsidR="00BE22BB">
        <w:t>, in the section,</w:t>
      </w:r>
      <w:r>
        <w:t xml:space="preserve"> </w:t>
      </w:r>
      <w:r w:rsidRPr="00D60286">
        <w:rPr>
          <w:b/>
          <w:i/>
        </w:rPr>
        <w:t>care</w:t>
      </w:r>
      <w:r>
        <w:t xml:space="preserve"> incl</w:t>
      </w:r>
      <w:r w:rsidR="00A84B05">
        <w:t>udes attention and supervision.</w:t>
      </w:r>
    </w:p>
    <w:p w:rsidR="00E312DE" w:rsidRDefault="00E861B7" w:rsidP="00E861B7">
      <w:pPr>
        <w:pStyle w:val="numberlist"/>
        <w:tabs>
          <w:tab w:val="center" w:pos="4677"/>
        </w:tabs>
        <w:spacing w:after="240"/>
      </w:pPr>
      <w:r>
        <w:rPr>
          <w:b/>
        </w:rPr>
        <w:t>Subsection</w:t>
      </w:r>
      <w:r w:rsidR="00CB48D4">
        <w:rPr>
          <w:b/>
        </w:rPr>
        <w:t> 9</w:t>
      </w:r>
      <w:r>
        <w:rPr>
          <w:b/>
        </w:rPr>
        <w:t>(</w:t>
      </w:r>
      <w:r w:rsidR="00EF593D">
        <w:rPr>
          <w:b/>
        </w:rPr>
        <w:t>3</w:t>
      </w:r>
      <w:r>
        <w:rPr>
          <w:b/>
        </w:rPr>
        <w:t xml:space="preserve">) </w:t>
      </w:r>
      <w:r w:rsidRPr="00E861B7">
        <w:t>provides that</w:t>
      </w:r>
      <w:r>
        <w:t>,</w:t>
      </w:r>
      <w:r w:rsidRPr="00E861B7">
        <w:t xml:space="preserve"> </w:t>
      </w:r>
      <w:r>
        <w:t>w</w:t>
      </w:r>
      <w:r w:rsidRPr="00E861B7">
        <w:t>he</w:t>
      </w:r>
      <w:r>
        <w:t>n</w:t>
      </w:r>
      <w:r w:rsidRPr="00E861B7">
        <w:t xml:space="preserve"> </w:t>
      </w:r>
      <w:r>
        <w:t xml:space="preserve">the </w:t>
      </w:r>
      <w:r w:rsidRPr="00E861B7">
        <w:t>special cir</w:t>
      </w:r>
      <w:r>
        <w:t>c</w:t>
      </w:r>
      <w:r w:rsidRPr="00E861B7">
        <w:t>um</w:t>
      </w:r>
      <w:r>
        <w:t>s</w:t>
      </w:r>
      <w:r w:rsidRPr="00E861B7">
        <w:t>t</w:t>
      </w:r>
      <w:r>
        <w:t>a</w:t>
      </w:r>
      <w:r w:rsidRPr="00E861B7">
        <w:t>nces mentioned</w:t>
      </w:r>
      <w:r>
        <w:t xml:space="preserve"> </w:t>
      </w:r>
      <w:r w:rsidRPr="00E861B7">
        <w:t>in subsection</w:t>
      </w:r>
      <w:r w:rsidR="00A84B05">
        <w:t> </w:t>
      </w:r>
      <w:r w:rsidRPr="00E861B7">
        <w:t>(1) exist</w:t>
      </w:r>
      <w:r>
        <w:t>,</w:t>
      </w:r>
      <w:r w:rsidRPr="00E861B7">
        <w:t xml:space="preserve"> it </w:t>
      </w:r>
      <w:r w:rsidR="00EF593D">
        <w:t>may</w:t>
      </w:r>
      <w:r w:rsidRPr="00E861B7">
        <w:t xml:space="preserve"> be unrea</w:t>
      </w:r>
      <w:r>
        <w:t>s</w:t>
      </w:r>
      <w:r w:rsidRPr="00E861B7">
        <w:t>on</w:t>
      </w:r>
      <w:r>
        <w:t>a</w:t>
      </w:r>
      <w:r w:rsidRPr="00E861B7">
        <w:t xml:space="preserve">ble to expect </w:t>
      </w:r>
      <w:r>
        <w:t>t</w:t>
      </w:r>
      <w:r w:rsidRPr="00E861B7">
        <w:t>he</w:t>
      </w:r>
      <w:r>
        <w:t xml:space="preserve"> </w:t>
      </w:r>
      <w:r w:rsidRPr="00E861B7">
        <w:t>per</w:t>
      </w:r>
      <w:r>
        <w:t>s</w:t>
      </w:r>
      <w:r w:rsidRPr="00E861B7">
        <w:t>on to s</w:t>
      </w:r>
      <w:r>
        <w:t>a</w:t>
      </w:r>
      <w:r w:rsidRPr="00E861B7">
        <w:t>tisfy the activ</w:t>
      </w:r>
      <w:r>
        <w:t>i</w:t>
      </w:r>
      <w:r w:rsidRPr="00E861B7">
        <w:t>ty test</w:t>
      </w:r>
      <w:r w:rsidR="00E312DE">
        <w:t>:</w:t>
      </w:r>
    </w:p>
    <w:p w:rsidR="00364C11" w:rsidRDefault="00364C11" w:rsidP="00364C11">
      <w:pPr>
        <w:pStyle w:val="numberlist"/>
        <w:numPr>
          <w:ilvl w:val="0"/>
          <w:numId w:val="25"/>
        </w:numPr>
        <w:tabs>
          <w:tab w:val="center" w:pos="4677"/>
        </w:tabs>
        <w:spacing w:after="240"/>
      </w:pPr>
      <w:r>
        <w:t xml:space="preserve">for a period of </w:t>
      </w:r>
      <w:r w:rsidR="00A3016D">
        <w:t xml:space="preserve">up to </w:t>
      </w:r>
      <w:r w:rsidR="00A84B05">
        <w:t>13 </w:t>
      </w:r>
      <w:r>
        <w:t>weeks, starting when the person begins to provide the care; and</w:t>
      </w:r>
    </w:p>
    <w:p w:rsidR="00970356" w:rsidRDefault="00A84B05" w:rsidP="00364C11">
      <w:pPr>
        <w:pStyle w:val="numberlist"/>
        <w:numPr>
          <w:ilvl w:val="0"/>
          <w:numId w:val="25"/>
        </w:numPr>
        <w:tabs>
          <w:tab w:val="center" w:pos="4677"/>
        </w:tabs>
        <w:spacing w:after="240"/>
      </w:pPr>
      <w:r>
        <w:t xml:space="preserve">for a further period of up to 13 weeks </w:t>
      </w:r>
      <w:r w:rsidR="00364C11">
        <w:t xml:space="preserve">if, at the end of </w:t>
      </w:r>
      <w:r>
        <w:t>the initial 13 week period</w:t>
      </w:r>
      <w:r w:rsidR="00364C11">
        <w:t>, the special</w:t>
      </w:r>
      <w:r>
        <w:t xml:space="preserve"> circumstances remain unchanged</w:t>
      </w:r>
      <w:r w:rsidR="00364C11">
        <w:t>.</w:t>
      </w:r>
    </w:p>
    <w:p w:rsidR="00364C11" w:rsidRPr="00583CF6" w:rsidRDefault="00CB48D4" w:rsidP="00CB48D4">
      <w:pPr>
        <w:pStyle w:val="numberlist"/>
        <w:keepNext/>
        <w:tabs>
          <w:tab w:val="center" w:pos="4677"/>
        </w:tabs>
        <w:spacing w:after="240"/>
        <w:rPr>
          <w:b/>
        </w:rPr>
      </w:pPr>
      <w:r>
        <w:rPr>
          <w:b/>
        </w:rPr>
        <w:t>Section 10 –</w:t>
      </w:r>
      <w:r w:rsidR="00364C11" w:rsidRPr="00583CF6">
        <w:rPr>
          <w:b/>
        </w:rPr>
        <w:t xml:space="preserve"> </w:t>
      </w:r>
      <w:r w:rsidR="00364C11">
        <w:rPr>
          <w:b/>
        </w:rPr>
        <w:t xml:space="preserve">Serving on a jury </w:t>
      </w:r>
    </w:p>
    <w:p w:rsidR="00364C11" w:rsidRDefault="00CB48D4" w:rsidP="00364C11">
      <w:pPr>
        <w:pStyle w:val="numberlist"/>
        <w:tabs>
          <w:tab w:val="center" w:pos="4677"/>
        </w:tabs>
        <w:spacing w:after="240"/>
      </w:pPr>
      <w:r>
        <w:rPr>
          <w:b/>
        </w:rPr>
        <w:t>Subsection </w:t>
      </w:r>
      <w:r w:rsidR="00E72F08">
        <w:rPr>
          <w:b/>
        </w:rPr>
        <w:t>1</w:t>
      </w:r>
      <w:r>
        <w:rPr>
          <w:b/>
        </w:rPr>
        <w:t>0</w:t>
      </w:r>
      <w:r w:rsidR="00364C11" w:rsidRPr="000F0573">
        <w:rPr>
          <w:b/>
        </w:rPr>
        <w:t>(</w:t>
      </w:r>
      <w:r w:rsidR="00364C11">
        <w:rPr>
          <w:b/>
        </w:rPr>
        <w:t>1</w:t>
      </w:r>
      <w:r w:rsidR="00364C11" w:rsidRPr="00F678D6">
        <w:rPr>
          <w:b/>
        </w:rPr>
        <w:t>)</w:t>
      </w:r>
      <w:r w:rsidR="00364C11" w:rsidRPr="003F39DF">
        <w:t xml:space="preserve"> provides </w:t>
      </w:r>
      <w:r w:rsidR="00364C11">
        <w:t xml:space="preserve">that special circumstances beyond a person’s control exist if </w:t>
      </w:r>
      <w:r w:rsidR="00E72F08">
        <w:t>the person is serving on a jury and, under the laws of the Commonwealth, State or Territory, as the case may be, the person</w:t>
      </w:r>
      <w:r w:rsidR="00364C11">
        <w:t>:</w:t>
      </w:r>
    </w:p>
    <w:p w:rsidR="00E72F08" w:rsidRDefault="00E72F08" w:rsidP="00E72F08">
      <w:pPr>
        <w:pStyle w:val="numberlist"/>
        <w:numPr>
          <w:ilvl w:val="0"/>
          <w:numId w:val="26"/>
        </w:numPr>
        <w:tabs>
          <w:tab w:val="center" w:pos="4677"/>
        </w:tabs>
        <w:spacing w:after="240"/>
      </w:pPr>
      <w:r>
        <w:t>is</w:t>
      </w:r>
      <w:r w:rsidR="00A84B05">
        <w:t xml:space="preserve"> eligible to serve on the jury;</w:t>
      </w:r>
      <w:r w:rsidR="00315FC9">
        <w:t xml:space="preserve"> and</w:t>
      </w:r>
    </w:p>
    <w:p w:rsidR="00E72F08" w:rsidRDefault="00E72F08" w:rsidP="00E72F08">
      <w:pPr>
        <w:pStyle w:val="numberlist"/>
        <w:numPr>
          <w:ilvl w:val="0"/>
          <w:numId w:val="26"/>
        </w:numPr>
        <w:tabs>
          <w:tab w:val="center" w:pos="4677"/>
        </w:tabs>
        <w:spacing w:after="240"/>
      </w:pPr>
      <w:r>
        <w:t xml:space="preserve"> is not exempt from liability to serve on the jury; and</w:t>
      </w:r>
    </w:p>
    <w:p w:rsidR="00E72F08" w:rsidRDefault="00E72F08" w:rsidP="00E72F08">
      <w:pPr>
        <w:pStyle w:val="numberlist"/>
        <w:numPr>
          <w:ilvl w:val="0"/>
          <w:numId w:val="26"/>
        </w:numPr>
        <w:tabs>
          <w:tab w:val="center" w:pos="4677"/>
        </w:tabs>
        <w:spacing w:after="240"/>
      </w:pPr>
      <w:r>
        <w:t>is not disqualified from serving on the jury.</w:t>
      </w:r>
    </w:p>
    <w:p w:rsidR="00E72F08" w:rsidRDefault="00E72F08" w:rsidP="00E72F08">
      <w:pPr>
        <w:pStyle w:val="numberlist"/>
        <w:tabs>
          <w:tab w:val="center" w:pos="4677"/>
        </w:tabs>
        <w:spacing w:after="240"/>
      </w:pPr>
      <w:r>
        <w:rPr>
          <w:b/>
        </w:rPr>
        <w:t>Subsection</w:t>
      </w:r>
      <w:r w:rsidR="00CB48D4">
        <w:rPr>
          <w:b/>
        </w:rPr>
        <w:t> </w:t>
      </w:r>
      <w:r>
        <w:rPr>
          <w:b/>
        </w:rPr>
        <w:t>1</w:t>
      </w:r>
      <w:r w:rsidR="00CB48D4">
        <w:rPr>
          <w:b/>
        </w:rPr>
        <w:t>0</w:t>
      </w:r>
      <w:r>
        <w:rPr>
          <w:b/>
        </w:rPr>
        <w:t xml:space="preserve">(2) </w:t>
      </w:r>
      <w:r w:rsidRPr="00E861B7">
        <w:t>provides that</w:t>
      </w:r>
      <w:r>
        <w:t>,</w:t>
      </w:r>
      <w:r w:rsidRPr="00E861B7">
        <w:t xml:space="preserve"> </w:t>
      </w:r>
      <w:r>
        <w:t>w</w:t>
      </w:r>
      <w:r w:rsidRPr="00E861B7">
        <w:t>he</w:t>
      </w:r>
      <w:r>
        <w:t>n</w:t>
      </w:r>
      <w:r w:rsidRPr="00E861B7">
        <w:t xml:space="preserve"> </w:t>
      </w:r>
      <w:r>
        <w:t xml:space="preserve">the </w:t>
      </w:r>
      <w:r w:rsidRPr="00E861B7">
        <w:t>special cir</w:t>
      </w:r>
      <w:r>
        <w:t>c</w:t>
      </w:r>
      <w:r w:rsidRPr="00E861B7">
        <w:t>um</w:t>
      </w:r>
      <w:r>
        <w:t>s</w:t>
      </w:r>
      <w:r w:rsidRPr="00E861B7">
        <w:t>t</w:t>
      </w:r>
      <w:r>
        <w:t>a</w:t>
      </w:r>
      <w:r w:rsidRPr="00E861B7">
        <w:t>nces mentioned</w:t>
      </w:r>
      <w:r>
        <w:t xml:space="preserve"> </w:t>
      </w:r>
      <w:r w:rsidRPr="00E861B7">
        <w:t>in subsection</w:t>
      </w:r>
      <w:r w:rsidR="00A84B05">
        <w:t> </w:t>
      </w:r>
      <w:r w:rsidRPr="00E861B7">
        <w:t>(1) exist</w:t>
      </w:r>
      <w:r>
        <w:t>,</w:t>
      </w:r>
      <w:r w:rsidRPr="00E861B7">
        <w:t xml:space="preserve"> it </w:t>
      </w:r>
      <w:r w:rsidR="002410A7">
        <w:t>may</w:t>
      </w:r>
      <w:r w:rsidRPr="00E861B7">
        <w:t xml:space="preserve"> be unrea</w:t>
      </w:r>
      <w:r>
        <w:t>s</w:t>
      </w:r>
      <w:r w:rsidRPr="00E861B7">
        <w:t>on</w:t>
      </w:r>
      <w:r>
        <w:t>a</w:t>
      </w:r>
      <w:r w:rsidRPr="00E861B7">
        <w:t xml:space="preserve">ble to expect </w:t>
      </w:r>
      <w:r>
        <w:t>t</w:t>
      </w:r>
      <w:r w:rsidRPr="00E861B7">
        <w:t>he</w:t>
      </w:r>
      <w:r>
        <w:t xml:space="preserve"> </w:t>
      </w:r>
      <w:r w:rsidRPr="00E861B7">
        <w:t>per</w:t>
      </w:r>
      <w:r>
        <w:t>s</w:t>
      </w:r>
      <w:r w:rsidRPr="00E861B7">
        <w:t>on to s</w:t>
      </w:r>
      <w:r>
        <w:t>a</w:t>
      </w:r>
      <w:r w:rsidRPr="00E861B7">
        <w:t>tisfy the activ</w:t>
      </w:r>
      <w:r>
        <w:t>i</w:t>
      </w:r>
      <w:r w:rsidRPr="00E861B7">
        <w:t>ty test</w:t>
      </w:r>
      <w:r>
        <w:t>:</w:t>
      </w:r>
    </w:p>
    <w:p w:rsidR="00E72F08" w:rsidRDefault="00E72F08" w:rsidP="00E72F08">
      <w:pPr>
        <w:pStyle w:val="numberlist"/>
        <w:numPr>
          <w:ilvl w:val="0"/>
          <w:numId w:val="27"/>
        </w:numPr>
        <w:tabs>
          <w:tab w:val="center" w:pos="4677"/>
        </w:tabs>
        <w:spacing w:after="240"/>
      </w:pPr>
      <w:r>
        <w:t xml:space="preserve">for the period for which the person is empanelled on the jury or up to </w:t>
      </w:r>
      <w:r w:rsidR="00A84B05">
        <w:t>13 weeks</w:t>
      </w:r>
      <w:r>
        <w:t>, whichever is the shorter; and</w:t>
      </w:r>
    </w:p>
    <w:p w:rsidR="00E72F08" w:rsidRDefault="00771500" w:rsidP="00E72F08">
      <w:pPr>
        <w:pStyle w:val="numberlist"/>
        <w:numPr>
          <w:ilvl w:val="0"/>
          <w:numId w:val="27"/>
        </w:numPr>
        <w:tabs>
          <w:tab w:val="center" w:pos="4677"/>
        </w:tabs>
        <w:spacing w:after="240"/>
      </w:pPr>
      <w:r>
        <w:t xml:space="preserve">for a further period of up to 13 weeks </w:t>
      </w:r>
      <w:r w:rsidR="00E72F08">
        <w:t>if</w:t>
      </w:r>
      <w:r>
        <w:t>,</w:t>
      </w:r>
      <w:r w:rsidR="00E72F08">
        <w:t xml:space="preserve"> at the end of </w:t>
      </w:r>
      <w:r>
        <w:t>the initial</w:t>
      </w:r>
      <w:r w:rsidR="00E72F08">
        <w:t xml:space="preserve"> period</w:t>
      </w:r>
      <w:r>
        <w:t>,</w:t>
      </w:r>
      <w:r w:rsidR="00E72F08">
        <w:t xml:space="preserve"> the special</w:t>
      </w:r>
      <w:r>
        <w:t xml:space="preserve"> circumstances remain unchanged</w:t>
      </w:r>
      <w:r w:rsidR="00E72F08">
        <w:t>.</w:t>
      </w:r>
    </w:p>
    <w:p w:rsidR="00011FCE" w:rsidRPr="00583CF6" w:rsidRDefault="00011FCE" w:rsidP="00CB48D4">
      <w:pPr>
        <w:pStyle w:val="numberlist"/>
        <w:keepNext/>
        <w:tabs>
          <w:tab w:val="center" w:pos="4677"/>
        </w:tabs>
        <w:spacing w:after="240"/>
        <w:rPr>
          <w:b/>
        </w:rPr>
      </w:pPr>
      <w:r w:rsidRPr="00583CF6">
        <w:rPr>
          <w:b/>
        </w:rPr>
        <w:t>Section</w:t>
      </w:r>
      <w:r w:rsidR="00CB48D4">
        <w:rPr>
          <w:b/>
        </w:rPr>
        <w:t> 11</w:t>
      </w:r>
      <w:r w:rsidRPr="00583CF6">
        <w:rPr>
          <w:b/>
        </w:rPr>
        <w:t xml:space="preserve"> </w:t>
      </w:r>
      <w:r w:rsidR="00CB48D4">
        <w:rPr>
          <w:b/>
        </w:rPr>
        <w:t xml:space="preserve">– </w:t>
      </w:r>
      <w:r>
        <w:rPr>
          <w:b/>
        </w:rPr>
        <w:t xml:space="preserve">Refugees </w:t>
      </w:r>
    </w:p>
    <w:p w:rsidR="00EF593D" w:rsidRDefault="00011FCE" w:rsidP="00011FCE">
      <w:pPr>
        <w:pStyle w:val="numberlist"/>
        <w:tabs>
          <w:tab w:val="center" w:pos="4677"/>
        </w:tabs>
        <w:spacing w:after="240"/>
      </w:pPr>
      <w:r>
        <w:rPr>
          <w:b/>
        </w:rPr>
        <w:t>Subsection</w:t>
      </w:r>
      <w:r w:rsidR="00CB48D4">
        <w:rPr>
          <w:b/>
        </w:rPr>
        <w:t> 11</w:t>
      </w:r>
      <w:r w:rsidRPr="000F0573">
        <w:rPr>
          <w:b/>
        </w:rPr>
        <w:t>(</w:t>
      </w:r>
      <w:r>
        <w:rPr>
          <w:b/>
        </w:rPr>
        <w:t>1</w:t>
      </w:r>
      <w:r w:rsidRPr="00F678D6">
        <w:rPr>
          <w:b/>
        </w:rPr>
        <w:t>)</w:t>
      </w:r>
      <w:r w:rsidRPr="003F39DF">
        <w:t xml:space="preserve"> provides </w:t>
      </w:r>
      <w:r>
        <w:t>that special circumstances beyond a person’s control exist if the person is a refugee</w:t>
      </w:r>
      <w:r w:rsidR="00EF593D">
        <w:t>.</w:t>
      </w:r>
    </w:p>
    <w:p w:rsidR="00011FCE" w:rsidRDefault="00EF593D" w:rsidP="00011FCE">
      <w:pPr>
        <w:pStyle w:val="numberlist"/>
        <w:tabs>
          <w:tab w:val="center" w:pos="4677"/>
        </w:tabs>
        <w:spacing w:after="240"/>
      </w:pPr>
      <w:r w:rsidRPr="00EF593D">
        <w:rPr>
          <w:b/>
        </w:rPr>
        <w:t>Subsection</w:t>
      </w:r>
      <w:r w:rsidR="00CB48D4">
        <w:rPr>
          <w:b/>
        </w:rPr>
        <w:t> 11</w:t>
      </w:r>
      <w:r w:rsidRPr="00EF593D">
        <w:rPr>
          <w:b/>
        </w:rPr>
        <w:t>(2)</w:t>
      </w:r>
      <w:r w:rsidR="00011FCE">
        <w:t xml:space="preserve"> </w:t>
      </w:r>
      <w:r>
        <w:t>provides that</w:t>
      </w:r>
      <w:r w:rsidR="00BE22BB">
        <w:t>, in the section,</w:t>
      </w:r>
      <w:r>
        <w:t xml:space="preserve"> </w:t>
      </w:r>
      <w:r w:rsidRPr="00EF593D">
        <w:rPr>
          <w:b/>
          <w:i/>
        </w:rPr>
        <w:t xml:space="preserve">refugee </w:t>
      </w:r>
      <w:r>
        <w:t>has</w:t>
      </w:r>
      <w:r w:rsidR="00011FCE">
        <w:t xml:space="preserve"> the meaning </w:t>
      </w:r>
      <w:r>
        <w:t>in</w:t>
      </w:r>
      <w:r w:rsidR="00011FCE">
        <w:t xml:space="preserve"> subsection</w:t>
      </w:r>
      <w:r w:rsidR="00771500">
        <w:t> 7(6B) of the Act.</w:t>
      </w:r>
    </w:p>
    <w:p w:rsidR="00011FCE" w:rsidRDefault="00CB48D4" w:rsidP="00011FCE">
      <w:pPr>
        <w:pStyle w:val="numberlist"/>
        <w:tabs>
          <w:tab w:val="center" w:pos="4677"/>
        </w:tabs>
        <w:spacing w:after="240"/>
      </w:pPr>
      <w:r>
        <w:rPr>
          <w:b/>
        </w:rPr>
        <w:t>Subsection </w:t>
      </w:r>
      <w:r w:rsidR="00011FCE">
        <w:rPr>
          <w:b/>
        </w:rPr>
        <w:t>11(</w:t>
      </w:r>
      <w:r>
        <w:rPr>
          <w:b/>
        </w:rPr>
        <w:t>3</w:t>
      </w:r>
      <w:r w:rsidR="00011FCE">
        <w:rPr>
          <w:b/>
        </w:rPr>
        <w:t xml:space="preserve">) </w:t>
      </w:r>
      <w:r w:rsidR="00011FCE" w:rsidRPr="00E861B7">
        <w:t>provides that</w:t>
      </w:r>
      <w:r w:rsidR="00011FCE">
        <w:t>,</w:t>
      </w:r>
      <w:r w:rsidR="00011FCE" w:rsidRPr="00E861B7">
        <w:t xml:space="preserve"> </w:t>
      </w:r>
      <w:r w:rsidR="00011FCE">
        <w:t>w</w:t>
      </w:r>
      <w:r w:rsidR="00011FCE" w:rsidRPr="00E861B7">
        <w:t>he</w:t>
      </w:r>
      <w:r w:rsidR="00011FCE">
        <w:t>n</w:t>
      </w:r>
      <w:r w:rsidR="00011FCE" w:rsidRPr="00E861B7">
        <w:t xml:space="preserve"> </w:t>
      </w:r>
      <w:r w:rsidR="00011FCE">
        <w:t xml:space="preserve">the </w:t>
      </w:r>
      <w:r w:rsidR="00011FCE" w:rsidRPr="00E861B7">
        <w:t>special cir</w:t>
      </w:r>
      <w:r w:rsidR="00011FCE">
        <w:t>c</w:t>
      </w:r>
      <w:r w:rsidR="00011FCE" w:rsidRPr="00E861B7">
        <w:t>um</w:t>
      </w:r>
      <w:r w:rsidR="00011FCE">
        <w:t>s</w:t>
      </w:r>
      <w:r w:rsidR="00011FCE" w:rsidRPr="00E861B7">
        <w:t>t</w:t>
      </w:r>
      <w:r w:rsidR="00011FCE">
        <w:t>a</w:t>
      </w:r>
      <w:r w:rsidR="00011FCE" w:rsidRPr="00E861B7">
        <w:t>nces mentioned</w:t>
      </w:r>
      <w:r w:rsidR="00011FCE">
        <w:t xml:space="preserve"> </w:t>
      </w:r>
      <w:r w:rsidR="00011FCE" w:rsidRPr="00E861B7">
        <w:t>in subsection</w:t>
      </w:r>
      <w:r w:rsidR="00771500">
        <w:t> </w:t>
      </w:r>
      <w:r w:rsidR="00011FCE" w:rsidRPr="00E861B7">
        <w:t>(1) exist</w:t>
      </w:r>
      <w:r w:rsidR="00011FCE">
        <w:t>,</w:t>
      </w:r>
      <w:r w:rsidR="00011FCE" w:rsidRPr="00E861B7">
        <w:t xml:space="preserve"> it </w:t>
      </w:r>
      <w:r w:rsidR="002410A7">
        <w:t>may</w:t>
      </w:r>
      <w:r w:rsidR="00011FCE" w:rsidRPr="00E861B7">
        <w:t xml:space="preserve"> be unrea</w:t>
      </w:r>
      <w:r w:rsidR="00011FCE">
        <w:t>s</w:t>
      </w:r>
      <w:r w:rsidR="00011FCE" w:rsidRPr="00E861B7">
        <w:t>on</w:t>
      </w:r>
      <w:r w:rsidR="00011FCE">
        <w:t>a</w:t>
      </w:r>
      <w:r w:rsidR="00011FCE" w:rsidRPr="00E861B7">
        <w:t xml:space="preserve">ble to expect </w:t>
      </w:r>
      <w:r w:rsidR="00011FCE">
        <w:t>t</w:t>
      </w:r>
      <w:r w:rsidR="00011FCE" w:rsidRPr="00E861B7">
        <w:t>he</w:t>
      </w:r>
      <w:r w:rsidR="00011FCE">
        <w:t xml:space="preserve"> </w:t>
      </w:r>
      <w:r w:rsidR="00011FCE" w:rsidRPr="00E861B7">
        <w:t>per</w:t>
      </w:r>
      <w:r w:rsidR="00011FCE">
        <w:t>s</w:t>
      </w:r>
      <w:r w:rsidR="00011FCE" w:rsidRPr="00E861B7">
        <w:t>on to s</w:t>
      </w:r>
      <w:r w:rsidR="00011FCE">
        <w:t>a</w:t>
      </w:r>
      <w:r w:rsidR="00011FCE" w:rsidRPr="00E861B7">
        <w:t>tisfy the activ</w:t>
      </w:r>
      <w:r w:rsidR="00011FCE">
        <w:t>i</w:t>
      </w:r>
      <w:r w:rsidR="00011FCE" w:rsidRPr="00E861B7">
        <w:t>ty test</w:t>
      </w:r>
      <w:r w:rsidR="00011FCE">
        <w:t xml:space="preserve"> for a period of up to </w:t>
      </w:r>
      <w:r w:rsidR="00A84B05">
        <w:t>13 weeks</w:t>
      </w:r>
      <w:r w:rsidR="00011FCE">
        <w:t xml:space="preserve"> starting when the person enters Australia.</w:t>
      </w:r>
    </w:p>
    <w:p w:rsidR="00011FCE" w:rsidRPr="00583CF6" w:rsidRDefault="00011FCE" w:rsidP="00CB48D4">
      <w:pPr>
        <w:pStyle w:val="numberlist"/>
        <w:keepNext/>
        <w:tabs>
          <w:tab w:val="center" w:pos="4677"/>
        </w:tabs>
        <w:spacing w:after="240"/>
        <w:rPr>
          <w:b/>
        </w:rPr>
      </w:pPr>
      <w:r w:rsidRPr="00583CF6">
        <w:rPr>
          <w:b/>
        </w:rPr>
        <w:t xml:space="preserve">Section </w:t>
      </w:r>
      <w:r>
        <w:rPr>
          <w:b/>
        </w:rPr>
        <w:t>1</w:t>
      </w:r>
      <w:r w:rsidR="00CB48D4">
        <w:rPr>
          <w:b/>
        </w:rPr>
        <w:t>2</w:t>
      </w:r>
      <w:r w:rsidRPr="00583CF6">
        <w:rPr>
          <w:b/>
        </w:rPr>
        <w:t xml:space="preserve"> </w:t>
      </w:r>
      <w:r w:rsidR="00CB48D4">
        <w:rPr>
          <w:b/>
        </w:rPr>
        <w:t xml:space="preserve">– </w:t>
      </w:r>
      <w:r>
        <w:rPr>
          <w:b/>
        </w:rPr>
        <w:t xml:space="preserve">Community Service orders </w:t>
      </w:r>
    </w:p>
    <w:p w:rsidR="00011FCE" w:rsidRDefault="00CB48D4" w:rsidP="00011FCE">
      <w:pPr>
        <w:pStyle w:val="numberlist"/>
        <w:tabs>
          <w:tab w:val="center" w:pos="4677"/>
        </w:tabs>
        <w:spacing w:after="240"/>
      </w:pPr>
      <w:r>
        <w:rPr>
          <w:b/>
        </w:rPr>
        <w:t>Subsection </w:t>
      </w:r>
      <w:r w:rsidR="00011FCE">
        <w:rPr>
          <w:b/>
        </w:rPr>
        <w:t>1</w:t>
      </w:r>
      <w:r>
        <w:rPr>
          <w:b/>
        </w:rPr>
        <w:t>2</w:t>
      </w:r>
      <w:r w:rsidR="00011FCE" w:rsidRPr="000F0573">
        <w:rPr>
          <w:b/>
        </w:rPr>
        <w:t>(</w:t>
      </w:r>
      <w:r w:rsidR="00011FCE">
        <w:rPr>
          <w:b/>
        </w:rPr>
        <w:t>1</w:t>
      </w:r>
      <w:r w:rsidR="00011FCE" w:rsidRPr="00F678D6">
        <w:rPr>
          <w:b/>
        </w:rPr>
        <w:t>)</w:t>
      </w:r>
      <w:r w:rsidR="00011FCE" w:rsidRPr="003F39DF">
        <w:t xml:space="preserve"> provides </w:t>
      </w:r>
      <w:r w:rsidR="00011FCE">
        <w:t xml:space="preserve">that special circumstances beyond a person’s control exist if the person is subject to a community service order requiring the person to perform more than 20 hours of community service for each </w:t>
      </w:r>
      <w:r w:rsidR="00771500">
        <w:t>week that the order has effect.</w:t>
      </w:r>
    </w:p>
    <w:p w:rsidR="00293203" w:rsidRDefault="00CB48D4" w:rsidP="00293203">
      <w:pPr>
        <w:pStyle w:val="numberlist"/>
        <w:tabs>
          <w:tab w:val="center" w:pos="4677"/>
        </w:tabs>
        <w:spacing w:after="240"/>
      </w:pPr>
      <w:r>
        <w:rPr>
          <w:b/>
        </w:rPr>
        <w:t>Subsection </w:t>
      </w:r>
      <w:r w:rsidR="00011FCE">
        <w:rPr>
          <w:b/>
        </w:rPr>
        <w:t>1</w:t>
      </w:r>
      <w:r>
        <w:rPr>
          <w:b/>
        </w:rPr>
        <w:t>2</w:t>
      </w:r>
      <w:r w:rsidR="00011FCE">
        <w:rPr>
          <w:b/>
        </w:rPr>
        <w:t>(2)</w:t>
      </w:r>
      <w:r w:rsidR="00011FCE" w:rsidRPr="00CB48D4">
        <w:t xml:space="preserve"> </w:t>
      </w:r>
      <w:r w:rsidR="00011FCE" w:rsidRPr="00E861B7">
        <w:t>provides that</w:t>
      </w:r>
      <w:r w:rsidR="00011FCE">
        <w:t>,</w:t>
      </w:r>
      <w:r w:rsidR="00011FCE" w:rsidRPr="00E861B7">
        <w:t xml:space="preserve"> </w:t>
      </w:r>
      <w:r w:rsidR="00011FCE">
        <w:t>w</w:t>
      </w:r>
      <w:r w:rsidR="00011FCE" w:rsidRPr="00E861B7">
        <w:t>he</w:t>
      </w:r>
      <w:r w:rsidR="00011FCE">
        <w:t>n</w:t>
      </w:r>
      <w:r w:rsidR="00011FCE" w:rsidRPr="00E861B7">
        <w:t xml:space="preserve"> </w:t>
      </w:r>
      <w:r w:rsidR="00011FCE">
        <w:t xml:space="preserve">the </w:t>
      </w:r>
      <w:r w:rsidR="00011FCE" w:rsidRPr="00E861B7">
        <w:t>special cir</w:t>
      </w:r>
      <w:r w:rsidR="00011FCE">
        <w:t>c</w:t>
      </w:r>
      <w:r w:rsidR="00011FCE" w:rsidRPr="00E861B7">
        <w:t>um</w:t>
      </w:r>
      <w:r w:rsidR="00011FCE">
        <w:t>s</w:t>
      </w:r>
      <w:r w:rsidR="00011FCE" w:rsidRPr="00E861B7">
        <w:t>t</w:t>
      </w:r>
      <w:r w:rsidR="00011FCE">
        <w:t>a</w:t>
      </w:r>
      <w:r w:rsidR="00011FCE" w:rsidRPr="00E861B7">
        <w:t>nces mentioned</w:t>
      </w:r>
      <w:r w:rsidR="00011FCE">
        <w:t xml:space="preserve"> </w:t>
      </w:r>
      <w:r w:rsidR="00011FCE" w:rsidRPr="00E861B7">
        <w:t>in subsection</w:t>
      </w:r>
      <w:r w:rsidR="00771500">
        <w:t> </w:t>
      </w:r>
      <w:r w:rsidR="00011FCE" w:rsidRPr="00E861B7">
        <w:t>(1) exist</w:t>
      </w:r>
      <w:r w:rsidR="00011FCE">
        <w:t>,</w:t>
      </w:r>
      <w:r w:rsidR="00011FCE" w:rsidRPr="00E861B7">
        <w:t xml:space="preserve"> it </w:t>
      </w:r>
      <w:r w:rsidR="002410A7">
        <w:t>may</w:t>
      </w:r>
      <w:r w:rsidR="00011FCE" w:rsidRPr="00E861B7">
        <w:t xml:space="preserve"> be unrea</w:t>
      </w:r>
      <w:r w:rsidR="00011FCE">
        <w:t>s</w:t>
      </w:r>
      <w:r w:rsidR="00011FCE" w:rsidRPr="00E861B7">
        <w:t>on</w:t>
      </w:r>
      <w:r w:rsidR="00011FCE">
        <w:t>a</w:t>
      </w:r>
      <w:r w:rsidR="00011FCE" w:rsidRPr="00E861B7">
        <w:t xml:space="preserve">ble to expect </w:t>
      </w:r>
      <w:r w:rsidR="00011FCE">
        <w:t>t</w:t>
      </w:r>
      <w:r w:rsidR="00011FCE" w:rsidRPr="00E861B7">
        <w:t>he</w:t>
      </w:r>
      <w:r w:rsidR="00011FCE">
        <w:t xml:space="preserve"> </w:t>
      </w:r>
      <w:r w:rsidR="00011FCE" w:rsidRPr="00E861B7">
        <w:t>per</w:t>
      </w:r>
      <w:r w:rsidR="00011FCE">
        <w:t>s</w:t>
      </w:r>
      <w:r w:rsidR="00011FCE" w:rsidRPr="00E861B7">
        <w:t>on to s</w:t>
      </w:r>
      <w:r w:rsidR="00011FCE">
        <w:t>a</w:t>
      </w:r>
      <w:r w:rsidR="00011FCE" w:rsidRPr="00E861B7">
        <w:t>tisfy the activ</w:t>
      </w:r>
      <w:r w:rsidR="00011FCE">
        <w:t>i</w:t>
      </w:r>
      <w:r w:rsidR="00011FCE" w:rsidRPr="00E861B7">
        <w:t>ty test</w:t>
      </w:r>
      <w:r w:rsidR="00293203">
        <w:t>:</w:t>
      </w:r>
    </w:p>
    <w:p w:rsidR="00293203" w:rsidRDefault="00771500" w:rsidP="00010471">
      <w:pPr>
        <w:pStyle w:val="numberlist"/>
        <w:numPr>
          <w:ilvl w:val="0"/>
          <w:numId w:val="28"/>
        </w:numPr>
        <w:tabs>
          <w:tab w:val="center" w:pos="4677"/>
        </w:tabs>
        <w:spacing w:after="240"/>
      </w:pPr>
      <w:r>
        <w:t xml:space="preserve">for the duration of the </w:t>
      </w:r>
      <w:r w:rsidR="00E668FE">
        <w:t xml:space="preserve">person’s </w:t>
      </w:r>
      <w:r>
        <w:t>community service order</w:t>
      </w:r>
      <w:r w:rsidR="00293203">
        <w:t>;</w:t>
      </w:r>
      <w:r>
        <w:t xml:space="preserve"> or </w:t>
      </w:r>
      <w:r w:rsidR="00E668FE">
        <w:t>up to 13 weeks,</w:t>
      </w:r>
      <w:r w:rsidR="00E668FE" w:rsidRPr="00E668FE">
        <w:t xml:space="preserve"> </w:t>
      </w:r>
      <w:r w:rsidR="00E668FE">
        <w:t>whichever is the shorter; and</w:t>
      </w:r>
    </w:p>
    <w:p w:rsidR="00293203" w:rsidRDefault="00E668FE" w:rsidP="00010471">
      <w:pPr>
        <w:pStyle w:val="numberlist"/>
        <w:numPr>
          <w:ilvl w:val="0"/>
          <w:numId w:val="28"/>
        </w:numPr>
        <w:tabs>
          <w:tab w:val="center" w:pos="4677"/>
        </w:tabs>
        <w:spacing w:after="240"/>
      </w:pPr>
      <w:r>
        <w:t>for a further period of up to 13 weeks if, at the end of the initial period, the special circumstances remain unchanged.</w:t>
      </w:r>
    </w:p>
    <w:p w:rsidR="003C6E2C" w:rsidRDefault="00DE506A" w:rsidP="00DE506A">
      <w:pPr>
        <w:pStyle w:val="numberlist"/>
        <w:tabs>
          <w:tab w:val="center" w:pos="4677"/>
        </w:tabs>
        <w:spacing w:after="240"/>
        <w:rPr>
          <w:b/>
        </w:rPr>
      </w:pPr>
      <w:r w:rsidRPr="00DE506A">
        <w:rPr>
          <w:b/>
        </w:rPr>
        <w:t>S</w:t>
      </w:r>
      <w:r w:rsidR="003C6E2C" w:rsidRPr="003C6E2C">
        <w:rPr>
          <w:b/>
        </w:rPr>
        <w:t>chedule 1  Repeals</w:t>
      </w:r>
    </w:p>
    <w:p w:rsidR="003C6E2C" w:rsidRPr="003C6E2C" w:rsidRDefault="003C6E2C" w:rsidP="00F678D6">
      <w:pPr>
        <w:pStyle w:val="numberlist"/>
        <w:tabs>
          <w:tab w:val="center" w:pos="4677"/>
        </w:tabs>
        <w:spacing w:after="240"/>
      </w:pPr>
      <w:r w:rsidRPr="003C6E2C">
        <w:t xml:space="preserve">Schedule 1 </w:t>
      </w:r>
      <w:r w:rsidR="009733F9">
        <w:t>provides for the repeal of</w:t>
      </w:r>
      <w:r w:rsidRPr="003C6E2C">
        <w:t xml:space="preserve"> the </w:t>
      </w:r>
      <w:r w:rsidRPr="003F6BA9">
        <w:rPr>
          <w:i/>
        </w:rPr>
        <w:t>Youth Allowance (Activity Test Exemption Guidelines) Determination 1998</w:t>
      </w:r>
      <w:r w:rsidRPr="003C6E2C">
        <w:t>.</w:t>
      </w:r>
    </w:p>
    <w:p w:rsidR="00407795" w:rsidRPr="00407795" w:rsidRDefault="00407795" w:rsidP="00F678D6">
      <w:pPr>
        <w:pStyle w:val="numberlist"/>
        <w:spacing w:after="240"/>
        <w:rPr>
          <w:rFonts w:cs="Arial"/>
          <w:b/>
        </w:rPr>
      </w:pPr>
      <w:r w:rsidRPr="00407795">
        <w:rPr>
          <w:rFonts w:cs="Arial"/>
          <w:b/>
        </w:rPr>
        <w:t>Consultation</w:t>
      </w:r>
      <w:r w:rsidR="00653C9E">
        <w:rPr>
          <w:rFonts w:cs="Arial"/>
          <w:b/>
        </w:rPr>
        <w:t xml:space="preserve"> </w:t>
      </w:r>
    </w:p>
    <w:p w:rsidR="00010471" w:rsidRDefault="00F0627F">
      <w:pPr>
        <w:spacing w:before="0" w:after="200" w:line="276" w:lineRule="auto"/>
      </w:pPr>
      <w:r>
        <w:t xml:space="preserve">The Department of Jobs and Small Business consulted affected Government departments on the minor technical amendments of the instrument. Wider consultation was not undertaken, as the instrument will not affect the application of special circumstances exemptions. </w:t>
      </w:r>
    </w:p>
    <w:p w:rsidR="00BE3CFF" w:rsidRDefault="00BE3CFF">
      <w:pPr>
        <w:spacing w:before="0" w:after="200" w:line="276" w:lineRule="auto"/>
        <w:rPr>
          <w:b/>
        </w:rPr>
      </w:pPr>
      <w:r w:rsidRPr="00BE3CFF">
        <w:rPr>
          <w:b/>
        </w:rPr>
        <w:t xml:space="preserve">Regulatory Impact </w:t>
      </w:r>
      <w:r>
        <w:rPr>
          <w:b/>
        </w:rPr>
        <w:t>Analysis</w:t>
      </w:r>
    </w:p>
    <w:p w:rsidR="00970356" w:rsidRPr="00DD6BF2" w:rsidRDefault="00BE3CFF" w:rsidP="00DD6BF2">
      <w:pPr>
        <w:pStyle w:val="numberlist"/>
        <w:tabs>
          <w:tab w:val="center" w:pos="4677"/>
        </w:tabs>
        <w:spacing w:after="240"/>
      </w:pPr>
      <w:r>
        <w:t xml:space="preserve">The </w:t>
      </w:r>
      <w:r w:rsidR="00E37088">
        <w:t>i</w:t>
      </w:r>
      <w:r w:rsidR="00970356">
        <w:t>nstrument</w:t>
      </w:r>
      <w:r>
        <w:t xml:space="preserve"> is not regulatory in nature, will not impact on business activity and will have no, or minimal, complian</w:t>
      </w:r>
      <w:r w:rsidR="00946B11">
        <w:t>ce costs or competition impact.</w:t>
      </w:r>
    </w:p>
    <w:p w:rsidR="00C96139" w:rsidRPr="00407795" w:rsidRDefault="00407795" w:rsidP="00DD6BF2">
      <w:pPr>
        <w:pStyle w:val="numberlist"/>
        <w:pageBreakBefore/>
        <w:spacing w:after="240"/>
        <w:jc w:val="center"/>
        <w:rPr>
          <w:rFonts w:cs="Arial"/>
          <w:b/>
        </w:rPr>
      </w:pPr>
      <w:r w:rsidRPr="00407795">
        <w:rPr>
          <w:rFonts w:cs="Arial"/>
          <w:b/>
        </w:rPr>
        <w:t>Statement of Compatibility with Human Rights</w:t>
      </w:r>
    </w:p>
    <w:p w:rsidR="00407795" w:rsidRDefault="00407795" w:rsidP="00407795">
      <w:pPr>
        <w:jc w:val="center"/>
        <w:rPr>
          <w:rFonts w:cs="Arial"/>
          <w:i/>
        </w:rPr>
      </w:pPr>
      <w:r w:rsidRPr="00407795">
        <w:rPr>
          <w:rFonts w:cs="Arial"/>
          <w:i/>
        </w:rPr>
        <w:t>P</w:t>
      </w:r>
      <w:r w:rsidR="00710092">
        <w:rPr>
          <w:rFonts w:cs="Arial"/>
          <w:i/>
        </w:rPr>
        <w:t>repared in accordance with Part </w:t>
      </w:r>
      <w:r w:rsidRPr="00407795">
        <w:rPr>
          <w:rFonts w:cs="Arial"/>
          <w:i/>
        </w:rPr>
        <w:t>3 of the Human Rights (Parliamentary Scrutiny) Act 2011</w:t>
      </w:r>
    </w:p>
    <w:p w:rsidR="00C96139" w:rsidRPr="00407795" w:rsidRDefault="00C96139" w:rsidP="00407795">
      <w:pPr>
        <w:jc w:val="center"/>
        <w:rPr>
          <w:rFonts w:cs="Arial"/>
          <w:i/>
        </w:rPr>
      </w:pPr>
    </w:p>
    <w:p w:rsidR="006223A3" w:rsidRDefault="00710092" w:rsidP="00F636F8">
      <w:pPr>
        <w:spacing w:before="0" w:after="240"/>
        <w:jc w:val="center"/>
        <w:outlineLvl w:val="0"/>
        <w:rPr>
          <w:rFonts w:cs="Arial"/>
          <w:b/>
          <w:i/>
        </w:rPr>
      </w:pPr>
      <w:r w:rsidRPr="00710092">
        <w:rPr>
          <w:b/>
          <w:i/>
        </w:rPr>
        <w:t xml:space="preserve">Social Security (Special Circumstances Exemption </w:t>
      </w:r>
      <w:r w:rsidR="0071415E">
        <w:rPr>
          <w:b/>
          <w:i/>
        </w:rPr>
        <w:t xml:space="preserve">to Youth Allowance Activity Test </w:t>
      </w:r>
      <w:r w:rsidRPr="00710092">
        <w:rPr>
          <w:b/>
          <w:i/>
        </w:rPr>
        <w:t xml:space="preserve">Guidelines) </w:t>
      </w:r>
      <w:r w:rsidRPr="00DE506A">
        <w:rPr>
          <w:b/>
          <w:i/>
        </w:rPr>
        <w:t>Instrument 2019</w:t>
      </w:r>
    </w:p>
    <w:p w:rsidR="00F636F8" w:rsidRDefault="00F636F8" w:rsidP="00F636F8">
      <w:pPr>
        <w:spacing w:before="0" w:after="240"/>
        <w:jc w:val="center"/>
        <w:outlineLvl w:val="0"/>
        <w:rPr>
          <w:rFonts w:cs="Arial"/>
          <w:b/>
          <w:i/>
        </w:rPr>
      </w:pPr>
    </w:p>
    <w:p w:rsidR="00F636F8" w:rsidRPr="00F636F8" w:rsidRDefault="00F636F8" w:rsidP="00F636F8">
      <w:pPr>
        <w:spacing w:before="0" w:after="240"/>
        <w:outlineLvl w:val="0"/>
        <w:rPr>
          <w:rFonts w:cs="Arial"/>
        </w:rPr>
      </w:pPr>
      <w:r w:rsidRPr="00F636F8">
        <w:rPr>
          <w:rFonts w:cs="Arial"/>
        </w:rPr>
        <w:t>This legislative instr</w:t>
      </w:r>
      <w:r>
        <w:rPr>
          <w:rFonts w:cs="Arial"/>
        </w:rPr>
        <w:t>u</w:t>
      </w:r>
      <w:r w:rsidRPr="00F636F8">
        <w:rPr>
          <w:rFonts w:cs="Arial"/>
        </w:rPr>
        <w:t>ment (</w:t>
      </w:r>
      <w:r w:rsidR="00D93E29">
        <w:rPr>
          <w:rFonts w:cs="Arial"/>
        </w:rPr>
        <w:t xml:space="preserve">the </w:t>
      </w:r>
      <w:r w:rsidR="00CD46F5">
        <w:rPr>
          <w:rFonts w:cs="Arial"/>
        </w:rPr>
        <w:t>i</w:t>
      </w:r>
      <w:r w:rsidRPr="00F636F8">
        <w:rPr>
          <w:rFonts w:cs="Arial"/>
        </w:rPr>
        <w:t>n</w:t>
      </w:r>
      <w:r>
        <w:rPr>
          <w:rFonts w:cs="Arial"/>
        </w:rPr>
        <w:t>s</w:t>
      </w:r>
      <w:r w:rsidRPr="00F636F8">
        <w:rPr>
          <w:rFonts w:cs="Arial"/>
        </w:rPr>
        <w:t>trum</w:t>
      </w:r>
      <w:r>
        <w:rPr>
          <w:rFonts w:cs="Arial"/>
        </w:rPr>
        <w:t>e</w:t>
      </w:r>
      <w:r w:rsidRPr="00F636F8">
        <w:rPr>
          <w:rFonts w:cs="Arial"/>
        </w:rPr>
        <w:t xml:space="preserve">nt) is </w:t>
      </w:r>
      <w:r>
        <w:rPr>
          <w:rFonts w:cs="Arial"/>
        </w:rPr>
        <w:t>c</w:t>
      </w:r>
      <w:r w:rsidRPr="00F636F8">
        <w:rPr>
          <w:rFonts w:cs="Arial"/>
        </w:rPr>
        <w:t>ompatibl</w:t>
      </w:r>
      <w:r>
        <w:rPr>
          <w:rFonts w:cs="Arial"/>
        </w:rPr>
        <w:t>e</w:t>
      </w:r>
      <w:r w:rsidRPr="00F636F8">
        <w:rPr>
          <w:rFonts w:cs="Arial"/>
        </w:rPr>
        <w:t xml:space="preserve"> with the human righ</w:t>
      </w:r>
      <w:r>
        <w:rPr>
          <w:rFonts w:cs="Arial"/>
        </w:rPr>
        <w:t>t</w:t>
      </w:r>
      <w:r w:rsidRPr="00F636F8">
        <w:rPr>
          <w:rFonts w:cs="Arial"/>
        </w:rPr>
        <w:t>s and freedoms recognised</w:t>
      </w:r>
      <w:r>
        <w:rPr>
          <w:rFonts w:cs="Arial"/>
        </w:rPr>
        <w:t xml:space="preserve"> </w:t>
      </w:r>
      <w:r w:rsidRPr="00F636F8">
        <w:rPr>
          <w:rFonts w:cs="Arial"/>
        </w:rPr>
        <w:t>or declared in the in</w:t>
      </w:r>
      <w:r>
        <w:rPr>
          <w:rFonts w:cs="Arial"/>
        </w:rPr>
        <w:t>t</w:t>
      </w:r>
      <w:r w:rsidRPr="00F636F8">
        <w:rPr>
          <w:rFonts w:cs="Arial"/>
        </w:rPr>
        <w:t>erna</w:t>
      </w:r>
      <w:r>
        <w:rPr>
          <w:rFonts w:cs="Arial"/>
        </w:rPr>
        <w:t>t</w:t>
      </w:r>
      <w:r w:rsidRPr="00F636F8">
        <w:rPr>
          <w:rFonts w:cs="Arial"/>
        </w:rPr>
        <w:t>ional inst</w:t>
      </w:r>
      <w:r>
        <w:rPr>
          <w:rFonts w:cs="Arial"/>
        </w:rPr>
        <w:t>r</w:t>
      </w:r>
      <w:r w:rsidRPr="00F636F8">
        <w:rPr>
          <w:rFonts w:cs="Arial"/>
        </w:rPr>
        <w:t>umen</w:t>
      </w:r>
      <w:r>
        <w:rPr>
          <w:rFonts w:cs="Arial"/>
        </w:rPr>
        <w:t>ts</w:t>
      </w:r>
      <w:r w:rsidRPr="00F636F8">
        <w:rPr>
          <w:rFonts w:cs="Arial"/>
        </w:rPr>
        <w:t xml:space="preserve"> listed in section 3 o</w:t>
      </w:r>
      <w:r>
        <w:rPr>
          <w:rFonts w:cs="Arial"/>
        </w:rPr>
        <w:t>f</w:t>
      </w:r>
      <w:r w:rsidRPr="00F636F8">
        <w:rPr>
          <w:rFonts w:cs="Arial"/>
        </w:rPr>
        <w:t xml:space="preserve"> the </w:t>
      </w:r>
      <w:r w:rsidRPr="00F636F8">
        <w:rPr>
          <w:rFonts w:cs="Arial"/>
          <w:i/>
        </w:rPr>
        <w:t>Human Rights (Parliamentary Scrutiny) Act 2011</w:t>
      </w:r>
      <w:r>
        <w:rPr>
          <w:rFonts w:cs="Arial"/>
          <w:i/>
        </w:rPr>
        <w:t>.</w:t>
      </w:r>
    </w:p>
    <w:p w:rsidR="00F636F8" w:rsidRPr="00F636F8" w:rsidRDefault="00F636F8" w:rsidP="00F636F8">
      <w:pPr>
        <w:spacing w:before="0" w:after="240"/>
        <w:outlineLvl w:val="0"/>
        <w:rPr>
          <w:rFonts w:cs="Arial"/>
          <w:b/>
        </w:rPr>
      </w:pPr>
      <w:r w:rsidRPr="00F636F8">
        <w:rPr>
          <w:rFonts w:cs="Arial"/>
          <w:b/>
        </w:rPr>
        <w:t>Overview of the</w:t>
      </w:r>
      <w:r w:rsidR="00DE506A">
        <w:rPr>
          <w:rFonts w:cs="Arial"/>
          <w:b/>
        </w:rPr>
        <w:t xml:space="preserve"> </w:t>
      </w:r>
      <w:r w:rsidR="004004A3">
        <w:rPr>
          <w:rFonts w:cs="Arial"/>
          <w:b/>
        </w:rPr>
        <w:t>i</w:t>
      </w:r>
      <w:r w:rsidRPr="00F636F8">
        <w:rPr>
          <w:rFonts w:cs="Arial"/>
          <w:b/>
        </w:rPr>
        <w:t>nstrument</w:t>
      </w:r>
    </w:p>
    <w:p w:rsidR="00B96E81" w:rsidRDefault="00B96E81" w:rsidP="00B96E81">
      <w:pPr>
        <w:pStyle w:val="numberlist"/>
        <w:tabs>
          <w:tab w:val="center" w:pos="4677"/>
        </w:tabs>
        <w:spacing w:after="240"/>
        <w:rPr>
          <w:rFonts w:cs="Arial"/>
          <w:szCs w:val="24"/>
        </w:rPr>
      </w:pPr>
      <w:r w:rsidRPr="00010471">
        <w:rPr>
          <w:rFonts w:cs="Arial"/>
          <w:szCs w:val="24"/>
        </w:rPr>
        <w:t>One of the qualifications for youth allowance is that a person must either satisfy the activity test or not be required to satisfy the activity test. A person is not required to satisfy the activity test in respect of a period if throughout the period the person has a special circumstances exemption under section 542H of the Act.</w:t>
      </w:r>
    </w:p>
    <w:p w:rsidR="00B96E81" w:rsidRDefault="00B96E81" w:rsidP="00B96E81">
      <w:pPr>
        <w:pStyle w:val="numberlist"/>
        <w:tabs>
          <w:tab w:val="center" w:pos="4677"/>
        </w:tabs>
        <w:spacing w:after="240"/>
        <w:rPr>
          <w:rFonts w:cs="Arial"/>
          <w:szCs w:val="24"/>
        </w:rPr>
      </w:pPr>
      <w:r w:rsidRPr="00FE49AD">
        <w:rPr>
          <w:rFonts w:cs="Arial"/>
          <w:szCs w:val="24"/>
        </w:rPr>
        <w:t>Under subsection</w:t>
      </w:r>
      <w:r>
        <w:rPr>
          <w:rFonts w:cs="Arial"/>
          <w:szCs w:val="24"/>
        </w:rPr>
        <w:t> </w:t>
      </w:r>
      <w:r w:rsidRPr="00FE49AD">
        <w:rPr>
          <w:rFonts w:cs="Arial"/>
          <w:szCs w:val="24"/>
        </w:rPr>
        <w:t>542H(1) of the Act, a person has a special circumstances exemption for youth allowance for a period if the Secretary is satisfied that special circumstances bey</w:t>
      </w:r>
      <w:r>
        <w:rPr>
          <w:rFonts w:cs="Arial"/>
          <w:szCs w:val="24"/>
        </w:rPr>
        <w:t>ond the person’s control exist,</w:t>
      </w:r>
      <w:r w:rsidRPr="00FE49AD">
        <w:rPr>
          <w:rFonts w:cs="Arial"/>
          <w:szCs w:val="24"/>
        </w:rPr>
        <w:t xml:space="preserve"> and that it </w:t>
      </w:r>
      <w:r>
        <w:rPr>
          <w:rFonts w:cs="Arial"/>
          <w:szCs w:val="24"/>
        </w:rPr>
        <w:t>would</w:t>
      </w:r>
      <w:r w:rsidRPr="00FE49AD">
        <w:rPr>
          <w:rFonts w:cs="Arial"/>
          <w:szCs w:val="24"/>
        </w:rPr>
        <w:t xml:space="preserve"> be unreasonable in those circumstances to expect the person to satisfy the </w:t>
      </w:r>
      <w:r>
        <w:rPr>
          <w:rFonts w:cs="Arial"/>
          <w:szCs w:val="24"/>
        </w:rPr>
        <w:t>activity test for that period.</w:t>
      </w:r>
    </w:p>
    <w:p w:rsidR="00B96E81" w:rsidRDefault="00B96E81" w:rsidP="00B96E81">
      <w:pPr>
        <w:pStyle w:val="Default"/>
        <w:spacing w:after="240"/>
      </w:pPr>
      <w:r>
        <w:t xml:space="preserve">Where the Secretary makes a decision that a person has a special circumstances exemption for a period, the period cannot exceed 13 weeks (subsection 542H(2) of the Act). </w:t>
      </w:r>
      <w:r w:rsidR="0005455E">
        <w:t xml:space="preserve">However, </w:t>
      </w:r>
      <w:r>
        <w:t xml:space="preserve">the Secretary </w:t>
      </w:r>
      <w:r w:rsidR="0005455E">
        <w:t xml:space="preserve">can </w:t>
      </w:r>
      <w:r>
        <w:t>make more than one decision that a special circumstances exemption applies</w:t>
      </w:r>
      <w:r w:rsidR="0005455E">
        <w:t xml:space="preserve">. Where this occurs, if </w:t>
      </w:r>
      <w:r>
        <w:t xml:space="preserve">the periods to which the decisions relate form a continuous period, that </w:t>
      </w:r>
      <w:r w:rsidR="00DE506A">
        <w:t xml:space="preserve">continuous </w:t>
      </w:r>
      <w:r>
        <w:t>period cannot exceed 13 weeks, unless the Secretary decides otherwise having regard to the continued existence, or likely continued existence, of the special circumstances on which the last preceding decision was based (s</w:t>
      </w:r>
      <w:r w:rsidR="009B5A9B">
        <w:t>ub</w:t>
      </w:r>
      <w:r>
        <w:t>s</w:t>
      </w:r>
      <w:r w:rsidR="009B5A9B">
        <w:t xml:space="preserve">ection </w:t>
      </w:r>
      <w:r>
        <w:t xml:space="preserve">542H(3) of the Act).  </w:t>
      </w:r>
    </w:p>
    <w:p w:rsidR="00B96E81" w:rsidRDefault="00B96E81" w:rsidP="00B96E81">
      <w:pPr>
        <w:pStyle w:val="numberlist"/>
        <w:tabs>
          <w:tab w:val="center" w:pos="4677"/>
        </w:tabs>
        <w:spacing w:after="240"/>
        <w:rPr>
          <w:rFonts w:cs="Arial"/>
          <w:szCs w:val="24"/>
        </w:rPr>
      </w:pPr>
      <w:r w:rsidRPr="00FE49AD">
        <w:rPr>
          <w:rFonts w:cs="Arial"/>
          <w:szCs w:val="24"/>
        </w:rPr>
        <w:t>In mak</w:t>
      </w:r>
      <w:r>
        <w:rPr>
          <w:rFonts w:cs="Arial"/>
          <w:szCs w:val="24"/>
        </w:rPr>
        <w:t>ing a decision under subsection 542H</w:t>
      </w:r>
      <w:r w:rsidRPr="00FE49AD">
        <w:rPr>
          <w:rFonts w:cs="Arial"/>
          <w:szCs w:val="24"/>
        </w:rPr>
        <w:t>(1)</w:t>
      </w:r>
      <w:r>
        <w:rPr>
          <w:rFonts w:cs="Arial"/>
          <w:szCs w:val="24"/>
        </w:rPr>
        <w:t>,</w:t>
      </w:r>
      <w:r w:rsidRPr="00FE49AD">
        <w:rPr>
          <w:rFonts w:cs="Arial"/>
          <w:szCs w:val="24"/>
        </w:rPr>
        <w:t xml:space="preserve"> </w:t>
      </w:r>
      <w:r>
        <w:rPr>
          <w:rFonts w:cs="Arial"/>
          <w:szCs w:val="24"/>
        </w:rPr>
        <w:t>and subject to subsections (2) and (3),</w:t>
      </w:r>
      <w:r w:rsidR="00093DBB">
        <w:rPr>
          <w:rFonts w:cs="Arial"/>
          <w:szCs w:val="24"/>
        </w:rPr>
        <w:t xml:space="preserve"> </w:t>
      </w:r>
      <w:r w:rsidRPr="00FE49AD">
        <w:rPr>
          <w:rFonts w:cs="Arial"/>
          <w:szCs w:val="24"/>
        </w:rPr>
        <w:t>the Secretary is to have regar</w:t>
      </w:r>
      <w:r>
        <w:rPr>
          <w:rFonts w:cs="Arial"/>
          <w:szCs w:val="24"/>
        </w:rPr>
        <w:t>d to the guidelines made by the Minister under subsection 542H(1B) of the Act (subsection </w:t>
      </w:r>
      <w:r w:rsidRPr="00FE49AD">
        <w:rPr>
          <w:rFonts w:cs="Arial"/>
          <w:szCs w:val="24"/>
        </w:rPr>
        <w:t>542H(</w:t>
      </w:r>
      <w:r>
        <w:rPr>
          <w:rFonts w:cs="Arial"/>
          <w:szCs w:val="24"/>
        </w:rPr>
        <w:t>1A</w:t>
      </w:r>
      <w:r w:rsidRPr="00FE49AD">
        <w:rPr>
          <w:rFonts w:cs="Arial"/>
          <w:szCs w:val="24"/>
        </w:rPr>
        <w:t>)</w:t>
      </w:r>
      <w:r>
        <w:rPr>
          <w:rFonts w:cs="Arial"/>
          <w:szCs w:val="24"/>
        </w:rPr>
        <w:t xml:space="preserve"> of the Act).</w:t>
      </w:r>
    </w:p>
    <w:p w:rsidR="00B96E81" w:rsidRDefault="00B96E81" w:rsidP="00B96E81">
      <w:pPr>
        <w:pStyle w:val="numberlist"/>
        <w:tabs>
          <w:tab w:val="center" w:pos="4677"/>
        </w:tabs>
        <w:spacing w:after="240"/>
        <w:rPr>
          <w:rFonts w:cs="Arial"/>
          <w:szCs w:val="24"/>
        </w:rPr>
      </w:pPr>
      <w:r w:rsidRPr="00362EDF">
        <w:rPr>
          <w:rFonts w:cs="Arial"/>
          <w:szCs w:val="24"/>
        </w:rPr>
        <w:t xml:space="preserve">The </w:t>
      </w:r>
      <w:r>
        <w:rPr>
          <w:rFonts w:cs="Arial"/>
          <w:szCs w:val="24"/>
        </w:rPr>
        <w:t>current g</w:t>
      </w:r>
      <w:r w:rsidRPr="00362EDF">
        <w:rPr>
          <w:rFonts w:cs="Arial"/>
          <w:szCs w:val="24"/>
        </w:rPr>
        <w:t xml:space="preserve">uidelines </w:t>
      </w:r>
      <w:r>
        <w:rPr>
          <w:rFonts w:cs="Arial"/>
          <w:szCs w:val="24"/>
        </w:rPr>
        <w:t>are</w:t>
      </w:r>
      <w:r w:rsidRPr="00362EDF">
        <w:rPr>
          <w:rFonts w:cs="Arial"/>
          <w:szCs w:val="24"/>
        </w:rPr>
        <w:t xml:space="preserve"> </w:t>
      </w:r>
      <w:r>
        <w:rPr>
          <w:rFonts w:cs="Arial"/>
          <w:szCs w:val="24"/>
        </w:rPr>
        <w:t xml:space="preserve">contained </w:t>
      </w:r>
      <w:r w:rsidRPr="00362EDF">
        <w:rPr>
          <w:rFonts w:cs="Arial"/>
          <w:szCs w:val="24"/>
        </w:rPr>
        <w:t xml:space="preserve">in the </w:t>
      </w:r>
      <w:r w:rsidRPr="00362EDF">
        <w:rPr>
          <w:rFonts w:cs="Arial"/>
          <w:i/>
          <w:szCs w:val="24"/>
        </w:rPr>
        <w:t>Youth Allowance (Activity Test Exemption Guidelines) Determination 1998</w:t>
      </w:r>
      <w:r>
        <w:rPr>
          <w:rFonts w:cs="Arial"/>
          <w:szCs w:val="24"/>
        </w:rPr>
        <w:t xml:space="preserve"> (the 1998 Determination), which is due to sunset on 1 April 2019. </w:t>
      </w:r>
      <w:r w:rsidRPr="00362EDF">
        <w:rPr>
          <w:rFonts w:cs="Arial"/>
          <w:szCs w:val="24"/>
        </w:rPr>
        <w:t>This instrument repeals the 1998 Determination</w:t>
      </w:r>
      <w:r>
        <w:rPr>
          <w:rFonts w:cs="Arial"/>
          <w:szCs w:val="24"/>
        </w:rPr>
        <w:t xml:space="preserve"> and replaces the guidelines</w:t>
      </w:r>
      <w:r w:rsidRPr="00362EDF">
        <w:rPr>
          <w:rFonts w:cs="Arial"/>
          <w:szCs w:val="24"/>
        </w:rPr>
        <w:t xml:space="preserve">. </w:t>
      </w:r>
      <w:r>
        <w:rPr>
          <w:rFonts w:cs="Arial"/>
          <w:szCs w:val="24"/>
        </w:rPr>
        <w:t>Som</w:t>
      </w:r>
      <w:r>
        <w:t xml:space="preserve">e amendments have been made to the structure of the instrument and it has been updated to be consistent with current practice regarding drafting of legislative instruments. </w:t>
      </w:r>
      <w:r w:rsidR="006408FF">
        <w:t xml:space="preserve">The substance of the previous guidelines have not been changed as they are working well and continue to be fit for purpose both in describing the special circumstances and setting </w:t>
      </w:r>
      <w:r w:rsidR="00940239">
        <w:t xml:space="preserve">guidance for </w:t>
      </w:r>
      <w:r w:rsidR="006408FF">
        <w:t xml:space="preserve">the periods for exemption to the activity test for youth allowance recipients.  </w:t>
      </w:r>
    </w:p>
    <w:p w:rsidR="00B96E81" w:rsidRDefault="00B96E81" w:rsidP="00B96E81">
      <w:pPr>
        <w:pStyle w:val="numberlist"/>
        <w:tabs>
          <w:tab w:val="center" w:pos="4677"/>
        </w:tabs>
        <w:spacing w:after="240"/>
        <w:rPr>
          <w:rFonts w:cs="Arial"/>
          <w:szCs w:val="24"/>
        </w:rPr>
      </w:pPr>
      <w:r>
        <w:rPr>
          <w:rFonts w:cs="Arial"/>
          <w:szCs w:val="24"/>
        </w:rPr>
        <w:t xml:space="preserve">The Minister for Jobs and Industrial Relations must make guidelines in relation to participation payment recipients who are youth allowance recipients. The Minister for </w:t>
      </w:r>
      <w:r w:rsidR="00B34BB2">
        <w:rPr>
          <w:rFonts w:cs="Arial"/>
          <w:szCs w:val="24"/>
        </w:rPr>
        <w:t xml:space="preserve">Families and </w:t>
      </w:r>
      <w:r>
        <w:rPr>
          <w:rFonts w:cs="Arial"/>
          <w:szCs w:val="24"/>
        </w:rPr>
        <w:t>Social Services must make guidelines in respect of all other youth allowance recipients</w:t>
      </w:r>
      <w:r w:rsidR="0071415E">
        <w:rPr>
          <w:rFonts w:cs="Arial"/>
          <w:szCs w:val="24"/>
        </w:rPr>
        <w:t xml:space="preserve"> subject to the activity test</w:t>
      </w:r>
      <w:r>
        <w:rPr>
          <w:rFonts w:cs="Arial"/>
          <w:szCs w:val="24"/>
        </w:rPr>
        <w:t>.  However, pursuant to an authorisation given by the Minister for</w:t>
      </w:r>
      <w:r w:rsidR="00B34BB2">
        <w:rPr>
          <w:rFonts w:cs="Arial"/>
          <w:szCs w:val="24"/>
        </w:rPr>
        <w:t xml:space="preserve"> Families and</w:t>
      </w:r>
      <w:r>
        <w:rPr>
          <w:rFonts w:cs="Arial"/>
          <w:szCs w:val="24"/>
        </w:rPr>
        <w:t xml:space="preserve"> Social Services under s</w:t>
      </w:r>
      <w:r w:rsidR="006C70AE">
        <w:rPr>
          <w:rFonts w:cs="Arial"/>
          <w:szCs w:val="24"/>
        </w:rPr>
        <w:t>ection</w:t>
      </w:r>
      <w:r>
        <w:rPr>
          <w:rFonts w:cs="Arial"/>
          <w:szCs w:val="24"/>
        </w:rPr>
        <w:t xml:space="preserve"> 34AAB of the </w:t>
      </w:r>
      <w:r>
        <w:rPr>
          <w:rFonts w:cs="Arial"/>
          <w:i/>
          <w:szCs w:val="24"/>
        </w:rPr>
        <w:t xml:space="preserve">Acts Interpretation Act </w:t>
      </w:r>
      <w:r w:rsidRPr="00710092">
        <w:rPr>
          <w:rFonts w:cs="Arial"/>
          <w:i/>
          <w:szCs w:val="24"/>
        </w:rPr>
        <w:t>1901</w:t>
      </w:r>
      <w:r>
        <w:rPr>
          <w:rFonts w:cs="Arial"/>
          <w:szCs w:val="24"/>
        </w:rPr>
        <w:t>, one legislative instrument containing guidelines will be made by the Minister for Jobs and Industrial Relations that will apply to all youth allowance recipients</w:t>
      </w:r>
      <w:r w:rsidR="0071415E">
        <w:rPr>
          <w:rFonts w:cs="Arial"/>
          <w:szCs w:val="24"/>
        </w:rPr>
        <w:t xml:space="preserve"> who are subject to the activity test</w:t>
      </w:r>
      <w:r>
        <w:rPr>
          <w:rFonts w:cs="Arial"/>
          <w:szCs w:val="24"/>
        </w:rPr>
        <w:t>.</w:t>
      </w:r>
    </w:p>
    <w:p w:rsidR="00F636F8" w:rsidRDefault="00F636F8" w:rsidP="00F636F8">
      <w:pPr>
        <w:spacing w:before="0" w:after="240"/>
        <w:outlineLvl w:val="0"/>
        <w:rPr>
          <w:rFonts w:cs="Arial"/>
          <w:b/>
        </w:rPr>
      </w:pPr>
      <w:r w:rsidRPr="00F636F8">
        <w:rPr>
          <w:rFonts w:cs="Arial"/>
          <w:b/>
        </w:rPr>
        <w:t>Human rights implications</w:t>
      </w:r>
    </w:p>
    <w:p w:rsidR="00433403" w:rsidRDefault="00433403" w:rsidP="00433403">
      <w:pPr>
        <w:rPr>
          <w:rFonts w:cs="Arial"/>
          <w:szCs w:val="24"/>
        </w:rPr>
      </w:pPr>
      <w:r>
        <w:rPr>
          <w:rFonts w:cs="Arial"/>
          <w:szCs w:val="24"/>
        </w:rPr>
        <w:t xml:space="preserve">The </w:t>
      </w:r>
      <w:r w:rsidR="00D93E29">
        <w:rPr>
          <w:rFonts w:cs="Arial"/>
          <w:szCs w:val="24"/>
        </w:rPr>
        <w:t>i</w:t>
      </w:r>
      <w:r>
        <w:rPr>
          <w:rFonts w:cs="Arial"/>
          <w:szCs w:val="24"/>
        </w:rPr>
        <w:t xml:space="preserve">nstrument engages the following human rights: </w:t>
      </w:r>
    </w:p>
    <w:p w:rsidR="00433403" w:rsidRDefault="00433403" w:rsidP="00433403">
      <w:pPr>
        <w:pStyle w:val="Default"/>
        <w:numPr>
          <w:ilvl w:val="0"/>
          <w:numId w:val="9"/>
        </w:numPr>
        <w:ind w:left="714" w:hanging="357"/>
      </w:pPr>
      <w:r>
        <w:t xml:space="preserve">the right to social security in Article 9 of the </w:t>
      </w:r>
      <w:r w:rsidR="00E16C54">
        <w:t>International Covenant on Economic, Social and Cultural Rights (ICESCR)</w:t>
      </w:r>
      <w:r>
        <w:t>, and</w:t>
      </w:r>
      <w:r w:rsidRPr="00B976DB">
        <w:t xml:space="preserve"> </w:t>
      </w:r>
      <w:r>
        <w:t>the rights of the child to benefit from social security in Article 26 of the Convention on the Rights of the Child (CRC); and</w:t>
      </w:r>
    </w:p>
    <w:p w:rsidR="00433403" w:rsidRDefault="00433403" w:rsidP="00433403">
      <w:pPr>
        <w:pStyle w:val="Default"/>
        <w:numPr>
          <w:ilvl w:val="0"/>
          <w:numId w:val="9"/>
        </w:numPr>
        <w:ind w:left="714" w:hanging="357"/>
      </w:pPr>
      <w:r>
        <w:t>the right to an adequate standard of living in Article 11 of the ICESCR and Article 27 of the CRC.</w:t>
      </w:r>
    </w:p>
    <w:p w:rsidR="00433403" w:rsidRDefault="00433403" w:rsidP="00433403">
      <w:pPr>
        <w:spacing w:before="240" w:after="240"/>
        <w:rPr>
          <w:rFonts w:cs="Arial"/>
          <w:szCs w:val="24"/>
        </w:rPr>
      </w:pPr>
      <w:r>
        <w:rPr>
          <w:rFonts w:cs="Arial"/>
          <w:szCs w:val="24"/>
        </w:rPr>
        <w:t>Article 9 of the ICESCR recognises the right to social security. The right to social security requires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CRC recognises the right of every child to benefit from social security</w:t>
      </w:r>
      <w:r w:rsidR="00B36B0F">
        <w:rPr>
          <w:rFonts w:cs="Arial"/>
          <w:szCs w:val="24"/>
        </w:rPr>
        <w:t>, taking into account the resources and circumstances of both the child and the person responsible for the child.</w:t>
      </w:r>
      <w:r>
        <w:rPr>
          <w:rFonts w:cs="Arial"/>
          <w:szCs w:val="24"/>
        </w:rPr>
        <w:t xml:space="preserve">  </w:t>
      </w:r>
    </w:p>
    <w:p w:rsidR="00433403" w:rsidRDefault="00433403" w:rsidP="00433403">
      <w:pPr>
        <w:spacing w:before="240" w:after="240"/>
        <w:rPr>
          <w:rFonts w:cs="Arial"/>
          <w:szCs w:val="24"/>
        </w:rPr>
      </w:pPr>
      <w:r>
        <w:t>The right to social security is important in realising many of the other rights in the ICESCR, including the right to an adequate standard of living under Article 11 of the ICESCR</w:t>
      </w:r>
      <w:r w:rsidR="005E2C07">
        <w:t>.</w:t>
      </w:r>
      <w:r>
        <w:t xml:space="preserve"> </w:t>
      </w:r>
      <w:r w:rsidR="00D93E29">
        <w:t xml:space="preserve">Article 11(1) of the ICESCR recognises the right of everyone to an adequate standard of living including adequate food, water and </w:t>
      </w:r>
      <w:r w:rsidR="00D76469">
        <w:t>housing</w:t>
      </w:r>
      <w:r w:rsidR="00D93E29">
        <w:t xml:space="preserve"> and to the continuous improvement of living conditions</w:t>
      </w:r>
      <w:r w:rsidR="006C70AE">
        <w:t>.</w:t>
      </w:r>
      <w:r w:rsidR="00D93E29" w:rsidDel="005E2C07">
        <w:t xml:space="preserve"> </w:t>
      </w:r>
      <w:r>
        <w:t>Article 27 of the CRC</w:t>
      </w:r>
      <w:r w:rsidR="005E2C07">
        <w:t xml:space="preserve"> also recognises the right of the child to an adequate standard of living for the child’s physical, mental, spiritual, moral and social development</w:t>
      </w:r>
      <w:r w:rsidR="006C70AE">
        <w:t>.</w:t>
      </w:r>
    </w:p>
    <w:p w:rsidR="003B2A31" w:rsidRDefault="00433403" w:rsidP="00C26487">
      <w:pPr>
        <w:pStyle w:val="Default"/>
        <w:spacing w:after="240"/>
      </w:pPr>
      <w:r>
        <w:t xml:space="preserve">A person in receipt of a participation payment must meet the activity test or participation requirements in order to continue to receive their payment. However, the Act recognises that, whilst on payment, a person may be in a situation where they are unable to meet these requirements. This </w:t>
      </w:r>
      <w:r w:rsidR="00293203">
        <w:t>i</w:t>
      </w:r>
      <w:r>
        <w:t>nstrument provides for the special circumstances a person may experience which could grant them an exemption from the activity test</w:t>
      </w:r>
      <w:r w:rsidR="00376DF0">
        <w:t xml:space="preserve">. </w:t>
      </w:r>
      <w:r w:rsidR="00376DF0" w:rsidRPr="004D74AD">
        <w:t xml:space="preserve">Those granted an exemption period </w:t>
      </w:r>
      <w:r w:rsidR="00D76469" w:rsidRPr="004D74AD">
        <w:t>would</w:t>
      </w:r>
      <w:r w:rsidR="00376DF0" w:rsidRPr="004D74AD">
        <w:t xml:space="preserve"> continue receiving payment during the period.</w:t>
      </w:r>
      <w:r w:rsidR="00376DF0">
        <w:t xml:space="preserve"> </w:t>
      </w:r>
    </w:p>
    <w:p w:rsidR="005379BD" w:rsidRDefault="000472B2" w:rsidP="00C26487">
      <w:pPr>
        <w:pStyle w:val="Default"/>
        <w:spacing w:after="240"/>
      </w:pPr>
      <w:r>
        <w:t xml:space="preserve">The Act provides that </w:t>
      </w:r>
      <w:r w:rsidR="00293203">
        <w:t xml:space="preserve">where the Secretary makes </w:t>
      </w:r>
      <w:r>
        <w:t xml:space="preserve">a special circumstances exemption decision </w:t>
      </w:r>
      <w:r w:rsidR="00293203">
        <w:t>under s</w:t>
      </w:r>
      <w:r w:rsidR="006C70AE">
        <w:t>ub</w:t>
      </w:r>
      <w:r w:rsidR="00293203">
        <w:t>s</w:t>
      </w:r>
      <w:r w:rsidR="006C70AE">
        <w:t xml:space="preserve">ection </w:t>
      </w:r>
      <w:r w:rsidR="00293203">
        <w:t xml:space="preserve">542H(1), the exemption period </w:t>
      </w:r>
      <w:r>
        <w:t xml:space="preserve">cannot be for a period of more than 13 weeks </w:t>
      </w:r>
      <w:r w:rsidR="00170D2D">
        <w:t>(s</w:t>
      </w:r>
      <w:r w:rsidR="006C70AE">
        <w:t>ub</w:t>
      </w:r>
      <w:r w:rsidR="00170D2D">
        <w:t>s</w:t>
      </w:r>
      <w:r w:rsidR="006C70AE">
        <w:t xml:space="preserve">ection </w:t>
      </w:r>
      <w:r w:rsidR="00170D2D">
        <w:t>542H(2)</w:t>
      </w:r>
      <w:r w:rsidR="00487CB8">
        <w:t xml:space="preserve"> of the Act</w:t>
      </w:r>
      <w:r w:rsidR="00170D2D">
        <w:t>)</w:t>
      </w:r>
      <w:r w:rsidR="00257EBE">
        <w:t xml:space="preserve">. </w:t>
      </w:r>
      <w:r w:rsidR="00170D2D">
        <w:t xml:space="preserve"> </w:t>
      </w:r>
    </w:p>
    <w:p w:rsidR="00D60706" w:rsidRDefault="000033FA" w:rsidP="00C26487">
      <w:pPr>
        <w:pStyle w:val="Default"/>
        <w:spacing w:after="240"/>
      </w:pPr>
      <w:r w:rsidRPr="003812CF">
        <w:t xml:space="preserve">However, </w:t>
      </w:r>
      <w:r w:rsidR="00F52790">
        <w:t xml:space="preserve">further exemption periods can be given </w:t>
      </w:r>
      <w:r w:rsidR="001A593C">
        <w:t>where</w:t>
      </w:r>
      <w:r w:rsidR="00F52790">
        <w:t xml:space="preserve"> </w:t>
      </w:r>
      <w:r w:rsidR="00511EC4" w:rsidRPr="003812CF">
        <w:t>the Secretary make</w:t>
      </w:r>
      <w:r w:rsidR="001A593C">
        <w:t>s</w:t>
      </w:r>
      <w:r w:rsidR="00511EC4" w:rsidRPr="003812CF">
        <w:t xml:space="preserve"> more than one special circumstances </w:t>
      </w:r>
      <w:r w:rsidR="0033131F" w:rsidRPr="003812CF">
        <w:t xml:space="preserve">exemption </w:t>
      </w:r>
      <w:r w:rsidR="00511EC4" w:rsidRPr="003812CF">
        <w:t>decision for a person</w:t>
      </w:r>
      <w:r w:rsidR="00487CB8">
        <w:t xml:space="preserve"> and</w:t>
      </w:r>
      <w:r w:rsidR="000472B2">
        <w:t xml:space="preserve"> </w:t>
      </w:r>
      <w:r w:rsidR="00257EBE">
        <w:t>the periods to which the de</w:t>
      </w:r>
      <w:r w:rsidR="00170D2D">
        <w:t>c</w:t>
      </w:r>
      <w:r w:rsidR="00257EBE">
        <w:t>i</w:t>
      </w:r>
      <w:r w:rsidR="00170D2D">
        <w:t>s</w:t>
      </w:r>
      <w:r w:rsidR="00257EBE">
        <w:t>ion</w:t>
      </w:r>
      <w:r w:rsidR="00170D2D">
        <w:t>s</w:t>
      </w:r>
      <w:r w:rsidR="00257EBE">
        <w:t xml:space="preserve"> relate form a </w:t>
      </w:r>
      <w:r w:rsidR="00170D2D">
        <w:t>c</w:t>
      </w:r>
      <w:r w:rsidR="00257EBE">
        <w:t>on</w:t>
      </w:r>
      <w:r w:rsidR="00170D2D">
        <w:t>t</w:t>
      </w:r>
      <w:r w:rsidR="00257EBE">
        <w:t>inuous period</w:t>
      </w:r>
      <w:r w:rsidR="001A593C">
        <w:t>. Where this occurs</w:t>
      </w:r>
      <w:r w:rsidR="00170D2D">
        <w:t>,</w:t>
      </w:r>
      <w:r w:rsidR="00257EBE">
        <w:t xml:space="preserve"> </w:t>
      </w:r>
      <w:r w:rsidR="00257EBE" w:rsidRPr="00DE506A">
        <w:t>th</w:t>
      </w:r>
      <w:r w:rsidR="00555C16" w:rsidRPr="00DE506A">
        <w:t>e continuous</w:t>
      </w:r>
      <w:r w:rsidR="00257EBE" w:rsidRPr="00DE506A">
        <w:t xml:space="preserve"> perio</w:t>
      </w:r>
      <w:r w:rsidR="00170D2D" w:rsidRPr="00DE506A">
        <w:t>d</w:t>
      </w:r>
      <w:r w:rsidR="00257EBE">
        <w:t xml:space="preserve"> </w:t>
      </w:r>
      <w:r w:rsidR="00170D2D">
        <w:t>cannot exceed</w:t>
      </w:r>
      <w:r w:rsidR="00257EBE">
        <w:t xml:space="preserve"> 13 weeks</w:t>
      </w:r>
      <w:r w:rsidR="00170D2D">
        <w:t>,</w:t>
      </w:r>
      <w:r w:rsidR="00257EBE">
        <w:t xml:space="preserve"> unless the Secretary de</w:t>
      </w:r>
      <w:r w:rsidR="00170D2D">
        <w:t>c</w:t>
      </w:r>
      <w:r w:rsidR="00257EBE">
        <w:t>i</w:t>
      </w:r>
      <w:r w:rsidR="00170D2D">
        <w:t>d</w:t>
      </w:r>
      <w:r w:rsidR="00257EBE">
        <w:t>es otherwise having regard to the con</w:t>
      </w:r>
      <w:r w:rsidR="00170D2D">
        <w:t>t</w:t>
      </w:r>
      <w:r w:rsidR="00257EBE">
        <w:t>inu</w:t>
      </w:r>
      <w:r w:rsidR="00170D2D">
        <w:t>e</w:t>
      </w:r>
      <w:r w:rsidR="00257EBE">
        <w:t>d existence</w:t>
      </w:r>
      <w:r w:rsidR="00170D2D">
        <w:t>,</w:t>
      </w:r>
      <w:r w:rsidR="00257EBE">
        <w:t xml:space="preserve"> or likely conti</w:t>
      </w:r>
      <w:r w:rsidR="00170D2D">
        <w:t>nued</w:t>
      </w:r>
      <w:r w:rsidR="00257EBE">
        <w:t xml:space="preserve"> existence</w:t>
      </w:r>
      <w:r w:rsidR="00170D2D">
        <w:t>,</w:t>
      </w:r>
      <w:r w:rsidR="00257EBE">
        <w:t xml:space="preserve"> of the </w:t>
      </w:r>
      <w:r w:rsidR="00170D2D">
        <w:t>s</w:t>
      </w:r>
      <w:r w:rsidR="00257EBE">
        <w:t>pe</w:t>
      </w:r>
      <w:r w:rsidR="00170D2D">
        <w:t>c</w:t>
      </w:r>
      <w:r w:rsidR="00257EBE">
        <w:t>i</w:t>
      </w:r>
      <w:r w:rsidR="00170D2D">
        <w:t>a</w:t>
      </w:r>
      <w:r w:rsidR="00257EBE">
        <w:t>l cir</w:t>
      </w:r>
      <w:r w:rsidR="00170D2D">
        <w:t>c</w:t>
      </w:r>
      <w:r w:rsidR="00257EBE">
        <w:t>um</w:t>
      </w:r>
      <w:r w:rsidR="00170D2D">
        <w:t>sta</w:t>
      </w:r>
      <w:r w:rsidR="00257EBE">
        <w:t>n</w:t>
      </w:r>
      <w:r w:rsidR="00170D2D">
        <w:t>ce</w:t>
      </w:r>
      <w:r w:rsidR="00257EBE">
        <w:t>s on whi</w:t>
      </w:r>
      <w:r w:rsidR="00170D2D">
        <w:t>c</w:t>
      </w:r>
      <w:r w:rsidR="00257EBE">
        <w:t>h the las</w:t>
      </w:r>
      <w:r w:rsidR="00170D2D">
        <w:t>t</w:t>
      </w:r>
      <w:r w:rsidR="00257EBE">
        <w:t xml:space="preserve"> preceding de</w:t>
      </w:r>
      <w:r w:rsidR="00170D2D">
        <w:t>c</w:t>
      </w:r>
      <w:r w:rsidR="00257EBE">
        <w:t>i</w:t>
      </w:r>
      <w:r w:rsidR="00170D2D">
        <w:t>s</w:t>
      </w:r>
      <w:r w:rsidR="00257EBE">
        <w:t>ion was based</w:t>
      </w:r>
      <w:r w:rsidR="00170D2D">
        <w:t xml:space="preserve"> (s</w:t>
      </w:r>
      <w:r w:rsidR="006C70AE">
        <w:t>ub</w:t>
      </w:r>
      <w:r w:rsidR="00170D2D">
        <w:t>s</w:t>
      </w:r>
      <w:r w:rsidR="006C70AE">
        <w:t xml:space="preserve">ection </w:t>
      </w:r>
      <w:r w:rsidR="00170D2D">
        <w:t>542H(3)</w:t>
      </w:r>
      <w:r w:rsidR="006C70AE">
        <w:t xml:space="preserve"> of the Act</w:t>
      </w:r>
      <w:r w:rsidR="00170D2D">
        <w:t>)</w:t>
      </w:r>
      <w:r w:rsidR="00257EBE">
        <w:t>.</w:t>
      </w:r>
    </w:p>
    <w:p w:rsidR="00F364EB" w:rsidRPr="00537FDC" w:rsidRDefault="00257EBE" w:rsidP="00C26487">
      <w:pPr>
        <w:pStyle w:val="Default"/>
        <w:spacing w:after="240"/>
      </w:pPr>
      <w:r>
        <w:t xml:space="preserve">The instrument </w:t>
      </w:r>
      <w:r w:rsidR="000E48C0">
        <w:t xml:space="preserve">also </w:t>
      </w:r>
      <w:r w:rsidR="00170D2D">
        <w:t xml:space="preserve">provides </w:t>
      </w:r>
      <w:r w:rsidR="00293203">
        <w:t xml:space="preserve">guidance </w:t>
      </w:r>
      <w:r w:rsidR="00170D2D">
        <w:t xml:space="preserve">for further </w:t>
      </w:r>
      <w:r w:rsidR="00293203">
        <w:t xml:space="preserve">exemption </w:t>
      </w:r>
      <w:r w:rsidR="00170D2D">
        <w:t>periods of up to 13 weeks when certain special circumstances still exist</w:t>
      </w:r>
      <w:r w:rsidR="0033131F">
        <w:t xml:space="preserve"> </w:t>
      </w:r>
      <w:r w:rsidR="0033131F" w:rsidRPr="003812CF">
        <w:t>for</w:t>
      </w:r>
      <w:r w:rsidR="000E48C0" w:rsidRPr="003812CF">
        <w:t xml:space="preserve"> </w:t>
      </w:r>
      <w:r w:rsidR="0033131F" w:rsidRPr="003812CF">
        <w:t>carer duties, serving on a jury and serving a community service order</w:t>
      </w:r>
      <w:r w:rsidR="00170D2D" w:rsidRPr="00537FDC">
        <w:t>.</w:t>
      </w:r>
      <w:r w:rsidR="00C26487" w:rsidRPr="00537FDC">
        <w:t xml:space="preserve"> </w:t>
      </w:r>
    </w:p>
    <w:p w:rsidR="00E657E8" w:rsidRDefault="00BB25ED" w:rsidP="00C26487">
      <w:pPr>
        <w:pStyle w:val="Default"/>
        <w:spacing w:after="240"/>
      </w:pPr>
      <w:r w:rsidRPr="00537FDC">
        <w:t>Time</w:t>
      </w:r>
      <w:r w:rsidR="00212EA7" w:rsidRPr="00537FDC">
        <w:t>-</w:t>
      </w:r>
      <w:r w:rsidRPr="00537FDC">
        <w:t>limited</w:t>
      </w:r>
      <w:r w:rsidR="000033FA" w:rsidRPr="00537FDC">
        <w:t xml:space="preserve"> e</w:t>
      </w:r>
      <w:r w:rsidR="008A7657" w:rsidRPr="00537FDC">
        <w:t xml:space="preserve">xemption periods </w:t>
      </w:r>
      <w:r w:rsidR="00C26487" w:rsidRPr="00537FDC">
        <w:t>reflect the expectation that the special circumstance will be temporary</w:t>
      </w:r>
      <w:r w:rsidR="00C26487" w:rsidRPr="003812CF">
        <w:t xml:space="preserve"> in nature, and a person in receipt of income support should be encouraged and supported back into employment after they experience the special circumstance.</w:t>
      </w:r>
      <w:r w:rsidR="008A7657" w:rsidRPr="003812CF">
        <w:t xml:space="preserve"> However, </w:t>
      </w:r>
      <w:r w:rsidR="00F364EB" w:rsidRPr="003812CF">
        <w:t xml:space="preserve">the Secretary’s ability </w:t>
      </w:r>
      <w:r w:rsidR="00DE506A">
        <w:t>to</w:t>
      </w:r>
      <w:r w:rsidR="00F364EB" w:rsidRPr="003812CF">
        <w:t xml:space="preserve"> mak</w:t>
      </w:r>
      <w:r w:rsidR="00DE506A">
        <w:t>e</w:t>
      </w:r>
      <w:r w:rsidR="00F364EB" w:rsidRPr="003812CF">
        <w:t xml:space="preserve"> furthe</w:t>
      </w:r>
      <w:r w:rsidR="00D01A20" w:rsidRPr="003812CF">
        <w:t>r exemptions period</w:t>
      </w:r>
      <w:r w:rsidR="00F364EB" w:rsidRPr="003812CF">
        <w:t xml:space="preserve"> decisions provides</w:t>
      </w:r>
      <w:r w:rsidR="008A7657" w:rsidRPr="003812CF">
        <w:t xml:space="preserve"> </w:t>
      </w:r>
      <w:r w:rsidR="00F364EB" w:rsidRPr="003812CF">
        <w:t>protections for persons who continue to experience special circumstances beyond their control after their exemption period ends.</w:t>
      </w:r>
    </w:p>
    <w:p w:rsidR="003B2A31" w:rsidRDefault="003B2A31" w:rsidP="00C26487">
      <w:pPr>
        <w:pStyle w:val="Default"/>
        <w:spacing w:after="240"/>
      </w:pPr>
      <w:r>
        <w:t>The instrument, therefore, promotes the right to social security and the right to an adequate standard of living, as a person who is exempt from the activity test due to their special circumstances can continue to receive payment without having to meet participation requirements</w:t>
      </w:r>
      <w:r w:rsidR="00F0627F">
        <w:t xml:space="preserve">, </w:t>
      </w:r>
      <w:r w:rsidR="00F0627F" w:rsidRPr="003812CF">
        <w:t xml:space="preserve">provided they </w:t>
      </w:r>
      <w:r w:rsidR="00D447A5" w:rsidRPr="003812CF">
        <w:t xml:space="preserve">continue to </w:t>
      </w:r>
      <w:r w:rsidR="00F0627F" w:rsidRPr="003812CF">
        <w:t xml:space="preserve">meet all other requirements </w:t>
      </w:r>
      <w:r w:rsidR="00D446A9">
        <w:t xml:space="preserve">for </w:t>
      </w:r>
      <w:r w:rsidR="00F0627F" w:rsidRPr="003812CF">
        <w:t>receiving payment</w:t>
      </w:r>
      <w:r w:rsidR="00F0627F">
        <w:t>.</w:t>
      </w:r>
      <w:r w:rsidR="00090ABD">
        <w:t xml:space="preserve"> </w:t>
      </w:r>
      <w:r w:rsidR="00090ABD" w:rsidRPr="004D74AD">
        <w:t xml:space="preserve">Furthermore, </w:t>
      </w:r>
      <w:r w:rsidR="00BB25ED" w:rsidRPr="004D74AD">
        <w:t xml:space="preserve">protections exist for people who experience lasting special circumstances, as the Secretary may </w:t>
      </w:r>
      <w:r w:rsidR="00940239">
        <w:t>decide further exemption periods are appropriate in the circumstances</w:t>
      </w:r>
      <w:r w:rsidR="00090ABD" w:rsidRPr="004D74AD">
        <w:t>.</w:t>
      </w:r>
      <w:r w:rsidR="00090ABD">
        <w:t xml:space="preserve"> </w:t>
      </w:r>
    </w:p>
    <w:p w:rsidR="00433403" w:rsidRDefault="00433403" w:rsidP="00433403">
      <w:pPr>
        <w:spacing w:after="240"/>
        <w:rPr>
          <w:rFonts w:cstheme="minorHAnsi"/>
          <w:b/>
          <w:szCs w:val="24"/>
        </w:rPr>
      </w:pPr>
      <w:r w:rsidRPr="003D3CE8">
        <w:rPr>
          <w:rFonts w:cstheme="minorHAnsi"/>
          <w:b/>
          <w:szCs w:val="24"/>
        </w:rPr>
        <w:t>Conclusion</w:t>
      </w:r>
    </w:p>
    <w:p w:rsidR="003B2A31" w:rsidRDefault="003B2A31" w:rsidP="003B2A31">
      <w:pPr>
        <w:pStyle w:val="Default"/>
        <w:spacing w:after="240"/>
      </w:pPr>
      <w:r>
        <w:t>The instrument is compatible with human rights because it</w:t>
      </w:r>
      <w:r w:rsidR="002F4A18">
        <w:t xml:space="preserve"> </w:t>
      </w:r>
      <w:r>
        <w:t xml:space="preserve">promotes the </w:t>
      </w:r>
      <w:r w:rsidR="002F4A18">
        <w:t xml:space="preserve">protection of human rights. </w:t>
      </w:r>
    </w:p>
    <w:p w:rsidR="00433403" w:rsidRDefault="00F14B5F" w:rsidP="00433403">
      <w:pPr>
        <w:spacing w:after="240"/>
        <w:rPr>
          <w:rFonts w:cstheme="minorHAnsi"/>
          <w:szCs w:val="24"/>
        </w:rPr>
      </w:pPr>
      <w:r>
        <w:rPr>
          <w:rFonts w:cstheme="minorHAnsi"/>
          <w:szCs w:val="24"/>
        </w:rPr>
        <w:t xml:space="preserve"> </w:t>
      </w:r>
    </w:p>
    <w:p w:rsidR="00433403" w:rsidRPr="00F636F8" w:rsidRDefault="00433403" w:rsidP="00F636F8">
      <w:pPr>
        <w:spacing w:before="0" w:after="240"/>
        <w:outlineLvl w:val="0"/>
        <w:rPr>
          <w:rFonts w:cs="Arial"/>
          <w:b/>
        </w:rPr>
      </w:pPr>
    </w:p>
    <w:sectPr w:rsidR="00433403" w:rsidRPr="00F636F8" w:rsidSect="0040779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BE1E0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A5ECD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666679"/>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401FF"/>
    <w:multiLevelType w:val="hybridMultilevel"/>
    <w:tmpl w:val="33DA9F6C"/>
    <w:lvl w:ilvl="0" w:tplc="B1E8C52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7BA1A56"/>
    <w:multiLevelType w:val="hybridMultilevel"/>
    <w:tmpl w:val="945060CA"/>
    <w:lvl w:ilvl="0" w:tplc="904635F6">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4869"/>
    <w:multiLevelType w:val="hybridMultilevel"/>
    <w:tmpl w:val="50B00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D37C5"/>
    <w:multiLevelType w:val="hybridMultilevel"/>
    <w:tmpl w:val="5CC44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71B5A"/>
    <w:multiLevelType w:val="hybridMultilevel"/>
    <w:tmpl w:val="7AEAEEC2"/>
    <w:lvl w:ilvl="0" w:tplc="2C5A009A">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8" w15:restartNumberingAfterBreak="0">
    <w:nsid w:val="28115164"/>
    <w:multiLevelType w:val="hybridMultilevel"/>
    <w:tmpl w:val="76F2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F67E6"/>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241F54"/>
    <w:multiLevelType w:val="hybridMultilevel"/>
    <w:tmpl w:val="B9C2D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4D05797"/>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B69B9"/>
    <w:multiLevelType w:val="hybridMultilevel"/>
    <w:tmpl w:val="74B27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33A9C"/>
    <w:multiLevelType w:val="hybridMultilevel"/>
    <w:tmpl w:val="7054B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900A94"/>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4E0611"/>
    <w:multiLevelType w:val="singleLevel"/>
    <w:tmpl w:val="DD162334"/>
    <w:lvl w:ilvl="0">
      <w:start w:val="2"/>
      <w:numFmt w:val="decimal"/>
      <w:lvlText w:val="%1."/>
      <w:lvlJc w:val="left"/>
      <w:pPr>
        <w:tabs>
          <w:tab w:val="num" w:pos="360"/>
        </w:tabs>
        <w:ind w:left="360" w:hanging="360"/>
      </w:pPr>
      <w:rPr>
        <w:b w:val="0"/>
      </w:rPr>
    </w:lvl>
  </w:abstractNum>
  <w:abstractNum w:abstractNumId="16" w15:restartNumberingAfterBreak="0">
    <w:nsid w:val="44315662"/>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7C21C6"/>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673444"/>
    <w:multiLevelType w:val="hybridMultilevel"/>
    <w:tmpl w:val="4950D214"/>
    <w:lvl w:ilvl="0" w:tplc="7A8CF2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D87573"/>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F04A5E"/>
    <w:multiLevelType w:val="hybridMultilevel"/>
    <w:tmpl w:val="8AE88E2C"/>
    <w:lvl w:ilvl="0" w:tplc="50FA0D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5F374E0"/>
    <w:multiLevelType w:val="hybridMultilevel"/>
    <w:tmpl w:val="F508C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C825D4"/>
    <w:multiLevelType w:val="hybridMultilevel"/>
    <w:tmpl w:val="E5DCA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737E40"/>
    <w:multiLevelType w:val="hybridMultilevel"/>
    <w:tmpl w:val="EA46307C"/>
    <w:lvl w:ilvl="0" w:tplc="82AC9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240361"/>
    <w:multiLevelType w:val="hybridMultilevel"/>
    <w:tmpl w:val="841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5"/>
  </w:num>
  <w:num w:numId="6">
    <w:abstractNumId w:val="10"/>
  </w:num>
  <w:num w:numId="7">
    <w:abstractNumId w:val="21"/>
  </w:num>
  <w:num w:numId="8">
    <w:abstractNumId w:val="20"/>
  </w:num>
  <w:num w:numId="9">
    <w:abstractNumId w:val="25"/>
  </w:num>
  <w:num w:numId="10">
    <w:abstractNumId w:val="24"/>
  </w:num>
  <w:num w:numId="11">
    <w:abstractNumId w:val="4"/>
  </w:num>
  <w:num w:numId="12">
    <w:abstractNumId w:val="12"/>
  </w:num>
  <w:num w:numId="13">
    <w:abstractNumId w:val="8"/>
  </w:num>
  <w:num w:numId="14">
    <w:abstractNumId w:val="13"/>
  </w:num>
  <w:num w:numId="15">
    <w:abstractNumId w:val="3"/>
  </w:num>
  <w:num w:numId="16">
    <w:abstractNumId w:val="22"/>
  </w:num>
  <w:num w:numId="17">
    <w:abstractNumId w:val="6"/>
  </w:num>
  <w:num w:numId="18">
    <w:abstractNumId w:val="5"/>
  </w:num>
  <w:num w:numId="19">
    <w:abstractNumId w:val="9"/>
  </w:num>
  <w:num w:numId="20">
    <w:abstractNumId w:val="23"/>
  </w:num>
  <w:num w:numId="21">
    <w:abstractNumId w:val="7"/>
  </w:num>
  <w:num w:numId="22">
    <w:abstractNumId w:val="2"/>
  </w:num>
  <w:num w:numId="23">
    <w:abstractNumId w:val="14"/>
  </w:num>
  <w:num w:numId="24">
    <w:abstractNumId w:val="19"/>
  </w:num>
  <w:num w:numId="25">
    <w:abstractNumId w:val="16"/>
  </w:num>
  <w:num w:numId="26">
    <w:abstractNumId w:val="11"/>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mpty"/>
  </w:docVars>
  <w:rsids>
    <w:rsidRoot w:val="00407795"/>
    <w:rsid w:val="00002162"/>
    <w:rsid w:val="000033FA"/>
    <w:rsid w:val="00003664"/>
    <w:rsid w:val="000037AB"/>
    <w:rsid w:val="0001011B"/>
    <w:rsid w:val="00010471"/>
    <w:rsid w:val="00010E88"/>
    <w:rsid w:val="00011FCE"/>
    <w:rsid w:val="00012700"/>
    <w:rsid w:val="0001468B"/>
    <w:rsid w:val="0001513C"/>
    <w:rsid w:val="00031216"/>
    <w:rsid w:val="00034780"/>
    <w:rsid w:val="00041613"/>
    <w:rsid w:val="00044A91"/>
    <w:rsid w:val="00044DC3"/>
    <w:rsid w:val="000472B2"/>
    <w:rsid w:val="0005031F"/>
    <w:rsid w:val="00052A0F"/>
    <w:rsid w:val="00052B43"/>
    <w:rsid w:val="0005455E"/>
    <w:rsid w:val="0005574D"/>
    <w:rsid w:val="0006001A"/>
    <w:rsid w:val="00063FCE"/>
    <w:rsid w:val="000659C5"/>
    <w:rsid w:val="000702D0"/>
    <w:rsid w:val="0007702E"/>
    <w:rsid w:val="000773D4"/>
    <w:rsid w:val="00090ABD"/>
    <w:rsid w:val="00090BB4"/>
    <w:rsid w:val="000927A5"/>
    <w:rsid w:val="00093DBB"/>
    <w:rsid w:val="000950B4"/>
    <w:rsid w:val="000963C6"/>
    <w:rsid w:val="00096EC2"/>
    <w:rsid w:val="00097EB4"/>
    <w:rsid w:val="000A080E"/>
    <w:rsid w:val="000A0F99"/>
    <w:rsid w:val="000A35AF"/>
    <w:rsid w:val="000A3D7D"/>
    <w:rsid w:val="000A579B"/>
    <w:rsid w:val="000A664B"/>
    <w:rsid w:val="000B0629"/>
    <w:rsid w:val="000B06B9"/>
    <w:rsid w:val="000B5893"/>
    <w:rsid w:val="000C0A8F"/>
    <w:rsid w:val="000C583F"/>
    <w:rsid w:val="000C6052"/>
    <w:rsid w:val="000C6D54"/>
    <w:rsid w:val="000D1307"/>
    <w:rsid w:val="000D139A"/>
    <w:rsid w:val="000D72D2"/>
    <w:rsid w:val="000E05B1"/>
    <w:rsid w:val="000E48C0"/>
    <w:rsid w:val="000E6609"/>
    <w:rsid w:val="000E7045"/>
    <w:rsid w:val="000E7218"/>
    <w:rsid w:val="000E72E6"/>
    <w:rsid w:val="000E7321"/>
    <w:rsid w:val="000F0573"/>
    <w:rsid w:val="00102037"/>
    <w:rsid w:val="00102CFD"/>
    <w:rsid w:val="001052F9"/>
    <w:rsid w:val="00107528"/>
    <w:rsid w:val="00113B7A"/>
    <w:rsid w:val="001172EB"/>
    <w:rsid w:val="00123867"/>
    <w:rsid w:val="00123C10"/>
    <w:rsid w:val="001267E5"/>
    <w:rsid w:val="00126CD6"/>
    <w:rsid w:val="00132E6B"/>
    <w:rsid w:val="00137589"/>
    <w:rsid w:val="00140CC6"/>
    <w:rsid w:val="00142DA1"/>
    <w:rsid w:val="00143BD4"/>
    <w:rsid w:val="0014667A"/>
    <w:rsid w:val="00150D4F"/>
    <w:rsid w:val="00151C43"/>
    <w:rsid w:val="001521FD"/>
    <w:rsid w:val="001548CD"/>
    <w:rsid w:val="00156364"/>
    <w:rsid w:val="0015644C"/>
    <w:rsid w:val="00156B7F"/>
    <w:rsid w:val="00160FC3"/>
    <w:rsid w:val="00161928"/>
    <w:rsid w:val="00170677"/>
    <w:rsid w:val="00170D2D"/>
    <w:rsid w:val="00170E91"/>
    <w:rsid w:val="00171846"/>
    <w:rsid w:val="001768F8"/>
    <w:rsid w:val="00182481"/>
    <w:rsid w:val="0019017B"/>
    <w:rsid w:val="0019276A"/>
    <w:rsid w:val="0019598F"/>
    <w:rsid w:val="001964F9"/>
    <w:rsid w:val="001A114B"/>
    <w:rsid w:val="001A593C"/>
    <w:rsid w:val="001A6638"/>
    <w:rsid w:val="001C0FD0"/>
    <w:rsid w:val="001C4EB1"/>
    <w:rsid w:val="001C518B"/>
    <w:rsid w:val="001C7197"/>
    <w:rsid w:val="001D4884"/>
    <w:rsid w:val="001D762A"/>
    <w:rsid w:val="001E26EA"/>
    <w:rsid w:val="001E3CA3"/>
    <w:rsid w:val="001F2F9B"/>
    <w:rsid w:val="0020541F"/>
    <w:rsid w:val="00211389"/>
    <w:rsid w:val="00212EA7"/>
    <w:rsid w:val="002149BD"/>
    <w:rsid w:val="00221923"/>
    <w:rsid w:val="0024027B"/>
    <w:rsid w:val="002410A7"/>
    <w:rsid w:val="00243D0D"/>
    <w:rsid w:val="00243FF8"/>
    <w:rsid w:val="00251F2D"/>
    <w:rsid w:val="00251F48"/>
    <w:rsid w:val="00253A2B"/>
    <w:rsid w:val="00257EBE"/>
    <w:rsid w:val="00262502"/>
    <w:rsid w:val="00262DF2"/>
    <w:rsid w:val="00264B57"/>
    <w:rsid w:val="00266B23"/>
    <w:rsid w:val="00266CE7"/>
    <w:rsid w:val="00271DBD"/>
    <w:rsid w:val="00271EA6"/>
    <w:rsid w:val="002724C2"/>
    <w:rsid w:val="00272520"/>
    <w:rsid w:val="00272FAA"/>
    <w:rsid w:val="00274C2D"/>
    <w:rsid w:val="002772C1"/>
    <w:rsid w:val="00280F1E"/>
    <w:rsid w:val="00282480"/>
    <w:rsid w:val="0028323A"/>
    <w:rsid w:val="00293203"/>
    <w:rsid w:val="002A1C18"/>
    <w:rsid w:val="002A4F71"/>
    <w:rsid w:val="002B3C17"/>
    <w:rsid w:val="002B463A"/>
    <w:rsid w:val="002B5AE3"/>
    <w:rsid w:val="002B753D"/>
    <w:rsid w:val="002D0E96"/>
    <w:rsid w:val="002D1F2A"/>
    <w:rsid w:val="002D58FE"/>
    <w:rsid w:val="002D697B"/>
    <w:rsid w:val="002E05F0"/>
    <w:rsid w:val="002E530E"/>
    <w:rsid w:val="002E7B3E"/>
    <w:rsid w:val="002F1B83"/>
    <w:rsid w:val="002F2489"/>
    <w:rsid w:val="002F4A18"/>
    <w:rsid w:val="0030084A"/>
    <w:rsid w:val="0030700D"/>
    <w:rsid w:val="003104F0"/>
    <w:rsid w:val="00315FC9"/>
    <w:rsid w:val="003161F5"/>
    <w:rsid w:val="00316D13"/>
    <w:rsid w:val="003170D6"/>
    <w:rsid w:val="00321040"/>
    <w:rsid w:val="0032210B"/>
    <w:rsid w:val="00322F93"/>
    <w:rsid w:val="0033131F"/>
    <w:rsid w:val="003450D2"/>
    <w:rsid w:val="00345EF4"/>
    <w:rsid w:val="003461A4"/>
    <w:rsid w:val="003520B3"/>
    <w:rsid w:val="0035501A"/>
    <w:rsid w:val="00362EDF"/>
    <w:rsid w:val="00364C11"/>
    <w:rsid w:val="00364DE7"/>
    <w:rsid w:val="003710CB"/>
    <w:rsid w:val="00372237"/>
    <w:rsid w:val="00376DF0"/>
    <w:rsid w:val="003812CF"/>
    <w:rsid w:val="00383690"/>
    <w:rsid w:val="00383D56"/>
    <w:rsid w:val="00390017"/>
    <w:rsid w:val="00391A00"/>
    <w:rsid w:val="003A0583"/>
    <w:rsid w:val="003A5148"/>
    <w:rsid w:val="003A5574"/>
    <w:rsid w:val="003A5996"/>
    <w:rsid w:val="003B17BF"/>
    <w:rsid w:val="003B21ED"/>
    <w:rsid w:val="003B2A31"/>
    <w:rsid w:val="003B46D1"/>
    <w:rsid w:val="003B75F3"/>
    <w:rsid w:val="003B7E17"/>
    <w:rsid w:val="003C0157"/>
    <w:rsid w:val="003C6E2C"/>
    <w:rsid w:val="003D0C08"/>
    <w:rsid w:val="003D14C9"/>
    <w:rsid w:val="003D4BA6"/>
    <w:rsid w:val="003D64E6"/>
    <w:rsid w:val="003E0019"/>
    <w:rsid w:val="003E0D5F"/>
    <w:rsid w:val="003E562D"/>
    <w:rsid w:val="003E7352"/>
    <w:rsid w:val="003E7E47"/>
    <w:rsid w:val="003F3741"/>
    <w:rsid w:val="003F39DF"/>
    <w:rsid w:val="003F6BA9"/>
    <w:rsid w:val="004004A3"/>
    <w:rsid w:val="00404FD8"/>
    <w:rsid w:val="00405EBF"/>
    <w:rsid w:val="00407795"/>
    <w:rsid w:val="00410162"/>
    <w:rsid w:val="00410257"/>
    <w:rsid w:val="004170A4"/>
    <w:rsid w:val="004208C5"/>
    <w:rsid w:val="00421D05"/>
    <w:rsid w:val="00426FB2"/>
    <w:rsid w:val="004307F9"/>
    <w:rsid w:val="00433403"/>
    <w:rsid w:val="00434907"/>
    <w:rsid w:val="00437EEB"/>
    <w:rsid w:val="00442D88"/>
    <w:rsid w:val="00450995"/>
    <w:rsid w:val="00461171"/>
    <w:rsid w:val="004615E2"/>
    <w:rsid w:val="004630EC"/>
    <w:rsid w:val="00466BAD"/>
    <w:rsid w:val="004723C8"/>
    <w:rsid w:val="00472718"/>
    <w:rsid w:val="00487CB8"/>
    <w:rsid w:val="00497889"/>
    <w:rsid w:val="004A19BF"/>
    <w:rsid w:val="004A1C93"/>
    <w:rsid w:val="004A2E2E"/>
    <w:rsid w:val="004A5505"/>
    <w:rsid w:val="004A5DDE"/>
    <w:rsid w:val="004B0E19"/>
    <w:rsid w:val="004B1050"/>
    <w:rsid w:val="004B1943"/>
    <w:rsid w:val="004B52FE"/>
    <w:rsid w:val="004B6766"/>
    <w:rsid w:val="004C2CE6"/>
    <w:rsid w:val="004C3C87"/>
    <w:rsid w:val="004C5C6D"/>
    <w:rsid w:val="004D7311"/>
    <w:rsid w:val="004D74AD"/>
    <w:rsid w:val="004D789F"/>
    <w:rsid w:val="004E03F3"/>
    <w:rsid w:val="004E5992"/>
    <w:rsid w:val="004F01F5"/>
    <w:rsid w:val="004F0EAB"/>
    <w:rsid w:val="004F4DAA"/>
    <w:rsid w:val="00501A28"/>
    <w:rsid w:val="005030C7"/>
    <w:rsid w:val="00504B56"/>
    <w:rsid w:val="00505092"/>
    <w:rsid w:val="005059E0"/>
    <w:rsid w:val="00511EC4"/>
    <w:rsid w:val="00514564"/>
    <w:rsid w:val="0051706A"/>
    <w:rsid w:val="00520A90"/>
    <w:rsid w:val="005327FC"/>
    <w:rsid w:val="005332AC"/>
    <w:rsid w:val="005332BF"/>
    <w:rsid w:val="0053423B"/>
    <w:rsid w:val="0053518A"/>
    <w:rsid w:val="00537844"/>
    <w:rsid w:val="005379BD"/>
    <w:rsid w:val="00537FDC"/>
    <w:rsid w:val="005416DF"/>
    <w:rsid w:val="0054335A"/>
    <w:rsid w:val="00552E95"/>
    <w:rsid w:val="0055422A"/>
    <w:rsid w:val="00555C16"/>
    <w:rsid w:val="00555F78"/>
    <w:rsid w:val="005567B7"/>
    <w:rsid w:val="00564F1F"/>
    <w:rsid w:val="0056500D"/>
    <w:rsid w:val="005665F6"/>
    <w:rsid w:val="00567DB0"/>
    <w:rsid w:val="00570A68"/>
    <w:rsid w:val="00571C44"/>
    <w:rsid w:val="00572FAF"/>
    <w:rsid w:val="005747F8"/>
    <w:rsid w:val="005820FB"/>
    <w:rsid w:val="0058293A"/>
    <w:rsid w:val="00583CF6"/>
    <w:rsid w:val="00584E19"/>
    <w:rsid w:val="00586329"/>
    <w:rsid w:val="00591F37"/>
    <w:rsid w:val="00594C11"/>
    <w:rsid w:val="00595145"/>
    <w:rsid w:val="005961D8"/>
    <w:rsid w:val="005A06FD"/>
    <w:rsid w:val="005A1393"/>
    <w:rsid w:val="005A2358"/>
    <w:rsid w:val="005B7BCE"/>
    <w:rsid w:val="005C1FCE"/>
    <w:rsid w:val="005C2AA9"/>
    <w:rsid w:val="005C4D2F"/>
    <w:rsid w:val="005D4DC1"/>
    <w:rsid w:val="005D5E20"/>
    <w:rsid w:val="005E2C07"/>
    <w:rsid w:val="005E33E3"/>
    <w:rsid w:val="005E47C4"/>
    <w:rsid w:val="005E7F70"/>
    <w:rsid w:val="005F1757"/>
    <w:rsid w:val="005F26B3"/>
    <w:rsid w:val="005F3491"/>
    <w:rsid w:val="006047C4"/>
    <w:rsid w:val="00621E0D"/>
    <w:rsid w:val="006223A3"/>
    <w:rsid w:val="00623186"/>
    <w:rsid w:val="00623CB6"/>
    <w:rsid w:val="0063314E"/>
    <w:rsid w:val="00634AC8"/>
    <w:rsid w:val="006408FF"/>
    <w:rsid w:val="00642354"/>
    <w:rsid w:val="006504A4"/>
    <w:rsid w:val="006522AD"/>
    <w:rsid w:val="006525D2"/>
    <w:rsid w:val="00653C9E"/>
    <w:rsid w:val="00663E50"/>
    <w:rsid w:val="00663FE1"/>
    <w:rsid w:val="006647A3"/>
    <w:rsid w:val="0066778E"/>
    <w:rsid w:val="006714CD"/>
    <w:rsid w:val="0067355D"/>
    <w:rsid w:val="0067643B"/>
    <w:rsid w:val="00680D78"/>
    <w:rsid w:val="00691B08"/>
    <w:rsid w:val="00694E78"/>
    <w:rsid w:val="006A00CA"/>
    <w:rsid w:val="006A04D1"/>
    <w:rsid w:val="006A1DFA"/>
    <w:rsid w:val="006A3923"/>
    <w:rsid w:val="006A41BB"/>
    <w:rsid w:val="006A46F4"/>
    <w:rsid w:val="006B28FC"/>
    <w:rsid w:val="006B4135"/>
    <w:rsid w:val="006C384C"/>
    <w:rsid w:val="006C63AF"/>
    <w:rsid w:val="006C70AE"/>
    <w:rsid w:val="006C7D46"/>
    <w:rsid w:val="006D19DD"/>
    <w:rsid w:val="006E2105"/>
    <w:rsid w:val="006E4C95"/>
    <w:rsid w:val="006E6706"/>
    <w:rsid w:val="006F3A62"/>
    <w:rsid w:val="006F3BFD"/>
    <w:rsid w:val="006F5382"/>
    <w:rsid w:val="007010B1"/>
    <w:rsid w:val="00707ABD"/>
    <w:rsid w:val="00707C52"/>
    <w:rsid w:val="00710092"/>
    <w:rsid w:val="00711F6A"/>
    <w:rsid w:val="00712255"/>
    <w:rsid w:val="00713862"/>
    <w:rsid w:val="0071415E"/>
    <w:rsid w:val="00721CD3"/>
    <w:rsid w:val="00732C48"/>
    <w:rsid w:val="00733036"/>
    <w:rsid w:val="00733EF9"/>
    <w:rsid w:val="00736F02"/>
    <w:rsid w:val="00740006"/>
    <w:rsid w:val="007434E2"/>
    <w:rsid w:val="007437B2"/>
    <w:rsid w:val="007475A3"/>
    <w:rsid w:val="0075333E"/>
    <w:rsid w:val="00756831"/>
    <w:rsid w:val="00771500"/>
    <w:rsid w:val="00777C62"/>
    <w:rsid w:val="00780811"/>
    <w:rsid w:val="00792C11"/>
    <w:rsid w:val="00797E48"/>
    <w:rsid w:val="007A22AD"/>
    <w:rsid w:val="007A5D55"/>
    <w:rsid w:val="007A6B9B"/>
    <w:rsid w:val="007B0778"/>
    <w:rsid w:val="007B3F39"/>
    <w:rsid w:val="007B7313"/>
    <w:rsid w:val="007C00C5"/>
    <w:rsid w:val="007C3EB4"/>
    <w:rsid w:val="007C641A"/>
    <w:rsid w:val="007D3CFB"/>
    <w:rsid w:val="007D497B"/>
    <w:rsid w:val="007D4F46"/>
    <w:rsid w:val="007D7549"/>
    <w:rsid w:val="007E0F1A"/>
    <w:rsid w:val="007E66B0"/>
    <w:rsid w:val="007E7F77"/>
    <w:rsid w:val="007F0BB5"/>
    <w:rsid w:val="007F1BCA"/>
    <w:rsid w:val="007F42BD"/>
    <w:rsid w:val="007F4378"/>
    <w:rsid w:val="00806C98"/>
    <w:rsid w:val="0080783F"/>
    <w:rsid w:val="00817F6B"/>
    <w:rsid w:val="008202DF"/>
    <w:rsid w:val="008209BB"/>
    <w:rsid w:val="0083390A"/>
    <w:rsid w:val="008346C0"/>
    <w:rsid w:val="00836CED"/>
    <w:rsid w:val="00844D7F"/>
    <w:rsid w:val="008512A1"/>
    <w:rsid w:val="008512A8"/>
    <w:rsid w:val="00851342"/>
    <w:rsid w:val="008544CF"/>
    <w:rsid w:val="008645B3"/>
    <w:rsid w:val="00864AC4"/>
    <w:rsid w:val="00865562"/>
    <w:rsid w:val="00870519"/>
    <w:rsid w:val="00870DBC"/>
    <w:rsid w:val="00871A10"/>
    <w:rsid w:val="00871E93"/>
    <w:rsid w:val="00873B63"/>
    <w:rsid w:val="00884612"/>
    <w:rsid w:val="00884D08"/>
    <w:rsid w:val="008941D3"/>
    <w:rsid w:val="00895EB3"/>
    <w:rsid w:val="00896C0C"/>
    <w:rsid w:val="008A1262"/>
    <w:rsid w:val="008A1C93"/>
    <w:rsid w:val="008A489F"/>
    <w:rsid w:val="008A49C2"/>
    <w:rsid w:val="008A525C"/>
    <w:rsid w:val="008A7657"/>
    <w:rsid w:val="008B2E05"/>
    <w:rsid w:val="008B4405"/>
    <w:rsid w:val="008B4AA6"/>
    <w:rsid w:val="008C1BFC"/>
    <w:rsid w:val="008C3E4D"/>
    <w:rsid w:val="008D2BD1"/>
    <w:rsid w:val="008D62BD"/>
    <w:rsid w:val="008E17D3"/>
    <w:rsid w:val="008E2D19"/>
    <w:rsid w:val="008F19D1"/>
    <w:rsid w:val="008F35B1"/>
    <w:rsid w:val="008F5CE0"/>
    <w:rsid w:val="00911F94"/>
    <w:rsid w:val="009128AE"/>
    <w:rsid w:val="00916BC7"/>
    <w:rsid w:val="00923144"/>
    <w:rsid w:val="00937280"/>
    <w:rsid w:val="00937966"/>
    <w:rsid w:val="00937D60"/>
    <w:rsid w:val="00940239"/>
    <w:rsid w:val="00941241"/>
    <w:rsid w:val="00941AFB"/>
    <w:rsid w:val="00943E66"/>
    <w:rsid w:val="009457F8"/>
    <w:rsid w:val="00946579"/>
    <w:rsid w:val="00946B11"/>
    <w:rsid w:val="00947BDD"/>
    <w:rsid w:val="00953A35"/>
    <w:rsid w:val="00957570"/>
    <w:rsid w:val="009633ED"/>
    <w:rsid w:val="00970356"/>
    <w:rsid w:val="00971161"/>
    <w:rsid w:val="009733F9"/>
    <w:rsid w:val="00973C1C"/>
    <w:rsid w:val="00973F52"/>
    <w:rsid w:val="00976400"/>
    <w:rsid w:val="009801B6"/>
    <w:rsid w:val="00983EE3"/>
    <w:rsid w:val="00986B1F"/>
    <w:rsid w:val="00991929"/>
    <w:rsid w:val="009A3092"/>
    <w:rsid w:val="009A530B"/>
    <w:rsid w:val="009B165E"/>
    <w:rsid w:val="009B2306"/>
    <w:rsid w:val="009B2F75"/>
    <w:rsid w:val="009B3068"/>
    <w:rsid w:val="009B4CEA"/>
    <w:rsid w:val="009B5A9B"/>
    <w:rsid w:val="009B7839"/>
    <w:rsid w:val="009C13D7"/>
    <w:rsid w:val="009C2417"/>
    <w:rsid w:val="009C2DAE"/>
    <w:rsid w:val="009C361B"/>
    <w:rsid w:val="009C3BF1"/>
    <w:rsid w:val="009D247B"/>
    <w:rsid w:val="009D4391"/>
    <w:rsid w:val="009E3ED1"/>
    <w:rsid w:val="009E4EB1"/>
    <w:rsid w:val="009E5DD6"/>
    <w:rsid w:val="009F6991"/>
    <w:rsid w:val="009F7126"/>
    <w:rsid w:val="009F7E6A"/>
    <w:rsid w:val="00A016E0"/>
    <w:rsid w:val="00A06050"/>
    <w:rsid w:val="00A0787A"/>
    <w:rsid w:val="00A154F1"/>
    <w:rsid w:val="00A15AD7"/>
    <w:rsid w:val="00A16B6A"/>
    <w:rsid w:val="00A17832"/>
    <w:rsid w:val="00A206C3"/>
    <w:rsid w:val="00A231B9"/>
    <w:rsid w:val="00A25F62"/>
    <w:rsid w:val="00A27BDB"/>
    <w:rsid w:val="00A3016D"/>
    <w:rsid w:val="00A33C89"/>
    <w:rsid w:val="00A34F21"/>
    <w:rsid w:val="00A4422F"/>
    <w:rsid w:val="00A52F31"/>
    <w:rsid w:val="00A57A93"/>
    <w:rsid w:val="00A62DF6"/>
    <w:rsid w:val="00A63774"/>
    <w:rsid w:val="00A7265B"/>
    <w:rsid w:val="00A7629B"/>
    <w:rsid w:val="00A827CC"/>
    <w:rsid w:val="00A82D7D"/>
    <w:rsid w:val="00A8481A"/>
    <w:rsid w:val="00A84B05"/>
    <w:rsid w:val="00A90864"/>
    <w:rsid w:val="00A919E3"/>
    <w:rsid w:val="00AA1582"/>
    <w:rsid w:val="00AA3CD5"/>
    <w:rsid w:val="00AA5EB1"/>
    <w:rsid w:val="00AB22E8"/>
    <w:rsid w:val="00AB3E28"/>
    <w:rsid w:val="00AC00D2"/>
    <w:rsid w:val="00AC0208"/>
    <w:rsid w:val="00AC037F"/>
    <w:rsid w:val="00AC127A"/>
    <w:rsid w:val="00AC633A"/>
    <w:rsid w:val="00AC7D51"/>
    <w:rsid w:val="00AC7FD4"/>
    <w:rsid w:val="00AD12A6"/>
    <w:rsid w:val="00AD66A0"/>
    <w:rsid w:val="00AD7056"/>
    <w:rsid w:val="00AE06CA"/>
    <w:rsid w:val="00AE3A46"/>
    <w:rsid w:val="00AE5C3F"/>
    <w:rsid w:val="00AE76DB"/>
    <w:rsid w:val="00AF5FA4"/>
    <w:rsid w:val="00B103A7"/>
    <w:rsid w:val="00B114E5"/>
    <w:rsid w:val="00B11A38"/>
    <w:rsid w:val="00B17B99"/>
    <w:rsid w:val="00B34BB2"/>
    <w:rsid w:val="00B35FEC"/>
    <w:rsid w:val="00B36B0F"/>
    <w:rsid w:val="00B378ED"/>
    <w:rsid w:val="00B41561"/>
    <w:rsid w:val="00B50E25"/>
    <w:rsid w:val="00B51C04"/>
    <w:rsid w:val="00B55FBF"/>
    <w:rsid w:val="00B62E88"/>
    <w:rsid w:val="00B71FA9"/>
    <w:rsid w:val="00B7220E"/>
    <w:rsid w:val="00B72CC7"/>
    <w:rsid w:val="00B74D05"/>
    <w:rsid w:val="00B751CF"/>
    <w:rsid w:val="00B756DF"/>
    <w:rsid w:val="00B91097"/>
    <w:rsid w:val="00B93B0F"/>
    <w:rsid w:val="00B953A2"/>
    <w:rsid w:val="00B96E81"/>
    <w:rsid w:val="00B97078"/>
    <w:rsid w:val="00BA1EEC"/>
    <w:rsid w:val="00BA2215"/>
    <w:rsid w:val="00BA2D49"/>
    <w:rsid w:val="00BA5841"/>
    <w:rsid w:val="00BB0580"/>
    <w:rsid w:val="00BB1339"/>
    <w:rsid w:val="00BB1DC2"/>
    <w:rsid w:val="00BB25ED"/>
    <w:rsid w:val="00BB6908"/>
    <w:rsid w:val="00BC3B21"/>
    <w:rsid w:val="00BC4B95"/>
    <w:rsid w:val="00BD06A1"/>
    <w:rsid w:val="00BD3BA7"/>
    <w:rsid w:val="00BD4016"/>
    <w:rsid w:val="00BD7626"/>
    <w:rsid w:val="00BE1C0E"/>
    <w:rsid w:val="00BE22BB"/>
    <w:rsid w:val="00BE3CFF"/>
    <w:rsid w:val="00BF347B"/>
    <w:rsid w:val="00BF4770"/>
    <w:rsid w:val="00BF793B"/>
    <w:rsid w:val="00C01EEF"/>
    <w:rsid w:val="00C030CE"/>
    <w:rsid w:val="00C074C8"/>
    <w:rsid w:val="00C12976"/>
    <w:rsid w:val="00C13010"/>
    <w:rsid w:val="00C13C4E"/>
    <w:rsid w:val="00C1475C"/>
    <w:rsid w:val="00C21438"/>
    <w:rsid w:val="00C23F04"/>
    <w:rsid w:val="00C2404F"/>
    <w:rsid w:val="00C25680"/>
    <w:rsid w:val="00C26487"/>
    <w:rsid w:val="00C27455"/>
    <w:rsid w:val="00C30478"/>
    <w:rsid w:val="00C325A1"/>
    <w:rsid w:val="00C32783"/>
    <w:rsid w:val="00C331F4"/>
    <w:rsid w:val="00C33D62"/>
    <w:rsid w:val="00C34824"/>
    <w:rsid w:val="00C35D7C"/>
    <w:rsid w:val="00C405AB"/>
    <w:rsid w:val="00C44781"/>
    <w:rsid w:val="00C47B5B"/>
    <w:rsid w:val="00C56282"/>
    <w:rsid w:val="00C6021A"/>
    <w:rsid w:val="00C635D3"/>
    <w:rsid w:val="00C677EC"/>
    <w:rsid w:val="00C7216D"/>
    <w:rsid w:val="00C73B07"/>
    <w:rsid w:val="00C77A29"/>
    <w:rsid w:val="00C81BD4"/>
    <w:rsid w:val="00C82725"/>
    <w:rsid w:val="00C83332"/>
    <w:rsid w:val="00C84D3B"/>
    <w:rsid w:val="00C860CD"/>
    <w:rsid w:val="00C8799E"/>
    <w:rsid w:val="00C91379"/>
    <w:rsid w:val="00C921DB"/>
    <w:rsid w:val="00C94A24"/>
    <w:rsid w:val="00C96139"/>
    <w:rsid w:val="00CA0F5D"/>
    <w:rsid w:val="00CA5B29"/>
    <w:rsid w:val="00CA64FC"/>
    <w:rsid w:val="00CB1998"/>
    <w:rsid w:val="00CB47E4"/>
    <w:rsid w:val="00CB48D4"/>
    <w:rsid w:val="00CC139D"/>
    <w:rsid w:val="00CC62B8"/>
    <w:rsid w:val="00CC798C"/>
    <w:rsid w:val="00CD46D1"/>
    <w:rsid w:val="00CD46F5"/>
    <w:rsid w:val="00CD7500"/>
    <w:rsid w:val="00CD7A0E"/>
    <w:rsid w:val="00CD7A31"/>
    <w:rsid w:val="00CE0E53"/>
    <w:rsid w:val="00CE2E63"/>
    <w:rsid w:val="00CE5747"/>
    <w:rsid w:val="00CE6139"/>
    <w:rsid w:val="00CE7912"/>
    <w:rsid w:val="00CF243E"/>
    <w:rsid w:val="00CF24AF"/>
    <w:rsid w:val="00CF4B17"/>
    <w:rsid w:val="00CF6D63"/>
    <w:rsid w:val="00D01A20"/>
    <w:rsid w:val="00D0215C"/>
    <w:rsid w:val="00D030CF"/>
    <w:rsid w:val="00D07B4E"/>
    <w:rsid w:val="00D1266D"/>
    <w:rsid w:val="00D16E7D"/>
    <w:rsid w:val="00D21C5D"/>
    <w:rsid w:val="00D24C14"/>
    <w:rsid w:val="00D32C04"/>
    <w:rsid w:val="00D3760A"/>
    <w:rsid w:val="00D41639"/>
    <w:rsid w:val="00D443DD"/>
    <w:rsid w:val="00D446A9"/>
    <w:rsid w:val="00D447A5"/>
    <w:rsid w:val="00D450D4"/>
    <w:rsid w:val="00D45303"/>
    <w:rsid w:val="00D47E9D"/>
    <w:rsid w:val="00D53174"/>
    <w:rsid w:val="00D53217"/>
    <w:rsid w:val="00D54906"/>
    <w:rsid w:val="00D60286"/>
    <w:rsid w:val="00D60706"/>
    <w:rsid w:val="00D60A53"/>
    <w:rsid w:val="00D627BE"/>
    <w:rsid w:val="00D65547"/>
    <w:rsid w:val="00D73DA5"/>
    <w:rsid w:val="00D76469"/>
    <w:rsid w:val="00D80838"/>
    <w:rsid w:val="00D823EB"/>
    <w:rsid w:val="00D8264E"/>
    <w:rsid w:val="00D9088A"/>
    <w:rsid w:val="00D93E29"/>
    <w:rsid w:val="00DA6296"/>
    <w:rsid w:val="00DB3744"/>
    <w:rsid w:val="00DB42BB"/>
    <w:rsid w:val="00DB7A4F"/>
    <w:rsid w:val="00DC1A5D"/>
    <w:rsid w:val="00DC2059"/>
    <w:rsid w:val="00DC3D92"/>
    <w:rsid w:val="00DC524D"/>
    <w:rsid w:val="00DC6417"/>
    <w:rsid w:val="00DC7550"/>
    <w:rsid w:val="00DD6BF2"/>
    <w:rsid w:val="00DE1055"/>
    <w:rsid w:val="00DE1368"/>
    <w:rsid w:val="00DE4443"/>
    <w:rsid w:val="00DE506A"/>
    <w:rsid w:val="00DE6B82"/>
    <w:rsid w:val="00DE771E"/>
    <w:rsid w:val="00DF0F79"/>
    <w:rsid w:val="00DF36E1"/>
    <w:rsid w:val="00E047EE"/>
    <w:rsid w:val="00E057F5"/>
    <w:rsid w:val="00E13073"/>
    <w:rsid w:val="00E16A0C"/>
    <w:rsid w:val="00E16C54"/>
    <w:rsid w:val="00E22604"/>
    <w:rsid w:val="00E22976"/>
    <w:rsid w:val="00E25A20"/>
    <w:rsid w:val="00E27D41"/>
    <w:rsid w:val="00E312DE"/>
    <w:rsid w:val="00E31A10"/>
    <w:rsid w:val="00E32650"/>
    <w:rsid w:val="00E360AF"/>
    <w:rsid w:val="00E36C71"/>
    <w:rsid w:val="00E37088"/>
    <w:rsid w:val="00E41B1C"/>
    <w:rsid w:val="00E44DE7"/>
    <w:rsid w:val="00E454BE"/>
    <w:rsid w:val="00E52E3C"/>
    <w:rsid w:val="00E60004"/>
    <w:rsid w:val="00E60292"/>
    <w:rsid w:val="00E657E8"/>
    <w:rsid w:val="00E6624B"/>
    <w:rsid w:val="00E668FE"/>
    <w:rsid w:val="00E70E1F"/>
    <w:rsid w:val="00E71EB0"/>
    <w:rsid w:val="00E72F08"/>
    <w:rsid w:val="00E759C4"/>
    <w:rsid w:val="00E75EE7"/>
    <w:rsid w:val="00E7662C"/>
    <w:rsid w:val="00E83223"/>
    <w:rsid w:val="00E85865"/>
    <w:rsid w:val="00E861B7"/>
    <w:rsid w:val="00E86A85"/>
    <w:rsid w:val="00E87050"/>
    <w:rsid w:val="00E90B6F"/>
    <w:rsid w:val="00EA031B"/>
    <w:rsid w:val="00EA1752"/>
    <w:rsid w:val="00EA2B8F"/>
    <w:rsid w:val="00EA3B84"/>
    <w:rsid w:val="00EA4013"/>
    <w:rsid w:val="00EA53F3"/>
    <w:rsid w:val="00EB6276"/>
    <w:rsid w:val="00EB62AC"/>
    <w:rsid w:val="00EC5339"/>
    <w:rsid w:val="00ED0CCD"/>
    <w:rsid w:val="00ED3811"/>
    <w:rsid w:val="00ED6681"/>
    <w:rsid w:val="00EE0DC6"/>
    <w:rsid w:val="00EE12CF"/>
    <w:rsid w:val="00EE471C"/>
    <w:rsid w:val="00EE4C4C"/>
    <w:rsid w:val="00EE5386"/>
    <w:rsid w:val="00EF1599"/>
    <w:rsid w:val="00EF50FF"/>
    <w:rsid w:val="00EF593D"/>
    <w:rsid w:val="00EF5CDB"/>
    <w:rsid w:val="00F0576D"/>
    <w:rsid w:val="00F0627F"/>
    <w:rsid w:val="00F143A4"/>
    <w:rsid w:val="00F14B5F"/>
    <w:rsid w:val="00F25155"/>
    <w:rsid w:val="00F25A72"/>
    <w:rsid w:val="00F27036"/>
    <w:rsid w:val="00F27A5F"/>
    <w:rsid w:val="00F30028"/>
    <w:rsid w:val="00F30A90"/>
    <w:rsid w:val="00F3248E"/>
    <w:rsid w:val="00F33C7C"/>
    <w:rsid w:val="00F345AF"/>
    <w:rsid w:val="00F364EB"/>
    <w:rsid w:val="00F373C1"/>
    <w:rsid w:val="00F412F7"/>
    <w:rsid w:val="00F44274"/>
    <w:rsid w:val="00F44874"/>
    <w:rsid w:val="00F5106A"/>
    <w:rsid w:val="00F51C28"/>
    <w:rsid w:val="00F52790"/>
    <w:rsid w:val="00F53A01"/>
    <w:rsid w:val="00F53DFC"/>
    <w:rsid w:val="00F57AC1"/>
    <w:rsid w:val="00F57C2C"/>
    <w:rsid w:val="00F60134"/>
    <w:rsid w:val="00F60F4B"/>
    <w:rsid w:val="00F62480"/>
    <w:rsid w:val="00F636F8"/>
    <w:rsid w:val="00F65A71"/>
    <w:rsid w:val="00F66718"/>
    <w:rsid w:val="00F67800"/>
    <w:rsid w:val="00F678D6"/>
    <w:rsid w:val="00F71494"/>
    <w:rsid w:val="00F717C7"/>
    <w:rsid w:val="00F73FB9"/>
    <w:rsid w:val="00F8057F"/>
    <w:rsid w:val="00F80927"/>
    <w:rsid w:val="00F82F4D"/>
    <w:rsid w:val="00F90FC5"/>
    <w:rsid w:val="00F9256B"/>
    <w:rsid w:val="00F926BA"/>
    <w:rsid w:val="00F93E19"/>
    <w:rsid w:val="00F97893"/>
    <w:rsid w:val="00FA08DF"/>
    <w:rsid w:val="00FA1391"/>
    <w:rsid w:val="00FB4965"/>
    <w:rsid w:val="00FB6E2D"/>
    <w:rsid w:val="00FC33E3"/>
    <w:rsid w:val="00FC5949"/>
    <w:rsid w:val="00FC5CA1"/>
    <w:rsid w:val="00FC651A"/>
    <w:rsid w:val="00FC78F8"/>
    <w:rsid w:val="00FD12BD"/>
    <w:rsid w:val="00FD13C5"/>
    <w:rsid w:val="00FD7D2A"/>
    <w:rsid w:val="00FE3FFA"/>
    <w:rsid w:val="00FE49AD"/>
    <w:rsid w:val="00FF0206"/>
    <w:rsid w:val="00FF0EF5"/>
    <w:rsid w:val="00FF471A"/>
    <w:rsid w:val="00FF476D"/>
    <w:rsid w:val="00FF6D9F"/>
    <w:rsid w:val="00FF738A"/>
    <w:rsid w:val="00FF7B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1D27C-B849-4C88-B76E-2927B6C6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95"/>
    <w:pPr>
      <w:spacing w:before="60" w:after="6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A919E3"/>
    <w:pPr>
      <w:numPr>
        <w:numId w:val="2"/>
      </w:numPr>
      <w:contextualSpacing/>
    </w:pPr>
    <w:rPr>
      <w:color w:val="00B050"/>
    </w:rPr>
  </w:style>
  <w:style w:type="paragraph" w:styleId="ListBullet">
    <w:name w:val="List Bullet"/>
    <w:basedOn w:val="Normal"/>
    <w:uiPriority w:val="99"/>
    <w:rsid w:val="00A919E3"/>
    <w:pPr>
      <w:numPr>
        <w:numId w:val="4"/>
      </w:numPr>
      <w:contextualSpacing/>
    </w:pPr>
    <w:rPr>
      <w:color w:val="FF0000"/>
    </w:rPr>
  </w:style>
  <w:style w:type="paragraph" w:customStyle="1" w:styleId="numberlist">
    <w:name w:val="number_list"/>
    <w:basedOn w:val="Normal"/>
    <w:rsid w:val="00407795"/>
    <w:pPr>
      <w:spacing w:before="0" w:after="120"/>
    </w:pPr>
  </w:style>
  <w:style w:type="paragraph" w:styleId="Title">
    <w:name w:val="Title"/>
    <w:basedOn w:val="Normal"/>
    <w:link w:val="TitleChar"/>
    <w:qFormat/>
    <w:rsid w:val="00407795"/>
    <w:pPr>
      <w:keepNext/>
    </w:pPr>
    <w:rPr>
      <w:rFonts w:cs="Arial"/>
      <w:b/>
      <w:bCs/>
      <w:sz w:val="28"/>
      <w:szCs w:val="32"/>
    </w:rPr>
  </w:style>
  <w:style w:type="character" w:customStyle="1" w:styleId="TitleChar">
    <w:name w:val="Title Char"/>
    <w:basedOn w:val="DefaultParagraphFont"/>
    <w:link w:val="Title"/>
    <w:rsid w:val="00407795"/>
    <w:rPr>
      <w:rFonts w:ascii="Times New Roman" w:eastAsia="Times New Roman" w:hAnsi="Times New Roman" w:cs="Arial"/>
      <w:b/>
      <w:bCs/>
      <w:sz w:val="28"/>
      <w:szCs w:val="32"/>
    </w:rPr>
  </w:style>
  <w:style w:type="paragraph" w:styleId="BodyText">
    <w:name w:val="Body Text"/>
    <w:basedOn w:val="Normal"/>
    <w:link w:val="BodyTextChar"/>
    <w:rsid w:val="00407795"/>
    <w:pPr>
      <w:jc w:val="center"/>
    </w:pPr>
    <w:rPr>
      <w:b/>
    </w:rPr>
  </w:style>
  <w:style w:type="character" w:customStyle="1" w:styleId="BodyTextChar">
    <w:name w:val="Body Text Char"/>
    <w:basedOn w:val="DefaultParagraphFont"/>
    <w:link w:val="BodyText"/>
    <w:rsid w:val="00407795"/>
    <w:rPr>
      <w:rFonts w:ascii="Times New Roman" w:eastAsia="Times New Roman" w:hAnsi="Times New Roman" w:cs="Times New Roman"/>
      <w:b/>
      <w:sz w:val="24"/>
      <w:szCs w:val="20"/>
    </w:rPr>
  </w:style>
  <w:style w:type="paragraph" w:customStyle="1" w:styleId="Letter2Text">
    <w:name w:val="Letter 2 Text"/>
    <w:basedOn w:val="Normal"/>
    <w:rsid w:val="00407795"/>
    <w:pPr>
      <w:spacing w:before="0" w:after="0"/>
    </w:pPr>
  </w:style>
  <w:style w:type="paragraph" w:styleId="ListParagraph">
    <w:name w:val="List Paragraph"/>
    <w:basedOn w:val="Normal"/>
    <w:uiPriority w:val="34"/>
    <w:rsid w:val="00E759C4"/>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0A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548CD"/>
    <w:rPr>
      <w:sz w:val="16"/>
      <w:szCs w:val="16"/>
    </w:rPr>
  </w:style>
  <w:style w:type="paragraph" w:styleId="CommentText">
    <w:name w:val="annotation text"/>
    <w:basedOn w:val="Normal"/>
    <w:link w:val="CommentTextChar"/>
    <w:uiPriority w:val="99"/>
    <w:unhideWhenUsed/>
    <w:rsid w:val="001548CD"/>
    <w:rPr>
      <w:sz w:val="20"/>
    </w:rPr>
  </w:style>
  <w:style w:type="character" w:customStyle="1" w:styleId="CommentTextChar">
    <w:name w:val="Comment Text Char"/>
    <w:basedOn w:val="DefaultParagraphFont"/>
    <w:link w:val="CommentText"/>
    <w:uiPriority w:val="99"/>
    <w:rsid w:val="001548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48CD"/>
    <w:rPr>
      <w:b/>
      <w:bCs/>
    </w:rPr>
  </w:style>
  <w:style w:type="character" w:customStyle="1" w:styleId="CommentSubjectChar">
    <w:name w:val="Comment Subject Char"/>
    <w:basedOn w:val="CommentTextChar"/>
    <w:link w:val="CommentSubject"/>
    <w:uiPriority w:val="99"/>
    <w:semiHidden/>
    <w:rsid w:val="001548CD"/>
    <w:rPr>
      <w:rFonts w:ascii="Arial" w:eastAsia="Times New Roman" w:hAnsi="Arial" w:cs="Times New Roman"/>
      <w:b/>
      <w:bCs/>
      <w:sz w:val="20"/>
      <w:szCs w:val="20"/>
    </w:rPr>
  </w:style>
  <w:style w:type="paragraph" w:customStyle="1" w:styleId="SubSectionText">
    <w:name w:val="SubSection_Text"/>
    <w:basedOn w:val="Normal"/>
    <w:rsid w:val="00107528"/>
    <w:pPr>
      <w:tabs>
        <w:tab w:val="num" w:pos="1417"/>
      </w:tabs>
      <w:spacing w:after="140"/>
      <w:ind w:left="1417" w:hanging="567"/>
    </w:pPr>
    <w:rPr>
      <w:rFonts w:cs="Arial"/>
      <w:bCs/>
      <w:sz w:val="22"/>
      <w:szCs w:val="26"/>
      <w:lang w:eastAsia="en-AU"/>
    </w:rPr>
  </w:style>
  <w:style w:type="character" w:customStyle="1" w:styleId="ParagraphChar">
    <w:name w:val="# Paragraph Char"/>
    <w:basedOn w:val="DefaultParagraphFont"/>
    <w:link w:val="Paragraph"/>
    <w:locked/>
    <w:rsid w:val="006F3BFD"/>
  </w:style>
  <w:style w:type="paragraph" w:customStyle="1" w:styleId="Paragraph">
    <w:name w:val="# Paragraph"/>
    <w:basedOn w:val="Normal"/>
    <w:link w:val="ParagraphChar"/>
    <w:qFormat/>
    <w:rsid w:val="006F3BFD"/>
    <w:pPr>
      <w:spacing w:before="0" w:after="200" w:line="276" w:lineRule="auto"/>
    </w:pPr>
    <w:rPr>
      <w:rFonts w:asciiTheme="minorHAnsi" w:eastAsiaTheme="minorHAnsi" w:hAnsiTheme="minorHAnsi" w:cstheme="minorBidi"/>
      <w:sz w:val="22"/>
      <w:szCs w:val="22"/>
    </w:rPr>
  </w:style>
  <w:style w:type="paragraph" w:customStyle="1" w:styleId="Default">
    <w:name w:val="Default"/>
    <w:rsid w:val="002A1C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4422F"/>
    <w:rPr>
      <w:color w:val="0000FF" w:themeColor="hyperlink"/>
      <w:u w:val="single"/>
    </w:rPr>
  </w:style>
  <w:style w:type="character" w:styleId="FollowedHyperlink">
    <w:name w:val="FollowedHyperlink"/>
    <w:basedOn w:val="DefaultParagraphFont"/>
    <w:uiPriority w:val="99"/>
    <w:semiHidden/>
    <w:unhideWhenUsed/>
    <w:rsid w:val="004E5992"/>
    <w:rPr>
      <w:color w:val="800080" w:themeColor="followedHyperlink"/>
      <w:u w:val="single"/>
    </w:rPr>
  </w:style>
  <w:style w:type="paragraph" w:customStyle="1" w:styleId="subsection">
    <w:name w:val="subsection"/>
    <w:aliases w:val="ss"/>
    <w:basedOn w:val="Normal"/>
    <w:link w:val="subsectionChar"/>
    <w:rsid w:val="00FE49AD"/>
    <w:pPr>
      <w:tabs>
        <w:tab w:val="right" w:pos="1021"/>
      </w:tabs>
      <w:spacing w:before="180" w:after="0"/>
      <w:ind w:left="1134" w:hanging="1134"/>
    </w:pPr>
    <w:rPr>
      <w:rFonts w:ascii="Times New Roman" w:hAnsi="Times New Roman"/>
      <w:sz w:val="22"/>
      <w:lang w:eastAsia="en-AU"/>
    </w:rPr>
  </w:style>
  <w:style w:type="character" w:customStyle="1" w:styleId="subsectionChar">
    <w:name w:val="subsection Char"/>
    <w:aliases w:val="ss Char"/>
    <w:basedOn w:val="DefaultParagraphFont"/>
    <w:link w:val="subsection"/>
    <w:locked/>
    <w:rsid w:val="00FE49AD"/>
    <w:rPr>
      <w:rFonts w:ascii="Times New Roman" w:eastAsia="Times New Roman" w:hAnsi="Times New Roman" w:cs="Times New Roman"/>
      <w:szCs w:val="20"/>
      <w:lang w:eastAsia="en-AU"/>
    </w:rPr>
  </w:style>
  <w:style w:type="paragraph" w:customStyle="1" w:styleId="ShortT">
    <w:name w:val="ShortT"/>
    <w:basedOn w:val="Normal"/>
    <w:next w:val="Normal"/>
    <w:qFormat/>
    <w:rsid w:val="00D60286"/>
    <w:pPr>
      <w:spacing w:before="0" w:after="0"/>
    </w:pPr>
    <w:rPr>
      <w:rFonts w:ascii="Times New Roman" w:hAnsi="Times New Roman"/>
      <w:b/>
      <w:sz w:val="40"/>
      <w:lang w:eastAsia="en-AU"/>
    </w:rPr>
  </w:style>
  <w:style w:type="paragraph" w:styleId="Revision">
    <w:name w:val="Revision"/>
    <w:hidden/>
    <w:uiPriority w:val="99"/>
    <w:semiHidden/>
    <w:rsid w:val="00096EC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60000">
      <w:bodyDiv w:val="1"/>
      <w:marLeft w:val="0"/>
      <w:marRight w:val="0"/>
      <w:marTop w:val="0"/>
      <w:marBottom w:val="0"/>
      <w:divBdr>
        <w:top w:val="none" w:sz="0" w:space="0" w:color="auto"/>
        <w:left w:val="none" w:sz="0" w:space="0" w:color="auto"/>
        <w:bottom w:val="none" w:sz="0" w:space="0" w:color="auto"/>
        <w:right w:val="none" w:sz="0" w:space="0" w:color="auto"/>
      </w:divBdr>
    </w:div>
    <w:div w:id="1433353359">
      <w:bodyDiv w:val="1"/>
      <w:marLeft w:val="0"/>
      <w:marRight w:val="0"/>
      <w:marTop w:val="0"/>
      <w:marBottom w:val="0"/>
      <w:divBdr>
        <w:top w:val="none" w:sz="0" w:space="0" w:color="auto"/>
        <w:left w:val="none" w:sz="0" w:space="0" w:color="auto"/>
        <w:bottom w:val="none" w:sz="0" w:space="0" w:color="auto"/>
        <w:right w:val="none" w:sz="0" w:space="0" w:color="auto"/>
      </w:divBdr>
      <w:divsChild>
        <w:div w:id="204224425">
          <w:marLeft w:val="0"/>
          <w:marRight w:val="0"/>
          <w:marTop w:val="0"/>
          <w:marBottom w:val="0"/>
          <w:divBdr>
            <w:top w:val="none" w:sz="0" w:space="0" w:color="auto"/>
            <w:left w:val="none" w:sz="0" w:space="0" w:color="auto"/>
            <w:bottom w:val="none" w:sz="0" w:space="0" w:color="auto"/>
            <w:right w:val="none" w:sz="0" w:space="0" w:color="auto"/>
          </w:divBdr>
          <w:divsChild>
            <w:div w:id="706880171">
              <w:marLeft w:val="0"/>
              <w:marRight w:val="0"/>
              <w:marTop w:val="0"/>
              <w:marBottom w:val="0"/>
              <w:divBdr>
                <w:top w:val="none" w:sz="0" w:space="0" w:color="auto"/>
                <w:left w:val="none" w:sz="0" w:space="0" w:color="auto"/>
                <w:bottom w:val="none" w:sz="0" w:space="0" w:color="auto"/>
                <w:right w:val="none" w:sz="0" w:space="0" w:color="auto"/>
              </w:divBdr>
              <w:divsChild>
                <w:div w:id="521477994">
                  <w:marLeft w:val="0"/>
                  <w:marRight w:val="0"/>
                  <w:marTop w:val="0"/>
                  <w:marBottom w:val="0"/>
                  <w:divBdr>
                    <w:top w:val="none" w:sz="0" w:space="0" w:color="auto"/>
                    <w:left w:val="none" w:sz="0" w:space="0" w:color="auto"/>
                    <w:bottom w:val="none" w:sz="0" w:space="0" w:color="auto"/>
                    <w:right w:val="none" w:sz="0" w:space="0" w:color="auto"/>
                  </w:divBdr>
                  <w:divsChild>
                    <w:div w:id="77294153">
                      <w:marLeft w:val="0"/>
                      <w:marRight w:val="0"/>
                      <w:marTop w:val="0"/>
                      <w:marBottom w:val="0"/>
                      <w:divBdr>
                        <w:top w:val="none" w:sz="0" w:space="0" w:color="auto"/>
                        <w:left w:val="none" w:sz="0" w:space="0" w:color="auto"/>
                        <w:bottom w:val="none" w:sz="0" w:space="0" w:color="auto"/>
                        <w:right w:val="none" w:sz="0" w:space="0" w:color="auto"/>
                      </w:divBdr>
                      <w:divsChild>
                        <w:div w:id="7021811">
                          <w:marLeft w:val="0"/>
                          <w:marRight w:val="0"/>
                          <w:marTop w:val="0"/>
                          <w:marBottom w:val="0"/>
                          <w:divBdr>
                            <w:top w:val="none" w:sz="0" w:space="0" w:color="auto"/>
                            <w:left w:val="none" w:sz="0" w:space="0" w:color="auto"/>
                            <w:bottom w:val="none" w:sz="0" w:space="0" w:color="auto"/>
                            <w:right w:val="none" w:sz="0" w:space="0" w:color="auto"/>
                          </w:divBdr>
                          <w:divsChild>
                            <w:div w:id="101726842">
                              <w:marLeft w:val="0"/>
                              <w:marRight w:val="0"/>
                              <w:marTop w:val="0"/>
                              <w:marBottom w:val="0"/>
                              <w:divBdr>
                                <w:top w:val="none" w:sz="0" w:space="0" w:color="auto"/>
                                <w:left w:val="none" w:sz="0" w:space="0" w:color="auto"/>
                                <w:bottom w:val="none" w:sz="0" w:space="0" w:color="auto"/>
                                <w:right w:val="none" w:sz="0" w:space="0" w:color="auto"/>
                              </w:divBdr>
                              <w:divsChild>
                                <w:div w:id="503251151">
                                  <w:marLeft w:val="0"/>
                                  <w:marRight w:val="0"/>
                                  <w:marTop w:val="0"/>
                                  <w:marBottom w:val="0"/>
                                  <w:divBdr>
                                    <w:top w:val="none" w:sz="0" w:space="0" w:color="auto"/>
                                    <w:left w:val="none" w:sz="0" w:space="0" w:color="auto"/>
                                    <w:bottom w:val="none" w:sz="0" w:space="0" w:color="auto"/>
                                    <w:right w:val="none" w:sz="0" w:space="0" w:color="auto"/>
                                  </w:divBdr>
                                  <w:divsChild>
                                    <w:div w:id="331878752">
                                      <w:marLeft w:val="0"/>
                                      <w:marRight w:val="0"/>
                                      <w:marTop w:val="0"/>
                                      <w:marBottom w:val="0"/>
                                      <w:divBdr>
                                        <w:top w:val="none" w:sz="0" w:space="0" w:color="auto"/>
                                        <w:left w:val="none" w:sz="0" w:space="0" w:color="auto"/>
                                        <w:bottom w:val="none" w:sz="0" w:space="0" w:color="auto"/>
                                        <w:right w:val="none" w:sz="0" w:space="0" w:color="auto"/>
                                      </w:divBdr>
                                      <w:divsChild>
                                        <w:div w:id="1242058271">
                                          <w:marLeft w:val="0"/>
                                          <w:marRight w:val="0"/>
                                          <w:marTop w:val="0"/>
                                          <w:marBottom w:val="0"/>
                                          <w:divBdr>
                                            <w:top w:val="none" w:sz="0" w:space="0" w:color="auto"/>
                                            <w:left w:val="none" w:sz="0" w:space="0" w:color="auto"/>
                                            <w:bottom w:val="none" w:sz="0" w:space="0" w:color="auto"/>
                                            <w:right w:val="none" w:sz="0" w:space="0" w:color="auto"/>
                                          </w:divBdr>
                                          <w:divsChild>
                                            <w:div w:id="1724870956">
                                              <w:marLeft w:val="0"/>
                                              <w:marRight w:val="0"/>
                                              <w:marTop w:val="0"/>
                                              <w:marBottom w:val="0"/>
                                              <w:divBdr>
                                                <w:top w:val="none" w:sz="0" w:space="0" w:color="auto"/>
                                                <w:left w:val="none" w:sz="0" w:space="0" w:color="auto"/>
                                                <w:bottom w:val="none" w:sz="0" w:space="0" w:color="auto"/>
                                                <w:right w:val="none" w:sz="0" w:space="0" w:color="auto"/>
                                              </w:divBdr>
                                              <w:divsChild>
                                                <w:div w:id="1296714770">
                                                  <w:marLeft w:val="0"/>
                                                  <w:marRight w:val="0"/>
                                                  <w:marTop w:val="0"/>
                                                  <w:marBottom w:val="0"/>
                                                  <w:divBdr>
                                                    <w:top w:val="none" w:sz="0" w:space="0" w:color="auto"/>
                                                    <w:left w:val="none" w:sz="0" w:space="0" w:color="auto"/>
                                                    <w:bottom w:val="none" w:sz="0" w:space="0" w:color="auto"/>
                                                    <w:right w:val="none" w:sz="0" w:space="0" w:color="auto"/>
                                                  </w:divBdr>
                                                  <w:divsChild>
                                                    <w:div w:id="1990089746">
                                                      <w:marLeft w:val="0"/>
                                                      <w:marRight w:val="0"/>
                                                      <w:marTop w:val="0"/>
                                                      <w:marBottom w:val="0"/>
                                                      <w:divBdr>
                                                        <w:top w:val="none" w:sz="0" w:space="0" w:color="auto"/>
                                                        <w:left w:val="none" w:sz="0" w:space="0" w:color="auto"/>
                                                        <w:bottom w:val="none" w:sz="0" w:space="0" w:color="auto"/>
                                                        <w:right w:val="none" w:sz="0" w:space="0" w:color="auto"/>
                                                      </w:divBdr>
                                                      <w:divsChild>
                                                        <w:div w:id="4843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978576">
      <w:bodyDiv w:val="1"/>
      <w:marLeft w:val="0"/>
      <w:marRight w:val="0"/>
      <w:marTop w:val="0"/>
      <w:marBottom w:val="0"/>
      <w:divBdr>
        <w:top w:val="none" w:sz="0" w:space="0" w:color="auto"/>
        <w:left w:val="none" w:sz="0" w:space="0" w:color="auto"/>
        <w:bottom w:val="none" w:sz="0" w:space="0" w:color="auto"/>
        <w:right w:val="none" w:sz="0" w:space="0" w:color="auto"/>
      </w:divBdr>
      <w:divsChild>
        <w:div w:id="412967535">
          <w:marLeft w:val="0"/>
          <w:marRight w:val="0"/>
          <w:marTop w:val="0"/>
          <w:marBottom w:val="0"/>
          <w:divBdr>
            <w:top w:val="none" w:sz="0" w:space="0" w:color="auto"/>
            <w:left w:val="none" w:sz="0" w:space="0" w:color="auto"/>
            <w:bottom w:val="none" w:sz="0" w:space="0" w:color="auto"/>
            <w:right w:val="none" w:sz="0" w:space="0" w:color="auto"/>
          </w:divBdr>
          <w:divsChild>
            <w:div w:id="1261989603">
              <w:marLeft w:val="0"/>
              <w:marRight w:val="0"/>
              <w:marTop w:val="0"/>
              <w:marBottom w:val="0"/>
              <w:divBdr>
                <w:top w:val="none" w:sz="0" w:space="0" w:color="auto"/>
                <w:left w:val="none" w:sz="0" w:space="0" w:color="auto"/>
                <w:bottom w:val="none" w:sz="0" w:space="0" w:color="auto"/>
                <w:right w:val="none" w:sz="0" w:space="0" w:color="auto"/>
              </w:divBdr>
              <w:divsChild>
                <w:div w:id="17851598">
                  <w:marLeft w:val="0"/>
                  <w:marRight w:val="0"/>
                  <w:marTop w:val="0"/>
                  <w:marBottom w:val="0"/>
                  <w:divBdr>
                    <w:top w:val="none" w:sz="0" w:space="0" w:color="auto"/>
                    <w:left w:val="none" w:sz="0" w:space="0" w:color="auto"/>
                    <w:bottom w:val="none" w:sz="0" w:space="0" w:color="auto"/>
                    <w:right w:val="none" w:sz="0" w:space="0" w:color="auto"/>
                  </w:divBdr>
                  <w:divsChild>
                    <w:div w:id="1657757986">
                      <w:marLeft w:val="0"/>
                      <w:marRight w:val="0"/>
                      <w:marTop w:val="0"/>
                      <w:marBottom w:val="0"/>
                      <w:divBdr>
                        <w:top w:val="none" w:sz="0" w:space="0" w:color="auto"/>
                        <w:left w:val="none" w:sz="0" w:space="0" w:color="auto"/>
                        <w:bottom w:val="none" w:sz="0" w:space="0" w:color="auto"/>
                        <w:right w:val="none" w:sz="0" w:space="0" w:color="auto"/>
                      </w:divBdr>
                      <w:divsChild>
                        <w:div w:id="712776695">
                          <w:marLeft w:val="0"/>
                          <w:marRight w:val="0"/>
                          <w:marTop w:val="0"/>
                          <w:marBottom w:val="0"/>
                          <w:divBdr>
                            <w:top w:val="none" w:sz="0" w:space="0" w:color="auto"/>
                            <w:left w:val="none" w:sz="0" w:space="0" w:color="auto"/>
                            <w:bottom w:val="none" w:sz="0" w:space="0" w:color="auto"/>
                            <w:right w:val="none" w:sz="0" w:space="0" w:color="auto"/>
                          </w:divBdr>
                          <w:divsChild>
                            <w:div w:id="1107240397">
                              <w:marLeft w:val="0"/>
                              <w:marRight w:val="0"/>
                              <w:marTop w:val="0"/>
                              <w:marBottom w:val="0"/>
                              <w:divBdr>
                                <w:top w:val="none" w:sz="0" w:space="0" w:color="auto"/>
                                <w:left w:val="none" w:sz="0" w:space="0" w:color="auto"/>
                                <w:bottom w:val="none" w:sz="0" w:space="0" w:color="auto"/>
                                <w:right w:val="none" w:sz="0" w:space="0" w:color="auto"/>
                              </w:divBdr>
                              <w:divsChild>
                                <w:div w:id="763575652">
                                  <w:marLeft w:val="0"/>
                                  <w:marRight w:val="0"/>
                                  <w:marTop w:val="0"/>
                                  <w:marBottom w:val="0"/>
                                  <w:divBdr>
                                    <w:top w:val="none" w:sz="0" w:space="0" w:color="auto"/>
                                    <w:left w:val="none" w:sz="0" w:space="0" w:color="auto"/>
                                    <w:bottom w:val="none" w:sz="0" w:space="0" w:color="auto"/>
                                    <w:right w:val="none" w:sz="0" w:space="0" w:color="auto"/>
                                  </w:divBdr>
                                  <w:divsChild>
                                    <w:div w:id="2121341294">
                                      <w:marLeft w:val="0"/>
                                      <w:marRight w:val="0"/>
                                      <w:marTop w:val="0"/>
                                      <w:marBottom w:val="0"/>
                                      <w:divBdr>
                                        <w:top w:val="none" w:sz="0" w:space="0" w:color="auto"/>
                                        <w:left w:val="none" w:sz="0" w:space="0" w:color="auto"/>
                                        <w:bottom w:val="none" w:sz="0" w:space="0" w:color="auto"/>
                                        <w:right w:val="none" w:sz="0" w:space="0" w:color="auto"/>
                                      </w:divBdr>
                                      <w:divsChild>
                                        <w:div w:id="2118064903">
                                          <w:marLeft w:val="0"/>
                                          <w:marRight w:val="0"/>
                                          <w:marTop w:val="0"/>
                                          <w:marBottom w:val="0"/>
                                          <w:divBdr>
                                            <w:top w:val="none" w:sz="0" w:space="0" w:color="auto"/>
                                            <w:left w:val="none" w:sz="0" w:space="0" w:color="auto"/>
                                            <w:bottom w:val="none" w:sz="0" w:space="0" w:color="auto"/>
                                            <w:right w:val="none" w:sz="0" w:space="0" w:color="auto"/>
                                          </w:divBdr>
                                          <w:divsChild>
                                            <w:div w:id="248391696">
                                              <w:marLeft w:val="0"/>
                                              <w:marRight w:val="0"/>
                                              <w:marTop w:val="0"/>
                                              <w:marBottom w:val="0"/>
                                              <w:divBdr>
                                                <w:top w:val="none" w:sz="0" w:space="0" w:color="auto"/>
                                                <w:left w:val="none" w:sz="0" w:space="0" w:color="auto"/>
                                                <w:bottom w:val="none" w:sz="0" w:space="0" w:color="auto"/>
                                                <w:right w:val="none" w:sz="0" w:space="0" w:color="auto"/>
                                              </w:divBdr>
                                              <w:divsChild>
                                                <w:div w:id="779373660">
                                                  <w:marLeft w:val="0"/>
                                                  <w:marRight w:val="0"/>
                                                  <w:marTop w:val="0"/>
                                                  <w:marBottom w:val="0"/>
                                                  <w:divBdr>
                                                    <w:top w:val="none" w:sz="0" w:space="0" w:color="auto"/>
                                                    <w:left w:val="none" w:sz="0" w:space="0" w:color="auto"/>
                                                    <w:bottom w:val="none" w:sz="0" w:space="0" w:color="auto"/>
                                                    <w:right w:val="none" w:sz="0" w:space="0" w:color="auto"/>
                                                  </w:divBdr>
                                                  <w:divsChild>
                                                    <w:div w:id="1575891666">
                                                      <w:marLeft w:val="0"/>
                                                      <w:marRight w:val="0"/>
                                                      <w:marTop w:val="0"/>
                                                      <w:marBottom w:val="0"/>
                                                      <w:divBdr>
                                                        <w:top w:val="none" w:sz="0" w:space="0" w:color="auto"/>
                                                        <w:left w:val="none" w:sz="0" w:space="0" w:color="auto"/>
                                                        <w:bottom w:val="none" w:sz="0" w:space="0" w:color="auto"/>
                                                        <w:right w:val="none" w:sz="0" w:space="0" w:color="auto"/>
                                                      </w:divBdr>
                                                      <w:divsChild>
                                                        <w:div w:id="238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5B92E77-5AFA-4BC0-B97B-3102FB553A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608BB04B8588846AA579DF8773BC863" ma:contentTypeVersion="" ma:contentTypeDescription="PDMS Document Site Content Type" ma:contentTypeScope="" ma:versionID="94e99ba9b4ee7a646018c29402bcf87b">
  <xsd:schema xmlns:xsd="http://www.w3.org/2001/XMLSchema" xmlns:xs="http://www.w3.org/2001/XMLSchema" xmlns:p="http://schemas.microsoft.com/office/2006/metadata/properties" xmlns:ns2="35B92E77-5AFA-4BC0-B97B-3102FB553A6D" targetNamespace="http://schemas.microsoft.com/office/2006/metadata/properties" ma:root="true" ma:fieldsID="9c3f6618356b86c81169988b23bce0d1" ns2:_="">
    <xsd:import namespace="35B92E77-5AFA-4BC0-B97B-3102FB553A6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2E77-5AFA-4BC0-B97B-3102FB553A6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B561-B0E1-4460-A0DD-C5BA2D206261}">
  <ds:schemaRefs>
    <ds:schemaRef ds:uri="http://schemas.microsoft.com/sharepoint/v3/contenttype/forms"/>
  </ds:schemaRefs>
</ds:datastoreItem>
</file>

<file path=customXml/itemProps2.xml><?xml version="1.0" encoding="utf-8"?>
<ds:datastoreItem xmlns:ds="http://schemas.openxmlformats.org/officeDocument/2006/customXml" ds:itemID="{43BD8CF7-8F4F-4C19-98EE-84944EA1F54F}">
  <ds:schemaRefs>
    <ds:schemaRef ds:uri="http://purl.org/dc/terms/"/>
    <ds:schemaRef ds:uri="http://schemas.openxmlformats.org/package/2006/metadata/core-properties"/>
    <ds:schemaRef ds:uri="http://purl.org/dc/dcmitype/"/>
    <ds:schemaRef ds:uri="http://schemas.microsoft.com/office/infopath/2007/PartnerControls"/>
    <ds:schemaRef ds:uri="35B92E77-5AFA-4BC0-B97B-3102FB553A6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1BC04-60B8-4E10-A6A0-38ED7B62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2E77-5AFA-4BC0-B97B-3102FB553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ED013-A2B7-401E-8664-C8062741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753FBE73.dotm</Template>
  <TotalTime>0</TotalTime>
  <Pages>9</Pages>
  <Words>2837</Words>
  <Characters>16174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Mellissa Fage</dc:creator>
  <cp:lastModifiedBy>GARCIA,Wendy</cp:lastModifiedBy>
  <cp:revision>2</cp:revision>
  <cp:lastPrinted>2019-02-11T23:59:00Z</cp:lastPrinted>
  <dcterms:created xsi:type="dcterms:W3CDTF">2019-03-12T03:43:00Z</dcterms:created>
  <dcterms:modified xsi:type="dcterms:W3CDTF">2019-03-12T03:43:00Z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0x010100266966F133664895A6EE3632470D45F500C608BB04B8588846AA579DF8773BC863</vt:lpwstr>
  </property>
</Properties>
</file>