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E5A" w:rsidRPr="00327088" w:rsidRDefault="002F5E5A" w:rsidP="001C56C1">
      <w:pPr>
        <w:spacing w:after="220" w:line="240" w:lineRule="auto"/>
        <w:jc w:val="center"/>
        <w:rPr>
          <w:rFonts w:ascii="Times New Roman" w:hAnsi="Times New Roman" w:cs="Times New Roman"/>
          <w:b/>
          <w:sz w:val="24"/>
          <w:szCs w:val="24"/>
        </w:rPr>
      </w:pPr>
      <w:bookmarkStart w:id="0" w:name="_GoBack"/>
      <w:bookmarkEnd w:id="0"/>
      <w:r w:rsidRPr="00327088">
        <w:rPr>
          <w:rFonts w:ascii="Times New Roman" w:hAnsi="Times New Roman" w:cs="Times New Roman"/>
          <w:b/>
          <w:sz w:val="24"/>
          <w:szCs w:val="24"/>
        </w:rPr>
        <w:t>EXPLANATORY STATEMENT</w:t>
      </w:r>
    </w:p>
    <w:p w:rsidR="002F5E5A" w:rsidRPr="00327088" w:rsidRDefault="0029306B" w:rsidP="001C56C1">
      <w:pPr>
        <w:spacing w:after="220" w:line="240" w:lineRule="auto"/>
        <w:jc w:val="center"/>
        <w:rPr>
          <w:rFonts w:ascii="Times New Roman" w:hAnsi="Times New Roman" w:cs="Times New Roman"/>
          <w:i/>
          <w:sz w:val="24"/>
          <w:szCs w:val="24"/>
        </w:rPr>
      </w:pPr>
      <w:r w:rsidRPr="00327088">
        <w:rPr>
          <w:rFonts w:ascii="Times New Roman" w:hAnsi="Times New Roman" w:cs="Times New Roman"/>
          <w:i/>
          <w:sz w:val="24"/>
          <w:szCs w:val="24"/>
        </w:rPr>
        <w:t>Seafarers</w:t>
      </w:r>
      <w:r w:rsidR="002F5E5A" w:rsidRPr="00327088">
        <w:rPr>
          <w:rFonts w:ascii="Times New Roman" w:hAnsi="Times New Roman" w:cs="Times New Roman"/>
          <w:i/>
          <w:sz w:val="24"/>
          <w:szCs w:val="24"/>
        </w:rPr>
        <w:t xml:space="preserve"> Rehabilitation and Compensation Act 19</w:t>
      </w:r>
      <w:r w:rsidRPr="00327088">
        <w:rPr>
          <w:rFonts w:ascii="Times New Roman" w:hAnsi="Times New Roman" w:cs="Times New Roman"/>
          <w:i/>
          <w:sz w:val="24"/>
          <w:szCs w:val="24"/>
        </w:rPr>
        <w:t>92</w:t>
      </w:r>
    </w:p>
    <w:p w:rsidR="002448AC" w:rsidRPr="00327088" w:rsidRDefault="002F5E5A" w:rsidP="002448AC">
      <w:pPr>
        <w:spacing w:after="220" w:line="240" w:lineRule="auto"/>
        <w:jc w:val="center"/>
        <w:rPr>
          <w:rFonts w:ascii="Times New Roman" w:hAnsi="Times New Roman" w:cs="Times New Roman"/>
          <w:sz w:val="24"/>
          <w:szCs w:val="24"/>
        </w:rPr>
      </w:pPr>
      <w:r w:rsidRPr="00327088">
        <w:rPr>
          <w:rFonts w:ascii="Times New Roman" w:hAnsi="Times New Roman" w:cs="Times New Roman"/>
          <w:sz w:val="24"/>
          <w:szCs w:val="24"/>
        </w:rPr>
        <w:t xml:space="preserve">Issued by the </w:t>
      </w:r>
      <w:r w:rsidR="002448AC" w:rsidRPr="00327088">
        <w:rPr>
          <w:rFonts w:ascii="Times New Roman" w:hAnsi="Times New Roman" w:cs="Times New Roman"/>
          <w:sz w:val="24"/>
          <w:szCs w:val="24"/>
          <w:lang w:val="en"/>
        </w:rPr>
        <w:t xml:space="preserve">Minister for </w:t>
      </w:r>
      <w:r w:rsidR="00011B0D" w:rsidRPr="00327088">
        <w:rPr>
          <w:rFonts w:ascii="Times New Roman" w:hAnsi="Times New Roman" w:cs="Times New Roman"/>
          <w:sz w:val="24"/>
          <w:szCs w:val="24"/>
          <w:lang w:val="en"/>
        </w:rPr>
        <w:t>Jobs and Industrial Relations</w:t>
      </w:r>
    </w:p>
    <w:p w:rsidR="00F02D98" w:rsidRPr="00327088" w:rsidRDefault="0029306B" w:rsidP="00CF48F1">
      <w:pPr>
        <w:pStyle w:val="ShortT"/>
        <w:jc w:val="center"/>
        <w:rPr>
          <w:sz w:val="24"/>
          <w:szCs w:val="24"/>
        </w:rPr>
      </w:pPr>
      <w:r w:rsidRPr="00327088">
        <w:rPr>
          <w:sz w:val="24"/>
          <w:szCs w:val="24"/>
        </w:rPr>
        <w:t>Seafarers</w:t>
      </w:r>
      <w:r w:rsidR="002448AC" w:rsidRPr="00327088">
        <w:rPr>
          <w:sz w:val="24"/>
          <w:szCs w:val="24"/>
        </w:rPr>
        <w:t xml:space="preserve"> Rehabilitation and Compensation </w:t>
      </w:r>
      <w:r w:rsidR="00F11476" w:rsidRPr="00327088">
        <w:rPr>
          <w:sz w:val="24"/>
          <w:szCs w:val="24"/>
        </w:rPr>
        <w:br/>
      </w:r>
      <w:r w:rsidR="002448AC" w:rsidRPr="00327088">
        <w:rPr>
          <w:sz w:val="24"/>
          <w:szCs w:val="24"/>
        </w:rPr>
        <w:t>(Specification of</w:t>
      </w:r>
      <w:r w:rsidR="00BE7785" w:rsidRPr="00327088">
        <w:rPr>
          <w:sz w:val="24"/>
          <w:szCs w:val="24"/>
        </w:rPr>
        <w:t xml:space="preserve"> Medical</w:t>
      </w:r>
      <w:r w:rsidR="002448AC" w:rsidRPr="00327088">
        <w:rPr>
          <w:sz w:val="24"/>
          <w:szCs w:val="24"/>
        </w:rPr>
        <w:t xml:space="preserve"> Examination Interval) Instrument </w:t>
      </w:r>
      <w:r w:rsidR="002C16B5" w:rsidRPr="00327088">
        <w:rPr>
          <w:sz w:val="24"/>
          <w:szCs w:val="24"/>
        </w:rPr>
        <w:t>2019</w:t>
      </w:r>
    </w:p>
    <w:p w:rsidR="00F11476" w:rsidRPr="00327088" w:rsidRDefault="00603317" w:rsidP="00327088">
      <w:pPr>
        <w:spacing w:before="240" w:after="120" w:line="240" w:lineRule="auto"/>
        <w:rPr>
          <w:rFonts w:ascii="Times New Roman" w:hAnsi="Times New Roman" w:cs="Times New Roman"/>
          <w:sz w:val="24"/>
          <w:szCs w:val="24"/>
        </w:rPr>
      </w:pPr>
      <w:r w:rsidRPr="00327088">
        <w:rPr>
          <w:rFonts w:ascii="Times New Roman" w:hAnsi="Times New Roman" w:cs="Times New Roman"/>
          <w:sz w:val="24"/>
          <w:szCs w:val="24"/>
        </w:rPr>
        <w:t xml:space="preserve">The </w:t>
      </w:r>
      <w:r w:rsidR="0029306B" w:rsidRPr="00327088">
        <w:rPr>
          <w:rFonts w:ascii="Times New Roman" w:hAnsi="Times New Roman" w:cs="Times New Roman"/>
          <w:i/>
          <w:sz w:val="24"/>
          <w:szCs w:val="24"/>
        </w:rPr>
        <w:t>Seafarers Rehabilitation and Compensation Act 1992</w:t>
      </w:r>
      <w:r w:rsidRPr="00327088">
        <w:rPr>
          <w:rFonts w:ascii="Times New Roman" w:hAnsi="Times New Roman" w:cs="Times New Roman"/>
          <w:i/>
          <w:sz w:val="24"/>
          <w:szCs w:val="24"/>
        </w:rPr>
        <w:t xml:space="preserve"> </w:t>
      </w:r>
      <w:r w:rsidR="0029306B" w:rsidRPr="00327088">
        <w:rPr>
          <w:rFonts w:ascii="Times New Roman" w:hAnsi="Times New Roman" w:cs="Times New Roman"/>
          <w:sz w:val="24"/>
          <w:szCs w:val="24"/>
        </w:rPr>
        <w:t xml:space="preserve">(Seafarers Act) provides workers’ compensation and rehabilitation arrangements for </w:t>
      </w:r>
      <w:r w:rsidR="00B074ED" w:rsidRPr="00327088">
        <w:rPr>
          <w:rFonts w:ascii="Times New Roman" w:hAnsi="Times New Roman" w:cs="Times New Roman"/>
          <w:sz w:val="24"/>
          <w:szCs w:val="24"/>
        </w:rPr>
        <w:t>employees</w:t>
      </w:r>
      <w:r w:rsidR="00B97538" w:rsidRPr="00327088">
        <w:rPr>
          <w:rFonts w:ascii="Times New Roman" w:hAnsi="Times New Roman" w:cs="Times New Roman"/>
          <w:sz w:val="24"/>
          <w:szCs w:val="24"/>
        </w:rPr>
        <w:t xml:space="preserve"> </w:t>
      </w:r>
      <w:r w:rsidR="0029306B" w:rsidRPr="00327088">
        <w:rPr>
          <w:rFonts w:ascii="Times New Roman" w:hAnsi="Times New Roman" w:cs="Times New Roman"/>
          <w:sz w:val="24"/>
          <w:szCs w:val="24"/>
        </w:rPr>
        <w:t>in a defined part of the Australian maritime industry.</w:t>
      </w:r>
      <w:r w:rsidR="00852599">
        <w:rPr>
          <w:rFonts w:ascii="Times New Roman" w:hAnsi="Times New Roman" w:cs="Times New Roman"/>
          <w:sz w:val="24"/>
          <w:szCs w:val="24"/>
        </w:rPr>
        <w:t xml:space="preserve"> </w:t>
      </w:r>
      <w:r w:rsidR="00852599" w:rsidRPr="00852599">
        <w:rPr>
          <w:rFonts w:ascii="Times New Roman" w:hAnsi="Times New Roman" w:cs="Times New Roman"/>
          <w:sz w:val="24"/>
          <w:szCs w:val="24"/>
        </w:rPr>
        <w:t xml:space="preserve">The Seafarers Act operates in conjunction with the </w:t>
      </w:r>
      <w:r w:rsidR="00852599" w:rsidRPr="00852599">
        <w:rPr>
          <w:rFonts w:ascii="Times New Roman" w:hAnsi="Times New Roman" w:cs="Times New Roman"/>
          <w:i/>
          <w:iCs/>
          <w:sz w:val="24"/>
          <w:szCs w:val="24"/>
        </w:rPr>
        <w:t>Occupational Health and Safety (Maritime Industry) Act 1993</w:t>
      </w:r>
      <w:r w:rsidR="00852599" w:rsidRPr="00852599">
        <w:rPr>
          <w:rFonts w:ascii="Times New Roman" w:hAnsi="Times New Roman" w:cs="Times New Roman"/>
          <w:sz w:val="24"/>
          <w:szCs w:val="24"/>
        </w:rPr>
        <w:t xml:space="preserve"> to establish the ‘Seacare scheme’.</w:t>
      </w:r>
    </w:p>
    <w:p w:rsidR="009B4371" w:rsidRPr="00327088" w:rsidRDefault="009B4371" w:rsidP="00327088">
      <w:pPr>
        <w:spacing w:after="120" w:line="240" w:lineRule="auto"/>
        <w:rPr>
          <w:rFonts w:ascii="Times New Roman" w:hAnsi="Times New Roman" w:cs="Times New Roman"/>
          <w:sz w:val="24"/>
          <w:szCs w:val="24"/>
        </w:rPr>
      </w:pPr>
      <w:r w:rsidRPr="00327088">
        <w:rPr>
          <w:rFonts w:ascii="Times New Roman" w:hAnsi="Times New Roman" w:cs="Times New Roman"/>
          <w:sz w:val="24"/>
          <w:szCs w:val="24"/>
        </w:rPr>
        <w:t>Pursuant to</w:t>
      </w:r>
      <w:r w:rsidR="0029306B" w:rsidRPr="00327088">
        <w:rPr>
          <w:rFonts w:ascii="Times New Roman" w:hAnsi="Times New Roman" w:cs="Times New Roman"/>
          <w:sz w:val="24"/>
          <w:szCs w:val="24"/>
        </w:rPr>
        <w:t xml:space="preserve"> the Seafarers Act, </w:t>
      </w:r>
      <w:r w:rsidRPr="00327088">
        <w:rPr>
          <w:rFonts w:ascii="Times New Roman" w:hAnsi="Times New Roman" w:cs="Times New Roman"/>
          <w:sz w:val="24"/>
          <w:szCs w:val="24"/>
        </w:rPr>
        <w:t xml:space="preserve">the </w:t>
      </w:r>
      <w:r w:rsidR="0029306B" w:rsidRPr="00327088">
        <w:rPr>
          <w:rFonts w:ascii="Times New Roman" w:hAnsi="Times New Roman" w:cs="Times New Roman"/>
          <w:sz w:val="24"/>
          <w:szCs w:val="24"/>
        </w:rPr>
        <w:t xml:space="preserve">employers </w:t>
      </w:r>
      <w:r w:rsidRPr="00327088">
        <w:rPr>
          <w:rFonts w:ascii="Times New Roman" w:hAnsi="Times New Roman" w:cs="Times New Roman"/>
          <w:sz w:val="24"/>
          <w:szCs w:val="24"/>
        </w:rPr>
        <w:t xml:space="preserve">of such </w:t>
      </w:r>
      <w:r w:rsidR="00B97538" w:rsidRPr="00327088">
        <w:rPr>
          <w:rFonts w:ascii="Times New Roman" w:hAnsi="Times New Roman" w:cs="Times New Roman"/>
          <w:sz w:val="24"/>
          <w:szCs w:val="24"/>
        </w:rPr>
        <w:t xml:space="preserve">employees </w:t>
      </w:r>
      <w:r w:rsidRPr="00327088">
        <w:rPr>
          <w:rFonts w:ascii="Times New Roman" w:hAnsi="Times New Roman" w:cs="Times New Roman"/>
          <w:sz w:val="24"/>
          <w:szCs w:val="24"/>
        </w:rPr>
        <w:t xml:space="preserve">are responsible for determining liability and paying compensation entitlements </w:t>
      </w:r>
      <w:r w:rsidR="00A35DC3" w:rsidRPr="00327088">
        <w:rPr>
          <w:rFonts w:ascii="Times New Roman" w:hAnsi="Times New Roman" w:cs="Times New Roman"/>
          <w:sz w:val="24"/>
          <w:szCs w:val="24"/>
        </w:rPr>
        <w:t xml:space="preserve">in accordance with that </w:t>
      </w:r>
      <w:r w:rsidRPr="00327088">
        <w:rPr>
          <w:rFonts w:ascii="Times New Roman" w:hAnsi="Times New Roman" w:cs="Times New Roman"/>
          <w:sz w:val="24"/>
          <w:szCs w:val="24"/>
        </w:rPr>
        <w:t>Act.</w:t>
      </w:r>
    </w:p>
    <w:p w:rsidR="00F02D98" w:rsidRPr="00327088" w:rsidRDefault="00603317" w:rsidP="00327088">
      <w:pPr>
        <w:spacing w:after="120" w:line="240" w:lineRule="auto"/>
        <w:rPr>
          <w:rFonts w:ascii="Times New Roman" w:hAnsi="Times New Roman" w:cs="Times New Roman"/>
          <w:sz w:val="24"/>
          <w:szCs w:val="24"/>
        </w:rPr>
      </w:pPr>
      <w:r w:rsidRPr="00327088">
        <w:rPr>
          <w:rFonts w:ascii="Times New Roman" w:hAnsi="Times New Roman" w:cs="Times New Roman"/>
          <w:sz w:val="24"/>
          <w:szCs w:val="24"/>
        </w:rPr>
        <w:t xml:space="preserve">Section </w:t>
      </w:r>
      <w:r w:rsidR="009B4371" w:rsidRPr="00327088">
        <w:rPr>
          <w:rFonts w:ascii="Times New Roman" w:hAnsi="Times New Roman" w:cs="Times New Roman"/>
          <w:sz w:val="24"/>
          <w:szCs w:val="24"/>
        </w:rPr>
        <w:t>66</w:t>
      </w:r>
      <w:r w:rsidRPr="00327088">
        <w:rPr>
          <w:rFonts w:ascii="Times New Roman" w:hAnsi="Times New Roman" w:cs="Times New Roman"/>
          <w:sz w:val="24"/>
          <w:szCs w:val="24"/>
        </w:rPr>
        <w:t xml:space="preserve"> of the </w:t>
      </w:r>
      <w:r w:rsidR="00E538A6" w:rsidRPr="00327088">
        <w:rPr>
          <w:rFonts w:ascii="Times New Roman" w:hAnsi="Times New Roman" w:cs="Times New Roman"/>
          <w:sz w:val="24"/>
          <w:szCs w:val="24"/>
        </w:rPr>
        <w:t>S</w:t>
      </w:r>
      <w:r w:rsidR="009B4371" w:rsidRPr="00327088">
        <w:rPr>
          <w:rFonts w:ascii="Times New Roman" w:hAnsi="Times New Roman" w:cs="Times New Roman"/>
          <w:sz w:val="24"/>
          <w:szCs w:val="24"/>
        </w:rPr>
        <w:t>eafarers</w:t>
      </w:r>
      <w:r w:rsidR="00E538A6" w:rsidRPr="00327088">
        <w:rPr>
          <w:rFonts w:ascii="Times New Roman" w:hAnsi="Times New Roman" w:cs="Times New Roman"/>
          <w:sz w:val="24"/>
          <w:szCs w:val="24"/>
        </w:rPr>
        <w:t xml:space="preserve"> Act provides that </w:t>
      </w:r>
      <w:r w:rsidR="009B4371" w:rsidRPr="00327088">
        <w:rPr>
          <w:rFonts w:ascii="Times New Roman" w:hAnsi="Times New Roman" w:cs="Times New Roman"/>
          <w:sz w:val="24"/>
          <w:szCs w:val="24"/>
        </w:rPr>
        <w:t xml:space="preserve">if a notice has been </w:t>
      </w:r>
      <w:r w:rsidR="0081123F" w:rsidRPr="00327088">
        <w:rPr>
          <w:rFonts w:ascii="Times New Roman" w:hAnsi="Times New Roman" w:cs="Times New Roman"/>
          <w:sz w:val="24"/>
          <w:szCs w:val="24"/>
        </w:rPr>
        <w:t>given under section 62</w:t>
      </w:r>
      <w:r w:rsidR="002C16B5" w:rsidRPr="00327088">
        <w:rPr>
          <w:rFonts w:ascii="Times New Roman" w:hAnsi="Times New Roman" w:cs="Times New Roman"/>
          <w:sz w:val="24"/>
          <w:szCs w:val="24"/>
        </w:rPr>
        <w:t xml:space="preserve"> in relation to an injury to an employee</w:t>
      </w:r>
      <w:r w:rsidR="00B41BB4" w:rsidRPr="00327088">
        <w:rPr>
          <w:rFonts w:ascii="Times New Roman" w:hAnsi="Times New Roman" w:cs="Times New Roman"/>
          <w:sz w:val="24"/>
          <w:szCs w:val="24"/>
          <w:lang w:val="en"/>
        </w:rPr>
        <w:t xml:space="preserve">, </w:t>
      </w:r>
      <w:r w:rsidR="00F02D98" w:rsidRPr="00327088">
        <w:rPr>
          <w:rFonts w:ascii="Times New Roman" w:hAnsi="Times New Roman" w:cs="Times New Roman"/>
          <w:sz w:val="24"/>
          <w:szCs w:val="24"/>
          <w:lang w:val="en"/>
        </w:rPr>
        <w:t xml:space="preserve">or </w:t>
      </w:r>
      <w:r w:rsidR="002C16B5" w:rsidRPr="00327088">
        <w:rPr>
          <w:rFonts w:ascii="Times New Roman" w:hAnsi="Times New Roman" w:cs="Times New Roman"/>
          <w:sz w:val="24"/>
          <w:szCs w:val="24"/>
          <w:lang w:val="en"/>
        </w:rPr>
        <w:t xml:space="preserve">if an employee has made </w:t>
      </w:r>
      <w:r w:rsidR="00B41BB4" w:rsidRPr="00327088">
        <w:rPr>
          <w:rFonts w:ascii="Times New Roman" w:hAnsi="Times New Roman" w:cs="Times New Roman"/>
          <w:sz w:val="24"/>
          <w:szCs w:val="24"/>
          <w:lang w:val="en"/>
        </w:rPr>
        <w:t>a claim for compensation</w:t>
      </w:r>
      <w:r w:rsidR="0081123F" w:rsidRPr="00327088">
        <w:rPr>
          <w:rFonts w:ascii="Times New Roman" w:hAnsi="Times New Roman" w:cs="Times New Roman"/>
          <w:sz w:val="24"/>
          <w:szCs w:val="24"/>
          <w:lang w:val="en"/>
        </w:rPr>
        <w:t xml:space="preserve"> under section 63</w:t>
      </w:r>
      <w:r w:rsidR="00F02D98" w:rsidRPr="00327088">
        <w:rPr>
          <w:rFonts w:ascii="Times New Roman" w:hAnsi="Times New Roman" w:cs="Times New Roman"/>
          <w:sz w:val="24"/>
          <w:szCs w:val="24"/>
          <w:lang w:val="en"/>
        </w:rPr>
        <w:t>,</w:t>
      </w:r>
      <w:bookmarkStart w:id="1" w:name="subsection2"/>
      <w:bookmarkEnd w:id="1"/>
      <w:r w:rsidR="00F02D98" w:rsidRPr="00327088">
        <w:rPr>
          <w:rFonts w:ascii="Times New Roman" w:hAnsi="Times New Roman" w:cs="Times New Roman"/>
          <w:sz w:val="24"/>
          <w:szCs w:val="24"/>
          <w:lang w:val="en"/>
        </w:rPr>
        <w:t xml:space="preserve"> </w:t>
      </w:r>
      <w:r w:rsidR="0081123F" w:rsidRPr="00327088">
        <w:rPr>
          <w:rFonts w:ascii="Times New Roman" w:hAnsi="Times New Roman" w:cs="Times New Roman"/>
          <w:sz w:val="24"/>
          <w:szCs w:val="24"/>
          <w:lang w:val="en"/>
        </w:rPr>
        <w:t xml:space="preserve">the employer to whom the notice </w:t>
      </w:r>
      <w:r w:rsidR="00E60F08" w:rsidRPr="00327088">
        <w:rPr>
          <w:rFonts w:ascii="Times New Roman" w:hAnsi="Times New Roman" w:cs="Times New Roman"/>
          <w:sz w:val="24"/>
          <w:szCs w:val="24"/>
          <w:lang w:val="en"/>
        </w:rPr>
        <w:t>or</w:t>
      </w:r>
      <w:r w:rsidR="0081123F" w:rsidRPr="00327088">
        <w:rPr>
          <w:rFonts w:ascii="Times New Roman" w:hAnsi="Times New Roman" w:cs="Times New Roman"/>
          <w:sz w:val="24"/>
          <w:szCs w:val="24"/>
          <w:lang w:val="en"/>
        </w:rPr>
        <w:t xml:space="preserve"> claim is given may require </w:t>
      </w:r>
      <w:r w:rsidR="002C16B5" w:rsidRPr="00327088">
        <w:rPr>
          <w:rFonts w:ascii="Times New Roman" w:hAnsi="Times New Roman" w:cs="Times New Roman"/>
          <w:sz w:val="24"/>
          <w:szCs w:val="24"/>
          <w:lang w:val="en"/>
        </w:rPr>
        <w:t xml:space="preserve">the </w:t>
      </w:r>
      <w:r w:rsidR="00B41BB4" w:rsidRPr="00327088">
        <w:rPr>
          <w:rFonts w:ascii="Times New Roman" w:hAnsi="Times New Roman" w:cs="Times New Roman"/>
          <w:sz w:val="24"/>
          <w:szCs w:val="24"/>
          <w:lang w:val="en"/>
        </w:rPr>
        <w:t xml:space="preserve">employee to undergo an examination by </w:t>
      </w:r>
      <w:r w:rsidR="002C16B5" w:rsidRPr="00327088">
        <w:rPr>
          <w:rFonts w:ascii="Times New Roman" w:hAnsi="Times New Roman" w:cs="Times New Roman"/>
          <w:sz w:val="24"/>
          <w:szCs w:val="24"/>
          <w:lang w:val="en"/>
        </w:rPr>
        <w:t xml:space="preserve">one </w:t>
      </w:r>
      <w:r w:rsidR="00B41BB4" w:rsidRPr="00327088">
        <w:rPr>
          <w:rFonts w:ascii="Times New Roman" w:hAnsi="Times New Roman" w:cs="Times New Roman"/>
          <w:sz w:val="24"/>
          <w:szCs w:val="24"/>
          <w:lang w:val="en"/>
        </w:rPr>
        <w:t xml:space="preserve">legally qualified medical practitioner nominated by the </w:t>
      </w:r>
      <w:r w:rsidR="0081123F" w:rsidRPr="00327088">
        <w:rPr>
          <w:rFonts w:ascii="Times New Roman" w:hAnsi="Times New Roman" w:cs="Times New Roman"/>
          <w:sz w:val="24"/>
          <w:szCs w:val="24"/>
          <w:lang w:val="en"/>
        </w:rPr>
        <w:t>employer</w:t>
      </w:r>
      <w:r w:rsidR="00F02D98" w:rsidRPr="00327088">
        <w:rPr>
          <w:rFonts w:ascii="Times New Roman" w:hAnsi="Times New Roman" w:cs="Times New Roman"/>
          <w:sz w:val="24"/>
          <w:szCs w:val="24"/>
        </w:rPr>
        <w:t xml:space="preserve">. </w:t>
      </w:r>
      <w:r w:rsidR="002C16B5" w:rsidRPr="00327088">
        <w:rPr>
          <w:rFonts w:ascii="Times New Roman" w:hAnsi="Times New Roman" w:cs="Times New Roman"/>
          <w:sz w:val="24"/>
          <w:szCs w:val="24"/>
        </w:rPr>
        <w:t>If the employee, without reasonable excuse, does not undergo the examination, or in any way obstructs the examination, the employee’s rights to compensation under the Act, and to institute or continue any proceedings under the Act in relation to compensation, are suspended until the examination takes place.</w:t>
      </w:r>
    </w:p>
    <w:p w:rsidR="00E525C4" w:rsidRPr="00327088" w:rsidRDefault="00084025" w:rsidP="00327088">
      <w:pPr>
        <w:spacing w:after="120" w:line="240" w:lineRule="auto"/>
        <w:rPr>
          <w:rFonts w:ascii="Times New Roman" w:hAnsi="Times New Roman" w:cs="Times New Roman"/>
          <w:sz w:val="24"/>
          <w:szCs w:val="24"/>
        </w:rPr>
      </w:pPr>
      <w:r w:rsidRPr="00327088">
        <w:rPr>
          <w:rFonts w:ascii="Times New Roman" w:hAnsi="Times New Roman" w:cs="Times New Roman"/>
          <w:sz w:val="24"/>
          <w:szCs w:val="24"/>
        </w:rPr>
        <w:t xml:space="preserve">Section </w:t>
      </w:r>
      <w:r w:rsidR="0081123F" w:rsidRPr="00327088">
        <w:rPr>
          <w:rFonts w:ascii="Times New Roman" w:hAnsi="Times New Roman" w:cs="Times New Roman"/>
          <w:sz w:val="24"/>
          <w:szCs w:val="24"/>
        </w:rPr>
        <w:t>66</w:t>
      </w:r>
      <w:r w:rsidRPr="00327088">
        <w:rPr>
          <w:rFonts w:ascii="Times New Roman" w:hAnsi="Times New Roman" w:cs="Times New Roman"/>
          <w:sz w:val="24"/>
          <w:szCs w:val="24"/>
        </w:rPr>
        <w:t xml:space="preserve"> </w:t>
      </w:r>
      <w:r w:rsidR="002C16B5" w:rsidRPr="00327088">
        <w:rPr>
          <w:rFonts w:ascii="Times New Roman" w:hAnsi="Times New Roman" w:cs="Times New Roman"/>
          <w:sz w:val="24"/>
          <w:szCs w:val="24"/>
        </w:rPr>
        <w:t xml:space="preserve">of the Seafarers Act </w:t>
      </w:r>
      <w:r w:rsidRPr="00327088">
        <w:rPr>
          <w:rFonts w:ascii="Times New Roman" w:hAnsi="Times New Roman" w:cs="Times New Roman"/>
          <w:sz w:val="24"/>
          <w:szCs w:val="24"/>
        </w:rPr>
        <w:t>is qualified by s</w:t>
      </w:r>
      <w:r w:rsidR="003374CD" w:rsidRPr="00327088">
        <w:rPr>
          <w:rFonts w:ascii="Times New Roman" w:hAnsi="Times New Roman" w:cs="Times New Roman"/>
          <w:sz w:val="24"/>
          <w:szCs w:val="24"/>
        </w:rPr>
        <w:t xml:space="preserve">ubsection </w:t>
      </w:r>
      <w:r w:rsidR="0081123F" w:rsidRPr="00327088">
        <w:rPr>
          <w:rFonts w:ascii="Times New Roman" w:hAnsi="Times New Roman" w:cs="Times New Roman"/>
          <w:sz w:val="24"/>
          <w:szCs w:val="24"/>
        </w:rPr>
        <w:t>66</w:t>
      </w:r>
      <w:r w:rsidR="003374CD" w:rsidRPr="00327088">
        <w:rPr>
          <w:rFonts w:ascii="Times New Roman" w:hAnsi="Times New Roman" w:cs="Times New Roman"/>
          <w:sz w:val="24"/>
          <w:szCs w:val="24"/>
        </w:rPr>
        <w:t>(6)</w:t>
      </w:r>
      <w:r w:rsidRPr="00327088">
        <w:rPr>
          <w:rFonts w:ascii="Times New Roman" w:hAnsi="Times New Roman" w:cs="Times New Roman"/>
          <w:sz w:val="24"/>
          <w:szCs w:val="24"/>
        </w:rPr>
        <w:t>, which</w:t>
      </w:r>
      <w:r w:rsidR="007C151D" w:rsidRPr="00327088">
        <w:rPr>
          <w:rFonts w:ascii="Times New Roman" w:hAnsi="Times New Roman" w:cs="Times New Roman"/>
          <w:sz w:val="24"/>
          <w:szCs w:val="24"/>
        </w:rPr>
        <w:t xml:space="preserve"> provides that</w:t>
      </w:r>
      <w:r w:rsidR="003D5AF9" w:rsidRPr="00327088">
        <w:rPr>
          <w:rFonts w:ascii="Times New Roman" w:hAnsi="Times New Roman" w:cs="Times New Roman"/>
          <w:sz w:val="24"/>
          <w:szCs w:val="24"/>
        </w:rPr>
        <w:t xml:space="preserve"> an employee </w:t>
      </w:r>
      <w:r w:rsidR="002C16B5" w:rsidRPr="00327088">
        <w:rPr>
          <w:rFonts w:ascii="Times New Roman" w:hAnsi="Times New Roman" w:cs="Times New Roman"/>
          <w:sz w:val="24"/>
          <w:szCs w:val="24"/>
        </w:rPr>
        <w:t xml:space="preserve">must </w:t>
      </w:r>
      <w:r w:rsidR="003374CD" w:rsidRPr="00327088">
        <w:rPr>
          <w:rFonts w:ascii="Times New Roman" w:hAnsi="Times New Roman" w:cs="Times New Roman"/>
          <w:sz w:val="24"/>
          <w:szCs w:val="24"/>
        </w:rPr>
        <w:t xml:space="preserve">not be required to undergo an examination under section </w:t>
      </w:r>
      <w:r w:rsidR="0081123F" w:rsidRPr="00327088">
        <w:rPr>
          <w:rFonts w:ascii="Times New Roman" w:hAnsi="Times New Roman" w:cs="Times New Roman"/>
          <w:sz w:val="24"/>
          <w:szCs w:val="24"/>
        </w:rPr>
        <w:t>66</w:t>
      </w:r>
      <w:r w:rsidR="003374CD" w:rsidRPr="00327088">
        <w:rPr>
          <w:rFonts w:ascii="Times New Roman" w:hAnsi="Times New Roman" w:cs="Times New Roman"/>
          <w:sz w:val="24"/>
          <w:szCs w:val="24"/>
        </w:rPr>
        <w:t xml:space="preserve"> at more frequent intervals than are specified by the Minister</w:t>
      </w:r>
      <w:r w:rsidR="007C151D" w:rsidRPr="00327088">
        <w:rPr>
          <w:rFonts w:ascii="Times New Roman" w:hAnsi="Times New Roman" w:cs="Times New Roman"/>
          <w:sz w:val="24"/>
          <w:szCs w:val="24"/>
        </w:rPr>
        <w:t xml:space="preserve"> by legislative instrument</w:t>
      </w:r>
      <w:r w:rsidR="003374CD" w:rsidRPr="00327088">
        <w:rPr>
          <w:rFonts w:ascii="Times New Roman" w:hAnsi="Times New Roman" w:cs="Times New Roman"/>
          <w:sz w:val="24"/>
          <w:szCs w:val="24"/>
        </w:rPr>
        <w:t xml:space="preserve">. </w:t>
      </w:r>
    </w:p>
    <w:p w:rsidR="00A35DC3" w:rsidRPr="00327088" w:rsidRDefault="00263090" w:rsidP="00327088">
      <w:pPr>
        <w:spacing w:after="120" w:line="240" w:lineRule="auto"/>
        <w:rPr>
          <w:rFonts w:ascii="Times New Roman" w:hAnsi="Times New Roman" w:cs="Times New Roman"/>
          <w:sz w:val="24"/>
          <w:szCs w:val="24"/>
        </w:rPr>
      </w:pPr>
      <w:r w:rsidRPr="00327088">
        <w:rPr>
          <w:rFonts w:ascii="Times New Roman" w:hAnsi="Times New Roman" w:cs="Times New Roman"/>
          <w:sz w:val="24"/>
          <w:szCs w:val="24"/>
        </w:rPr>
        <w:t>Section 83</w:t>
      </w:r>
      <w:r w:rsidR="00811C7D" w:rsidRPr="00327088">
        <w:rPr>
          <w:rFonts w:ascii="Times New Roman" w:hAnsi="Times New Roman" w:cs="Times New Roman"/>
          <w:sz w:val="24"/>
          <w:szCs w:val="24"/>
        </w:rPr>
        <w:t>A</w:t>
      </w:r>
      <w:r w:rsidRPr="00327088">
        <w:rPr>
          <w:rFonts w:ascii="Times New Roman" w:hAnsi="Times New Roman" w:cs="Times New Roman"/>
          <w:sz w:val="24"/>
          <w:szCs w:val="24"/>
        </w:rPr>
        <w:t xml:space="preserve"> of the Seafarers Act provides that </w:t>
      </w:r>
      <w:r w:rsidR="001E2A27" w:rsidRPr="00327088">
        <w:rPr>
          <w:rFonts w:ascii="Times New Roman" w:hAnsi="Times New Roman" w:cs="Times New Roman"/>
          <w:sz w:val="24"/>
          <w:szCs w:val="24"/>
        </w:rPr>
        <w:t xml:space="preserve">if a claimant has requested an employer to reconsider a determination under subsection 78(2), </w:t>
      </w:r>
      <w:r w:rsidR="00811C7D" w:rsidRPr="00327088">
        <w:rPr>
          <w:rFonts w:ascii="Times New Roman" w:hAnsi="Times New Roman" w:cs="Times New Roman"/>
          <w:sz w:val="24"/>
          <w:szCs w:val="24"/>
        </w:rPr>
        <w:t>the employer may</w:t>
      </w:r>
      <w:r w:rsidR="002C16B5" w:rsidRPr="00327088">
        <w:rPr>
          <w:rFonts w:ascii="Times New Roman" w:hAnsi="Times New Roman" w:cs="Times New Roman"/>
          <w:sz w:val="24"/>
          <w:szCs w:val="24"/>
        </w:rPr>
        <w:t>, by written notice given to the claimant,</w:t>
      </w:r>
      <w:r w:rsidR="00811C7D" w:rsidRPr="00327088">
        <w:rPr>
          <w:rFonts w:ascii="Times New Roman" w:hAnsi="Times New Roman" w:cs="Times New Roman"/>
          <w:sz w:val="24"/>
          <w:szCs w:val="24"/>
        </w:rPr>
        <w:t xml:space="preserve"> require the employee</w:t>
      </w:r>
      <w:r w:rsidR="00A35DC3" w:rsidRPr="00327088">
        <w:rPr>
          <w:rFonts w:ascii="Times New Roman" w:hAnsi="Times New Roman" w:cs="Times New Roman"/>
          <w:sz w:val="24"/>
          <w:szCs w:val="24"/>
        </w:rPr>
        <w:t xml:space="preserve"> to undergo </w:t>
      </w:r>
      <w:r w:rsidR="00811C7D" w:rsidRPr="00327088">
        <w:rPr>
          <w:rFonts w:ascii="Times New Roman" w:hAnsi="Times New Roman" w:cs="Times New Roman"/>
          <w:sz w:val="24"/>
          <w:szCs w:val="24"/>
        </w:rPr>
        <w:t xml:space="preserve">an examination by </w:t>
      </w:r>
      <w:r w:rsidR="002C16B5" w:rsidRPr="00327088">
        <w:rPr>
          <w:rFonts w:ascii="Times New Roman" w:hAnsi="Times New Roman" w:cs="Times New Roman"/>
          <w:sz w:val="24"/>
          <w:szCs w:val="24"/>
        </w:rPr>
        <w:t xml:space="preserve">one </w:t>
      </w:r>
      <w:r w:rsidR="00811C7D" w:rsidRPr="00327088">
        <w:rPr>
          <w:rFonts w:ascii="Times New Roman" w:hAnsi="Times New Roman" w:cs="Times New Roman"/>
          <w:sz w:val="24"/>
          <w:szCs w:val="24"/>
        </w:rPr>
        <w:t>legally qualified medical practitioner nominated by the employer</w:t>
      </w:r>
      <w:r w:rsidR="00A35DC3" w:rsidRPr="00327088">
        <w:rPr>
          <w:rFonts w:ascii="Times New Roman" w:hAnsi="Times New Roman" w:cs="Times New Roman"/>
          <w:sz w:val="24"/>
          <w:szCs w:val="24"/>
        </w:rPr>
        <w:t xml:space="preserve"> and </w:t>
      </w:r>
      <w:r w:rsidR="00B55725" w:rsidRPr="00327088">
        <w:rPr>
          <w:rFonts w:ascii="Times New Roman" w:hAnsi="Times New Roman" w:cs="Times New Roman"/>
          <w:sz w:val="24"/>
          <w:szCs w:val="24"/>
        </w:rPr>
        <w:t xml:space="preserve">require the claimant to give </w:t>
      </w:r>
      <w:r w:rsidR="00A35DC3" w:rsidRPr="00327088">
        <w:rPr>
          <w:rFonts w:ascii="Times New Roman" w:hAnsi="Times New Roman" w:cs="Times New Roman"/>
          <w:sz w:val="24"/>
          <w:szCs w:val="24"/>
        </w:rPr>
        <w:t>the employer a report by the medical practitioner of the results of the examination</w:t>
      </w:r>
      <w:r w:rsidR="00811C7D" w:rsidRPr="00327088">
        <w:rPr>
          <w:rFonts w:ascii="Times New Roman" w:hAnsi="Times New Roman" w:cs="Times New Roman"/>
          <w:sz w:val="24"/>
          <w:szCs w:val="24"/>
        </w:rPr>
        <w:t>.</w:t>
      </w:r>
      <w:r w:rsidR="00A35DC3" w:rsidRPr="00327088">
        <w:rPr>
          <w:rFonts w:ascii="Times New Roman" w:hAnsi="Times New Roman" w:cs="Times New Roman"/>
          <w:sz w:val="24"/>
          <w:szCs w:val="24"/>
        </w:rPr>
        <w:t xml:space="preserve"> If the employer does not receive </w:t>
      </w:r>
      <w:r w:rsidR="00B55725" w:rsidRPr="00327088">
        <w:rPr>
          <w:rFonts w:ascii="Times New Roman" w:hAnsi="Times New Roman" w:cs="Times New Roman"/>
          <w:sz w:val="24"/>
          <w:szCs w:val="24"/>
        </w:rPr>
        <w:t xml:space="preserve">such </w:t>
      </w:r>
      <w:r w:rsidR="00A35DC3" w:rsidRPr="00327088">
        <w:rPr>
          <w:rFonts w:ascii="Times New Roman" w:hAnsi="Times New Roman" w:cs="Times New Roman"/>
          <w:sz w:val="24"/>
          <w:szCs w:val="24"/>
        </w:rPr>
        <w:t>a report, the employer may refuse to reconsider the determination under section</w:t>
      </w:r>
      <w:r w:rsidR="002315C5">
        <w:rPr>
          <w:rFonts w:ascii="Times New Roman" w:hAnsi="Times New Roman" w:cs="Times New Roman"/>
          <w:sz w:val="24"/>
          <w:szCs w:val="24"/>
        </w:rPr>
        <w:t> </w:t>
      </w:r>
      <w:r w:rsidR="00A35DC3" w:rsidRPr="00327088">
        <w:rPr>
          <w:rFonts w:ascii="Times New Roman" w:hAnsi="Times New Roman" w:cs="Times New Roman"/>
          <w:sz w:val="24"/>
          <w:szCs w:val="24"/>
        </w:rPr>
        <w:t>78 until the employer receives the report.</w:t>
      </w:r>
    </w:p>
    <w:p w:rsidR="0081123F" w:rsidRPr="00327088" w:rsidRDefault="00A35DC3" w:rsidP="00327088">
      <w:pPr>
        <w:spacing w:after="120" w:line="240" w:lineRule="auto"/>
        <w:rPr>
          <w:rFonts w:ascii="Times New Roman" w:hAnsi="Times New Roman" w:cs="Times New Roman"/>
          <w:sz w:val="24"/>
          <w:szCs w:val="24"/>
        </w:rPr>
      </w:pPr>
      <w:r w:rsidRPr="00327088">
        <w:rPr>
          <w:rFonts w:ascii="Times New Roman" w:hAnsi="Times New Roman" w:cs="Times New Roman"/>
          <w:sz w:val="24"/>
          <w:szCs w:val="24"/>
        </w:rPr>
        <w:t xml:space="preserve">Section 83A </w:t>
      </w:r>
      <w:r w:rsidR="00B55725" w:rsidRPr="00327088">
        <w:rPr>
          <w:rFonts w:ascii="Times New Roman" w:hAnsi="Times New Roman" w:cs="Times New Roman"/>
          <w:sz w:val="24"/>
          <w:szCs w:val="24"/>
        </w:rPr>
        <w:t xml:space="preserve">of the Seafarers Act </w:t>
      </w:r>
      <w:r w:rsidRPr="00327088">
        <w:rPr>
          <w:rFonts w:ascii="Times New Roman" w:hAnsi="Times New Roman" w:cs="Times New Roman"/>
          <w:sz w:val="24"/>
          <w:szCs w:val="24"/>
        </w:rPr>
        <w:t>is qualified by</w:t>
      </w:r>
      <w:r w:rsidR="00811C7D" w:rsidRPr="00327088">
        <w:rPr>
          <w:rFonts w:ascii="Times New Roman" w:hAnsi="Times New Roman" w:cs="Times New Roman"/>
          <w:sz w:val="24"/>
          <w:szCs w:val="24"/>
        </w:rPr>
        <w:t xml:space="preserve"> subsection 83A(9),</w:t>
      </w:r>
      <w:r w:rsidRPr="00327088">
        <w:rPr>
          <w:rFonts w:ascii="Times New Roman" w:hAnsi="Times New Roman" w:cs="Times New Roman"/>
          <w:sz w:val="24"/>
          <w:szCs w:val="24"/>
        </w:rPr>
        <w:t xml:space="preserve"> which provides that</w:t>
      </w:r>
      <w:r w:rsidR="00811C7D" w:rsidRPr="00327088">
        <w:rPr>
          <w:rFonts w:ascii="Times New Roman" w:hAnsi="Times New Roman" w:cs="Times New Roman"/>
          <w:sz w:val="24"/>
          <w:szCs w:val="24"/>
        </w:rPr>
        <w:t xml:space="preserve"> an employee must not be required to undergo an examination under section 83A at more frequent intervals than are stated by the Minister by legislative instrument.</w:t>
      </w:r>
    </w:p>
    <w:p w:rsidR="001D2385" w:rsidRPr="00327088" w:rsidRDefault="009331F6" w:rsidP="00327088">
      <w:pPr>
        <w:spacing w:after="120" w:line="240" w:lineRule="auto"/>
        <w:rPr>
          <w:rFonts w:ascii="Times New Roman" w:hAnsi="Times New Roman" w:cs="Times New Roman"/>
          <w:sz w:val="24"/>
          <w:szCs w:val="24"/>
        </w:rPr>
      </w:pPr>
      <w:r w:rsidRPr="00327088">
        <w:rPr>
          <w:rFonts w:ascii="Times New Roman" w:hAnsi="Times New Roman" w:cs="Times New Roman"/>
          <w:sz w:val="24"/>
          <w:szCs w:val="24"/>
        </w:rPr>
        <w:t xml:space="preserve">This instrument is made by the Minister under </w:t>
      </w:r>
      <w:r w:rsidR="00F131D8" w:rsidRPr="00327088">
        <w:rPr>
          <w:rFonts w:ascii="Times New Roman" w:hAnsi="Times New Roman" w:cs="Times New Roman"/>
          <w:sz w:val="24"/>
          <w:szCs w:val="24"/>
        </w:rPr>
        <w:t>subsection</w:t>
      </w:r>
      <w:r w:rsidR="00811C7D" w:rsidRPr="00327088">
        <w:rPr>
          <w:rFonts w:ascii="Times New Roman" w:hAnsi="Times New Roman" w:cs="Times New Roman"/>
          <w:sz w:val="24"/>
          <w:szCs w:val="24"/>
        </w:rPr>
        <w:t>s</w:t>
      </w:r>
      <w:r w:rsidR="001B0A34" w:rsidRPr="00327088">
        <w:rPr>
          <w:rFonts w:ascii="Times New Roman" w:hAnsi="Times New Roman" w:cs="Times New Roman"/>
          <w:sz w:val="24"/>
          <w:szCs w:val="24"/>
        </w:rPr>
        <w:t xml:space="preserve"> 66(6) and 83A(9) of the Seafarers Act </w:t>
      </w:r>
      <w:r w:rsidR="000D00C0" w:rsidRPr="00327088">
        <w:rPr>
          <w:rFonts w:ascii="Times New Roman" w:hAnsi="Times New Roman" w:cs="Times New Roman"/>
          <w:sz w:val="24"/>
          <w:szCs w:val="24"/>
        </w:rPr>
        <w:t>to specify</w:t>
      </w:r>
      <w:r w:rsidR="00802EA8" w:rsidRPr="00327088">
        <w:rPr>
          <w:rFonts w:ascii="Times New Roman" w:hAnsi="Times New Roman" w:cs="Times New Roman"/>
          <w:sz w:val="24"/>
          <w:szCs w:val="24"/>
        </w:rPr>
        <w:t xml:space="preserve"> that an employee </w:t>
      </w:r>
      <w:r w:rsidR="00853AB4" w:rsidRPr="00327088">
        <w:rPr>
          <w:rFonts w:ascii="Times New Roman" w:hAnsi="Times New Roman" w:cs="Times New Roman"/>
          <w:sz w:val="24"/>
          <w:szCs w:val="24"/>
        </w:rPr>
        <w:t xml:space="preserve">must </w:t>
      </w:r>
      <w:r w:rsidR="00802EA8" w:rsidRPr="00327088">
        <w:rPr>
          <w:rFonts w:ascii="Times New Roman" w:hAnsi="Times New Roman" w:cs="Times New Roman"/>
          <w:sz w:val="24"/>
          <w:szCs w:val="24"/>
        </w:rPr>
        <w:t xml:space="preserve">not be required to undergo an examination by the same legally qualified medical practitioner nominated by the </w:t>
      </w:r>
      <w:r w:rsidR="00853AB4" w:rsidRPr="00327088">
        <w:rPr>
          <w:rFonts w:ascii="Times New Roman" w:hAnsi="Times New Roman" w:cs="Times New Roman"/>
          <w:sz w:val="24"/>
          <w:szCs w:val="24"/>
        </w:rPr>
        <w:t>employer</w:t>
      </w:r>
      <w:r w:rsidR="00802EA8" w:rsidRPr="00327088">
        <w:rPr>
          <w:rFonts w:ascii="Times New Roman" w:hAnsi="Times New Roman" w:cs="Times New Roman"/>
          <w:sz w:val="24"/>
          <w:szCs w:val="24"/>
        </w:rPr>
        <w:t xml:space="preserve"> </w:t>
      </w:r>
      <w:r w:rsidR="00010C3E" w:rsidRPr="00327088">
        <w:rPr>
          <w:rFonts w:ascii="Times New Roman" w:hAnsi="Times New Roman" w:cs="Times New Roman"/>
          <w:sz w:val="24"/>
          <w:szCs w:val="24"/>
        </w:rPr>
        <w:t xml:space="preserve">under </w:t>
      </w:r>
      <w:r w:rsidR="001B0A34" w:rsidRPr="00327088">
        <w:rPr>
          <w:rFonts w:ascii="Times New Roman" w:hAnsi="Times New Roman" w:cs="Times New Roman"/>
          <w:sz w:val="24"/>
          <w:szCs w:val="24"/>
        </w:rPr>
        <w:t xml:space="preserve">section 66 </w:t>
      </w:r>
      <w:r w:rsidR="0098271E" w:rsidRPr="00327088">
        <w:rPr>
          <w:rFonts w:ascii="Times New Roman" w:hAnsi="Times New Roman" w:cs="Times New Roman"/>
          <w:sz w:val="24"/>
          <w:szCs w:val="24"/>
        </w:rPr>
        <w:t>or</w:t>
      </w:r>
      <w:r w:rsidR="001B0A34" w:rsidRPr="00327088">
        <w:rPr>
          <w:rFonts w:ascii="Times New Roman" w:hAnsi="Times New Roman" w:cs="Times New Roman"/>
          <w:sz w:val="24"/>
          <w:szCs w:val="24"/>
        </w:rPr>
        <w:t xml:space="preserve"> section</w:t>
      </w:r>
      <w:r w:rsidR="00853AB4" w:rsidRPr="00327088">
        <w:rPr>
          <w:rFonts w:ascii="Times New Roman" w:hAnsi="Times New Roman" w:cs="Times New Roman"/>
          <w:sz w:val="24"/>
          <w:szCs w:val="24"/>
        </w:rPr>
        <w:t> </w:t>
      </w:r>
      <w:r w:rsidR="001B0A34" w:rsidRPr="00327088">
        <w:rPr>
          <w:rFonts w:ascii="Times New Roman" w:hAnsi="Times New Roman" w:cs="Times New Roman"/>
          <w:sz w:val="24"/>
          <w:szCs w:val="24"/>
        </w:rPr>
        <w:t xml:space="preserve">83A </w:t>
      </w:r>
      <w:r w:rsidR="00802EA8" w:rsidRPr="00327088">
        <w:rPr>
          <w:rFonts w:ascii="Times New Roman" w:hAnsi="Times New Roman" w:cs="Times New Roman"/>
          <w:sz w:val="24"/>
          <w:szCs w:val="24"/>
        </w:rPr>
        <w:t>more frequently than a</w:t>
      </w:r>
      <w:r w:rsidR="00853AB4" w:rsidRPr="00327088">
        <w:rPr>
          <w:rFonts w:ascii="Times New Roman" w:hAnsi="Times New Roman" w:cs="Times New Roman"/>
          <w:sz w:val="24"/>
          <w:szCs w:val="24"/>
        </w:rPr>
        <w:t>t</w:t>
      </w:r>
      <w:r w:rsidR="00802EA8" w:rsidRPr="00327088">
        <w:rPr>
          <w:rFonts w:ascii="Times New Roman" w:hAnsi="Times New Roman" w:cs="Times New Roman"/>
          <w:sz w:val="24"/>
          <w:szCs w:val="24"/>
        </w:rPr>
        <w:t xml:space="preserve"> one-month interval</w:t>
      </w:r>
      <w:r w:rsidR="00853AB4" w:rsidRPr="00327088">
        <w:rPr>
          <w:rFonts w:ascii="Times New Roman" w:hAnsi="Times New Roman" w:cs="Times New Roman"/>
          <w:sz w:val="24"/>
          <w:szCs w:val="24"/>
        </w:rPr>
        <w:t>s</w:t>
      </w:r>
      <w:r w:rsidR="00802EA8" w:rsidRPr="00327088">
        <w:rPr>
          <w:rFonts w:ascii="Times New Roman" w:hAnsi="Times New Roman" w:cs="Times New Roman"/>
          <w:sz w:val="24"/>
          <w:szCs w:val="24"/>
        </w:rPr>
        <w:t xml:space="preserve">. </w:t>
      </w:r>
      <w:r w:rsidR="00B76151" w:rsidRPr="00327088">
        <w:rPr>
          <w:rFonts w:ascii="Times New Roman" w:hAnsi="Times New Roman" w:cs="Times New Roman"/>
          <w:sz w:val="24"/>
          <w:szCs w:val="24"/>
        </w:rPr>
        <w:t>The specified interval only applies if the employee undergoes the examination.</w:t>
      </w:r>
    </w:p>
    <w:p w:rsidR="00CF76A0" w:rsidRDefault="00CF76A0" w:rsidP="00327088">
      <w:pPr>
        <w:spacing w:after="120" w:line="240" w:lineRule="auto"/>
        <w:rPr>
          <w:rFonts w:ascii="Times New Roman" w:hAnsi="Times New Roman" w:cs="Times New Roman"/>
          <w:sz w:val="24"/>
          <w:szCs w:val="24"/>
        </w:rPr>
      </w:pPr>
      <w:r w:rsidRPr="00327088">
        <w:rPr>
          <w:rFonts w:ascii="Times New Roman" w:hAnsi="Times New Roman" w:cs="Times New Roman"/>
          <w:sz w:val="24"/>
          <w:szCs w:val="24"/>
        </w:rPr>
        <w:t xml:space="preserve">For the avoidance of doubt, the intervals specified in this instrument are the minimum intervals for which employees can be required to undergo an examination under sections 66 and 83A of the Seafarers Act. This instrument does not specify, or imply, that employees should be required to undergo an examination at such intervals under sections 66 and 83A of the Seafarers Act.  </w:t>
      </w:r>
    </w:p>
    <w:p w:rsidR="00327088" w:rsidRPr="009B592C" w:rsidRDefault="00327088" w:rsidP="00327088">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Section 2 of this instrument provides that this instrument commences the day after it is registered on the Federal Register of Legislation.</w:t>
      </w:r>
    </w:p>
    <w:p w:rsidR="00BD5321" w:rsidRPr="00327088" w:rsidRDefault="00BD5321" w:rsidP="00327088">
      <w:pPr>
        <w:spacing w:after="120" w:line="240" w:lineRule="auto"/>
        <w:rPr>
          <w:rFonts w:ascii="Times New Roman" w:hAnsi="Times New Roman" w:cs="Times New Roman"/>
          <w:sz w:val="24"/>
          <w:szCs w:val="24"/>
          <w:u w:val="single"/>
        </w:rPr>
      </w:pPr>
      <w:r w:rsidRPr="009B592C">
        <w:rPr>
          <w:rFonts w:ascii="Times New Roman" w:hAnsi="Times New Roman" w:cs="Times New Roman"/>
          <w:sz w:val="24"/>
          <w:szCs w:val="24"/>
        </w:rPr>
        <w:t xml:space="preserve">Details of the provisions of this instrument are set out in </w:t>
      </w:r>
      <w:r w:rsidRPr="009B592C">
        <w:rPr>
          <w:rFonts w:ascii="Times New Roman" w:hAnsi="Times New Roman" w:cs="Times New Roman"/>
          <w:sz w:val="24"/>
          <w:szCs w:val="24"/>
          <w:u w:val="single"/>
        </w:rPr>
        <w:t>Attachment A</w:t>
      </w:r>
      <w:r w:rsidRPr="00327088">
        <w:rPr>
          <w:rFonts w:ascii="Times New Roman" w:hAnsi="Times New Roman" w:cs="Times New Roman"/>
          <w:sz w:val="24"/>
          <w:szCs w:val="24"/>
        </w:rPr>
        <w:t>.</w:t>
      </w:r>
    </w:p>
    <w:p w:rsidR="00F11476" w:rsidRPr="00327088" w:rsidRDefault="00F11476" w:rsidP="00327088">
      <w:pPr>
        <w:spacing w:after="120" w:line="240" w:lineRule="auto"/>
        <w:rPr>
          <w:rFonts w:ascii="Times New Roman" w:eastAsia="Calibri" w:hAnsi="Times New Roman" w:cs="Times New Roman"/>
          <w:sz w:val="24"/>
          <w:szCs w:val="24"/>
        </w:rPr>
      </w:pPr>
      <w:r w:rsidRPr="00327088">
        <w:rPr>
          <w:rFonts w:ascii="Times New Roman" w:eastAsia="Calibri" w:hAnsi="Times New Roman" w:cs="Times New Roman"/>
          <w:sz w:val="24"/>
          <w:szCs w:val="24"/>
        </w:rPr>
        <w:t xml:space="preserve">This instrument is a legislative instrument for the purposes of the </w:t>
      </w:r>
      <w:r w:rsidRPr="00327088">
        <w:rPr>
          <w:rFonts w:ascii="Times New Roman" w:eastAsia="Calibri" w:hAnsi="Times New Roman" w:cs="Times New Roman"/>
          <w:i/>
          <w:sz w:val="24"/>
          <w:szCs w:val="24"/>
        </w:rPr>
        <w:t>Legislation Act 2003</w:t>
      </w:r>
      <w:r w:rsidRPr="00327088">
        <w:rPr>
          <w:rFonts w:ascii="Times New Roman" w:eastAsia="Calibri" w:hAnsi="Times New Roman" w:cs="Times New Roman"/>
          <w:sz w:val="24"/>
          <w:szCs w:val="24"/>
        </w:rPr>
        <w:t>.</w:t>
      </w:r>
    </w:p>
    <w:p w:rsidR="00300378" w:rsidRPr="00327088" w:rsidRDefault="00300378" w:rsidP="00327088">
      <w:pPr>
        <w:keepNext/>
        <w:keepLines/>
        <w:spacing w:after="120" w:line="240" w:lineRule="auto"/>
        <w:rPr>
          <w:rFonts w:ascii="Times New Roman" w:eastAsia="Calibri" w:hAnsi="Times New Roman" w:cs="Times New Roman"/>
          <w:b/>
          <w:sz w:val="24"/>
          <w:szCs w:val="24"/>
        </w:rPr>
      </w:pPr>
      <w:r w:rsidRPr="00327088">
        <w:rPr>
          <w:rFonts w:ascii="Times New Roman" w:eastAsia="Calibri" w:hAnsi="Times New Roman" w:cs="Times New Roman"/>
          <w:b/>
          <w:sz w:val="24"/>
          <w:szCs w:val="24"/>
        </w:rPr>
        <w:t>Consultation</w:t>
      </w:r>
    </w:p>
    <w:p w:rsidR="00DE0DA2" w:rsidRPr="00327088" w:rsidRDefault="00F11476" w:rsidP="00327088">
      <w:pPr>
        <w:spacing w:after="120" w:line="240" w:lineRule="auto"/>
        <w:rPr>
          <w:rFonts w:ascii="Times New Roman" w:eastAsia="Calibri" w:hAnsi="Times New Roman" w:cs="Times New Roman"/>
          <w:b/>
          <w:sz w:val="24"/>
          <w:szCs w:val="24"/>
        </w:rPr>
      </w:pPr>
      <w:r w:rsidRPr="00327088">
        <w:rPr>
          <w:rFonts w:ascii="Times New Roman" w:eastAsia="Calibri" w:hAnsi="Times New Roman" w:cs="Times New Roman"/>
          <w:sz w:val="24"/>
          <w:szCs w:val="24"/>
        </w:rPr>
        <w:t>The Department of Jobs and Small Business c</w:t>
      </w:r>
      <w:r w:rsidR="006205FD">
        <w:rPr>
          <w:rFonts w:ascii="Times New Roman" w:eastAsia="Calibri" w:hAnsi="Times New Roman" w:cs="Times New Roman"/>
          <w:sz w:val="24"/>
          <w:szCs w:val="24"/>
        </w:rPr>
        <w:t xml:space="preserve">onsulted </w:t>
      </w:r>
      <w:r w:rsidRPr="00327088">
        <w:rPr>
          <w:rFonts w:ascii="Times New Roman" w:eastAsia="Calibri" w:hAnsi="Times New Roman" w:cs="Times New Roman"/>
          <w:sz w:val="24"/>
          <w:szCs w:val="24"/>
        </w:rPr>
        <w:t>employ</w:t>
      </w:r>
      <w:r w:rsidR="00925375">
        <w:rPr>
          <w:rFonts w:ascii="Times New Roman" w:eastAsia="Calibri" w:hAnsi="Times New Roman" w:cs="Times New Roman"/>
          <w:sz w:val="24"/>
          <w:szCs w:val="24"/>
        </w:rPr>
        <w:t>er and employee representatives,</w:t>
      </w:r>
      <w:r w:rsidRPr="00327088">
        <w:rPr>
          <w:rFonts w:ascii="Times New Roman" w:eastAsia="Calibri" w:hAnsi="Times New Roman" w:cs="Times New Roman"/>
          <w:sz w:val="24"/>
          <w:szCs w:val="24"/>
        </w:rPr>
        <w:t xml:space="preserve"> the Seacare Authority, Comcare and the Australian Maritime Safety Authority</w:t>
      </w:r>
      <w:r w:rsidR="008359B1">
        <w:rPr>
          <w:rFonts w:ascii="Times New Roman" w:eastAsia="Calibri" w:hAnsi="Times New Roman" w:cs="Times New Roman"/>
          <w:sz w:val="24"/>
          <w:szCs w:val="24"/>
        </w:rPr>
        <w:t xml:space="preserve">. </w:t>
      </w:r>
    </w:p>
    <w:p w:rsidR="00300378" w:rsidRPr="00327088" w:rsidRDefault="00300378" w:rsidP="00327088">
      <w:pPr>
        <w:spacing w:after="120" w:line="240" w:lineRule="auto"/>
        <w:rPr>
          <w:rFonts w:ascii="Times New Roman" w:eastAsia="Calibri" w:hAnsi="Times New Roman" w:cs="Times New Roman"/>
          <w:b/>
          <w:sz w:val="24"/>
          <w:szCs w:val="24"/>
        </w:rPr>
      </w:pPr>
      <w:r w:rsidRPr="00327088">
        <w:rPr>
          <w:rFonts w:ascii="Times New Roman" w:eastAsia="Calibri" w:hAnsi="Times New Roman" w:cs="Times New Roman"/>
          <w:b/>
          <w:sz w:val="24"/>
          <w:szCs w:val="24"/>
        </w:rPr>
        <w:t>R</w:t>
      </w:r>
      <w:r w:rsidR="00E204DD" w:rsidRPr="00327088">
        <w:rPr>
          <w:rFonts w:ascii="Times New Roman" w:eastAsia="Calibri" w:hAnsi="Times New Roman" w:cs="Times New Roman"/>
          <w:b/>
          <w:sz w:val="24"/>
          <w:szCs w:val="24"/>
        </w:rPr>
        <w:t xml:space="preserve">egulation </w:t>
      </w:r>
      <w:r w:rsidRPr="00327088">
        <w:rPr>
          <w:rFonts w:ascii="Times New Roman" w:eastAsia="Calibri" w:hAnsi="Times New Roman" w:cs="Times New Roman"/>
          <w:b/>
          <w:sz w:val="24"/>
          <w:szCs w:val="24"/>
        </w:rPr>
        <w:t>I</w:t>
      </w:r>
      <w:r w:rsidR="00E204DD" w:rsidRPr="00327088">
        <w:rPr>
          <w:rFonts w:ascii="Times New Roman" w:eastAsia="Calibri" w:hAnsi="Times New Roman" w:cs="Times New Roman"/>
          <w:b/>
          <w:sz w:val="24"/>
          <w:szCs w:val="24"/>
        </w:rPr>
        <w:t xml:space="preserve">mpact </w:t>
      </w:r>
      <w:r w:rsidRPr="00327088">
        <w:rPr>
          <w:rFonts w:ascii="Times New Roman" w:eastAsia="Calibri" w:hAnsi="Times New Roman" w:cs="Times New Roman"/>
          <w:b/>
          <w:sz w:val="24"/>
          <w:szCs w:val="24"/>
        </w:rPr>
        <w:t>S</w:t>
      </w:r>
      <w:r w:rsidR="00E204DD" w:rsidRPr="00327088">
        <w:rPr>
          <w:rFonts w:ascii="Times New Roman" w:eastAsia="Calibri" w:hAnsi="Times New Roman" w:cs="Times New Roman"/>
          <w:b/>
          <w:sz w:val="24"/>
          <w:szCs w:val="24"/>
        </w:rPr>
        <w:t>tatement</w:t>
      </w:r>
    </w:p>
    <w:p w:rsidR="00BD5321" w:rsidRPr="009B592C" w:rsidRDefault="00F11476" w:rsidP="00327088">
      <w:pPr>
        <w:spacing w:after="120" w:line="240" w:lineRule="auto"/>
        <w:rPr>
          <w:rFonts w:ascii="Times New Roman" w:hAnsi="Times New Roman" w:cs="Times New Roman"/>
          <w:color w:val="000000" w:themeColor="text1"/>
          <w:sz w:val="24"/>
          <w:szCs w:val="24"/>
          <w:lang w:eastAsia="en-AU"/>
        </w:rPr>
      </w:pPr>
      <w:r w:rsidRPr="00327088">
        <w:rPr>
          <w:rFonts w:ascii="Times New Roman" w:eastAsia="Calibri" w:hAnsi="Times New Roman" w:cs="Times New Roman"/>
          <w:sz w:val="24"/>
          <w:szCs w:val="24"/>
        </w:rPr>
        <w:t xml:space="preserve">The Office of Best Practice Regulation has confirmed that a Regulation Impact Statement is not required (OBPR ID </w:t>
      </w:r>
      <w:r w:rsidR="008A5381" w:rsidRPr="00327088">
        <w:rPr>
          <w:rFonts w:ascii="Times New Roman" w:eastAsia="Calibri" w:hAnsi="Times New Roman" w:cs="Times New Roman"/>
          <w:sz w:val="24"/>
          <w:szCs w:val="24"/>
        </w:rPr>
        <w:t>24112</w:t>
      </w:r>
      <w:r w:rsidR="0013445B" w:rsidRPr="00327088">
        <w:rPr>
          <w:rFonts w:ascii="Times New Roman" w:hAnsi="Times New Roman" w:cs="Times New Roman"/>
          <w:color w:val="000000" w:themeColor="text1"/>
          <w:sz w:val="24"/>
          <w:szCs w:val="24"/>
        </w:rPr>
        <w:t>)</w:t>
      </w:r>
      <w:r w:rsidR="0013445B" w:rsidRPr="00327088">
        <w:rPr>
          <w:rFonts w:ascii="Times New Roman" w:hAnsi="Times New Roman" w:cs="Times New Roman"/>
          <w:color w:val="000000" w:themeColor="text1"/>
          <w:sz w:val="24"/>
          <w:szCs w:val="24"/>
          <w:lang w:eastAsia="en-AU"/>
        </w:rPr>
        <w:t>.</w:t>
      </w:r>
      <w:r w:rsidR="00BD5321" w:rsidRPr="009B592C">
        <w:rPr>
          <w:rFonts w:ascii="Times New Roman" w:hAnsi="Times New Roman" w:cs="Times New Roman"/>
          <w:color w:val="000000" w:themeColor="text1"/>
          <w:sz w:val="24"/>
          <w:szCs w:val="24"/>
          <w:lang w:eastAsia="en-AU"/>
        </w:rPr>
        <w:br w:type="page"/>
      </w:r>
    </w:p>
    <w:p w:rsidR="000023B3" w:rsidRPr="009B592C" w:rsidRDefault="00BD5321" w:rsidP="00327088">
      <w:pPr>
        <w:spacing w:after="120" w:line="240" w:lineRule="auto"/>
        <w:jc w:val="right"/>
        <w:rPr>
          <w:rFonts w:ascii="Times New Roman" w:eastAsia="Calibri" w:hAnsi="Times New Roman" w:cs="Times New Roman"/>
          <w:sz w:val="24"/>
          <w:szCs w:val="24"/>
          <w:u w:val="single"/>
        </w:rPr>
      </w:pPr>
      <w:r w:rsidRPr="00327088">
        <w:rPr>
          <w:rFonts w:ascii="Times New Roman" w:eastAsia="Calibri" w:hAnsi="Times New Roman" w:cs="Times New Roman"/>
          <w:sz w:val="24"/>
          <w:szCs w:val="24"/>
          <w:u w:val="single"/>
        </w:rPr>
        <w:lastRenderedPageBreak/>
        <w:t>Attachment A</w:t>
      </w:r>
    </w:p>
    <w:p w:rsidR="00BD5321" w:rsidRPr="009B592C" w:rsidRDefault="00BD5321" w:rsidP="00327088">
      <w:pPr>
        <w:spacing w:after="120" w:line="240" w:lineRule="auto"/>
        <w:rPr>
          <w:rFonts w:ascii="Times New Roman" w:hAnsi="Times New Roman" w:cs="Times New Roman"/>
          <w:b/>
          <w:sz w:val="24"/>
          <w:szCs w:val="24"/>
        </w:rPr>
      </w:pPr>
      <w:r w:rsidRPr="00327088">
        <w:rPr>
          <w:rFonts w:ascii="Times New Roman" w:hAnsi="Times New Roman" w:cs="Times New Roman"/>
          <w:b/>
          <w:sz w:val="24"/>
          <w:szCs w:val="24"/>
        </w:rPr>
        <w:t xml:space="preserve">Section 1 – Name </w:t>
      </w:r>
    </w:p>
    <w:p w:rsidR="00BD5321" w:rsidRPr="009B592C" w:rsidRDefault="00BD5321" w:rsidP="00327088">
      <w:pPr>
        <w:spacing w:after="120" w:line="240" w:lineRule="auto"/>
        <w:rPr>
          <w:rFonts w:ascii="Times New Roman" w:hAnsi="Times New Roman" w:cs="Times New Roman"/>
          <w:sz w:val="24"/>
          <w:szCs w:val="24"/>
        </w:rPr>
      </w:pPr>
      <w:r w:rsidRPr="00327088">
        <w:rPr>
          <w:rFonts w:ascii="Times New Roman" w:hAnsi="Times New Roman" w:cs="Times New Roman"/>
          <w:sz w:val="24"/>
          <w:szCs w:val="24"/>
        </w:rPr>
        <w:t xml:space="preserve">Section 1 provides that the instrument is the </w:t>
      </w:r>
      <w:r w:rsidRPr="00327088">
        <w:rPr>
          <w:rFonts w:ascii="Times New Roman" w:hAnsi="Times New Roman" w:cs="Times New Roman"/>
          <w:i/>
          <w:sz w:val="24"/>
          <w:szCs w:val="24"/>
        </w:rPr>
        <w:t>Seafarers Rehabilitation and Compensation (Specification of Medical Examination Interval) Instrument 2019</w:t>
      </w:r>
      <w:r w:rsidRPr="00327088">
        <w:rPr>
          <w:rFonts w:ascii="Times New Roman" w:hAnsi="Times New Roman" w:cs="Times New Roman"/>
          <w:sz w:val="24"/>
          <w:szCs w:val="24"/>
        </w:rPr>
        <w:t>.</w:t>
      </w:r>
    </w:p>
    <w:p w:rsidR="00BD5321" w:rsidRPr="00327088" w:rsidRDefault="00BD5321" w:rsidP="00327088">
      <w:pPr>
        <w:spacing w:after="120" w:line="240" w:lineRule="auto"/>
        <w:rPr>
          <w:rFonts w:ascii="Times New Roman" w:hAnsi="Times New Roman" w:cs="Times New Roman"/>
          <w:b/>
          <w:sz w:val="24"/>
          <w:szCs w:val="24"/>
        </w:rPr>
      </w:pPr>
      <w:r w:rsidRPr="009B592C">
        <w:rPr>
          <w:rFonts w:ascii="Times New Roman" w:hAnsi="Times New Roman" w:cs="Times New Roman"/>
          <w:b/>
          <w:sz w:val="24"/>
          <w:szCs w:val="24"/>
        </w:rPr>
        <w:t xml:space="preserve">Section 2 – Commencement </w:t>
      </w:r>
    </w:p>
    <w:p w:rsidR="008359B1" w:rsidRDefault="00BD5321" w:rsidP="00327088">
      <w:pPr>
        <w:spacing w:after="120" w:line="240" w:lineRule="auto"/>
        <w:rPr>
          <w:rFonts w:ascii="Times New Roman" w:hAnsi="Times New Roman" w:cs="Times New Roman"/>
          <w:sz w:val="24"/>
          <w:szCs w:val="24"/>
        </w:rPr>
      </w:pPr>
      <w:r w:rsidRPr="009B592C">
        <w:rPr>
          <w:rFonts w:ascii="Times New Roman" w:hAnsi="Times New Roman" w:cs="Times New Roman"/>
          <w:sz w:val="24"/>
          <w:szCs w:val="24"/>
        </w:rPr>
        <w:t>Section 2 provides that this instrument takes effect from the day after it is registered on the Federal Register of Legislation</w:t>
      </w:r>
    </w:p>
    <w:p w:rsidR="00BD5321" w:rsidRPr="009B592C" w:rsidRDefault="00BD5321" w:rsidP="00327088">
      <w:pPr>
        <w:spacing w:after="120" w:line="240" w:lineRule="auto"/>
        <w:rPr>
          <w:rFonts w:ascii="Times New Roman" w:hAnsi="Times New Roman" w:cs="Times New Roman"/>
          <w:b/>
          <w:sz w:val="24"/>
          <w:szCs w:val="24"/>
        </w:rPr>
      </w:pPr>
      <w:r w:rsidRPr="009B592C">
        <w:rPr>
          <w:rFonts w:ascii="Times New Roman" w:hAnsi="Times New Roman" w:cs="Times New Roman"/>
          <w:b/>
          <w:sz w:val="24"/>
          <w:szCs w:val="24"/>
        </w:rPr>
        <w:t xml:space="preserve">Section 3 – Authority </w:t>
      </w:r>
    </w:p>
    <w:p w:rsidR="00BD5321" w:rsidRPr="009B592C" w:rsidRDefault="00BD5321" w:rsidP="00327088">
      <w:pPr>
        <w:spacing w:after="120" w:line="240" w:lineRule="auto"/>
        <w:rPr>
          <w:rFonts w:ascii="Times New Roman" w:hAnsi="Times New Roman" w:cs="Times New Roman"/>
          <w:sz w:val="24"/>
          <w:szCs w:val="24"/>
        </w:rPr>
      </w:pPr>
      <w:r w:rsidRPr="009B592C">
        <w:rPr>
          <w:rFonts w:ascii="Times New Roman" w:hAnsi="Times New Roman" w:cs="Times New Roman"/>
          <w:sz w:val="24"/>
          <w:szCs w:val="24"/>
        </w:rPr>
        <w:t>Section 3 provides the instrument is made under subsections 66(6) and 83A(9) of the Seafarers Act.</w:t>
      </w:r>
    </w:p>
    <w:p w:rsidR="00BD5321" w:rsidRPr="00327088" w:rsidRDefault="00BD5321" w:rsidP="00327088">
      <w:pPr>
        <w:spacing w:after="120" w:line="240" w:lineRule="auto"/>
        <w:rPr>
          <w:rFonts w:ascii="Times New Roman" w:hAnsi="Times New Roman" w:cs="Times New Roman"/>
          <w:b/>
          <w:sz w:val="24"/>
          <w:szCs w:val="24"/>
        </w:rPr>
      </w:pPr>
      <w:r w:rsidRPr="009B592C">
        <w:rPr>
          <w:rFonts w:ascii="Times New Roman" w:hAnsi="Times New Roman" w:cs="Times New Roman"/>
          <w:b/>
          <w:sz w:val="24"/>
          <w:szCs w:val="24"/>
        </w:rPr>
        <w:t xml:space="preserve">Section 4 – Definitions </w:t>
      </w:r>
    </w:p>
    <w:p w:rsidR="00BD5321" w:rsidRPr="009B592C" w:rsidRDefault="00BD5321" w:rsidP="00327088">
      <w:pPr>
        <w:spacing w:after="120" w:line="240" w:lineRule="auto"/>
        <w:rPr>
          <w:rFonts w:ascii="Times New Roman" w:hAnsi="Times New Roman" w:cs="Times New Roman"/>
          <w:sz w:val="24"/>
          <w:szCs w:val="24"/>
        </w:rPr>
      </w:pPr>
      <w:r w:rsidRPr="009B592C">
        <w:rPr>
          <w:rFonts w:ascii="Times New Roman" w:hAnsi="Times New Roman" w:cs="Times New Roman"/>
          <w:sz w:val="24"/>
          <w:szCs w:val="24"/>
        </w:rPr>
        <w:t xml:space="preserve">Section 4 of this instrument contains definitions. In particular, it clarifies who the ‘employer’ is for the purposes of section 6 of the instrument. </w:t>
      </w:r>
    </w:p>
    <w:p w:rsidR="00BD5321" w:rsidRPr="00327088" w:rsidRDefault="00BD5321" w:rsidP="00327088">
      <w:pPr>
        <w:spacing w:after="120" w:line="240" w:lineRule="auto"/>
        <w:rPr>
          <w:rFonts w:ascii="Times New Roman" w:hAnsi="Times New Roman" w:cs="Times New Roman"/>
          <w:b/>
          <w:sz w:val="24"/>
          <w:szCs w:val="24"/>
        </w:rPr>
      </w:pPr>
      <w:r w:rsidRPr="009B592C">
        <w:rPr>
          <w:rFonts w:ascii="Times New Roman" w:hAnsi="Times New Roman" w:cs="Times New Roman"/>
          <w:b/>
          <w:sz w:val="24"/>
          <w:szCs w:val="24"/>
        </w:rPr>
        <w:t xml:space="preserve">Section 5 – Schedules </w:t>
      </w:r>
    </w:p>
    <w:p w:rsidR="00BD5321" w:rsidRPr="009B592C" w:rsidRDefault="00BD5321" w:rsidP="00327088">
      <w:pPr>
        <w:spacing w:after="120" w:line="240" w:lineRule="auto"/>
        <w:rPr>
          <w:rFonts w:ascii="Times New Roman" w:hAnsi="Times New Roman" w:cs="Times New Roman"/>
          <w:sz w:val="24"/>
          <w:szCs w:val="24"/>
        </w:rPr>
      </w:pPr>
      <w:r w:rsidRPr="009B592C">
        <w:rPr>
          <w:rFonts w:ascii="Times New Roman" w:hAnsi="Times New Roman" w:cs="Times New Roman"/>
          <w:sz w:val="24"/>
          <w:szCs w:val="24"/>
        </w:rPr>
        <w:t xml:space="preserve">Section 5 is a standard provision with the effect that instruments are repealed as set out in the Schedule 1. The following instruments, or items </w:t>
      </w:r>
      <w:r w:rsidR="002315C5">
        <w:rPr>
          <w:rFonts w:ascii="Times New Roman" w:hAnsi="Times New Roman" w:cs="Times New Roman"/>
          <w:sz w:val="24"/>
          <w:szCs w:val="24"/>
        </w:rPr>
        <w:t xml:space="preserve">of </w:t>
      </w:r>
      <w:r w:rsidRPr="009B592C">
        <w:rPr>
          <w:rFonts w:ascii="Times New Roman" w:hAnsi="Times New Roman" w:cs="Times New Roman"/>
          <w:sz w:val="24"/>
          <w:szCs w:val="24"/>
        </w:rPr>
        <w:t>instruments, are repealed by Schedule 1:</w:t>
      </w:r>
    </w:p>
    <w:p w:rsidR="00FE5767" w:rsidRPr="00327088" w:rsidRDefault="00BD5321" w:rsidP="00327088">
      <w:pPr>
        <w:spacing w:after="120" w:line="240" w:lineRule="auto"/>
        <w:rPr>
          <w:rFonts w:ascii="Times New Roman" w:hAnsi="Times New Roman" w:cs="Times New Roman"/>
          <w:sz w:val="24"/>
          <w:szCs w:val="24"/>
          <w:u w:val="single"/>
        </w:rPr>
      </w:pPr>
      <w:r w:rsidRPr="00327088">
        <w:rPr>
          <w:rFonts w:ascii="Times New Roman" w:hAnsi="Times New Roman" w:cs="Times New Roman"/>
          <w:i/>
          <w:sz w:val="24"/>
          <w:szCs w:val="24"/>
          <w:u w:val="single"/>
        </w:rPr>
        <w:t>Seafarers Rehabilitation and Compensation Act 1992 – Seacare Authority Notice No. 1 of 1997</w:t>
      </w:r>
    </w:p>
    <w:p w:rsidR="00BD5321" w:rsidRPr="00327088" w:rsidRDefault="00FE5767" w:rsidP="00327088">
      <w:pPr>
        <w:spacing w:after="120" w:line="240" w:lineRule="auto"/>
        <w:rPr>
          <w:rFonts w:ascii="Times New Roman" w:hAnsi="Times New Roman" w:cs="Times New Roman"/>
          <w:sz w:val="24"/>
          <w:szCs w:val="24"/>
        </w:rPr>
      </w:pPr>
      <w:r w:rsidRPr="009B592C">
        <w:rPr>
          <w:rFonts w:ascii="Times New Roman" w:hAnsi="Times New Roman" w:cs="Times New Roman"/>
          <w:sz w:val="24"/>
          <w:szCs w:val="24"/>
        </w:rPr>
        <w:t xml:space="preserve">Item 1 of Schedule 1 to this instrument repeals the </w:t>
      </w:r>
      <w:r w:rsidR="002315C5" w:rsidRPr="00327088">
        <w:rPr>
          <w:rFonts w:ascii="Times New Roman" w:hAnsi="Times New Roman" w:cs="Times New Roman"/>
          <w:i/>
          <w:sz w:val="24"/>
          <w:szCs w:val="24"/>
        </w:rPr>
        <w:t>Seafarers Rehabilitation and Compensation Act 1992 – Seacare Authority Notice No. 1 of 1997</w:t>
      </w:r>
      <w:r w:rsidR="002315C5">
        <w:rPr>
          <w:rFonts w:ascii="Times New Roman" w:hAnsi="Times New Roman" w:cs="Times New Roman"/>
          <w:i/>
          <w:sz w:val="24"/>
          <w:szCs w:val="24"/>
        </w:rPr>
        <w:t xml:space="preserve"> </w:t>
      </w:r>
      <w:r w:rsidR="002315C5" w:rsidRPr="00327088">
        <w:rPr>
          <w:rFonts w:ascii="Times New Roman" w:hAnsi="Times New Roman" w:cs="Times New Roman"/>
          <w:sz w:val="24"/>
          <w:szCs w:val="24"/>
        </w:rPr>
        <w:t>(</w:t>
      </w:r>
      <w:r w:rsidRPr="009B592C">
        <w:rPr>
          <w:rFonts w:ascii="Times New Roman" w:hAnsi="Times New Roman" w:cs="Times New Roman"/>
          <w:sz w:val="24"/>
          <w:szCs w:val="24"/>
        </w:rPr>
        <w:t>1997 Notice</w:t>
      </w:r>
      <w:r w:rsidR="002315C5">
        <w:rPr>
          <w:rFonts w:ascii="Times New Roman" w:hAnsi="Times New Roman" w:cs="Times New Roman"/>
          <w:sz w:val="24"/>
          <w:szCs w:val="24"/>
        </w:rPr>
        <w:t>)</w:t>
      </w:r>
      <w:r w:rsidRPr="009B592C">
        <w:rPr>
          <w:rFonts w:ascii="Times New Roman" w:hAnsi="Times New Roman" w:cs="Times New Roman"/>
          <w:sz w:val="24"/>
          <w:szCs w:val="24"/>
        </w:rPr>
        <w:t>. The 1997</w:t>
      </w:r>
      <w:r w:rsidR="002315C5">
        <w:rPr>
          <w:rFonts w:ascii="Times New Roman" w:hAnsi="Times New Roman" w:cs="Times New Roman"/>
          <w:sz w:val="24"/>
          <w:szCs w:val="24"/>
        </w:rPr>
        <w:t> </w:t>
      </w:r>
      <w:r w:rsidRPr="009B592C">
        <w:rPr>
          <w:rFonts w:ascii="Times New Roman" w:hAnsi="Times New Roman" w:cs="Times New Roman"/>
          <w:sz w:val="24"/>
          <w:szCs w:val="24"/>
        </w:rPr>
        <w:t xml:space="preserve">Notice specified the intervals of medical examinations under subsection 83A(9) of the Seafarers Act. It also specified a kilometre rate for journeys to which subsections 66(4B) and 83A(5) apply. The </w:t>
      </w:r>
      <w:r w:rsidRPr="00327088">
        <w:rPr>
          <w:rFonts w:ascii="Times New Roman" w:hAnsi="Times New Roman" w:cs="Times New Roman"/>
          <w:i/>
          <w:sz w:val="24"/>
          <w:szCs w:val="24"/>
        </w:rPr>
        <w:t>Seafarers Rehabilitation and Compensation (Specified Rate per Kilometre) Notice 2008 (1)</w:t>
      </w:r>
      <w:r w:rsidRPr="009B592C">
        <w:rPr>
          <w:rFonts w:ascii="Times New Roman" w:hAnsi="Times New Roman" w:cs="Times New Roman"/>
          <w:sz w:val="24"/>
          <w:szCs w:val="24"/>
        </w:rPr>
        <w:t xml:space="preserve"> (F2008L02333) currently specifies </w:t>
      </w:r>
      <w:r w:rsidR="002315C5">
        <w:rPr>
          <w:rFonts w:ascii="Times New Roman" w:hAnsi="Times New Roman" w:cs="Times New Roman"/>
          <w:sz w:val="24"/>
          <w:szCs w:val="24"/>
        </w:rPr>
        <w:t xml:space="preserve">the </w:t>
      </w:r>
      <w:r w:rsidRPr="009B592C">
        <w:rPr>
          <w:rFonts w:ascii="Times New Roman" w:hAnsi="Times New Roman" w:cs="Times New Roman"/>
          <w:sz w:val="24"/>
          <w:szCs w:val="24"/>
        </w:rPr>
        <w:t>kilometre</w:t>
      </w:r>
      <w:r w:rsidR="00741AC6">
        <w:rPr>
          <w:rFonts w:ascii="Times New Roman" w:hAnsi="Times New Roman" w:cs="Times New Roman"/>
          <w:sz w:val="24"/>
          <w:szCs w:val="24"/>
        </w:rPr>
        <w:t xml:space="preserve"> rate</w:t>
      </w:r>
      <w:r w:rsidRPr="009B592C">
        <w:rPr>
          <w:rFonts w:ascii="Times New Roman" w:hAnsi="Times New Roman" w:cs="Times New Roman"/>
          <w:sz w:val="24"/>
          <w:szCs w:val="24"/>
        </w:rPr>
        <w:t xml:space="preserve"> in respect of those journeys. </w:t>
      </w:r>
    </w:p>
    <w:p w:rsidR="00FE5767" w:rsidRPr="009B592C" w:rsidRDefault="00BD5321" w:rsidP="00327088">
      <w:pPr>
        <w:spacing w:after="120" w:line="240" w:lineRule="auto"/>
        <w:rPr>
          <w:rFonts w:ascii="Times New Roman" w:hAnsi="Times New Roman" w:cs="Times New Roman"/>
          <w:sz w:val="24"/>
          <w:szCs w:val="24"/>
        </w:rPr>
      </w:pPr>
      <w:r w:rsidRPr="00327088">
        <w:rPr>
          <w:rFonts w:ascii="Times New Roman" w:hAnsi="Times New Roman" w:cs="Times New Roman"/>
          <w:sz w:val="24"/>
          <w:szCs w:val="24"/>
          <w:u w:val="single"/>
        </w:rPr>
        <w:t xml:space="preserve">Item 3 of the </w:t>
      </w:r>
      <w:r w:rsidRPr="00327088">
        <w:rPr>
          <w:rFonts w:ascii="Times New Roman" w:hAnsi="Times New Roman" w:cs="Times New Roman"/>
          <w:i/>
          <w:sz w:val="24"/>
          <w:szCs w:val="24"/>
          <w:u w:val="single"/>
        </w:rPr>
        <w:t>Seafarers Rehabilitation and Compensation Act 1992 – Notice of Declarations and Specifications (25/05/1993)</w:t>
      </w:r>
    </w:p>
    <w:p w:rsidR="00BD5321" w:rsidRPr="00327088" w:rsidRDefault="00D0062D" w:rsidP="00327088">
      <w:pPr>
        <w:spacing w:after="120" w:line="240" w:lineRule="auto"/>
        <w:rPr>
          <w:rFonts w:ascii="Times New Roman" w:hAnsi="Times New Roman" w:cs="Times New Roman"/>
          <w:sz w:val="24"/>
          <w:szCs w:val="24"/>
        </w:rPr>
      </w:pPr>
      <w:r>
        <w:rPr>
          <w:rFonts w:ascii="Times New Roman" w:hAnsi="Times New Roman" w:cs="Times New Roman"/>
          <w:sz w:val="24"/>
          <w:szCs w:val="24"/>
        </w:rPr>
        <w:t>Item 2 of Schedule 1 repeals i</w:t>
      </w:r>
      <w:r w:rsidR="00FE5767" w:rsidRPr="009B592C">
        <w:rPr>
          <w:rFonts w:ascii="Times New Roman" w:hAnsi="Times New Roman" w:cs="Times New Roman"/>
          <w:sz w:val="24"/>
          <w:szCs w:val="24"/>
        </w:rPr>
        <w:t xml:space="preserve">tem 3 of the </w:t>
      </w:r>
      <w:r w:rsidR="002315C5" w:rsidRPr="00327088">
        <w:rPr>
          <w:rFonts w:ascii="Times New Roman" w:hAnsi="Times New Roman" w:cs="Times New Roman"/>
          <w:i/>
          <w:sz w:val="24"/>
          <w:szCs w:val="24"/>
        </w:rPr>
        <w:t xml:space="preserve">Seafarers Rehabilitation and Compensation Act 1992 – Notice of Declarations and Specifications (25/05/1993) </w:t>
      </w:r>
      <w:r w:rsidR="002315C5" w:rsidRPr="00327088">
        <w:rPr>
          <w:rFonts w:ascii="Times New Roman" w:hAnsi="Times New Roman" w:cs="Times New Roman"/>
          <w:sz w:val="24"/>
          <w:szCs w:val="24"/>
        </w:rPr>
        <w:t>(</w:t>
      </w:r>
      <w:r w:rsidR="00FE5767" w:rsidRPr="009B592C">
        <w:rPr>
          <w:rFonts w:ascii="Times New Roman" w:hAnsi="Times New Roman" w:cs="Times New Roman"/>
          <w:sz w:val="24"/>
          <w:szCs w:val="24"/>
        </w:rPr>
        <w:t>1993 Notice</w:t>
      </w:r>
      <w:r w:rsidR="002315C5">
        <w:rPr>
          <w:rFonts w:ascii="Times New Roman" w:hAnsi="Times New Roman" w:cs="Times New Roman"/>
          <w:sz w:val="24"/>
          <w:szCs w:val="24"/>
        </w:rPr>
        <w:t>)</w:t>
      </w:r>
      <w:r w:rsidR="00FE5767" w:rsidRPr="009B592C">
        <w:rPr>
          <w:rFonts w:ascii="Times New Roman" w:hAnsi="Times New Roman" w:cs="Times New Roman"/>
          <w:sz w:val="24"/>
          <w:szCs w:val="24"/>
        </w:rPr>
        <w:t xml:space="preserve"> t</w:t>
      </w:r>
      <w:r w:rsidR="00BD5321" w:rsidRPr="00327088">
        <w:rPr>
          <w:rFonts w:ascii="Times New Roman" w:hAnsi="Times New Roman" w:cs="Times New Roman"/>
          <w:sz w:val="24"/>
          <w:szCs w:val="24"/>
        </w:rPr>
        <w:t>o provide certainty that there will be no concurrent operation of this instrument and item 3 of the 1993</w:t>
      </w:r>
      <w:r w:rsidR="002315C5">
        <w:rPr>
          <w:rFonts w:ascii="Times New Roman" w:hAnsi="Times New Roman" w:cs="Times New Roman"/>
          <w:sz w:val="24"/>
          <w:szCs w:val="24"/>
        </w:rPr>
        <w:t> </w:t>
      </w:r>
      <w:r w:rsidR="00BD5321" w:rsidRPr="00327088">
        <w:rPr>
          <w:rFonts w:ascii="Times New Roman" w:hAnsi="Times New Roman" w:cs="Times New Roman"/>
          <w:sz w:val="24"/>
          <w:szCs w:val="24"/>
        </w:rPr>
        <w:t xml:space="preserve">Notice. Item 3 </w:t>
      </w:r>
      <w:r w:rsidR="00FE5767" w:rsidRPr="009B592C">
        <w:rPr>
          <w:rFonts w:ascii="Times New Roman" w:hAnsi="Times New Roman" w:cs="Times New Roman"/>
          <w:sz w:val="24"/>
          <w:szCs w:val="24"/>
        </w:rPr>
        <w:t>of the 1993 Notice</w:t>
      </w:r>
      <w:r w:rsidR="00BD5321" w:rsidRPr="00327088">
        <w:rPr>
          <w:rFonts w:ascii="Times New Roman" w:hAnsi="Times New Roman" w:cs="Times New Roman"/>
          <w:sz w:val="24"/>
          <w:szCs w:val="24"/>
        </w:rPr>
        <w:t xml:space="preserve"> specified that the intervals between examinations by the same practitioner under subsection 66(6) of the Seafarers Act, shall not be less than one month if an employee is in receipt of weekly payments of compensation and had been subject to an assessment under section 49 of the Seafarers Act. </w:t>
      </w:r>
    </w:p>
    <w:p w:rsidR="00BD5321" w:rsidRPr="00327088" w:rsidRDefault="00BD5321" w:rsidP="00327088">
      <w:pPr>
        <w:keepNext/>
        <w:spacing w:after="120" w:line="240" w:lineRule="auto"/>
        <w:rPr>
          <w:rFonts w:ascii="Times New Roman" w:eastAsia="Calibri" w:hAnsi="Times New Roman" w:cs="Times New Roman"/>
          <w:b/>
          <w:sz w:val="24"/>
          <w:szCs w:val="24"/>
        </w:rPr>
      </w:pPr>
      <w:r w:rsidRPr="009B592C">
        <w:rPr>
          <w:rFonts w:ascii="Times New Roman" w:eastAsia="Calibri" w:hAnsi="Times New Roman" w:cs="Times New Roman"/>
          <w:b/>
          <w:sz w:val="24"/>
          <w:szCs w:val="24"/>
        </w:rPr>
        <w:t xml:space="preserve">Section 6 – Specification </w:t>
      </w:r>
    </w:p>
    <w:p w:rsidR="00BD5321" w:rsidRPr="009B592C" w:rsidRDefault="00BD5321" w:rsidP="00327088">
      <w:pPr>
        <w:spacing w:after="120" w:line="240" w:lineRule="auto"/>
        <w:rPr>
          <w:rFonts w:ascii="Times New Roman" w:hAnsi="Times New Roman" w:cs="Times New Roman"/>
          <w:sz w:val="24"/>
          <w:szCs w:val="24"/>
        </w:rPr>
      </w:pPr>
      <w:r w:rsidRPr="009B592C">
        <w:rPr>
          <w:rFonts w:ascii="Times New Roman" w:eastAsia="Calibri" w:hAnsi="Times New Roman" w:cs="Times New Roman"/>
          <w:sz w:val="24"/>
          <w:szCs w:val="24"/>
        </w:rPr>
        <w:t xml:space="preserve">Section 6 provides </w:t>
      </w:r>
      <w:r w:rsidRPr="009B592C">
        <w:rPr>
          <w:rFonts w:ascii="Times New Roman" w:hAnsi="Times New Roman" w:cs="Times New Roman"/>
          <w:sz w:val="24"/>
          <w:szCs w:val="24"/>
        </w:rPr>
        <w:t>an employee must not be required to undergo an examination by the same legally qualified medical practitioner nominated by the employer under section 66 or section 83A</w:t>
      </w:r>
      <w:r w:rsidR="00CF48F1">
        <w:rPr>
          <w:rFonts w:ascii="Times New Roman" w:hAnsi="Times New Roman" w:cs="Times New Roman"/>
          <w:sz w:val="24"/>
          <w:szCs w:val="24"/>
        </w:rPr>
        <w:t xml:space="preserve"> of the Seafarers Act</w:t>
      </w:r>
      <w:r w:rsidRPr="009B592C">
        <w:rPr>
          <w:rFonts w:ascii="Times New Roman" w:hAnsi="Times New Roman" w:cs="Times New Roman"/>
          <w:sz w:val="24"/>
          <w:szCs w:val="24"/>
        </w:rPr>
        <w:t xml:space="preserve"> more frequently than at one-month intervals (see subsections</w:t>
      </w:r>
      <w:r w:rsidR="002315C5">
        <w:rPr>
          <w:rFonts w:ascii="Times New Roman" w:hAnsi="Times New Roman" w:cs="Times New Roman"/>
          <w:sz w:val="24"/>
          <w:szCs w:val="24"/>
        </w:rPr>
        <w:t> </w:t>
      </w:r>
      <w:r w:rsidRPr="009B592C">
        <w:rPr>
          <w:rFonts w:ascii="Times New Roman" w:hAnsi="Times New Roman" w:cs="Times New Roman"/>
          <w:sz w:val="24"/>
          <w:szCs w:val="24"/>
        </w:rPr>
        <w:t>6(1) and (2)</w:t>
      </w:r>
      <w:r w:rsidR="002315C5">
        <w:rPr>
          <w:rFonts w:ascii="Times New Roman" w:hAnsi="Times New Roman" w:cs="Times New Roman"/>
          <w:sz w:val="24"/>
          <w:szCs w:val="24"/>
        </w:rPr>
        <w:t xml:space="preserve"> of the instrument</w:t>
      </w:r>
      <w:r w:rsidRPr="009B592C">
        <w:rPr>
          <w:rFonts w:ascii="Times New Roman" w:hAnsi="Times New Roman" w:cs="Times New Roman"/>
          <w:sz w:val="24"/>
          <w:szCs w:val="24"/>
        </w:rPr>
        <w:t>). The specified interval only applies if the employee undergoes the examination (see subsection 6(3) of the instrument</w:t>
      </w:r>
      <w:r w:rsidR="00CF48F1">
        <w:rPr>
          <w:rFonts w:ascii="Times New Roman" w:hAnsi="Times New Roman" w:cs="Times New Roman"/>
          <w:sz w:val="24"/>
          <w:szCs w:val="24"/>
        </w:rPr>
        <w:t>)</w:t>
      </w:r>
      <w:r w:rsidRPr="009B592C">
        <w:rPr>
          <w:rFonts w:ascii="Times New Roman" w:hAnsi="Times New Roman" w:cs="Times New Roman"/>
          <w:sz w:val="24"/>
          <w:szCs w:val="24"/>
        </w:rPr>
        <w:t>.</w:t>
      </w:r>
    </w:p>
    <w:p w:rsidR="00BD5321" w:rsidRPr="00327088" w:rsidRDefault="00BD5321" w:rsidP="00327088">
      <w:pPr>
        <w:keepNext/>
        <w:spacing w:after="120" w:line="240" w:lineRule="auto"/>
        <w:rPr>
          <w:rFonts w:ascii="Times New Roman" w:hAnsi="Times New Roman" w:cs="Times New Roman"/>
          <w:b/>
          <w:sz w:val="24"/>
          <w:szCs w:val="24"/>
        </w:rPr>
      </w:pPr>
      <w:r w:rsidRPr="009B592C">
        <w:rPr>
          <w:rFonts w:ascii="Times New Roman" w:hAnsi="Times New Roman" w:cs="Times New Roman"/>
          <w:b/>
          <w:sz w:val="24"/>
          <w:szCs w:val="24"/>
        </w:rPr>
        <w:t xml:space="preserve">Section 7 – Application </w:t>
      </w:r>
    </w:p>
    <w:p w:rsidR="00BD5321" w:rsidRPr="009B592C" w:rsidRDefault="00BD5321" w:rsidP="00327088">
      <w:pPr>
        <w:spacing w:after="120" w:line="240" w:lineRule="auto"/>
        <w:rPr>
          <w:rFonts w:ascii="Times New Roman" w:eastAsia="Calibri" w:hAnsi="Times New Roman" w:cs="Times New Roman"/>
          <w:sz w:val="24"/>
          <w:szCs w:val="24"/>
        </w:rPr>
      </w:pPr>
      <w:r w:rsidRPr="009B592C">
        <w:rPr>
          <w:rFonts w:ascii="Times New Roman" w:hAnsi="Times New Roman" w:cs="Times New Roman"/>
          <w:sz w:val="24"/>
          <w:szCs w:val="24"/>
        </w:rPr>
        <w:t>Section 7 provides that section 6 applies in relation to an examination that an employer may require the employee to undergo pursuant to section 66 or 83A of the Seafarers Act after the commencement of this instrument.</w:t>
      </w:r>
    </w:p>
    <w:p w:rsidR="0013445B" w:rsidRPr="00327088" w:rsidRDefault="0013445B" w:rsidP="009A1F57">
      <w:pPr>
        <w:spacing w:after="220" w:line="240" w:lineRule="auto"/>
        <w:rPr>
          <w:rFonts w:ascii="Times New Roman" w:eastAsia="Calibri" w:hAnsi="Times New Roman" w:cs="Times New Roman"/>
          <w:sz w:val="24"/>
          <w:szCs w:val="24"/>
        </w:rPr>
        <w:sectPr w:rsidR="0013445B" w:rsidRPr="00327088" w:rsidSect="00E73EF2">
          <w:footerReference w:type="default" r:id="rId11"/>
          <w:pgSz w:w="11906" w:h="16838"/>
          <w:pgMar w:top="1440" w:right="1418" w:bottom="1440" w:left="1418" w:header="709" w:footer="709" w:gutter="0"/>
          <w:cols w:space="708"/>
          <w:docGrid w:linePitch="360"/>
        </w:sectPr>
      </w:pPr>
    </w:p>
    <w:p w:rsidR="00E2522B" w:rsidRPr="00327088" w:rsidRDefault="00E2522B" w:rsidP="00B22168">
      <w:pPr>
        <w:pageBreakBefore/>
        <w:spacing w:after="220" w:line="240" w:lineRule="auto"/>
        <w:jc w:val="center"/>
        <w:rPr>
          <w:rFonts w:ascii="Times New Roman" w:eastAsia="Times New Roman" w:hAnsi="Times New Roman" w:cs="Times New Roman"/>
          <w:sz w:val="24"/>
          <w:szCs w:val="24"/>
          <w:lang w:eastAsia="en-AU"/>
        </w:rPr>
      </w:pPr>
      <w:r w:rsidRPr="00327088">
        <w:rPr>
          <w:rFonts w:ascii="Times New Roman" w:hAnsi="Times New Roman" w:cs="Times New Roman"/>
          <w:sz w:val="24"/>
          <w:szCs w:val="24"/>
        </w:rPr>
        <w:t>S</w:t>
      </w:r>
      <w:r w:rsidRPr="00327088">
        <w:rPr>
          <w:rFonts w:ascii="Times New Roman" w:eastAsia="Times New Roman" w:hAnsi="Times New Roman" w:cs="Times New Roman"/>
          <w:b/>
          <w:bCs/>
          <w:sz w:val="24"/>
          <w:szCs w:val="24"/>
          <w:lang w:eastAsia="en-AU"/>
        </w:rPr>
        <w:t>tatement of Compatibility with Human Rights</w:t>
      </w:r>
    </w:p>
    <w:p w:rsidR="00503867" w:rsidRPr="00327088" w:rsidRDefault="00E2522B" w:rsidP="00503867">
      <w:pPr>
        <w:spacing w:after="220" w:line="240" w:lineRule="auto"/>
        <w:jc w:val="center"/>
        <w:rPr>
          <w:rFonts w:ascii="Times New Roman" w:eastAsia="Times New Roman" w:hAnsi="Times New Roman" w:cs="Times New Roman"/>
          <w:sz w:val="24"/>
          <w:szCs w:val="24"/>
          <w:lang w:eastAsia="en-AU"/>
        </w:rPr>
      </w:pPr>
      <w:r w:rsidRPr="00327088">
        <w:rPr>
          <w:rFonts w:ascii="Times New Roman" w:eastAsia="Times New Roman" w:hAnsi="Times New Roman" w:cs="Times New Roman"/>
          <w:iCs/>
          <w:sz w:val="24"/>
          <w:szCs w:val="24"/>
          <w:lang w:eastAsia="en-AU"/>
        </w:rPr>
        <w:t>Prepared in accordance with Part 3 of the</w:t>
      </w:r>
      <w:r w:rsidRPr="00327088">
        <w:rPr>
          <w:rFonts w:ascii="Times New Roman" w:eastAsia="Times New Roman" w:hAnsi="Times New Roman" w:cs="Times New Roman"/>
          <w:i/>
          <w:iCs/>
          <w:sz w:val="24"/>
          <w:szCs w:val="24"/>
          <w:lang w:eastAsia="en-AU"/>
        </w:rPr>
        <w:t xml:space="preserve"> Human Rights (Parliamentary Scrutiny) Act 2011</w:t>
      </w:r>
    </w:p>
    <w:p w:rsidR="00503867" w:rsidRPr="00327088" w:rsidRDefault="00A7623B" w:rsidP="00920433">
      <w:pPr>
        <w:pStyle w:val="ShortT"/>
        <w:jc w:val="center"/>
        <w:rPr>
          <w:sz w:val="24"/>
          <w:szCs w:val="24"/>
        </w:rPr>
      </w:pPr>
      <w:r w:rsidRPr="00327088">
        <w:rPr>
          <w:sz w:val="24"/>
          <w:szCs w:val="24"/>
        </w:rPr>
        <w:t xml:space="preserve">Seafarers </w:t>
      </w:r>
      <w:r w:rsidR="00503867" w:rsidRPr="00327088">
        <w:rPr>
          <w:sz w:val="24"/>
          <w:szCs w:val="24"/>
        </w:rPr>
        <w:t xml:space="preserve">Rehabilitation and Compensation </w:t>
      </w:r>
      <w:r w:rsidR="006E1EE8">
        <w:rPr>
          <w:sz w:val="24"/>
          <w:szCs w:val="24"/>
        </w:rPr>
        <w:br/>
      </w:r>
      <w:r w:rsidR="00503867" w:rsidRPr="00327088">
        <w:rPr>
          <w:sz w:val="24"/>
          <w:szCs w:val="24"/>
        </w:rPr>
        <w:t xml:space="preserve">(Specification of </w:t>
      </w:r>
      <w:r w:rsidR="00920433" w:rsidRPr="00327088">
        <w:rPr>
          <w:sz w:val="24"/>
          <w:szCs w:val="24"/>
        </w:rPr>
        <w:t xml:space="preserve">Medical </w:t>
      </w:r>
      <w:r w:rsidR="00503867" w:rsidRPr="00327088">
        <w:rPr>
          <w:sz w:val="24"/>
          <w:szCs w:val="24"/>
        </w:rPr>
        <w:t xml:space="preserve">Examination Interval) Instrument </w:t>
      </w:r>
      <w:r w:rsidR="002C16B5" w:rsidRPr="00327088">
        <w:rPr>
          <w:sz w:val="24"/>
          <w:szCs w:val="24"/>
        </w:rPr>
        <w:t>2019</w:t>
      </w:r>
    </w:p>
    <w:p w:rsidR="00E2522B" w:rsidRPr="00327088" w:rsidRDefault="00C26472" w:rsidP="00327088">
      <w:pPr>
        <w:spacing w:before="240" w:after="120" w:line="240" w:lineRule="auto"/>
        <w:rPr>
          <w:rFonts w:ascii="Times New Roman" w:eastAsia="Times New Roman" w:hAnsi="Times New Roman" w:cs="Times New Roman"/>
          <w:sz w:val="24"/>
          <w:szCs w:val="24"/>
          <w:lang w:eastAsia="en-AU"/>
        </w:rPr>
      </w:pPr>
      <w:r w:rsidRPr="00327088">
        <w:rPr>
          <w:rFonts w:ascii="Times New Roman" w:eastAsia="Times New Roman" w:hAnsi="Times New Roman" w:cs="Times New Roman"/>
          <w:sz w:val="24"/>
          <w:szCs w:val="24"/>
          <w:lang w:eastAsia="en-AU"/>
        </w:rPr>
        <w:t>This l</w:t>
      </w:r>
      <w:r w:rsidR="00E2522B" w:rsidRPr="00327088">
        <w:rPr>
          <w:rFonts w:ascii="Times New Roman" w:eastAsia="Times New Roman" w:hAnsi="Times New Roman" w:cs="Times New Roman"/>
          <w:sz w:val="24"/>
          <w:szCs w:val="24"/>
          <w:lang w:eastAsia="en-AU"/>
        </w:rPr>
        <w:t xml:space="preserve">egislative </w:t>
      </w:r>
      <w:r w:rsidRPr="00327088">
        <w:rPr>
          <w:rFonts w:ascii="Times New Roman" w:eastAsia="Times New Roman" w:hAnsi="Times New Roman" w:cs="Times New Roman"/>
          <w:sz w:val="24"/>
          <w:szCs w:val="24"/>
          <w:lang w:eastAsia="en-AU"/>
        </w:rPr>
        <w:t>i</w:t>
      </w:r>
      <w:r w:rsidR="00E2522B" w:rsidRPr="00327088">
        <w:rPr>
          <w:rFonts w:ascii="Times New Roman" w:eastAsia="Times New Roman" w:hAnsi="Times New Roman" w:cs="Times New Roman"/>
          <w:sz w:val="24"/>
          <w:szCs w:val="24"/>
          <w:lang w:eastAsia="en-AU"/>
        </w:rPr>
        <w:t xml:space="preserve">nstrument is compatible with the human rights and freedoms recognised or declared by the international instruments listed in section 3 of the </w:t>
      </w:r>
      <w:r w:rsidR="00E2522B" w:rsidRPr="00327088">
        <w:rPr>
          <w:rFonts w:ascii="Times New Roman" w:eastAsia="Times New Roman" w:hAnsi="Times New Roman" w:cs="Times New Roman"/>
          <w:i/>
          <w:iCs/>
          <w:sz w:val="24"/>
          <w:szCs w:val="24"/>
          <w:lang w:eastAsia="en-AU"/>
        </w:rPr>
        <w:t>Human Rights (Parliamentary Scrutiny) Act 2011</w:t>
      </w:r>
      <w:r w:rsidR="00E2522B" w:rsidRPr="00327088">
        <w:rPr>
          <w:rFonts w:ascii="Times New Roman" w:eastAsia="Times New Roman" w:hAnsi="Times New Roman" w:cs="Times New Roman"/>
          <w:sz w:val="24"/>
          <w:szCs w:val="24"/>
          <w:lang w:eastAsia="en-AU"/>
        </w:rPr>
        <w:t>.</w:t>
      </w:r>
    </w:p>
    <w:p w:rsidR="00E2522B" w:rsidRPr="00327088" w:rsidRDefault="00E2522B" w:rsidP="00327088">
      <w:pPr>
        <w:spacing w:after="120" w:line="240" w:lineRule="auto"/>
        <w:rPr>
          <w:rFonts w:ascii="Times New Roman" w:eastAsia="Times New Roman" w:hAnsi="Times New Roman" w:cs="Times New Roman"/>
          <w:b/>
          <w:bCs/>
          <w:sz w:val="24"/>
          <w:szCs w:val="24"/>
          <w:lang w:eastAsia="en-AU"/>
        </w:rPr>
      </w:pPr>
      <w:r w:rsidRPr="00327088">
        <w:rPr>
          <w:rFonts w:ascii="Times New Roman" w:eastAsia="Times New Roman" w:hAnsi="Times New Roman" w:cs="Times New Roman"/>
          <w:b/>
          <w:bCs/>
          <w:sz w:val="24"/>
          <w:szCs w:val="24"/>
          <w:lang w:eastAsia="en-AU"/>
        </w:rPr>
        <w:t xml:space="preserve">Overview of the </w:t>
      </w:r>
      <w:r w:rsidR="00C26472" w:rsidRPr="00327088">
        <w:rPr>
          <w:rFonts w:ascii="Times New Roman" w:eastAsia="Times New Roman" w:hAnsi="Times New Roman" w:cs="Times New Roman"/>
          <w:b/>
          <w:bCs/>
          <w:sz w:val="24"/>
          <w:szCs w:val="24"/>
          <w:lang w:eastAsia="en-AU"/>
        </w:rPr>
        <w:t>l</w:t>
      </w:r>
      <w:r w:rsidRPr="00327088">
        <w:rPr>
          <w:rFonts w:ascii="Times New Roman" w:eastAsia="Times New Roman" w:hAnsi="Times New Roman" w:cs="Times New Roman"/>
          <w:b/>
          <w:bCs/>
          <w:sz w:val="24"/>
          <w:szCs w:val="24"/>
          <w:lang w:eastAsia="en-AU"/>
        </w:rPr>
        <w:t xml:space="preserve">egislative </w:t>
      </w:r>
      <w:r w:rsidR="00C26472" w:rsidRPr="00327088">
        <w:rPr>
          <w:rFonts w:ascii="Times New Roman" w:eastAsia="Times New Roman" w:hAnsi="Times New Roman" w:cs="Times New Roman"/>
          <w:b/>
          <w:bCs/>
          <w:sz w:val="24"/>
          <w:szCs w:val="24"/>
          <w:lang w:eastAsia="en-AU"/>
        </w:rPr>
        <w:t>i</w:t>
      </w:r>
      <w:r w:rsidRPr="00327088">
        <w:rPr>
          <w:rFonts w:ascii="Times New Roman" w:eastAsia="Times New Roman" w:hAnsi="Times New Roman" w:cs="Times New Roman"/>
          <w:b/>
          <w:bCs/>
          <w:sz w:val="24"/>
          <w:szCs w:val="24"/>
          <w:lang w:eastAsia="en-AU"/>
        </w:rPr>
        <w:t>nstrument</w:t>
      </w:r>
    </w:p>
    <w:p w:rsidR="00B97538" w:rsidRPr="00327088" w:rsidRDefault="00B97538" w:rsidP="00327088">
      <w:pPr>
        <w:spacing w:after="120" w:line="240" w:lineRule="auto"/>
        <w:rPr>
          <w:rFonts w:ascii="Times New Roman" w:hAnsi="Times New Roman" w:cs="Times New Roman"/>
          <w:sz w:val="24"/>
          <w:szCs w:val="24"/>
        </w:rPr>
      </w:pPr>
      <w:r w:rsidRPr="00327088">
        <w:rPr>
          <w:rFonts w:ascii="Times New Roman" w:hAnsi="Times New Roman" w:cs="Times New Roman"/>
          <w:sz w:val="24"/>
          <w:szCs w:val="24"/>
        </w:rPr>
        <w:t>Section 66 of the</w:t>
      </w:r>
      <w:r w:rsidR="00880913" w:rsidRPr="00327088">
        <w:rPr>
          <w:rFonts w:ascii="Times New Roman" w:hAnsi="Times New Roman" w:cs="Times New Roman"/>
          <w:sz w:val="24"/>
          <w:szCs w:val="24"/>
        </w:rPr>
        <w:t xml:space="preserve"> </w:t>
      </w:r>
      <w:r w:rsidR="00880913" w:rsidRPr="00327088">
        <w:rPr>
          <w:rFonts w:ascii="Times New Roman" w:hAnsi="Times New Roman" w:cs="Times New Roman"/>
          <w:i/>
          <w:sz w:val="24"/>
          <w:szCs w:val="24"/>
        </w:rPr>
        <w:t>Seafarers Rehabilitation and Compensation Act 1992</w:t>
      </w:r>
      <w:r w:rsidRPr="00327088">
        <w:rPr>
          <w:rFonts w:ascii="Times New Roman" w:hAnsi="Times New Roman" w:cs="Times New Roman"/>
          <w:sz w:val="24"/>
          <w:szCs w:val="24"/>
        </w:rPr>
        <w:t xml:space="preserve"> </w:t>
      </w:r>
      <w:r w:rsidR="00880913" w:rsidRPr="00327088">
        <w:rPr>
          <w:rFonts w:ascii="Times New Roman" w:hAnsi="Times New Roman" w:cs="Times New Roman"/>
          <w:sz w:val="24"/>
          <w:szCs w:val="24"/>
        </w:rPr>
        <w:t>(</w:t>
      </w:r>
      <w:r w:rsidRPr="00327088">
        <w:rPr>
          <w:rFonts w:ascii="Times New Roman" w:hAnsi="Times New Roman" w:cs="Times New Roman"/>
          <w:sz w:val="24"/>
          <w:szCs w:val="24"/>
        </w:rPr>
        <w:t>Seafarers Act</w:t>
      </w:r>
      <w:r w:rsidR="00880913" w:rsidRPr="00327088">
        <w:rPr>
          <w:rFonts w:ascii="Times New Roman" w:hAnsi="Times New Roman" w:cs="Times New Roman"/>
          <w:sz w:val="24"/>
          <w:szCs w:val="24"/>
        </w:rPr>
        <w:t>)</w:t>
      </w:r>
      <w:r w:rsidRPr="00327088">
        <w:rPr>
          <w:rFonts w:ascii="Times New Roman" w:hAnsi="Times New Roman" w:cs="Times New Roman"/>
          <w:sz w:val="24"/>
          <w:szCs w:val="24"/>
        </w:rPr>
        <w:t xml:space="preserve"> provides that if a notice has been given under section 62 in relation to an injury to an employee</w:t>
      </w:r>
      <w:r w:rsidRPr="00327088">
        <w:rPr>
          <w:rFonts w:ascii="Times New Roman" w:hAnsi="Times New Roman" w:cs="Times New Roman"/>
          <w:sz w:val="24"/>
          <w:szCs w:val="24"/>
          <w:lang w:val="en"/>
        </w:rPr>
        <w:t>, or if an employee has made a claim for compensation under section 63, the employer to whom the notice or claim is given may require the employee to undergo an examination by one legally qualified medical practitioner nominated by the employer</w:t>
      </w:r>
      <w:r w:rsidRPr="00327088">
        <w:rPr>
          <w:rFonts w:ascii="Times New Roman" w:hAnsi="Times New Roman" w:cs="Times New Roman"/>
          <w:sz w:val="24"/>
          <w:szCs w:val="24"/>
        </w:rPr>
        <w:t>. If the employee, without reasonable excuse, does not undergo the examination, or in any way obstructs the examination, the employee’s rights to compensation under the Act, and to institute or continue any proceedings under the Act in relation to compensation, are suspended until the examination takes place.</w:t>
      </w:r>
    </w:p>
    <w:p w:rsidR="00B97538" w:rsidRPr="00327088" w:rsidRDefault="00B97538" w:rsidP="00327088">
      <w:pPr>
        <w:spacing w:after="120" w:line="240" w:lineRule="auto"/>
        <w:rPr>
          <w:rFonts w:ascii="Times New Roman" w:hAnsi="Times New Roman" w:cs="Times New Roman"/>
          <w:sz w:val="24"/>
          <w:szCs w:val="24"/>
        </w:rPr>
      </w:pPr>
      <w:r w:rsidRPr="00327088">
        <w:rPr>
          <w:rFonts w:ascii="Times New Roman" w:hAnsi="Times New Roman" w:cs="Times New Roman"/>
          <w:sz w:val="24"/>
          <w:szCs w:val="24"/>
        </w:rPr>
        <w:t xml:space="preserve">Section 66 of the Seafarers Act is qualified by subsection 66(6), which provides that an employee must not be required to undergo an examination under section 66 at more frequent intervals than are specified by the Minister by legislative instrument. </w:t>
      </w:r>
    </w:p>
    <w:p w:rsidR="00B97538" w:rsidRPr="00327088" w:rsidRDefault="00B97538" w:rsidP="00327088">
      <w:pPr>
        <w:spacing w:after="120" w:line="240" w:lineRule="auto"/>
        <w:rPr>
          <w:rFonts w:ascii="Times New Roman" w:hAnsi="Times New Roman" w:cs="Times New Roman"/>
          <w:sz w:val="24"/>
          <w:szCs w:val="24"/>
        </w:rPr>
      </w:pPr>
      <w:r w:rsidRPr="00327088">
        <w:rPr>
          <w:rFonts w:ascii="Times New Roman" w:hAnsi="Times New Roman" w:cs="Times New Roman"/>
          <w:sz w:val="24"/>
          <w:szCs w:val="24"/>
        </w:rPr>
        <w:t>Section 83A of the Seafarers Act provides that if a claimant has requested an employer to reconsider a determination under subsection 78(2), the employer may, by written notice given to the claimant, require the employee to undergo an examination by one legally qualified medical practitioner nominated by the employer and require the claimant to give the employer a report by the medical practitioner of the results of the examination. If the employer does not receive such a report, the employer may refuse to reconsider the determination under section</w:t>
      </w:r>
      <w:r w:rsidR="002315C5">
        <w:rPr>
          <w:rFonts w:ascii="Times New Roman" w:hAnsi="Times New Roman" w:cs="Times New Roman"/>
          <w:sz w:val="24"/>
          <w:szCs w:val="24"/>
        </w:rPr>
        <w:t> </w:t>
      </w:r>
      <w:r w:rsidRPr="00327088">
        <w:rPr>
          <w:rFonts w:ascii="Times New Roman" w:hAnsi="Times New Roman" w:cs="Times New Roman"/>
          <w:sz w:val="24"/>
          <w:szCs w:val="24"/>
        </w:rPr>
        <w:t>78 until the employer receives the report.</w:t>
      </w:r>
    </w:p>
    <w:p w:rsidR="00B97538" w:rsidRPr="00327088" w:rsidRDefault="00B97538" w:rsidP="00327088">
      <w:pPr>
        <w:spacing w:after="120" w:line="240" w:lineRule="auto"/>
        <w:rPr>
          <w:rFonts w:ascii="Times New Roman" w:hAnsi="Times New Roman" w:cs="Times New Roman"/>
          <w:sz w:val="24"/>
          <w:szCs w:val="24"/>
        </w:rPr>
      </w:pPr>
      <w:r w:rsidRPr="00327088">
        <w:rPr>
          <w:rFonts w:ascii="Times New Roman" w:hAnsi="Times New Roman" w:cs="Times New Roman"/>
          <w:sz w:val="24"/>
          <w:szCs w:val="24"/>
        </w:rPr>
        <w:t>Section 83A of the Seafarers Act is qualified by subsection 83A(9), which provides that an employee must not be required to undergo an examination under section 83A at more frequent intervals than are stated by the Minister by legislative instrument.</w:t>
      </w:r>
    </w:p>
    <w:p w:rsidR="00B97538" w:rsidRPr="00327088" w:rsidRDefault="00B97538" w:rsidP="00327088">
      <w:pPr>
        <w:spacing w:after="120" w:line="240" w:lineRule="auto"/>
        <w:rPr>
          <w:rFonts w:ascii="Times New Roman" w:hAnsi="Times New Roman" w:cs="Times New Roman"/>
          <w:sz w:val="24"/>
          <w:szCs w:val="24"/>
        </w:rPr>
      </w:pPr>
      <w:r w:rsidRPr="00327088">
        <w:rPr>
          <w:rFonts w:ascii="Times New Roman" w:hAnsi="Times New Roman" w:cs="Times New Roman"/>
          <w:sz w:val="24"/>
          <w:szCs w:val="24"/>
        </w:rPr>
        <w:t xml:space="preserve">This instrument is made by the Minister under subsections 66(6) and 83A(9) of the Seafarers Act to specify that an employee must not be required to undergo an examination by the same legally qualified medical practitioner nominated by the employer under section 66 or section 83A more frequently than at one-month intervals. </w:t>
      </w:r>
      <w:r w:rsidR="00B76151" w:rsidRPr="00327088">
        <w:rPr>
          <w:rFonts w:ascii="Times New Roman" w:hAnsi="Times New Roman" w:cs="Times New Roman"/>
          <w:sz w:val="24"/>
          <w:szCs w:val="24"/>
        </w:rPr>
        <w:t xml:space="preserve">The specified interval is a minimum interval </w:t>
      </w:r>
      <w:r w:rsidR="00C01759" w:rsidRPr="00327088">
        <w:rPr>
          <w:rFonts w:ascii="Times New Roman" w:hAnsi="Times New Roman" w:cs="Times New Roman"/>
          <w:sz w:val="24"/>
          <w:szCs w:val="24"/>
        </w:rPr>
        <w:t>that</w:t>
      </w:r>
      <w:r w:rsidR="00B76151" w:rsidRPr="00327088">
        <w:rPr>
          <w:rFonts w:ascii="Times New Roman" w:hAnsi="Times New Roman" w:cs="Times New Roman"/>
          <w:sz w:val="24"/>
          <w:szCs w:val="24"/>
        </w:rPr>
        <w:t xml:space="preserve"> only applies if the employee undergoes the examination.</w:t>
      </w:r>
    </w:p>
    <w:p w:rsidR="00CF76A0" w:rsidRPr="00327088" w:rsidRDefault="00CF76A0" w:rsidP="00327088">
      <w:pPr>
        <w:spacing w:after="120" w:line="240" w:lineRule="auto"/>
        <w:rPr>
          <w:rFonts w:ascii="Times New Roman" w:hAnsi="Times New Roman" w:cs="Times New Roman"/>
          <w:sz w:val="24"/>
          <w:szCs w:val="24"/>
        </w:rPr>
      </w:pPr>
      <w:r w:rsidRPr="00327088">
        <w:rPr>
          <w:rFonts w:ascii="Times New Roman" w:hAnsi="Times New Roman" w:cs="Times New Roman"/>
          <w:sz w:val="24"/>
          <w:szCs w:val="24"/>
        </w:rPr>
        <w:t>For the avoidance of doubt, the intervals specified in this instrument are the minimum intervals for which employees can be required to undergo an examination under sections 66 and 83A of the Seafarers Act. This instrument does not specify, or imply, that employees should be required to undergo an examination at such intervals under sections 66 and 83A of the Seafarers Act</w:t>
      </w:r>
    </w:p>
    <w:p w:rsidR="00E2522B" w:rsidRPr="00327088" w:rsidRDefault="00E2522B" w:rsidP="00327088">
      <w:pPr>
        <w:keepNext/>
        <w:spacing w:after="120" w:line="240" w:lineRule="auto"/>
        <w:rPr>
          <w:rFonts w:ascii="Times New Roman" w:eastAsia="Times New Roman" w:hAnsi="Times New Roman" w:cs="Times New Roman"/>
          <w:sz w:val="24"/>
          <w:szCs w:val="24"/>
          <w:lang w:eastAsia="en-AU"/>
        </w:rPr>
      </w:pPr>
      <w:r w:rsidRPr="00327088">
        <w:rPr>
          <w:rFonts w:ascii="Times New Roman" w:eastAsia="Times New Roman" w:hAnsi="Times New Roman" w:cs="Times New Roman"/>
          <w:b/>
          <w:bCs/>
          <w:sz w:val="24"/>
          <w:szCs w:val="24"/>
          <w:lang w:eastAsia="en-AU"/>
        </w:rPr>
        <w:t>Human rights implications</w:t>
      </w:r>
    </w:p>
    <w:p w:rsidR="00B97538" w:rsidRPr="00327088" w:rsidRDefault="00E2522B" w:rsidP="00327088">
      <w:pPr>
        <w:spacing w:after="120" w:line="240" w:lineRule="auto"/>
        <w:outlineLvl w:val="2"/>
        <w:rPr>
          <w:rFonts w:ascii="Times New Roman" w:eastAsia="Times New Roman" w:hAnsi="Times New Roman" w:cs="Times New Roman"/>
          <w:bCs/>
          <w:sz w:val="24"/>
          <w:szCs w:val="24"/>
          <w:lang w:eastAsia="en-AU"/>
        </w:rPr>
      </w:pPr>
      <w:r w:rsidRPr="00327088">
        <w:rPr>
          <w:rFonts w:ascii="Times New Roman" w:eastAsia="Times New Roman" w:hAnsi="Times New Roman" w:cs="Times New Roman"/>
          <w:bCs/>
          <w:sz w:val="24"/>
          <w:szCs w:val="24"/>
          <w:lang w:eastAsia="en-AU"/>
        </w:rPr>
        <w:t xml:space="preserve">Article 9 of the </w:t>
      </w:r>
      <w:r w:rsidRPr="00327088">
        <w:rPr>
          <w:rFonts w:ascii="Times New Roman" w:eastAsia="Times New Roman" w:hAnsi="Times New Roman" w:cs="Times New Roman"/>
          <w:bCs/>
          <w:i/>
          <w:sz w:val="24"/>
          <w:szCs w:val="24"/>
          <w:lang w:eastAsia="en-AU"/>
        </w:rPr>
        <w:t>International Covenant on Economic, Social and Cultural Rights</w:t>
      </w:r>
      <w:r w:rsidRPr="00327088">
        <w:rPr>
          <w:rFonts w:ascii="Times New Roman" w:eastAsia="Times New Roman" w:hAnsi="Times New Roman" w:cs="Times New Roman"/>
          <w:bCs/>
          <w:sz w:val="24"/>
          <w:szCs w:val="24"/>
          <w:lang w:eastAsia="en-AU"/>
        </w:rPr>
        <w:t xml:space="preserve"> provides for the right of everyone to social security, including social insurance. General Comment 19 by the Committee on Economic, Social and Cultural Rights elaborates on Article 9, stating that the </w:t>
      </w:r>
      <w:r w:rsidR="00BB20FF" w:rsidRPr="00327088">
        <w:rPr>
          <w:rFonts w:ascii="Times New Roman" w:eastAsia="Times New Roman" w:hAnsi="Times New Roman" w:cs="Times New Roman"/>
          <w:bCs/>
          <w:sz w:val="24"/>
          <w:szCs w:val="24"/>
          <w:lang w:eastAsia="en-AU"/>
        </w:rPr>
        <w:t>‘</w:t>
      </w:r>
      <w:r w:rsidRPr="00327088">
        <w:rPr>
          <w:rFonts w:ascii="Times New Roman" w:eastAsia="Times New Roman" w:hAnsi="Times New Roman" w:cs="Times New Roman"/>
          <w:bCs/>
          <w:sz w:val="24"/>
          <w:szCs w:val="24"/>
          <w:lang w:eastAsia="en-AU"/>
        </w:rPr>
        <w:t>States parties should … ensure the protection of workers who are injured in the course of employment or other productive work</w:t>
      </w:r>
      <w:r w:rsidR="00BB20FF" w:rsidRPr="00327088">
        <w:rPr>
          <w:rFonts w:ascii="Times New Roman" w:eastAsia="Times New Roman" w:hAnsi="Times New Roman" w:cs="Times New Roman"/>
          <w:bCs/>
          <w:sz w:val="24"/>
          <w:szCs w:val="24"/>
          <w:lang w:eastAsia="en-AU"/>
        </w:rPr>
        <w:t>’</w:t>
      </w:r>
      <w:r w:rsidRPr="00327088">
        <w:rPr>
          <w:rFonts w:ascii="Times New Roman" w:eastAsia="Times New Roman" w:hAnsi="Times New Roman" w:cs="Times New Roman"/>
          <w:bCs/>
          <w:sz w:val="24"/>
          <w:szCs w:val="24"/>
          <w:lang w:eastAsia="en-AU"/>
        </w:rPr>
        <w:t>.</w:t>
      </w:r>
      <w:r w:rsidRPr="00327088">
        <w:rPr>
          <w:rFonts w:ascii="Times New Roman" w:eastAsia="Times New Roman" w:hAnsi="Times New Roman" w:cs="Times New Roman"/>
          <w:bCs/>
          <w:sz w:val="24"/>
          <w:szCs w:val="24"/>
          <w:vertAlign w:val="superscript"/>
          <w:lang w:eastAsia="en-AU"/>
        </w:rPr>
        <w:footnoteReference w:customMarkFollows="1" w:id="1"/>
        <w:t>1</w:t>
      </w:r>
      <w:r w:rsidRPr="00327088">
        <w:rPr>
          <w:rFonts w:ascii="Times New Roman" w:eastAsia="Times New Roman" w:hAnsi="Times New Roman" w:cs="Times New Roman"/>
          <w:bCs/>
          <w:sz w:val="24"/>
          <w:szCs w:val="24"/>
          <w:lang w:eastAsia="en-AU"/>
        </w:rPr>
        <w:t xml:space="preserve"> </w:t>
      </w:r>
    </w:p>
    <w:p w:rsidR="0039557E" w:rsidRPr="00327088" w:rsidRDefault="001D35F4" w:rsidP="00327088">
      <w:pPr>
        <w:spacing w:after="120" w:line="240" w:lineRule="auto"/>
        <w:outlineLvl w:val="2"/>
        <w:rPr>
          <w:rFonts w:ascii="Times New Roman" w:hAnsi="Times New Roman" w:cs="Times New Roman"/>
          <w:sz w:val="24"/>
          <w:szCs w:val="24"/>
        </w:rPr>
      </w:pPr>
      <w:r w:rsidRPr="00327088">
        <w:rPr>
          <w:rFonts w:ascii="Times New Roman" w:hAnsi="Times New Roman" w:cs="Times New Roman"/>
          <w:color w:val="000000"/>
          <w:sz w:val="24"/>
          <w:szCs w:val="24"/>
        </w:rPr>
        <w:t xml:space="preserve">The workers’ compensation scheme established by the </w:t>
      </w:r>
      <w:r w:rsidR="00B97538" w:rsidRPr="00327088">
        <w:rPr>
          <w:rFonts w:ascii="Times New Roman" w:hAnsi="Times New Roman" w:cs="Times New Roman"/>
          <w:color w:val="000000"/>
          <w:sz w:val="24"/>
          <w:szCs w:val="24"/>
        </w:rPr>
        <w:t xml:space="preserve">Seafarers </w:t>
      </w:r>
      <w:r w:rsidRPr="00327088">
        <w:rPr>
          <w:rFonts w:ascii="Times New Roman" w:hAnsi="Times New Roman" w:cs="Times New Roman"/>
          <w:color w:val="000000"/>
          <w:sz w:val="24"/>
          <w:szCs w:val="24"/>
        </w:rPr>
        <w:t>Act</w:t>
      </w:r>
      <w:r w:rsidRPr="00327088">
        <w:rPr>
          <w:rFonts w:ascii="Times New Roman" w:hAnsi="Times New Roman" w:cs="Times New Roman"/>
          <w:i/>
          <w:iCs/>
          <w:color w:val="000000"/>
          <w:sz w:val="24"/>
          <w:szCs w:val="24"/>
        </w:rPr>
        <w:t xml:space="preserve"> </w:t>
      </w:r>
      <w:r w:rsidRPr="00327088">
        <w:rPr>
          <w:rFonts w:ascii="Times New Roman" w:hAnsi="Times New Roman" w:cs="Times New Roman"/>
          <w:color w:val="000000"/>
          <w:sz w:val="24"/>
          <w:szCs w:val="24"/>
        </w:rPr>
        <w:t>is a form of social insurance which relevantly provides</w:t>
      </w:r>
      <w:r w:rsidR="00B97538" w:rsidRPr="00327088">
        <w:rPr>
          <w:rFonts w:ascii="Times New Roman" w:hAnsi="Times New Roman" w:cs="Times New Roman"/>
          <w:sz w:val="24"/>
          <w:szCs w:val="24"/>
        </w:rPr>
        <w:t xml:space="preserve"> rehabilitation and compensation support for employees with work-related injuries</w:t>
      </w:r>
      <w:r w:rsidRPr="00327088">
        <w:rPr>
          <w:rFonts w:ascii="Times New Roman" w:hAnsi="Times New Roman" w:cs="Times New Roman"/>
          <w:color w:val="000000"/>
          <w:sz w:val="24"/>
          <w:szCs w:val="24"/>
        </w:rPr>
        <w:t>.</w:t>
      </w:r>
    </w:p>
    <w:p w:rsidR="00B97538" w:rsidRPr="00327088" w:rsidRDefault="00CF76A0" w:rsidP="00327088">
      <w:pPr>
        <w:spacing w:after="120" w:line="240" w:lineRule="auto"/>
        <w:rPr>
          <w:rFonts w:ascii="Times New Roman" w:hAnsi="Times New Roman" w:cs="Times New Roman"/>
          <w:sz w:val="24"/>
          <w:szCs w:val="24"/>
        </w:rPr>
      </w:pPr>
      <w:r w:rsidRPr="00327088">
        <w:rPr>
          <w:rFonts w:ascii="Times New Roman" w:hAnsi="Times New Roman" w:cs="Times New Roman"/>
          <w:sz w:val="24"/>
          <w:szCs w:val="24"/>
        </w:rPr>
        <w:t xml:space="preserve">This instrument positively engages the right to social security by protecting injured employees from the requirement to attend medical examinations </w:t>
      </w:r>
      <w:r w:rsidR="00B97538" w:rsidRPr="00327088">
        <w:rPr>
          <w:rFonts w:ascii="Times New Roman" w:hAnsi="Times New Roman" w:cs="Times New Roman"/>
          <w:sz w:val="24"/>
          <w:szCs w:val="24"/>
        </w:rPr>
        <w:t xml:space="preserve">with the same </w:t>
      </w:r>
      <w:r w:rsidR="00B97538" w:rsidRPr="00327088">
        <w:rPr>
          <w:rFonts w:ascii="Times New Roman" w:hAnsi="Times New Roman" w:cs="Times New Roman"/>
          <w:sz w:val="24"/>
          <w:szCs w:val="24"/>
          <w:lang w:val="en"/>
        </w:rPr>
        <w:t xml:space="preserve">legally qualified medical practitioner </w:t>
      </w:r>
      <w:r w:rsidR="00B97538" w:rsidRPr="00327088">
        <w:rPr>
          <w:rFonts w:ascii="Times New Roman" w:hAnsi="Times New Roman" w:cs="Times New Roman"/>
          <w:sz w:val="24"/>
          <w:szCs w:val="24"/>
        </w:rPr>
        <w:t>more frequently than is necessary for the employer to determine their entitlements, or to reconsider a determination in relation to their entitlements, under the Seafarers Act.</w:t>
      </w:r>
    </w:p>
    <w:p w:rsidR="00E2522B" w:rsidRPr="00327088" w:rsidRDefault="00E2522B" w:rsidP="00327088">
      <w:pPr>
        <w:spacing w:after="120" w:line="240" w:lineRule="auto"/>
        <w:rPr>
          <w:rFonts w:ascii="Times New Roman" w:eastAsia="Times New Roman" w:hAnsi="Times New Roman" w:cs="Times New Roman"/>
          <w:sz w:val="24"/>
          <w:szCs w:val="24"/>
          <w:lang w:eastAsia="en-AU"/>
        </w:rPr>
      </w:pPr>
      <w:r w:rsidRPr="00327088">
        <w:rPr>
          <w:rFonts w:ascii="Times New Roman" w:eastAsia="Times New Roman" w:hAnsi="Times New Roman" w:cs="Times New Roman"/>
          <w:b/>
          <w:bCs/>
          <w:sz w:val="24"/>
          <w:szCs w:val="24"/>
          <w:lang w:eastAsia="en-AU"/>
        </w:rPr>
        <w:t>Conclusion</w:t>
      </w:r>
    </w:p>
    <w:p w:rsidR="00E2522B" w:rsidRPr="00327088" w:rsidRDefault="00A65D43" w:rsidP="00327088">
      <w:pPr>
        <w:spacing w:after="120" w:line="240" w:lineRule="auto"/>
        <w:rPr>
          <w:rFonts w:ascii="Times New Roman" w:hAnsi="Times New Roman" w:cs="Times New Roman"/>
          <w:sz w:val="24"/>
          <w:szCs w:val="24"/>
        </w:rPr>
      </w:pPr>
      <w:r w:rsidRPr="00327088">
        <w:rPr>
          <w:rFonts w:ascii="Times New Roman" w:hAnsi="Times New Roman" w:cs="Times New Roman"/>
          <w:sz w:val="24"/>
          <w:szCs w:val="24"/>
        </w:rPr>
        <w:t>This legislative instrument</w:t>
      </w:r>
      <w:r w:rsidR="00E2522B" w:rsidRPr="00327088">
        <w:rPr>
          <w:rFonts w:ascii="Times New Roman" w:hAnsi="Times New Roman" w:cs="Times New Roman"/>
          <w:sz w:val="24"/>
          <w:szCs w:val="24"/>
        </w:rPr>
        <w:t xml:space="preserve"> is compatible with human rights.</w:t>
      </w:r>
    </w:p>
    <w:p w:rsidR="00CF48F1" w:rsidRPr="00456A06" w:rsidRDefault="00CF48F1" w:rsidP="00CF48F1">
      <w:pPr>
        <w:spacing w:after="220" w:line="240" w:lineRule="auto"/>
        <w:jc w:val="center"/>
        <w:rPr>
          <w:rFonts w:ascii="Times New Roman" w:eastAsia="Times New Roman" w:hAnsi="Times New Roman" w:cs="Times New Roman"/>
          <w:sz w:val="24"/>
          <w:szCs w:val="24"/>
          <w:lang w:eastAsia="en-AU"/>
        </w:rPr>
      </w:pPr>
      <w:r w:rsidRPr="00456A06">
        <w:rPr>
          <w:rFonts w:ascii="Times New Roman" w:eastAsia="Times New Roman" w:hAnsi="Times New Roman" w:cs="Times New Roman"/>
          <w:b/>
          <w:bCs/>
          <w:sz w:val="24"/>
          <w:szCs w:val="24"/>
          <w:lang w:eastAsia="en-AU"/>
        </w:rPr>
        <w:t>The Hon Kelly O’Dwyer MP</w:t>
      </w:r>
    </w:p>
    <w:p w:rsidR="00CF48F1" w:rsidRPr="00456A06" w:rsidRDefault="00CF48F1" w:rsidP="00CF48F1">
      <w:pPr>
        <w:spacing w:after="220" w:line="240" w:lineRule="auto"/>
        <w:jc w:val="center"/>
        <w:rPr>
          <w:rFonts w:cs="Times New Roman"/>
          <w:sz w:val="24"/>
          <w:szCs w:val="24"/>
        </w:rPr>
      </w:pPr>
      <w:r w:rsidRPr="00456A06">
        <w:rPr>
          <w:rFonts w:ascii="Times New Roman" w:eastAsia="Times New Roman" w:hAnsi="Times New Roman" w:cs="Times New Roman"/>
          <w:bCs/>
          <w:sz w:val="24"/>
          <w:szCs w:val="24"/>
          <w:lang w:eastAsia="en-AU"/>
        </w:rPr>
        <w:t xml:space="preserve">Minister </w:t>
      </w:r>
      <w:r w:rsidRPr="00456A06">
        <w:rPr>
          <w:rFonts w:ascii="Times New Roman" w:hAnsi="Times New Roman" w:cs="Times New Roman"/>
          <w:sz w:val="24"/>
          <w:szCs w:val="24"/>
          <w:lang w:val="en"/>
        </w:rPr>
        <w:t>for Jobs and Industrial Relations</w:t>
      </w:r>
    </w:p>
    <w:p w:rsidR="00C36E8F" w:rsidRPr="00327088" w:rsidRDefault="00C36E8F" w:rsidP="002C16B5">
      <w:pPr>
        <w:spacing w:after="220" w:line="240" w:lineRule="auto"/>
        <w:jc w:val="center"/>
        <w:rPr>
          <w:rFonts w:ascii="Times New Roman" w:hAnsi="Times New Roman" w:cs="Times New Roman"/>
          <w:sz w:val="24"/>
          <w:szCs w:val="24"/>
        </w:rPr>
      </w:pPr>
    </w:p>
    <w:sectPr w:rsidR="00C36E8F" w:rsidRPr="00327088" w:rsidSect="00E73EF2">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B85" w:rsidRDefault="00F52B85" w:rsidP="002F5E5A">
      <w:pPr>
        <w:spacing w:after="0" w:line="240" w:lineRule="auto"/>
      </w:pPr>
      <w:r>
        <w:separator/>
      </w:r>
    </w:p>
  </w:endnote>
  <w:endnote w:type="continuationSeparator" w:id="0">
    <w:p w:rsidR="00F52B85" w:rsidRDefault="00F52B85" w:rsidP="002F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Light">
    <w:altName w:val="Gotham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751126"/>
      <w:docPartObj>
        <w:docPartGallery w:val="Page Numbers (Bottom of Page)"/>
        <w:docPartUnique/>
      </w:docPartObj>
    </w:sdtPr>
    <w:sdtEndPr>
      <w:rPr>
        <w:rFonts w:ascii="Times New Roman" w:hAnsi="Times New Roman" w:cs="Times New Roman"/>
        <w:noProof/>
      </w:rPr>
    </w:sdtEndPr>
    <w:sdtContent>
      <w:p w:rsidR="00AE40AC" w:rsidRPr="006B03DD" w:rsidRDefault="00AE40AC">
        <w:pPr>
          <w:pStyle w:val="Footer"/>
          <w:jc w:val="center"/>
          <w:rPr>
            <w:rFonts w:ascii="Times New Roman" w:hAnsi="Times New Roman" w:cs="Times New Roman"/>
          </w:rPr>
        </w:pPr>
        <w:r w:rsidRPr="006B03DD">
          <w:rPr>
            <w:rFonts w:ascii="Times New Roman" w:hAnsi="Times New Roman" w:cs="Times New Roman"/>
          </w:rPr>
          <w:fldChar w:fldCharType="begin"/>
        </w:r>
        <w:r w:rsidRPr="006B03DD">
          <w:rPr>
            <w:rFonts w:ascii="Times New Roman" w:hAnsi="Times New Roman" w:cs="Times New Roman"/>
          </w:rPr>
          <w:instrText xml:space="preserve"> PAGE   \* MERGEFORMAT </w:instrText>
        </w:r>
        <w:r w:rsidRPr="006B03DD">
          <w:rPr>
            <w:rFonts w:ascii="Times New Roman" w:hAnsi="Times New Roman" w:cs="Times New Roman"/>
          </w:rPr>
          <w:fldChar w:fldCharType="separate"/>
        </w:r>
        <w:r w:rsidR="00A62C58">
          <w:rPr>
            <w:rFonts w:ascii="Times New Roman" w:hAnsi="Times New Roman" w:cs="Times New Roman"/>
            <w:noProof/>
          </w:rPr>
          <w:t>1</w:t>
        </w:r>
        <w:r w:rsidRPr="006B03DD">
          <w:rPr>
            <w:rFonts w:ascii="Times New Roman" w:hAnsi="Times New Roman" w:cs="Times New Roman"/>
            <w:noProof/>
          </w:rPr>
          <w:fldChar w:fldCharType="end"/>
        </w:r>
      </w:p>
    </w:sdtContent>
  </w:sdt>
  <w:p w:rsidR="00AE40AC" w:rsidRDefault="00AE4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B85" w:rsidRDefault="00F52B85" w:rsidP="002F5E5A">
      <w:pPr>
        <w:spacing w:after="0" w:line="240" w:lineRule="auto"/>
      </w:pPr>
      <w:r>
        <w:separator/>
      </w:r>
    </w:p>
  </w:footnote>
  <w:footnote w:type="continuationSeparator" w:id="0">
    <w:p w:rsidR="00F52B85" w:rsidRDefault="00F52B85" w:rsidP="002F5E5A">
      <w:pPr>
        <w:spacing w:after="0" w:line="240" w:lineRule="auto"/>
      </w:pPr>
      <w:r>
        <w:continuationSeparator/>
      </w:r>
    </w:p>
  </w:footnote>
  <w:footnote w:id="1">
    <w:p w:rsidR="00AE40AC" w:rsidRDefault="00AE40AC" w:rsidP="00E2522B">
      <w:pPr>
        <w:pStyle w:val="FootnoteText"/>
      </w:pPr>
      <w:r>
        <w:rPr>
          <w:rStyle w:val="FootnoteReference"/>
        </w:rPr>
        <w:t>1</w:t>
      </w:r>
      <w:r>
        <w:t xml:space="preserve"> </w:t>
      </w:r>
      <w:r w:rsidRPr="006A3185">
        <w:rPr>
          <w:rFonts w:asciiTheme="minorHAnsi" w:hAnsiTheme="minorHAnsi" w:cstheme="minorHAnsi"/>
          <w:sz w:val="16"/>
        </w:rPr>
        <w:t xml:space="preserve">Committee on Economic, Social and Cultural Rights, </w:t>
      </w:r>
      <w:r w:rsidRPr="006A3185">
        <w:rPr>
          <w:rFonts w:asciiTheme="minorHAnsi" w:hAnsiTheme="minorHAnsi" w:cstheme="minorHAnsi"/>
          <w:i/>
          <w:sz w:val="16"/>
        </w:rPr>
        <w:t>General Comment 19: The Right to Social Security (art. 9)</w:t>
      </w:r>
      <w:r w:rsidRPr="006A3185">
        <w:rPr>
          <w:rFonts w:asciiTheme="minorHAnsi" w:hAnsiTheme="minorHAnsi" w:cstheme="minorHAnsi"/>
          <w:sz w:val="16"/>
        </w:rPr>
        <w:t>, U.N. Doc E/C.12/GC/19 (2008),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1B73"/>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492550"/>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FB3872"/>
    <w:multiLevelType w:val="multilevel"/>
    <w:tmpl w:val="4AC6E3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6C04561"/>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3F5FCC"/>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46D28B5"/>
    <w:multiLevelType w:val="hybridMultilevel"/>
    <w:tmpl w:val="8AD23AEC"/>
    <w:lvl w:ilvl="0" w:tplc="CA940B44">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6" w15:restartNumberingAfterBreak="0">
    <w:nsid w:val="5F690FCE"/>
    <w:multiLevelType w:val="hybridMultilevel"/>
    <w:tmpl w:val="2BE8B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757543B"/>
    <w:multiLevelType w:val="multilevel"/>
    <w:tmpl w:val="26FC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1"/>
  </w:num>
  <w:num w:numId="8">
    <w:abstractNumId w:val="3"/>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2FC"/>
    <w:rsid w:val="0000202F"/>
    <w:rsid w:val="000023B3"/>
    <w:rsid w:val="000044AB"/>
    <w:rsid w:val="00010C3E"/>
    <w:rsid w:val="00011B0D"/>
    <w:rsid w:val="00012FEC"/>
    <w:rsid w:val="00015276"/>
    <w:rsid w:val="0001701E"/>
    <w:rsid w:val="00022B3B"/>
    <w:rsid w:val="00025FAA"/>
    <w:rsid w:val="00032460"/>
    <w:rsid w:val="000354FE"/>
    <w:rsid w:val="0004722F"/>
    <w:rsid w:val="000512E9"/>
    <w:rsid w:val="00053695"/>
    <w:rsid w:val="00053A3E"/>
    <w:rsid w:val="00067997"/>
    <w:rsid w:val="000709B9"/>
    <w:rsid w:val="00070D08"/>
    <w:rsid w:val="0007758A"/>
    <w:rsid w:val="00080876"/>
    <w:rsid w:val="00080D64"/>
    <w:rsid w:val="00081941"/>
    <w:rsid w:val="00083BE9"/>
    <w:rsid w:val="00084025"/>
    <w:rsid w:val="00085E69"/>
    <w:rsid w:val="00090306"/>
    <w:rsid w:val="00093625"/>
    <w:rsid w:val="00093D7F"/>
    <w:rsid w:val="00095B9B"/>
    <w:rsid w:val="000A3A1E"/>
    <w:rsid w:val="000B096B"/>
    <w:rsid w:val="000B2E36"/>
    <w:rsid w:val="000B47DD"/>
    <w:rsid w:val="000B49B8"/>
    <w:rsid w:val="000B6924"/>
    <w:rsid w:val="000C1092"/>
    <w:rsid w:val="000C4B8D"/>
    <w:rsid w:val="000D00C0"/>
    <w:rsid w:val="000D286E"/>
    <w:rsid w:val="000D5EE3"/>
    <w:rsid w:val="000D5F4D"/>
    <w:rsid w:val="000E233F"/>
    <w:rsid w:val="000F430C"/>
    <w:rsid w:val="000F4A0D"/>
    <w:rsid w:val="000F7A1F"/>
    <w:rsid w:val="00105466"/>
    <w:rsid w:val="00105612"/>
    <w:rsid w:val="001079BE"/>
    <w:rsid w:val="00110419"/>
    <w:rsid w:val="00111B8D"/>
    <w:rsid w:val="001163FF"/>
    <w:rsid w:val="0012237D"/>
    <w:rsid w:val="001223F2"/>
    <w:rsid w:val="0013089B"/>
    <w:rsid w:val="0013445B"/>
    <w:rsid w:val="00134AB7"/>
    <w:rsid w:val="001377C5"/>
    <w:rsid w:val="0014257C"/>
    <w:rsid w:val="00150191"/>
    <w:rsid w:val="001520E9"/>
    <w:rsid w:val="001524DB"/>
    <w:rsid w:val="0015326D"/>
    <w:rsid w:val="001541E2"/>
    <w:rsid w:val="00160589"/>
    <w:rsid w:val="001611CC"/>
    <w:rsid w:val="00162836"/>
    <w:rsid w:val="001658A5"/>
    <w:rsid w:val="00171094"/>
    <w:rsid w:val="001741E2"/>
    <w:rsid w:val="001778BE"/>
    <w:rsid w:val="00184BEF"/>
    <w:rsid w:val="00184CDF"/>
    <w:rsid w:val="00185414"/>
    <w:rsid w:val="00187ACC"/>
    <w:rsid w:val="001919AE"/>
    <w:rsid w:val="00192AA7"/>
    <w:rsid w:val="00194826"/>
    <w:rsid w:val="001B099C"/>
    <w:rsid w:val="001B0A34"/>
    <w:rsid w:val="001B74CE"/>
    <w:rsid w:val="001C56C1"/>
    <w:rsid w:val="001C590A"/>
    <w:rsid w:val="001C6880"/>
    <w:rsid w:val="001D2385"/>
    <w:rsid w:val="001D35F4"/>
    <w:rsid w:val="001D381E"/>
    <w:rsid w:val="001D3CB9"/>
    <w:rsid w:val="001E2A27"/>
    <w:rsid w:val="001E536B"/>
    <w:rsid w:val="001F0C94"/>
    <w:rsid w:val="001F2CBE"/>
    <w:rsid w:val="001F3D56"/>
    <w:rsid w:val="001F58FD"/>
    <w:rsid w:val="002014C5"/>
    <w:rsid w:val="00203035"/>
    <w:rsid w:val="00211841"/>
    <w:rsid w:val="002131BA"/>
    <w:rsid w:val="00215644"/>
    <w:rsid w:val="00221EB7"/>
    <w:rsid w:val="002315C5"/>
    <w:rsid w:val="00237288"/>
    <w:rsid w:val="002448AC"/>
    <w:rsid w:val="002465B6"/>
    <w:rsid w:val="00251A52"/>
    <w:rsid w:val="002617AD"/>
    <w:rsid w:val="00261EA3"/>
    <w:rsid w:val="00263090"/>
    <w:rsid w:val="00264441"/>
    <w:rsid w:val="002649F8"/>
    <w:rsid w:val="00264B46"/>
    <w:rsid w:val="002652C6"/>
    <w:rsid w:val="00265B18"/>
    <w:rsid w:val="002704CE"/>
    <w:rsid w:val="00272741"/>
    <w:rsid w:val="002740CE"/>
    <w:rsid w:val="002748DD"/>
    <w:rsid w:val="00281247"/>
    <w:rsid w:val="0028380E"/>
    <w:rsid w:val="00285EE5"/>
    <w:rsid w:val="002912AC"/>
    <w:rsid w:val="0029306B"/>
    <w:rsid w:val="00294D8A"/>
    <w:rsid w:val="00295A3D"/>
    <w:rsid w:val="002B04FD"/>
    <w:rsid w:val="002B1E30"/>
    <w:rsid w:val="002B212F"/>
    <w:rsid w:val="002B22DD"/>
    <w:rsid w:val="002B30D7"/>
    <w:rsid w:val="002B3B01"/>
    <w:rsid w:val="002B4142"/>
    <w:rsid w:val="002B6980"/>
    <w:rsid w:val="002B72C4"/>
    <w:rsid w:val="002B7D27"/>
    <w:rsid w:val="002C16B5"/>
    <w:rsid w:val="002C3760"/>
    <w:rsid w:val="002D2D64"/>
    <w:rsid w:val="002D418D"/>
    <w:rsid w:val="002D6678"/>
    <w:rsid w:val="002E4B7A"/>
    <w:rsid w:val="002F2069"/>
    <w:rsid w:val="002F28DA"/>
    <w:rsid w:val="002F36E5"/>
    <w:rsid w:val="002F5E5A"/>
    <w:rsid w:val="002F642C"/>
    <w:rsid w:val="002F76D5"/>
    <w:rsid w:val="00300378"/>
    <w:rsid w:val="003008AA"/>
    <w:rsid w:val="0030092E"/>
    <w:rsid w:val="00301619"/>
    <w:rsid w:val="00302E4F"/>
    <w:rsid w:val="0030364E"/>
    <w:rsid w:val="00307C89"/>
    <w:rsid w:val="00315006"/>
    <w:rsid w:val="00317B80"/>
    <w:rsid w:val="003214FD"/>
    <w:rsid w:val="00324BB9"/>
    <w:rsid w:val="003253AC"/>
    <w:rsid w:val="00326B4F"/>
    <w:rsid w:val="00327088"/>
    <w:rsid w:val="00332A11"/>
    <w:rsid w:val="00333480"/>
    <w:rsid w:val="0033638A"/>
    <w:rsid w:val="003374CD"/>
    <w:rsid w:val="00337D3B"/>
    <w:rsid w:val="003411CF"/>
    <w:rsid w:val="00341D12"/>
    <w:rsid w:val="00341FCF"/>
    <w:rsid w:val="00342C0A"/>
    <w:rsid w:val="00352499"/>
    <w:rsid w:val="00360C0A"/>
    <w:rsid w:val="00367862"/>
    <w:rsid w:val="0037098B"/>
    <w:rsid w:val="00370A26"/>
    <w:rsid w:val="00370FF2"/>
    <w:rsid w:val="00374E1C"/>
    <w:rsid w:val="003766FE"/>
    <w:rsid w:val="00377045"/>
    <w:rsid w:val="0038244B"/>
    <w:rsid w:val="00386D00"/>
    <w:rsid w:val="0039557E"/>
    <w:rsid w:val="003973B4"/>
    <w:rsid w:val="003A04AB"/>
    <w:rsid w:val="003A11BC"/>
    <w:rsid w:val="003A2255"/>
    <w:rsid w:val="003A397A"/>
    <w:rsid w:val="003B0001"/>
    <w:rsid w:val="003B3556"/>
    <w:rsid w:val="003C2EC7"/>
    <w:rsid w:val="003C4EDD"/>
    <w:rsid w:val="003D1C54"/>
    <w:rsid w:val="003D55D0"/>
    <w:rsid w:val="003D5AF9"/>
    <w:rsid w:val="003D6C6E"/>
    <w:rsid w:val="003F0E01"/>
    <w:rsid w:val="003F2FB1"/>
    <w:rsid w:val="003F5066"/>
    <w:rsid w:val="003F5A5D"/>
    <w:rsid w:val="00406A72"/>
    <w:rsid w:val="00406D7B"/>
    <w:rsid w:val="00406F85"/>
    <w:rsid w:val="004119F0"/>
    <w:rsid w:val="004122A4"/>
    <w:rsid w:val="004133BE"/>
    <w:rsid w:val="00413F57"/>
    <w:rsid w:val="00414F23"/>
    <w:rsid w:val="004166C2"/>
    <w:rsid w:val="00425624"/>
    <w:rsid w:val="004269AD"/>
    <w:rsid w:val="0043263A"/>
    <w:rsid w:val="00433596"/>
    <w:rsid w:val="00440B98"/>
    <w:rsid w:val="00446218"/>
    <w:rsid w:val="00447C7F"/>
    <w:rsid w:val="0045626F"/>
    <w:rsid w:val="00461517"/>
    <w:rsid w:val="00461C07"/>
    <w:rsid w:val="004623D5"/>
    <w:rsid w:val="00463C10"/>
    <w:rsid w:val="00464C48"/>
    <w:rsid w:val="00466C49"/>
    <w:rsid w:val="00467A29"/>
    <w:rsid w:val="0047143E"/>
    <w:rsid w:val="00473406"/>
    <w:rsid w:val="00475DDA"/>
    <w:rsid w:val="00476A9E"/>
    <w:rsid w:val="00477B04"/>
    <w:rsid w:val="004801A4"/>
    <w:rsid w:val="00480CBB"/>
    <w:rsid w:val="00481966"/>
    <w:rsid w:val="004848A2"/>
    <w:rsid w:val="00485099"/>
    <w:rsid w:val="00485D8E"/>
    <w:rsid w:val="004A2229"/>
    <w:rsid w:val="004A61B2"/>
    <w:rsid w:val="004A62F5"/>
    <w:rsid w:val="004A768C"/>
    <w:rsid w:val="004A772F"/>
    <w:rsid w:val="004B1E99"/>
    <w:rsid w:val="004B3A25"/>
    <w:rsid w:val="004B580A"/>
    <w:rsid w:val="004B719C"/>
    <w:rsid w:val="004C111F"/>
    <w:rsid w:val="004C247A"/>
    <w:rsid w:val="004C7DEC"/>
    <w:rsid w:val="004D2A44"/>
    <w:rsid w:val="004D359D"/>
    <w:rsid w:val="004D3BA4"/>
    <w:rsid w:val="004D4C37"/>
    <w:rsid w:val="004D5EB5"/>
    <w:rsid w:val="004D7E00"/>
    <w:rsid w:val="004E0016"/>
    <w:rsid w:val="004F0815"/>
    <w:rsid w:val="004F0BE5"/>
    <w:rsid w:val="00503867"/>
    <w:rsid w:val="00512417"/>
    <w:rsid w:val="005126B8"/>
    <w:rsid w:val="005138AB"/>
    <w:rsid w:val="005173B5"/>
    <w:rsid w:val="005213F4"/>
    <w:rsid w:val="00523C86"/>
    <w:rsid w:val="00535813"/>
    <w:rsid w:val="005408BD"/>
    <w:rsid w:val="00541178"/>
    <w:rsid w:val="00543D87"/>
    <w:rsid w:val="00557FB0"/>
    <w:rsid w:val="00560B86"/>
    <w:rsid w:val="005672FE"/>
    <w:rsid w:val="005676C4"/>
    <w:rsid w:val="0057253C"/>
    <w:rsid w:val="005755EA"/>
    <w:rsid w:val="00576515"/>
    <w:rsid w:val="00576A62"/>
    <w:rsid w:val="00582095"/>
    <w:rsid w:val="00583889"/>
    <w:rsid w:val="00585CAF"/>
    <w:rsid w:val="005914B7"/>
    <w:rsid w:val="005923A6"/>
    <w:rsid w:val="00592426"/>
    <w:rsid w:val="00593C72"/>
    <w:rsid w:val="005A1847"/>
    <w:rsid w:val="005A263A"/>
    <w:rsid w:val="005A3172"/>
    <w:rsid w:val="005A6497"/>
    <w:rsid w:val="005B66D3"/>
    <w:rsid w:val="005C0351"/>
    <w:rsid w:val="005C0938"/>
    <w:rsid w:val="005C5730"/>
    <w:rsid w:val="005D173D"/>
    <w:rsid w:val="005D2757"/>
    <w:rsid w:val="005D5223"/>
    <w:rsid w:val="005D676B"/>
    <w:rsid w:val="005D7A5C"/>
    <w:rsid w:val="005E5D35"/>
    <w:rsid w:val="005F1069"/>
    <w:rsid w:val="005F18BF"/>
    <w:rsid w:val="005F3386"/>
    <w:rsid w:val="00603317"/>
    <w:rsid w:val="00606DF2"/>
    <w:rsid w:val="00607894"/>
    <w:rsid w:val="00610BB3"/>
    <w:rsid w:val="00612C70"/>
    <w:rsid w:val="006151A0"/>
    <w:rsid w:val="00615AF0"/>
    <w:rsid w:val="006205FD"/>
    <w:rsid w:val="00621A12"/>
    <w:rsid w:val="00623DC5"/>
    <w:rsid w:val="00627996"/>
    <w:rsid w:val="006347DB"/>
    <w:rsid w:val="006452C0"/>
    <w:rsid w:val="00650937"/>
    <w:rsid w:val="006525C0"/>
    <w:rsid w:val="00652A94"/>
    <w:rsid w:val="006534A8"/>
    <w:rsid w:val="00654D1E"/>
    <w:rsid w:val="0066049E"/>
    <w:rsid w:val="0066366C"/>
    <w:rsid w:val="00666C3B"/>
    <w:rsid w:val="00667397"/>
    <w:rsid w:val="00674991"/>
    <w:rsid w:val="006749E6"/>
    <w:rsid w:val="00674ADE"/>
    <w:rsid w:val="006835A9"/>
    <w:rsid w:val="00683C09"/>
    <w:rsid w:val="00684F75"/>
    <w:rsid w:val="0068554A"/>
    <w:rsid w:val="00686EE7"/>
    <w:rsid w:val="00692C87"/>
    <w:rsid w:val="00692F9B"/>
    <w:rsid w:val="00696D57"/>
    <w:rsid w:val="006977F7"/>
    <w:rsid w:val="006A1D37"/>
    <w:rsid w:val="006A3185"/>
    <w:rsid w:val="006A3346"/>
    <w:rsid w:val="006B03DD"/>
    <w:rsid w:val="006B61B2"/>
    <w:rsid w:val="006C1833"/>
    <w:rsid w:val="006C3EEA"/>
    <w:rsid w:val="006C4117"/>
    <w:rsid w:val="006D16C0"/>
    <w:rsid w:val="006D33C5"/>
    <w:rsid w:val="006D4DD0"/>
    <w:rsid w:val="006E1EE8"/>
    <w:rsid w:val="006E335E"/>
    <w:rsid w:val="006E38CA"/>
    <w:rsid w:val="006E3CD1"/>
    <w:rsid w:val="006E6DA2"/>
    <w:rsid w:val="006E7737"/>
    <w:rsid w:val="006F13F1"/>
    <w:rsid w:val="006F1C8D"/>
    <w:rsid w:val="006F2859"/>
    <w:rsid w:val="006F66CB"/>
    <w:rsid w:val="006F6F4D"/>
    <w:rsid w:val="006F7DB6"/>
    <w:rsid w:val="00703865"/>
    <w:rsid w:val="00710747"/>
    <w:rsid w:val="00710B0A"/>
    <w:rsid w:val="007137AA"/>
    <w:rsid w:val="00713C8D"/>
    <w:rsid w:val="00714873"/>
    <w:rsid w:val="00715111"/>
    <w:rsid w:val="007304C9"/>
    <w:rsid w:val="0073198C"/>
    <w:rsid w:val="00735D55"/>
    <w:rsid w:val="00736535"/>
    <w:rsid w:val="007368C4"/>
    <w:rsid w:val="00737E8C"/>
    <w:rsid w:val="0074079D"/>
    <w:rsid w:val="00741AC6"/>
    <w:rsid w:val="00746F97"/>
    <w:rsid w:val="00751362"/>
    <w:rsid w:val="00756A91"/>
    <w:rsid w:val="00761664"/>
    <w:rsid w:val="0076325D"/>
    <w:rsid w:val="007655B0"/>
    <w:rsid w:val="00765D63"/>
    <w:rsid w:val="00773819"/>
    <w:rsid w:val="007809A9"/>
    <w:rsid w:val="00781F8A"/>
    <w:rsid w:val="00782064"/>
    <w:rsid w:val="007830F2"/>
    <w:rsid w:val="007831AC"/>
    <w:rsid w:val="00783B85"/>
    <w:rsid w:val="0078528B"/>
    <w:rsid w:val="00787ECA"/>
    <w:rsid w:val="00790823"/>
    <w:rsid w:val="007919CB"/>
    <w:rsid w:val="00791E7D"/>
    <w:rsid w:val="007A260C"/>
    <w:rsid w:val="007A4D7E"/>
    <w:rsid w:val="007B2CA6"/>
    <w:rsid w:val="007C151D"/>
    <w:rsid w:val="007D0C09"/>
    <w:rsid w:val="007D2D3B"/>
    <w:rsid w:val="007D4946"/>
    <w:rsid w:val="007D743C"/>
    <w:rsid w:val="007F0FB0"/>
    <w:rsid w:val="007F10D3"/>
    <w:rsid w:val="007F32A7"/>
    <w:rsid w:val="007F5D03"/>
    <w:rsid w:val="007F74D0"/>
    <w:rsid w:val="00801983"/>
    <w:rsid w:val="00802EA8"/>
    <w:rsid w:val="008034D7"/>
    <w:rsid w:val="00804185"/>
    <w:rsid w:val="008069F6"/>
    <w:rsid w:val="0081123F"/>
    <w:rsid w:val="00811C7D"/>
    <w:rsid w:val="008226AE"/>
    <w:rsid w:val="00831920"/>
    <w:rsid w:val="008324AC"/>
    <w:rsid w:val="0083349A"/>
    <w:rsid w:val="008359B1"/>
    <w:rsid w:val="00836BD5"/>
    <w:rsid w:val="008464BC"/>
    <w:rsid w:val="008467D8"/>
    <w:rsid w:val="008518BE"/>
    <w:rsid w:val="00851DB0"/>
    <w:rsid w:val="00852599"/>
    <w:rsid w:val="00853AB4"/>
    <w:rsid w:val="008556D6"/>
    <w:rsid w:val="00865DF6"/>
    <w:rsid w:val="00870803"/>
    <w:rsid w:val="0087159F"/>
    <w:rsid w:val="00871C6F"/>
    <w:rsid w:val="00880913"/>
    <w:rsid w:val="00881BB0"/>
    <w:rsid w:val="008828F9"/>
    <w:rsid w:val="00883CDD"/>
    <w:rsid w:val="00893A78"/>
    <w:rsid w:val="00893ED9"/>
    <w:rsid w:val="008956BA"/>
    <w:rsid w:val="008A45C3"/>
    <w:rsid w:val="008A5381"/>
    <w:rsid w:val="008A559D"/>
    <w:rsid w:val="008A5CDB"/>
    <w:rsid w:val="008A6200"/>
    <w:rsid w:val="008B0AE3"/>
    <w:rsid w:val="008B7BC4"/>
    <w:rsid w:val="008C3F02"/>
    <w:rsid w:val="008C4D53"/>
    <w:rsid w:val="008D1265"/>
    <w:rsid w:val="008D75ED"/>
    <w:rsid w:val="008E0C2E"/>
    <w:rsid w:val="008E2498"/>
    <w:rsid w:val="008E3CA7"/>
    <w:rsid w:val="008E76DD"/>
    <w:rsid w:val="008E7DF7"/>
    <w:rsid w:val="008F020C"/>
    <w:rsid w:val="008F184D"/>
    <w:rsid w:val="008F3E13"/>
    <w:rsid w:val="008F5687"/>
    <w:rsid w:val="008F6F82"/>
    <w:rsid w:val="00901439"/>
    <w:rsid w:val="0090372B"/>
    <w:rsid w:val="00904A92"/>
    <w:rsid w:val="00906B6C"/>
    <w:rsid w:val="00910097"/>
    <w:rsid w:val="00913672"/>
    <w:rsid w:val="00920433"/>
    <w:rsid w:val="00924151"/>
    <w:rsid w:val="00925375"/>
    <w:rsid w:val="00927D27"/>
    <w:rsid w:val="009322B7"/>
    <w:rsid w:val="009331F6"/>
    <w:rsid w:val="00933A51"/>
    <w:rsid w:val="00934DF0"/>
    <w:rsid w:val="00936651"/>
    <w:rsid w:val="00936EBB"/>
    <w:rsid w:val="00945060"/>
    <w:rsid w:val="0095251D"/>
    <w:rsid w:val="009607FE"/>
    <w:rsid w:val="00963EF7"/>
    <w:rsid w:val="0096590B"/>
    <w:rsid w:val="009726E3"/>
    <w:rsid w:val="00972B18"/>
    <w:rsid w:val="00973A64"/>
    <w:rsid w:val="009746AA"/>
    <w:rsid w:val="00977625"/>
    <w:rsid w:val="0098271E"/>
    <w:rsid w:val="00984DE5"/>
    <w:rsid w:val="009869A4"/>
    <w:rsid w:val="00990AD8"/>
    <w:rsid w:val="00991D12"/>
    <w:rsid w:val="009A0304"/>
    <w:rsid w:val="009A1F57"/>
    <w:rsid w:val="009A343C"/>
    <w:rsid w:val="009A4E05"/>
    <w:rsid w:val="009B4371"/>
    <w:rsid w:val="009B592C"/>
    <w:rsid w:val="009B6E6B"/>
    <w:rsid w:val="009C04BD"/>
    <w:rsid w:val="009C0A5A"/>
    <w:rsid w:val="009C2D95"/>
    <w:rsid w:val="009D23C6"/>
    <w:rsid w:val="009D674B"/>
    <w:rsid w:val="009E04FE"/>
    <w:rsid w:val="009E44E8"/>
    <w:rsid w:val="009E6799"/>
    <w:rsid w:val="009F1863"/>
    <w:rsid w:val="009F7687"/>
    <w:rsid w:val="009F7807"/>
    <w:rsid w:val="00A01E94"/>
    <w:rsid w:val="00A025CC"/>
    <w:rsid w:val="00A05539"/>
    <w:rsid w:val="00A05E5A"/>
    <w:rsid w:val="00A060F5"/>
    <w:rsid w:val="00A1219F"/>
    <w:rsid w:val="00A14BC5"/>
    <w:rsid w:val="00A20DE7"/>
    <w:rsid w:val="00A22805"/>
    <w:rsid w:val="00A26884"/>
    <w:rsid w:val="00A27587"/>
    <w:rsid w:val="00A327B2"/>
    <w:rsid w:val="00A334DC"/>
    <w:rsid w:val="00A34277"/>
    <w:rsid w:val="00A35DC3"/>
    <w:rsid w:val="00A367F9"/>
    <w:rsid w:val="00A37544"/>
    <w:rsid w:val="00A37BCE"/>
    <w:rsid w:val="00A42903"/>
    <w:rsid w:val="00A43C4D"/>
    <w:rsid w:val="00A43D09"/>
    <w:rsid w:val="00A460A4"/>
    <w:rsid w:val="00A471CE"/>
    <w:rsid w:val="00A504DF"/>
    <w:rsid w:val="00A55A33"/>
    <w:rsid w:val="00A61632"/>
    <w:rsid w:val="00A621EE"/>
    <w:rsid w:val="00A62C58"/>
    <w:rsid w:val="00A62EF0"/>
    <w:rsid w:val="00A63C2D"/>
    <w:rsid w:val="00A65D43"/>
    <w:rsid w:val="00A663FC"/>
    <w:rsid w:val="00A71799"/>
    <w:rsid w:val="00A71D36"/>
    <w:rsid w:val="00A72D8F"/>
    <w:rsid w:val="00A7623B"/>
    <w:rsid w:val="00A77866"/>
    <w:rsid w:val="00A80454"/>
    <w:rsid w:val="00A81D2B"/>
    <w:rsid w:val="00A8489B"/>
    <w:rsid w:val="00A90322"/>
    <w:rsid w:val="00A947BD"/>
    <w:rsid w:val="00A96277"/>
    <w:rsid w:val="00AA0C4F"/>
    <w:rsid w:val="00AA2332"/>
    <w:rsid w:val="00AA56B9"/>
    <w:rsid w:val="00AC1BE1"/>
    <w:rsid w:val="00AC797B"/>
    <w:rsid w:val="00AD0EE6"/>
    <w:rsid w:val="00AD64A9"/>
    <w:rsid w:val="00AE3398"/>
    <w:rsid w:val="00AE40AC"/>
    <w:rsid w:val="00AE4623"/>
    <w:rsid w:val="00AF3EC2"/>
    <w:rsid w:val="00AF63EE"/>
    <w:rsid w:val="00B0199F"/>
    <w:rsid w:val="00B02308"/>
    <w:rsid w:val="00B02F81"/>
    <w:rsid w:val="00B074ED"/>
    <w:rsid w:val="00B11160"/>
    <w:rsid w:val="00B15843"/>
    <w:rsid w:val="00B15C2C"/>
    <w:rsid w:val="00B1734C"/>
    <w:rsid w:val="00B215A5"/>
    <w:rsid w:val="00B22168"/>
    <w:rsid w:val="00B22EE7"/>
    <w:rsid w:val="00B24CC2"/>
    <w:rsid w:val="00B267DA"/>
    <w:rsid w:val="00B3292B"/>
    <w:rsid w:val="00B37EA2"/>
    <w:rsid w:val="00B40190"/>
    <w:rsid w:val="00B41363"/>
    <w:rsid w:val="00B41707"/>
    <w:rsid w:val="00B41BB4"/>
    <w:rsid w:val="00B513AF"/>
    <w:rsid w:val="00B55725"/>
    <w:rsid w:val="00B660E9"/>
    <w:rsid w:val="00B71DED"/>
    <w:rsid w:val="00B743B5"/>
    <w:rsid w:val="00B76151"/>
    <w:rsid w:val="00B83089"/>
    <w:rsid w:val="00B90B19"/>
    <w:rsid w:val="00B932BC"/>
    <w:rsid w:val="00B94042"/>
    <w:rsid w:val="00B94272"/>
    <w:rsid w:val="00B96205"/>
    <w:rsid w:val="00B96607"/>
    <w:rsid w:val="00B97538"/>
    <w:rsid w:val="00B9771E"/>
    <w:rsid w:val="00BA4D8A"/>
    <w:rsid w:val="00BA5A14"/>
    <w:rsid w:val="00BB15D1"/>
    <w:rsid w:val="00BB182E"/>
    <w:rsid w:val="00BB20FF"/>
    <w:rsid w:val="00BB4DEE"/>
    <w:rsid w:val="00BC4C57"/>
    <w:rsid w:val="00BD1821"/>
    <w:rsid w:val="00BD5321"/>
    <w:rsid w:val="00BE129D"/>
    <w:rsid w:val="00BE2D51"/>
    <w:rsid w:val="00BE775A"/>
    <w:rsid w:val="00BE7785"/>
    <w:rsid w:val="00BF5355"/>
    <w:rsid w:val="00BF6247"/>
    <w:rsid w:val="00BF78D6"/>
    <w:rsid w:val="00BF7B83"/>
    <w:rsid w:val="00C01759"/>
    <w:rsid w:val="00C04087"/>
    <w:rsid w:val="00C071FB"/>
    <w:rsid w:val="00C10A46"/>
    <w:rsid w:val="00C15EA1"/>
    <w:rsid w:val="00C16519"/>
    <w:rsid w:val="00C211EE"/>
    <w:rsid w:val="00C21288"/>
    <w:rsid w:val="00C228DF"/>
    <w:rsid w:val="00C26472"/>
    <w:rsid w:val="00C30A95"/>
    <w:rsid w:val="00C32939"/>
    <w:rsid w:val="00C3623C"/>
    <w:rsid w:val="00C36E8F"/>
    <w:rsid w:val="00C40083"/>
    <w:rsid w:val="00C439A7"/>
    <w:rsid w:val="00C45AC9"/>
    <w:rsid w:val="00C4678B"/>
    <w:rsid w:val="00C46B29"/>
    <w:rsid w:val="00C516C9"/>
    <w:rsid w:val="00C51A11"/>
    <w:rsid w:val="00C520CE"/>
    <w:rsid w:val="00C64942"/>
    <w:rsid w:val="00C65C0B"/>
    <w:rsid w:val="00C67FCD"/>
    <w:rsid w:val="00C810C5"/>
    <w:rsid w:val="00C81696"/>
    <w:rsid w:val="00C90FFD"/>
    <w:rsid w:val="00C91A36"/>
    <w:rsid w:val="00C9300D"/>
    <w:rsid w:val="00C9777A"/>
    <w:rsid w:val="00CA5125"/>
    <w:rsid w:val="00CB7644"/>
    <w:rsid w:val="00CC0B7F"/>
    <w:rsid w:val="00CC21C5"/>
    <w:rsid w:val="00CC28A0"/>
    <w:rsid w:val="00CC3C80"/>
    <w:rsid w:val="00CC704C"/>
    <w:rsid w:val="00CD2342"/>
    <w:rsid w:val="00CD3B8E"/>
    <w:rsid w:val="00CE1D26"/>
    <w:rsid w:val="00CE306F"/>
    <w:rsid w:val="00CE65F8"/>
    <w:rsid w:val="00CF41DC"/>
    <w:rsid w:val="00CF48F1"/>
    <w:rsid w:val="00CF6151"/>
    <w:rsid w:val="00CF76A0"/>
    <w:rsid w:val="00D0062D"/>
    <w:rsid w:val="00D04EB7"/>
    <w:rsid w:val="00D069A3"/>
    <w:rsid w:val="00D07C33"/>
    <w:rsid w:val="00D10849"/>
    <w:rsid w:val="00D1745B"/>
    <w:rsid w:val="00D21832"/>
    <w:rsid w:val="00D24AF0"/>
    <w:rsid w:val="00D26322"/>
    <w:rsid w:val="00D27374"/>
    <w:rsid w:val="00D47750"/>
    <w:rsid w:val="00D56AE8"/>
    <w:rsid w:val="00D648BE"/>
    <w:rsid w:val="00D6581D"/>
    <w:rsid w:val="00D67DC6"/>
    <w:rsid w:val="00D74CB4"/>
    <w:rsid w:val="00D75395"/>
    <w:rsid w:val="00D83423"/>
    <w:rsid w:val="00D8488C"/>
    <w:rsid w:val="00D85512"/>
    <w:rsid w:val="00D92EFE"/>
    <w:rsid w:val="00D9638C"/>
    <w:rsid w:val="00DA1AFC"/>
    <w:rsid w:val="00DA1B16"/>
    <w:rsid w:val="00DA4251"/>
    <w:rsid w:val="00DA4645"/>
    <w:rsid w:val="00DA59A2"/>
    <w:rsid w:val="00DA680F"/>
    <w:rsid w:val="00DA6C96"/>
    <w:rsid w:val="00DB397C"/>
    <w:rsid w:val="00DB48EB"/>
    <w:rsid w:val="00DC0538"/>
    <w:rsid w:val="00DC1F9A"/>
    <w:rsid w:val="00DC3340"/>
    <w:rsid w:val="00DC6ED9"/>
    <w:rsid w:val="00DC73B0"/>
    <w:rsid w:val="00DD2522"/>
    <w:rsid w:val="00DD7D6F"/>
    <w:rsid w:val="00DE0CF3"/>
    <w:rsid w:val="00DE0DA2"/>
    <w:rsid w:val="00DE0F37"/>
    <w:rsid w:val="00DE4A6F"/>
    <w:rsid w:val="00DE5A89"/>
    <w:rsid w:val="00DF0FE2"/>
    <w:rsid w:val="00DF6D4A"/>
    <w:rsid w:val="00E000C0"/>
    <w:rsid w:val="00E0062D"/>
    <w:rsid w:val="00E0076E"/>
    <w:rsid w:val="00E00951"/>
    <w:rsid w:val="00E019B2"/>
    <w:rsid w:val="00E02ECE"/>
    <w:rsid w:val="00E057AD"/>
    <w:rsid w:val="00E11D15"/>
    <w:rsid w:val="00E204DD"/>
    <w:rsid w:val="00E22118"/>
    <w:rsid w:val="00E22F5E"/>
    <w:rsid w:val="00E2394F"/>
    <w:rsid w:val="00E24211"/>
    <w:rsid w:val="00E24A84"/>
    <w:rsid w:val="00E24C83"/>
    <w:rsid w:val="00E2522B"/>
    <w:rsid w:val="00E27E6B"/>
    <w:rsid w:val="00E33309"/>
    <w:rsid w:val="00E33312"/>
    <w:rsid w:val="00E43E76"/>
    <w:rsid w:val="00E44D42"/>
    <w:rsid w:val="00E50A26"/>
    <w:rsid w:val="00E51CF6"/>
    <w:rsid w:val="00E525C4"/>
    <w:rsid w:val="00E538A6"/>
    <w:rsid w:val="00E57CB8"/>
    <w:rsid w:val="00E60F08"/>
    <w:rsid w:val="00E65D99"/>
    <w:rsid w:val="00E7161A"/>
    <w:rsid w:val="00E73EF2"/>
    <w:rsid w:val="00E74B52"/>
    <w:rsid w:val="00E752D3"/>
    <w:rsid w:val="00E75E83"/>
    <w:rsid w:val="00E80540"/>
    <w:rsid w:val="00E84FA7"/>
    <w:rsid w:val="00E90735"/>
    <w:rsid w:val="00E90CFA"/>
    <w:rsid w:val="00E9197C"/>
    <w:rsid w:val="00E91ECC"/>
    <w:rsid w:val="00E9609F"/>
    <w:rsid w:val="00EA0F16"/>
    <w:rsid w:val="00EA7B3F"/>
    <w:rsid w:val="00EB378B"/>
    <w:rsid w:val="00EB5BE4"/>
    <w:rsid w:val="00EC065B"/>
    <w:rsid w:val="00EC73AB"/>
    <w:rsid w:val="00ED2D61"/>
    <w:rsid w:val="00ED6D37"/>
    <w:rsid w:val="00ED6DE0"/>
    <w:rsid w:val="00EE0D7B"/>
    <w:rsid w:val="00EE16F9"/>
    <w:rsid w:val="00EE29AC"/>
    <w:rsid w:val="00EE3577"/>
    <w:rsid w:val="00EE4A5E"/>
    <w:rsid w:val="00EE7934"/>
    <w:rsid w:val="00EF4F03"/>
    <w:rsid w:val="00F010A6"/>
    <w:rsid w:val="00F01476"/>
    <w:rsid w:val="00F02175"/>
    <w:rsid w:val="00F02D98"/>
    <w:rsid w:val="00F03293"/>
    <w:rsid w:val="00F03B73"/>
    <w:rsid w:val="00F0469F"/>
    <w:rsid w:val="00F11476"/>
    <w:rsid w:val="00F123BA"/>
    <w:rsid w:val="00F1241E"/>
    <w:rsid w:val="00F131D8"/>
    <w:rsid w:val="00F15059"/>
    <w:rsid w:val="00F151DF"/>
    <w:rsid w:val="00F17467"/>
    <w:rsid w:val="00F175F0"/>
    <w:rsid w:val="00F2209D"/>
    <w:rsid w:val="00F247B0"/>
    <w:rsid w:val="00F27B3F"/>
    <w:rsid w:val="00F337ED"/>
    <w:rsid w:val="00F3450B"/>
    <w:rsid w:val="00F35DCC"/>
    <w:rsid w:val="00F375FE"/>
    <w:rsid w:val="00F3776E"/>
    <w:rsid w:val="00F4175A"/>
    <w:rsid w:val="00F43BA5"/>
    <w:rsid w:val="00F460AA"/>
    <w:rsid w:val="00F50329"/>
    <w:rsid w:val="00F52B85"/>
    <w:rsid w:val="00F546BF"/>
    <w:rsid w:val="00F57A20"/>
    <w:rsid w:val="00F613A7"/>
    <w:rsid w:val="00F64D78"/>
    <w:rsid w:val="00F67B72"/>
    <w:rsid w:val="00F71315"/>
    <w:rsid w:val="00F72C94"/>
    <w:rsid w:val="00F73147"/>
    <w:rsid w:val="00F75175"/>
    <w:rsid w:val="00F76B10"/>
    <w:rsid w:val="00F82A05"/>
    <w:rsid w:val="00F84D24"/>
    <w:rsid w:val="00F84E14"/>
    <w:rsid w:val="00F85298"/>
    <w:rsid w:val="00F85780"/>
    <w:rsid w:val="00F931B5"/>
    <w:rsid w:val="00F94A58"/>
    <w:rsid w:val="00FA09BD"/>
    <w:rsid w:val="00FA722E"/>
    <w:rsid w:val="00FB0957"/>
    <w:rsid w:val="00FB3522"/>
    <w:rsid w:val="00FB3A91"/>
    <w:rsid w:val="00FB7261"/>
    <w:rsid w:val="00FC0726"/>
    <w:rsid w:val="00FD02FC"/>
    <w:rsid w:val="00FD232A"/>
    <w:rsid w:val="00FD5AC7"/>
    <w:rsid w:val="00FD654B"/>
    <w:rsid w:val="00FE0511"/>
    <w:rsid w:val="00FE20A9"/>
    <w:rsid w:val="00FE439B"/>
    <w:rsid w:val="00FE4CDC"/>
    <w:rsid w:val="00FE5767"/>
    <w:rsid w:val="00FE77B8"/>
    <w:rsid w:val="00FE7F7C"/>
    <w:rsid w:val="00FF0F74"/>
    <w:rsid w:val="00FF10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2F5E5A"/>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2F5E5A"/>
    <w:rPr>
      <w:rFonts w:ascii="Times New Roman" w:eastAsia="Times New Roman" w:hAnsi="Times New Roman" w:cs="Times New Roman"/>
      <w:sz w:val="20"/>
      <w:szCs w:val="20"/>
      <w:lang w:eastAsia="en-AU"/>
    </w:rPr>
  </w:style>
  <w:style w:type="character" w:styleId="FootnoteReference">
    <w:name w:val="footnote reference"/>
    <w:semiHidden/>
    <w:unhideWhenUsed/>
    <w:rsid w:val="002F5E5A"/>
    <w:rPr>
      <w:vertAlign w:val="superscript"/>
    </w:rPr>
  </w:style>
  <w:style w:type="character" w:styleId="CommentReference">
    <w:name w:val="annotation reference"/>
    <w:uiPriority w:val="99"/>
    <w:semiHidden/>
    <w:unhideWhenUsed/>
    <w:rsid w:val="002F5E5A"/>
    <w:rPr>
      <w:sz w:val="16"/>
      <w:szCs w:val="16"/>
    </w:rPr>
  </w:style>
  <w:style w:type="paragraph" w:customStyle="1" w:styleId="Definition">
    <w:name w:val="Definition"/>
    <w:aliases w:val="dd"/>
    <w:basedOn w:val="Normal"/>
    <w:rsid w:val="00C45AC9"/>
    <w:pPr>
      <w:spacing w:before="180" w:after="0" w:line="240" w:lineRule="auto"/>
      <w:ind w:left="1134"/>
    </w:pPr>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aliases w:val="ss2"/>
    <w:basedOn w:val="Normal"/>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bsectionChar">
    <w:name w:val="subsection Char"/>
    <w:aliases w:val="ss Char"/>
    <w:link w:val="subsection"/>
    <w:rsid w:val="008518BE"/>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rsid w:val="008518BE"/>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685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54A"/>
    <w:rPr>
      <w:rFonts w:ascii="Tahoma" w:hAnsi="Tahoma" w:cs="Tahoma"/>
      <w:sz w:val="16"/>
      <w:szCs w:val="16"/>
    </w:rPr>
  </w:style>
  <w:style w:type="paragraph" w:styleId="ListParagraph">
    <w:name w:val="List Paragraph"/>
    <w:aliases w:val="Bullet 1,Bullet Points,CV text,Colorful List - Accent 11,Dot pt,F5 List Paragraph,Indicator Text,L,List Paragraph Char Char Char,List Paragraph1,List Paragraph11,List Paragraph12,MAIN CONTENT,No Spacing1,Numbered Para 1,Recommendation,列"/>
    <w:basedOn w:val="Normal"/>
    <w:link w:val="ListParagraphChar"/>
    <w:uiPriority w:val="34"/>
    <w:qFormat/>
    <w:rsid w:val="00AE4623"/>
    <w:pPr>
      <w:ind w:left="720"/>
      <w:contextualSpacing/>
    </w:pPr>
  </w:style>
  <w:style w:type="paragraph" w:styleId="CommentText">
    <w:name w:val="annotation text"/>
    <w:basedOn w:val="Normal"/>
    <w:link w:val="CommentTextChar"/>
    <w:uiPriority w:val="99"/>
    <w:unhideWhenUsed/>
    <w:rsid w:val="00933A51"/>
    <w:pPr>
      <w:spacing w:line="240" w:lineRule="auto"/>
    </w:pPr>
    <w:rPr>
      <w:sz w:val="20"/>
      <w:szCs w:val="20"/>
    </w:rPr>
  </w:style>
  <w:style w:type="character" w:customStyle="1" w:styleId="CommentTextChar">
    <w:name w:val="Comment Text Char"/>
    <w:basedOn w:val="DefaultParagraphFont"/>
    <w:link w:val="CommentText"/>
    <w:uiPriority w:val="99"/>
    <w:rsid w:val="00933A51"/>
    <w:rPr>
      <w:sz w:val="20"/>
      <w:szCs w:val="20"/>
    </w:rPr>
  </w:style>
  <w:style w:type="paragraph" w:styleId="CommentSubject">
    <w:name w:val="annotation subject"/>
    <w:basedOn w:val="CommentText"/>
    <w:next w:val="CommentText"/>
    <w:link w:val="CommentSubjectChar"/>
    <w:uiPriority w:val="99"/>
    <w:semiHidden/>
    <w:unhideWhenUsed/>
    <w:rsid w:val="00933A51"/>
    <w:rPr>
      <w:b/>
      <w:bCs/>
    </w:rPr>
  </w:style>
  <w:style w:type="character" w:customStyle="1" w:styleId="CommentSubjectChar">
    <w:name w:val="Comment Subject Char"/>
    <w:basedOn w:val="CommentTextChar"/>
    <w:link w:val="CommentSubject"/>
    <w:uiPriority w:val="99"/>
    <w:semiHidden/>
    <w:rsid w:val="00933A51"/>
    <w:rPr>
      <w:b/>
      <w:bCs/>
      <w:sz w:val="20"/>
      <w:szCs w:val="20"/>
    </w:rPr>
  </w:style>
  <w:style w:type="paragraph" w:styleId="Revision">
    <w:name w:val="Revision"/>
    <w:hidden/>
    <w:uiPriority w:val="99"/>
    <w:semiHidden/>
    <w:rsid w:val="00933A51"/>
    <w:pPr>
      <w:spacing w:after="0" w:line="240" w:lineRule="auto"/>
    </w:pPr>
  </w:style>
  <w:style w:type="character" w:styleId="Hyperlink">
    <w:name w:val="Hyperlink"/>
    <w:basedOn w:val="DefaultParagraphFont"/>
    <w:uiPriority w:val="99"/>
    <w:unhideWhenUsed/>
    <w:rsid w:val="009322B7"/>
    <w:rPr>
      <w:color w:val="0000FF" w:themeColor="hyperlink"/>
      <w:u w:val="single"/>
    </w:rPr>
  </w:style>
  <w:style w:type="paragraph" w:customStyle="1" w:styleId="Default">
    <w:name w:val="Default"/>
    <w:rsid w:val="004B1E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61">
    <w:name w:val="Pa16++1"/>
    <w:basedOn w:val="Default"/>
    <w:next w:val="Default"/>
    <w:uiPriority w:val="99"/>
    <w:rsid w:val="005B66D3"/>
    <w:pPr>
      <w:spacing w:line="201" w:lineRule="atLeast"/>
    </w:pPr>
    <w:rPr>
      <w:rFonts w:ascii="Gotham Light" w:hAnsi="Gotham Light" w:cstheme="minorBidi"/>
      <w:color w:val="auto"/>
    </w:rPr>
  </w:style>
  <w:style w:type="paragraph" w:styleId="Header">
    <w:name w:val="header"/>
    <w:basedOn w:val="Normal"/>
    <w:link w:val="HeaderChar"/>
    <w:uiPriority w:val="99"/>
    <w:unhideWhenUsed/>
    <w:rsid w:val="004A7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72F"/>
  </w:style>
  <w:style w:type="paragraph" w:styleId="Footer">
    <w:name w:val="footer"/>
    <w:basedOn w:val="Normal"/>
    <w:link w:val="FooterChar"/>
    <w:uiPriority w:val="99"/>
    <w:unhideWhenUsed/>
    <w:rsid w:val="004A7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72F"/>
  </w:style>
  <w:style w:type="character" w:customStyle="1" w:styleId="ListParagraphChar">
    <w:name w:val="List Paragraph Char"/>
    <w:aliases w:val="Bullet 1 Char,Bullet Points Char,CV text Char,Colorful List - Accent 11 Char,Dot pt Char,F5 List Paragraph Char,Indicator Text Char,L Char,List Paragraph Char Char Char Char,List Paragraph1 Char,List Paragraph11 Char,No Spacing1 Char"/>
    <w:basedOn w:val="DefaultParagraphFont"/>
    <w:link w:val="ListParagraph"/>
    <w:uiPriority w:val="34"/>
    <w:locked/>
    <w:rsid w:val="00302E4F"/>
  </w:style>
  <w:style w:type="character" w:styleId="FollowedHyperlink">
    <w:name w:val="FollowedHyperlink"/>
    <w:basedOn w:val="DefaultParagraphFont"/>
    <w:uiPriority w:val="99"/>
    <w:semiHidden/>
    <w:unhideWhenUsed/>
    <w:rsid w:val="00FE77B8"/>
    <w:rPr>
      <w:color w:val="800080" w:themeColor="followedHyperlink"/>
      <w:u w:val="single"/>
    </w:rPr>
  </w:style>
  <w:style w:type="character" w:customStyle="1" w:styleId="apple-converted-space">
    <w:name w:val="apple-converted-space"/>
    <w:basedOn w:val="DefaultParagraphFont"/>
    <w:rsid w:val="00080D64"/>
  </w:style>
  <w:style w:type="table" w:styleId="TableGrid">
    <w:name w:val="Table Grid"/>
    <w:basedOn w:val="TableNormal"/>
    <w:uiPriority w:val="59"/>
    <w:rsid w:val="00713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rtT">
    <w:name w:val="ShortT"/>
    <w:basedOn w:val="Normal"/>
    <w:next w:val="Normal"/>
    <w:qFormat/>
    <w:rsid w:val="002448AC"/>
    <w:pPr>
      <w:spacing w:after="0" w:line="240" w:lineRule="auto"/>
    </w:pPr>
    <w:rPr>
      <w:rFonts w:ascii="Times New Roman" w:eastAsia="Times New Roman" w:hAnsi="Times New Roman" w:cs="Times New Roman"/>
      <w:b/>
      <w:sz w:val="40"/>
      <w:szCs w:val="20"/>
      <w:lang w:eastAsia="en-AU"/>
    </w:rPr>
  </w:style>
  <w:style w:type="paragraph" w:customStyle="1" w:styleId="acthead5">
    <w:name w:val="acthead5"/>
    <w:basedOn w:val="Normal"/>
    <w:rsid w:val="0029306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293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3177">
      <w:bodyDiv w:val="1"/>
      <w:marLeft w:val="0"/>
      <w:marRight w:val="0"/>
      <w:marTop w:val="0"/>
      <w:marBottom w:val="0"/>
      <w:divBdr>
        <w:top w:val="none" w:sz="0" w:space="0" w:color="auto"/>
        <w:left w:val="none" w:sz="0" w:space="0" w:color="auto"/>
        <w:bottom w:val="none" w:sz="0" w:space="0" w:color="auto"/>
        <w:right w:val="none" w:sz="0" w:space="0" w:color="auto"/>
      </w:divBdr>
    </w:div>
    <w:div w:id="214317512">
      <w:bodyDiv w:val="1"/>
      <w:marLeft w:val="0"/>
      <w:marRight w:val="0"/>
      <w:marTop w:val="0"/>
      <w:marBottom w:val="0"/>
      <w:divBdr>
        <w:top w:val="none" w:sz="0" w:space="0" w:color="auto"/>
        <w:left w:val="none" w:sz="0" w:space="0" w:color="auto"/>
        <w:bottom w:val="none" w:sz="0" w:space="0" w:color="auto"/>
        <w:right w:val="none" w:sz="0" w:space="0" w:color="auto"/>
      </w:divBdr>
    </w:div>
    <w:div w:id="327751985">
      <w:bodyDiv w:val="1"/>
      <w:marLeft w:val="0"/>
      <w:marRight w:val="0"/>
      <w:marTop w:val="0"/>
      <w:marBottom w:val="0"/>
      <w:divBdr>
        <w:top w:val="none" w:sz="0" w:space="0" w:color="auto"/>
        <w:left w:val="none" w:sz="0" w:space="0" w:color="auto"/>
        <w:bottom w:val="none" w:sz="0" w:space="0" w:color="auto"/>
        <w:right w:val="none" w:sz="0" w:space="0" w:color="auto"/>
      </w:divBdr>
    </w:div>
    <w:div w:id="415714420">
      <w:bodyDiv w:val="1"/>
      <w:marLeft w:val="0"/>
      <w:marRight w:val="0"/>
      <w:marTop w:val="0"/>
      <w:marBottom w:val="0"/>
      <w:divBdr>
        <w:top w:val="none" w:sz="0" w:space="0" w:color="auto"/>
        <w:left w:val="none" w:sz="0" w:space="0" w:color="auto"/>
        <w:bottom w:val="none" w:sz="0" w:space="0" w:color="auto"/>
        <w:right w:val="none" w:sz="0" w:space="0" w:color="auto"/>
      </w:divBdr>
    </w:div>
    <w:div w:id="527181782">
      <w:bodyDiv w:val="1"/>
      <w:marLeft w:val="0"/>
      <w:marRight w:val="0"/>
      <w:marTop w:val="0"/>
      <w:marBottom w:val="0"/>
      <w:divBdr>
        <w:top w:val="none" w:sz="0" w:space="0" w:color="auto"/>
        <w:left w:val="none" w:sz="0" w:space="0" w:color="auto"/>
        <w:bottom w:val="none" w:sz="0" w:space="0" w:color="auto"/>
        <w:right w:val="none" w:sz="0" w:space="0" w:color="auto"/>
      </w:divBdr>
    </w:div>
    <w:div w:id="560217000">
      <w:bodyDiv w:val="1"/>
      <w:marLeft w:val="0"/>
      <w:marRight w:val="0"/>
      <w:marTop w:val="0"/>
      <w:marBottom w:val="0"/>
      <w:divBdr>
        <w:top w:val="none" w:sz="0" w:space="0" w:color="auto"/>
        <w:left w:val="none" w:sz="0" w:space="0" w:color="auto"/>
        <w:bottom w:val="none" w:sz="0" w:space="0" w:color="auto"/>
        <w:right w:val="none" w:sz="0" w:space="0" w:color="auto"/>
      </w:divBdr>
    </w:div>
    <w:div w:id="592586369">
      <w:bodyDiv w:val="1"/>
      <w:marLeft w:val="0"/>
      <w:marRight w:val="0"/>
      <w:marTop w:val="0"/>
      <w:marBottom w:val="0"/>
      <w:divBdr>
        <w:top w:val="none" w:sz="0" w:space="0" w:color="auto"/>
        <w:left w:val="none" w:sz="0" w:space="0" w:color="auto"/>
        <w:bottom w:val="none" w:sz="0" w:space="0" w:color="auto"/>
        <w:right w:val="none" w:sz="0" w:space="0" w:color="auto"/>
      </w:divBdr>
    </w:div>
    <w:div w:id="620645399">
      <w:bodyDiv w:val="1"/>
      <w:marLeft w:val="0"/>
      <w:marRight w:val="0"/>
      <w:marTop w:val="0"/>
      <w:marBottom w:val="0"/>
      <w:divBdr>
        <w:top w:val="none" w:sz="0" w:space="0" w:color="auto"/>
        <w:left w:val="none" w:sz="0" w:space="0" w:color="auto"/>
        <w:bottom w:val="none" w:sz="0" w:space="0" w:color="auto"/>
        <w:right w:val="none" w:sz="0" w:space="0" w:color="auto"/>
      </w:divBdr>
    </w:div>
    <w:div w:id="767508516">
      <w:bodyDiv w:val="1"/>
      <w:marLeft w:val="0"/>
      <w:marRight w:val="0"/>
      <w:marTop w:val="0"/>
      <w:marBottom w:val="0"/>
      <w:divBdr>
        <w:top w:val="none" w:sz="0" w:space="0" w:color="auto"/>
        <w:left w:val="none" w:sz="0" w:space="0" w:color="auto"/>
        <w:bottom w:val="none" w:sz="0" w:space="0" w:color="auto"/>
        <w:right w:val="none" w:sz="0" w:space="0" w:color="auto"/>
      </w:divBdr>
    </w:div>
    <w:div w:id="793406635">
      <w:bodyDiv w:val="1"/>
      <w:marLeft w:val="0"/>
      <w:marRight w:val="0"/>
      <w:marTop w:val="0"/>
      <w:marBottom w:val="0"/>
      <w:divBdr>
        <w:top w:val="none" w:sz="0" w:space="0" w:color="auto"/>
        <w:left w:val="none" w:sz="0" w:space="0" w:color="auto"/>
        <w:bottom w:val="none" w:sz="0" w:space="0" w:color="auto"/>
        <w:right w:val="none" w:sz="0" w:space="0" w:color="auto"/>
      </w:divBdr>
      <w:divsChild>
        <w:div w:id="1901013613">
          <w:marLeft w:val="0"/>
          <w:marRight w:val="0"/>
          <w:marTop w:val="0"/>
          <w:marBottom w:val="0"/>
          <w:divBdr>
            <w:top w:val="none" w:sz="0" w:space="0" w:color="auto"/>
            <w:left w:val="none" w:sz="0" w:space="0" w:color="auto"/>
            <w:bottom w:val="none" w:sz="0" w:space="0" w:color="auto"/>
            <w:right w:val="none" w:sz="0" w:space="0" w:color="auto"/>
          </w:divBdr>
          <w:divsChild>
            <w:div w:id="2076314704">
              <w:marLeft w:val="0"/>
              <w:marRight w:val="0"/>
              <w:marTop w:val="0"/>
              <w:marBottom w:val="0"/>
              <w:divBdr>
                <w:top w:val="none" w:sz="0" w:space="0" w:color="auto"/>
                <w:left w:val="none" w:sz="0" w:space="0" w:color="auto"/>
                <w:bottom w:val="none" w:sz="0" w:space="0" w:color="auto"/>
                <w:right w:val="none" w:sz="0" w:space="0" w:color="auto"/>
              </w:divBdr>
              <w:divsChild>
                <w:div w:id="2134863069">
                  <w:marLeft w:val="0"/>
                  <w:marRight w:val="0"/>
                  <w:marTop w:val="0"/>
                  <w:marBottom w:val="0"/>
                  <w:divBdr>
                    <w:top w:val="none" w:sz="0" w:space="0" w:color="auto"/>
                    <w:left w:val="none" w:sz="0" w:space="0" w:color="auto"/>
                    <w:bottom w:val="none" w:sz="0" w:space="0" w:color="auto"/>
                    <w:right w:val="none" w:sz="0" w:space="0" w:color="auto"/>
                  </w:divBdr>
                  <w:divsChild>
                    <w:div w:id="1794975797">
                      <w:marLeft w:val="0"/>
                      <w:marRight w:val="0"/>
                      <w:marTop w:val="0"/>
                      <w:marBottom w:val="0"/>
                      <w:divBdr>
                        <w:top w:val="none" w:sz="0" w:space="0" w:color="auto"/>
                        <w:left w:val="none" w:sz="0" w:space="0" w:color="auto"/>
                        <w:bottom w:val="none" w:sz="0" w:space="0" w:color="auto"/>
                        <w:right w:val="none" w:sz="0" w:space="0" w:color="auto"/>
                      </w:divBdr>
                      <w:divsChild>
                        <w:div w:id="1985771915">
                          <w:marLeft w:val="0"/>
                          <w:marRight w:val="0"/>
                          <w:marTop w:val="0"/>
                          <w:marBottom w:val="0"/>
                          <w:divBdr>
                            <w:top w:val="none" w:sz="0" w:space="0" w:color="auto"/>
                            <w:left w:val="none" w:sz="0" w:space="0" w:color="auto"/>
                            <w:bottom w:val="none" w:sz="0" w:space="0" w:color="auto"/>
                            <w:right w:val="none" w:sz="0" w:space="0" w:color="auto"/>
                          </w:divBdr>
                          <w:divsChild>
                            <w:div w:id="1196501515">
                              <w:marLeft w:val="0"/>
                              <w:marRight w:val="0"/>
                              <w:marTop w:val="0"/>
                              <w:marBottom w:val="0"/>
                              <w:divBdr>
                                <w:top w:val="none" w:sz="0" w:space="0" w:color="auto"/>
                                <w:left w:val="none" w:sz="0" w:space="0" w:color="auto"/>
                                <w:bottom w:val="none" w:sz="0" w:space="0" w:color="auto"/>
                                <w:right w:val="none" w:sz="0" w:space="0" w:color="auto"/>
                              </w:divBdr>
                              <w:divsChild>
                                <w:div w:id="329135523">
                                  <w:marLeft w:val="0"/>
                                  <w:marRight w:val="0"/>
                                  <w:marTop w:val="0"/>
                                  <w:marBottom w:val="0"/>
                                  <w:divBdr>
                                    <w:top w:val="none" w:sz="0" w:space="0" w:color="auto"/>
                                    <w:left w:val="none" w:sz="0" w:space="0" w:color="auto"/>
                                    <w:bottom w:val="none" w:sz="0" w:space="0" w:color="auto"/>
                                    <w:right w:val="none" w:sz="0" w:space="0" w:color="auto"/>
                                  </w:divBdr>
                                  <w:divsChild>
                                    <w:div w:id="1569922981">
                                      <w:marLeft w:val="0"/>
                                      <w:marRight w:val="0"/>
                                      <w:marTop w:val="0"/>
                                      <w:marBottom w:val="0"/>
                                      <w:divBdr>
                                        <w:top w:val="none" w:sz="0" w:space="0" w:color="auto"/>
                                        <w:left w:val="none" w:sz="0" w:space="0" w:color="auto"/>
                                        <w:bottom w:val="none" w:sz="0" w:space="0" w:color="auto"/>
                                        <w:right w:val="none" w:sz="0" w:space="0" w:color="auto"/>
                                      </w:divBdr>
                                      <w:divsChild>
                                        <w:div w:id="926160046">
                                          <w:marLeft w:val="0"/>
                                          <w:marRight w:val="0"/>
                                          <w:marTop w:val="0"/>
                                          <w:marBottom w:val="0"/>
                                          <w:divBdr>
                                            <w:top w:val="none" w:sz="0" w:space="0" w:color="auto"/>
                                            <w:left w:val="none" w:sz="0" w:space="0" w:color="auto"/>
                                            <w:bottom w:val="none" w:sz="0" w:space="0" w:color="auto"/>
                                            <w:right w:val="none" w:sz="0" w:space="0" w:color="auto"/>
                                          </w:divBdr>
                                          <w:divsChild>
                                            <w:div w:id="1850675649">
                                              <w:marLeft w:val="0"/>
                                              <w:marRight w:val="0"/>
                                              <w:marTop w:val="0"/>
                                              <w:marBottom w:val="0"/>
                                              <w:divBdr>
                                                <w:top w:val="none" w:sz="0" w:space="0" w:color="auto"/>
                                                <w:left w:val="none" w:sz="0" w:space="0" w:color="auto"/>
                                                <w:bottom w:val="none" w:sz="0" w:space="0" w:color="auto"/>
                                                <w:right w:val="none" w:sz="0" w:space="0" w:color="auto"/>
                                              </w:divBdr>
                                              <w:divsChild>
                                                <w:div w:id="2147384652">
                                                  <w:marLeft w:val="0"/>
                                                  <w:marRight w:val="0"/>
                                                  <w:marTop w:val="0"/>
                                                  <w:marBottom w:val="0"/>
                                                  <w:divBdr>
                                                    <w:top w:val="none" w:sz="0" w:space="0" w:color="auto"/>
                                                    <w:left w:val="none" w:sz="0" w:space="0" w:color="auto"/>
                                                    <w:bottom w:val="none" w:sz="0" w:space="0" w:color="auto"/>
                                                    <w:right w:val="none" w:sz="0" w:space="0" w:color="auto"/>
                                                  </w:divBdr>
                                                  <w:divsChild>
                                                    <w:div w:id="687025732">
                                                      <w:marLeft w:val="0"/>
                                                      <w:marRight w:val="0"/>
                                                      <w:marTop w:val="0"/>
                                                      <w:marBottom w:val="0"/>
                                                      <w:divBdr>
                                                        <w:top w:val="none" w:sz="0" w:space="0" w:color="auto"/>
                                                        <w:left w:val="none" w:sz="0" w:space="0" w:color="auto"/>
                                                        <w:bottom w:val="none" w:sz="0" w:space="0" w:color="auto"/>
                                                        <w:right w:val="none" w:sz="0" w:space="0" w:color="auto"/>
                                                      </w:divBdr>
                                                      <w:divsChild>
                                                        <w:div w:id="17479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837572112">
      <w:bodyDiv w:val="1"/>
      <w:marLeft w:val="0"/>
      <w:marRight w:val="0"/>
      <w:marTop w:val="0"/>
      <w:marBottom w:val="0"/>
      <w:divBdr>
        <w:top w:val="none" w:sz="0" w:space="0" w:color="auto"/>
        <w:left w:val="none" w:sz="0" w:space="0" w:color="auto"/>
        <w:bottom w:val="none" w:sz="0" w:space="0" w:color="auto"/>
        <w:right w:val="none" w:sz="0" w:space="0" w:color="auto"/>
      </w:divBdr>
    </w:div>
    <w:div w:id="1063059753">
      <w:bodyDiv w:val="1"/>
      <w:marLeft w:val="0"/>
      <w:marRight w:val="0"/>
      <w:marTop w:val="0"/>
      <w:marBottom w:val="0"/>
      <w:divBdr>
        <w:top w:val="none" w:sz="0" w:space="0" w:color="auto"/>
        <w:left w:val="none" w:sz="0" w:space="0" w:color="auto"/>
        <w:bottom w:val="none" w:sz="0" w:space="0" w:color="auto"/>
        <w:right w:val="none" w:sz="0" w:space="0" w:color="auto"/>
      </w:divBdr>
    </w:div>
    <w:div w:id="1094932952">
      <w:bodyDiv w:val="1"/>
      <w:marLeft w:val="0"/>
      <w:marRight w:val="0"/>
      <w:marTop w:val="0"/>
      <w:marBottom w:val="0"/>
      <w:divBdr>
        <w:top w:val="none" w:sz="0" w:space="0" w:color="auto"/>
        <w:left w:val="none" w:sz="0" w:space="0" w:color="auto"/>
        <w:bottom w:val="none" w:sz="0" w:space="0" w:color="auto"/>
        <w:right w:val="none" w:sz="0" w:space="0" w:color="auto"/>
      </w:divBdr>
    </w:div>
    <w:div w:id="1463423082">
      <w:bodyDiv w:val="1"/>
      <w:marLeft w:val="0"/>
      <w:marRight w:val="0"/>
      <w:marTop w:val="0"/>
      <w:marBottom w:val="0"/>
      <w:divBdr>
        <w:top w:val="none" w:sz="0" w:space="0" w:color="auto"/>
        <w:left w:val="none" w:sz="0" w:space="0" w:color="auto"/>
        <w:bottom w:val="none" w:sz="0" w:space="0" w:color="auto"/>
        <w:right w:val="none" w:sz="0" w:space="0" w:color="auto"/>
      </w:divBdr>
    </w:div>
    <w:div w:id="1791239996">
      <w:bodyDiv w:val="1"/>
      <w:marLeft w:val="0"/>
      <w:marRight w:val="0"/>
      <w:marTop w:val="0"/>
      <w:marBottom w:val="0"/>
      <w:divBdr>
        <w:top w:val="none" w:sz="0" w:space="0" w:color="auto"/>
        <w:left w:val="none" w:sz="0" w:space="0" w:color="auto"/>
        <w:bottom w:val="none" w:sz="0" w:space="0" w:color="auto"/>
        <w:right w:val="none" w:sz="0" w:space="0" w:color="auto"/>
      </w:divBdr>
    </w:div>
    <w:div w:id="1891183997">
      <w:bodyDiv w:val="1"/>
      <w:marLeft w:val="0"/>
      <w:marRight w:val="0"/>
      <w:marTop w:val="0"/>
      <w:marBottom w:val="0"/>
      <w:divBdr>
        <w:top w:val="none" w:sz="0" w:space="0" w:color="auto"/>
        <w:left w:val="none" w:sz="0" w:space="0" w:color="auto"/>
        <w:bottom w:val="none" w:sz="0" w:space="0" w:color="auto"/>
        <w:right w:val="none" w:sz="0" w:space="0" w:color="auto"/>
      </w:divBdr>
    </w:div>
    <w:div w:id="1932355581">
      <w:bodyDiv w:val="1"/>
      <w:marLeft w:val="0"/>
      <w:marRight w:val="0"/>
      <w:marTop w:val="0"/>
      <w:marBottom w:val="0"/>
      <w:divBdr>
        <w:top w:val="none" w:sz="0" w:space="0" w:color="auto"/>
        <w:left w:val="none" w:sz="0" w:space="0" w:color="auto"/>
        <w:bottom w:val="none" w:sz="0" w:space="0" w:color="auto"/>
        <w:right w:val="none" w:sz="0" w:space="0" w:color="auto"/>
      </w:divBdr>
    </w:div>
    <w:div w:id="2077118886">
      <w:bodyDiv w:val="1"/>
      <w:marLeft w:val="0"/>
      <w:marRight w:val="0"/>
      <w:marTop w:val="0"/>
      <w:marBottom w:val="0"/>
      <w:divBdr>
        <w:top w:val="none" w:sz="0" w:space="0" w:color="auto"/>
        <w:left w:val="none" w:sz="0" w:space="0" w:color="auto"/>
        <w:bottom w:val="none" w:sz="0" w:space="0" w:color="auto"/>
        <w:right w:val="none" w:sz="0" w:space="0" w:color="auto"/>
      </w:divBdr>
    </w:div>
    <w:div w:id="2131631286">
      <w:bodyDiv w:val="1"/>
      <w:marLeft w:val="0"/>
      <w:marRight w:val="0"/>
      <w:marTop w:val="0"/>
      <w:marBottom w:val="0"/>
      <w:divBdr>
        <w:top w:val="none" w:sz="0" w:space="0" w:color="auto"/>
        <w:left w:val="none" w:sz="0" w:space="0" w:color="auto"/>
        <w:bottom w:val="none" w:sz="0" w:space="0" w:color="auto"/>
        <w:right w:val="none" w:sz="0" w:space="0" w:color="auto"/>
      </w:divBdr>
      <w:divsChild>
        <w:div w:id="45641405">
          <w:marLeft w:val="0"/>
          <w:marRight w:val="0"/>
          <w:marTop w:val="0"/>
          <w:marBottom w:val="0"/>
          <w:divBdr>
            <w:top w:val="none" w:sz="0" w:space="0" w:color="auto"/>
            <w:left w:val="none" w:sz="0" w:space="0" w:color="auto"/>
            <w:bottom w:val="none" w:sz="0" w:space="0" w:color="auto"/>
            <w:right w:val="none" w:sz="0" w:space="0" w:color="auto"/>
          </w:divBdr>
          <w:divsChild>
            <w:div w:id="125377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4E28AD5DA906B448A73D45C25EE0CCC" ma:contentTypeVersion="" ma:contentTypeDescription="PDMS Document Site Content Type" ma:contentTypeScope="" ma:versionID="b83586f2927bf92afe1fdbd4dd187f62">
  <xsd:schema xmlns:xsd="http://www.w3.org/2001/XMLSchema" xmlns:xs="http://www.w3.org/2001/XMLSchema" xmlns:p="http://schemas.microsoft.com/office/2006/metadata/properties" xmlns:ns2="80884B15-272F-414B-B096-A8A64B1E944C" targetNamespace="http://schemas.microsoft.com/office/2006/metadata/properties" ma:root="true" ma:fieldsID="e1a4acde16061a3831d91f92dc5c0695" ns2:_="">
    <xsd:import namespace="80884B15-272F-414B-B096-A8A64B1E944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84B15-272F-414B-B096-A8A64B1E944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0884B15-272F-414B-B096-A8A64B1E94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2448A-2439-4934-A9CD-A3A1E9E5E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84B15-272F-414B-B096-A8A64B1E9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4640F-55CE-4E9F-920F-9EE0879187F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0884B15-272F-414B-B096-A8A64B1E944C"/>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1B02D4D5-42CF-4811-A2F3-67EF02860801}">
  <ds:schemaRefs>
    <ds:schemaRef ds:uri="http://schemas.microsoft.com/sharepoint/v3/contenttype/forms"/>
  </ds:schemaRefs>
</ds:datastoreItem>
</file>

<file path=customXml/itemProps4.xml><?xml version="1.0" encoding="utf-8"?>
<ds:datastoreItem xmlns:ds="http://schemas.openxmlformats.org/officeDocument/2006/customXml" ds:itemID="{F6BD7561-5C87-4D3D-9EF9-AD1CF90C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68DDE417.dotm</Template>
  <TotalTime>0</TotalTime>
  <Pages>6</Pages>
  <Words>1664</Words>
  <Characters>9487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2019-03-07T23:32:00Z</dcterms:created>
  <dcterms:modified xsi:type="dcterms:W3CDTF">2019-03-07T23:32:00Z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0x010100266966F133664895A6EE3632470D45F50024E28AD5DA906B448A73D45C25EE0CCC</vt:lpwstr>
  </property>
</Properties>
</file>