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CCA34" w14:textId="77777777" w:rsidR="002F5E5A" w:rsidRPr="00C04ACC" w:rsidRDefault="002F5E5A" w:rsidP="001C56C1">
      <w:pPr>
        <w:spacing w:after="220" w:line="240" w:lineRule="auto"/>
        <w:jc w:val="center"/>
        <w:rPr>
          <w:rFonts w:ascii="Times New Roman" w:hAnsi="Times New Roman" w:cs="Times New Roman"/>
          <w:b/>
        </w:rPr>
      </w:pPr>
      <w:bookmarkStart w:id="0" w:name="_GoBack"/>
      <w:bookmarkEnd w:id="0"/>
      <w:r w:rsidRPr="00C04ACC">
        <w:rPr>
          <w:rFonts w:ascii="Times New Roman" w:hAnsi="Times New Roman" w:cs="Times New Roman"/>
          <w:b/>
        </w:rPr>
        <w:t>EXPLANATORY STATEMENT</w:t>
      </w:r>
    </w:p>
    <w:p w14:paraId="75F5E89B" w14:textId="77777777" w:rsidR="002F5E5A" w:rsidRPr="00C04ACC" w:rsidRDefault="002F5E5A" w:rsidP="001C56C1">
      <w:pPr>
        <w:spacing w:after="220" w:line="240" w:lineRule="auto"/>
        <w:jc w:val="center"/>
        <w:rPr>
          <w:rFonts w:ascii="Times New Roman" w:hAnsi="Times New Roman" w:cs="Times New Roman"/>
          <w:i/>
        </w:rPr>
      </w:pPr>
      <w:r w:rsidRPr="00C04ACC">
        <w:rPr>
          <w:rFonts w:ascii="Times New Roman" w:hAnsi="Times New Roman" w:cs="Times New Roman"/>
          <w:i/>
        </w:rPr>
        <w:t>Safety, Rehabilitation and Compensation Act 1988</w:t>
      </w:r>
    </w:p>
    <w:p w14:paraId="1F98EFCB" w14:textId="1C3E5FAB" w:rsidR="000E0166" w:rsidRPr="00C04ACC" w:rsidRDefault="002F5E5A" w:rsidP="000E0166">
      <w:pPr>
        <w:spacing w:after="220" w:line="240" w:lineRule="auto"/>
        <w:jc w:val="center"/>
        <w:rPr>
          <w:rFonts w:ascii="Times New Roman" w:hAnsi="Times New Roman" w:cs="Times New Roman"/>
        </w:rPr>
      </w:pPr>
      <w:r w:rsidRPr="00C04ACC">
        <w:rPr>
          <w:rFonts w:ascii="Times New Roman" w:hAnsi="Times New Roman" w:cs="Times New Roman"/>
        </w:rPr>
        <w:t xml:space="preserve">Issued by the </w:t>
      </w:r>
      <w:r w:rsidR="002448AC" w:rsidRPr="00C04ACC">
        <w:rPr>
          <w:rFonts w:ascii="Times New Roman" w:hAnsi="Times New Roman" w:cs="Times New Roman"/>
          <w:lang w:val="en"/>
        </w:rPr>
        <w:t xml:space="preserve">Minister for </w:t>
      </w:r>
      <w:r w:rsidR="00BD4DA7">
        <w:rPr>
          <w:rFonts w:ascii="Times New Roman" w:hAnsi="Times New Roman" w:cs="Times New Roman"/>
          <w:lang w:val="en"/>
        </w:rPr>
        <w:t>Jobs and Industrial Relations</w:t>
      </w:r>
    </w:p>
    <w:p w14:paraId="14AB77DA" w14:textId="2C8A3ADE" w:rsidR="000E0166" w:rsidRPr="00C04ACC" w:rsidRDefault="000E0166" w:rsidP="000E0166">
      <w:pPr>
        <w:jc w:val="center"/>
        <w:rPr>
          <w:rFonts w:ascii="Times New Roman" w:hAnsi="Times New Roman" w:cs="Times New Roman"/>
          <w:b/>
          <w:lang w:eastAsia="en-AU"/>
        </w:rPr>
      </w:pPr>
      <w:r w:rsidRPr="00C04ACC">
        <w:rPr>
          <w:rFonts w:ascii="Times New Roman" w:hAnsi="Times New Roman" w:cs="Times New Roman"/>
          <w:b/>
        </w:rPr>
        <w:t>Safety, Rehabilitation and Compensation (</w:t>
      </w:r>
      <w:r w:rsidR="008A1923">
        <w:rPr>
          <w:rFonts w:ascii="Times New Roman" w:hAnsi="Times New Roman" w:cs="Times New Roman"/>
          <w:b/>
        </w:rPr>
        <w:t>Specified Persons and Acts</w:t>
      </w:r>
      <w:r w:rsidRPr="00C04ACC">
        <w:rPr>
          <w:rFonts w:ascii="Times New Roman" w:hAnsi="Times New Roman" w:cs="Times New Roman"/>
          <w:b/>
        </w:rPr>
        <w:t>)</w:t>
      </w:r>
      <w:r w:rsidR="00610E46">
        <w:rPr>
          <w:rFonts w:ascii="Times New Roman" w:hAnsi="Times New Roman" w:cs="Times New Roman"/>
          <w:b/>
        </w:rPr>
        <w:br/>
      </w:r>
      <w:r w:rsidR="008A1923">
        <w:rPr>
          <w:rFonts w:ascii="Times New Roman" w:hAnsi="Times New Roman" w:cs="Times New Roman"/>
          <w:b/>
        </w:rPr>
        <w:t>Declaration</w:t>
      </w:r>
      <w:r w:rsidR="00BD4DA7">
        <w:rPr>
          <w:rFonts w:ascii="Times New Roman" w:hAnsi="Times New Roman" w:cs="Times New Roman"/>
          <w:b/>
        </w:rPr>
        <w:t xml:space="preserve"> 2019</w:t>
      </w:r>
    </w:p>
    <w:p w14:paraId="5A9CB43D" w14:textId="7334C0E3" w:rsidR="007A3CE5" w:rsidRPr="00092604" w:rsidRDefault="00603317" w:rsidP="00C04ACC">
      <w:pPr>
        <w:spacing w:line="240" w:lineRule="auto"/>
        <w:rPr>
          <w:rFonts w:ascii="Times New Roman" w:hAnsi="Times New Roman" w:cs="Times New Roman"/>
        </w:rPr>
      </w:pPr>
      <w:r w:rsidRPr="00092604">
        <w:rPr>
          <w:rFonts w:ascii="Times New Roman" w:hAnsi="Times New Roman" w:cs="Times New Roman"/>
        </w:rPr>
        <w:t xml:space="preserve">The </w:t>
      </w:r>
      <w:r w:rsidRPr="00092604">
        <w:rPr>
          <w:rFonts w:ascii="Times New Roman" w:hAnsi="Times New Roman" w:cs="Times New Roman"/>
          <w:i/>
        </w:rPr>
        <w:t xml:space="preserve">Safety, Rehabilitation and Compensation Act 1988 </w:t>
      </w:r>
      <w:r w:rsidR="00F038EA" w:rsidRPr="00092604">
        <w:rPr>
          <w:rFonts w:ascii="Times New Roman" w:hAnsi="Times New Roman" w:cs="Times New Roman"/>
        </w:rPr>
        <w:t>(</w:t>
      </w:r>
      <w:r w:rsidR="0072454B">
        <w:rPr>
          <w:rFonts w:ascii="Times New Roman" w:hAnsi="Times New Roman" w:cs="Times New Roman"/>
        </w:rPr>
        <w:t xml:space="preserve">SRC </w:t>
      </w:r>
      <w:r w:rsidR="00F038EA" w:rsidRPr="00092604">
        <w:rPr>
          <w:rFonts w:ascii="Times New Roman" w:hAnsi="Times New Roman" w:cs="Times New Roman"/>
        </w:rPr>
        <w:t>Act</w:t>
      </w:r>
      <w:r w:rsidRPr="00092604">
        <w:rPr>
          <w:rFonts w:ascii="Times New Roman" w:hAnsi="Times New Roman" w:cs="Times New Roman"/>
        </w:rPr>
        <w:t xml:space="preserve">) </w:t>
      </w:r>
      <w:r w:rsidRPr="00092604">
        <w:rPr>
          <w:rFonts w:ascii="Times New Roman" w:hAnsi="Times New Roman" w:cs="Times New Roman"/>
          <w:lang w:eastAsia="en-AU"/>
        </w:rPr>
        <w:t>establishes the Commonwealth workers’ compensation and rehabilitation scheme</w:t>
      </w:r>
      <w:r w:rsidRPr="00092604">
        <w:rPr>
          <w:rFonts w:ascii="Times New Roman" w:hAnsi="Times New Roman" w:cs="Times New Roman"/>
        </w:rPr>
        <w:t xml:space="preserve"> for employees of the Commonwealth, Commonwealth authorities and licensed corporations. </w:t>
      </w:r>
    </w:p>
    <w:p w14:paraId="485516F3" w14:textId="7044B45F" w:rsidR="00612C03" w:rsidRPr="00092604" w:rsidRDefault="009C74F3" w:rsidP="009C74F3">
      <w:pPr>
        <w:spacing w:line="240" w:lineRule="auto"/>
        <w:rPr>
          <w:rFonts w:ascii="Times New Roman" w:hAnsi="Times New Roman" w:cs="Times New Roman"/>
        </w:rPr>
      </w:pPr>
      <w:r w:rsidRPr="00092604">
        <w:rPr>
          <w:rFonts w:ascii="Times New Roman" w:hAnsi="Times New Roman" w:cs="Times New Roman"/>
        </w:rPr>
        <w:t xml:space="preserve">Section 5 of the </w:t>
      </w:r>
      <w:r w:rsidR="0072454B">
        <w:rPr>
          <w:rFonts w:ascii="Times New Roman" w:hAnsi="Times New Roman" w:cs="Times New Roman"/>
        </w:rPr>
        <w:t xml:space="preserve">SRC </w:t>
      </w:r>
      <w:r w:rsidRPr="00092604">
        <w:rPr>
          <w:rFonts w:ascii="Times New Roman" w:hAnsi="Times New Roman" w:cs="Times New Roman"/>
        </w:rPr>
        <w:t xml:space="preserve">Act defines the term ‘employee’ for the purposes of the </w:t>
      </w:r>
      <w:r w:rsidR="00630DDD">
        <w:rPr>
          <w:rFonts w:ascii="Times New Roman" w:hAnsi="Times New Roman" w:cs="Times New Roman"/>
        </w:rPr>
        <w:t xml:space="preserve">SRC </w:t>
      </w:r>
      <w:r w:rsidRPr="00092604">
        <w:rPr>
          <w:rFonts w:ascii="Times New Roman" w:hAnsi="Times New Roman" w:cs="Times New Roman"/>
        </w:rPr>
        <w:t xml:space="preserve">Act. </w:t>
      </w:r>
      <w:r w:rsidR="00630A3D" w:rsidRPr="00092604">
        <w:rPr>
          <w:rFonts w:ascii="Times New Roman" w:hAnsi="Times New Roman" w:cs="Times New Roman"/>
        </w:rPr>
        <w:t>S</w:t>
      </w:r>
      <w:r w:rsidR="00AB0767">
        <w:rPr>
          <w:rFonts w:ascii="Times New Roman" w:hAnsi="Times New Roman" w:cs="Times New Roman"/>
        </w:rPr>
        <w:t>ubsection </w:t>
      </w:r>
      <w:r w:rsidRPr="00092604">
        <w:rPr>
          <w:rFonts w:ascii="Times New Roman" w:hAnsi="Times New Roman" w:cs="Times New Roman"/>
        </w:rPr>
        <w:t xml:space="preserve">5(6) of the </w:t>
      </w:r>
      <w:r w:rsidR="0072454B">
        <w:rPr>
          <w:rFonts w:ascii="Times New Roman" w:hAnsi="Times New Roman" w:cs="Times New Roman"/>
        </w:rPr>
        <w:t xml:space="preserve">SRC </w:t>
      </w:r>
      <w:r w:rsidRPr="00092604">
        <w:rPr>
          <w:rFonts w:ascii="Times New Roman" w:hAnsi="Times New Roman" w:cs="Times New Roman"/>
        </w:rPr>
        <w:t>Act</w:t>
      </w:r>
      <w:r w:rsidR="00630A3D" w:rsidRPr="00092604">
        <w:rPr>
          <w:rFonts w:ascii="Times New Roman" w:hAnsi="Times New Roman" w:cs="Times New Roman"/>
        </w:rPr>
        <w:t xml:space="preserve"> provides that</w:t>
      </w:r>
      <w:r w:rsidR="00755902">
        <w:rPr>
          <w:rFonts w:ascii="Times New Roman" w:hAnsi="Times New Roman" w:cs="Times New Roman"/>
        </w:rPr>
        <w:t xml:space="preserve"> </w:t>
      </w:r>
      <w:r w:rsidR="002A16A1">
        <w:rPr>
          <w:rFonts w:ascii="Times New Roman" w:hAnsi="Times New Roman" w:cs="Times New Roman"/>
        </w:rPr>
        <w:t xml:space="preserve">the Minister may, </w:t>
      </w:r>
      <w:r w:rsidRPr="00092604">
        <w:rPr>
          <w:rFonts w:ascii="Times New Roman" w:hAnsi="Times New Roman" w:cs="Times New Roman"/>
        </w:rPr>
        <w:t>by legislative instrument, de</w:t>
      </w:r>
      <w:r w:rsidR="00E556DC">
        <w:rPr>
          <w:rFonts w:ascii="Times New Roman" w:hAnsi="Times New Roman" w:cs="Times New Roman"/>
        </w:rPr>
        <w:t>clare</w:t>
      </w:r>
      <w:r w:rsidR="00612C03" w:rsidRPr="00092604">
        <w:rPr>
          <w:rFonts w:ascii="Times New Roman" w:hAnsi="Times New Roman" w:cs="Times New Roman"/>
        </w:rPr>
        <w:t>:</w:t>
      </w:r>
    </w:p>
    <w:p w14:paraId="7E049A73" w14:textId="3775AEBC" w:rsidR="009C74F3" w:rsidRPr="00092604" w:rsidRDefault="00E556DC" w:rsidP="00612C03">
      <w:pPr>
        <w:pStyle w:val="ListParagraph"/>
        <w:numPr>
          <w:ilvl w:val="0"/>
          <w:numId w:val="17"/>
        </w:numPr>
        <w:spacing w:line="240" w:lineRule="auto"/>
        <w:rPr>
          <w:rFonts w:ascii="Times New Roman" w:hAnsi="Times New Roman" w:cs="Times New Roman"/>
        </w:rPr>
      </w:pPr>
      <w:r>
        <w:rPr>
          <w:rFonts w:ascii="Times New Roman" w:hAnsi="Times New Roman" w:cs="Times New Roman"/>
        </w:rPr>
        <w:t xml:space="preserve">that </w:t>
      </w:r>
      <w:r w:rsidR="009C74F3" w:rsidRPr="00092604">
        <w:rPr>
          <w:rFonts w:ascii="Times New Roman" w:hAnsi="Times New Roman" w:cs="Times New Roman"/>
        </w:rPr>
        <w:t>specified persons who engage in activities or perform acts:</w:t>
      </w:r>
    </w:p>
    <w:p w14:paraId="5B6103B4" w14:textId="3E0CE3BF" w:rsidR="00612C03" w:rsidRPr="00092604" w:rsidRDefault="00612C03" w:rsidP="00612C03">
      <w:pPr>
        <w:pStyle w:val="ListParagraph"/>
        <w:spacing w:line="240" w:lineRule="auto"/>
        <w:ind w:left="1080"/>
        <w:rPr>
          <w:rFonts w:ascii="Times New Roman" w:hAnsi="Times New Roman" w:cs="Times New Roman"/>
        </w:rPr>
      </w:pPr>
    </w:p>
    <w:p w14:paraId="1A20142D" w14:textId="77F97F2C" w:rsidR="00612C03" w:rsidRPr="00092604" w:rsidRDefault="009C74F3" w:rsidP="00092604">
      <w:pPr>
        <w:pStyle w:val="ListParagraph"/>
        <w:numPr>
          <w:ilvl w:val="0"/>
          <w:numId w:val="16"/>
        </w:numPr>
        <w:spacing w:line="240" w:lineRule="auto"/>
        <w:ind w:left="1276" w:hanging="425"/>
        <w:rPr>
          <w:rFonts w:ascii="Times New Roman" w:hAnsi="Times New Roman" w:cs="Times New Roman"/>
        </w:rPr>
      </w:pPr>
      <w:r w:rsidRPr="00092604">
        <w:rPr>
          <w:rFonts w:ascii="Times New Roman" w:hAnsi="Times New Roman" w:cs="Times New Roman"/>
        </w:rPr>
        <w:t>at the request or direction, for the benefit, or under a requirement made by or under a law of the Commonwealth; or</w:t>
      </w:r>
    </w:p>
    <w:p w14:paraId="4C7CEA4F" w14:textId="13DCD690" w:rsidR="009C74F3" w:rsidRPr="00092604" w:rsidRDefault="000D0FA3" w:rsidP="00612C03">
      <w:pPr>
        <w:pStyle w:val="ListParagraph"/>
        <w:numPr>
          <w:ilvl w:val="0"/>
          <w:numId w:val="16"/>
        </w:numPr>
        <w:spacing w:line="240" w:lineRule="auto"/>
        <w:ind w:left="1276" w:hanging="425"/>
        <w:rPr>
          <w:rFonts w:ascii="Times New Roman" w:hAnsi="Times New Roman" w:cs="Times New Roman"/>
        </w:rPr>
      </w:pPr>
      <w:r w:rsidRPr="00092604">
        <w:rPr>
          <w:rFonts w:ascii="Times New Roman" w:hAnsi="Times New Roman" w:cs="Times New Roman"/>
        </w:rPr>
        <w:t>at the request or direction, or for the benefit, of a Commonwealth authority, or a licensed corporation;</w:t>
      </w:r>
    </w:p>
    <w:p w14:paraId="2D0837D0" w14:textId="36C2F396" w:rsidR="000D0FA3" w:rsidRPr="00092604" w:rsidRDefault="000D0FA3" w:rsidP="00612C03">
      <w:pPr>
        <w:spacing w:line="240" w:lineRule="auto"/>
        <w:ind w:left="720"/>
        <w:rPr>
          <w:rFonts w:ascii="Times New Roman" w:hAnsi="Times New Roman" w:cs="Times New Roman"/>
        </w:rPr>
      </w:pPr>
      <w:r w:rsidRPr="00092604">
        <w:rPr>
          <w:rFonts w:ascii="Times New Roman" w:hAnsi="Times New Roman" w:cs="Times New Roman"/>
        </w:rPr>
        <w:t xml:space="preserve">shall, for the purposes </w:t>
      </w:r>
      <w:r w:rsidR="00612C03" w:rsidRPr="00092604">
        <w:rPr>
          <w:rFonts w:ascii="Times New Roman" w:hAnsi="Times New Roman" w:cs="Times New Roman"/>
        </w:rPr>
        <w:t>of th</w:t>
      </w:r>
      <w:r w:rsidR="00755902">
        <w:rPr>
          <w:rFonts w:ascii="Times New Roman" w:hAnsi="Times New Roman" w:cs="Times New Roman"/>
        </w:rPr>
        <w:t xml:space="preserve">e SRC </w:t>
      </w:r>
      <w:r w:rsidR="00612C03" w:rsidRPr="00092604">
        <w:rPr>
          <w:rFonts w:ascii="Times New Roman" w:hAnsi="Times New Roman" w:cs="Times New Roman"/>
        </w:rPr>
        <w:t>Act, be taken to be employed by the Commonwealth, or by that authority or corporation, as the case may be; and</w:t>
      </w:r>
    </w:p>
    <w:p w14:paraId="4EBC2344" w14:textId="349BEB09" w:rsidR="00612C03" w:rsidRPr="00092604" w:rsidRDefault="00E556DC" w:rsidP="00612C03">
      <w:pPr>
        <w:pStyle w:val="ListParagraph"/>
        <w:numPr>
          <w:ilvl w:val="0"/>
          <w:numId w:val="17"/>
        </w:numPr>
        <w:spacing w:line="240" w:lineRule="auto"/>
        <w:rPr>
          <w:rFonts w:ascii="Times New Roman" w:hAnsi="Times New Roman" w:cs="Times New Roman"/>
        </w:rPr>
      </w:pPr>
      <w:r>
        <w:rPr>
          <w:rFonts w:ascii="Times New Roman" w:hAnsi="Times New Roman" w:cs="Times New Roman"/>
        </w:rPr>
        <w:t xml:space="preserve">that </w:t>
      </w:r>
      <w:r w:rsidR="00612C03" w:rsidRPr="00092604">
        <w:rPr>
          <w:rFonts w:ascii="Times New Roman" w:hAnsi="Times New Roman" w:cs="Times New Roman"/>
        </w:rPr>
        <w:t xml:space="preserve">the employment of the </w:t>
      </w:r>
      <w:r w:rsidR="00630A3D" w:rsidRPr="00092604">
        <w:rPr>
          <w:rFonts w:ascii="Times New Roman" w:hAnsi="Times New Roman" w:cs="Times New Roman"/>
        </w:rPr>
        <w:t xml:space="preserve">specified </w:t>
      </w:r>
      <w:r w:rsidR="00612C03" w:rsidRPr="00092604">
        <w:rPr>
          <w:rFonts w:ascii="Times New Roman" w:hAnsi="Times New Roman" w:cs="Times New Roman"/>
        </w:rPr>
        <w:t>person</w:t>
      </w:r>
      <w:r w:rsidR="00630A3D" w:rsidRPr="00092604">
        <w:rPr>
          <w:rFonts w:ascii="Times New Roman" w:hAnsi="Times New Roman" w:cs="Times New Roman"/>
        </w:rPr>
        <w:t>s</w:t>
      </w:r>
      <w:r w:rsidR="00612C03" w:rsidRPr="00092604">
        <w:rPr>
          <w:rFonts w:ascii="Times New Roman" w:hAnsi="Times New Roman" w:cs="Times New Roman"/>
        </w:rPr>
        <w:t xml:space="preserve"> shall be taken to be constituted by the performance of the acts specified in the instrument.</w:t>
      </w:r>
    </w:p>
    <w:p w14:paraId="3AE554F6" w14:textId="384A84C1" w:rsidR="00092604" w:rsidRPr="00092604" w:rsidRDefault="00630A3D" w:rsidP="00612C03">
      <w:pPr>
        <w:spacing w:line="240" w:lineRule="auto"/>
        <w:rPr>
          <w:rFonts w:ascii="Times New Roman" w:hAnsi="Times New Roman" w:cs="Times New Roman"/>
        </w:rPr>
      </w:pPr>
      <w:r w:rsidRPr="00092604">
        <w:rPr>
          <w:rFonts w:ascii="Times New Roman" w:hAnsi="Times New Roman" w:cs="Times New Roman"/>
        </w:rPr>
        <w:t xml:space="preserve">Pursuant to subsection 5(6) of the </w:t>
      </w:r>
      <w:r w:rsidR="0072454B">
        <w:rPr>
          <w:rFonts w:ascii="Times New Roman" w:hAnsi="Times New Roman" w:cs="Times New Roman"/>
        </w:rPr>
        <w:t xml:space="preserve">SRC </w:t>
      </w:r>
      <w:r w:rsidRPr="00092604">
        <w:rPr>
          <w:rFonts w:ascii="Times New Roman" w:hAnsi="Times New Roman" w:cs="Times New Roman"/>
        </w:rPr>
        <w:t>Act, this instrument declares</w:t>
      </w:r>
      <w:r w:rsidR="00092604" w:rsidRPr="00092604">
        <w:rPr>
          <w:rFonts w:ascii="Times New Roman" w:hAnsi="Times New Roman" w:cs="Times New Roman"/>
        </w:rPr>
        <w:t xml:space="preserve"> that persons who, under the control or direction of a Commonwealth officer, assist, without receiving any remuneration (other than payment of expenses incurred), in the running of:</w:t>
      </w:r>
    </w:p>
    <w:p w14:paraId="64C108C5" w14:textId="0234963E" w:rsidR="00092604" w:rsidRPr="00092604" w:rsidRDefault="00092604" w:rsidP="00092604">
      <w:pPr>
        <w:pStyle w:val="ListParagraph"/>
        <w:numPr>
          <w:ilvl w:val="0"/>
          <w:numId w:val="18"/>
        </w:numPr>
        <w:spacing w:line="240" w:lineRule="auto"/>
        <w:rPr>
          <w:rFonts w:ascii="Times New Roman" w:hAnsi="Times New Roman" w:cs="Times New Roman"/>
        </w:rPr>
      </w:pPr>
      <w:r w:rsidRPr="00092604">
        <w:rPr>
          <w:rFonts w:ascii="Times New Roman" w:hAnsi="Times New Roman" w:cs="Times New Roman"/>
        </w:rPr>
        <w:t xml:space="preserve">the Australian War Memorial; </w:t>
      </w:r>
      <w:r w:rsidR="00AB0767">
        <w:rPr>
          <w:rFonts w:ascii="Times New Roman" w:hAnsi="Times New Roman" w:cs="Times New Roman"/>
        </w:rPr>
        <w:t>or</w:t>
      </w:r>
    </w:p>
    <w:p w14:paraId="1445BA40" w14:textId="67F7372E" w:rsidR="00092604" w:rsidRPr="00092604" w:rsidRDefault="00092604" w:rsidP="00092604">
      <w:pPr>
        <w:pStyle w:val="ListParagraph"/>
        <w:numPr>
          <w:ilvl w:val="0"/>
          <w:numId w:val="18"/>
        </w:numPr>
        <w:spacing w:line="240" w:lineRule="auto"/>
        <w:rPr>
          <w:rFonts w:ascii="Times New Roman" w:hAnsi="Times New Roman" w:cs="Times New Roman"/>
        </w:rPr>
      </w:pPr>
      <w:r w:rsidRPr="00092604">
        <w:rPr>
          <w:rFonts w:ascii="Times New Roman" w:hAnsi="Times New Roman" w:cs="Times New Roman"/>
        </w:rPr>
        <w:t>the Great Barrier Reef Marine Park Authority</w:t>
      </w:r>
      <w:r w:rsidR="00AB0767">
        <w:rPr>
          <w:rFonts w:ascii="Times New Roman" w:hAnsi="Times New Roman" w:cs="Times New Roman"/>
        </w:rPr>
        <w:t>,</w:t>
      </w:r>
    </w:p>
    <w:p w14:paraId="6B59A512" w14:textId="52295CA0" w:rsidR="00092604" w:rsidRPr="00092604" w:rsidRDefault="00092604" w:rsidP="00AB0767">
      <w:pPr>
        <w:spacing w:line="240" w:lineRule="auto"/>
        <w:ind w:left="360"/>
        <w:rPr>
          <w:rFonts w:ascii="Times New Roman" w:hAnsi="Times New Roman" w:cs="Times New Roman"/>
        </w:rPr>
      </w:pPr>
      <w:r w:rsidRPr="00092604">
        <w:rPr>
          <w:rFonts w:ascii="Times New Roman" w:hAnsi="Times New Roman" w:cs="Times New Roman"/>
        </w:rPr>
        <w:t>shall</w:t>
      </w:r>
      <w:r>
        <w:rPr>
          <w:rFonts w:ascii="Times New Roman" w:hAnsi="Times New Roman" w:cs="Times New Roman"/>
        </w:rPr>
        <w:t xml:space="preserve"> </w:t>
      </w:r>
      <w:r w:rsidRPr="00092604">
        <w:rPr>
          <w:rFonts w:ascii="Times New Roman" w:hAnsi="Times New Roman" w:cs="Times New Roman"/>
        </w:rPr>
        <w:t>be taken to be employed by the Commonwealth</w:t>
      </w:r>
      <w:r w:rsidR="0033502A">
        <w:rPr>
          <w:rFonts w:ascii="Times New Roman" w:hAnsi="Times New Roman" w:cs="Times New Roman"/>
        </w:rPr>
        <w:t xml:space="preserve">, as represented by the Australian War Memorial </w:t>
      </w:r>
      <w:r w:rsidR="00AB0767">
        <w:rPr>
          <w:rFonts w:ascii="Times New Roman" w:hAnsi="Times New Roman" w:cs="Times New Roman"/>
        </w:rPr>
        <w:t>or</w:t>
      </w:r>
      <w:r w:rsidR="0033502A">
        <w:rPr>
          <w:rFonts w:ascii="Times New Roman" w:hAnsi="Times New Roman" w:cs="Times New Roman"/>
        </w:rPr>
        <w:t xml:space="preserve"> the </w:t>
      </w:r>
      <w:r w:rsidR="0033502A" w:rsidRPr="00092604">
        <w:rPr>
          <w:rFonts w:ascii="Times New Roman" w:hAnsi="Times New Roman" w:cs="Times New Roman"/>
        </w:rPr>
        <w:t>Great Barrier Reef Marine Park Authority</w:t>
      </w:r>
      <w:r w:rsidR="00AB0767">
        <w:rPr>
          <w:rFonts w:ascii="Times New Roman" w:hAnsi="Times New Roman" w:cs="Times New Roman"/>
        </w:rPr>
        <w:t>,</w:t>
      </w:r>
      <w:r w:rsidR="0033502A">
        <w:rPr>
          <w:rFonts w:ascii="Times New Roman" w:hAnsi="Times New Roman" w:cs="Times New Roman"/>
        </w:rPr>
        <w:t xml:space="preserve"> </w:t>
      </w:r>
      <w:r w:rsidR="00AB0767">
        <w:rPr>
          <w:rFonts w:ascii="Times New Roman" w:hAnsi="Times New Roman" w:cs="Times New Roman"/>
        </w:rPr>
        <w:t>as the case may be</w:t>
      </w:r>
      <w:r w:rsidR="0033502A">
        <w:rPr>
          <w:rFonts w:ascii="Times New Roman" w:hAnsi="Times New Roman" w:cs="Times New Roman"/>
        </w:rPr>
        <w:t xml:space="preserve">, </w:t>
      </w:r>
      <w:r>
        <w:rPr>
          <w:rFonts w:ascii="Times New Roman" w:hAnsi="Times New Roman" w:cs="Times New Roman"/>
        </w:rPr>
        <w:t xml:space="preserve">for the purposes of the </w:t>
      </w:r>
      <w:r w:rsidR="00AB0767">
        <w:rPr>
          <w:rFonts w:ascii="Times New Roman" w:hAnsi="Times New Roman" w:cs="Times New Roman"/>
        </w:rPr>
        <w:t>SRC </w:t>
      </w:r>
      <w:r>
        <w:rPr>
          <w:rFonts w:ascii="Times New Roman" w:hAnsi="Times New Roman" w:cs="Times New Roman"/>
        </w:rPr>
        <w:t xml:space="preserve">Act, </w:t>
      </w:r>
      <w:r w:rsidRPr="00092604">
        <w:rPr>
          <w:rFonts w:ascii="Times New Roman" w:hAnsi="Times New Roman" w:cs="Times New Roman"/>
        </w:rPr>
        <w:t>when rendering such assistance.</w:t>
      </w:r>
    </w:p>
    <w:p w14:paraId="7A24A624" w14:textId="370F4CAB" w:rsidR="00EC6F79" w:rsidRDefault="002904D3" w:rsidP="002904D3">
      <w:pPr>
        <w:spacing w:line="240" w:lineRule="auto"/>
        <w:rPr>
          <w:rFonts w:ascii="Times New Roman" w:hAnsi="Times New Roman" w:cs="Times New Roman"/>
        </w:rPr>
      </w:pPr>
      <w:r>
        <w:rPr>
          <w:rFonts w:ascii="Times New Roman" w:hAnsi="Times New Roman" w:cs="Times New Roman"/>
        </w:rPr>
        <w:t>This instrument</w:t>
      </w:r>
      <w:r w:rsidR="0072454B">
        <w:rPr>
          <w:rFonts w:ascii="Times New Roman" w:hAnsi="Times New Roman" w:cs="Times New Roman"/>
        </w:rPr>
        <w:t xml:space="preserve"> </w:t>
      </w:r>
      <w:r w:rsidR="008878D8">
        <w:rPr>
          <w:rFonts w:ascii="Times New Roman" w:hAnsi="Times New Roman" w:cs="Times New Roman"/>
        </w:rPr>
        <w:t xml:space="preserve">remakes the </w:t>
      </w:r>
      <w:r>
        <w:rPr>
          <w:rFonts w:ascii="Times New Roman" w:hAnsi="Times New Roman" w:cs="Times New Roman"/>
        </w:rPr>
        <w:t xml:space="preserve">declarations previously made by the Minister </w:t>
      </w:r>
      <w:r w:rsidR="003A79BC">
        <w:rPr>
          <w:rFonts w:ascii="Times New Roman" w:hAnsi="Times New Roman" w:cs="Times New Roman"/>
        </w:rPr>
        <w:t>under subsection</w:t>
      </w:r>
      <w:r w:rsidR="00F86947">
        <w:rPr>
          <w:rFonts w:ascii="Times New Roman" w:hAnsi="Times New Roman" w:cs="Times New Roman"/>
        </w:rPr>
        <w:t xml:space="preserve"> 5(6) of the </w:t>
      </w:r>
      <w:r w:rsidR="00630DDD">
        <w:rPr>
          <w:rFonts w:ascii="Times New Roman" w:hAnsi="Times New Roman" w:cs="Times New Roman"/>
        </w:rPr>
        <w:t xml:space="preserve">SRC </w:t>
      </w:r>
      <w:r w:rsidR="00F86947">
        <w:rPr>
          <w:rFonts w:ascii="Times New Roman" w:hAnsi="Times New Roman" w:cs="Times New Roman"/>
        </w:rPr>
        <w:t>Act in</w:t>
      </w:r>
      <w:r w:rsidR="000B0D2D">
        <w:rPr>
          <w:rFonts w:ascii="Times New Roman" w:hAnsi="Times New Roman" w:cs="Times New Roman"/>
        </w:rPr>
        <w:t xml:space="preserve"> the</w:t>
      </w:r>
      <w:r w:rsidR="00EC6F79">
        <w:rPr>
          <w:rFonts w:ascii="Times New Roman" w:hAnsi="Times New Roman" w:cs="Times New Roman"/>
        </w:rPr>
        <w:t>:</w:t>
      </w:r>
    </w:p>
    <w:p w14:paraId="74FB93E5" w14:textId="2794BE56" w:rsidR="00EC6F79" w:rsidRPr="00EC6F79" w:rsidRDefault="002904D3" w:rsidP="00EC6F79">
      <w:pPr>
        <w:pStyle w:val="ListParagraph"/>
        <w:numPr>
          <w:ilvl w:val="0"/>
          <w:numId w:val="19"/>
        </w:numPr>
        <w:spacing w:line="240" w:lineRule="auto"/>
        <w:rPr>
          <w:rFonts w:ascii="Times New Roman" w:hAnsi="Times New Roman" w:cs="Times New Roman"/>
          <w:bCs/>
        </w:rPr>
      </w:pPr>
      <w:r w:rsidRPr="00EC6F79">
        <w:rPr>
          <w:rFonts w:ascii="Times New Roman" w:hAnsi="Times New Roman" w:cs="Times New Roman"/>
          <w:bCs/>
          <w:i/>
        </w:rPr>
        <w:t>Co</w:t>
      </w:r>
      <w:r w:rsidR="00AB0767">
        <w:rPr>
          <w:rFonts w:ascii="Times New Roman" w:hAnsi="Times New Roman" w:cs="Times New Roman"/>
          <w:bCs/>
          <w:i/>
        </w:rPr>
        <w:t>mmonwealth Employees’</w:t>
      </w:r>
      <w:r w:rsidRPr="00EC6F79">
        <w:rPr>
          <w:rFonts w:ascii="Times New Roman" w:hAnsi="Times New Roman" w:cs="Times New Roman"/>
          <w:bCs/>
          <w:i/>
        </w:rPr>
        <w:t xml:space="preserve"> Rehabilitation and Compensation Act 1988 - Notice of Declarations and Specification (Notice No. 5 of 1991</w:t>
      </w:r>
      <w:r w:rsidR="003A79BC">
        <w:rPr>
          <w:rFonts w:ascii="Times New Roman" w:hAnsi="Times New Roman" w:cs="Times New Roman"/>
          <w:bCs/>
          <w:i/>
        </w:rPr>
        <w:t>)</w:t>
      </w:r>
      <w:r w:rsidR="0072454B">
        <w:rPr>
          <w:rFonts w:ascii="Times New Roman" w:hAnsi="Times New Roman" w:cs="Times New Roman"/>
          <w:bCs/>
        </w:rPr>
        <w:t xml:space="preserve"> (the 1991 Instrument)</w:t>
      </w:r>
      <w:r w:rsidR="008878D8">
        <w:rPr>
          <w:rFonts w:ascii="Times New Roman" w:hAnsi="Times New Roman" w:cs="Times New Roman"/>
          <w:bCs/>
          <w:i/>
        </w:rPr>
        <w:t>—</w:t>
      </w:r>
      <w:r w:rsidR="0072454B">
        <w:rPr>
          <w:rFonts w:ascii="Times New Roman" w:hAnsi="Times New Roman" w:cs="Times New Roman"/>
          <w:bCs/>
        </w:rPr>
        <w:t>in</w:t>
      </w:r>
      <w:r w:rsidR="00F86947" w:rsidRPr="00F86947">
        <w:rPr>
          <w:rFonts w:ascii="Times New Roman" w:hAnsi="Times New Roman" w:cs="Times New Roman"/>
          <w:bCs/>
        </w:rPr>
        <w:t xml:space="preserve"> </w:t>
      </w:r>
      <w:r w:rsidR="00F86947">
        <w:rPr>
          <w:rFonts w:ascii="Times New Roman" w:hAnsi="Times New Roman" w:cs="Times New Roman"/>
          <w:bCs/>
        </w:rPr>
        <w:t xml:space="preserve">respect </w:t>
      </w:r>
      <w:r w:rsidR="0072454B">
        <w:rPr>
          <w:rFonts w:ascii="Times New Roman" w:hAnsi="Times New Roman" w:cs="Times New Roman"/>
          <w:bCs/>
        </w:rPr>
        <w:t xml:space="preserve">of </w:t>
      </w:r>
      <w:r w:rsidR="00F86947" w:rsidRPr="00EC6F79">
        <w:rPr>
          <w:rFonts w:ascii="Times New Roman" w:hAnsi="Times New Roman" w:cs="Times New Roman"/>
          <w:bCs/>
        </w:rPr>
        <w:t xml:space="preserve">persons assisting in the running of the </w:t>
      </w:r>
      <w:r w:rsidR="0072454B">
        <w:rPr>
          <w:rFonts w:ascii="Times New Roman" w:hAnsi="Times New Roman" w:cs="Times New Roman"/>
        </w:rPr>
        <w:t>Australian War Memorial</w:t>
      </w:r>
      <w:r w:rsidR="003A79BC">
        <w:rPr>
          <w:rFonts w:ascii="Times New Roman" w:hAnsi="Times New Roman" w:cs="Times New Roman"/>
          <w:bCs/>
        </w:rPr>
        <w:t xml:space="preserve">; and </w:t>
      </w:r>
      <w:r w:rsidRPr="00EC6F79">
        <w:rPr>
          <w:rFonts w:ascii="Times New Roman" w:hAnsi="Times New Roman" w:cs="Times New Roman"/>
        </w:rPr>
        <w:t xml:space="preserve"> </w:t>
      </w:r>
    </w:p>
    <w:p w14:paraId="08C39B23" w14:textId="0C48290E" w:rsidR="009C74F3" w:rsidRPr="003A79BC" w:rsidRDefault="002904D3" w:rsidP="00F86947">
      <w:pPr>
        <w:pStyle w:val="ListParagraph"/>
        <w:numPr>
          <w:ilvl w:val="0"/>
          <w:numId w:val="19"/>
        </w:numPr>
        <w:spacing w:line="240" w:lineRule="auto"/>
        <w:rPr>
          <w:rFonts w:ascii="Times New Roman" w:hAnsi="Times New Roman" w:cs="Times New Roman"/>
          <w:bCs/>
        </w:rPr>
      </w:pPr>
      <w:r w:rsidRPr="003A79BC">
        <w:rPr>
          <w:rFonts w:ascii="Times New Roman" w:hAnsi="Times New Roman" w:cs="Times New Roman"/>
          <w:bCs/>
          <w:i/>
        </w:rPr>
        <w:t xml:space="preserve">Commonwealth </w:t>
      </w:r>
      <w:r w:rsidR="00AB0767">
        <w:rPr>
          <w:rFonts w:ascii="Times New Roman" w:hAnsi="Times New Roman" w:cs="Times New Roman"/>
          <w:bCs/>
          <w:i/>
        </w:rPr>
        <w:t>Employees’</w:t>
      </w:r>
      <w:r w:rsidRPr="003A79BC">
        <w:rPr>
          <w:rFonts w:ascii="Times New Roman" w:hAnsi="Times New Roman" w:cs="Times New Roman"/>
          <w:bCs/>
          <w:i/>
        </w:rPr>
        <w:t xml:space="preserve"> Rehabilitation and Compensation Act 1988 - Notice of Declarations (Notice No. 2 of 1992)</w:t>
      </w:r>
      <w:r w:rsidR="00F86947">
        <w:rPr>
          <w:rFonts w:ascii="Times New Roman" w:hAnsi="Times New Roman" w:cs="Times New Roman"/>
          <w:bCs/>
        </w:rPr>
        <w:t xml:space="preserve"> </w:t>
      </w:r>
      <w:r w:rsidR="008878D8">
        <w:rPr>
          <w:rFonts w:ascii="Times New Roman" w:hAnsi="Times New Roman" w:cs="Times New Roman"/>
          <w:bCs/>
        </w:rPr>
        <w:t>(the 1992 Instrument)—</w:t>
      </w:r>
      <w:r w:rsidR="005E2BAB">
        <w:rPr>
          <w:rFonts w:ascii="Times New Roman" w:hAnsi="Times New Roman" w:cs="Times New Roman"/>
          <w:bCs/>
        </w:rPr>
        <w:t>in respect of</w:t>
      </w:r>
      <w:r w:rsidR="00F86947">
        <w:rPr>
          <w:rFonts w:ascii="Times New Roman" w:hAnsi="Times New Roman" w:cs="Times New Roman"/>
          <w:bCs/>
        </w:rPr>
        <w:t xml:space="preserve"> </w:t>
      </w:r>
      <w:r w:rsidR="00F86947" w:rsidRPr="00EC6F79">
        <w:rPr>
          <w:rFonts w:ascii="Times New Roman" w:hAnsi="Times New Roman" w:cs="Times New Roman"/>
          <w:bCs/>
        </w:rPr>
        <w:t xml:space="preserve">persons assisting in the running of the </w:t>
      </w:r>
      <w:r w:rsidR="00F86947" w:rsidRPr="00EC6F79">
        <w:rPr>
          <w:rFonts w:ascii="Times New Roman" w:hAnsi="Times New Roman" w:cs="Times New Roman"/>
        </w:rPr>
        <w:t>Great Barrier Reef Marine Park Authority</w:t>
      </w:r>
      <w:r w:rsidR="00AB0767">
        <w:rPr>
          <w:rFonts w:ascii="Times New Roman" w:hAnsi="Times New Roman" w:cs="Times New Roman"/>
        </w:rPr>
        <w:t>,</w:t>
      </w:r>
    </w:p>
    <w:p w14:paraId="08D11553" w14:textId="77777777" w:rsidR="008878D8" w:rsidRDefault="00EC6F79" w:rsidP="00AB0767">
      <w:pPr>
        <w:spacing w:line="240" w:lineRule="auto"/>
        <w:ind w:left="360"/>
        <w:rPr>
          <w:rFonts w:ascii="Times New Roman" w:hAnsi="Times New Roman" w:cs="Times New Roman"/>
          <w:bCs/>
        </w:rPr>
      </w:pPr>
      <w:r>
        <w:rPr>
          <w:rFonts w:ascii="Times New Roman" w:hAnsi="Times New Roman" w:cs="Times New Roman"/>
          <w:bCs/>
        </w:rPr>
        <w:t xml:space="preserve">which </w:t>
      </w:r>
      <w:r w:rsidR="00040E92">
        <w:rPr>
          <w:rFonts w:ascii="Times New Roman" w:hAnsi="Times New Roman" w:cs="Times New Roman"/>
          <w:bCs/>
        </w:rPr>
        <w:t xml:space="preserve">would </w:t>
      </w:r>
      <w:r w:rsidR="00AB0767">
        <w:rPr>
          <w:rFonts w:ascii="Times New Roman" w:hAnsi="Times New Roman" w:cs="Times New Roman"/>
          <w:bCs/>
        </w:rPr>
        <w:t xml:space="preserve">otherwise </w:t>
      </w:r>
      <w:r>
        <w:rPr>
          <w:rFonts w:ascii="Times New Roman" w:hAnsi="Times New Roman" w:cs="Times New Roman"/>
          <w:bCs/>
        </w:rPr>
        <w:t xml:space="preserve">sunset on 1 April 2019 pursuant to </w:t>
      </w:r>
      <w:r w:rsidR="005E2BAB">
        <w:rPr>
          <w:rFonts w:ascii="Times New Roman" w:hAnsi="Times New Roman" w:cs="Times New Roman"/>
          <w:bCs/>
        </w:rPr>
        <w:t xml:space="preserve">section 50 of </w:t>
      </w:r>
      <w:r>
        <w:rPr>
          <w:rFonts w:ascii="Times New Roman" w:hAnsi="Times New Roman" w:cs="Times New Roman"/>
          <w:bCs/>
        </w:rPr>
        <w:t xml:space="preserve">the </w:t>
      </w:r>
      <w:r w:rsidRPr="00EC6F79">
        <w:rPr>
          <w:rFonts w:ascii="Times New Roman" w:hAnsi="Times New Roman" w:cs="Times New Roman"/>
          <w:bCs/>
          <w:i/>
        </w:rPr>
        <w:t>Legislation Act 2003</w:t>
      </w:r>
      <w:r w:rsidR="00AB0767">
        <w:rPr>
          <w:rFonts w:ascii="Times New Roman" w:hAnsi="Times New Roman" w:cs="Times New Roman"/>
          <w:bCs/>
          <w:i/>
        </w:rPr>
        <w:t xml:space="preserve"> </w:t>
      </w:r>
      <w:r w:rsidR="005E2BAB">
        <w:rPr>
          <w:rFonts w:ascii="Times New Roman" w:hAnsi="Times New Roman" w:cs="Times New Roman"/>
          <w:bCs/>
        </w:rPr>
        <w:t xml:space="preserve">because </w:t>
      </w:r>
      <w:r w:rsidR="00AA2918">
        <w:rPr>
          <w:rFonts w:ascii="Times New Roman" w:hAnsi="Times New Roman" w:cs="Times New Roman"/>
          <w:bCs/>
        </w:rPr>
        <w:t>both instruments</w:t>
      </w:r>
      <w:r w:rsidR="009E2880">
        <w:rPr>
          <w:rFonts w:ascii="Times New Roman" w:hAnsi="Times New Roman" w:cs="Times New Roman"/>
          <w:bCs/>
        </w:rPr>
        <w:t xml:space="preserve"> included declarations made pursuant to </w:t>
      </w:r>
      <w:r w:rsidR="008878D8">
        <w:rPr>
          <w:rFonts w:ascii="Times New Roman" w:hAnsi="Times New Roman" w:cs="Times New Roman"/>
          <w:bCs/>
        </w:rPr>
        <w:t xml:space="preserve">other </w:t>
      </w:r>
      <w:r w:rsidR="009E2880">
        <w:rPr>
          <w:rFonts w:ascii="Times New Roman" w:hAnsi="Times New Roman" w:cs="Times New Roman"/>
          <w:bCs/>
        </w:rPr>
        <w:t xml:space="preserve">provisions </w:t>
      </w:r>
      <w:r w:rsidR="008878D8">
        <w:rPr>
          <w:rFonts w:ascii="Times New Roman" w:hAnsi="Times New Roman" w:cs="Times New Roman"/>
          <w:bCs/>
        </w:rPr>
        <w:t xml:space="preserve">in the SRC Act </w:t>
      </w:r>
      <w:r w:rsidR="009E2880">
        <w:rPr>
          <w:rFonts w:ascii="Times New Roman" w:hAnsi="Times New Roman" w:cs="Times New Roman"/>
          <w:bCs/>
        </w:rPr>
        <w:t>that are not exempt from sunsetting</w:t>
      </w:r>
      <w:r w:rsidR="008878D8">
        <w:rPr>
          <w:rFonts w:ascii="Times New Roman" w:hAnsi="Times New Roman" w:cs="Times New Roman"/>
          <w:bCs/>
        </w:rPr>
        <w:t>.</w:t>
      </w:r>
    </w:p>
    <w:p w14:paraId="364EF0E4" w14:textId="21AD1A27" w:rsidR="00040E92" w:rsidRDefault="009E2880" w:rsidP="008878D8">
      <w:pPr>
        <w:spacing w:line="240" w:lineRule="auto"/>
        <w:rPr>
          <w:rFonts w:ascii="Times New Roman" w:hAnsi="Times New Roman" w:cs="Times New Roman"/>
          <w:bCs/>
        </w:rPr>
      </w:pPr>
      <w:r>
        <w:rPr>
          <w:rFonts w:ascii="Times New Roman" w:hAnsi="Times New Roman" w:cs="Times New Roman"/>
          <w:bCs/>
        </w:rPr>
        <w:t xml:space="preserve">For the avoidance of doubt, and to ensure </w:t>
      </w:r>
      <w:r w:rsidR="00040E92">
        <w:rPr>
          <w:rFonts w:ascii="Times New Roman" w:hAnsi="Times New Roman" w:cs="Times New Roman"/>
          <w:bCs/>
        </w:rPr>
        <w:t xml:space="preserve">that </w:t>
      </w:r>
      <w:r>
        <w:rPr>
          <w:rFonts w:ascii="Times New Roman" w:hAnsi="Times New Roman" w:cs="Times New Roman"/>
          <w:bCs/>
        </w:rPr>
        <w:t xml:space="preserve">there is no gap </w:t>
      </w:r>
      <w:r w:rsidR="00040E92">
        <w:rPr>
          <w:rFonts w:ascii="Times New Roman" w:hAnsi="Times New Roman" w:cs="Times New Roman"/>
          <w:bCs/>
        </w:rPr>
        <w:t xml:space="preserve">in </w:t>
      </w:r>
      <w:r>
        <w:rPr>
          <w:rFonts w:ascii="Times New Roman" w:hAnsi="Times New Roman" w:cs="Times New Roman"/>
          <w:bCs/>
        </w:rPr>
        <w:t xml:space="preserve">coverage under the </w:t>
      </w:r>
      <w:r w:rsidR="00040E92">
        <w:rPr>
          <w:rFonts w:ascii="Times New Roman" w:hAnsi="Times New Roman" w:cs="Times New Roman"/>
          <w:bCs/>
        </w:rPr>
        <w:t xml:space="preserve">SRC </w:t>
      </w:r>
      <w:r>
        <w:rPr>
          <w:rFonts w:ascii="Times New Roman" w:hAnsi="Times New Roman" w:cs="Times New Roman"/>
          <w:bCs/>
        </w:rPr>
        <w:t xml:space="preserve">Act </w:t>
      </w:r>
      <w:r w:rsidR="00040E92">
        <w:rPr>
          <w:rFonts w:ascii="Times New Roman" w:hAnsi="Times New Roman" w:cs="Times New Roman"/>
          <w:bCs/>
        </w:rPr>
        <w:t>for</w:t>
      </w:r>
      <w:r>
        <w:rPr>
          <w:rFonts w:ascii="Times New Roman" w:hAnsi="Times New Roman" w:cs="Times New Roman"/>
          <w:bCs/>
        </w:rPr>
        <w:t xml:space="preserve"> persons who assist in the running of the Australian War Memorial and the Great Barrier Reef Marine Park Authority, the declarations are remade in this instrument.</w:t>
      </w:r>
    </w:p>
    <w:p w14:paraId="25FFE338" w14:textId="009A06D8" w:rsidR="009E2880" w:rsidRPr="00EC6F79" w:rsidRDefault="009E2880" w:rsidP="00EC6F79">
      <w:pPr>
        <w:spacing w:line="240" w:lineRule="auto"/>
        <w:rPr>
          <w:rFonts w:ascii="Times New Roman" w:hAnsi="Times New Roman" w:cs="Times New Roman"/>
          <w:bCs/>
        </w:rPr>
      </w:pPr>
      <w:r>
        <w:rPr>
          <w:rFonts w:ascii="Times New Roman" w:hAnsi="Times New Roman" w:cs="Times New Roman"/>
          <w:bCs/>
        </w:rPr>
        <w:lastRenderedPageBreak/>
        <w:t xml:space="preserve">The </w:t>
      </w:r>
      <w:r>
        <w:rPr>
          <w:rFonts w:ascii="Times New Roman" w:hAnsi="Times New Roman" w:cs="Times New Roman"/>
          <w:bCs/>
          <w:i/>
        </w:rPr>
        <w:t>Safety, Rehabilitation and Compensation (Declarations and Specifications) Repeal Instrument </w:t>
      </w:r>
      <w:r w:rsidR="0003610E">
        <w:rPr>
          <w:rFonts w:ascii="Times New Roman" w:hAnsi="Times New Roman" w:cs="Times New Roman"/>
          <w:bCs/>
          <w:i/>
        </w:rPr>
        <w:t>2019</w:t>
      </w:r>
      <w:r>
        <w:rPr>
          <w:rFonts w:ascii="Times New Roman" w:hAnsi="Times New Roman" w:cs="Times New Roman"/>
          <w:bCs/>
          <w:i/>
        </w:rPr>
        <w:t xml:space="preserve"> </w:t>
      </w:r>
      <w:r>
        <w:rPr>
          <w:rFonts w:ascii="Times New Roman" w:hAnsi="Times New Roman" w:cs="Times New Roman"/>
          <w:bCs/>
        </w:rPr>
        <w:t>will commence at the same time as this instrument. That instrument repeals the 1991 Instrument and the 1992 Instrument.</w:t>
      </w:r>
    </w:p>
    <w:p w14:paraId="1864253B" w14:textId="4305F13F" w:rsidR="00477352" w:rsidRPr="00C04ACC" w:rsidRDefault="00477352" w:rsidP="0025133B">
      <w:pPr>
        <w:spacing w:line="240" w:lineRule="auto"/>
        <w:rPr>
          <w:rFonts w:ascii="Times New Roman" w:hAnsi="Times New Roman" w:cs="Times New Roman"/>
        </w:rPr>
      </w:pPr>
      <w:r w:rsidRPr="00C04ACC">
        <w:rPr>
          <w:rFonts w:ascii="Times New Roman" w:hAnsi="Times New Roman" w:cs="Times New Roman"/>
          <w:b/>
        </w:rPr>
        <w:t>Consultation</w:t>
      </w:r>
    </w:p>
    <w:p w14:paraId="6CB8812A" w14:textId="18125D5D" w:rsidR="00346CCE" w:rsidRDefault="00361826" w:rsidP="00040E92">
      <w:pPr>
        <w:spacing w:after="240" w:line="240" w:lineRule="auto"/>
        <w:rPr>
          <w:rFonts w:ascii="Times New Roman" w:hAnsi="Times New Roman" w:cs="Times New Roman"/>
        </w:rPr>
      </w:pPr>
      <w:r>
        <w:rPr>
          <w:rFonts w:ascii="Times New Roman" w:hAnsi="Times New Roman" w:cs="Times New Roman"/>
        </w:rPr>
        <w:t xml:space="preserve">This instrument was made following consultation with </w:t>
      </w:r>
      <w:r w:rsidRPr="005E2BAB">
        <w:rPr>
          <w:rFonts w:ascii="Times New Roman" w:hAnsi="Times New Roman" w:cs="Times New Roman"/>
        </w:rPr>
        <w:t>Comcare</w:t>
      </w:r>
      <w:r>
        <w:rPr>
          <w:rFonts w:ascii="Times New Roman" w:hAnsi="Times New Roman" w:cs="Times New Roman"/>
        </w:rPr>
        <w:t>. Further consultation was not undertaken as the in</w:t>
      </w:r>
      <w:r w:rsidR="00EC6F79">
        <w:rPr>
          <w:rFonts w:ascii="Times New Roman" w:hAnsi="Times New Roman" w:cs="Times New Roman"/>
        </w:rPr>
        <w:t>strument is machinery in nature</w:t>
      </w:r>
      <w:r w:rsidR="003A79BC">
        <w:rPr>
          <w:rFonts w:ascii="Times New Roman" w:hAnsi="Times New Roman" w:cs="Times New Roman"/>
        </w:rPr>
        <w:t>. It</w:t>
      </w:r>
      <w:r w:rsidR="00346CCE">
        <w:rPr>
          <w:rFonts w:ascii="Times New Roman" w:hAnsi="Times New Roman" w:cs="Times New Roman"/>
        </w:rPr>
        <w:t xml:space="preserve"> </w:t>
      </w:r>
      <w:r w:rsidR="00AB0767">
        <w:rPr>
          <w:rFonts w:ascii="Times New Roman" w:hAnsi="Times New Roman" w:cs="Times New Roman"/>
        </w:rPr>
        <w:t xml:space="preserve">remakes and thereby </w:t>
      </w:r>
      <w:r w:rsidR="00F86947">
        <w:rPr>
          <w:rFonts w:ascii="Times New Roman" w:hAnsi="Times New Roman" w:cs="Times New Roman"/>
        </w:rPr>
        <w:t>preserves</w:t>
      </w:r>
      <w:r w:rsidR="00346CCE">
        <w:rPr>
          <w:rFonts w:ascii="Times New Roman" w:hAnsi="Times New Roman" w:cs="Times New Roman"/>
        </w:rPr>
        <w:t xml:space="preserve"> </w:t>
      </w:r>
      <w:r w:rsidR="00AB0767">
        <w:rPr>
          <w:rFonts w:ascii="Times New Roman" w:hAnsi="Times New Roman" w:cs="Times New Roman"/>
        </w:rPr>
        <w:t xml:space="preserve">certain </w:t>
      </w:r>
      <w:r w:rsidR="00346CCE">
        <w:rPr>
          <w:rFonts w:ascii="Times New Roman" w:hAnsi="Times New Roman" w:cs="Times New Roman"/>
        </w:rPr>
        <w:t>declarations previously</w:t>
      </w:r>
      <w:r w:rsidR="003A79BC">
        <w:rPr>
          <w:rFonts w:ascii="Times New Roman" w:hAnsi="Times New Roman" w:cs="Times New Roman"/>
        </w:rPr>
        <w:t xml:space="preserve"> made</w:t>
      </w:r>
      <w:r w:rsidR="00346CCE">
        <w:rPr>
          <w:rFonts w:ascii="Times New Roman" w:hAnsi="Times New Roman" w:cs="Times New Roman"/>
        </w:rPr>
        <w:t xml:space="preserve"> by the Minister under subsection 5(6) of the </w:t>
      </w:r>
      <w:r w:rsidR="00040E92">
        <w:rPr>
          <w:rFonts w:ascii="Times New Roman" w:hAnsi="Times New Roman" w:cs="Times New Roman"/>
        </w:rPr>
        <w:t xml:space="preserve">SRC </w:t>
      </w:r>
      <w:r w:rsidR="00346CCE">
        <w:rPr>
          <w:rFonts w:ascii="Times New Roman" w:hAnsi="Times New Roman" w:cs="Times New Roman"/>
        </w:rPr>
        <w:t>Act</w:t>
      </w:r>
      <w:r w:rsidR="00346CCE">
        <w:rPr>
          <w:rFonts w:ascii="Times New Roman" w:hAnsi="Times New Roman" w:cs="Times New Roman"/>
          <w:color w:val="000000"/>
        </w:rPr>
        <w:t>.</w:t>
      </w:r>
    </w:p>
    <w:p w14:paraId="303A0BC0" w14:textId="54055C73" w:rsidR="00300378" w:rsidRPr="00C04ACC" w:rsidRDefault="00300378" w:rsidP="009A1F57">
      <w:pPr>
        <w:spacing w:after="220" w:line="240" w:lineRule="auto"/>
        <w:rPr>
          <w:rFonts w:ascii="Times New Roman" w:eastAsia="Calibri" w:hAnsi="Times New Roman" w:cs="Times New Roman"/>
          <w:b/>
        </w:rPr>
      </w:pPr>
      <w:r w:rsidRPr="00C04ACC">
        <w:rPr>
          <w:rFonts w:ascii="Times New Roman" w:eastAsia="Calibri" w:hAnsi="Times New Roman" w:cs="Times New Roman"/>
          <w:b/>
        </w:rPr>
        <w:t>R</w:t>
      </w:r>
      <w:r w:rsidR="00E204DD" w:rsidRPr="00C04ACC">
        <w:rPr>
          <w:rFonts w:ascii="Times New Roman" w:eastAsia="Calibri" w:hAnsi="Times New Roman" w:cs="Times New Roman"/>
          <w:b/>
        </w:rPr>
        <w:t xml:space="preserve">egulation </w:t>
      </w:r>
      <w:r w:rsidRPr="00C04ACC">
        <w:rPr>
          <w:rFonts w:ascii="Times New Roman" w:eastAsia="Calibri" w:hAnsi="Times New Roman" w:cs="Times New Roman"/>
          <w:b/>
        </w:rPr>
        <w:t>I</w:t>
      </w:r>
      <w:r w:rsidR="00E204DD" w:rsidRPr="00C04ACC">
        <w:rPr>
          <w:rFonts w:ascii="Times New Roman" w:eastAsia="Calibri" w:hAnsi="Times New Roman" w:cs="Times New Roman"/>
          <w:b/>
        </w:rPr>
        <w:t xml:space="preserve">mpact </w:t>
      </w:r>
      <w:r w:rsidRPr="00C04ACC">
        <w:rPr>
          <w:rFonts w:ascii="Times New Roman" w:eastAsia="Calibri" w:hAnsi="Times New Roman" w:cs="Times New Roman"/>
          <w:b/>
        </w:rPr>
        <w:t>S</w:t>
      </w:r>
      <w:r w:rsidR="00E204DD" w:rsidRPr="00C04ACC">
        <w:rPr>
          <w:rFonts w:ascii="Times New Roman" w:eastAsia="Calibri" w:hAnsi="Times New Roman" w:cs="Times New Roman"/>
          <w:b/>
        </w:rPr>
        <w:t>tatement</w:t>
      </w:r>
    </w:p>
    <w:p w14:paraId="0157189B" w14:textId="20FD484C" w:rsidR="000023B3" w:rsidRPr="001C7725" w:rsidRDefault="000023B3" w:rsidP="0013445B">
      <w:pPr>
        <w:spacing w:after="220" w:line="240" w:lineRule="auto"/>
        <w:rPr>
          <w:rFonts w:ascii="Times New Roman" w:eastAsia="Calibri" w:hAnsi="Times New Roman" w:cs="Times New Roman"/>
        </w:rPr>
      </w:pPr>
      <w:r w:rsidRPr="001C7725">
        <w:rPr>
          <w:rFonts w:ascii="Times New Roman" w:eastAsia="Calibri" w:hAnsi="Times New Roman" w:cs="Times New Roman"/>
        </w:rPr>
        <w:t xml:space="preserve">The Office of Best Practice Regulation </w:t>
      </w:r>
      <w:r w:rsidR="0013445B" w:rsidRPr="001C7725">
        <w:rPr>
          <w:rFonts w:ascii="Times New Roman" w:hAnsi="Times New Roman" w:cs="Times New Roman"/>
          <w:lang w:eastAsia="en-AU"/>
        </w:rPr>
        <w:t xml:space="preserve">was consulted regarding this </w:t>
      </w:r>
      <w:r w:rsidR="002B127A">
        <w:rPr>
          <w:rFonts w:ascii="Times New Roman" w:hAnsi="Times New Roman" w:cs="Times New Roman"/>
          <w:lang w:eastAsia="en-AU"/>
        </w:rPr>
        <w:t>instrument and indicated that</w:t>
      </w:r>
      <w:r w:rsidR="00C8195A">
        <w:rPr>
          <w:rFonts w:ascii="Times New Roman" w:hAnsi="Times New Roman" w:cs="Times New Roman"/>
          <w:lang w:eastAsia="en-AU"/>
        </w:rPr>
        <w:t xml:space="preserve"> neither</w:t>
      </w:r>
      <w:r w:rsidR="002B127A">
        <w:rPr>
          <w:rFonts w:ascii="Times New Roman" w:hAnsi="Times New Roman" w:cs="Times New Roman"/>
          <w:lang w:eastAsia="en-AU"/>
        </w:rPr>
        <w:t xml:space="preserve"> a Regulation</w:t>
      </w:r>
      <w:r w:rsidR="0013445B" w:rsidRPr="001C7725">
        <w:rPr>
          <w:rFonts w:ascii="Times New Roman" w:hAnsi="Times New Roman" w:cs="Times New Roman"/>
          <w:lang w:eastAsia="en-AU"/>
        </w:rPr>
        <w:t xml:space="preserve"> Impact Statement</w:t>
      </w:r>
      <w:r w:rsidR="00C8195A">
        <w:rPr>
          <w:rFonts w:ascii="Times New Roman" w:hAnsi="Times New Roman" w:cs="Times New Roman"/>
          <w:lang w:eastAsia="en-AU"/>
        </w:rPr>
        <w:t xml:space="preserve">, nor a certification letter, was </w:t>
      </w:r>
      <w:r w:rsidR="00C8195A">
        <w:rPr>
          <w:rFonts w:ascii="Times New Roman" w:hAnsi="Times New Roman" w:cs="Times New Roman"/>
          <w:color w:val="000000" w:themeColor="text1"/>
          <w:lang w:eastAsia="en-AU"/>
        </w:rPr>
        <w:t>required (OBPR ID: 24734</w:t>
      </w:r>
      <w:r w:rsidR="0013445B" w:rsidRPr="001C7725">
        <w:rPr>
          <w:rFonts w:ascii="Times New Roman" w:hAnsi="Times New Roman" w:cs="Times New Roman"/>
          <w:color w:val="000000" w:themeColor="text1"/>
        </w:rPr>
        <w:t>)</w:t>
      </w:r>
      <w:r w:rsidR="0013445B" w:rsidRPr="001C7725">
        <w:rPr>
          <w:rFonts w:ascii="Times New Roman" w:hAnsi="Times New Roman" w:cs="Times New Roman"/>
          <w:color w:val="000000" w:themeColor="text1"/>
          <w:lang w:eastAsia="en-AU"/>
        </w:rPr>
        <w:t>.</w:t>
      </w:r>
    </w:p>
    <w:p w14:paraId="7C5D93BD" w14:textId="1AE2A17E" w:rsidR="0013445B" w:rsidRPr="001C7725" w:rsidRDefault="000023B3" w:rsidP="0013445B">
      <w:pPr>
        <w:spacing w:after="220" w:line="240" w:lineRule="auto"/>
        <w:rPr>
          <w:rFonts w:ascii="Times New Roman" w:eastAsia="Calibri" w:hAnsi="Times New Roman" w:cs="Times New Roman"/>
        </w:rPr>
      </w:pPr>
      <w:r w:rsidRPr="001C7725">
        <w:rPr>
          <w:rFonts w:ascii="Times New Roman" w:eastAsia="Calibri" w:hAnsi="Times New Roman" w:cs="Times New Roman"/>
        </w:rPr>
        <w:t xml:space="preserve">This instrument is a legislative instrument for the purposes of the </w:t>
      </w:r>
      <w:r w:rsidRPr="001C7725">
        <w:rPr>
          <w:rFonts w:ascii="Times New Roman" w:eastAsia="Calibri" w:hAnsi="Times New Roman" w:cs="Times New Roman"/>
          <w:i/>
        </w:rPr>
        <w:t>Legislation Act 2003</w:t>
      </w:r>
      <w:r w:rsidRPr="001C7725">
        <w:rPr>
          <w:rFonts w:ascii="Times New Roman" w:eastAsia="Calibri" w:hAnsi="Times New Roman" w:cs="Times New Roman"/>
        </w:rPr>
        <w:t>.</w:t>
      </w:r>
    </w:p>
    <w:p w14:paraId="58AE7AE3" w14:textId="2256121A" w:rsidR="0013445B" w:rsidRPr="00C04ACC" w:rsidRDefault="0013445B" w:rsidP="00770082">
      <w:pPr>
        <w:rPr>
          <w:rFonts w:ascii="Times New Roman" w:eastAsia="Calibri" w:hAnsi="Times New Roman" w:cs="Times New Roman"/>
        </w:rPr>
        <w:sectPr w:rsidR="0013445B" w:rsidRPr="00C04ACC" w:rsidSect="00E73EF2">
          <w:footerReference w:type="default" r:id="rId11"/>
          <w:pgSz w:w="11906" w:h="16838"/>
          <w:pgMar w:top="1440" w:right="1418" w:bottom="1440" w:left="1418" w:header="709" w:footer="709" w:gutter="0"/>
          <w:cols w:space="708"/>
          <w:docGrid w:linePitch="360"/>
        </w:sectPr>
      </w:pPr>
      <w:r w:rsidRPr="001C7725">
        <w:rPr>
          <w:rFonts w:ascii="Times New Roman" w:hAnsi="Times New Roman" w:cs="Times New Roman"/>
        </w:rPr>
        <w:t>Thi</w:t>
      </w:r>
      <w:r w:rsidR="00A05798" w:rsidRPr="001C7725">
        <w:rPr>
          <w:rFonts w:ascii="Times New Roman" w:hAnsi="Times New Roman" w:cs="Times New Roman"/>
        </w:rPr>
        <w:t xml:space="preserve">s instrument takes effect from </w:t>
      </w:r>
      <w:r w:rsidR="00681C69" w:rsidRPr="001C7725">
        <w:rPr>
          <w:rFonts w:ascii="Times New Roman" w:hAnsi="Times New Roman" w:cs="Times New Roman"/>
        </w:rPr>
        <w:t xml:space="preserve">the </w:t>
      </w:r>
      <w:r w:rsidR="001C7725" w:rsidRPr="001C7725">
        <w:rPr>
          <w:rFonts w:ascii="Times New Roman" w:hAnsi="Times New Roman" w:cs="Times New Roman"/>
        </w:rPr>
        <w:t xml:space="preserve">day </w:t>
      </w:r>
      <w:r w:rsidR="00770082" w:rsidRPr="00B41BB4">
        <w:rPr>
          <w:rFonts w:ascii="Times New Roman" w:hAnsi="Times New Roman" w:cs="Times New Roman"/>
        </w:rPr>
        <w:t xml:space="preserve">from </w:t>
      </w:r>
      <w:r w:rsidR="00770082">
        <w:rPr>
          <w:rFonts w:ascii="Times New Roman" w:hAnsi="Times New Roman" w:cs="Times New Roman"/>
        </w:rPr>
        <w:t>the day after it is registered on the Federal Register of Legislation.</w:t>
      </w:r>
    </w:p>
    <w:p w14:paraId="09445C03" w14:textId="77777777" w:rsidR="00E2522B" w:rsidRPr="00C04ACC" w:rsidRDefault="00E2522B" w:rsidP="00B22168">
      <w:pPr>
        <w:pageBreakBefore/>
        <w:spacing w:after="220" w:line="240" w:lineRule="auto"/>
        <w:jc w:val="center"/>
        <w:rPr>
          <w:rFonts w:ascii="Times New Roman" w:eastAsia="Times New Roman" w:hAnsi="Times New Roman" w:cs="Times New Roman"/>
          <w:lang w:eastAsia="en-AU"/>
        </w:rPr>
      </w:pPr>
      <w:r w:rsidRPr="00C04ACC">
        <w:rPr>
          <w:rFonts w:ascii="Times New Roman" w:hAnsi="Times New Roman" w:cs="Times New Roman"/>
        </w:rPr>
        <w:lastRenderedPageBreak/>
        <w:t>S</w:t>
      </w:r>
      <w:r w:rsidRPr="00C04ACC">
        <w:rPr>
          <w:rFonts w:ascii="Times New Roman" w:eastAsia="Times New Roman" w:hAnsi="Times New Roman" w:cs="Times New Roman"/>
          <w:b/>
          <w:bCs/>
          <w:lang w:eastAsia="en-AU"/>
        </w:rPr>
        <w:t>tatement of Compatibility with Human Rights</w:t>
      </w:r>
    </w:p>
    <w:p w14:paraId="5B7ADD50" w14:textId="25882955" w:rsidR="00503867" w:rsidRPr="00C04ACC" w:rsidRDefault="00E2522B" w:rsidP="00503867">
      <w:pPr>
        <w:spacing w:after="220" w:line="240" w:lineRule="auto"/>
        <w:jc w:val="center"/>
        <w:rPr>
          <w:rFonts w:ascii="Times New Roman" w:eastAsia="Times New Roman" w:hAnsi="Times New Roman" w:cs="Times New Roman"/>
          <w:lang w:eastAsia="en-AU"/>
        </w:rPr>
      </w:pPr>
      <w:r w:rsidRPr="00C04ACC">
        <w:rPr>
          <w:rFonts w:ascii="Times New Roman" w:eastAsia="Times New Roman" w:hAnsi="Times New Roman" w:cs="Times New Roman"/>
          <w:iCs/>
          <w:lang w:eastAsia="en-AU"/>
        </w:rPr>
        <w:t>Prepared in accordance with Part 3 of the</w:t>
      </w:r>
      <w:r w:rsidRPr="00C04ACC">
        <w:rPr>
          <w:rFonts w:ascii="Times New Roman" w:eastAsia="Times New Roman" w:hAnsi="Times New Roman" w:cs="Times New Roman"/>
          <w:i/>
          <w:iCs/>
          <w:lang w:eastAsia="en-AU"/>
        </w:rPr>
        <w:t xml:space="preserve"> Human Rights (Parliamentary Scrutiny) Act 2011</w:t>
      </w:r>
    </w:p>
    <w:p w14:paraId="3F338F4B" w14:textId="4338472B" w:rsidR="00F86947" w:rsidRPr="00C04ACC" w:rsidRDefault="00F86947" w:rsidP="00F86947">
      <w:pPr>
        <w:jc w:val="center"/>
        <w:rPr>
          <w:rFonts w:ascii="Times New Roman" w:hAnsi="Times New Roman" w:cs="Times New Roman"/>
          <w:b/>
          <w:lang w:eastAsia="en-AU"/>
        </w:rPr>
      </w:pPr>
      <w:r w:rsidRPr="00C04ACC">
        <w:rPr>
          <w:rFonts w:ascii="Times New Roman" w:hAnsi="Times New Roman" w:cs="Times New Roman"/>
          <w:b/>
        </w:rPr>
        <w:t xml:space="preserve">Safety, Rehabilitation and Compensation </w:t>
      </w:r>
      <w:r w:rsidR="00770082" w:rsidRPr="00C04ACC">
        <w:rPr>
          <w:rFonts w:ascii="Times New Roman" w:hAnsi="Times New Roman" w:cs="Times New Roman"/>
          <w:b/>
        </w:rPr>
        <w:t>(</w:t>
      </w:r>
      <w:r w:rsidR="00770082">
        <w:rPr>
          <w:rFonts w:ascii="Times New Roman" w:hAnsi="Times New Roman" w:cs="Times New Roman"/>
          <w:b/>
        </w:rPr>
        <w:t>Specified Persons and Acts</w:t>
      </w:r>
      <w:r w:rsidR="00770082" w:rsidRPr="00C04ACC">
        <w:rPr>
          <w:rFonts w:ascii="Times New Roman" w:hAnsi="Times New Roman" w:cs="Times New Roman"/>
          <w:b/>
        </w:rPr>
        <w:t>)</w:t>
      </w:r>
      <w:r w:rsidR="00770082">
        <w:rPr>
          <w:rFonts w:ascii="Times New Roman" w:hAnsi="Times New Roman" w:cs="Times New Roman"/>
          <w:b/>
        </w:rPr>
        <w:br/>
        <w:t>Declaration 2019</w:t>
      </w:r>
    </w:p>
    <w:p w14:paraId="11FBAF53" w14:textId="5DEF2308" w:rsidR="00135E16" w:rsidRPr="00135E16" w:rsidRDefault="00C26472" w:rsidP="009D23C6">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lang w:eastAsia="en-AU"/>
        </w:rPr>
        <w:t>This l</w:t>
      </w:r>
      <w:r w:rsidR="00E2522B" w:rsidRPr="00C04ACC">
        <w:rPr>
          <w:rFonts w:ascii="Times New Roman" w:eastAsia="Times New Roman" w:hAnsi="Times New Roman" w:cs="Times New Roman"/>
          <w:lang w:eastAsia="en-AU"/>
        </w:rPr>
        <w:t xml:space="preserve">egislative </w:t>
      </w:r>
      <w:r w:rsidRPr="00C04ACC">
        <w:rPr>
          <w:rFonts w:ascii="Times New Roman" w:eastAsia="Times New Roman" w:hAnsi="Times New Roman" w:cs="Times New Roman"/>
          <w:lang w:eastAsia="en-AU"/>
        </w:rPr>
        <w:t>i</w:t>
      </w:r>
      <w:r w:rsidR="00E2522B" w:rsidRPr="00C04ACC">
        <w:rPr>
          <w:rFonts w:ascii="Times New Roman" w:eastAsia="Times New Roman" w:hAnsi="Times New Roman" w:cs="Times New Roman"/>
          <w:lang w:eastAsia="en-AU"/>
        </w:rPr>
        <w:t xml:space="preserve">nstrument is compatible with the human rights and freedoms recognised or declared by the international instruments listed in section 3 of the </w:t>
      </w:r>
      <w:r w:rsidR="00E2522B" w:rsidRPr="00C04ACC">
        <w:rPr>
          <w:rFonts w:ascii="Times New Roman" w:eastAsia="Times New Roman" w:hAnsi="Times New Roman" w:cs="Times New Roman"/>
          <w:i/>
          <w:iCs/>
          <w:lang w:eastAsia="en-AU"/>
        </w:rPr>
        <w:t>Human Rights (Parliamentary Scrutiny) Act 2011</w:t>
      </w:r>
      <w:r w:rsidR="00E2522B" w:rsidRPr="00C04ACC">
        <w:rPr>
          <w:rFonts w:ascii="Times New Roman" w:eastAsia="Times New Roman" w:hAnsi="Times New Roman" w:cs="Times New Roman"/>
          <w:lang w:eastAsia="en-AU"/>
        </w:rPr>
        <w:t>.</w:t>
      </w:r>
    </w:p>
    <w:p w14:paraId="07AFAC91" w14:textId="05686BC9" w:rsidR="00E2522B" w:rsidRPr="00C04ACC" w:rsidRDefault="00E2522B" w:rsidP="009D23C6">
      <w:pPr>
        <w:spacing w:after="220" w:line="240" w:lineRule="auto"/>
        <w:rPr>
          <w:rFonts w:ascii="Times New Roman" w:eastAsia="Times New Roman" w:hAnsi="Times New Roman" w:cs="Times New Roman"/>
          <w:b/>
          <w:bCs/>
          <w:lang w:eastAsia="en-AU"/>
        </w:rPr>
      </w:pPr>
      <w:r w:rsidRPr="00C04ACC">
        <w:rPr>
          <w:rFonts w:ascii="Times New Roman" w:eastAsia="Times New Roman" w:hAnsi="Times New Roman" w:cs="Times New Roman"/>
          <w:b/>
          <w:bCs/>
          <w:lang w:eastAsia="en-AU"/>
        </w:rPr>
        <w:t xml:space="preserve">Overview of the </w:t>
      </w:r>
      <w:r w:rsidR="00C26472" w:rsidRPr="00C04ACC">
        <w:rPr>
          <w:rFonts w:ascii="Times New Roman" w:eastAsia="Times New Roman" w:hAnsi="Times New Roman" w:cs="Times New Roman"/>
          <w:b/>
          <w:bCs/>
          <w:lang w:eastAsia="en-AU"/>
        </w:rPr>
        <w:t>l</w:t>
      </w:r>
      <w:r w:rsidRPr="00C04ACC">
        <w:rPr>
          <w:rFonts w:ascii="Times New Roman" w:eastAsia="Times New Roman" w:hAnsi="Times New Roman" w:cs="Times New Roman"/>
          <w:b/>
          <w:bCs/>
          <w:lang w:eastAsia="en-AU"/>
        </w:rPr>
        <w:t xml:space="preserve">egislative </w:t>
      </w:r>
      <w:r w:rsidR="00C26472" w:rsidRPr="00C04ACC">
        <w:rPr>
          <w:rFonts w:ascii="Times New Roman" w:eastAsia="Times New Roman" w:hAnsi="Times New Roman" w:cs="Times New Roman"/>
          <w:b/>
          <w:bCs/>
          <w:lang w:eastAsia="en-AU"/>
        </w:rPr>
        <w:t>i</w:t>
      </w:r>
      <w:r w:rsidRPr="00C04ACC">
        <w:rPr>
          <w:rFonts w:ascii="Times New Roman" w:eastAsia="Times New Roman" w:hAnsi="Times New Roman" w:cs="Times New Roman"/>
          <w:b/>
          <w:bCs/>
          <w:lang w:eastAsia="en-AU"/>
        </w:rPr>
        <w:t>nstrument</w:t>
      </w:r>
    </w:p>
    <w:p w14:paraId="2D8AB08A" w14:textId="77777777" w:rsidR="0092336E" w:rsidRPr="00092604" w:rsidRDefault="0092336E" w:rsidP="0092336E">
      <w:pPr>
        <w:spacing w:line="240" w:lineRule="auto"/>
        <w:rPr>
          <w:rFonts w:ascii="Times New Roman" w:hAnsi="Times New Roman" w:cs="Times New Roman"/>
        </w:rPr>
      </w:pPr>
      <w:r w:rsidRPr="00092604">
        <w:rPr>
          <w:rFonts w:ascii="Times New Roman" w:hAnsi="Times New Roman" w:cs="Times New Roman"/>
        </w:rPr>
        <w:t xml:space="preserve">The </w:t>
      </w:r>
      <w:r w:rsidRPr="00092604">
        <w:rPr>
          <w:rFonts w:ascii="Times New Roman" w:hAnsi="Times New Roman" w:cs="Times New Roman"/>
          <w:i/>
        </w:rPr>
        <w:t xml:space="preserve">Safety, Rehabilitation and Compensation Act 1988 </w:t>
      </w:r>
      <w:r w:rsidRPr="00092604">
        <w:rPr>
          <w:rFonts w:ascii="Times New Roman" w:hAnsi="Times New Roman" w:cs="Times New Roman"/>
        </w:rPr>
        <w:t>(</w:t>
      </w:r>
      <w:r>
        <w:rPr>
          <w:rFonts w:ascii="Times New Roman" w:hAnsi="Times New Roman" w:cs="Times New Roman"/>
        </w:rPr>
        <w:t xml:space="preserve">SRC </w:t>
      </w:r>
      <w:r w:rsidRPr="00092604">
        <w:rPr>
          <w:rFonts w:ascii="Times New Roman" w:hAnsi="Times New Roman" w:cs="Times New Roman"/>
        </w:rPr>
        <w:t xml:space="preserve">Act) </w:t>
      </w:r>
      <w:r w:rsidRPr="00092604">
        <w:rPr>
          <w:rFonts w:ascii="Times New Roman" w:hAnsi="Times New Roman" w:cs="Times New Roman"/>
          <w:lang w:eastAsia="en-AU"/>
        </w:rPr>
        <w:t>establishes the Commonwealth workers’ compensation and rehabilitation scheme</w:t>
      </w:r>
      <w:r w:rsidRPr="00092604">
        <w:rPr>
          <w:rFonts w:ascii="Times New Roman" w:hAnsi="Times New Roman" w:cs="Times New Roman"/>
        </w:rPr>
        <w:t xml:space="preserve"> for employees of the Commonwealth, Commonwealth authorities and licensed corporations. </w:t>
      </w:r>
    </w:p>
    <w:p w14:paraId="3CA370B4" w14:textId="77777777" w:rsidR="0092336E" w:rsidRPr="00092604" w:rsidRDefault="0092336E" w:rsidP="0092336E">
      <w:pPr>
        <w:spacing w:line="240" w:lineRule="auto"/>
        <w:rPr>
          <w:rFonts w:ascii="Times New Roman" w:hAnsi="Times New Roman" w:cs="Times New Roman"/>
        </w:rPr>
      </w:pPr>
      <w:r w:rsidRPr="00092604">
        <w:rPr>
          <w:rFonts w:ascii="Times New Roman" w:hAnsi="Times New Roman" w:cs="Times New Roman"/>
        </w:rPr>
        <w:t xml:space="preserve">Section 5 of the </w:t>
      </w:r>
      <w:r>
        <w:rPr>
          <w:rFonts w:ascii="Times New Roman" w:hAnsi="Times New Roman" w:cs="Times New Roman"/>
        </w:rPr>
        <w:t xml:space="preserve">SRC </w:t>
      </w:r>
      <w:r w:rsidRPr="00092604">
        <w:rPr>
          <w:rFonts w:ascii="Times New Roman" w:hAnsi="Times New Roman" w:cs="Times New Roman"/>
        </w:rPr>
        <w:t xml:space="preserve">Act defines the term ‘employee’ for the purposes of the </w:t>
      </w:r>
      <w:r>
        <w:rPr>
          <w:rFonts w:ascii="Times New Roman" w:hAnsi="Times New Roman" w:cs="Times New Roman"/>
        </w:rPr>
        <w:t xml:space="preserve">SRC </w:t>
      </w:r>
      <w:r w:rsidRPr="00092604">
        <w:rPr>
          <w:rFonts w:ascii="Times New Roman" w:hAnsi="Times New Roman" w:cs="Times New Roman"/>
        </w:rPr>
        <w:t>Act. S</w:t>
      </w:r>
      <w:r>
        <w:rPr>
          <w:rFonts w:ascii="Times New Roman" w:hAnsi="Times New Roman" w:cs="Times New Roman"/>
        </w:rPr>
        <w:t>ubsection </w:t>
      </w:r>
      <w:r w:rsidRPr="00092604">
        <w:rPr>
          <w:rFonts w:ascii="Times New Roman" w:hAnsi="Times New Roman" w:cs="Times New Roman"/>
        </w:rPr>
        <w:t xml:space="preserve">5(6) of the </w:t>
      </w:r>
      <w:r>
        <w:rPr>
          <w:rFonts w:ascii="Times New Roman" w:hAnsi="Times New Roman" w:cs="Times New Roman"/>
        </w:rPr>
        <w:t xml:space="preserve">SRC </w:t>
      </w:r>
      <w:r w:rsidRPr="00092604">
        <w:rPr>
          <w:rFonts w:ascii="Times New Roman" w:hAnsi="Times New Roman" w:cs="Times New Roman"/>
        </w:rPr>
        <w:t>Act provides that</w:t>
      </w:r>
      <w:r>
        <w:rPr>
          <w:rFonts w:ascii="Times New Roman" w:hAnsi="Times New Roman" w:cs="Times New Roman"/>
        </w:rPr>
        <w:t xml:space="preserve"> the Minister may, </w:t>
      </w:r>
      <w:r w:rsidRPr="00092604">
        <w:rPr>
          <w:rFonts w:ascii="Times New Roman" w:hAnsi="Times New Roman" w:cs="Times New Roman"/>
        </w:rPr>
        <w:t>by legislative instrument, de</w:t>
      </w:r>
      <w:r>
        <w:rPr>
          <w:rFonts w:ascii="Times New Roman" w:hAnsi="Times New Roman" w:cs="Times New Roman"/>
        </w:rPr>
        <w:t>clare</w:t>
      </w:r>
      <w:r w:rsidRPr="00092604">
        <w:rPr>
          <w:rFonts w:ascii="Times New Roman" w:hAnsi="Times New Roman" w:cs="Times New Roman"/>
        </w:rPr>
        <w:t>:</w:t>
      </w:r>
    </w:p>
    <w:p w14:paraId="652789AC" w14:textId="12ED0B5B" w:rsidR="0092336E" w:rsidRPr="00092604" w:rsidRDefault="0092336E" w:rsidP="0092336E">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that </w:t>
      </w:r>
      <w:r w:rsidRPr="00092604">
        <w:rPr>
          <w:rFonts w:ascii="Times New Roman" w:hAnsi="Times New Roman" w:cs="Times New Roman"/>
        </w:rPr>
        <w:t>specified persons who engage in activities or perform acts:</w:t>
      </w:r>
    </w:p>
    <w:p w14:paraId="38D974FC" w14:textId="77777777" w:rsidR="0092336E" w:rsidRPr="00092604" w:rsidRDefault="0092336E" w:rsidP="0092336E">
      <w:pPr>
        <w:pStyle w:val="ListParagraph"/>
        <w:spacing w:line="240" w:lineRule="auto"/>
        <w:ind w:left="1080"/>
        <w:rPr>
          <w:rFonts w:ascii="Times New Roman" w:hAnsi="Times New Roman" w:cs="Times New Roman"/>
        </w:rPr>
      </w:pPr>
    </w:p>
    <w:p w14:paraId="0969B7CC" w14:textId="77777777" w:rsidR="0092336E" w:rsidRPr="00092604" w:rsidRDefault="0092336E" w:rsidP="0092336E">
      <w:pPr>
        <w:pStyle w:val="ListParagraph"/>
        <w:numPr>
          <w:ilvl w:val="0"/>
          <w:numId w:val="28"/>
        </w:numPr>
        <w:spacing w:line="240" w:lineRule="auto"/>
        <w:ind w:left="1276" w:hanging="425"/>
        <w:rPr>
          <w:rFonts w:ascii="Times New Roman" w:hAnsi="Times New Roman" w:cs="Times New Roman"/>
        </w:rPr>
      </w:pPr>
      <w:r w:rsidRPr="00092604">
        <w:rPr>
          <w:rFonts w:ascii="Times New Roman" w:hAnsi="Times New Roman" w:cs="Times New Roman"/>
        </w:rPr>
        <w:t>at the request or direction, for the benefit, or under a requirement made by or under a law of the Commonwealth; or</w:t>
      </w:r>
    </w:p>
    <w:p w14:paraId="37BCD531" w14:textId="77777777" w:rsidR="0092336E" w:rsidRPr="00092604" w:rsidRDefault="0092336E" w:rsidP="0092336E">
      <w:pPr>
        <w:pStyle w:val="ListParagraph"/>
        <w:numPr>
          <w:ilvl w:val="0"/>
          <w:numId w:val="28"/>
        </w:numPr>
        <w:spacing w:line="240" w:lineRule="auto"/>
        <w:ind w:left="1276" w:hanging="425"/>
        <w:rPr>
          <w:rFonts w:ascii="Times New Roman" w:hAnsi="Times New Roman" w:cs="Times New Roman"/>
        </w:rPr>
      </w:pPr>
      <w:r w:rsidRPr="00092604">
        <w:rPr>
          <w:rFonts w:ascii="Times New Roman" w:hAnsi="Times New Roman" w:cs="Times New Roman"/>
        </w:rPr>
        <w:t>at the request or direction, or for the benefit, of a Commonwealth authority, or a licensed corporation;</w:t>
      </w:r>
    </w:p>
    <w:p w14:paraId="624B8899" w14:textId="77777777" w:rsidR="0092336E" w:rsidRPr="00092604" w:rsidRDefault="0092336E" w:rsidP="0092336E">
      <w:pPr>
        <w:spacing w:line="240" w:lineRule="auto"/>
        <w:ind w:left="720"/>
        <w:rPr>
          <w:rFonts w:ascii="Times New Roman" w:hAnsi="Times New Roman" w:cs="Times New Roman"/>
        </w:rPr>
      </w:pPr>
      <w:r w:rsidRPr="00092604">
        <w:rPr>
          <w:rFonts w:ascii="Times New Roman" w:hAnsi="Times New Roman" w:cs="Times New Roman"/>
        </w:rPr>
        <w:t>shall, for the purposes of th</w:t>
      </w:r>
      <w:r>
        <w:rPr>
          <w:rFonts w:ascii="Times New Roman" w:hAnsi="Times New Roman" w:cs="Times New Roman"/>
        </w:rPr>
        <w:t xml:space="preserve">e SRC </w:t>
      </w:r>
      <w:r w:rsidRPr="00092604">
        <w:rPr>
          <w:rFonts w:ascii="Times New Roman" w:hAnsi="Times New Roman" w:cs="Times New Roman"/>
        </w:rPr>
        <w:t>Act, be taken to be employed by the Commonwealth, or by that authority or corporation, as the case may be; and</w:t>
      </w:r>
    </w:p>
    <w:p w14:paraId="06C44095" w14:textId="77777777" w:rsidR="0092336E" w:rsidRPr="00092604" w:rsidRDefault="0092336E" w:rsidP="0092336E">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that </w:t>
      </w:r>
      <w:r w:rsidRPr="00092604">
        <w:rPr>
          <w:rFonts w:ascii="Times New Roman" w:hAnsi="Times New Roman" w:cs="Times New Roman"/>
        </w:rPr>
        <w:t>the employment of the specified persons shall be taken to be constituted by the performance of the acts specified in the instrument.</w:t>
      </w:r>
    </w:p>
    <w:p w14:paraId="31EE564B" w14:textId="77777777" w:rsidR="0092336E" w:rsidRPr="00092604" w:rsidRDefault="0092336E" w:rsidP="0092336E">
      <w:pPr>
        <w:spacing w:line="240" w:lineRule="auto"/>
        <w:rPr>
          <w:rFonts w:ascii="Times New Roman" w:hAnsi="Times New Roman" w:cs="Times New Roman"/>
        </w:rPr>
      </w:pPr>
      <w:r w:rsidRPr="00092604">
        <w:rPr>
          <w:rFonts w:ascii="Times New Roman" w:hAnsi="Times New Roman" w:cs="Times New Roman"/>
        </w:rPr>
        <w:t xml:space="preserve">Pursuant to subsection 5(6) of the </w:t>
      </w:r>
      <w:r>
        <w:rPr>
          <w:rFonts w:ascii="Times New Roman" w:hAnsi="Times New Roman" w:cs="Times New Roman"/>
        </w:rPr>
        <w:t xml:space="preserve">SRC </w:t>
      </w:r>
      <w:r w:rsidRPr="00092604">
        <w:rPr>
          <w:rFonts w:ascii="Times New Roman" w:hAnsi="Times New Roman" w:cs="Times New Roman"/>
        </w:rPr>
        <w:t>Act, this instrument declares that persons who, under the control or direction of a Commonwealth officer, assist, without receiving any remuneration (other than payment of expenses incurred), in the running of:</w:t>
      </w:r>
    </w:p>
    <w:p w14:paraId="1F713DA3" w14:textId="77777777" w:rsidR="0092336E" w:rsidRPr="00092604" w:rsidRDefault="0092336E" w:rsidP="0092336E">
      <w:pPr>
        <w:pStyle w:val="ListParagraph"/>
        <w:numPr>
          <w:ilvl w:val="0"/>
          <w:numId w:val="29"/>
        </w:numPr>
        <w:spacing w:line="240" w:lineRule="auto"/>
        <w:rPr>
          <w:rFonts w:ascii="Times New Roman" w:hAnsi="Times New Roman" w:cs="Times New Roman"/>
        </w:rPr>
      </w:pPr>
      <w:r w:rsidRPr="00092604">
        <w:rPr>
          <w:rFonts w:ascii="Times New Roman" w:hAnsi="Times New Roman" w:cs="Times New Roman"/>
        </w:rPr>
        <w:t xml:space="preserve">the Australian War Memorial; </w:t>
      </w:r>
      <w:r>
        <w:rPr>
          <w:rFonts w:ascii="Times New Roman" w:hAnsi="Times New Roman" w:cs="Times New Roman"/>
        </w:rPr>
        <w:t>or</w:t>
      </w:r>
    </w:p>
    <w:p w14:paraId="56564724" w14:textId="77777777" w:rsidR="0092336E" w:rsidRPr="00092604" w:rsidRDefault="0092336E" w:rsidP="0092336E">
      <w:pPr>
        <w:pStyle w:val="ListParagraph"/>
        <w:numPr>
          <w:ilvl w:val="0"/>
          <w:numId w:val="29"/>
        </w:numPr>
        <w:spacing w:line="240" w:lineRule="auto"/>
        <w:rPr>
          <w:rFonts w:ascii="Times New Roman" w:hAnsi="Times New Roman" w:cs="Times New Roman"/>
        </w:rPr>
      </w:pPr>
      <w:r w:rsidRPr="00092604">
        <w:rPr>
          <w:rFonts w:ascii="Times New Roman" w:hAnsi="Times New Roman" w:cs="Times New Roman"/>
        </w:rPr>
        <w:t>the Great Barrier Reef Marine Park Authority</w:t>
      </w:r>
      <w:r>
        <w:rPr>
          <w:rFonts w:ascii="Times New Roman" w:hAnsi="Times New Roman" w:cs="Times New Roman"/>
        </w:rPr>
        <w:t>,</w:t>
      </w:r>
    </w:p>
    <w:p w14:paraId="46F4215F" w14:textId="77777777" w:rsidR="0092336E" w:rsidRPr="00092604" w:rsidRDefault="0092336E" w:rsidP="0092336E">
      <w:pPr>
        <w:spacing w:line="240" w:lineRule="auto"/>
        <w:ind w:left="360"/>
        <w:rPr>
          <w:rFonts w:ascii="Times New Roman" w:hAnsi="Times New Roman" w:cs="Times New Roman"/>
        </w:rPr>
      </w:pPr>
      <w:r w:rsidRPr="00092604">
        <w:rPr>
          <w:rFonts w:ascii="Times New Roman" w:hAnsi="Times New Roman" w:cs="Times New Roman"/>
        </w:rPr>
        <w:t>shall</w:t>
      </w:r>
      <w:r>
        <w:rPr>
          <w:rFonts w:ascii="Times New Roman" w:hAnsi="Times New Roman" w:cs="Times New Roman"/>
        </w:rPr>
        <w:t xml:space="preserve"> </w:t>
      </w:r>
      <w:r w:rsidRPr="00092604">
        <w:rPr>
          <w:rFonts w:ascii="Times New Roman" w:hAnsi="Times New Roman" w:cs="Times New Roman"/>
        </w:rPr>
        <w:t>be taken to be employed by the Commonwealth</w:t>
      </w:r>
      <w:r>
        <w:rPr>
          <w:rFonts w:ascii="Times New Roman" w:hAnsi="Times New Roman" w:cs="Times New Roman"/>
        </w:rPr>
        <w:t xml:space="preserve">, as represented by the Australian War Memorial or the </w:t>
      </w:r>
      <w:r w:rsidRPr="00092604">
        <w:rPr>
          <w:rFonts w:ascii="Times New Roman" w:hAnsi="Times New Roman" w:cs="Times New Roman"/>
        </w:rPr>
        <w:t>Great Barrier Reef Marine Park Authority</w:t>
      </w:r>
      <w:r>
        <w:rPr>
          <w:rFonts w:ascii="Times New Roman" w:hAnsi="Times New Roman" w:cs="Times New Roman"/>
        </w:rPr>
        <w:t xml:space="preserve">, as the case may be, for the purposes of the SRC Act, </w:t>
      </w:r>
      <w:r w:rsidRPr="00092604">
        <w:rPr>
          <w:rFonts w:ascii="Times New Roman" w:hAnsi="Times New Roman" w:cs="Times New Roman"/>
        </w:rPr>
        <w:t>when rendering such assistance.</w:t>
      </w:r>
    </w:p>
    <w:p w14:paraId="1EB10591" w14:textId="77777777" w:rsidR="0092336E" w:rsidRDefault="0092336E" w:rsidP="0092336E">
      <w:pPr>
        <w:spacing w:line="240" w:lineRule="auto"/>
        <w:rPr>
          <w:rFonts w:ascii="Times New Roman" w:hAnsi="Times New Roman" w:cs="Times New Roman"/>
        </w:rPr>
      </w:pPr>
      <w:r>
        <w:rPr>
          <w:rFonts w:ascii="Times New Roman" w:hAnsi="Times New Roman" w:cs="Times New Roman"/>
        </w:rPr>
        <w:t>This instrument remakes the declarations previously made by the Minister under subsection 5(6) of the SRC Act in the:</w:t>
      </w:r>
    </w:p>
    <w:p w14:paraId="082F4D2B" w14:textId="77777777" w:rsidR="0092336E" w:rsidRPr="00EC6F79" w:rsidRDefault="0092336E" w:rsidP="0092336E">
      <w:pPr>
        <w:pStyle w:val="ListParagraph"/>
        <w:numPr>
          <w:ilvl w:val="0"/>
          <w:numId w:val="30"/>
        </w:numPr>
        <w:spacing w:line="240" w:lineRule="auto"/>
        <w:rPr>
          <w:rFonts w:ascii="Times New Roman" w:hAnsi="Times New Roman" w:cs="Times New Roman"/>
          <w:bCs/>
        </w:rPr>
      </w:pPr>
      <w:r w:rsidRPr="00EC6F79">
        <w:rPr>
          <w:rFonts w:ascii="Times New Roman" w:hAnsi="Times New Roman" w:cs="Times New Roman"/>
          <w:bCs/>
          <w:i/>
        </w:rPr>
        <w:t>Co</w:t>
      </w:r>
      <w:r>
        <w:rPr>
          <w:rFonts w:ascii="Times New Roman" w:hAnsi="Times New Roman" w:cs="Times New Roman"/>
          <w:bCs/>
          <w:i/>
        </w:rPr>
        <w:t>mmonwealth Employees’</w:t>
      </w:r>
      <w:r w:rsidRPr="00EC6F79">
        <w:rPr>
          <w:rFonts w:ascii="Times New Roman" w:hAnsi="Times New Roman" w:cs="Times New Roman"/>
          <w:bCs/>
          <w:i/>
        </w:rPr>
        <w:t xml:space="preserve"> Rehabilitation and Compensation Act 1988 - Notice of Declarations and Specification (Notice No. 5 of 1991</w:t>
      </w:r>
      <w:r>
        <w:rPr>
          <w:rFonts w:ascii="Times New Roman" w:hAnsi="Times New Roman" w:cs="Times New Roman"/>
          <w:bCs/>
          <w:i/>
        </w:rPr>
        <w:t>)</w:t>
      </w:r>
      <w:r>
        <w:rPr>
          <w:rFonts w:ascii="Times New Roman" w:hAnsi="Times New Roman" w:cs="Times New Roman"/>
          <w:bCs/>
        </w:rPr>
        <w:t xml:space="preserve"> (the 1991 Instrument)</w:t>
      </w:r>
      <w:r>
        <w:rPr>
          <w:rFonts w:ascii="Times New Roman" w:hAnsi="Times New Roman" w:cs="Times New Roman"/>
          <w:bCs/>
          <w:i/>
        </w:rPr>
        <w:t>—</w:t>
      </w:r>
      <w:r>
        <w:rPr>
          <w:rFonts w:ascii="Times New Roman" w:hAnsi="Times New Roman" w:cs="Times New Roman"/>
          <w:bCs/>
        </w:rPr>
        <w:t>in</w:t>
      </w:r>
      <w:r w:rsidRPr="00F86947">
        <w:rPr>
          <w:rFonts w:ascii="Times New Roman" w:hAnsi="Times New Roman" w:cs="Times New Roman"/>
          <w:bCs/>
        </w:rPr>
        <w:t xml:space="preserve"> </w:t>
      </w:r>
      <w:r>
        <w:rPr>
          <w:rFonts w:ascii="Times New Roman" w:hAnsi="Times New Roman" w:cs="Times New Roman"/>
          <w:bCs/>
        </w:rPr>
        <w:t xml:space="preserve">respect of </w:t>
      </w:r>
      <w:r w:rsidRPr="00EC6F79">
        <w:rPr>
          <w:rFonts w:ascii="Times New Roman" w:hAnsi="Times New Roman" w:cs="Times New Roman"/>
          <w:bCs/>
        </w:rPr>
        <w:t xml:space="preserve">persons assisting in the running of the </w:t>
      </w:r>
      <w:r>
        <w:rPr>
          <w:rFonts w:ascii="Times New Roman" w:hAnsi="Times New Roman" w:cs="Times New Roman"/>
        </w:rPr>
        <w:t>Australian War Memorial</w:t>
      </w:r>
      <w:r>
        <w:rPr>
          <w:rFonts w:ascii="Times New Roman" w:hAnsi="Times New Roman" w:cs="Times New Roman"/>
          <w:bCs/>
        </w:rPr>
        <w:t xml:space="preserve">; and </w:t>
      </w:r>
      <w:r w:rsidRPr="00EC6F79">
        <w:rPr>
          <w:rFonts w:ascii="Times New Roman" w:hAnsi="Times New Roman" w:cs="Times New Roman"/>
        </w:rPr>
        <w:t xml:space="preserve"> </w:t>
      </w:r>
    </w:p>
    <w:p w14:paraId="19B014A9" w14:textId="77777777" w:rsidR="0092336E" w:rsidRPr="003A79BC" w:rsidRDefault="0092336E" w:rsidP="0092336E">
      <w:pPr>
        <w:pStyle w:val="ListParagraph"/>
        <w:numPr>
          <w:ilvl w:val="0"/>
          <w:numId w:val="26"/>
        </w:numPr>
        <w:spacing w:line="240" w:lineRule="auto"/>
        <w:rPr>
          <w:rFonts w:ascii="Times New Roman" w:hAnsi="Times New Roman" w:cs="Times New Roman"/>
          <w:bCs/>
        </w:rPr>
      </w:pPr>
      <w:r w:rsidRPr="003A79BC">
        <w:rPr>
          <w:rFonts w:ascii="Times New Roman" w:hAnsi="Times New Roman" w:cs="Times New Roman"/>
          <w:bCs/>
          <w:i/>
        </w:rPr>
        <w:t xml:space="preserve">Commonwealth </w:t>
      </w:r>
      <w:r>
        <w:rPr>
          <w:rFonts w:ascii="Times New Roman" w:hAnsi="Times New Roman" w:cs="Times New Roman"/>
          <w:bCs/>
          <w:i/>
        </w:rPr>
        <w:t>Employees’</w:t>
      </w:r>
      <w:r w:rsidRPr="003A79BC">
        <w:rPr>
          <w:rFonts w:ascii="Times New Roman" w:hAnsi="Times New Roman" w:cs="Times New Roman"/>
          <w:bCs/>
          <w:i/>
        </w:rPr>
        <w:t xml:space="preserve"> Rehabilitation and Compensation Act 1988 - Notice of Declarations (Notice No. 2 of 1992)</w:t>
      </w:r>
      <w:r>
        <w:rPr>
          <w:rFonts w:ascii="Times New Roman" w:hAnsi="Times New Roman" w:cs="Times New Roman"/>
          <w:bCs/>
        </w:rPr>
        <w:t xml:space="preserve"> (the 1992 Instrument)—in respect of </w:t>
      </w:r>
      <w:r w:rsidRPr="00EC6F79">
        <w:rPr>
          <w:rFonts w:ascii="Times New Roman" w:hAnsi="Times New Roman" w:cs="Times New Roman"/>
          <w:bCs/>
        </w:rPr>
        <w:t xml:space="preserve">persons assisting in the running of the </w:t>
      </w:r>
      <w:r w:rsidRPr="00EC6F79">
        <w:rPr>
          <w:rFonts w:ascii="Times New Roman" w:hAnsi="Times New Roman" w:cs="Times New Roman"/>
        </w:rPr>
        <w:t>Great Barrier Reef Marine Park Authority</w:t>
      </w:r>
      <w:r>
        <w:rPr>
          <w:rFonts w:ascii="Times New Roman" w:hAnsi="Times New Roman" w:cs="Times New Roman"/>
        </w:rPr>
        <w:t>,</w:t>
      </w:r>
    </w:p>
    <w:p w14:paraId="1315470D" w14:textId="77777777" w:rsidR="0092336E" w:rsidRDefault="0092336E" w:rsidP="0092336E">
      <w:pPr>
        <w:spacing w:line="240" w:lineRule="auto"/>
        <w:ind w:left="360"/>
        <w:rPr>
          <w:rFonts w:ascii="Times New Roman" w:hAnsi="Times New Roman" w:cs="Times New Roman"/>
          <w:bCs/>
        </w:rPr>
      </w:pPr>
      <w:r>
        <w:rPr>
          <w:rFonts w:ascii="Times New Roman" w:hAnsi="Times New Roman" w:cs="Times New Roman"/>
          <w:bCs/>
        </w:rPr>
        <w:t xml:space="preserve">which would otherwise sunset on 1 April 2019 pursuant to section 50 of the </w:t>
      </w:r>
      <w:r w:rsidRPr="00EC6F79">
        <w:rPr>
          <w:rFonts w:ascii="Times New Roman" w:hAnsi="Times New Roman" w:cs="Times New Roman"/>
          <w:bCs/>
          <w:i/>
        </w:rPr>
        <w:t>Legislation Act 2003</w:t>
      </w:r>
      <w:r>
        <w:rPr>
          <w:rFonts w:ascii="Times New Roman" w:hAnsi="Times New Roman" w:cs="Times New Roman"/>
          <w:bCs/>
          <w:i/>
        </w:rPr>
        <w:t xml:space="preserve"> </w:t>
      </w:r>
      <w:r>
        <w:rPr>
          <w:rFonts w:ascii="Times New Roman" w:hAnsi="Times New Roman" w:cs="Times New Roman"/>
          <w:bCs/>
        </w:rPr>
        <w:t>because both instruments included declarations made pursuant to other provisions in the SRC Act that are not exempt from sunsetting.</w:t>
      </w:r>
    </w:p>
    <w:p w14:paraId="32538548" w14:textId="77777777" w:rsidR="0092336E" w:rsidRDefault="0092336E" w:rsidP="0092336E">
      <w:pPr>
        <w:spacing w:line="240" w:lineRule="auto"/>
        <w:rPr>
          <w:rFonts w:ascii="Times New Roman" w:hAnsi="Times New Roman" w:cs="Times New Roman"/>
          <w:bCs/>
        </w:rPr>
      </w:pPr>
      <w:r>
        <w:rPr>
          <w:rFonts w:ascii="Times New Roman" w:hAnsi="Times New Roman" w:cs="Times New Roman"/>
          <w:bCs/>
        </w:rPr>
        <w:t>For the avoidance of doubt, and to ensure that there is no gap in coverage under the SRC Act for persons who assist in the running of the Australian War Memorial and the Great Barrier Reef Marine Park Authority, the declarations are remade in this instrument.</w:t>
      </w:r>
    </w:p>
    <w:p w14:paraId="6812DAA0" w14:textId="3FBAA04F" w:rsidR="00E2522B" w:rsidRPr="00C04ACC" w:rsidRDefault="00E2522B" w:rsidP="0092336E">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Human rights implications</w:t>
      </w:r>
    </w:p>
    <w:p w14:paraId="73539C88" w14:textId="5ACB323B" w:rsidR="007A7B75" w:rsidRPr="00770082" w:rsidRDefault="00284724" w:rsidP="00770082">
      <w:pPr>
        <w:spacing w:line="240" w:lineRule="auto"/>
        <w:rPr>
          <w:rFonts w:ascii="Times New Roman" w:hAnsi="Times New Roman" w:cs="Times New Roman"/>
        </w:rPr>
      </w:pPr>
      <w:r w:rsidRPr="00284724">
        <w:rPr>
          <w:rFonts w:ascii="Times New Roman" w:hAnsi="Times New Roman" w:cs="Times New Roman"/>
        </w:rPr>
        <w:t>The instrument</w:t>
      </w:r>
      <w:r w:rsidR="00635E28">
        <w:rPr>
          <w:rFonts w:ascii="Times New Roman" w:hAnsi="Times New Roman" w:cs="Times New Roman"/>
        </w:rPr>
        <w:t xml:space="preserve"> </w:t>
      </w:r>
      <w:r w:rsidR="008878D8">
        <w:rPr>
          <w:rFonts w:ascii="Times New Roman" w:hAnsi="Times New Roman" w:cs="Times New Roman"/>
        </w:rPr>
        <w:t xml:space="preserve">remakes and thereby </w:t>
      </w:r>
      <w:r w:rsidR="00904729">
        <w:rPr>
          <w:rFonts w:ascii="Times New Roman" w:hAnsi="Times New Roman" w:cs="Times New Roman"/>
        </w:rPr>
        <w:t>preserves</w:t>
      </w:r>
      <w:r w:rsidR="007A7B75" w:rsidRPr="007A7B75">
        <w:rPr>
          <w:rFonts w:ascii="Times New Roman" w:hAnsi="Times New Roman" w:cs="Times New Roman"/>
        </w:rPr>
        <w:t xml:space="preserve"> </w:t>
      </w:r>
      <w:r w:rsidR="007A7B75">
        <w:rPr>
          <w:rFonts w:ascii="Times New Roman" w:hAnsi="Times New Roman" w:cs="Times New Roman"/>
        </w:rPr>
        <w:t>declarations previou</w:t>
      </w:r>
      <w:r w:rsidR="008878D8">
        <w:rPr>
          <w:rFonts w:ascii="Times New Roman" w:hAnsi="Times New Roman" w:cs="Times New Roman"/>
        </w:rPr>
        <w:t>sly made pursuant to subsection </w:t>
      </w:r>
      <w:r w:rsidR="007A7B75">
        <w:rPr>
          <w:rFonts w:ascii="Times New Roman" w:hAnsi="Times New Roman" w:cs="Times New Roman"/>
        </w:rPr>
        <w:t xml:space="preserve">5(6) of the </w:t>
      </w:r>
      <w:r w:rsidR="00770082">
        <w:rPr>
          <w:rFonts w:ascii="Times New Roman" w:hAnsi="Times New Roman" w:cs="Times New Roman"/>
        </w:rPr>
        <w:t xml:space="preserve">SRC </w:t>
      </w:r>
      <w:r w:rsidR="007A7B75">
        <w:rPr>
          <w:rFonts w:ascii="Times New Roman" w:hAnsi="Times New Roman" w:cs="Times New Roman"/>
        </w:rPr>
        <w:t>Act</w:t>
      </w:r>
      <w:r w:rsidR="00904729">
        <w:rPr>
          <w:rFonts w:ascii="Times New Roman" w:hAnsi="Times New Roman" w:cs="Times New Roman"/>
        </w:rPr>
        <w:t xml:space="preserve"> </w:t>
      </w:r>
      <w:r w:rsidR="008878D8">
        <w:rPr>
          <w:rFonts w:ascii="Times New Roman" w:hAnsi="Times New Roman" w:cs="Times New Roman"/>
        </w:rPr>
        <w:t xml:space="preserve">to ensure </w:t>
      </w:r>
      <w:r w:rsidR="00EB2882">
        <w:rPr>
          <w:rFonts w:ascii="Times New Roman" w:hAnsi="Times New Roman" w:cs="Times New Roman"/>
        </w:rPr>
        <w:t>t</w:t>
      </w:r>
      <w:r w:rsidR="00E60542">
        <w:rPr>
          <w:rFonts w:ascii="Times New Roman" w:hAnsi="Times New Roman" w:cs="Times New Roman"/>
        </w:rPr>
        <w:t>hat t</w:t>
      </w:r>
      <w:r w:rsidR="00EB2882">
        <w:rPr>
          <w:rFonts w:ascii="Times New Roman" w:hAnsi="Times New Roman" w:cs="Times New Roman"/>
        </w:rPr>
        <w:t xml:space="preserve">he declarations </w:t>
      </w:r>
      <w:r w:rsidR="008878D8">
        <w:rPr>
          <w:rFonts w:ascii="Times New Roman" w:hAnsi="Times New Roman" w:cs="Times New Roman"/>
        </w:rPr>
        <w:t xml:space="preserve">are not </w:t>
      </w:r>
      <w:r w:rsidR="0003610E">
        <w:rPr>
          <w:rFonts w:ascii="Times New Roman" w:hAnsi="Times New Roman" w:cs="Times New Roman"/>
        </w:rPr>
        <w:t>automatically</w:t>
      </w:r>
      <w:r w:rsidR="00EB2882">
        <w:rPr>
          <w:rFonts w:ascii="Times New Roman" w:hAnsi="Times New Roman" w:cs="Times New Roman"/>
        </w:rPr>
        <w:t xml:space="preserve"> repealed pursuant to the sunsetting provisions of </w:t>
      </w:r>
      <w:r w:rsidR="000376D9">
        <w:rPr>
          <w:rFonts w:ascii="Times New Roman" w:eastAsia="Calibri" w:hAnsi="Times New Roman" w:cs="Times New Roman"/>
        </w:rPr>
        <w:t>the</w:t>
      </w:r>
      <w:r w:rsidR="00610E46">
        <w:rPr>
          <w:rFonts w:ascii="Times New Roman" w:eastAsia="Calibri" w:hAnsi="Times New Roman" w:cs="Times New Roman"/>
        </w:rPr>
        <w:t xml:space="preserve"> </w:t>
      </w:r>
      <w:r w:rsidR="00610E46" w:rsidRPr="0025133B">
        <w:rPr>
          <w:rFonts w:ascii="Times New Roman" w:hAnsi="Times New Roman" w:cs="Times New Roman"/>
          <w:i/>
          <w:color w:val="000000"/>
        </w:rPr>
        <w:t>Legislation Act 2003</w:t>
      </w:r>
      <w:r w:rsidR="003F0C25">
        <w:rPr>
          <w:rFonts w:ascii="Times New Roman" w:hAnsi="Times New Roman" w:cs="Times New Roman"/>
          <w:color w:val="000000"/>
        </w:rPr>
        <w:t>.</w:t>
      </w:r>
      <w:r w:rsidR="008878D8">
        <w:rPr>
          <w:rFonts w:ascii="Times New Roman" w:hAnsi="Times New Roman" w:cs="Times New Roman"/>
          <w:color w:val="000000"/>
        </w:rPr>
        <w:t xml:space="preserve"> </w:t>
      </w:r>
      <w:r w:rsidR="0092336E">
        <w:rPr>
          <w:rFonts w:ascii="Times New Roman" w:hAnsi="Times New Roman" w:cs="Times New Roman"/>
          <w:color w:val="000000"/>
        </w:rPr>
        <w:t>This</w:t>
      </w:r>
      <w:r w:rsidR="008878D8">
        <w:rPr>
          <w:rFonts w:ascii="Times New Roman" w:hAnsi="Times New Roman" w:cs="Times New Roman"/>
          <w:color w:val="000000"/>
        </w:rPr>
        <w:t xml:space="preserve"> instrument </w:t>
      </w:r>
      <w:r w:rsidR="008878D8">
        <w:rPr>
          <w:rFonts w:ascii="Times New Roman" w:hAnsi="Times New Roman" w:cs="Times New Roman"/>
        </w:rPr>
        <w:t>is therefore machinery in nature and</w:t>
      </w:r>
      <w:r w:rsidR="008878D8" w:rsidRPr="00284724">
        <w:rPr>
          <w:rFonts w:ascii="Times New Roman" w:hAnsi="Times New Roman" w:cs="Times New Roman"/>
        </w:rPr>
        <w:t xml:space="preserve"> does not engage any of the applicable rights or freedoms.</w:t>
      </w:r>
    </w:p>
    <w:p w14:paraId="2DB17FAD" w14:textId="343CF0BF" w:rsidR="00E2522B" w:rsidRPr="00C04ACC" w:rsidRDefault="00E2522B" w:rsidP="00B71DED">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Conclusion</w:t>
      </w:r>
    </w:p>
    <w:p w14:paraId="0D7BD4B6" w14:textId="28CE1325" w:rsidR="00E2522B" w:rsidRPr="003F0C25" w:rsidRDefault="00A65D43" w:rsidP="009D23C6">
      <w:pPr>
        <w:spacing w:after="220" w:line="240" w:lineRule="auto"/>
        <w:rPr>
          <w:rFonts w:ascii="Times New Roman" w:hAnsi="Times New Roman" w:cs="Times New Roman"/>
        </w:rPr>
      </w:pPr>
      <w:r w:rsidRPr="003F0C25">
        <w:rPr>
          <w:rFonts w:ascii="Times New Roman" w:hAnsi="Times New Roman" w:cs="Times New Roman"/>
        </w:rPr>
        <w:t>This legislative instrument</w:t>
      </w:r>
      <w:r w:rsidR="00E2522B" w:rsidRPr="003F0C25">
        <w:rPr>
          <w:rFonts w:ascii="Times New Roman" w:hAnsi="Times New Roman" w:cs="Times New Roman"/>
        </w:rPr>
        <w:t xml:space="preserve"> is compatible with human rights</w:t>
      </w:r>
      <w:r w:rsidR="003F0C25" w:rsidRPr="003F0C25">
        <w:rPr>
          <w:rFonts w:ascii="Times New Roman" w:hAnsi="Times New Roman" w:cs="Times New Roman"/>
        </w:rPr>
        <w:t xml:space="preserve"> because it does not raise any human rights issues.</w:t>
      </w:r>
    </w:p>
    <w:p w14:paraId="629BFAD2" w14:textId="6280FA44" w:rsidR="00E2522B" w:rsidRPr="00C04ACC" w:rsidRDefault="00AA56B9" w:rsidP="00F0469F">
      <w:pPr>
        <w:spacing w:after="220" w:line="240" w:lineRule="auto"/>
        <w:jc w:val="center"/>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T</w:t>
      </w:r>
      <w:r w:rsidR="00E2522B" w:rsidRPr="00C04ACC">
        <w:rPr>
          <w:rFonts w:ascii="Times New Roman" w:eastAsia="Times New Roman" w:hAnsi="Times New Roman" w:cs="Times New Roman"/>
          <w:b/>
          <w:bCs/>
          <w:lang w:eastAsia="en-AU"/>
        </w:rPr>
        <w:t xml:space="preserve">he Hon </w:t>
      </w:r>
      <w:r w:rsidR="0067116E">
        <w:rPr>
          <w:rFonts w:ascii="Times New Roman" w:eastAsia="Times New Roman" w:hAnsi="Times New Roman" w:cs="Times New Roman"/>
          <w:b/>
          <w:bCs/>
          <w:lang w:eastAsia="en-AU"/>
        </w:rPr>
        <w:t>Kelly O’Dwyer</w:t>
      </w:r>
    </w:p>
    <w:p w14:paraId="0BFC686E" w14:textId="773A8641" w:rsidR="00C36E8F" w:rsidRPr="00C04ACC" w:rsidRDefault="00AA56B9" w:rsidP="00475DDA">
      <w:pPr>
        <w:spacing w:after="220" w:line="240" w:lineRule="auto"/>
        <w:jc w:val="center"/>
        <w:rPr>
          <w:rFonts w:ascii="Times New Roman" w:hAnsi="Times New Roman" w:cs="Times New Roman"/>
        </w:rPr>
      </w:pPr>
      <w:r w:rsidRPr="00C04ACC">
        <w:rPr>
          <w:rFonts w:ascii="Times New Roman" w:eastAsia="Times New Roman" w:hAnsi="Times New Roman" w:cs="Times New Roman"/>
          <w:bCs/>
          <w:lang w:eastAsia="en-AU"/>
        </w:rPr>
        <w:t xml:space="preserve">Minister </w:t>
      </w:r>
      <w:r w:rsidRPr="00C04ACC">
        <w:rPr>
          <w:rFonts w:ascii="Times New Roman" w:hAnsi="Times New Roman" w:cs="Times New Roman"/>
          <w:lang w:val="en"/>
        </w:rPr>
        <w:t xml:space="preserve">for </w:t>
      </w:r>
      <w:r w:rsidR="00770082">
        <w:rPr>
          <w:rFonts w:ascii="Times New Roman" w:hAnsi="Times New Roman" w:cs="Times New Roman"/>
          <w:lang w:val="en"/>
        </w:rPr>
        <w:t xml:space="preserve">Jobs and </w:t>
      </w:r>
      <w:r w:rsidR="0067116E">
        <w:rPr>
          <w:rFonts w:ascii="Times New Roman" w:hAnsi="Times New Roman" w:cs="Times New Roman"/>
          <w:lang w:val="en"/>
        </w:rPr>
        <w:t xml:space="preserve">Industrial Relations </w:t>
      </w:r>
    </w:p>
    <w:sectPr w:rsidR="00C36E8F" w:rsidRPr="00C04ACC" w:rsidSect="00E73EF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8206" w14:textId="77777777" w:rsidR="00032460" w:rsidRDefault="00032460" w:rsidP="002F5E5A">
      <w:pPr>
        <w:spacing w:after="0" w:line="240" w:lineRule="auto"/>
      </w:pPr>
      <w:r>
        <w:separator/>
      </w:r>
    </w:p>
  </w:endnote>
  <w:endnote w:type="continuationSeparator" w:id="0">
    <w:p w14:paraId="1E55AE35" w14:textId="77777777" w:rsidR="00032460" w:rsidRDefault="00032460"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751126"/>
      <w:docPartObj>
        <w:docPartGallery w:val="Page Numbers (Bottom of Page)"/>
        <w:docPartUnique/>
      </w:docPartObj>
    </w:sdtPr>
    <w:sdtEndPr>
      <w:rPr>
        <w:rFonts w:ascii="Times New Roman" w:hAnsi="Times New Roman" w:cs="Times New Roman"/>
        <w:noProof/>
      </w:rPr>
    </w:sdtEndPr>
    <w:sdtContent>
      <w:p w14:paraId="6CCF5E75" w14:textId="65084F88" w:rsidR="00AE40AC" w:rsidRPr="006B03DD" w:rsidRDefault="00AE40AC">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AC1439">
          <w:rPr>
            <w:rFonts w:ascii="Times New Roman" w:hAnsi="Times New Roman" w:cs="Times New Roman"/>
            <w:noProof/>
          </w:rPr>
          <w:t>1</w:t>
        </w:r>
        <w:r w:rsidRPr="006B03DD">
          <w:rPr>
            <w:rFonts w:ascii="Times New Roman" w:hAnsi="Times New Roman" w:cs="Times New Roman"/>
            <w:noProof/>
          </w:rPr>
          <w:fldChar w:fldCharType="end"/>
        </w:r>
      </w:p>
    </w:sdtContent>
  </w:sdt>
  <w:p w14:paraId="6A679ED2" w14:textId="77777777" w:rsidR="00AE40AC" w:rsidRDefault="00AE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B740F" w14:textId="77777777" w:rsidR="00032460" w:rsidRDefault="00032460" w:rsidP="002F5E5A">
      <w:pPr>
        <w:spacing w:after="0" w:line="240" w:lineRule="auto"/>
      </w:pPr>
      <w:r>
        <w:separator/>
      </w:r>
    </w:p>
  </w:footnote>
  <w:footnote w:type="continuationSeparator" w:id="0">
    <w:p w14:paraId="199937D6" w14:textId="77777777" w:rsidR="00032460" w:rsidRDefault="00032460" w:rsidP="002F5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BB58A4"/>
    <w:multiLevelType w:val="hybridMultilevel"/>
    <w:tmpl w:val="A0520A02"/>
    <w:lvl w:ilvl="0" w:tplc="25C0BB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AA03D2"/>
    <w:multiLevelType w:val="hybridMultilevel"/>
    <w:tmpl w:val="A0520A02"/>
    <w:lvl w:ilvl="0" w:tplc="25C0BB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60955EF"/>
    <w:multiLevelType w:val="hybridMultilevel"/>
    <w:tmpl w:val="7834FB9A"/>
    <w:lvl w:ilvl="0" w:tplc="747AEB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A157B5"/>
    <w:multiLevelType w:val="hybridMultilevel"/>
    <w:tmpl w:val="E9366DD8"/>
    <w:lvl w:ilvl="0" w:tplc="859AC6EA">
      <w:start w:val="1"/>
      <w:numFmt w:val="lowerRoman"/>
      <w:lvlText w:val="(%1)"/>
      <w:lvlJc w:val="left"/>
      <w:pPr>
        <w:ind w:left="720" w:hanging="360"/>
      </w:pPr>
      <w:rPr>
        <w:rFonts w:ascii="Times New Roman" w:eastAsiaTheme="minorHAns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B3AE3"/>
    <w:multiLevelType w:val="hybridMultilevel"/>
    <w:tmpl w:val="92600FDE"/>
    <w:lvl w:ilvl="0" w:tplc="EEEA394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67318CA"/>
    <w:multiLevelType w:val="hybridMultilevel"/>
    <w:tmpl w:val="A0520A02"/>
    <w:lvl w:ilvl="0" w:tplc="25C0BB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8E796D"/>
    <w:multiLevelType w:val="hybridMultilevel"/>
    <w:tmpl w:val="92600FDE"/>
    <w:lvl w:ilvl="0" w:tplc="EEEA39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C06B92"/>
    <w:multiLevelType w:val="hybridMultilevel"/>
    <w:tmpl w:val="90348680"/>
    <w:lvl w:ilvl="0" w:tplc="DAFC74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076D74"/>
    <w:multiLevelType w:val="hybridMultilevel"/>
    <w:tmpl w:val="A0520A02"/>
    <w:lvl w:ilvl="0" w:tplc="25C0BBF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21D2075"/>
    <w:multiLevelType w:val="hybridMultilevel"/>
    <w:tmpl w:val="805813D8"/>
    <w:lvl w:ilvl="0" w:tplc="C74C33E6">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585AF1"/>
    <w:multiLevelType w:val="hybridMultilevel"/>
    <w:tmpl w:val="A22E59D8"/>
    <w:lvl w:ilvl="0" w:tplc="7BC83D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271DCB"/>
    <w:multiLevelType w:val="hybridMultilevel"/>
    <w:tmpl w:val="9EE2BBFA"/>
    <w:lvl w:ilvl="0" w:tplc="210A04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1" w15:restartNumberingAfterBreak="0">
    <w:nsid w:val="56734428"/>
    <w:multiLevelType w:val="hybridMultilevel"/>
    <w:tmpl w:val="92600FDE"/>
    <w:lvl w:ilvl="0" w:tplc="EEEA394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6BA60B4"/>
    <w:multiLevelType w:val="hybridMultilevel"/>
    <w:tmpl w:val="A22E59D8"/>
    <w:lvl w:ilvl="0" w:tplc="7BC83D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5A0F6C"/>
    <w:multiLevelType w:val="hybridMultilevel"/>
    <w:tmpl w:val="FF82DA34"/>
    <w:lvl w:ilvl="0" w:tplc="80D85E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17168C"/>
    <w:multiLevelType w:val="hybridMultilevel"/>
    <w:tmpl w:val="000C05AC"/>
    <w:lvl w:ilvl="0" w:tplc="3F4830A8">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71D6ED2"/>
    <w:multiLevelType w:val="hybridMultilevel"/>
    <w:tmpl w:val="FF82DA34"/>
    <w:lvl w:ilvl="0" w:tplc="80D85E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1925AC"/>
    <w:multiLevelType w:val="hybridMultilevel"/>
    <w:tmpl w:val="C2E2F3DE"/>
    <w:lvl w:ilvl="0" w:tplc="5A3873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8703B0"/>
    <w:multiLevelType w:val="hybridMultilevel"/>
    <w:tmpl w:val="A0520A02"/>
    <w:lvl w:ilvl="0" w:tplc="25C0BB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0"/>
  </w:num>
  <w:num w:numId="7">
    <w:abstractNumId w:val="4"/>
  </w:num>
  <w:num w:numId="8">
    <w:abstractNumId w:val="8"/>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9"/>
  </w:num>
  <w:num w:numId="14">
    <w:abstractNumId w:val="15"/>
  </w:num>
  <w:num w:numId="15">
    <w:abstractNumId w:val="27"/>
  </w:num>
  <w:num w:numId="16">
    <w:abstractNumId w:val="28"/>
  </w:num>
  <w:num w:numId="17">
    <w:abstractNumId w:val="18"/>
  </w:num>
  <w:num w:numId="18">
    <w:abstractNumId w:val="14"/>
  </w:num>
  <w:num w:numId="19">
    <w:abstractNumId w:val="24"/>
  </w:num>
  <w:num w:numId="20">
    <w:abstractNumId w:val="7"/>
  </w:num>
  <w:num w:numId="21">
    <w:abstractNumId w:val="25"/>
  </w:num>
  <w:num w:numId="22">
    <w:abstractNumId w:val="17"/>
  </w:num>
  <w:num w:numId="23">
    <w:abstractNumId w:val="22"/>
  </w:num>
  <w:num w:numId="24">
    <w:abstractNumId w:val="16"/>
  </w:num>
  <w:num w:numId="25">
    <w:abstractNumId w:val="12"/>
  </w:num>
  <w:num w:numId="26">
    <w:abstractNumId w:val="26"/>
  </w:num>
  <w:num w:numId="27">
    <w:abstractNumId w:val="21"/>
  </w:num>
  <w:num w:numId="28">
    <w:abstractNumId w:val="1"/>
  </w:num>
  <w:num w:numId="29">
    <w:abstractNumId w:val="2"/>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FC"/>
    <w:rsid w:val="0000202F"/>
    <w:rsid w:val="000023B3"/>
    <w:rsid w:val="000044AB"/>
    <w:rsid w:val="00005836"/>
    <w:rsid w:val="00012FEC"/>
    <w:rsid w:val="00013A66"/>
    <w:rsid w:val="00015276"/>
    <w:rsid w:val="0001701E"/>
    <w:rsid w:val="00022B3B"/>
    <w:rsid w:val="00025FAA"/>
    <w:rsid w:val="00032460"/>
    <w:rsid w:val="000354FE"/>
    <w:rsid w:val="0003610E"/>
    <w:rsid w:val="000376D9"/>
    <w:rsid w:val="00040E92"/>
    <w:rsid w:val="0004722F"/>
    <w:rsid w:val="000512E9"/>
    <w:rsid w:val="00053695"/>
    <w:rsid w:val="00062B89"/>
    <w:rsid w:val="00067997"/>
    <w:rsid w:val="0007043B"/>
    <w:rsid w:val="000709B9"/>
    <w:rsid w:val="0007758A"/>
    <w:rsid w:val="00080876"/>
    <w:rsid w:val="00080D64"/>
    <w:rsid w:val="00081941"/>
    <w:rsid w:val="00083BE9"/>
    <w:rsid w:val="00084025"/>
    <w:rsid w:val="00085E69"/>
    <w:rsid w:val="00090306"/>
    <w:rsid w:val="00092604"/>
    <w:rsid w:val="00093625"/>
    <w:rsid w:val="00093D7F"/>
    <w:rsid w:val="00095B9B"/>
    <w:rsid w:val="000A3A1E"/>
    <w:rsid w:val="000A614F"/>
    <w:rsid w:val="000A74C1"/>
    <w:rsid w:val="000B096B"/>
    <w:rsid w:val="000B0D2D"/>
    <w:rsid w:val="000B2E36"/>
    <w:rsid w:val="000B47DD"/>
    <w:rsid w:val="000B49B8"/>
    <w:rsid w:val="000B6924"/>
    <w:rsid w:val="000C1092"/>
    <w:rsid w:val="000C4B8D"/>
    <w:rsid w:val="000D00C0"/>
    <w:rsid w:val="000D0FA3"/>
    <w:rsid w:val="000D286E"/>
    <w:rsid w:val="000D5EE3"/>
    <w:rsid w:val="000D5F4D"/>
    <w:rsid w:val="000E0166"/>
    <w:rsid w:val="000E233F"/>
    <w:rsid w:val="000E4F31"/>
    <w:rsid w:val="000F430C"/>
    <w:rsid w:val="000F4A0D"/>
    <w:rsid w:val="000F7A1F"/>
    <w:rsid w:val="00105466"/>
    <w:rsid w:val="00105612"/>
    <w:rsid w:val="001079BE"/>
    <w:rsid w:val="00110419"/>
    <w:rsid w:val="00111B8D"/>
    <w:rsid w:val="001163FF"/>
    <w:rsid w:val="0012237D"/>
    <w:rsid w:val="001223F2"/>
    <w:rsid w:val="0013445B"/>
    <w:rsid w:val="00134AB7"/>
    <w:rsid w:val="00135E16"/>
    <w:rsid w:val="001377C5"/>
    <w:rsid w:val="00140E4B"/>
    <w:rsid w:val="0014257C"/>
    <w:rsid w:val="00150191"/>
    <w:rsid w:val="00150469"/>
    <w:rsid w:val="001520E9"/>
    <w:rsid w:val="001524DB"/>
    <w:rsid w:val="0015326D"/>
    <w:rsid w:val="001541E2"/>
    <w:rsid w:val="00160589"/>
    <w:rsid w:val="00162836"/>
    <w:rsid w:val="001658A5"/>
    <w:rsid w:val="00171094"/>
    <w:rsid w:val="00173065"/>
    <w:rsid w:val="001741E2"/>
    <w:rsid w:val="00184BEF"/>
    <w:rsid w:val="00184CDF"/>
    <w:rsid w:val="00185414"/>
    <w:rsid w:val="00187ACC"/>
    <w:rsid w:val="001919AE"/>
    <w:rsid w:val="00192985"/>
    <w:rsid w:val="00192AA7"/>
    <w:rsid w:val="00194826"/>
    <w:rsid w:val="001957C8"/>
    <w:rsid w:val="001A004B"/>
    <w:rsid w:val="001B099C"/>
    <w:rsid w:val="001B74CE"/>
    <w:rsid w:val="001C56C1"/>
    <w:rsid w:val="001C590A"/>
    <w:rsid w:val="001C6880"/>
    <w:rsid w:val="001C7725"/>
    <w:rsid w:val="001D1B04"/>
    <w:rsid w:val="001D2385"/>
    <w:rsid w:val="001D381E"/>
    <w:rsid w:val="001D57A3"/>
    <w:rsid w:val="001D70BF"/>
    <w:rsid w:val="001E536B"/>
    <w:rsid w:val="001F0C94"/>
    <w:rsid w:val="001F3C5E"/>
    <w:rsid w:val="001F3D56"/>
    <w:rsid w:val="001F70FB"/>
    <w:rsid w:val="002014C5"/>
    <w:rsid w:val="00203035"/>
    <w:rsid w:val="00211841"/>
    <w:rsid w:val="00221EB7"/>
    <w:rsid w:val="00237288"/>
    <w:rsid w:val="002448AC"/>
    <w:rsid w:val="002465B6"/>
    <w:rsid w:val="0025133B"/>
    <w:rsid w:val="00251A52"/>
    <w:rsid w:val="002617AD"/>
    <w:rsid w:val="00261EA3"/>
    <w:rsid w:val="00264441"/>
    <w:rsid w:val="002649F8"/>
    <w:rsid w:val="00264B46"/>
    <w:rsid w:val="002652C6"/>
    <w:rsid w:val="00265B18"/>
    <w:rsid w:val="002704CE"/>
    <w:rsid w:val="00272741"/>
    <w:rsid w:val="002740CE"/>
    <w:rsid w:val="002748DD"/>
    <w:rsid w:val="00281247"/>
    <w:rsid w:val="0028380E"/>
    <w:rsid w:val="00284724"/>
    <w:rsid w:val="00285EE5"/>
    <w:rsid w:val="002904D3"/>
    <w:rsid w:val="002912AC"/>
    <w:rsid w:val="00294D8A"/>
    <w:rsid w:val="00295A3D"/>
    <w:rsid w:val="002A16A1"/>
    <w:rsid w:val="002B04FD"/>
    <w:rsid w:val="002B127A"/>
    <w:rsid w:val="002B1E30"/>
    <w:rsid w:val="002B212F"/>
    <w:rsid w:val="002B22DD"/>
    <w:rsid w:val="002B30D7"/>
    <w:rsid w:val="002B3B01"/>
    <w:rsid w:val="002B4142"/>
    <w:rsid w:val="002B6980"/>
    <w:rsid w:val="002B72C4"/>
    <w:rsid w:val="002B7D27"/>
    <w:rsid w:val="002B7E8F"/>
    <w:rsid w:val="002C3760"/>
    <w:rsid w:val="002D2D64"/>
    <w:rsid w:val="002E4B7A"/>
    <w:rsid w:val="002F2069"/>
    <w:rsid w:val="002F28DA"/>
    <w:rsid w:val="002F36E5"/>
    <w:rsid w:val="002F5E5A"/>
    <w:rsid w:val="002F642C"/>
    <w:rsid w:val="002F76D5"/>
    <w:rsid w:val="00300378"/>
    <w:rsid w:val="003005CD"/>
    <w:rsid w:val="003008AA"/>
    <w:rsid w:val="0030092E"/>
    <w:rsid w:val="00301619"/>
    <w:rsid w:val="00302E4F"/>
    <w:rsid w:val="0030364E"/>
    <w:rsid w:val="00307C89"/>
    <w:rsid w:val="0031170C"/>
    <w:rsid w:val="00315006"/>
    <w:rsid w:val="00317B80"/>
    <w:rsid w:val="003214FD"/>
    <w:rsid w:val="00321FBB"/>
    <w:rsid w:val="00324BB9"/>
    <w:rsid w:val="003253AC"/>
    <w:rsid w:val="00326B4F"/>
    <w:rsid w:val="00332A11"/>
    <w:rsid w:val="00333480"/>
    <w:rsid w:val="0033502A"/>
    <w:rsid w:val="0033638A"/>
    <w:rsid w:val="003374CD"/>
    <w:rsid w:val="00337D3B"/>
    <w:rsid w:val="003411CF"/>
    <w:rsid w:val="00341D12"/>
    <w:rsid w:val="00341FCF"/>
    <w:rsid w:val="00342C0A"/>
    <w:rsid w:val="00346CCE"/>
    <w:rsid w:val="00352499"/>
    <w:rsid w:val="003560F8"/>
    <w:rsid w:val="00360C0A"/>
    <w:rsid w:val="00361826"/>
    <w:rsid w:val="0037098B"/>
    <w:rsid w:val="00370A26"/>
    <w:rsid w:val="00370FF2"/>
    <w:rsid w:val="00374E1C"/>
    <w:rsid w:val="003766FE"/>
    <w:rsid w:val="00377045"/>
    <w:rsid w:val="0038244B"/>
    <w:rsid w:val="00386D00"/>
    <w:rsid w:val="00393BF9"/>
    <w:rsid w:val="0039557E"/>
    <w:rsid w:val="003973B4"/>
    <w:rsid w:val="00397B51"/>
    <w:rsid w:val="003A04AB"/>
    <w:rsid w:val="003A11BC"/>
    <w:rsid w:val="003A2255"/>
    <w:rsid w:val="003A397A"/>
    <w:rsid w:val="003A79BC"/>
    <w:rsid w:val="003B0001"/>
    <w:rsid w:val="003C033D"/>
    <w:rsid w:val="003C2EC7"/>
    <w:rsid w:val="003C4EDD"/>
    <w:rsid w:val="003D1C54"/>
    <w:rsid w:val="003D55D0"/>
    <w:rsid w:val="003D6C6E"/>
    <w:rsid w:val="003F0C25"/>
    <w:rsid w:val="003F0E01"/>
    <w:rsid w:val="003F2FB1"/>
    <w:rsid w:val="003F5066"/>
    <w:rsid w:val="003F5A5D"/>
    <w:rsid w:val="0040391E"/>
    <w:rsid w:val="00406A72"/>
    <w:rsid w:val="00406D7B"/>
    <w:rsid w:val="00406F85"/>
    <w:rsid w:val="004119F0"/>
    <w:rsid w:val="004122A4"/>
    <w:rsid w:val="004133BE"/>
    <w:rsid w:val="00413F57"/>
    <w:rsid w:val="00414F23"/>
    <w:rsid w:val="004166C2"/>
    <w:rsid w:val="00425A05"/>
    <w:rsid w:val="00426110"/>
    <w:rsid w:val="004269AD"/>
    <w:rsid w:val="0043263A"/>
    <w:rsid w:val="00433596"/>
    <w:rsid w:val="004374B5"/>
    <w:rsid w:val="00440B98"/>
    <w:rsid w:val="00446218"/>
    <w:rsid w:val="00447C7F"/>
    <w:rsid w:val="00455C0D"/>
    <w:rsid w:val="0045626F"/>
    <w:rsid w:val="00461517"/>
    <w:rsid w:val="00461C07"/>
    <w:rsid w:val="00463C10"/>
    <w:rsid w:val="00464C48"/>
    <w:rsid w:val="004652CB"/>
    <w:rsid w:val="00466153"/>
    <w:rsid w:val="00467A29"/>
    <w:rsid w:val="0047143E"/>
    <w:rsid w:val="00473406"/>
    <w:rsid w:val="00475DDA"/>
    <w:rsid w:val="00476A9E"/>
    <w:rsid w:val="00477352"/>
    <w:rsid w:val="00477B04"/>
    <w:rsid w:val="004801A4"/>
    <w:rsid w:val="00480CBB"/>
    <w:rsid w:val="00481966"/>
    <w:rsid w:val="004848A2"/>
    <w:rsid w:val="00485099"/>
    <w:rsid w:val="00485D8E"/>
    <w:rsid w:val="004928EC"/>
    <w:rsid w:val="004A61B2"/>
    <w:rsid w:val="004A62F5"/>
    <w:rsid w:val="004A768C"/>
    <w:rsid w:val="004A772F"/>
    <w:rsid w:val="004B1E99"/>
    <w:rsid w:val="004B3A25"/>
    <w:rsid w:val="004B580A"/>
    <w:rsid w:val="004C111F"/>
    <w:rsid w:val="004C247A"/>
    <w:rsid w:val="004C7DEC"/>
    <w:rsid w:val="004D1320"/>
    <w:rsid w:val="004D2A44"/>
    <w:rsid w:val="004D359D"/>
    <w:rsid w:val="004D3BA4"/>
    <w:rsid w:val="004D4C37"/>
    <w:rsid w:val="004D50B5"/>
    <w:rsid w:val="004D5EB5"/>
    <w:rsid w:val="004D7E00"/>
    <w:rsid w:val="004E0016"/>
    <w:rsid w:val="004F0453"/>
    <w:rsid w:val="004F0815"/>
    <w:rsid w:val="004F0BE5"/>
    <w:rsid w:val="00503867"/>
    <w:rsid w:val="00505792"/>
    <w:rsid w:val="00512417"/>
    <w:rsid w:val="005126B8"/>
    <w:rsid w:val="005138AB"/>
    <w:rsid w:val="00515F15"/>
    <w:rsid w:val="005173B5"/>
    <w:rsid w:val="005213F4"/>
    <w:rsid w:val="00523C86"/>
    <w:rsid w:val="00535813"/>
    <w:rsid w:val="005408BD"/>
    <w:rsid w:val="00541178"/>
    <w:rsid w:val="00543D87"/>
    <w:rsid w:val="00557FB0"/>
    <w:rsid w:val="00560B86"/>
    <w:rsid w:val="005652DE"/>
    <w:rsid w:val="005672FE"/>
    <w:rsid w:val="005676C4"/>
    <w:rsid w:val="0057253C"/>
    <w:rsid w:val="005755EA"/>
    <w:rsid w:val="00582095"/>
    <w:rsid w:val="00583889"/>
    <w:rsid w:val="00585CAF"/>
    <w:rsid w:val="005914B7"/>
    <w:rsid w:val="005923A6"/>
    <w:rsid w:val="00592426"/>
    <w:rsid w:val="00593C72"/>
    <w:rsid w:val="005A1847"/>
    <w:rsid w:val="005A263A"/>
    <w:rsid w:val="005A3172"/>
    <w:rsid w:val="005A6497"/>
    <w:rsid w:val="005B1C30"/>
    <w:rsid w:val="005B66D3"/>
    <w:rsid w:val="005C0351"/>
    <w:rsid w:val="005C0938"/>
    <w:rsid w:val="005C5071"/>
    <w:rsid w:val="005C5730"/>
    <w:rsid w:val="005D173D"/>
    <w:rsid w:val="005D2757"/>
    <w:rsid w:val="005D48B7"/>
    <w:rsid w:val="005D5223"/>
    <w:rsid w:val="005D676B"/>
    <w:rsid w:val="005D7A5C"/>
    <w:rsid w:val="005E2BAB"/>
    <w:rsid w:val="005E5D35"/>
    <w:rsid w:val="005E7D69"/>
    <w:rsid w:val="005F1069"/>
    <w:rsid w:val="005F18BF"/>
    <w:rsid w:val="005F2976"/>
    <w:rsid w:val="005F3386"/>
    <w:rsid w:val="0060012E"/>
    <w:rsid w:val="00603317"/>
    <w:rsid w:val="00606DF2"/>
    <w:rsid w:val="00607894"/>
    <w:rsid w:val="00610BB3"/>
    <w:rsid w:val="00610E46"/>
    <w:rsid w:val="00612C03"/>
    <w:rsid w:val="00612C70"/>
    <w:rsid w:val="006151A0"/>
    <w:rsid w:val="00615AF0"/>
    <w:rsid w:val="00621A12"/>
    <w:rsid w:val="00623DC5"/>
    <w:rsid w:val="00623F9F"/>
    <w:rsid w:val="00627996"/>
    <w:rsid w:val="00630A3D"/>
    <w:rsid w:val="00630DDD"/>
    <w:rsid w:val="006347DB"/>
    <w:rsid w:val="00635E28"/>
    <w:rsid w:val="006452C0"/>
    <w:rsid w:val="00650937"/>
    <w:rsid w:val="006525C0"/>
    <w:rsid w:val="00652A94"/>
    <w:rsid w:val="006534A8"/>
    <w:rsid w:val="00654D1E"/>
    <w:rsid w:val="0066049E"/>
    <w:rsid w:val="0066366C"/>
    <w:rsid w:val="00666C3B"/>
    <w:rsid w:val="00667397"/>
    <w:rsid w:val="0067116E"/>
    <w:rsid w:val="00674991"/>
    <w:rsid w:val="006749E6"/>
    <w:rsid w:val="00674ADE"/>
    <w:rsid w:val="00681C69"/>
    <w:rsid w:val="006835A9"/>
    <w:rsid w:val="00683C09"/>
    <w:rsid w:val="00684F75"/>
    <w:rsid w:val="0068554A"/>
    <w:rsid w:val="00686EE7"/>
    <w:rsid w:val="006878AA"/>
    <w:rsid w:val="006915D7"/>
    <w:rsid w:val="00692C87"/>
    <w:rsid w:val="00692F9B"/>
    <w:rsid w:val="00696D57"/>
    <w:rsid w:val="006977F7"/>
    <w:rsid w:val="006A1D37"/>
    <w:rsid w:val="006A3185"/>
    <w:rsid w:val="006A3346"/>
    <w:rsid w:val="006B03DD"/>
    <w:rsid w:val="006B61B2"/>
    <w:rsid w:val="006C1833"/>
    <w:rsid w:val="006C3EEA"/>
    <w:rsid w:val="006C4117"/>
    <w:rsid w:val="006D16C0"/>
    <w:rsid w:val="006D33C5"/>
    <w:rsid w:val="006D4DD0"/>
    <w:rsid w:val="006E335E"/>
    <w:rsid w:val="006E38CA"/>
    <w:rsid w:val="006E3CD1"/>
    <w:rsid w:val="006E6DA2"/>
    <w:rsid w:val="006E7737"/>
    <w:rsid w:val="006E7CC6"/>
    <w:rsid w:val="006F13F1"/>
    <w:rsid w:val="006F1C8D"/>
    <w:rsid w:val="006F66CB"/>
    <w:rsid w:val="006F6F4D"/>
    <w:rsid w:val="006F7DB6"/>
    <w:rsid w:val="00703865"/>
    <w:rsid w:val="00710747"/>
    <w:rsid w:val="00710B0A"/>
    <w:rsid w:val="007137AA"/>
    <w:rsid w:val="00713C8D"/>
    <w:rsid w:val="00714873"/>
    <w:rsid w:val="00715111"/>
    <w:rsid w:val="0072454B"/>
    <w:rsid w:val="007304C9"/>
    <w:rsid w:val="0073198C"/>
    <w:rsid w:val="00731F96"/>
    <w:rsid w:val="00735D55"/>
    <w:rsid w:val="00736535"/>
    <w:rsid w:val="007368C4"/>
    <w:rsid w:val="00737159"/>
    <w:rsid w:val="00737E8C"/>
    <w:rsid w:val="0074079D"/>
    <w:rsid w:val="007410CA"/>
    <w:rsid w:val="00746F97"/>
    <w:rsid w:val="00751362"/>
    <w:rsid w:val="00755902"/>
    <w:rsid w:val="00756A91"/>
    <w:rsid w:val="00761664"/>
    <w:rsid w:val="0076325D"/>
    <w:rsid w:val="007655B0"/>
    <w:rsid w:val="00765D63"/>
    <w:rsid w:val="00770082"/>
    <w:rsid w:val="00771B9E"/>
    <w:rsid w:val="00773819"/>
    <w:rsid w:val="007809A9"/>
    <w:rsid w:val="00782064"/>
    <w:rsid w:val="007830F2"/>
    <w:rsid w:val="007831AC"/>
    <w:rsid w:val="00783B85"/>
    <w:rsid w:val="0078528B"/>
    <w:rsid w:val="00787ECA"/>
    <w:rsid w:val="00790823"/>
    <w:rsid w:val="007919CB"/>
    <w:rsid w:val="00791E7D"/>
    <w:rsid w:val="007A260C"/>
    <w:rsid w:val="007A3CE5"/>
    <w:rsid w:val="007A4D7E"/>
    <w:rsid w:val="007A7B75"/>
    <w:rsid w:val="007B2CA6"/>
    <w:rsid w:val="007C097C"/>
    <w:rsid w:val="007C10BD"/>
    <w:rsid w:val="007C151D"/>
    <w:rsid w:val="007D0C09"/>
    <w:rsid w:val="007D2D3B"/>
    <w:rsid w:val="007D4946"/>
    <w:rsid w:val="007D743C"/>
    <w:rsid w:val="007D7660"/>
    <w:rsid w:val="007E3399"/>
    <w:rsid w:val="007E7D28"/>
    <w:rsid w:val="007F0FB0"/>
    <w:rsid w:val="007F10D3"/>
    <w:rsid w:val="007F32A7"/>
    <w:rsid w:val="007F5D03"/>
    <w:rsid w:val="007F74D0"/>
    <w:rsid w:val="00801983"/>
    <w:rsid w:val="008034D7"/>
    <w:rsid w:val="00804185"/>
    <w:rsid w:val="008069F6"/>
    <w:rsid w:val="008226AE"/>
    <w:rsid w:val="00831920"/>
    <w:rsid w:val="00832752"/>
    <w:rsid w:val="0083349A"/>
    <w:rsid w:val="00836BD5"/>
    <w:rsid w:val="008464BC"/>
    <w:rsid w:val="008518BE"/>
    <w:rsid w:val="00851DB0"/>
    <w:rsid w:val="008556D6"/>
    <w:rsid w:val="00865DF6"/>
    <w:rsid w:val="00870803"/>
    <w:rsid w:val="0087159F"/>
    <w:rsid w:val="00871C6F"/>
    <w:rsid w:val="00881BB0"/>
    <w:rsid w:val="008828F9"/>
    <w:rsid w:val="00883573"/>
    <w:rsid w:val="00883CDD"/>
    <w:rsid w:val="008878D8"/>
    <w:rsid w:val="00893A78"/>
    <w:rsid w:val="00893ED9"/>
    <w:rsid w:val="008956BA"/>
    <w:rsid w:val="008A0481"/>
    <w:rsid w:val="008A1923"/>
    <w:rsid w:val="008A45C3"/>
    <w:rsid w:val="008A559D"/>
    <w:rsid w:val="008A5CDB"/>
    <w:rsid w:val="008A6200"/>
    <w:rsid w:val="008B0AE3"/>
    <w:rsid w:val="008B7BC4"/>
    <w:rsid w:val="008C326F"/>
    <w:rsid w:val="008C3F02"/>
    <w:rsid w:val="008C4D53"/>
    <w:rsid w:val="008C57F8"/>
    <w:rsid w:val="008C5B6B"/>
    <w:rsid w:val="008D1265"/>
    <w:rsid w:val="008D68BC"/>
    <w:rsid w:val="008D75ED"/>
    <w:rsid w:val="008E0C2E"/>
    <w:rsid w:val="008E2498"/>
    <w:rsid w:val="008E3CA7"/>
    <w:rsid w:val="008E76DD"/>
    <w:rsid w:val="008E7DF7"/>
    <w:rsid w:val="008F020C"/>
    <w:rsid w:val="008F184D"/>
    <w:rsid w:val="008F3E13"/>
    <w:rsid w:val="008F5687"/>
    <w:rsid w:val="008F6F82"/>
    <w:rsid w:val="008F7DD8"/>
    <w:rsid w:val="00901439"/>
    <w:rsid w:val="0090372B"/>
    <w:rsid w:val="00904729"/>
    <w:rsid w:val="00904A92"/>
    <w:rsid w:val="00906817"/>
    <w:rsid w:val="00906B6C"/>
    <w:rsid w:val="00910097"/>
    <w:rsid w:val="00913672"/>
    <w:rsid w:val="00921560"/>
    <w:rsid w:val="0092336E"/>
    <w:rsid w:val="00924151"/>
    <w:rsid w:val="00927D27"/>
    <w:rsid w:val="009322B7"/>
    <w:rsid w:val="009331F6"/>
    <w:rsid w:val="00933A51"/>
    <w:rsid w:val="00934DF0"/>
    <w:rsid w:val="00936651"/>
    <w:rsid w:val="00936EBB"/>
    <w:rsid w:val="009412CD"/>
    <w:rsid w:val="00945060"/>
    <w:rsid w:val="0095251D"/>
    <w:rsid w:val="00957CB8"/>
    <w:rsid w:val="009607FE"/>
    <w:rsid w:val="00963EF7"/>
    <w:rsid w:val="0096590B"/>
    <w:rsid w:val="00967FF5"/>
    <w:rsid w:val="009726E3"/>
    <w:rsid w:val="00972B18"/>
    <w:rsid w:val="009746AA"/>
    <w:rsid w:val="009772CD"/>
    <w:rsid w:val="00977625"/>
    <w:rsid w:val="00984DE5"/>
    <w:rsid w:val="009869A4"/>
    <w:rsid w:val="00990AD8"/>
    <w:rsid w:val="00991D12"/>
    <w:rsid w:val="00991DF7"/>
    <w:rsid w:val="009A0304"/>
    <w:rsid w:val="009A1F57"/>
    <w:rsid w:val="009A343C"/>
    <w:rsid w:val="009A4E05"/>
    <w:rsid w:val="009B6E6B"/>
    <w:rsid w:val="009C04BD"/>
    <w:rsid w:val="009C0A5A"/>
    <w:rsid w:val="009C2D95"/>
    <w:rsid w:val="009C74F3"/>
    <w:rsid w:val="009D23C6"/>
    <w:rsid w:val="009D3893"/>
    <w:rsid w:val="009D674B"/>
    <w:rsid w:val="009E04FE"/>
    <w:rsid w:val="009E2880"/>
    <w:rsid w:val="009E44E8"/>
    <w:rsid w:val="009E6799"/>
    <w:rsid w:val="009F1863"/>
    <w:rsid w:val="009F7687"/>
    <w:rsid w:val="009F7807"/>
    <w:rsid w:val="00A01E94"/>
    <w:rsid w:val="00A025CC"/>
    <w:rsid w:val="00A05539"/>
    <w:rsid w:val="00A05798"/>
    <w:rsid w:val="00A05E5A"/>
    <w:rsid w:val="00A060F5"/>
    <w:rsid w:val="00A1219F"/>
    <w:rsid w:val="00A14BC5"/>
    <w:rsid w:val="00A20DE7"/>
    <w:rsid w:val="00A22805"/>
    <w:rsid w:val="00A26884"/>
    <w:rsid w:val="00A27587"/>
    <w:rsid w:val="00A327B2"/>
    <w:rsid w:val="00A334DC"/>
    <w:rsid w:val="00A34277"/>
    <w:rsid w:val="00A367F9"/>
    <w:rsid w:val="00A37544"/>
    <w:rsid w:val="00A37BCE"/>
    <w:rsid w:val="00A43C4D"/>
    <w:rsid w:val="00A43D09"/>
    <w:rsid w:val="00A460A4"/>
    <w:rsid w:val="00A471CE"/>
    <w:rsid w:val="00A504DF"/>
    <w:rsid w:val="00A55A33"/>
    <w:rsid w:val="00A61632"/>
    <w:rsid w:val="00A621EE"/>
    <w:rsid w:val="00A622D0"/>
    <w:rsid w:val="00A62EF0"/>
    <w:rsid w:val="00A63C2D"/>
    <w:rsid w:val="00A65D43"/>
    <w:rsid w:val="00A663FC"/>
    <w:rsid w:val="00A70436"/>
    <w:rsid w:val="00A71799"/>
    <w:rsid w:val="00A71D36"/>
    <w:rsid w:val="00A72D8F"/>
    <w:rsid w:val="00A77866"/>
    <w:rsid w:val="00A80454"/>
    <w:rsid w:val="00A81D2B"/>
    <w:rsid w:val="00A8489B"/>
    <w:rsid w:val="00A87891"/>
    <w:rsid w:val="00A90322"/>
    <w:rsid w:val="00A947BD"/>
    <w:rsid w:val="00A96277"/>
    <w:rsid w:val="00AA0C4F"/>
    <w:rsid w:val="00AA2332"/>
    <w:rsid w:val="00AA2918"/>
    <w:rsid w:val="00AA44D5"/>
    <w:rsid w:val="00AA56B9"/>
    <w:rsid w:val="00AB0767"/>
    <w:rsid w:val="00AC1439"/>
    <w:rsid w:val="00AC1BE1"/>
    <w:rsid w:val="00AC797B"/>
    <w:rsid w:val="00AC7D80"/>
    <w:rsid w:val="00AD0EE6"/>
    <w:rsid w:val="00AD64A9"/>
    <w:rsid w:val="00AE3398"/>
    <w:rsid w:val="00AE362E"/>
    <w:rsid w:val="00AE40AC"/>
    <w:rsid w:val="00AE4623"/>
    <w:rsid w:val="00AF3EC2"/>
    <w:rsid w:val="00AF63EE"/>
    <w:rsid w:val="00B0199F"/>
    <w:rsid w:val="00B02308"/>
    <w:rsid w:val="00B02F81"/>
    <w:rsid w:val="00B11160"/>
    <w:rsid w:val="00B15843"/>
    <w:rsid w:val="00B15C2C"/>
    <w:rsid w:val="00B1734C"/>
    <w:rsid w:val="00B215A5"/>
    <w:rsid w:val="00B22168"/>
    <w:rsid w:val="00B22671"/>
    <w:rsid w:val="00B22EE7"/>
    <w:rsid w:val="00B24CC2"/>
    <w:rsid w:val="00B267DA"/>
    <w:rsid w:val="00B3292B"/>
    <w:rsid w:val="00B37EA2"/>
    <w:rsid w:val="00B40190"/>
    <w:rsid w:val="00B41363"/>
    <w:rsid w:val="00B41707"/>
    <w:rsid w:val="00B513AF"/>
    <w:rsid w:val="00B660E9"/>
    <w:rsid w:val="00B71DED"/>
    <w:rsid w:val="00B743B5"/>
    <w:rsid w:val="00B80829"/>
    <w:rsid w:val="00B83089"/>
    <w:rsid w:val="00B87A8D"/>
    <w:rsid w:val="00B90B19"/>
    <w:rsid w:val="00B932BC"/>
    <w:rsid w:val="00B94042"/>
    <w:rsid w:val="00B94272"/>
    <w:rsid w:val="00B96205"/>
    <w:rsid w:val="00B96607"/>
    <w:rsid w:val="00B9771E"/>
    <w:rsid w:val="00BA4D8A"/>
    <w:rsid w:val="00BA5A14"/>
    <w:rsid w:val="00BB15D1"/>
    <w:rsid w:val="00BB182E"/>
    <w:rsid w:val="00BB20FF"/>
    <w:rsid w:val="00BB4DEE"/>
    <w:rsid w:val="00BC1B0D"/>
    <w:rsid w:val="00BC4C57"/>
    <w:rsid w:val="00BD1821"/>
    <w:rsid w:val="00BD4DA7"/>
    <w:rsid w:val="00BD7363"/>
    <w:rsid w:val="00BE129D"/>
    <w:rsid w:val="00BE2D51"/>
    <w:rsid w:val="00BE6339"/>
    <w:rsid w:val="00BE775A"/>
    <w:rsid w:val="00BF5355"/>
    <w:rsid w:val="00BF5739"/>
    <w:rsid w:val="00BF6247"/>
    <w:rsid w:val="00BF78D6"/>
    <w:rsid w:val="00BF7B83"/>
    <w:rsid w:val="00C00379"/>
    <w:rsid w:val="00C04087"/>
    <w:rsid w:val="00C04ACC"/>
    <w:rsid w:val="00C071FB"/>
    <w:rsid w:val="00C10A46"/>
    <w:rsid w:val="00C11242"/>
    <w:rsid w:val="00C15EA1"/>
    <w:rsid w:val="00C16519"/>
    <w:rsid w:val="00C16B0C"/>
    <w:rsid w:val="00C211EE"/>
    <w:rsid w:val="00C26472"/>
    <w:rsid w:val="00C30A95"/>
    <w:rsid w:val="00C32939"/>
    <w:rsid w:val="00C334D5"/>
    <w:rsid w:val="00C3623C"/>
    <w:rsid w:val="00C36E8F"/>
    <w:rsid w:val="00C40083"/>
    <w:rsid w:val="00C439A7"/>
    <w:rsid w:val="00C45AC9"/>
    <w:rsid w:val="00C4678B"/>
    <w:rsid w:val="00C46B29"/>
    <w:rsid w:val="00C516C9"/>
    <w:rsid w:val="00C51A11"/>
    <w:rsid w:val="00C520CE"/>
    <w:rsid w:val="00C56ED6"/>
    <w:rsid w:val="00C64942"/>
    <w:rsid w:val="00C65C0B"/>
    <w:rsid w:val="00C67FCD"/>
    <w:rsid w:val="00C810C5"/>
    <w:rsid w:val="00C81696"/>
    <w:rsid w:val="00C8195A"/>
    <w:rsid w:val="00C90FFD"/>
    <w:rsid w:val="00C91A36"/>
    <w:rsid w:val="00C9777A"/>
    <w:rsid w:val="00CA0E48"/>
    <w:rsid w:val="00CB7644"/>
    <w:rsid w:val="00CC0B7F"/>
    <w:rsid w:val="00CC28A0"/>
    <w:rsid w:val="00CC704C"/>
    <w:rsid w:val="00CD2342"/>
    <w:rsid w:val="00CD3B8E"/>
    <w:rsid w:val="00CE1D26"/>
    <w:rsid w:val="00CE306F"/>
    <w:rsid w:val="00CE65F8"/>
    <w:rsid w:val="00CF342C"/>
    <w:rsid w:val="00CF41DC"/>
    <w:rsid w:val="00CF554B"/>
    <w:rsid w:val="00CF6151"/>
    <w:rsid w:val="00D04EB7"/>
    <w:rsid w:val="00D069A3"/>
    <w:rsid w:val="00D10849"/>
    <w:rsid w:val="00D21832"/>
    <w:rsid w:val="00D24AF0"/>
    <w:rsid w:val="00D25E3D"/>
    <w:rsid w:val="00D26322"/>
    <w:rsid w:val="00D27374"/>
    <w:rsid w:val="00D47750"/>
    <w:rsid w:val="00D56AE8"/>
    <w:rsid w:val="00D648BE"/>
    <w:rsid w:val="00D6581D"/>
    <w:rsid w:val="00D67DC6"/>
    <w:rsid w:val="00D741C0"/>
    <w:rsid w:val="00D74CB4"/>
    <w:rsid w:val="00D75395"/>
    <w:rsid w:val="00D8488C"/>
    <w:rsid w:val="00D85512"/>
    <w:rsid w:val="00D92EFE"/>
    <w:rsid w:val="00D9638C"/>
    <w:rsid w:val="00DA1AFC"/>
    <w:rsid w:val="00DA1B16"/>
    <w:rsid w:val="00DA4251"/>
    <w:rsid w:val="00DA4645"/>
    <w:rsid w:val="00DA59A2"/>
    <w:rsid w:val="00DA680F"/>
    <w:rsid w:val="00DA6C96"/>
    <w:rsid w:val="00DB397C"/>
    <w:rsid w:val="00DB48EB"/>
    <w:rsid w:val="00DC0538"/>
    <w:rsid w:val="00DC1F9A"/>
    <w:rsid w:val="00DC3340"/>
    <w:rsid w:val="00DC6ED9"/>
    <w:rsid w:val="00DC73B0"/>
    <w:rsid w:val="00DD2522"/>
    <w:rsid w:val="00DD7D6F"/>
    <w:rsid w:val="00DE0CF3"/>
    <w:rsid w:val="00DE0F37"/>
    <w:rsid w:val="00DE4A6F"/>
    <w:rsid w:val="00DE5A89"/>
    <w:rsid w:val="00DE7DA2"/>
    <w:rsid w:val="00DF0FE2"/>
    <w:rsid w:val="00DF1081"/>
    <w:rsid w:val="00DF6D4A"/>
    <w:rsid w:val="00E000C0"/>
    <w:rsid w:val="00E0062D"/>
    <w:rsid w:val="00E0076E"/>
    <w:rsid w:val="00E00951"/>
    <w:rsid w:val="00E019B2"/>
    <w:rsid w:val="00E02ECE"/>
    <w:rsid w:val="00E057AD"/>
    <w:rsid w:val="00E11D15"/>
    <w:rsid w:val="00E204DD"/>
    <w:rsid w:val="00E22118"/>
    <w:rsid w:val="00E22F5E"/>
    <w:rsid w:val="00E24211"/>
    <w:rsid w:val="00E24A84"/>
    <w:rsid w:val="00E24C83"/>
    <w:rsid w:val="00E2522B"/>
    <w:rsid w:val="00E27E6B"/>
    <w:rsid w:val="00E33309"/>
    <w:rsid w:val="00E33312"/>
    <w:rsid w:val="00E43E76"/>
    <w:rsid w:val="00E44D42"/>
    <w:rsid w:val="00E50A26"/>
    <w:rsid w:val="00E51CF6"/>
    <w:rsid w:val="00E525C4"/>
    <w:rsid w:val="00E538A6"/>
    <w:rsid w:val="00E556DC"/>
    <w:rsid w:val="00E57CB8"/>
    <w:rsid w:val="00E60542"/>
    <w:rsid w:val="00E62543"/>
    <w:rsid w:val="00E65D99"/>
    <w:rsid w:val="00E7161A"/>
    <w:rsid w:val="00E73EF2"/>
    <w:rsid w:val="00E74B52"/>
    <w:rsid w:val="00E752D3"/>
    <w:rsid w:val="00E75E83"/>
    <w:rsid w:val="00E80540"/>
    <w:rsid w:val="00E84FA7"/>
    <w:rsid w:val="00E90735"/>
    <w:rsid w:val="00E90CFA"/>
    <w:rsid w:val="00E9197C"/>
    <w:rsid w:val="00E91ECC"/>
    <w:rsid w:val="00E9609F"/>
    <w:rsid w:val="00EA0F16"/>
    <w:rsid w:val="00EA7B3F"/>
    <w:rsid w:val="00EB2882"/>
    <w:rsid w:val="00EB378B"/>
    <w:rsid w:val="00EB5BE4"/>
    <w:rsid w:val="00EC065B"/>
    <w:rsid w:val="00EC6F79"/>
    <w:rsid w:val="00EC73AB"/>
    <w:rsid w:val="00ED6D37"/>
    <w:rsid w:val="00ED6DE0"/>
    <w:rsid w:val="00EE0D7B"/>
    <w:rsid w:val="00EE16F9"/>
    <w:rsid w:val="00EE29AC"/>
    <w:rsid w:val="00EE3577"/>
    <w:rsid w:val="00EE4A5E"/>
    <w:rsid w:val="00EE5C3B"/>
    <w:rsid w:val="00EE7934"/>
    <w:rsid w:val="00EF4F03"/>
    <w:rsid w:val="00F010A6"/>
    <w:rsid w:val="00F01476"/>
    <w:rsid w:val="00F02175"/>
    <w:rsid w:val="00F03293"/>
    <w:rsid w:val="00F038EA"/>
    <w:rsid w:val="00F03B73"/>
    <w:rsid w:val="00F0469F"/>
    <w:rsid w:val="00F123BA"/>
    <w:rsid w:val="00F1241E"/>
    <w:rsid w:val="00F131D8"/>
    <w:rsid w:val="00F15059"/>
    <w:rsid w:val="00F151DF"/>
    <w:rsid w:val="00F1524B"/>
    <w:rsid w:val="00F17467"/>
    <w:rsid w:val="00F175F0"/>
    <w:rsid w:val="00F2209D"/>
    <w:rsid w:val="00F247B0"/>
    <w:rsid w:val="00F27B3F"/>
    <w:rsid w:val="00F27B88"/>
    <w:rsid w:val="00F337ED"/>
    <w:rsid w:val="00F3450B"/>
    <w:rsid w:val="00F35DCC"/>
    <w:rsid w:val="00F375FE"/>
    <w:rsid w:val="00F3776E"/>
    <w:rsid w:val="00F4175A"/>
    <w:rsid w:val="00F43BA5"/>
    <w:rsid w:val="00F460AA"/>
    <w:rsid w:val="00F52D75"/>
    <w:rsid w:val="00F546BF"/>
    <w:rsid w:val="00F57A20"/>
    <w:rsid w:val="00F613A7"/>
    <w:rsid w:val="00F64D78"/>
    <w:rsid w:val="00F67B72"/>
    <w:rsid w:val="00F71315"/>
    <w:rsid w:val="00F72C94"/>
    <w:rsid w:val="00F73147"/>
    <w:rsid w:val="00F76B10"/>
    <w:rsid w:val="00F82A05"/>
    <w:rsid w:val="00F84D24"/>
    <w:rsid w:val="00F84E14"/>
    <w:rsid w:val="00F85298"/>
    <w:rsid w:val="00F85780"/>
    <w:rsid w:val="00F86947"/>
    <w:rsid w:val="00F931B5"/>
    <w:rsid w:val="00F94A58"/>
    <w:rsid w:val="00FA09BD"/>
    <w:rsid w:val="00FA5423"/>
    <w:rsid w:val="00FA68AF"/>
    <w:rsid w:val="00FA722E"/>
    <w:rsid w:val="00FB0957"/>
    <w:rsid w:val="00FB3522"/>
    <w:rsid w:val="00FB3A91"/>
    <w:rsid w:val="00FB7261"/>
    <w:rsid w:val="00FC0726"/>
    <w:rsid w:val="00FD02FC"/>
    <w:rsid w:val="00FD232A"/>
    <w:rsid w:val="00FD5AC7"/>
    <w:rsid w:val="00FD654B"/>
    <w:rsid w:val="00FE0511"/>
    <w:rsid w:val="00FE0689"/>
    <w:rsid w:val="00FE20A9"/>
    <w:rsid w:val="00FE439B"/>
    <w:rsid w:val="00FE4CDC"/>
    <w:rsid w:val="00FE77B8"/>
    <w:rsid w:val="00FE7F7C"/>
    <w:rsid w:val="00FF1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0C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uiPriority w:val="99"/>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 w:type="character" w:styleId="FollowedHyperlink">
    <w:name w:val="FollowedHyperlink"/>
    <w:basedOn w:val="DefaultParagraphFont"/>
    <w:uiPriority w:val="99"/>
    <w:semiHidden/>
    <w:unhideWhenUsed/>
    <w:rsid w:val="00FE77B8"/>
    <w:rPr>
      <w:color w:val="800080" w:themeColor="followedHyperlink"/>
      <w:u w:val="single"/>
    </w:rPr>
  </w:style>
  <w:style w:type="character" w:customStyle="1" w:styleId="apple-converted-space">
    <w:name w:val="apple-converted-space"/>
    <w:basedOn w:val="DefaultParagraphFont"/>
    <w:rsid w:val="00080D64"/>
  </w:style>
  <w:style w:type="table" w:styleId="TableGrid">
    <w:name w:val="Table Grid"/>
    <w:basedOn w:val="TableNormal"/>
    <w:uiPriority w:val="59"/>
    <w:rsid w:val="0071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2448AC"/>
    <w:pPr>
      <w:spacing w:after="0" w:line="240" w:lineRule="auto"/>
    </w:pPr>
    <w:rPr>
      <w:rFonts w:ascii="Times New Roman" w:eastAsia="Times New Roman" w:hAnsi="Times New Roman" w:cs="Times New Roman"/>
      <w:b/>
      <w:sz w:val="40"/>
      <w:szCs w:val="20"/>
      <w:lang w:eastAsia="en-AU"/>
    </w:rPr>
  </w:style>
  <w:style w:type="paragraph" w:customStyle="1" w:styleId="paragraphsub">
    <w:name w:val="paragraph(sub)"/>
    <w:aliases w:val="aa"/>
    <w:basedOn w:val="Normal"/>
    <w:rsid w:val="00455C0D"/>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6127">
      <w:bodyDiv w:val="1"/>
      <w:marLeft w:val="0"/>
      <w:marRight w:val="0"/>
      <w:marTop w:val="0"/>
      <w:marBottom w:val="0"/>
      <w:divBdr>
        <w:top w:val="none" w:sz="0" w:space="0" w:color="auto"/>
        <w:left w:val="none" w:sz="0" w:space="0" w:color="auto"/>
        <w:bottom w:val="none" w:sz="0" w:space="0" w:color="auto"/>
        <w:right w:val="none" w:sz="0" w:space="0" w:color="auto"/>
      </w:divBdr>
    </w:div>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214317512">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27181782">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837572112">
      <w:bodyDiv w:val="1"/>
      <w:marLeft w:val="0"/>
      <w:marRight w:val="0"/>
      <w:marTop w:val="0"/>
      <w:marBottom w:val="0"/>
      <w:divBdr>
        <w:top w:val="none" w:sz="0" w:space="0" w:color="auto"/>
        <w:left w:val="none" w:sz="0" w:space="0" w:color="auto"/>
        <w:bottom w:val="none" w:sz="0" w:space="0" w:color="auto"/>
        <w:right w:val="none" w:sz="0" w:space="0" w:color="auto"/>
      </w:divBdr>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094932952">
      <w:bodyDiv w:val="1"/>
      <w:marLeft w:val="0"/>
      <w:marRight w:val="0"/>
      <w:marTop w:val="0"/>
      <w:marBottom w:val="0"/>
      <w:divBdr>
        <w:top w:val="none" w:sz="0" w:space="0" w:color="auto"/>
        <w:left w:val="none" w:sz="0" w:space="0" w:color="auto"/>
        <w:bottom w:val="none" w:sz="0" w:space="0" w:color="auto"/>
        <w:right w:val="none" w:sz="0" w:space="0" w:color="auto"/>
      </w:divBdr>
    </w:div>
    <w:div w:id="1463423082">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891183997">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AD8AEEB-BAE8-4767-A6AE-A42A87D955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4A7E2B1C027B47B1791DBA2D90A3BF" ma:contentTypeVersion="" ma:contentTypeDescription="PDMS Document Site Content Type" ma:contentTypeScope="" ma:versionID="cd21d9049de65003ec2826822a3ced30">
  <xsd:schema xmlns:xsd="http://www.w3.org/2001/XMLSchema" xmlns:xs="http://www.w3.org/2001/XMLSchema" xmlns:p="http://schemas.microsoft.com/office/2006/metadata/properties" xmlns:ns2="5AD8AEEB-BAE8-4767-A6AE-A42A87D95564" targetNamespace="http://schemas.microsoft.com/office/2006/metadata/properties" ma:root="true" ma:fieldsID="d123021929a6461b91249bb7f9617d50" ns2:_="">
    <xsd:import namespace="5AD8AEEB-BAE8-4767-A6AE-A42A87D955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AEEB-BAE8-4767-A6AE-A42A87D955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77D0-E322-4F31-B707-48B75DFA7F4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AD8AEEB-BAE8-4767-A6AE-A42A87D95564"/>
    <ds:schemaRef ds:uri="http://www.w3.org/XML/1998/namespace"/>
    <ds:schemaRef ds:uri="http://purl.org/dc/dcmitype/"/>
  </ds:schemaRefs>
</ds:datastoreItem>
</file>

<file path=customXml/itemProps2.xml><?xml version="1.0" encoding="utf-8"?>
<ds:datastoreItem xmlns:ds="http://schemas.openxmlformats.org/officeDocument/2006/customXml" ds:itemID="{C7D36407-E606-486C-924C-E9DC2450DC43}">
  <ds:schemaRefs>
    <ds:schemaRef ds:uri="http://schemas.microsoft.com/sharepoint/v3/contenttype/forms"/>
  </ds:schemaRefs>
</ds:datastoreItem>
</file>

<file path=customXml/itemProps3.xml><?xml version="1.0" encoding="utf-8"?>
<ds:datastoreItem xmlns:ds="http://schemas.openxmlformats.org/officeDocument/2006/customXml" ds:itemID="{D443C76F-774C-4831-B749-6B19EC188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AEEB-BAE8-4767-A6AE-A42A87D9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ED6D8-8127-462E-B7AB-4FBB36D7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21067261.dotm</Template>
  <TotalTime>0</TotalTime>
  <Pages>4</Pages>
  <Words>1108</Words>
  <Characters>6317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2019-03-12T00:38:00Z</dcterms:created>
  <dcterms:modified xsi:type="dcterms:W3CDTF">2019-03-12T00:38:00Z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0x010100266966F133664895A6EE3632470D45F500054A7E2B1C027B47B1791DBA2D90A3BF</vt:lpwstr>
  </property>
</Properties>
</file>