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DD67FC" w:rsidP="00554826">
      <w:pPr>
        <w:pStyle w:val="ShortT"/>
      </w:pPr>
      <w:r>
        <w:t>Agricultural a</w:t>
      </w:r>
      <w:r w:rsidR="00B06027">
        <w:t xml:space="preserve">nd Veterinary Chemicals Code </w:t>
      </w:r>
      <w:r w:rsidR="00554826">
        <w:t>(</w:t>
      </w:r>
      <w:r>
        <w:t>Prescribed Variations</w:t>
      </w:r>
      <w:r w:rsidR="00554826">
        <w:t xml:space="preserve">) </w:t>
      </w:r>
      <w:r>
        <w:t>Instrument 2019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D67FC">
        <w:rPr>
          <w:szCs w:val="22"/>
        </w:rPr>
        <w:t>Chris Parker</w:t>
      </w:r>
      <w:r w:rsidRPr="00DA182D">
        <w:rPr>
          <w:szCs w:val="22"/>
        </w:rPr>
        <w:t xml:space="preserve">, </w:t>
      </w:r>
      <w:r w:rsidR="00DD67FC">
        <w:rPr>
          <w:szCs w:val="22"/>
        </w:rPr>
        <w:t>Chief Executive Officer of the Australian Pesticides and Veterinary Medicines Authority</w:t>
      </w:r>
      <w:r w:rsidRPr="00DA182D">
        <w:rPr>
          <w:szCs w:val="22"/>
        </w:rPr>
        <w:t xml:space="preserve">, </w:t>
      </w:r>
      <w:r w:rsidR="00DD67FC">
        <w:rPr>
          <w:szCs w:val="22"/>
        </w:rPr>
        <w:t>make the following legislative instrument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063FD0">
        <w:rPr>
          <w:szCs w:val="22"/>
        </w:rPr>
        <w:t>22</w:t>
      </w:r>
      <w:bookmarkStart w:id="0" w:name="_GoBack"/>
      <w:bookmarkEnd w:id="0"/>
      <w:r w:rsidR="000974A0">
        <w:rPr>
          <w:szCs w:val="22"/>
        </w:rPr>
        <w:t xml:space="preserve"> </w:t>
      </w:r>
      <w:r w:rsidR="00F55625">
        <w:rPr>
          <w:szCs w:val="22"/>
        </w:rPr>
        <w:t>March 2019</w:t>
      </w:r>
    </w:p>
    <w:p w:rsidR="00554826" w:rsidRDefault="00DD67F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Parker</w:t>
      </w:r>
    </w:p>
    <w:p w:rsidR="00554826" w:rsidRPr="008E0027" w:rsidRDefault="00DD67FC" w:rsidP="00554826">
      <w:pPr>
        <w:pStyle w:val="SignCoverPageEnd"/>
        <w:ind w:right="91"/>
        <w:rPr>
          <w:sz w:val="22"/>
        </w:rPr>
      </w:pPr>
      <w:r>
        <w:rPr>
          <w:sz w:val="22"/>
        </w:rPr>
        <w:t>Chief Executive Officer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8D0C8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D0C85">
        <w:rPr>
          <w:noProof/>
        </w:rPr>
        <w:t>1  Name</w:t>
      </w:r>
      <w:r w:rsidR="008D0C85">
        <w:rPr>
          <w:noProof/>
        </w:rPr>
        <w:tab/>
      </w:r>
      <w:r w:rsidR="008D0C85">
        <w:rPr>
          <w:noProof/>
        </w:rPr>
        <w:fldChar w:fldCharType="begin"/>
      </w:r>
      <w:r w:rsidR="008D0C85">
        <w:rPr>
          <w:noProof/>
        </w:rPr>
        <w:instrText xml:space="preserve"> PAGEREF _Toc534710030 \h </w:instrText>
      </w:r>
      <w:r w:rsidR="008D0C85">
        <w:rPr>
          <w:noProof/>
        </w:rPr>
      </w:r>
      <w:r w:rsidR="008D0C85">
        <w:rPr>
          <w:noProof/>
        </w:rPr>
        <w:fldChar w:fldCharType="separate"/>
      </w:r>
      <w:r w:rsidR="003900F3">
        <w:rPr>
          <w:noProof/>
        </w:rPr>
        <w:t>1</w:t>
      </w:r>
      <w:r w:rsidR="008D0C85">
        <w:rPr>
          <w:noProof/>
        </w:rPr>
        <w:fldChar w:fldCharType="end"/>
      </w:r>
    </w:p>
    <w:p w:rsidR="008D0C85" w:rsidRDefault="008D0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_Toc534710031 \h </w:instrText>
      </w:r>
      <w:r>
        <w:rPr>
          <w:noProof/>
        </w:rPr>
      </w:r>
      <w:r>
        <w:rPr>
          <w:noProof/>
        </w:rPr>
        <w:fldChar w:fldCharType="separate"/>
      </w:r>
      <w:r w:rsidR="003900F3">
        <w:rPr>
          <w:noProof/>
        </w:rPr>
        <w:t>1</w:t>
      </w:r>
      <w:r>
        <w:rPr>
          <w:noProof/>
        </w:rPr>
        <w:fldChar w:fldCharType="end"/>
      </w:r>
    </w:p>
    <w:p w:rsidR="008D0C85" w:rsidRDefault="008D0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_Toc534710032 \h </w:instrText>
      </w:r>
      <w:r>
        <w:rPr>
          <w:noProof/>
        </w:rPr>
      </w:r>
      <w:r>
        <w:rPr>
          <w:noProof/>
        </w:rPr>
        <w:fldChar w:fldCharType="separate"/>
      </w:r>
      <w:r w:rsidR="003900F3">
        <w:rPr>
          <w:noProof/>
        </w:rPr>
        <w:t>1</w:t>
      </w:r>
      <w:r>
        <w:rPr>
          <w:noProof/>
        </w:rPr>
        <w:fldChar w:fldCharType="end"/>
      </w:r>
    </w:p>
    <w:p w:rsidR="008D0C85" w:rsidRDefault="008D0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_Toc534710033 \h </w:instrText>
      </w:r>
      <w:r>
        <w:rPr>
          <w:noProof/>
        </w:rPr>
      </w:r>
      <w:r>
        <w:rPr>
          <w:noProof/>
        </w:rPr>
        <w:fldChar w:fldCharType="separate"/>
      </w:r>
      <w:r w:rsidR="003900F3">
        <w:rPr>
          <w:noProof/>
        </w:rPr>
        <w:t>1</w:t>
      </w:r>
      <w:r>
        <w:rPr>
          <w:noProof/>
        </w:rPr>
        <w:fldChar w:fldCharType="end"/>
      </w:r>
    </w:p>
    <w:p w:rsidR="008D0C85" w:rsidRDefault="008D0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variations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_Toc534710034 \h </w:instrText>
      </w:r>
      <w:r>
        <w:rPr>
          <w:noProof/>
        </w:rPr>
      </w:r>
      <w:r>
        <w:rPr>
          <w:noProof/>
        </w:rPr>
        <w:fldChar w:fldCharType="separate"/>
      </w:r>
      <w:r w:rsidR="003900F3">
        <w:rPr>
          <w:noProof/>
        </w:rPr>
        <w:t>1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34710030"/>
      <w:r w:rsidRPr="00554826">
        <w:lastRenderedPageBreak/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F631A">
        <w:rPr>
          <w:i/>
        </w:rPr>
        <w:t>Agricultural a</w:t>
      </w:r>
      <w:r w:rsidR="00EB004F">
        <w:rPr>
          <w:i/>
        </w:rPr>
        <w:t>nd Veterinary Chemicals Code</w:t>
      </w:r>
      <w:r w:rsidR="001F631A">
        <w:rPr>
          <w:i/>
        </w:rPr>
        <w:t xml:space="preserve"> (Prescribed Variations) Instrument 2019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534710031"/>
      <w:r w:rsidRPr="00554826">
        <w:t>2  Commencement</w:t>
      </w:r>
      <w:bookmarkEnd w:id="3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1F631A">
        <w:t>on the day after the day it is registered</w:t>
      </w:r>
      <w:r>
        <w:t>.</w:t>
      </w:r>
    </w:p>
    <w:p w:rsidR="00554826" w:rsidRPr="00554826" w:rsidRDefault="00554826" w:rsidP="00554826">
      <w:pPr>
        <w:pStyle w:val="ActHead5"/>
      </w:pPr>
      <w:bookmarkStart w:id="4" w:name="_Toc534710032"/>
      <w:r w:rsidRPr="00554826">
        <w:t>3  Authority</w:t>
      </w:r>
      <w:bookmarkEnd w:id="4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F631A">
        <w:t xml:space="preserve">subsection 26B(6) of the Agricultural and Veterinary Chemicals Code, as scheduled to the </w:t>
      </w:r>
      <w:r w:rsidR="001F631A">
        <w:rPr>
          <w:i/>
        </w:rPr>
        <w:t>Agricultural and Veterinary Chemicals Code Act 1994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534710033"/>
      <w:r w:rsidRPr="00554826">
        <w:t>4  Definitions</w:t>
      </w:r>
      <w:bookmarkEnd w:id="5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</w:t>
      </w:r>
      <w:r w:rsidR="001E4440">
        <w:t>Part 1, Division 1 of the Code, including the following</w:t>
      </w:r>
      <w:r w:rsidRPr="009C2562">
        <w:t>:</w:t>
      </w:r>
    </w:p>
    <w:p w:rsidR="00B760D1" w:rsidRDefault="00B760D1" w:rsidP="00B760D1">
      <w:pPr>
        <w:pStyle w:val="notepara"/>
      </w:pPr>
      <w:r>
        <w:t>(a)</w:t>
      </w:r>
      <w:r>
        <w:tab/>
        <w:t>active constituent;</w:t>
      </w:r>
    </w:p>
    <w:p w:rsidR="00B760D1" w:rsidRDefault="00B760D1" w:rsidP="00B760D1">
      <w:pPr>
        <w:pStyle w:val="notepara"/>
      </w:pPr>
      <w:r>
        <w:t>(b</w:t>
      </w:r>
      <w:r w:rsidRPr="009C2562">
        <w:t>)</w:t>
      </w:r>
      <w:r w:rsidRPr="009C2562">
        <w:tab/>
      </w:r>
      <w:r>
        <w:t>chemical product</w:t>
      </w:r>
      <w:r w:rsidRPr="009C2562">
        <w:t>;</w:t>
      </w:r>
    </w:p>
    <w:p w:rsidR="00B760D1" w:rsidRDefault="00B760D1" w:rsidP="00B760D1">
      <w:pPr>
        <w:pStyle w:val="notepara"/>
      </w:pPr>
      <w:r>
        <w:t>(c)</w:t>
      </w:r>
      <w:r>
        <w:tab/>
        <w:t>manufacture</w:t>
      </w:r>
    </w:p>
    <w:p w:rsidR="00B760D1" w:rsidRDefault="00B760D1" w:rsidP="00B760D1">
      <w:pPr>
        <w:pStyle w:val="notepara"/>
      </w:pPr>
      <w:r>
        <w:t>(d)</w:t>
      </w:r>
      <w:r>
        <w:tab/>
        <w:t>notifiable variation;</w:t>
      </w:r>
    </w:p>
    <w:p w:rsidR="00B760D1" w:rsidRDefault="00B760D1" w:rsidP="00B760D1">
      <w:pPr>
        <w:pStyle w:val="notepara"/>
      </w:pPr>
      <w:r>
        <w:t>(e)</w:t>
      </w:r>
      <w:r>
        <w:tab/>
        <w:t>Register;</w:t>
      </w:r>
    </w:p>
    <w:p w:rsidR="00554826" w:rsidRPr="009C2562" w:rsidRDefault="00B760D1" w:rsidP="00B760D1">
      <w:pPr>
        <w:pStyle w:val="notepara"/>
      </w:pPr>
      <w:r>
        <w:t>(f)</w:t>
      </w:r>
      <w:r>
        <w:tab/>
        <w:t>variations.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1E4440" w:rsidP="00554826">
      <w:pPr>
        <w:pStyle w:val="Definition"/>
      </w:pPr>
      <w:r>
        <w:rPr>
          <w:b/>
          <w:i/>
        </w:rPr>
        <w:t>Code</w:t>
      </w:r>
      <w:r w:rsidR="00554826" w:rsidRPr="009C2562">
        <w:t xml:space="preserve"> means the </w:t>
      </w:r>
      <w:r>
        <w:t xml:space="preserve">Agricultural and Veterinary Chemicals Code, as scheduled to the </w:t>
      </w:r>
      <w:r>
        <w:rPr>
          <w:i/>
        </w:rPr>
        <w:t>Agricultural and Veterinary Chemicals Code Act 1994</w:t>
      </w:r>
      <w:r w:rsidR="00554826">
        <w:t>.</w:t>
      </w:r>
    </w:p>
    <w:p w:rsidR="00554826" w:rsidRDefault="001E4440" w:rsidP="00554826">
      <w:pPr>
        <w:pStyle w:val="Definition"/>
      </w:pPr>
      <w:r>
        <w:rPr>
          <w:b/>
          <w:i/>
        </w:rPr>
        <w:t>Regulations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the </w:t>
      </w:r>
      <w:r>
        <w:rPr>
          <w:i/>
        </w:rPr>
        <w:t>Agricultural and Veterinary Chemicals Code Regulations 1995</w:t>
      </w:r>
      <w:r w:rsidR="00B477F0">
        <w:t xml:space="preserve"> and a reference to subregulations has a corresponding meaning</w:t>
      </w:r>
      <w:r w:rsidR="00554826">
        <w:t>.</w:t>
      </w:r>
    </w:p>
    <w:p w:rsidR="00E17F15" w:rsidRDefault="008D0C85" w:rsidP="00E17F15">
      <w:pPr>
        <w:pStyle w:val="ActHead5"/>
      </w:pPr>
      <w:bookmarkStart w:id="6" w:name="_Toc534710034"/>
      <w:r>
        <w:t>5</w:t>
      </w:r>
      <w:r w:rsidR="00E17F15">
        <w:t xml:space="preserve">  Prescribed variations</w:t>
      </w:r>
      <w:bookmarkEnd w:id="6"/>
    </w:p>
    <w:p w:rsidR="00E17F15" w:rsidRDefault="008D0C85" w:rsidP="000B1BA4">
      <w:pPr>
        <w:pStyle w:val="subsection"/>
      </w:pPr>
      <w:r>
        <w:tab/>
      </w:r>
      <w:r>
        <w:tab/>
        <w:t>The following table prescribes, as prescribed variations for the purposes of paragraph 26B(4)(</w:t>
      </w:r>
      <w:r w:rsidR="00B477F0">
        <w:t>a</w:t>
      </w:r>
      <w:r>
        <w:t>) of the Code, variations of the relevant particulars that are listed in an item in the table, for the registrations listed in the table for that item.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3826"/>
        <w:gridCol w:w="3661"/>
      </w:tblGrid>
      <w:tr w:rsidR="00277348" w:rsidRPr="00960218" w:rsidTr="00B767B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77348" w:rsidRPr="00960218" w:rsidRDefault="00277348" w:rsidP="00B767B8">
            <w:pPr>
              <w:pStyle w:val="TableHeading"/>
            </w:pPr>
            <w:r w:rsidRPr="00960218">
              <w:lastRenderedPageBreak/>
              <w:t>Prescribed variations</w:t>
            </w:r>
          </w:p>
        </w:tc>
      </w:tr>
      <w:tr w:rsidR="00277348" w:rsidRPr="00960218" w:rsidTr="00B767B8">
        <w:trPr>
          <w:tblHeader/>
        </w:trPr>
        <w:tc>
          <w:tcPr>
            <w:tcW w:w="4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77348" w:rsidRPr="00960218" w:rsidRDefault="00277348" w:rsidP="00B767B8">
            <w:pPr>
              <w:pStyle w:val="TableHeading"/>
            </w:pPr>
            <w:r w:rsidRPr="00960218">
              <w:t>Item</w:t>
            </w:r>
          </w:p>
        </w:tc>
        <w:tc>
          <w:tcPr>
            <w:tcW w:w="23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77348" w:rsidRPr="00960218" w:rsidRDefault="00277348" w:rsidP="00B767B8">
            <w:pPr>
              <w:pStyle w:val="TableHeading"/>
            </w:pPr>
            <w:r w:rsidRPr="00960218">
              <w:t>Prescribed variation of relevant particular</w:t>
            </w:r>
          </w:p>
        </w:tc>
        <w:tc>
          <w:tcPr>
            <w:tcW w:w="22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77348" w:rsidRPr="00960218" w:rsidRDefault="00277348" w:rsidP="00B767B8">
            <w:pPr>
              <w:pStyle w:val="TableHeading"/>
            </w:pPr>
            <w:r w:rsidRPr="00960218">
              <w:t>Registration</w:t>
            </w:r>
          </w:p>
        </w:tc>
      </w:tr>
      <w:tr w:rsidR="00277348" w:rsidRPr="00960218" w:rsidTr="00B767B8">
        <w:trPr>
          <w:trHeight w:val="3165"/>
        </w:trPr>
        <w:tc>
          <w:tcPr>
            <w:tcW w:w="497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  <w:r w:rsidRPr="00960218">
              <w:t>1</w:t>
            </w:r>
          </w:p>
        </w:tc>
        <w:tc>
          <w:tcPr>
            <w:tcW w:w="2301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  <w:r w:rsidRPr="00960218">
              <w:t>A variation of either or both of the following particulars: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(a) the name of a manufacturer in Australia of a chemical product;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(b) the address of each site in Australia at which the product is manufactured by a manufacturer;</w:t>
            </w:r>
          </w:p>
          <w:p w:rsidR="00277348" w:rsidRPr="00960218" w:rsidRDefault="00277348" w:rsidP="00B767B8">
            <w:pPr>
              <w:pStyle w:val="Tabletext"/>
            </w:pPr>
            <w:r w:rsidRPr="00960218">
              <w:t>but only if, under the varied particulars: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(c) the manufacturer and the address of each manufacturing site are in Australia; and</w:t>
            </w:r>
          </w:p>
        </w:tc>
        <w:tc>
          <w:tcPr>
            <w:tcW w:w="2202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  <w:r w:rsidRPr="00960218">
              <w:t>any registration of a chemical product other than a chemical product that is prescribed under subregulation</w:t>
            </w:r>
            <w:r>
              <w:t> </w:t>
            </w:r>
            <w:r w:rsidRPr="00960218">
              <w:t>59(1)</w:t>
            </w:r>
          </w:p>
        </w:tc>
      </w:tr>
      <w:tr w:rsidR="00277348" w:rsidRPr="00960218" w:rsidTr="00B767B8">
        <w:trPr>
          <w:cantSplit/>
          <w:trHeight w:val="1665"/>
        </w:trPr>
        <w:tc>
          <w:tcPr>
            <w:tcW w:w="497" w:type="pct"/>
            <w:tcBorders>
              <w:top w:val="nil"/>
              <w:bottom w:val="nil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</w:p>
        </w:tc>
        <w:tc>
          <w:tcPr>
            <w:tcW w:w="2301" w:type="pct"/>
            <w:tcBorders>
              <w:top w:val="nil"/>
              <w:bottom w:val="nil"/>
            </w:tcBorders>
            <w:shd w:val="clear" w:color="auto" w:fill="auto"/>
          </w:tcPr>
          <w:p w:rsidR="00277348" w:rsidRPr="00960218" w:rsidRDefault="00277348" w:rsidP="00B767B8">
            <w:pPr>
              <w:pStyle w:val="Tablea"/>
            </w:pPr>
            <w:r w:rsidRPr="00960218">
              <w:t>(d) either:</w:t>
            </w:r>
          </w:p>
          <w:p w:rsidR="00277348" w:rsidRPr="00960218" w:rsidRDefault="00277348" w:rsidP="00B767B8">
            <w:pPr>
              <w:pStyle w:val="Tablei"/>
            </w:pPr>
            <w:r w:rsidRPr="00960218">
              <w:t>(i) the manufacturer is the holder of a valid licence under Part</w:t>
            </w:r>
            <w:r>
              <w:t> </w:t>
            </w:r>
            <w:r w:rsidRPr="00960218">
              <w:t xml:space="preserve">8 of the Code that authorises carrying out a step in the manufacture of the product at premises at a site mentioned in </w:t>
            </w:r>
            <w:r>
              <w:t>paragraph (</w:t>
            </w:r>
            <w:r w:rsidRPr="00960218">
              <w:t>b); or</w:t>
            </w:r>
          </w:p>
          <w:p w:rsidR="00277348" w:rsidRPr="00960218" w:rsidRDefault="00277348" w:rsidP="00B767B8">
            <w:pPr>
              <w:pStyle w:val="Tablei"/>
            </w:pPr>
            <w:r w:rsidRPr="00960218">
              <w:t>(ii) the manufacturer is an exempt person as mentioned in paragraph</w:t>
            </w:r>
            <w:r>
              <w:t> </w:t>
            </w:r>
            <w:r w:rsidRPr="00960218">
              <w:t>121(4)(a) of the Code in relation to the manufacture of the product</w:t>
            </w:r>
          </w:p>
        </w:tc>
        <w:tc>
          <w:tcPr>
            <w:tcW w:w="2202" w:type="pct"/>
            <w:tcBorders>
              <w:top w:val="nil"/>
              <w:bottom w:val="nil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</w:p>
        </w:tc>
      </w:tr>
      <w:tr w:rsidR="00277348" w:rsidRPr="00960218" w:rsidTr="00277348">
        <w:trPr>
          <w:trHeight w:val="1665"/>
        </w:trPr>
        <w:tc>
          <w:tcPr>
            <w:tcW w:w="497" w:type="pct"/>
            <w:tcBorders>
              <w:top w:val="nil"/>
              <w:bottom w:val="nil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  <w:r w:rsidRPr="00960218">
              <w:t>2</w:t>
            </w:r>
          </w:p>
        </w:tc>
        <w:tc>
          <w:tcPr>
            <w:tcW w:w="2301" w:type="pct"/>
            <w:tcBorders>
              <w:top w:val="nil"/>
              <w:bottom w:val="nil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  <w:r w:rsidRPr="00960218">
              <w:t>A variation of the name of a manufacturer of a chemical product, if the manufacturer is outside Australia</w:t>
            </w:r>
          </w:p>
        </w:tc>
        <w:tc>
          <w:tcPr>
            <w:tcW w:w="2202" w:type="pct"/>
            <w:tcBorders>
              <w:top w:val="nil"/>
              <w:bottom w:val="nil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  <w:r w:rsidRPr="00960218">
              <w:t>any registration of a chemical product other than a chemical product that is prescribed under subregulation</w:t>
            </w:r>
            <w:r>
              <w:t> </w:t>
            </w:r>
            <w:r w:rsidRPr="00960218">
              <w:t>59(1)</w:t>
            </w:r>
          </w:p>
        </w:tc>
      </w:tr>
      <w:tr w:rsidR="00277348" w:rsidRPr="00960218" w:rsidTr="00277348">
        <w:trPr>
          <w:trHeight w:val="1665"/>
        </w:trPr>
        <w:tc>
          <w:tcPr>
            <w:tcW w:w="497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  <w:r w:rsidRPr="00960218">
              <w:t>3</w:t>
            </w:r>
          </w:p>
        </w:tc>
        <w:tc>
          <w:tcPr>
            <w:tcW w:w="2301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  <w:r w:rsidRPr="00960218">
              <w:t>A variation of one or more constituents of a chemical product if: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 xml:space="preserve">(a) the constituent (the </w:t>
            </w:r>
            <w:r w:rsidRPr="00960218">
              <w:rPr>
                <w:b/>
                <w:i/>
              </w:rPr>
              <w:t>original constituent</w:t>
            </w:r>
            <w:r w:rsidRPr="00960218">
              <w:t xml:space="preserve">) is replaced with another constituent (the </w:t>
            </w:r>
            <w:r w:rsidRPr="00960218">
              <w:rPr>
                <w:b/>
                <w:i/>
              </w:rPr>
              <w:t>replacement constituent</w:t>
            </w:r>
            <w:r w:rsidRPr="00960218">
              <w:t>);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(b) the original constituent is not an active constituent of the product;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(c) the replacement constituent will not be an active constituent of the product;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(d) the original and replacement constituents have the same purpose in the product;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(e) the original and replacement constituents differ only in solvates or hydrates;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lastRenderedPageBreak/>
              <w:t>(f) the original and replacement constituents have the same:</w:t>
            </w:r>
          </w:p>
          <w:p w:rsidR="00277348" w:rsidRPr="00960218" w:rsidRDefault="00277348" w:rsidP="00B767B8">
            <w:pPr>
              <w:pStyle w:val="Tablei"/>
            </w:pPr>
            <w:r w:rsidRPr="00960218">
              <w:t>(i) pH; and</w:t>
            </w:r>
          </w:p>
          <w:p w:rsidR="00277348" w:rsidRPr="00960218" w:rsidRDefault="00277348" w:rsidP="00B767B8">
            <w:pPr>
              <w:pStyle w:val="Tablei"/>
            </w:pPr>
            <w:r w:rsidRPr="00960218">
              <w:t>(ii) dissolution profile; and</w:t>
            </w:r>
          </w:p>
          <w:p w:rsidR="00277348" w:rsidRPr="00960218" w:rsidRDefault="00277348" w:rsidP="00B767B8">
            <w:pPr>
              <w:pStyle w:val="Tablei"/>
            </w:pPr>
            <w:r w:rsidRPr="00960218">
              <w:t>(iii) hydrophilic or hydrophobic behaviour; and</w:t>
            </w:r>
          </w:p>
          <w:p w:rsidR="00277348" w:rsidRPr="00960218" w:rsidRDefault="00277348" w:rsidP="00B767B8">
            <w:pPr>
              <w:pStyle w:val="Tablei"/>
            </w:pPr>
            <w:r w:rsidRPr="00960218">
              <w:t>(iv) hygroscopic behaviour;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(g) neither the original nor replacement constituent are a nanomaterial;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(h) in the case of the original and replacement constituents being a straight or branched unsaturated hydrocarbon—the change in the length of the hydrocarbon chain is not more than 33% of the length of the original constituent’s hydrocarbon chain;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(i) the replacement constituent does not introduce material of human or animal origin into the product;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(j) the variation does not require variation to the signal words required by the current Poisons Standard to be on the label of the product;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(k) in the case of a product that is a molluscicide in the form of a bait or a product applied to seeds to be stored before planting or sowing—the variation does not change the colour of the product;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(l) the variation does not require the formulation type entered in the Register for the product to be varied; and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(m) in the case of a product that has 9 or more constituents entered in the Register for the product—the variation is to no more than 25% of the number of constituents entered in the Register for the product; and</w:t>
            </w:r>
          </w:p>
          <w:p w:rsidR="00277348" w:rsidRPr="00960218" w:rsidRDefault="00277348" w:rsidP="00B767B8">
            <w:pPr>
              <w:pStyle w:val="Tabletext"/>
            </w:pPr>
            <w:r w:rsidRPr="00960218">
              <w:t>(n) in the case of a product that has less than 9 constituents entered in the Register for the product—the variation is to one or 2 of the constituents entered in the Register for the product</w:t>
            </w:r>
          </w:p>
        </w:tc>
        <w:tc>
          <w:tcPr>
            <w:tcW w:w="2202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77348" w:rsidRPr="00960218" w:rsidRDefault="00277348" w:rsidP="00B767B8">
            <w:pPr>
              <w:pStyle w:val="Tabletext"/>
            </w:pPr>
            <w:r w:rsidRPr="00960218">
              <w:lastRenderedPageBreak/>
              <w:t>a registration of a chemical product, other than a chemical product that is: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(a) an antibiotic product; or</w:t>
            </w:r>
          </w:p>
          <w:p w:rsidR="00277348" w:rsidRPr="00960218" w:rsidRDefault="00277348" w:rsidP="00B767B8">
            <w:pPr>
              <w:pStyle w:val="Tablea"/>
            </w:pPr>
            <w:r w:rsidRPr="00960218">
              <w:t>(b) an immunobiological product; or</w:t>
            </w:r>
          </w:p>
          <w:p w:rsidR="00277348" w:rsidRPr="00960218" w:rsidRDefault="00277348" w:rsidP="00B767B8">
            <w:pPr>
              <w:pStyle w:val="Tabletext"/>
            </w:pPr>
            <w:r w:rsidRPr="00960218">
              <w:t>(c) a product that is administered through direct injection into an animal</w:t>
            </w:r>
          </w:p>
        </w:tc>
      </w:tr>
    </w:tbl>
    <w:p w:rsidR="00A75FE9" w:rsidRDefault="00A75FE9" w:rsidP="00F55625">
      <w:pPr>
        <w:spacing w:line="240" w:lineRule="auto"/>
      </w:pPr>
    </w:p>
    <w:sectPr w:rsidR="00A75FE9" w:rsidSect="00277348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AD" w:rsidRDefault="005072AD" w:rsidP="00715914">
      <w:pPr>
        <w:spacing w:line="240" w:lineRule="auto"/>
      </w:pPr>
      <w:r>
        <w:separator/>
      </w:r>
    </w:p>
  </w:endnote>
  <w:endnote w:type="continuationSeparator" w:id="0">
    <w:p w:rsidR="005072AD" w:rsidRDefault="005072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362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362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362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63FD0">
            <w:rPr>
              <w:i/>
              <w:noProof/>
              <w:sz w:val="18"/>
            </w:rPr>
            <w:t>Agricultural and Veterinary Chemicals Code (Prescribed Variations)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3F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3F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63FD0">
            <w:rPr>
              <w:i/>
              <w:noProof/>
              <w:sz w:val="18"/>
            </w:rPr>
            <w:t>Agricultural and Veterinary Chemicals Code (Prescribed Variations)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63FD0">
            <w:rPr>
              <w:i/>
              <w:noProof/>
              <w:sz w:val="18"/>
            </w:rPr>
            <w:t>Agricultural and Veterinary Chemicals Code (Prescribed Variations)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3FD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AD" w:rsidRDefault="005072AD" w:rsidP="00715914">
      <w:pPr>
        <w:spacing w:line="240" w:lineRule="auto"/>
      </w:pPr>
      <w:r>
        <w:separator/>
      </w:r>
    </w:p>
  </w:footnote>
  <w:footnote w:type="continuationSeparator" w:id="0">
    <w:p w:rsidR="005072AD" w:rsidRDefault="005072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277348" w:rsidRDefault="00F6696E" w:rsidP="0027734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C4" w:rsidRDefault="006079C4" w:rsidP="006079C4">
    <w:pPr>
      <w:rPr>
        <w:sz w:val="20"/>
      </w:rPr>
    </w:pPr>
  </w:p>
  <w:p w:rsidR="006079C4" w:rsidRDefault="006079C4" w:rsidP="006079C4">
    <w:pPr>
      <w:rPr>
        <w:sz w:val="20"/>
      </w:rPr>
    </w:pPr>
  </w:p>
  <w:p w:rsidR="006079C4" w:rsidRPr="007A1328" w:rsidRDefault="006079C4" w:rsidP="006079C4">
    <w:pPr>
      <w:rPr>
        <w:sz w:val="20"/>
      </w:rPr>
    </w:pPr>
  </w:p>
  <w:p w:rsidR="006079C4" w:rsidRPr="007A1328" w:rsidRDefault="006079C4" w:rsidP="006079C4">
    <w:pPr>
      <w:rPr>
        <w:b/>
        <w:sz w:val="24"/>
      </w:rPr>
    </w:pPr>
  </w:p>
  <w:p w:rsidR="006079C4" w:rsidRPr="007A1328" w:rsidRDefault="006079C4" w:rsidP="006079C4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23"/>
    <w:rsid w:val="00004174"/>
    <w:rsid w:val="00004470"/>
    <w:rsid w:val="000136AF"/>
    <w:rsid w:val="00023623"/>
    <w:rsid w:val="000258B1"/>
    <w:rsid w:val="00040A89"/>
    <w:rsid w:val="000437C1"/>
    <w:rsid w:val="0004455A"/>
    <w:rsid w:val="0005365D"/>
    <w:rsid w:val="000614BF"/>
    <w:rsid w:val="00063FD0"/>
    <w:rsid w:val="0006709C"/>
    <w:rsid w:val="00074376"/>
    <w:rsid w:val="000974A0"/>
    <w:rsid w:val="000978F5"/>
    <w:rsid w:val="000B15CD"/>
    <w:rsid w:val="000B1BA4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443E"/>
    <w:rsid w:val="001516CB"/>
    <w:rsid w:val="00152336"/>
    <w:rsid w:val="00157B8B"/>
    <w:rsid w:val="00166C2F"/>
    <w:rsid w:val="001809D7"/>
    <w:rsid w:val="0018536E"/>
    <w:rsid w:val="001939E1"/>
    <w:rsid w:val="00194C3E"/>
    <w:rsid w:val="00195382"/>
    <w:rsid w:val="001B2CB6"/>
    <w:rsid w:val="001C61C5"/>
    <w:rsid w:val="001C69C4"/>
    <w:rsid w:val="001D37EF"/>
    <w:rsid w:val="001E3590"/>
    <w:rsid w:val="001E4440"/>
    <w:rsid w:val="001E7407"/>
    <w:rsid w:val="001F5D5E"/>
    <w:rsid w:val="001F6219"/>
    <w:rsid w:val="001F631A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7348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20AC0"/>
    <w:rsid w:val="00335BC6"/>
    <w:rsid w:val="003415D3"/>
    <w:rsid w:val="00344338"/>
    <w:rsid w:val="00344701"/>
    <w:rsid w:val="00352B0F"/>
    <w:rsid w:val="00360459"/>
    <w:rsid w:val="0038049F"/>
    <w:rsid w:val="003900F3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072AD"/>
    <w:rsid w:val="00516B8D"/>
    <w:rsid w:val="005303C8"/>
    <w:rsid w:val="00537FBC"/>
    <w:rsid w:val="00554826"/>
    <w:rsid w:val="00562877"/>
    <w:rsid w:val="00584811"/>
    <w:rsid w:val="00585784"/>
    <w:rsid w:val="00591852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079C4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0D97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30F1"/>
    <w:rsid w:val="00714F20"/>
    <w:rsid w:val="0071590F"/>
    <w:rsid w:val="00715914"/>
    <w:rsid w:val="0072147A"/>
    <w:rsid w:val="00723791"/>
    <w:rsid w:val="00731E00"/>
    <w:rsid w:val="0074010F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358F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0DE4"/>
    <w:rsid w:val="008754D0"/>
    <w:rsid w:val="00875D13"/>
    <w:rsid w:val="00876F99"/>
    <w:rsid w:val="008855C9"/>
    <w:rsid w:val="00886456"/>
    <w:rsid w:val="00896176"/>
    <w:rsid w:val="008A46E1"/>
    <w:rsid w:val="008A4F43"/>
    <w:rsid w:val="008B2706"/>
    <w:rsid w:val="008C2EAC"/>
    <w:rsid w:val="008D0C85"/>
    <w:rsid w:val="008D0EE0"/>
    <w:rsid w:val="008E0027"/>
    <w:rsid w:val="008E6067"/>
    <w:rsid w:val="008F4A9F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602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477F0"/>
    <w:rsid w:val="00B50ADC"/>
    <w:rsid w:val="00B566B1"/>
    <w:rsid w:val="00B63834"/>
    <w:rsid w:val="00B760D1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484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67FC"/>
    <w:rsid w:val="00DE107C"/>
    <w:rsid w:val="00DF2388"/>
    <w:rsid w:val="00E05704"/>
    <w:rsid w:val="00E13839"/>
    <w:rsid w:val="00E17F15"/>
    <w:rsid w:val="00E338EF"/>
    <w:rsid w:val="00E544BB"/>
    <w:rsid w:val="00E74DC7"/>
    <w:rsid w:val="00E8075A"/>
    <w:rsid w:val="00E940D8"/>
    <w:rsid w:val="00E94D5E"/>
    <w:rsid w:val="00EA7100"/>
    <w:rsid w:val="00EA7F9F"/>
    <w:rsid w:val="00EB004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5625"/>
    <w:rsid w:val="00F567F7"/>
    <w:rsid w:val="00F659B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439875-66EF-48D0-9E19-027D79B1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er\Objects\OPC%20template%20-%20principal%20instrument%20(A132395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A1383794</value>
    </field>
    <field name="Objective-Title">
      <value order="0">190321 Agriculture and Veterinary Chemicals Code (Prescribed Variations) Instrument 2019</value>
    </field>
    <field name="Objective-Description">
      <value order="0"/>
    </field>
    <field name="Objective-CreationStamp">
      <value order="0">2019-03-20T02:49:49Z</value>
    </field>
    <field name="Objective-IsApproved">
      <value order="0">false</value>
    </field>
    <field name="Objective-IsPublished">
      <value order="0">true</value>
    </field>
    <field name="Objective-DatePublished">
      <value order="0">2019-03-21T04:22:40Z</value>
    </field>
    <field name="Objective-ModificationStamp">
      <value order="0">2019-03-21T04:22:40Z</value>
    </field>
    <field name="Objective-Owner">
      <value order="0">Dean Ager</value>
    </field>
    <field name="Objective-Path">
      <value order="0">APVMA:LEGAL SERVICES:Legal Services - Legislative Instruments:Agricultural and Veterinary Chemicals Code (Notifiable and Prescribed Variations) - 2018 amendments:Lex 5508- Legislative Instrument - Draft to replace repealed regulations:01 Instruments</value>
    </field>
    <field name="Objective-Parent">
      <value order="0">01 Instruments</value>
    </field>
    <field name="Objective-State">
      <value order="0">Published</value>
    </field>
    <field name="Objective-VersionId">
      <value order="0">vA2178348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qA167127</value>
    </field>
    <field name="Objective-Classification">
      <value order="0">Sensitive: Legal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2.xml><?xml version="1.0" encoding="utf-8"?>
<ds:datastoreItem xmlns:ds="http://schemas.openxmlformats.org/officeDocument/2006/customXml" ds:itemID="{2D0EB815-812B-42FD-ACEF-1607126D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template - principal instrument (A1323959).dotx</Template>
  <TotalTime>5</TotalTime>
  <Pages>7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AGER, Dean</dc:creator>
  <cp:lastModifiedBy>AGER, Dean</cp:lastModifiedBy>
  <cp:revision>6</cp:revision>
  <dcterms:created xsi:type="dcterms:W3CDTF">2019-03-20T02:49:00Z</dcterms:created>
  <dcterms:modified xsi:type="dcterms:W3CDTF">2019-03-21T23:40:00Z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A1383794</vt:lpwstr>
  </property>
  <property fmtid="{D5CDD505-2E9C-101B-9397-08002B2CF9AE}" pid="4" name="Objective-Title">
    <vt:lpwstr>190321 Agriculture and Veterinary Chemicals Code (Prescribed Variations) Instrument 2019</vt:lpwstr>
  </property>
  <property fmtid="{D5CDD505-2E9C-101B-9397-08002B2CF9AE}" pid="5" name="Objective-Description">
    <vt:lpwstr/>
  </property>
  <property fmtid="{D5CDD505-2E9C-101B-9397-08002B2CF9AE}" pid="6" name="Objective-CreationStamp">
    <vt:filetime>2019-03-20T02:49:49Z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2019-03-21T04:22:40Z</vt:filetime>
  </property>
  <property fmtid="{D5CDD505-2E9C-101B-9397-08002B2CF9AE}" pid="10" name="Objective-ModificationStamp">
    <vt:filetime>2019-03-21T04:22:40Z</vt:filetime>
  </property>
  <property fmtid="{D5CDD505-2E9C-101B-9397-08002B2CF9AE}" pid="11" name="Objective-Owner">
    <vt:lpwstr>Dean Ager</vt:lpwstr>
  </property>
  <property fmtid="{D5CDD505-2E9C-101B-9397-08002B2CF9AE}" pid="12" name="Objective-Path">
    <vt:lpwstr>APVMA:LEGAL SERVICES:Legal Services - Legislative Instruments:Agricultural and Veterinary Chemicals Code (Notifiable and Prescribed Variations) - 2018 amendments:Lex 5508- Legislative Instrument - Draft to replace repealed regulations:01 Instruments</vt:lpwstr>
  </property>
  <property fmtid="{D5CDD505-2E9C-101B-9397-08002B2CF9AE}" pid="13" name="Objective-Parent">
    <vt:lpwstr>01 Instruments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vA2178348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qA167127</vt:lpwstr>
  </property>
  <property fmtid="{D5CDD505-2E9C-101B-9397-08002B2CF9AE}" pid="20" name="Objective-Classification">
    <vt:lpwstr>Sensitive: Legal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