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B89" w:rsidRDefault="005B2B89" w:rsidP="003454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EXPLANATORY STATEMENT</w:t>
      </w:r>
    </w:p>
    <w:p w:rsidR="005B2B89" w:rsidRDefault="005B2B89" w:rsidP="0034544F">
      <w:pPr>
        <w:autoSpaceDE w:val="0"/>
        <w:autoSpaceDN w:val="0"/>
        <w:adjustRightInd w:val="0"/>
        <w:spacing w:after="0" w:line="240" w:lineRule="auto"/>
        <w:jc w:val="center"/>
        <w:rPr>
          <w:rFonts w:ascii="Times New Roman" w:hAnsi="Times New Roman" w:cs="Times New Roman"/>
          <w:sz w:val="24"/>
          <w:szCs w:val="24"/>
        </w:rPr>
      </w:pPr>
    </w:p>
    <w:p w:rsidR="005B2B89" w:rsidRPr="008569B9" w:rsidRDefault="0034544F" w:rsidP="0034544F">
      <w:pPr>
        <w:autoSpaceDE w:val="0"/>
        <w:autoSpaceDN w:val="0"/>
        <w:adjustRightInd w:val="0"/>
        <w:spacing w:after="0" w:line="240" w:lineRule="auto"/>
        <w:jc w:val="center"/>
        <w:rPr>
          <w:rFonts w:ascii="Times New Roman" w:hAnsi="Times New Roman" w:cs="Times New Roman"/>
          <w:sz w:val="24"/>
          <w:szCs w:val="24"/>
          <w:u w:val="single"/>
        </w:rPr>
      </w:pPr>
      <w:r w:rsidRPr="008569B9">
        <w:rPr>
          <w:rFonts w:ascii="Times New Roman" w:hAnsi="Times New Roman" w:cs="Times New Roman"/>
          <w:sz w:val="24"/>
          <w:szCs w:val="24"/>
          <w:u w:val="single"/>
        </w:rPr>
        <w:t>Air Navigation (International Airline Licence Exemption) Determination 2019</w:t>
      </w:r>
    </w:p>
    <w:p w:rsidR="0034544F" w:rsidRDefault="0034544F" w:rsidP="005B2B89">
      <w:pPr>
        <w:autoSpaceDE w:val="0"/>
        <w:autoSpaceDN w:val="0"/>
        <w:adjustRightInd w:val="0"/>
        <w:spacing w:after="0" w:line="240" w:lineRule="auto"/>
        <w:rPr>
          <w:rFonts w:ascii="Times New Roman" w:hAnsi="Times New Roman" w:cs="Times New Roman"/>
          <w:sz w:val="24"/>
          <w:szCs w:val="24"/>
        </w:rPr>
      </w:pPr>
    </w:p>
    <w:p w:rsidR="005B2B89" w:rsidRDefault="005B2B89" w:rsidP="005B2B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Determination exempt</w:t>
      </w:r>
      <w:r w:rsidR="006B2F4F">
        <w:rPr>
          <w:rFonts w:ascii="Times New Roman" w:hAnsi="Times New Roman" w:cs="Times New Roman"/>
          <w:sz w:val="24"/>
          <w:szCs w:val="24"/>
        </w:rPr>
        <w:t>s</w:t>
      </w:r>
      <w:r>
        <w:rPr>
          <w:rFonts w:ascii="Times New Roman" w:hAnsi="Times New Roman" w:cs="Times New Roman"/>
          <w:sz w:val="24"/>
          <w:szCs w:val="24"/>
        </w:rPr>
        <w:t xml:space="preserve"> airlines from the requirement to have an international airline licence (IAL) when an airline flies over Australian territory without landing</w:t>
      </w:r>
      <w:r w:rsidR="00C1156E">
        <w:rPr>
          <w:rFonts w:ascii="Times New Roman" w:hAnsi="Times New Roman" w:cs="Times New Roman"/>
          <w:sz w:val="24"/>
          <w:szCs w:val="24"/>
        </w:rPr>
        <w:t xml:space="preserve"> and</w:t>
      </w:r>
      <w:r>
        <w:rPr>
          <w:rFonts w:ascii="Times New Roman" w:hAnsi="Times New Roman" w:cs="Times New Roman"/>
          <w:sz w:val="24"/>
          <w:szCs w:val="24"/>
        </w:rPr>
        <w:t xml:space="preserve"> for airlines that land for non-traffic purposes.</w:t>
      </w:r>
    </w:p>
    <w:p w:rsidR="00C63CD8" w:rsidRDefault="00C63CD8" w:rsidP="005B2B89">
      <w:pPr>
        <w:autoSpaceDE w:val="0"/>
        <w:autoSpaceDN w:val="0"/>
        <w:adjustRightInd w:val="0"/>
        <w:spacing w:after="0" w:line="240" w:lineRule="auto"/>
        <w:rPr>
          <w:rFonts w:ascii="Times New Roman" w:hAnsi="Times New Roman" w:cs="Times New Roman"/>
          <w:sz w:val="24"/>
          <w:szCs w:val="24"/>
        </w:rPr>
      </w:pPr>
    </w:p>
    <w:p w:rsidR="00C9302C" w:rsidRDefault="00C9302C" w:rsidP="00C9302C">
      <w:pPr>
        <w:autoSpaceDE w:val="0"/>
        <w:autoSpaceDN w:val="0"/>
        <w:adjustRightInd w:val="0"/>
        <w:spacing w:after="0" w:line="240" w:lineRule="auto"/>
        <w:rPr>
          <w:rFonts w:ascii="Times New Roman" w:hAnsi="Times New Roman" w:cs="Times New Roman"/>
          <w:sz w:val="24"/>
          <w:szCs w:val="24"/>
          <w:lang w:val="x-none"/>
        </w:rPr>
      </w:pPr>
      <w:r w:rsidRPr="00C9302C">
        <w:rPr>
          <w:rFonts w:ascii="Times New Roman" w:hAnsi="Times New Roman" w:cs="Times New Roman"/>
          <w:sz w:val="24"/>
          <w:szCs w:val="24"/>
        </w:rPr>
        <w:t xml:space="preserve">The </w:t>
      </w:r>
      <w:r>
        <w:rPr>
          <w:rFonts w:ascii="Times New Roman" w:hAnsi="Times New Roman" w:cs="Times New Roman"/>
          <w:sz w:val="24"/>
          <w:szCs w:val="24"/>
        </w:rPr>
        <w:t xml:space="preserve">Determination </w:t>
      </w:r>
      <w:r w:rsidRPr="00C9302C">
        <w:rPr>
          <w:rFonts w:ascii="Times New Roman" w:hAnsi="Times New Roman" w:cs="Times New Roman"/>
          <w:sz w:val="24"/>
          <w:szCs w:val="24"/>
        </w:rPr>
        <w:t>remake</w:t>
      </w:r>
      <w:r w:rsidR="001B57D5">
        <w:rPr>
          <w:rFonts w:ascii="Times New Roman" w:hAnsi="Times New Roman" w:cs="Times New Roman"/>
          <w:sz w:val="24"/>
          <w:szCs w:val="24"/>
        </w:rPr>
        <w:t>s</w:t>
      </w:r>
      <w:r w:rsidRPr="00C9302C">
        <w:rPr>
          <w:rFonts w:ascii="Times New Roman" w:hAnsi="Times New Roman" w:cs="Times New Roman"/>
          <w:sz w:val="24"/>
          <w:szCs w:val="24"/>
        </w:rPr>
        <w:t xml:space="preserve">, without any significant changes, </w:t>
      </w:r>
      <w:r>
        <w:rPr>
          <w:rFonts w:ascii="Times New Roman" w:hAnsi="Times New Roman" w:cs="Times New Roman"/>
          <w:sz w:val="24"/>
          <w:szCs w:val="24"/>
        </w:rPr>
        <w:t xml:space="preserve">the </w:t>
      </w:r>
      <w:r w:rsidRPr="00D261BB">
        <w:rPr>
          <w:rFonts w:ascii="Times New Roman" w:hAnsi="Times New Roman" w:cs="Times New Roman"/>
          <w:i/>
          <w:sz w:val="24"/>
          <w:szCs w:val="24"/>
        </w:rPr>
        <w:t>De</w:t>
      </w:r>
      <w:r w:rsidR="00EF33DA">
        <w:rPr>
          <w:rFonts w:ascii="Times New Roman" w:hAnsi="Times New Roman" w:cs="Times New Roman"/>
          <w:i/>
          <w:sz w:val="24"/>
          <w:szCs w:val="24"/>
        </w:rPr>
        <w:t>termination under subsection 12</w:t>
      </w:r>
      <w:r w:rsidRPr="00D261BB">
        <w:rPr>
          <w:rFonts w:ascii="Times New Roman" w:hAnsi="Times New Roman" w:cs="Times New Roman"/>
          <w:i/>
          <w:sz w:val="24"/>
          <w:szCs w:val="24"/>
        </w:rPr>
        <w:t>(3) of the Air Navigation Act 1920</w:t>
      </w:r>
      <w:r>
        <w:rPr>
          <w:rFonts w:ascii="Times New Roman" w:hAnsi="Times New Roman" w:cs="Times New Roman"/>
          <w:sz w:val="24"/>
          <w:szCs w:val="24"/>
        </w:rPr>
        <w:t xml:space="preserve"> made on 16 December 2008</w:t>
      </w:r>
      <w:r w:rsidR="001B57D5">
        <w:rPr>
          <w:rFonts w:ascii="Times New Roman" w:hAnsi="Times New Roman" w:cs="Times New Roman"/>
          <w:sz w:val="24"/>
          <w:szCs w:val="24"/>
        </w:rPr>
        <w:t>,</w:t>
      </w:r>
      <w:r>
        <w:rPr>
          <w:rFonts w:ascii="Times New Roman" w:hAnsi="Times New Roman" w:cs="Times New Roman"/>
          <w:sz w:val="24"/>
          <w:szCs w:val="24"/>
        </w:rPr>
        <w:t xml:space="preserve"> which was due to sunset on 1 April 2019. Minor </w:t>
      </w:r>
      <w:r w:rsidRPr="00C9302C">
        <w:rPr>
          <w:rFonts w:ascii="Times New Roman" w:hAnsi="Times New Roman" w:cs="Times New Roman"/>
          <w:sz w:val="24"/>
          <w:szCs w:val="24"/>
        </w:rPr>
        <w:t xml:space="preserve">changes were made to reflect modern drafting conventions and </w:t>
      </w:r>
      <w:r w:rsidR="00FC1AEC">
        <w:rPr>
          <w:rFonts w:ascii="Times New Roman" w:hAnsi="Times New Roman" w:cs="Times New Roman"/>
          <w:sz w:val="24"/>
          <w:szCs w:val="24"/>
        </w:rPr>
        <w:t xml:space="preserve">to </w:t>
      </w:r>
      <w:r w:rsidRPr="00C9302C">
        <w:rPr>
          <w:rFonts w:ascii="Times New Roman" w:hAnsi="Times New Roman" w:cs="Times New Roman"/>
          <w:sz w:val="24"/>
          <w:szCs w:val="24"/>
        </w:rPr>
        <w:t xml:space="preserve">remove </w:t>
      </w:r>
      <w:r w:rsidR="001B57D5">
        <w:rPr>
          <w:rFonts w:ascii="Times New Roman" w:hAnsi="Times New Roman" w:cs="Times New Roman"/>
          <w:sz w:val="24"/>
          <w:szCs w:val="24"/>
        </w:rPr>
        <w:t>a</w:t>
      </w:r>
      <w:r w:rsidR="00FC1AEC">
        <w:rPr>
          <w:rFonts w:ascii="Times New Roman" w:hAnsi="Times New Roman" w:cs="Times New Roman"/>
          <w:sz w:val="24"/>
          <w:szCs w:val="24"/>
        </w:rPr>
        <w:t xml:space="preserve"> </w:t>
      </w:r>
      <w:r w:rsidRPr="00C9302C">
        <w:rPr>
          <w:rFonts w:ascii="Times New Roman" w:hAnsi="Times New Roman" w:cs="Times New Roman"/>
          <w:sz w:val="24"/>
          <w:szCs w:val="24"/>
        </w:rPr>
        <w:t>redundant provision</w:t>
      </w:r>
      <w:r w:rsidR="00FC1AEC">
        <w:rPr>
          <w:rFonts w:ascii="Times New Roman" w:hAnsi="Times New Roman" w:cs="Times New Roman"/>
          <w:sz w:val="24"/>
          <w:szCs w:val="24"/>
        </w:rPr>
        <w:t xml:space="preserve"> referr</w:t>
      </w:r>
      <w:r w:rsidR="001B57D5">
        <w:rPr>
          <w:rFonts w:ascii="Times New Roman" w:hAnsi="Times New Roman" w:cs="Times New Roman"/>
          <w:sz w:val="24"/>
          <w:szCs w:val="24"/>
        </w:rPr>
        <w:t>ing</w:t>
      </w:r>
      <w:r w:rsidR="00FC1AEC">
        <w:rPr>
          <w:rFonts w:ascii="Times New Roman" w:hAnsi="Times New Roman" w:cs="Times New Roman"/>
          <w:sz w:val="24"/>
          <w:szCs w:val="24"/>
        </w:rPr>
        <w:t xml:space="preserve"> </w:t>
      </w:r>
      <w:r w:rsidR="00FC1AEC" w:rsidRPr="00FC1AEC">
        <w:rPr>
          <w:rFonts w:ascii="Times New Roman" w:hAnsi="Times New Roman" w:cs="Times New Roman"/>
          <w:sz w:val="24"/>
          <w:szCs w:val="24"/>
        </w:rPr>
        <w:t xml:space="preserve">to approvals under subsection 12(1B) of the </w:t>
      </w:r>
      <w:r w:rsidR="00FC1AEC" w:rsidRPr="00FC1AEC">
        <w:rPr>
          <w:rFonts w:ascii="Times New Roman" w:hAnsi="Times New Roman" w:cs="Times New Roman"/>
          <w:i/>
          <w:sz w:val="24"/>
          <w:szCs w:val="24"/>
        </w:rPr>
        <w:t>Air Navigation Act 1920</w:t>
      </w:r>
      <w:r w:rsidR="00FC1AEC">
        <w:rPr>
          <w:rFonts w:ascii="Times New Roman" w:hAnsi="Times New Roman" w:cs="Times New Roman"/>
          <w:sz w:val="24"/>
          <w:szCs w:val="24"/>
        </w:rPr>
        <w:t xml:space="preserve"> (the Act)</w:t>
      </w:r>
      <w:r w:rsidR="001B57D5">
        <w:rPr>
          <w:rFonts w:ascii="Times New Roman" w:hAnsi="Times New Roman" w:cs="Times New Roman"/>
          <w:sz w:val="24"/>
          <w:szCs w:val="24"/>
        </w:rPr>
        <w:t xml:space="preserve">. This power has </w:t>
      </w:r>
      <w:r w:rsidR="00FC1AEC">
        <w:rPr>
          <w:rFonts w:ascii="Times New Roman" w:hAnsi="Times New Roman" w:cs="Times New Roman"/>
          <w:sz w:val="24"/>
          <w:szCs w:val="24"/>
        </w:rPr>
        <w:t xml:space="preserve">since </w:t>
      </w:r>
      <w:r w:rsidR="00FC1AEC" w:rsidRPr="00FC1AEC">
        <w:rPr>
          <w:rFonts w:ascii="Times New Roman" w:hAnsi="Times New Roman" w:cs="Times New Roman"/>
          <w:sz w:val="24"/>
          <w:szCs w:val="24"/>
        </w:rPr>
        <w:t>been repealed.</w:t>
      </w:r>
    </w:p>
    <w:p w:rsidR="00C9302C" w:rsidRDefault="00C9302C" w:rsidP="00C9302C">
      <w:pPr>
        <w:autoSpaceDE w:val="0"/>
        <w:autoSpaceDN w:val="0"/>
        <w:adjustRightInd w:val="0"/>
        <w:spacing w:after="0" w:line="240" w:lineRule="auto"/>
        <w:rPr>
          <w:rFonts w:ascii="Times New Roman" w:hAnsi="Times New Roman" w:cs="Times New Roman"/>
          <w:sz w:val="24"/>
          <w:szCs w:val="24"/>
          <w:lang w:val="x-none"/>
        </w:rPr>
      </w:pPr>
    </w:p>
    <w:p w:rsidR="00C9302C" w:rsidRDefault="00EF33DA" w:rsidP="00C9302C">
      <w:pPr>
        <w:autoSpaceDE w:val="0"/>
        <w:autoSpaceDN w:val="0"/>
        <w:adjustRightInd w:val="0"/>
        <w:spacing w:after="0" w:line="240" w:lineRule="auto"/>
        <w:rPr>
          <w:rFonts w:ascii="TimesNewRoman" w:hAnsi="TimesNewRoman" w:cs="Calibri"/>
          <w:color w:val="000000"/>
          <w:sz w:val="20"/>
          <w:szCs w:val="20"/>
          <w:lang w:val="x-none"/>
        </w:rPr>
      </w:pPr>
      <w:r>
        <w:rPr>
          <w:rFonts w:ascii="Times New Roman" w:hAnsi="Times New Roman" w:cs="Times New Roman"/>
          <w:sz w:val="24"/>
          <w:szCs w:val="24"/>
          <w:lang w:val="x-none"/>
        </w:rPr>
        <w:t>Under subsection 33</w:t>
      </w:r>
      <w:bookmarkStart w:id="0" w:name="_GoBack"/>
      <w:bookmarkEnd w:id="0"/>
      <w:r w:rsidR="00C9302C" w:rsidRPr="00C9302C">
        <w:rPr>
          <w:rFonts w:ascii="Times New Roman" w:hAnsi="Times New Roman" w:cs="Times New Roman"/>
          <w:sz w:val="24"/>
          <w:szCs w:val="24"/>
          <w:lang w:val="x-none"/>
        </w:rPr>
        <w:t xml:space="preserve">(3) of the </w:t>
      </w:r>
      <w:r w:rsidR="00C9302C" w:rsidRPr="00C9302C">
        <w:rPr>
          <w:rFonts w:ascii="Times New Roman" w:hAnsi="Times New Roman" w:cs="Times New Roman"/>
          <w:i/>
          <w:iCs/>
          <w:sz w:val="24"/>
          <w:szCs w:val="24"/>
          <w:lang w:val="x-none"/>
        </w:rPr>
        <w:t xml:space="preserve">Acts Interpretation Act 1901, </w:t>
      </w:r>
      <w:r w:rsidR="00C9302C" w:rsidRPr="00C9302C">
        <w:rPr>
          <w:rFonts w:ascii="Times New Roman" w:hAnsi="Times New Roman" w:cs="Times New Roman"/>
          <w:sz w:val="24"/>
          <w:szCs w:val="24"/>
          <w:lang w:val="x-none"/>
        </w:rPr>
        <w:t>where an Act confers a power</w:t>
      </w:r>
      <w:r w:rsidR="00C9302C">
        <w:rPr>
          <w:rFonts w:ascii="Times New Roman" w:hAnsi="Times New Roman" w:cs="Times New Roman"/>
          <w:sz w:val="24"/>
          <w:szCs w:val="24"/>
          <w:lang w:val="en-US"/>
        </w:rPr>
        <w:t xml:space="preserve"> </w:t>
      </w:r>
      <w:r w:rsidR="00C9302C" w:rsidRPr="00C9302C">
        <w:rPr>
          <w:rFonts w:ascii="Times New Roman" w:hAnsi="Times New Roman" w:cs="Times New Roman"/>
          <w:sz w:val="24"/>
          <w:szCs w:val="24"/>
          <w:lang w:val="x-none"/>
        </w:rPr>
        <w:t>to make, grant or issue any instrument of a legislative or administrative character</w:t>
      </w:r>
      <w:r w:rsidR="00C9302C">
        <w:rPr>
          <w:rFonts w:ascii="Times New Roman" w:hAnsi="Times New Roman" w:cs="Times New Roman"/>
          <w:sz w:val="24"/>
          <w:szCs w:val="24"/>
          <w:lang w:val="en-US"/>
        </w:rPr>
        <w:t xml:space="preserve"> </w:t>
      </w:r>
      <w:r w:rsidR="00C9302C" w:rsidRPr="00C9302C">
        <w:rPr>
          <w:rFonts w:ascii="Times New Roman" w:hAnsi="Times New Roman" w:cs="Times New Roman"/>
          <w:sz w:val="24"/>
          <w:szCs w:val="24"/>
          <w:lang w:val="x-none"/>
        </w:rPr>
        <w:t>(including rules, regulations or by-laws), the power shall be construed as including a power</w:t>
      </w:r>
      <w:r w:rsidR="00C9302C">
        <w:rPr>
          <w:rFonts w:ascii="Times New Roman" w:hAnsi="Times New Roman" w:cs="Times New Roman"/>
          <w:sz w:val="24"/>
          <w:szCs w:val="24"/>
          <w:lang w:val="en-US"/>
        </w:rPr>
        <w:t xml:space="preserve"> </w:t>
      </w:r>
      <w:r w:rsidR="00C9302C" w:rsidRPr="00C9302C">
        <w:rPr>
          <w:rFonts w:ascii="Times New Roman" w:hAnsi="Times New Roman" w:cs="Times New Roman"/>
          <w:sz w:val="24"/>
          <w:szCs w:val="24"/>
          <w:lang w:val="x-none"/>
        </w:rPr>
        <w:t>exercisable in the like manner and subject to the like conditions (if any) to repeal, rescind,</w:t>
      </w:r>
      <w:r w:rsidR="00C9302C">
        <w:rPr>
          <w:rFonts w:ascii="Times New Roman" w:hAnsi="Times New Roman" w:cs="Times New Roman"/>
          <w:sz w:val="24"/>
          <w:szCs w:val="24"/>
          <w:lang w:val="en-US"/>
        </w:rPr>
        <w:t xml:space="preserve"> </w:t>
      </w:r>
      <w:r w:rsidR="00C9302C" w:rsidRPr="00C9302C">
        <w:rPr>
          <w:rFonts w:ascii="Times New Roman" w:hAnsi="Times New Roman" w:cs="Times New Roman"/>
          <w:sz w:val="24"/>
          <w:szCs w:val="24"/>
          <w:lang w:val="x-none"/>
        </w:rPr>
        <w:t>revoke, amend, or vary any such instrument.</w:t>
      </w:r>
    </w:p>
    <w:p w:rsidR="005B2B89" w:rsidRDefault="005B2B89" w:rsidP="005B2B89">
      <w:pPr>
        <w:autoSpaceDE w:val="0"/>
        <w:autoSpaceDN w:val="0"/>
        <w:adjustRightInd w:val="0"/>
        <w:spacing w:after="0" w:line="240" w:lineRule="auto"/>
        <w:rPr>
          <w:rFonts w:ascii="Times New Roman" w:hAnsi="Times New Roman" w:cs="Times New Roman"/>
          <w:sz w:val="24"/>
          <w:szCs w:val="24"/>
        </w:rPr>
      </w:pPr>
    </w:p>
    <w:p w:rsidR="001B57D5" w:rsidRDefault="002B09D3" w:rsidP="006B2F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Paragraphs 1 to 4</w:t>
      </w:r>
      <w:r w:rsidR="0034544F">
        <w:rPr>
          <w:rFonts w:ascii="Times New Roman" w:hAnsi="Times New Roman" w:cs="Times New Roman"/>
          <w:sz w:val="24"/>
          <w:szCs w:val="24"/>
        </w:rPr>
        <w:t xml:space="preserve"> refer to machinery provisions associated with the making of this instrument, including the name of the instrument, the commencement date, the authority </w:t>
      </w:r>
      <w:r w:rsidR="006B2F4F">
        <w:rPr>
          <w:rFonts w:ascii="Times New Roman" w:hAnsi="Times New Roman" w:cs="Times New Roman"/>
          <w:sz w:val="24"/>
          <w:szCs w:val="24"/>
        </w:rPr>
        <w:t>under which the instrument is made</w:t>
      </w:r>
      <w:r>
        <w:rPr>
          <w:rFonts w:ascii="Times New Roman" w:hAnsi="Times New Roman" w:cs="Times New Roman"/>
          <w:sz w:val="24"/>
          <w:szCs w:val="24"/>
        </w:rPr>
        <w:t xml:space="preserve">, and </w:t>
      </w:r>
      <w:r w:rsidR="006B2F4F">
        <w:rPr>
          <w:rFonts w:ascii="Times New Roman" w:hAnsi="Times New Roman" w:cs="Times New Roman"/>
          <w:sz w:val="24"/>
          <w:szCs w:val="24"/>
        </w:rPr>
        <w:t>definitions</w:t>
      </w:r>
      <w:r w:rsidR="001B57D5">
        <w:rPr>
          <w:rFonts w:ascii="Times New Roman" w:hAnsi="Times New Roman" w:cs="Times New Roman"/>
          <w:sz w:val="24"/>
          <w:szCs w:val="24"/>
        </w:rPr>
        <w:t>.</w:t>
      </w:r>
    </w:p>
    <w:p w:rsidR="001B57D5" w:rsidRDefault="001B57D5" w:rsidP="006B2F4F">
      <w:pPr>
        <w:autoSpaceDE w:val="0"/>
        <w:autoSpaceDN w:val="0"/>
        <w:adjustRightInd w:val="0"/>
        <w:spacing w:after="0" w:line="240" w:lineRule="auto"/>
        <w:rPr>
          <w:rFonts w:ascii="Times New Roman" w:hAnsi="Times New Roman" w:cs="Times New Roman"/>
          <w:sz w:val="24"/>
          <w:szCs w:val="24"/>
        </w:rPr>
      </w:pPr>
    </w:p>
    <w:p w:rsidR="006B2F4F" w:rsidRDefault="006B2F4F" w:rsidP="006B2F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Paragraph 5 refers to Schedule 1 of the instrument which repeals the </w:t>
      </w:r>
      <w:r w:rsidR="00C9302C">
        <w:rPr>
          <w:rFonts w:ascii="Times New Roman" w:hAnsi="Times New Roman" w:cs="Times New Roman"/>
          <w:sz w:val="24"/>
          <w:szCs w:val="24"/>
        </w:rPr>
        <w:t>previous D</w:t>
      </w:r>
      <w:r>
        <w:rPr>
          <w:rFonts w:ascii="Times New Roman" w:hAnsi="Times New Roman" w:cs="Times New Roman"/>
          <w:sz w:val="24"/>
          <w:szCs w:val="24"/>
        </w:rPr>
        <w:t>etermination</w:t>
      </w:r>
      <w:r w:rsidR="002B09D3">
        <w:rPr>
          <w:rFonts w:ascii="Times New Roman" w:hAnsi="Times New Roman" w:cs="Times New Roman"/>
          <w:iCs/>
          <w:sz w:val="24"/>
          <w:szCs w:val="24"/>
        </w:rPr>
        <w:t xml:space="preserve"> made in 2008.</w:t>
      </w:r>
    </w:p>
    <w:p w:rsidR="0034544F" w:rsidRDefault="0034544F" w:rsidP="005B2B89">
      <w:pPr>
        <w:autoSpaceDE w:val="0"/>
        <w:autoSpaceDN w:val="0"/>
        <w:adjustRightInd w:val="0"/>
        <w:spacing w:after="0" w:line="240" w:lineRule="auto"/>
        <w:rPr>
          <w:rFonts w:ascii="Times New Roman" w:hAnsi="Times New Roman" w:cs="Times New Roman"/>
          <w:sz w:val="24"/>
          <w:szCs w:val="24"/>
        </w:rPr>
      </w:pPr>
    </w:p>
    <w:p w:rsidR="006B2F4F" w:rsidRDefault="006B2F4F" w:rsidP="005B2B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Paragraph 6 sets out the circumstances under which scheduled international air services may be operated other than in accordance with an IAL.</w:t>
      </w:r>
    </w:p>
    <w:p w:rsidR="006B2F4F" w:rsidRDefault="006B2F4F" w:rsidP="005B2B89">
      <w:pPr>
        <w:autoSpaceDE w:val="0"/>
        <w:autoSpaceDN w:val="0"/>
        <w:adjustRightInd w:val="0"/>
        <w:spacing w:after="0" w:line="240" w:lineRule="auto"/>
        <w:rPr>
          <w:rFonts w:ascii="Times New Roman" w:hAnsi="Times New Roman" w:cs="Times New Roman"/>
          <w:sz w:val="24"/>
          <w:szCs w:val="24"/>
        </w:rPr>
      </w:pPr>
    </w:p>
    <w:p w:rsidR="005B2B89" w:rsidRDefault="005B2B89" w:rsidP="005B2B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system of IALs ensures that scheduled international air services are operated in accordance with bilateral air services agreements and arrangements between Australia and our international aviation partners. They also act as a final checking mechanism to ensure that various safety and security approvals are in place prior to the commencement of air operations. Subsection 12(1) of the</w:t>
      </w:r>
      <w:r w:rsidR="00C9302C">
        <w:rPr>
          <w:rFonts w:ascii="Times New Roman" w:hAnsi="Times New Roman" w:cs="Times New Roman"/>
          <w:sz w:val="24"/>
          <w:szCs w:val="24"/>
        </w:rPr>
        <w:t xml:space="preserve"> Act p</w:t>
      </w:r>
      <w:r>
        <w:rPr>
          <w:rFonts w:ascii="Times New Roman" w:hAnsi="Times New Roman" w:cs="Times New Roman"/>
          <w:sz w:val="24"/>
          <w:szCs w:val="24"/>
        </w:rPr>
        <w:t>rovides that international airlines shall not operate scheduled international air services over, into or out of Australian territory except in accordance with an IAL.</w:t>
      </w:r>
    </w:p>
    <w:p w:rsidR="005B2B89" w:rsidRDefault="005B2B89" w:rsidP="005B2B89">
      <w:pPr>
        <w:autoSpaceDE w:val="0"/>
        <w:autoSpaceDN w:val="0"/>
        <w:adjustRightInd w:val="0"/>
        <w:spacing w:after="0" w:line="240" w:lineRule="auto"/>
        <w:rPr>
          <w:rFonts w:ascii="Times New Roman" w:hAnsi="Times New Roman" w:cs="Times New Roman"/>
          <w:sz w:val="24"/>
          <w:szCs w:val="24"/>
        </w:rPr>
      </w:pPr>
    </w:p>
    <w:p w:rsidR="005B2B89" w:rsidRDefault="005B2B89" w:rsidP="005B2B89">
      <w:pPr>
        <w:autoSpaceDE w:val="0"/>
        <w:autoSpaceDN w:val="0"/>
        <w:adjustRightInd w:val="0"/>
        <w:spacing w:after="0" w:line="240" w:lineRule="auto"/>
        <w:rPr>
          <w:rFonts w:ascii="Times New Roman" w:hAnsi="Times New Roman" w:cs="Times New Roman"/>
          <w:sz w:val="24"/>
          <w:szCs w:val="24"/>
        </w:rPr>
      </w:pPr>
      <w:r w:rsidRPr="006B2F4F">
        <w:rPr>
          <w:rFonts w:ascii="Times New Roman" w:hAnsi="Times New Roman" w:cs="Times New Roman"/>
          <w:sz w:val="24"/>
          <w:szCs w:val="24"/>
        </w:rPr>
        <w:t xml:space="preserve">Paragraph </w:t>
      </w:r>
      <w:r w:rsidR="00C63CD8">
        <w:rPr>
          <w:rFonts w:ascii="Times New Roman" w:hAnsi="Times New Roman" w:cs="Times New Roman"/>
          <w:sz w:val="24"/>
          <w:szCs w:val="24"/>
        </w:rPr>
        <w:t>6</w:t>
      </w:r>
      <w:r w:rsidRPr="006B2F4F">
        <w:rPr>
          <w:rFonts w:ascii="Times New Roman" w:hAnsi="Times New Roman" w:cs="Times New Roman"/>
          <w:sz w:val="24"/>
          <w:szCs w:val="24"/>
        </w:rPr>
        <w:t>(a)</w:t>
      </w:r>
      <w:r>
        <w:rPr>
          <w:rFonts w:ascii="Times New Roman" w:hAnsi="Times New Roman" w:cs="Times New Roman"/>
          <w:sz w:val="24"/>
          <w:szCs w:val="24"/>
        </w:rPr>
        <w:t xml:space="preserve"> </w:t>
      </w:r>
      <w:r w:rsidR="00C1156E">
        <w:rPr>
          <w:rFonts w:ascii="Times New Roman" w:hAnsi="Times New Roman" w:cs="Times New Roman"/>
          <w:sz w:val="24"/>
          <w:szCs w:val="24"/>
        </w:rPr>
        <w:t>provides</w:t>
      </w:r>
      <w:r>
        <w:rPr>
          <w:rFonts w:ascii="Times New Roman" w:hAnsi="Times New Roman" w:cs="Times New Roman"/>
          <w:sz w:val="24"/>
          <w:szCs w:val="24"/>
        </w:rPr>
        <w:t xml:space="preserve"> an exemption to this requirement for services that operate over Australian territory without landing. Over-flight rights are not regulated by Australia’s air services agreements, as Australia is a signatory to the International Air Transit Agreement of 1944 which grants this right to airlines of all contracting states, including all of </w:t>
      </w:r>
      <w:r w:rsidR="0044493E">
        <w:rPr>
          <w:rFonts w:ascii="Times New Roman" w:hAnsi="Times New Roman" w:cs="Times New Roman"/>
          <w:sz w:val="24"/>
          <w:szCs w:val="24"/>
        </w:rPr>
        <w:t xml:space="preserve">Australia’s </w:t>
      </w:r>
      <w:r>
        <w:rPr>
          <w:rFonts w:ascii="Times New Roman" w:hAnsi="Times New Roman" w:cs="Times New Roman"/>
          <w:sz w:val="24"/>
          <w:szCs w:val="24"/>
        </w:rPr>
        <w:t>major aviation partners. There is therefore no need to check over-flights are operated in accordance with a bilateral agreement.</w:t>
      </w:r>
    </w:p>
    <w:p w:rsidR="005B2B89" w:rsidRDefault="005B2B89" w:rsidP="005B2B89">
      <w:pPr>
        <w:autoSpaceDE w:val="0"/>
        <w:autoSpaceDN w:val="0"/>
        <w:adjustRightInd w:val="0"/>
        <w:spacing w:after="0" w:line="240" w:lineRule="auto"/>
        <w:rPr>
          <w:rFonts w:ascii="Times New Roman" w:hAnsi="Times New Roman" w:cs="Times New Roman"/>
          <w:sz w:val="24"/>
          <w:szCs w:val="24"/>
        </w:rPr>
      </w:pPr>
    </w:p>
    <w:p w:rsidR="005B2B89" w:rsidRDefault="005B2B89" w:rsidP="005B2B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addition, Australia’s safety and security agencies do not require airlines to obtain prior safety or security approvals to overfly Australian territory without landing. The IAL system’s role in providing an additional checking mechanism for safety and security approvals therefore does not serve any purpose in these circumstances.</w:t>
      </w:r>
    </w:p>
    <w:p w:rsidR="005B2B89" w:rsidRDefault="005B2B89" w:rsidP="005B2B89">
      <w:pPr>
        <w:autoSpaceDE w:val="0"/>
        <w:autoSpaceDN w:val="0"/>
        <w:adjustRightInd w:val="0"/>
        <w:spacing w:after="0" w:line="240" w:lineRule="auto"/>
        <w:rPr>
          <w:rFonts w:ascii="Times New Roman" w:hAnsi="Times New Roman" w:cs="Times New Roman"/>
          <w:sz w:val="24"/>
          <w:szCs w:val="24"/>
        </w:rPr>
      </w:pPr>
    </w:p>
    <w:p w:rsidR="005B2B89" w:rsidRDefault="005B2B89" w:rsidP="005B2B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Department has not in the past enforced the requirement to have an international airline licence for over-flights. The requirement would have been difficult to enforce in practice and would not have resulted in a significant safety, security or economic regulatory outcome.</w:t>
      </w:r>
    </w:p>
    <w:p w:rsidR="005B2B89" w:rsidRDefault="005B2B89" w:rsidP="005B2B89">
      <w:pPr>
        <w:autoSpaceDE w:val="0"/>
        <w:autoSpaceDN w:val="0"/>
        <w:adjustRightInd w:val="0"/>
        <w:spacing w:after="0" w:line="240" w:lineRule="auto"/>
        <w:rPr>
          <w:rFonts w:ascii="Times New Roman" w:hAnsi="Times New Roman" w:cs="Times New Roman"/>
          <w:sz w:val="24"/>
          <w:szCs w:val="24"/>
        </w:rPr>
      </w:pPr>
    </w:p>
    <w:p w:rsidR="005B2B89" w:rsidRDefault="005B2B89" w:rsidP="005B2B89">
      <w:pPr>
        <w:autoSpaceDE w:val="0"/>
        <w:autoSpaceDN w:val="0"/>
        <w:adjustRightInd w:val="0"/>
        <w:spacing w:after="0" w:line="240" w:lineRule="auto"/>
        <w:rPr>
          <w:rFonts w:ascii="Times New Roman" w:hAnsi="Times New Roman" w:cs="Times New Roman"/>
          <w:sz w:val="24"/>
          <w:szCs w:val="24"/>
        </w:rPr>
      </w:pPr>
      <w:r w:rsidRPr="006B2F4F">
        <w:rPr>
          <w:rFonts w:ascii="Times New Roman" w:hAnsi="Times New Roman" w:cs="Times New Roman"/>
          <w:sz w:val="24"/>
          <w:szCs w:val="24"/>
        </w:rPr>
        <w:t xml:space="preserve">Paragraph </w:t>
      </w:r>
      <w:r w:rsidR="00C63CD8">
        <w:rPr>
          <w:rFonts w:ascii="Times New Roman" w:hAnsi="Times New Roman" w:cs="Times New Roman"/>
          <w:sz w:val="24"/>
          <w:szCs w:val="24"/>
        </w:rPr>
        <w:t>6</w:t>
      </w:r>
      <w:r w:rsidRPr="006B2F4F">
        <w:rPr>
          <w:rFonts w:ascii="Times New Roman" w:hAnsi="Times New Roman" w:cs="Times New Roman"/>
          <w:sz w:val="24"/>
          <w:szCs w:val="24"/>
        </w:rPr>
        <w:t>(b)</w:t>
      </w:r>
      <w:r w:rsidRPr="00175BBD">
        <w:rPr>
          <w:rFonts w:ascii="Times New Roman" w:hAnsi="Times New Roman" w:cs="Times New Roman"/>
          <w:sz w:val="24"/>
          <w:szCs w:val="24"/>
        </w:rPr>
        <w:t xml:space="preserve"> </w:t>
      </w:r>
      <w:r w:rsidR="00D6009D">
        <w:rPr>
          <w:rFonts w:ascii="Times New Roman" w:hAnsi="Times New Roman" w:cs="Times New Roman"/>
          <w:sz w:val="24"/>
          <w:szCs w:val="24"/>
        </w:rPr>
        <w:t xml:space="preserve">exempts airlines from the requirement to have an </w:t>
      </w:r>
      <w:r w:rsidR="0044493E" w:rsidRPr="00175BBD">
        <w:rPr>
          <w:rFonts w:ascii="Times New Roman" w:hAnsi="Times New Roman" w:cs="Times New Roman"/>
          <w:sz w:val="24"/>
          <w:szCs w:val="24"/>
        </w:rPr>
        <w:t>IAL for services that land in Australia</w:t>
      </w:r>
      <w:r w:rsidR="00565AA3">
        <w:rPr>
          <w:rFonts w:ascii="Times New Roman" w:hAnsi="Times New Roman" w:cs="Times New Roman"/>
          <w:sz w:val="24"/>
          <w:szCs w:val="24"/>
        </w:rPr>
        <w:t xml:space="preserve"> only</w:t>
      </w:r>
      <w:r w:rsidR="0044493E" w:rsidRPr="00175BBD">
        <w:rPr>
          <w:rFonts w:ascii="Times New Roman" w:hAnsi="Times New Roman" w:cs="Times New Roman"/>
          <w:sz w:val="24"/>
          <w:szCs w:val="24"/>
        </w:rPr>
        <w:t xml:space="preserve"> </w:t>
      </w:r>
      <w:r w:rsidRPr="00175BBD">
        <w:rPr>
          <w:rFonts w:ascii="Times New Roman" w:hAnsi="Times New Roman" w:cs="Times New Roman"/>
          <w:sz w:val="24"/>
          <w:szCs w:val="24"/>
        </w:rPr>
        <w:t>for non-traffic stops (landing in Australian territory without setting down or taking on passengers or cargo for reward or hire).</w:t>
      </w:r>
      <w:r w:rsidR="0044493E" w:rsidRPr="00175BBD">
        <w:rPr>
          <w:rFonts w:ascii="Times New Roman" w:hAnsi="Times New Roman" w:cs="Times New Roman"/>
          <w:sz w:val="24"/>
          <w:szCs w:val="24"/>
        </w:rPr>
        <w:t xml:space="preserve"> The International Air Transit Agreement of 1944 also grants this right to airlines of all contracting states, including all of Australia’s major aviation partners. Such services remain subject to relevant safety and security approvals.</w:t>
      </w:r>
    </w:p>
    <w:p w:rsidR="00C15FA5" w:rsidRDefault="00C15FA5" w:rsidP="005B2B89">
      <w:pPr>
        <w:autoSpaceDE w:val="0"/>
        <w:autoSpaceDN w:val="0"/>
        <w:adjustRightInd w:val="0"/>
        <w:spacing w:after="0" w:line="240" w:lineRule="auto"/>
        <w:rPr>
          <w:rFonts w:ascii="Times New Roman" w:hAnsi="Times New Roman" w:cs="Times New Roman"/>
          <w:sz w:val="24"/>
          <w:szCs w:val="24"/>
        </w:rPr>
      </w:pPr>
    </w:p>
    <w:p w:rsidR="005B2B89" w:rsidRDefault="00C15FA5" w:rsidP="005B2B89">
      <w:pPr>
        <w:autoSpaceDE w:val="0"/>
        <w:autoSpaceDN w:val="0"/>
        <w:adjustRightInd w:val="0"/>
        <w:spacing w:after="0" w:line="240" w:lineRule="auto"/>
        <w:rPr>
          <w:rFonts w:ascii="Times New Roman" w:hAnsi="Times New Roman" w:cs="Times New Roman"/>
          <w:sz w:val="24"/>
          <w:szCs w:val="24"/>
        </w:rPr>
      </w:pPr>
      <w:r w:rsidRPr="00C15FA5">
        <w:rPr>
          <w:rFonts w:ascii="Times New Roman" w:hAnsi="Times New Roman" w:cs="Times New Roman"/>
          <w:sz w:val="24"/>
          <w:szCs w:val="24"/>
        </w:rPr>
        <w:t xml:space="preserve">A </w:t>
      </w:r>
      <w:r w:rsidRPr="00C15FA5">
        <w:rPr>
          <w:rFonts w:ascii="Times New Roman" w:hAnsi="Times New Roman" w:cs="Times New Roman"/>
          <w:sz w:val="24"/>
          <w:szCs w:val="24"/>
          <w:lang w:val="en-US"/>
        </w:rPr>
        <w:t>recent stakeholder consultation process confirmed support for the continuation of the provisions of the Determination.</w:t>
      </w:r>
    </w:p>
    <w:p w:rsidR="00C15FA5" w:rsidRDefault="00C15FA5" w:rsidP="005B2B89">
      <w:pPr>
        <w:autoSpaceDE w:val="0"/>
        <w:autoSpaceDN w:val="0"/>
        <w:adjustRightInd w:val="0"/>
        <w:spacing w:after="0" w:line="240" w:lineRule="auto"/>
        <w:rPr>
          <w:rFonts w:ascii="Times New Roman" w:hAnsi="Times New Roman" w:cs="Times New Roman"/>
          <w:sz w:val="24"/>
          <w:szCs w:val="24"/>
        </w:rPr>
      </w:pPr>
    </w:p>
    <w:p w:rsidR="005B2B89" w:rsidRDefault="005B2B89" w:rsidP="005B2B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power to make the Determination is contained in subsection 12(3) of the </w:t>
      </w:r>
      <w:r>
        <w:rPr>
          <w:rFonts w:ascii="Times New Roman" w:hAnsi="Times New Roman" w:cs="Times New Roman"/>
          <w:i/>
          <w:iCs/>
          <w:sz w:val="24"/>
          <w:szCs w:val="24"/>
        </w:rPr>
        <w:t xml:space="preserve">Air Navigation Act 1920. </w:t>
      </w:r>
      <w:r>
        <w:rPr>
          <w:rFonts w:ascii="Times New Roman" w:hAnsi="Times New Roman" w:cs="Times New Roman"/>
          <w:sz w:val="24"/>
          <w:szCs w:val="24"/>
        </w:rPr>
        <w:t>Subsection 12(3) allows the Secretary to make a determination that certain categories of international air services are exempt from the requirement to have a licence.</w:t>
      </w:r>
      <w:r w:rsidR="00FC3227" w:rsidRPr="00FC3227">
        <w:rPr>
          <w:rFonts w:ascii="Calibri" w:hAnsi="Calibri" w:cs="Calibri"/>
        </w:rPr>
        <w:t xml:space="preserve"> </w:t>
      </w:r>
      <w:r w:rsidR="00FC3227">
        <w:rPr>
          <w:rFonts w:ascii="Times New Roman" w:hAnsi="Times New Roman" w:cs="Times New Roman"/>
          <w:sz w:val="24"/>
          <w:szCs w:val="24"/>
        </w:rPr>
        <w:t>The determination-making power</w:t>
      </w:r>
      <w:r w:rsidR="00FC3227" w:rsidRPr="00FC3227">
        <w:rPr>
          <w:rFonts w:ascii="Times New Roman" w:hAnsi="Times New Roman" w:cs="Times New Roman"/>
          <w:sz w:val="24"/>
          <w:szCs w:val="24"/>
        </w:rPr>
        <w:t xml:space="preserve"> in </w:t>
      </w:r>
      <w:r w:rsidR="00FC3227">
        <w:rPr>
          <w:rFonts w:ascii="Times New Roman" w:hAnsi="Times New Roman" w:cs="Times New Roman"/>
          <w:sz w:val="24"/>
          <w:szCs w:val="24"/>
        </w:rPr>
        <w:t xml:space="preserve">subsection </w:t>
      </w:r>
      <w:r w:rsidR="00FC3227" w:rsidRPr="00FC3227">
        <w:rPr>
          <w:rFonts w:ascii="Times New Roman" w:hAnsi="Times New Roman" w:cs="Times New Roman"/>
          <w:sz w:val="24"/>
          <w:szCs w:val="24"/>
        </w:rPr>
        <w:t xml:space="preserve">12(3) </w:t>
      </w:r>
      <w:r w:rsidR="00FC3227">
        <w:rPr>
          <w:rFonts w:ascii="Times New Roman" w:hAnsi="Times New Roman" w:cs="Times New Roman"/>
          <w:sz w:val="24"/>
          <w:szCs w:val="24"/>
        </w:rPr>
        <w:t xml:space="preserve">has been </w:t>
      </w:r>
      <w:r w:rsidR="00FC3227" w:rsidRPr="00FC3227">
        <w:rPr>
          <w:rFonts w:ascii="Times New Roman" w:hAnsi="Times New Roman" w:cs="Times New Roman"/>
          <w:sz w:val="24"/>
          <w:szCs w:val="24"/>
        </w:rPr>
        <w:t>delegated to the levels</w:t>
      </w:r>
      <w:r w:rsidR="00BE40F0">
        <w:rPr>
          <w:rFonts w:ascii="Times New Roman" w:hAnsi="Times New Roman" w:cs="Times New Roman"/>
          <w:sz w:val="24"/>
          <w:szCs w:val="24"/>
        </w:rPr>
        <w:t xml:space="preserve"> of Deputy Secretary and of SES2</w:t>
      </w:r>
      <w:r w:rsidR="00FC3227" w:rsidRPr="00FC3227">
        <w:rPr>
          <w:rFonts w:ascii="Times New Roman" w:hAnsi="Times New Roman" w:cs="Times New Roman"/>
          <w:sz w:val="24"/>
          <w:szCs w:val="24"/>
        </w:rPr>
        <w:t xml:space="preserve"> </w:t>
      </w:r>
      <w:r w:rsidR="00FC3227">
        <w:rPr>
          <w:rFonts w:ascii="Times New Roman" w:hAnsi="Times New Roman" w:cs="Times New Roman"/>
          <w:sz w:val="24"/>
          <w:szCs w:val="24"/>
        </w:rPr>
        <w:t xml:space="preserve">(Executive Director) </w:t>
      </w:r>
      <w:r w:rsidR="00BE40F0">
        <w:rPr>
          <w:rFonts w:ascii="Times New Roman" w:hAnsi="Times New Roman" w:cs="Times New Roman"/>
          <w:sz w:val="24"/>
          <w:szCs w:val="24"/>
        </w:rPr>
        <w:t>and SES1</w:t>
      </w:r>
      <w:r w:rsidR="00FC3227" w:rsidRPr="00FC3227">
        <w:rPr>
          <w:rFonts w:ascii="Times New Roman" w:hAnsi="Times New Roman" w:cs="Times New Roman"/>
          <w:sz w:val="24"/>
          <w:szCs w:val="24"/>
        </w:rPr>
        <w:t xml:space="preserve"> </w:t>
      </w:r>
      <w:r w:rsidR="00FC3227">
        <w:rPr>
          <w:rFonts w:ascii="Times New Roman" w:hAnsi="Times New Roman" w:cs="Times New Roman"/>
          <w:sz w:val="24"/>
          <w:szCs w:val="24"/>
        </w:rPr>
        <w:t xml:space="preserve">(General Manager) </w:t>
      </w:r>
      <w:r w:rsidR="00FC3227" w:rsidRPr="00FC3227">
        <w:rPr>
          <w:rFonts w:ascii="Times New Roman" w:hAnsi="Times New Roman" w:cs="Times New Roman"/>
          <w:sz w:val="24"/>
          <w:szCs w:val="24"/>
        </w:rPr>
        <w:t>in Aviation and Airports Division</w:t>
      </w:r>
      <w:r w:rsidR="00FC3227">
        <w:rPr>
          <w:rFonts w:ascii="Times New Roman" w:hAnsi="Times New Roman" w:cs="Times New Roman"/>
          <w:sz w:val="24"/>
          <w:szCs w:val="24"/>
        </w:rPr>
        <w:t xml:space="preserve"> under the Secretary’s Air Navigation Delegation Instrument 2016 (No. 1) dated 5 April 2016.</w:t>
      </w:r>
    </w:p>
    <w:p w:rsidR="00F669C4" w:rsidRDefault="00F669C4" w:rsidP="005B2B89">
      <w:pPr>
        <w:autoSpaceDE w:val="0"/>
        <w:autoSpaceDN w:val="0"/>
        <w:adjustRightInd w:val="0"/>
        <w:spacing w:after="0" w:line="240" w:lineRule="auto"/>
        <w:rPr>
          <w:rFonts w:ascii="Times New Roman" w:hAnsi="Times New Roman" w:cs="Times New Roman"/>
          <w:sz w:val="24"/>
          <w:szCs w:val="24"/>
        </w:rPr>
      </w:pPr>
    </w:p>
    <w:p w:rsidR="00F669C4" w:rsidRPr="009F4928" w:rsidRDefault="009F4928" w:rsidP="005B2B89">
      <w:pPr>
        <w:autoSpaceDE w:val="0"/>
        <w:autoSpaceDN w:val="0"/>
        <w:adjustRightInd w:val="0"/>
        <w:spacing w:after="0" w:line="240" w:lineRule="auto"/>
        <w:rPr>
          <w:rFonts w:ascii="Times New Roman" w:hAnsi="Times New Roman" w:cs="Times New Roman"/>
          <w:sz w:val="24"/>
          <w:szCs w:val="24"/>
        </w:rPr>
      </w:pPr>
      <w:bookmarkStart w:id="1" w:name="_Toc464743995"/>
      <w:r>
        <w:rPr>
          <w:rFonts w:ascii="Times New Roman" w:hAnsi="Times New Roman" w:cs="Times New Roman"/>
          <w:sz w:val="24"/>
          <w:szCs w:val="24"/>
        </w:rPr>
        <w:t xml:space="preserve">In accordance with section 18 of the Act, the Determination will be </w:t>
      </w:r>
      <w:r w:rsidR="00F669C4" w:rsidRPr="00F669C4">
        <w:rPr>
          <w:rFonts w:ascii="Times New Roman" w:hAnsi="Times New Roman" w:cs="Times New Roman"/>
          <w:sz w:val="24"/>
          <w:szCs w:val="24"/>
        </w:rPr>
        <w:t xml:space="preserve">included </w:t>
      </w:r>
      <w:bookmarkEnd w:id="1"/>
      <w:r w:rsidR="00F669C4" w:rsidRPr="00F669C4">
        <w:rPr>
          <w:rFonts w:ascii="Times New Roman" w:hAnsi="Times New Roman" w:cs="Times New Roman"/>
          <w:sz w:val="24"/>
          <w:szCs w:val="24"/>
        </w:rPr>
        <w:t xml:space="preserve">in the Aeronautical Information Publications published under regulations made under the </w:t>
      </w:r>
      <w:r w:rsidR="00F669C4" w:rsidRPr="00F669C4">
        <w:rPr>
          <w:rFonts w:ascii="Times New Roman" w:hAnsi="Times New Roman" w:cs="Times New Roman"/>
          <w:i/>
          <w:iCs/>
          <w:sz w:val="24"/>
          <w:szCs w:val="24"/>
        </w:rPr>
        <w:t>Air Services Act 1995</w:t>
      </w:r>
      <w:r w:rsidR="00F669C4" w:rsidRPr="00F669C4">
        <w:rPr>
          <w:rFonts w:ascii="Times New Roman" w:hAnsi="Times New Roman" w:cs="Times New Roman"/>
          <w:sz w:val="24"/>
          <w:szCs w:val="24"/>
        </w:rPr>
        <w:t>.</w:t>
      </w:r>
    </w:p>
    <w:p w:rsidR="005B2B89" w:rsidRPr="00F669C4" w:rsidRDefault="005B2B89" w:rsidP="005B2B89">
      <w:pPr>
        <w:autoSpaceDE w:val="0"/>
        <w:autoSpaceDN w:val="0"/>
        <w:adjustRightInd w:val="0"/>
        <w:spacing w:after="0" w:line="240" w:lineRule="auto"/>
        <w:rPr>
          <w:rFonts w:ascii="Times New Roman" w:hAnsi="Times New Roman" w:cs="Times New Roman"/>
          <w:sz w:val="24"/>
          <w:szCs w:val="24"/>
        </w:rPr>
      </w:pPr>
    </w:p>
    <w:p w:rsidR="005B2B89" w:rsidRDefault="005B2B89" w:rsidP="005B2B89">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The Determination is a legislative instrument for the purposes of the </w:t>
      </w:r>
      <w:r>
        <w:rPr>
          <w:rFonts w:ascii="Times New Roman" w:hAnsi="Times New Roman" w:cs="Times New Roman"/>
          <w:i/>
          <w:iCs/>
          <w:sz w:val="24"/>
          <w:szCs w:val="24"/>
        </w:rPr>
        <w:t>Legislative</w:t>
      </w:r>
    </w:p>
    <w:p w:rsidR="00F22746" w:rsidRDefault="005B2B89" w:rsidP="005B2B89">
      <w:pPr>
        <w:rPr>
          <w:rFonts w:ascii="Times New Roman" w:hAnsi="Times New Roman" w:cs="Times New Roman"/>
          <w:sz w:val="24"/>
          <w:szCs w:val="24"/>
        </w:rPr>
      </w:pPr>
      <w:r>
        <w:rPr>
          <w:rFonts w:ascii="Times New Roman" w:hAnsi="Times New Roman" w:cs="Times New Roman"/>
          <w:i/>
          <w:iCs/>
          <w:sz w:val="24"/>
          <w:szCs w:val="24"/>
        </w:rPr>
        <w:t>Instruments Act 2003</w:t>
      </w:r>
      <w:r>
        <w:rPr>
          <w:rFonts w:ascii="Times New Roman" w:hAnsi="Times New Roman" w:cs="Times New Roman"/>
          <w:sz w:val="24"/>
          <w:szCs w:val="24"/>
        </w:rPr>
        <w:t>.</w:t>
      </w:r>
    </w:p>
    <w:p w:rsidR="00D13E07" w:rsidRDefault="00D13E07" w:rsidP="00D13E07">
      <w:pPr>
        <w:spacing w:after="0" w:line="240" w:lineRule="auto"/>
        <w:rPr>
          <w:rFonts w:ascii="Times New Roman" w:hAnsi="Times New Roman" w:cs="Times New Roman"/>
          <w:sz w:val="24"/>
          <w:szCs w:val="24"/>
        </w:rPr>
      </w:pPr>
    </w:p>
    <w:p w:rsidR="00D13E07" w:rsidRDefault="00D13E07" w:rsidP="00D13E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D13E07" w:rsidRDefault="00D13E07" w:rsidP="00D13E07">
      <w:pPr>
        <w:spacing w:after="0" w:line="240" w:lineRule="auto"/>
        <w:rPr>
          <w:rFonts w:ascii="Times New Roman" w:hAnsi="Times New Roman" w:cs="Times New Roman"/>
          <w:sz w:val="24"/>
          <w:szCs w:val="24"/>
        </w:rPr>
      </w:pPr>
    </w:p>
    <w:p w:rsidR="00D13E07" w:rsidRPr="00FE0022" w:rsidRDefault="00D13E07" w:rsidP="00D13E07">
      <w:pPr>
        <w:spacing w:after="0" w:line="240" w:lineRule="auto"/>
        <w:jc w:val="center"/>
        <w:rPr>
          <w:rFonts w:ascii="Times New Roman" w:hAnsi="Times New Roman" w:cs="Times New Roman"/>
          <w:sz w:val="24"/>
          <w:szCs w:val="24"/>
          <w:lang w:val="en-US"/>
        </w:rPr>
      </w:pPr>
      <w:r w:rsidRPr="00FE0022">
        <w:rPr>
          <w:rFonts w:ascii="Times New Roman" w:hAnsi="Times New Roman" w:cs="Times New Roman"/>
          <w:b/>
          <w:bCs/>
          <w:sz w:val="24"/>
          <w:szCs w:val="24"/>
        </w:rPr>
        <w:t>Statement of Compatibility with Human Rights</w:t>
      </w:r>
    </w:p>
    <w:p w:rsidR="00D13E07" w:rsidRDefault="00D13E07" w:rsidP="00D13E07">
      <w:pPr>
        <w:spacing w:after="0" w:line="240" w:lineRule="auto"/>
        <w:jc w:val="center"/>
        <w:rPr>
          <w:rFonts w:ascii="Times New Roman" w:hAnsi="Times New Roman" w:cs="Times New Roman"/>
          <w:i/>
          <w:iCs/>
          <w:sz w:val="24"/>
          <w:szCs w:val="24"/>
        </w:rPr>
      </w:pPr>
    </w:p>
    <w:p w:rsidR="00D13E07" w:rsidRPr="00FE0022" w:rsidRDefault="00D13E07" w:rsidP="00D13E07">
      <w:pPr>
        <w:spacing w:after="0" w:line="240" w:lineRule="auto"/>
        <w:jc w:val="center"/>
        <w:rPr>
          <w:rFonts w:ascii="Times New Roman" w:hAnsi="Times New Roman" w:cs="Times New Roman"/>
          <w:sz w:val="24"/>
          <w:szCs w:val="24"/>
          <w:lang w:val="en-US"/>
        </w:rPr>
      </w:pPr>
      <w:r w:rsidRPr="00FE0022">
        <w:rPr>
          <w:rFonts w:ascii="Times New Roman" w:hAnsi="Times New Roman" w:cs="Times New Roman"/>
          <w:i/>
          <w:iCs/>
          <w:sz w:val="24"/>
          <w:szCs w:val="24"/>
        </w:rPr>
        <w:t>Prepared in accordance with Part 3 of the Human Rights (Parliamentary Scrutiny) Act 2011</w:t>
      </w:r>
    </w:p>
    <w:p w:rsidR="008569B9" w:rsidRDefault="008569B9" w:rsidP="00D13E07">
      <w:pPr>
        <w:spacing w:after="0" w:line="240" w:lineRule="auto"/>
        <w:jc w:val="center"/>
        <w:rPr>
          <w:rFonts w:ascii="Times New Roman" w:hAnsi="Times New Roman" w:cs="Times New Roman"/>
          <w:sz w:val="24"/>
          <w:szCs w:val="24"/>
          <w:lang w:val="en-US"/>
        </w:rPr>
      </w:pPr>
    </w:p>
    <w:p w:rsidR="008569B9" w:rsidRPr="008569B9" w:rsidRDefault="008569B9" w:rsidP="008569B9">
      <w:pPr>
        <w:autoSpaceDE w:val="0"/>
        <w:autoSpaceDN w:val="0"/>
        <w:adjustRightInd w:val="0"/>
        <w:spacing w:after="0" w:line="240" w:lineRule="auto"/>
        <w:jc w:val="center"/>
        <w:rPr>
          <w:rFonts w:ascii="Times New Roman" w:hAnsi="Times New Roman" w:cs="Times New Roman"/>
          <w:sz w:val="24"/>
          <w:szCs w:val="24"/>
          <w:u w:val="single"/>
        </w:rPr>
      </w:pPr>
      <w:r w:rsidRPr="008569B9">
        <w:rPr>
          <w:rFonts w:ascii="Times New Roman" w:hAnsi="Times New Roman" w:cs="Times New Roman"/>
          <w:sz w:val="24"/>
          <w:szCs w:val="24"/>
          <w:u w:val="single"/>
        </w:rPr>
        <w:t>Air Navigation (International Airline Licence Exemption) Determination 2019</w:t>
      </w:r>
    </w:p>
    <w:p w:rsidR="008569B9" w:rsidRPr="00FE0022" w:rsidRDefault="008569B9" w:rsidP="00D13E07">
      <w:pPr>
        <w:spacing w:after="0" w:line="240" w:lineRule="auto"/>
        <w:jc w:val="center"/>
        <w:rPr>
          <w:rFonts w:ascii="Times New Roman" w:hAnsi="Times New Roman" w:cs="Times New Roman"/>
          <w:sz w:val="24"/>
          <w:szCs w:val="24"/>
          <w:lang w:val="en-US"/>
        </w:rPr>
      </w:pPr>
    </w:p>
    <w:p w:rsidR="00D13E07" w:rsidRPr="00FE0022" w:rsidRDefault="00D13E07" w:rsidP="00D13E07">
      <w:pPr>
        <w:spacing w:after="0" w:line="240" w:lineRule="auto"/>
        <w:rPr>
          <w:rFonts w:ascii="Times New Roman" w:hAnsi="Times New Roman" w:cs="Times New Roman"/>
          <w:sz w:val="24"/>
          <w:szCs w:val="24"/>
          <w:lang w:val="en-US"/>
        </w:rPr>
      </w:pPr>
      <w:r w:rsidRPr="00FE0022">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FE0022">
        <w:rPr>
          <w:rFonts w:ascii="Times New Roman" w:hAnsi="Times New Roman" w:cs="Times New Roman"/>
          <w:i/>
          <w:iCs/>
          <w:sz w:val="24"/>
          <w:szCs w:val="24"/>
        </w:rPr>
        <w:t>Human Rights (Parliamentary Scrutiny) Act 2011</w:t>
      </w:r>
      <w:r w:rsidRPr="00FE0022">
        <w:rPr>
          <w:rFonts w:ascii="Times New Roman" w:hAnsi="Times New Roman" w:cs="Times New Roman"/>
          <w:sz w:val="24"/>
          <w:szCs w:val="24"/>
        </w:rPr>
        <w:t>.</w:t>
      </w:r>
    </w:p>
    <w:p w:rsidR="00D13E07" w:rsidRDefault="00D13E07" w:rsidP="00D13E07">
      <w:pPr>
        <w:spacing w:after="0" w:line="240" w:lineRule="auto"/>
        <w:rPr>
          <w:rFonts w:ascii="Times New Roman" w:hAnsi="Times New Roman" w:cs="Times New Roman"/>
          <w:b/>
          <w:bCs/>
          <w:sz w:val="24"/>
          <w:szCs w:val="24"/>
        </w:rPr>
      </w:pPr>
    </w:p>
    <w:p w:rsidR="00D13E07" w:rsidRPr="00FE0022" w:rsidRDefault="00D13E07" w:rsidP="00D13E07">
      <w:pPr>
        <w:spacing w:after="0" w:line="240" w:lineRule="auto"/>
        <w:rPr>
          <w:rFonts w:ascii="Times New Roman" w:hAnsi="Times New Roman" w:cs="Times New Roman"/>
          <w:sz w:val="24"/>
          <w:szCs w:val="24"/>
          <w:lang w:val="en-US"/>
        </w:rPr>
      </w:pPr>
      <w:r w:rsidRPr="00FE0022">
        <w:rPr>
          <w:rFonts w:ascii="Times New Roman" w:hAnsi="Times New Roman" w:cs="Times New Roman"/>
          <w:b/>
          <w:bCs/>
          <w:sz w:val="24"/>
          <w:szCs w:val="24"/>
        </w:rPr>
        <w:t>Overview of the Legislative Instrument</w:t>
      </w:r>
    </w:p>
    <w:p w:rsidR="00D13E07" w:rsidRDefault="00D13E07" w:rsidP="00D13E07">
      <w:pPr>
        <w:spacing w:after="0" w:line="240" w:lineRule="auto"/>
        <w:rPr>
          <w:rFonts w:ascii="Times New Roman" w:hAnsi="Times New Roman" w:cs="Times New Roman"/>
          <w:sz w:val="24"/>
          <w:szCs w:val="24"/>
        </w:rPr>
      </w:pPr>
    </w:p>
    <w:p w:rsidR="00D13E07" w:rsidRDefault="00D13E07" w:rsidP="00D13E07">
      <w:pPr>
        <w:spacing w:after="0" w:line="240" w:lineRule="auto"/>
        <w:rPr>
          <w:rFonts w:ascii="Times New Roman" w:hAnsi="Times New Roman" w:cs="Times New Roman"/>
          <w:sz w:val="24"/>
          <w:szCs w:val="24"/>
        </w:rPr>
      </w:pPr>
      <w:r w:rsidRPr="00FE0022">
        <w:rPr>
          <w:rFonts w:ascii="Times New Roman" w:hAnsi="Times New Roman" w:cs="Times New Roman"/>
          <w:sz w:val="24"/>
          <w:szCs w:val="24"/>
        </w:rPr>
        <w:t xml:space="preserve">The primary purpose of </w:t>
      </w:r>
      <w:r>
        <w:rPr>
          <w:rFonts w:ascii="Times New Roman" w:hAnsi="Times New Roman" w:cs="Times New Roman"/>
          <w:sz w:val="24"/>
          <w:szCs w:val="24"/>
        </w:rPr>
        <w:t xml:space="preserve">this Legislative Instrument </w:t>
      </w:r>
      <w:r w:rsidRPr="00FE0022">
        <w:rPr>
          <w:rFonts w:ascii="Times New Roman" w:hAnsi="Times New Roman" w:cs="Times New Roman"/>
          <w:sz w:val="24"/>
          <w:szCs w:val="24"/>
        </w:rPr>
        <w:t xml:space="preserve">is to </w:t>
      </w:r>
      <w:r>
        <w:rPr>
          <w:rFonts w:ascii="Times New Roman" w:hAnsi="Times New Roman" w:cs="Times New Roman"/>
          <w:sz w:val="24"/>
          <w:szCs w:val="24"/>
        </w:rPr>
        <w:t xml:space="preserve">provide </w:t>
      </w:r>
      <w:r w:rsidRPr="00FE0022">
        <w:rPr>
          <w:rFonts w:ascii="Times New Roman" w:hAnsi="Times New Roman" w:cs="Times New Roman"/>
          <w:sz w:val="24"/>
          <w:szCs w:val="24"/>
        </w:rPr>
        <w:t xml:space="preserve">a </w:t>
      </w:r>
      <w:r>
        <w:rPr>
          <w:rFonts w:ascii="Times New Roman" w:hAnsi="Times New Roman" w:cs="Times New Roman"/>
          <w:sz w:val="24"/>
          <w:szCs w:val="24"/>
        </w:rPr>
        <w:t xml:space="preserve">legal </w:t>
      </w:r>
      <w:r w:rsidRPr="00FE0022">
        <w:rPr>
          <w:rFonts w:ascii="Times New Roman" w:hAnsi="Times New Roman" w:cs="Times New Roman"/>
          <w:sz w:val="24"/>
          <w:szCs w:val="24"/>
        </w:rPr>
        <w:t xml:space="preserve">framework for </w:t>
      </w:r>
      <w:r>
        <w:rPr>
          <w:rFonts w:ascii="Times New Roman" w:hAnsi="Times New Roman" w:cs="Times New Roman"/>
          <w:sz w:val="24"/>
          <w:szCs w:val="24"/>
        </w:rPr>
        <w:t>exempting</w:t>
      </w:r>
      <w:r w:rsidRPr="00D13E07">
        <w:rPr>
          <w:rFonts w:ascii="Times New Roman" w:hAnsi="Times New Roman" w:cs="Times New Roman"/>
          <w:sz w:val="24"/>
          <w:szCs w:val="24"/>
        </w:rPr>
        <w:t xml:space="preserve"> international airlines </w:t>
      </w:r>
      <w:r>
        <w:rPr>
          <w:rFonts w:ascii="Times New Roman" w:hAnsi="Times New Roman" w:cs="Times New Roman"/>
          <w:sz w:val="24"/>
          <w:szCs w:val="24"/>
        </w:rPr>
        <w:t xml:space="preserve">from the need to operate in accordance with an international airline licence when operating over Australian territory without landing and when landing in Australia for non-traffic purposes (landing in Australian territory without setting down or taking on passengers or cargo for reward or hire). The instrument is a remake, without any </w:t>
      </w:r>
      <w:r>
        <w:rPr>
          <w:rFonts w:ascii="Times New Roman" w:hAnsi="Times New Roman" w:cs="Times New Roman"/>
          <w:sz w:val="24"/>
          <w:szCs w:val="24"/>
        </w:rPr>
        <w:lastRenderedPageBreak/>
        <w:t xml:space="preserve">significant changes, of a previous instrument </w:t>
      </w:r>
      <w:r w:rsidR="00236BD8">
        <w:rPr>
          <w:rFonts w:ascii="Times New Roman" w:hAnsi="Times New Roman" w:cs="Times New Roman"/>
          <w:sz w:val="24"/>
          <w:szCs w:val="24"/>
        </w:rPr>
        <w:t>t</w:t>
      </w:r>
      <w:r>
        <w:rPr>
          <w:rFonts w:ascii="Times New Roman" w:hAnsi="Times New Roman" w:cs="Times New Roman"/>
          <w:sz w:val="24"/>
          <w:szCs w:val="24"/>
        </w:rPr>
        <w:t xml:space="preserve">hat has been in place since </w:t>
      </w:r>
      <w:r w:rsidR="00236BD8">
        <w:rPr>
          <w:rFonts w:ascii="Times New Roman" w:hAnsi="Times New Roman" w:cs="Times New Roman"/>
          <w:sz w:val="24"/>
          <w:szCs w:val="24"/>
        </w:rPr>
        <w:t>2008</w:t>
      </w:r>
      <w:r>
        <w:rPr>
          <w:rFonts w:ascii="Times New Roman" w:hAnsi="Times New Roman" w:cs="Times New Roman"/>
          <w:sz w:val="24"/>
          <w:szCs w:val="24"/>
        </w:rPr>
        <w:t>. Minor changes were made to reflect mo</w:t>
      </w:r>
      <w:r w:rsidRPr="00FE0022">
        <w:rPr>
          <w:rFonts w:ascii="Times New Roman" w:hAnsi="Times New Roman" w:cs="Times New Roman"/>
          <w:sz w:val="24"/>
          <w:szCs w:val="24"/>
        </w:rPr>
        <w:t>dern drafting conventions</w:t>
      </w:r>
      <w:r>
        <w:rPr>
          <w:rFonts w:ascii="Times New Roman" w:hAnsi="Times New Roman" w:cs="Times New Roman"/>
          <w:sz w:val="24"/>
          <w:szCs w:val="24"/>
        </w:rPr>
        <w:t xml:space="preserve"> and remove redundant provisions.</w:t>
      </w:r>
    </w:p>
    <w:p w:rsidR="00D13E07" w:rsidRDefault="00D13E07" w:rsidP="00D13E07">
      <w:pPr>
        <w:spacing w:after="0" w:line="240" w:lineRule="auto"/>
        <w:rPr>
          <w:rFonts w:ascii="Times New Roman" w:hAnsi="Times New Roman" w:cs="Times New Roman"/>
          <w:sz w:val="24"/>
          <w:szCs w:val="24"/>
        </w:rPr>
      </w:pPr>
    </w:p>
    <w:p w:rsidR="00D13E07" w:rsidRDefault="00D13E07" w:rsidP="00D13E07">
      <w:pPr>
        <w:spacing w:after="0" w:line="240" w:lineRule="auto"/>
        <w:rPr>
          <w:rFonts w:ascii="Times New Roman" w:eastAsia="Times New Roman" w:hAnsi="Times New Roman" w:cs="Times New Roman"/>
          <w:sz w:val="24"/>
          <w:szCs w:val="24"/>
          <w:lang w:val="en-US" w:eastAsia="en-AU"/>
        </w:rPr>
      </w:pPr>
      <w:r>
        <w:rPr>
          <w:rFonts w:ascii="Times New Roman" w:hAnsi="Times New Roman" w:cs="Times New Roman"/>
          <w:sz w:val="24"/>
          <w:szCs w:val="24"/>
        </w:rPr>
        <w:t xml:space="preserve">The instrument is </w:t>
      </w:r>
      <w:r>
        <w:rPr>
          <w:rFonts w:ascii="Times New Roman" w:eastAsia="Times New Roman" w:hAnsi="Times New Roman" w:cs="Times New Roman"/>
          <w:sz w:val="24"/>
          <w:szCs w:val="24"/>
          <w:lang w:val="en-US" w:eastAsia="en-AU"/>
        </w:rPr>
        <w:t>well understood and accepted by operators and key aviation stakeholders. A recent consultation process reaffirmed stakeholder support for the instrument.</w:t>
      </w:r>
    </w:p>
    <w:p w:rsidR="00D13E07" w:rsidRPr="00FE0022" w:rsidRDefault="00D13E07" w:rsidP="00D13E07">
      <w:pPr>
        <w:spacing w:after="0" w:line="240" w:lineRule="auto"/>
        <w:rPr>
          <w:rFonts w:ascii="Times New Roman" w:hAnsi="Times New Roman" w:cs="Times New Roman"/>
          <w:sz w:val="24"/>
          <w:szCs w:val="24"/>
          <w:lang w:val="en-US"/>
        </w:rPr>
      </w:pPr>
    </w:p>
    <w:p w:rsidR="00D13E07" w:rsidRPr="00FE0022" w:rsidRDefault="00D13E07" w:rsidP="00D13E07">
      <w:pPr>
        <w:spacing w:after="0" w:line="240" w:lineRule="auto"/>
        <w:rPr>
          <w:rFonts w:ascii="Times New Roman" w:hAnsi="Times New Roman" w:cs="Times New Roman"/>
          <w:sz w:val="24"/>
          <w:szCs w:val="24"/>
          <w:lang w:val="en-US"/>
        </w:rPr>
      </w:pPr>
      <w:r w:rsidRPr="00FE0022">
        <w:rPr>
          <w:rFonts w:ascii="Times New Roman" w:hAnsi="Times New Roman" w:cs="Times New Roman"/>
          <w:b/>
          <w:bCs/>
          <w:sz w:val="24"/>
          <w:szCs w:val="24"/>
        </w:rPr>
        <w:t>Human rights implications</w:t>
      </w:r>
    </w:p>
    <w:p w:rsidR="00D13E07" w:rsidRDefault="00D13E07" w:rsidP="00D13E07">
      <w:pPr>
        <w:spacing w:after="0" w:line="240" w:lineRule="auto"/>
        <w:rPr>
          <w:rFonts w:ascii="Times New Roman" w:hAnsi="Times New Roman" w:cs="Times New Roman"/>
          <w:sz w:val="24"/>
          <w:szCs w:val="24"/>
        </w:rPr>
      </w:pPr>
    </w:p>
    <w:p w:rsidR="00D13E07" w:rsidRDefault="00D13E07" w:rsidP="00D13E07">
      <w:pPr>
        <w:spacing w:after="0" w:line="240" w:lineRule="auto"/>
        <w:rPr>
          <w:rFonts w:ascii="Times New Roman" w:hAnsi="Times New Roman" w:cs="Times New Roman"/>
          <w:sz w:val="24"/>
          <w:szCs w:val="24"/>
        </w:rPr>
      </w:pPr>
      <w:r w:rsidRPr="00FE0022">
        <w:rPr>
          <w:rFonts w:ascii="Times New Roman" w:hAnsi="Times New Roman" w:cs="Times New Roman"/>
          <w:sz w:val="24"/>
          <w:szCs w:val="24"/>
        </w:rPr>
        <w:t>This Legislative Instrument does not engage any of the applicable rights or freedoms.</w:t>
      </w:r>
    </w:p>
    <w:p w:rsidR="00D13E07" w:rsidRPr="00FE0022" w:rsidRDefault="00D13E07" w:rsidP="00D13E07">
      <w:pPr>
        <w:spacing w:after="0" w:line="240" w:lineRule="auto"/>
        <w:rPr>
          <w:rFonts w:ascii="Times New Roman" w:hAnsi="Times New Roman" w:cs="Times New Roman"/>
          <w:sz w:val="24"/>
          <w:szCs w:val="24"/>
          <w:lang w:val="en-US"/>
        </w:rPr>
      </w:pPr>
    </w:p>
    <w:p w:rsidR="00D13E07" w:rsidRPr="00FE0022" w:rsidRDefault="00D13E07" w:rsidP="00D13E07">
      <w:pPr>
        <w:spacing w:after="0" w:line="240" w:lineRule="auto"/>
        <w:rPr>
          <w:rFonts w:ascii="Times New Roman" w:hAnsi="Times New Roman" w:cs="Times New Roman"/>
          <w:sz w:val="24"/>
          <w:szCs w:val="24"/>
          <w:lang w:val="en-US"/>
        </w:rPr>
      </w:pPr>
      <w:r w:rsidRPr="00FE0022">
        <w:rPr>
          <w:rFonts w:ascii="Times New Roman" w:hAnsi="Times New Roman" w:cs="Times New Roman"/>
          <w:b/>
          <w:bCs/>
          <w:sz w:val="24"/>
          <w:szCs w:val="24"/>
        </w:rPr>
        <w:t>Conclusion</w:t>
      </w:r>
    </w:p>
    <w:p w:rsidR="00D13E07" w:rsidRDefault="00D13E07" w:rsidP="00D13E07">
      <w:pPr>
        <w:spacing w:after="0" w:line="240" w:lineRule="auto"/>
        <w:rPr>
          <w:rFonts w:ascii="Times New Roman" w:hAnsi="Times New Roman" w:cs="Times New Roman"/>
          <w:sz w:val="24"/>
          <w:szCs w:val="24"/>
        </w:rPr>
      </w:pPr>
    </w:p>
    <w:p w:rsidR="00D13E07" w:rsidRPr="00CE2EC6" w:rsidRDefault="00D13E07" w:rsidP="00D13E07">
      <w:pPr>
        <w:spacing w:after="0" w:line="240" w:lineRule="auto"/>
        <w:rPr>
          <w:rFonts w:ascii="Times New Roman" w:hAnsi="Times New Roman" w:cs="Times New Roman"/>
          <w:sz w:val="24"/>
          <w:szCs w:val="24"/>
          <w:lang w:val="en-US"/>
        </w:rPr>
      </w:pPr>
      <w:r w:rsidRPr="00FE0022">
        <w:rPr>
          <w:rFonts w:ascii="Times New Roman" w:hAnsi="Times New Roman" w:cs="Times New Roman"/>
          <w:sz w:val="24"/>
          <w:szCs w:val="24"/>
        </w:rPr>
        <w:t>This Legislative Instrument is compatible with human rights as it does not raise any human rights issues.</w:t>
      </w:r>
    </w:p>
    <w:p w:rsidR="00D13E07" w:rsidRDefault="00D13E07" w:rsidP="005B2B89"/>
    <w:sectPr w:rsidR="00D13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89"/>
    <w:rsid w:val="0000605F"/>
    <w:rsid w:val="000251D2"/>
    <w:rsid w:val="000374A2"/>
    <w:rsid w:val="00175BBD"/>
    <w:rsid w:val="001B57D5"/>
    <w:rsid w:val="00236BD8"/>
    <w:rsid w:val="002579E7"/>
    <w:rsid w:val="00295669"/>
    <w:rsid w:val="002B09D3"/>
    <w:rsid w:val="0034544F"/>
    <w:rsid w:val="0044493E"/>
    <w:rsid w:val="00464908"/>
    <w:rsid w:val="0047448C"/>
    <w:rsid w:val="00483D15"/>
    <w:rsid w:val="004E1172"/>
    <w:rsid w:val="00565AA3"/>
    <w:rsid w:val="00591264"/>
    <w:rsid w:val="005B2B89"/>
    <w:rsid w:val="0061693B"/>
    <w:rsid w:val="0067004A"/>
    <w:rsid w:val="006B2F4F"/>
    <w:rsid w:val="008569B9"/>
    <w:rsid w:val="00962366"/>
    <w:rsid w:val="009F4928"/>
    <w:rsid w:val="00A26934"/>
    <w:rsid w:val="00A6533B"/>
    <w:rsid w:val="00A954D2"/>
    <w:rsid w:val="00AC4A4F"/>
    <w:rsid w:val="00AF6D60"/>
    <w:rsid w:val="00B649DC"/>
    <w:rsid w:val="00B775F3"/>
    <w:rsid w:val="00B77C9C"/>
    <w:rsid w:val="00BE40F0"/>
    <w:rsid w:val="00C1156E"/>
    <w:rsid w:val="00C15FA5"/>
    <w:rsid w:val="00C46197"/>
    <w:rsid w:val="00C63CD8"/>
    <w:rsid w:val="00C9302C"/>
    <w:rsid w:val="00CE5258"/>
    <w:rsid w:val="00D13E07"/>
    <w:rsid w:val="00D261BB"/>
    <w:rsid w:val="00D6009D"/>
    <w:rsid w:val="00EF33DA"/>
    <w:rsid w:val="00EF56AD"/>
    <w:rsid w:val="00F669C4"/>
    <w:rsid w:val="00FC1AEC"/>
    <w:rsid w:val="00FC3227"/>
    <w:rsid w:val="00FD0F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A2DE"/>
  <w15:chartTrackingRefBased/>
  <w15:docId w15:val="{7BB91012-BB7B-41F5-8A08-1A5F372F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B8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107825">
      <w:bodyDiv w:val="1"/>
      <w:marLeft w:val="0"/>
      <w:marRight w:val="0"/>
      <w:marTop w:val="0"/>
      <w:marBottom w:val="0"/>
      <w:divBdr>
        <w:top w:val="none" w:sz="0" w:space="0" w:color="auto"/>
        <w:left w:val="none" w:sz="0" w:space="0" w:color="auto"/>
        <w:bottom w:val="none" w:sz="0" w:space="0" w:color="auto"/>
        <w:right w:val="none" w:sz="0" w:space="0" w:color="auto"/>
      </w:divBdr>
    </w:div>
    <w:div w:id="1613244170">
      <w:bodyDiv w:val="1"/>
      <w:marLeft w:val="0"/>
      <w:marRight w:val="0"/>
      <w:marTop w:val="0"/>
      <w:marBottom w:val="0"/>
      <w:divBdr>
        <w:top w:val="none" w:sz="0" w:space="0" w:color="auto"/>
        <w:left w:val="none" w:sz="0" w:space="0" w:color="auto"/>
        <w:bottom w:val="none" w:sz="0" w:space="0" w:color="auto"/>
        <w:right w:val="none" w:sz="0" w:space="0" w:color="auto"/>
      </w:divBdr>
    </w:div>
    <w:div w:id="2026904344">
      <w:bodyDiv w:val="1"/>
      <w:marLeft w:val="0"/>
      <w:marRight w:val="0"/>
      <w:marTop w:val="0"/>
      <w:marBottom w:val="0"/>
      <w:divBdr>
        <w:top w:val="none" w:sz="0" w:space="0" w:color="auto"/>
        <w:left w:val="none" w:sz="0" w:space="0" w:color="auto"/>
        <w:bottom w:val="none" w:sz="0" w:space="0" w:color="auto"/>
        <w:right w:val="none" w:sz="0" w:space="0" w:color="auto"/>
      </w:divBdr>
      <w:divsChild>
        <w:div w:id="1410152472">
          <w:marLeft w:val="0"/>
          <w:marRight w:val="0"/>
          <w:marTop w:val="0"/>
          <w:marBottom w:val="0"/>
          <w:divBdr>
            <w:top w:val="none" w:sz="0" w:space="0" w:color="auto"/>
            <w:left w:val="none" w:sz="0" w:space="0" w:color="auto"/>
            <w:bottom w:val="none" w:sz="0" w:space="0" w:color="auto"/>
            <w:right w:val="none" w:sz="0" w:space="0" w:color="auto"/>
          </w:divBdr>
          <w:divsChild>
            <w:div w:id="998846623">
              <w:marLeft w:val="0"/>
              <w:marRight w:val="0"/>
              <w:marTop w:val="0"/>
              <w:marBottom w:val="0"/>
              <w:divBdr>
                <w:top w:val="none" w:sz="0" w:space="0" w:color="auto"/>
                <w:left w:val="none" w:sz="0" w:space="0" w:color="auto"/>
                <w:bottom w:val="none" w:sz="0" w:space="0" w:color="auto"/>
                <w:right w:val="none" w:sz="0" w:space="0" w:color="auto"/>
              </w:divBdr>
              <w:divsChild>
                <w:div w:id="2096973840">
                  <w:marLeft w:val="0"/>
                  <w:marRight w:val="0"/>
                  <w:marTop w:val="0"/>
                  <w:marBottom w:val="0"/>
                  <w:divBdr>
                    <w:top w:val="none" w:sz="0" w:space="0" w:color="auto"/>
                    <w:left w:val="none" w:sz="0" w:space="0" w:color="auto"/>
                    <w:bottom w:val="none" w:sz="0" w:space="0" w:color="auto"/>
                    <w:right w:val="none" w:sz="0" w:space="0" w:color="auto"/>
                  </w:divBdr>
                  <w:divsChild>
                    <w:div w:id="1860895123">
                      <w:marLeft w:val="0"/>
                      <w:marRight w:val="0"/>
                      <w:marTop w:val="0"/>
                      <w:marBottom w:val="0"/>
                      <w:divBdr>
                        <w:top w:val="none" w:sz="0" w:space="0" w:color="auto"/>
                        <w:left w:val="none" w:sz="0" w:space="0" w:color="auto"/>
                        <w:bottom w:val="none" w:sz="0" w:space="0" w:color="auto"/>
                        <w:right w:val="none" w:sz="0" w:space="0" w:color="auto"/>
                      </w:divBdr>
                      <w:divsChild>
                        <w:div w:id="247227395">
                          <w:marLeft w:val="0"/>
                          <w:marRight w:val="0"/>
                          <w:marTop w:val="0"/>
                          <w:marBottom w:val="0"/>
                          <w:divBdr>
                            <w:top w:val="none" w:sz="0" w:space="0" w:color="auto"/>
                            <w:left w:val="none" w:sz="0" w:space="0" w:color="auto"/>
                            <w:bottom w:val="none" w:sz="0" w:space="0" w:color="auto"/>
                            <w:right w:val="none" w:sz="0" w:space="0" w:color="auto"/>
                          </w:divBdr>
                          <w:divsChild>
                            <w:div w:id="2133817770">
                              <w:marLeft w:val="0"/>
                              <w:marRight w:val="0"/>
                              <w:marTop w:val="0"/>
                              <w:marBottom w:val="0"/>
                              <w:divBdr>
                                <w:top w:val="none" w:sz="0" w:space="0" w:color="auto"/>
                                <w:left w:val="none" w:sz="0" w:space="0" w:color="auto"/>
                                <w:bottom w:val="none" w:sz="0" w:space="0" w:color="auto"/>
                                <w:right w:val="none" w:sz="0" w:space="0" w:color="auto"/>
                              </w:divBdr>
                              <w:divsChild>
                                <w:div w:id="1329943791">
                                  <w:marLeft w:val="0"/>
                                  <w:marRight w:val="0"/>
                                  <w:marTop w:val="0"/>
                                  <w:marBottom w:val="0"/>
                                  <w:divBdr>
                                    <w:top w:val="none" w:sz="0" w:space="0" w:color="auto"/>
                                    <w:left w:val="none" w:sz="0" w:space="0" w:color="auto"/>
                                    <w:bottom w:val="none" w:sz="0" w:space="0" w:color="auto"/>
                                    <w:right w:val="none" w:sz="0" w:space="0" w:color="auto"/>
                                  </w:divBdr>
                                  <w:divsChild>
                                    <w:div w:id="1129516979">
                                      <w:marLeft w:val="0"/>
                                      <w:marRight w:val="0"/>
                                      <w:marTop w:val="0"/>
                                      <w:marBottom w:val="0"/>
                                      <w:divBdr>
                                        <w:top w:val="none" w:sz="0" w:space="0" w:color="auto"/>
                                        <w:left w:val="none" w:sz="0" w:space="0" w:color="auto"/>
                                        <w:bottom w:val="none" w:sz="0" w:space="0" w:color="auto"/>
                                        <w:right w:val="none" w:sz="0" w:space="0" w:color="auto"/>
                                      </w:divBdr>
                                      <w:divsChild>
                                        <w:div w:id="1071348242">
                                          <w:marLeft w:val="0"/>
                                          <w:marRight w:val="0"/>
                                          <w:marTop w:val="0"/>
                                          <w:marBottom w:val="0"/>
                                          <w:divBdr>
                                            <w:top w:val="none" w:sz="0" w:space="0" w:color="auto"/>
                                            <w:left w:val="none" w:sz="0" w:space="0" w:color="auto"/>
                                            <w:bottom w:val="none" w:sz="0" w:space="0" w:color="auto"/>
                                            <w:right w:val="none" w:sz="0" w:space="0" w:color="auto"/>
                                          </w:divBdr>
                                          <w:divsChild>
                                            <w:div w:id="713888077">
                                              <w:marLeft w:val="0"/>
                                              <w:marRight w:val="0"/>
                                              <w:marTop w:val="0"/>
                                              <w:marBottom w:val="0"/>
                                              <w:divBdr>
                                                <w:top w:val="none" w:sz="0" w:space="0" w:color="auto"/>
                                                <w:left w:val="none" w:sz="0" w:space="0" w:color="auto"/>
                                                <w:bottom w:val="none" w:sz="0" w:space="0" w:color="auto"/>
                                                <w:right w:val="none" w:sz="0" w:space="0" w:color="auto"/>
                                              </w:divBdr>
                                              <w:divsChild>
                                                <w:div w:id="410811538">
                                                  <w:marLeft w:val="0"/>
                                                  <w:marRight w:val="0"/>
                                                  <w:marTop w:val="0"/>
                                                  <w:marBottom w:val="0"/>
                                                  <w:divBdr>
                                                    <w:top w:val="none" w:sz="0" w:space="0" w:color="auto"/>
                                                    <w:left w:val="none" w:sz="0" w:space="0" w:color="auto"/>
                                                    <w:bottom w:val="none" w:sz="0" w:space="0" w:color="auto"/>
                                                    <w:right w:val="none" w:sz="0" w:space="0" w:color="auto"/>
                                                  </w:divBdr>
                                                  <w:divsChild>
                                                    <w:div w:id="496919303">
                                                      <w:marLeft w:val="0"/>
                                                      <w:marRight w:val="0"/>
                                                      <w:marTop w:val="0"/>
                                                      <w:marBottom w:val="0"/>
                                                      <w:divBdr>
                                                        <w:top w:val="none" w:sz="0" w:space="0" w:color="auto"/>
                                                        <w:left w:val="none" w:sz="0" w:space="0" w:color="auto"/>
                                                        <w:bottom w:val="none" w:sz="0" w:space="0" w:color="auto"/>
                                                        <w:right w:val="none" w:sz="0" w:space="0" w:color="auto"/>
                                                      </w:divBdr>
                                                      <w:divsChild>
                                                        <w:div w:id="18229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3E71A-C818-41C7-9D2B-DC7036DA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Brenton</dc:creator>
  <cp:keywords/>
  <dc:description/>
  <cp:lastModifiedBy>CLARK Brenton</cp:lastModifiedBy>
  <cp:revision>2</cp:revision>
  <cp:lastPrinted>2019-03-21T21:09:00Z</cp:lastPrinted>
  <dcterms:created xsi:type="dcterms:W3CDTF">2019-03-22T02:13:00Z</dcterms:created>
  <dcterms:modified xsi:type="dcterms:W3CDTF">2019-03-22T02:13:00Z</dcterms:modified>
</cp:coreProperties>
</file>