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7C82D" w14:textId="5966234E" w:rsidR="00602F39" w:rsidRPr="005D4B23" w:rsidRDefault="00602F39" w:rsidP="00E17CA9">
      <w:pPr>
        <w:pStyle w:val="Heading1"/>
      </w:pPr>
      <w:bookmarkStart w:id="0" w:name="_GoBack"/>
      <w:bookmarkEnd w:id="0"/>
      <w:r w:rsidRPr="005D4B23">
        <w:t xml:space="preserve">EXPLANATORY </w:t>
      </w:r>
      <w:r w:rsidR="004D4ED9" w:rsidRPr="005D4B23">
        <w:t>STATEMENT</w:t>
      </w:r>
    </w:p>
    <w:p w14:paraId="1A371FF8" w14:textId="0F885E7F" w:rsidR="004D4ED9" w:rsidRPr="005D4B23" w:rsidRDefault="004D4ED9" w:rsidP="00E17CA9">
      <w:pPr>
        <w:pStyle w:val="Heading2"/>
        <w:jc w:val="center"/>
      </w:pPr>
      <w:r w:rsidRPr="005D4B23">
        <w:t xml:space="preserve">Select Legislative Instrument No. </w:t>
      </w:r>
      <w:proofErr w:type="gramStart"/>
      <w:r w:rsidRPr="005D4B23">
        <w:t xml:space="preserve">  ,</w:t>
      </w:r>
      <w:proofErr w:type="gramEnd"/>
      <w:r w:rsidRPr="005D4B23">
        <w:t xml:space="preserve"> </w:t>
      </w:r>
      <w:r w:rsidR="00C63366" w:rsidRPr="005D4B23">
        <w:t>201</w:t>
      </w:r>
      <w:r w:rsidR="00BB53D9">
        <w:t>9</w:t>
      </w:r>
    </w:p>
    <w:p w14:paraId="126DBF9E" w14:textId="77777777" w:rsidR="00274038" w:rsidRDefault="00274038" w:rsidP="00E17CA9">
      <w:pPr>
        <w:jc w:val="center"/>
      </w:pPr>
      <w:bookmarkStart w:id="1" w:name="CursorPositionBM"/>
      <w:bookmarkEnd w:id="1"/>
      <w:r>
        <w:t>Issued by the Authority of the Minister for Industry, Science and Technology</w:t>
      </w:r>
    </w:p>
    <w:p w14:paraId="20C8455A" w14:textId="03B54120" w:rsidR="00423607" w:rsidRPr="005D4B23" w:rsidRDefault="006B03FF" w:rsidP="00E17CA9">
      <w:pPr>
        <w:pStyle w:val="Heading4"/>
        <w:jc w:val="center"/>
      </w:pPr>
      <w:r w:rsidRPr="005D4B23">
        <w:t>Patents Act 1990</w:t>
      </w:r>
    </w:p>
    <w:p w14:paraId="6A813FAC" w14:textId="77777777" w:rsidR="00423607" w:rsidRPr="005D4B23" w:rsidRDefault="00423607" w:rsidP="00E17CA9">
      <w:pPr>
        <w:pStyle w:val="Heading4"/>
        <w:jc w:val="center"/>
      </w:pPr>
      <w:r w:rsidRPr="005D4B23">
        <w:t>Designs Act 2003</w:t>
      </w:r>
    </w:p>
    <w:p w14:paraId="5D9270A8" w14:textId="3A900F49" w:rsidR="001400C8" w:rsidRPr="005D4B23" w:rsidRDefault="001400C8" w:rsidP="00E17CA9">
      <w:pPr>
        <w:pStyle w:val="Heading4"/>
        <w:jc w:val="center"/>
      </w:pPr>
      <w:r w:rsidRPr="005D4B23">
        <w:t>Intellectual Property L</w:t>
      </w:r>
      <w:r w:rsidR="00E969C0" w:rsidRPr="005D4B23">
        <w:t>aws</w:t>
      </w:r>
      <w:r w:rsidRPr="005D4B23">
        <w:t xml:space="preserve"> Amendment (</w:t>
      </w:r>
      <w:r w:rsidR="00BB53D9">
        <w:t>PCT Translations</w:t>
      </w:r>
      <w:r w:rsidRPr="005D4B23">
        <w:t xml:space="preserve"> and Other Measures) Regulation</w:t>
      </w:r>
      <w:r w:rsidR="007F0888">
        <w:t>s</w:t>
      </w:r>
      <w:r w:rsidRPr="005D4B23">
        <w:t xml:space="preserve"> </w:t>
      </w:r>
      <w:r w:rsidR="00591207" w:rsidRPr="005D4B23">
        <w:t>201</w:t>
      </w:r>
      <w:r w:rsidR="00BB53D9">
        <w:t>9</w:t>
      </w:r>
    </w:p>
    <w:p w14:paraId="2413B7B0" w14:textId="77777777" w:rsidR="00E27796" w:rsidRPr="005D4B23" w:rsidRDefault="00E27796" w:rsidP="00E17CA9">
      <w:pPr>
        <w:pStyle w:val="Heading2"/>
      </w:pPr>
      <w:r w:rsidRPr="005D4B23">
        <w:t>Legislative Authority</w:t>
      </w:r>
    </w:p>
    <w:p w14:paraId="58DCC5CD" w14:textId="77777777" w:rsidR="00DA789B" w:rsidRDefault="00DA789B" w:rsidP="00DA789B">
      <w:pPr>
        <w:widowControl w:val="0"/>
        <w:spacing w:before="240"/>
      </w:pPr>
      <w:r>
        <w:t xml:space="preserve">The </w:t>
      </w:r>
      <w:r w:rsidRPr="00237149">
        <w:rPr>
          <w:i/>
          <w:iCs/>
        </w:rPr>
        <w:t xml:space="preserve">Patents Act 1990 </w:t>
      </w:r>
      <w:r w:rsidRPr="00237149">
        <w:t>(</w:t>
      </w:r>
      <w:r>
        <w:t xml:space="preserve">the </w:t>
      </w:r>
      <w:r w:rsidRPr="00237149">
        <w:t>Patents Act)</w:t>
      </w:r>
      <w:r>
        <w:t xml:space="preserve"> provides for the patenting of inventions in Australia.</w:t>
      </w:r>
    </w:p>
    <w:p w14:paraId="289D2B08" w14:textId="77777777" w:rsidR="00DA789B" w:rsidRDefault="00DA789B" w:rsidP="00DA789B">
      <w:pPr>
        <w:widowControl w:val="0"/>
        <w:spacing w:before="240"/>
      </w:pPr>
      <w:r>
        <w:t xml:space="preserve">The </w:t>
      </w:r>
      <w:r w:rsidRPr="00237149">
        <w:rPr>
          <w:i/>
          <w:iCs/>
        </w:rPr>
        <w:t xml:space="preserve">Designs Act 2003 </w:t>
      </w:r>
      <w:r w:rsidRPr="00237149">
        <w:t>(</w:t>
      </w:r>
      <w:r>
        <w:t xml:space="preserve">the </w:t>
      </w:r>
      <w:r w:rsidRPr="00237149">
        <w:t>Designs Act)</w:t>
      </w:r>
      <w:r>
        <w:t xml:space="preserve"> provides for the registration of designs</w:t>
      </w:r>
      <w:r w:rsidRPr="004064E3">
        <w:t xml:space="preserve"> </w:t>
      </w:r>
      <w:r>
        <w:t>in Australia.</w:t>
      </w:r>
    </w:p>
    <w:p w14:paraId="237AADE3" w14:textId="3E89FA05" w:rsidR="00E27796" w:rsidRPr="0055781A" w:rsidRDefault="009C591A" w:rsidP="00E17CA9">
      <w:r w:rsidRPr="005D4B23">
        <w:t>Subsec</w:t>
      </w:r>
      <w:r w:rsidR="00233016" w:rsidRPr="005D4B23">
        <w:t xml:space="preserve">tion 228(1) of the </w:t>
      </w:r>
      <w:r w:rsidR="000763D6" w:rsidRPr="005D4B23">
        <w:t xml:space="preserve">Patents Act </w:t>
      </w:r>
      <w:r w:rsidR="00233016" w:rsidRPr="005D4B23">
        <w:t xml:space="preserve">and </w:t>
      </w:r>
      <w:r w:rsidRPr="005D4B23">
        <w:t xml:space="preserve">subsection </w:t>
      </w:r>
      <w:r w:rsidR="00E27796" w:rsidRPr="005D4B23">
        <w:t xml:space="preserve">149(1) of the </w:t>
      </w:r>
      <w:r w:rsidR="000763D6" w:rsidRPr="005D4B23">
        <w:t>Designs Act (collectively, ‘the principal Acts’)</w:t>
      </w:r>
      <w:r w:rsidR="00211C79" w:rsidRPr="005D4B23">
        <w:t xml:space="preserve"> </w:t>
      </w:r>
      <w:r w:rsidR="00E27796" w:rsidRPr="005D4B23">
        <w:t>provide that the Governor-General may make regulations prescribing matters required or permitted by the</w:t>
      </w:r>
      <w:r w:rsidR="000763D6" w:rsidRPr="005D4B23">
        <w:t xml:space="preserve"> principal</w:t>
      </w:r>
      <w:r w:rsidR="00E27796" w:rsidRPr="005D4B23">
        <w:t xml:space="preserve"> Acts to be prescribed, or necessary or convenient to be prescribed for carrying out </w:t>
      </w:r>
      <w:r w:rsidR="00E27796" w:rsidRPr="0055781A">
        <w:t xml:space="preserve">or giving effect to the </w:t>
      </w:r>
      <w:r w:rsidR="000763D6" w:rsidRPr="0055781A">
        <w:t xml:space="preserve">principal </w:t>
      </w:r>
      <w:r w:rsidR="00E27796" w:rsidRPr="0055781A">
        <w:t>Acts.</w:t>
      </w:r>
    </w:p>
    <w:p w14:paraId="145014D6" w14:textId="224B5115" w:rsidR="0055781A" w:rsidRDefault="0055781A" w:rsidP="00E17CA9">
      <w:pPr>
        <w:rPr>
          <w:color w:val="000000"/>
          <w:shd w:val="clear" w:color="auto" w:fill="FFFFFF"/>
        </w:rPr>
      </w:pPr>
      <w:r w:rsidRPr="0055781A">
        <w:t xml:space="preserve">In particular, paragraph 228(1)(e) of the Patents Act provides that the Governor-General may make regulations for the purpose of carrying out or giving effect to the </w:t>
      </w:r>
      <w:r w:rsidRPr="00E17CA9">
        <w:rPr>
          <w:b/>
          <w:color w:val="000000"/>
          <w:shd w:val="clear" w:color="auto" w:fill="FFFFFF"/>
        </w:rPr>
        <w:t>PCT</w:t>
      </w:r>
      <w:r>
        <w:rPr>
          <w:color w:val="000000"/>
          <w:shd w:val="clear" w:color="auto" w:fill="FFFFFF"/>
        </w:rPr>
        <w:t xml:space="preserve">: </w:t>
      </w:r>
      <w:r w:rsidRPr="0055781A">
        <w:rPr>
          <w:color w:val="000000"/>
          <w:shd w:val="clear" w:color="auto" w:fill="FFFFFF"/>
        </w:rPr>
        <w:t>the Patent Cooperation Treaty</w:t>
      </w:r>
      <w:r w:rsidRPr="0055781A">
        <w:rPr>
          <w:i/>
          <w:color w:val="000000"/>
          <w:shd w:val="clear" w:color="auto" w:fill="FFFFFF"/>
        </w:rPr>
        <w:t xml:space="preserve"> </w:t>
      </w:r>
      <w:r w:rsidRPr="0055781A">
        <w:rPr>
          <w:color w:val="000000"/>
          <w:shd w:val="clear" w:color="auto" w:fill="FFFFFF"/>
        </w:rPr>
        <w:t>signed at Washington on 19 June 1970, as that treaty is in force for Australia from time to time, together with the Regulations annexed to that treaty, as those Regulations are in force for Australia from time to time.</w:t>
      </w:r>
    </w:p>
    <w:p w14:paraId="06697AB3" w14:textId="4AC7F05A" w:rsidR="0055781A" w:rsidRPr="005D4B23" w:rsidRDefault="0055781A" w:rsidP="00E17CA9">
      <w:r w:rsidRPr="005D4B23">
        <w:t xml:space="preserve">The principal Acts do not specify any conditions that must be met before the power to make the </w:t>
      </w:r>
      <w:r w:rsidR="00E17CA9">
        <w:t>r</w:t>
      </w:r>
      <w:r w:rsidRPr="005D4B23">
        <w:t>egulation</w:t>
      </w:r>
      <w:r>
        <w:t>s</w:t>
      </w:r>
      <w:r w:rsidRPr="005D4B23">
        <w:t xml:space="preserve"> may be exercised.</w:t>
      </w:r>
    </w:p>
    <w:p w14:paraId="1794DA28" w14:textId="37E96D9C" w:rsidR="0055781A" w:rsidRPr="005D4B23" w:rsidRDefault="0055781A" w:rsidP="00E17CA9">
      <w:r w:rsidRPr="005D4B23">
        <w:t xml:space="preserve">The </w:t>
      </w:r>
      <w:r w:rsidR="00E17CA9">
        <w:t>r</w:t>
      </w:r>
      <w:r w:rsidRPr="005D4B23">
        <w:t>egulation</w:t>
      </w:r>
      <w:r>
        <w:t>s</w:t>
      </w:r>
      <w:r w:rsidRPr="005D4B23">
        <w:t xml:space="preserve"> </w:t>
      </w:r>
      <w:r>
        <w:t>are</w:t>
      </w:r>
      <w:r w:rsidRPr="005D4B23">
        <w:t xml:space="preserve"> a legislative instrument for the </w:t>
      </w:r>
      <w:r w:rsidRPr="005D4B23">
        <w:rPr>
          <w:i/>
        </w:rPr>
        <w:t>Legislation Act 2003</w:t>
      </w:r>
      <w:r w:rsidRPr="005D4B23">
        <w:t>.</w:t>
      </w:r>
    </w:p>
    <w:p w14:paraId="69A845CD" w14:textId="111EC50E" w:rsidR="00271968" w:rsidRPr="005D4B23" w:rsidRDefault="00BC7F2B" w:rsidP="00F20C8A">
      <w:pPr>
        <w:pStyle w:val="Heading2"/>
      </w:pPr>
      <w:r w:rsidRPr="005D4B23">
        <w:t>Purpose</w:t>
      </w:r>
      <w:r w:rsidR="00C261FC" w:rsidRPr="005D4B23">
        <w:t>s</w:t>
      </w:r>
      <w:r w:rsidR="002D1B41" w:rsidRPr="005D4B23">
        <w:t xml:space="preserve"> and Operation</w:t>
      </w:r>
      <w:r w:rsidR="00C261FC" w:rsidRPr="005D4B23">
        <w:t>s</w:t>
      </w:r>
      <w:r w:rsidR="002D1B41" w:rsidRPr="005D4B23">
        <w:t xml:space="preserve"> </w:t>
      </w:r>
      <w:r w:rsidRPr="005D4B23">
        <w:t xml:space="preserve">of the </w:t>
      </w:r>
      <w:r w:rsidR="00271968" w:rsidRPr="005D4B23">
        <w:t>Regulation</w:t>
      </w:r>
      <w:r w:rsidR="0055781A">
        <w:t>s</w:t>
      </w:r>
    </w:p>
    <w:p w14:paraId="7227DF4B" w14:textId="2793E2BC" w:rsidR="00AC6696" w:rsidRPr="005D4B23" w:rsidRDefault="0030550E" w:rsidP="00CB008A">
      <w:pPr>
        <w:spacing w:after="120"/>
      </w:pPr>
      <w:r w:rsidRPr="005D4B23">
        <w:t>The Intellectual Property Laws Amendment (</w:t>
      </w:r>
      <w:r w:rsidR="00BB53D9">
        <w:t>PCT Translations</w:t>
      </w:r>
      <w:r w:rsidRPr="005D4B23">
        <w:t xml:space="preserve"> and Other Measures) Regulation</w:t>
      </w:r>
      <w:r w:rsidR="0062276E">
        <w:t>s</w:t>
      </w:r>
      <w:r w:rsidRPr="005D4B23">
        <w:t xml:space="preserve"> 201</w:t>
      </w:r>
      <w:r w:rsidR="00BB53D9">
        <w:t>9</w:t>
      </w:r>
      <w:r w:rsidRPr="005D4B23">
        <w:t xml:space="preserve"> (‘Regulation</w:t>
      </w:r>
      <w:r w:rsidR="00C413DD">
        <w:t>s</w:t>
      </w:r>
      <w:r w:rsidRPr="005D4B23">
        <w:t xml:space="preserve">’) amend the </w:t>
      </w:r>
      <w:r w:rsidRPr="00AE2E3E">
        <w:rPr>
          <w:i/>
        </w:rPr>
        <w:t>Patents Regulations 1991</w:t>
      </w:r>
      <w:r w:rsidRPr="005D4B23">
        <w:t xml:space="preserve"> (</w:t>
      </w:r>
      <w:r w:rsidR="00CF5B37">
        <w:t>“</w:t>
      </w:r>
      <w:r w:rsidRPr="005D4B23">
        <w:t>Patents Regulations</w:t>
      </w:r>
      <w:r w:rsidR="00CF5B37">
        <w:t>”</w:t>
      </w:r>
      <w:r w:rsidRPr="005D4B23">
        <w:t xml:space="preserve">) and the </w:t>
      </w:r>
      <w:r w:rsidRPr="00AE2E3E">
        <w:rPr>
          <w:i/>
        </w:rPr>
        <w:t>Designs Regulations 2004</w:t>
      </w:r>
      <w:r w:rsidRPr="005D4B23">
        <w:t xml:space="preserve"> (</w:t>
      </w:r>
      <w:r w:rsidR="00CF5B37">
        <w:t>“</w:t>
      </w:r>
      <w:r w:rsidRPr="005D4B23">
        <w:t>Designs Regulations</w:t>
      </w:r>
      <w:r w:rsidR="00CF5B37">
        <w:t>”</w:t>
      </w:r>
      <w:r w:rsidRPr="005D4B23">
        <w:t>)</w:t>
      </w:r>
      <w:r w:rsidR="000763D6" w:rsidRPr="005D4B23">
        <w:t xml:space="preserve"> (collectively, </w:t>
      </w:r>
      <w:r w:rsidR="00CF5B37">
        <w:t>“</w:t>
      </w:r>
      <w:r w:rsidR="000763D6" w:rsidRPr="005D4B23">
        <w:t>the principal Regulations</w:t>
      </w:r>
      <w:r w:rsidR="00CF5B37">
        <w:t>”</w:t>
      </w:r>
      <w:r w:rsidR="000763D6" w:rsidRPr="005D4B23">
        <w:t>)</w:t>
      </w:r>
      <w:r w:rsidRPr="005D4B23">
        <w:t xml:space="preserve"> to</w:t>
      </w:r>
      <w:r w:rsidR="00AC6696" w:rsidRPr="005D4B23">
        <w:t>:</w:t>
      </w:r>
    </w:p>
    <w:p w14:paraId="4B4FFB16" w14:textId="6A9EE1EB" w:rsidR="0073733E" w:rsidRPr="005D4B23" w:rsidRDefault="00BB53D9" w:rsidP="0062416B">
      <w:pPr>
        <w:pStyle w:val="ListParagraph"/>
        <w:numPr>
          <w:ilvl w:val="0"/>
          <w:numId w:val="18"/>
        </w:numPr>
        <w:spacing w:after="120"/>
        <w:contextualSpacing w:val="0"/>
      </w:pPr>
      <w:r>
        <w:t>clarify requirements relating to the filing of translations of documents with the Patent Office</w:t>
      </w:r>
      <w:r w:rsidR="00F20C8A">
        <w:t>;</w:t>
      </w:r>
    </w:p>
    <w:p w14:paraId="68F6D63E" w14:textId="43D780D5" w:rsidR="00F32362" w:rsidRPr="005D4B23" w:rsidRDefault="0094310A" w:rsidP="0062416B">
      <w:pPr>
        <w:pStyle w:val="ListParagraph"/>
        <w:numPr>
          <w:ilvl w:val="0"/>
          <w:numId w:val="18"/>
        </w:numPr>
        <w:spacing w:after="120"/>
        <w:contextualSpacing w:val="0"/>
      </w:pPr>
      <w:r>
        <w:t>improve a</w:t>
      </w:r>
      <w:r w:rsidR="009C7E4E" w:rsidRPr="005D4B23">
        <w:t xml:space="preserve">nd </w:t>
      </w:r>
      <w:r w:rsidR="00027FC8" w:rsidRPr="005D4B23">
        <w:t xml:space="preserve">streamline processes involved with obtaining and maintaining </w:t>
      </w:r>
      <w:r w:rsidR="006D2742">
        <w:t>intellectual property (</w:t>
      </w:r>
      <w:r w:rsidR="004F4937">
        <w:t>“</w:t>
      </w:r>
      <w:r w:rsidR="00027FC8" w:rsidRPr="005D4B23">
        <w:t>IP</w:t>
      </w:r>
      <w:r w:rsidR="004F4937">
        <w:t>”</w:t>
      </w:r>
      <w:r w:rsidR="006D2742">
        <w:t>)</w:t>
      </w:r>
      <w:r w:rsidR="00027FC8" w:rsidRPr="005D4B23">
        <w:t xml:space="preserve"> rights</w:t>
      </w:r>
      <w:r w:rsidR="008554AD" w:rsidRPr="005D4B23">
        <w:t>;</w:t>
      </w:r>
      <w:r w:rsidR="00427856" w:rsidRPr="005D4B23">
        <w:t xml:space="preserve"> </w:t>
      </w:r>
      <w:r w:rsidR="008C609D" w:rsidRPr="005D4B23">
        <w:t>and</w:t>
      </w:r>
    </w:p>
    <w:p w14:paraId="51742390" w14:textId="673D6097" w:rsidR="0030550E" w:rsidRPr="005D4B23" w:rsidRDefault="009C7E4E" w:rsidP="0062416B">
      <w:pPr>
        <w:pStyle w:val="ListParagraph"/>
        <w:numPr>
          <w:ilvl w:val="0"/>
          <w:numId w:val="18"/>
        </w:numPr>
        <w:contextualSpacing w:val="0"/>
      </w:pPr>
      <w:r w:rsidRPr="005D4B23">
        <w:t>ensure</w:t>
      </w:r>
      <w:r w:rsidR="00427856" w:rsidRPr="005D4B23">
        <w:t xml:space="preserve"> Australia’s compliance with international treaties</w:t>
      </w:r>
      <w:r w:rsidR="00EC3C3E">
        <w:t>.</w:t>
      </w:r>
    </w:p>
    <w:p w14:paraId="7604AE06" w14:textId="3892D909" w:rsidR="0062416B" w:rsidRDefault="0062416B" w:rsidP="00F20C8A">
      <w:pPr>
        <w:keepNext/>
        <w:spacing w:after="120"/>
      </w:pPr>
      <w:r w:rsidRPr="005D4B23">
        <w:lastRenderedPageBreak/>
        <w:t xml:space="preserve">Schedule 1 to the </w:t>
      </w:r>
      <w:r>
        <w:t xml:space="preserve">Regulations </w:t>
      </w:r>
      <w:r w:rsidRPr="005D4B23">
        <w:t>amend</w:t>
      </w:r>
      <w:r>
        <w:t>s</w:t>
      </w:r>
      <w:r w:rsidRPr="005D4B23">
        <w:t xml:space="preserve"> the </w:t>
      </w:r>
      <w:r>
        <w:t xml:space="preserve">Patents </w:t>
      </w:r>
      <w:r w:rsidRPr="005D4B23">
        <w:t xml:space="preserve">Regulations </w:t>
      </w:r>
      <w:r>
        <w:t>to:</w:t>
      </w:r>
    </w:p>
    <w:p w14:paraId="6D4AE9F5" w14:textId="08613165" w:rsidR="0062416B" w:rsidRPr="005D4B23" w:rsidRDefault="0062416B" w:rsidP="0062416B">
      <w:pPr>
        <w:pStyle w:val="ListParagraph"/>
        <w:numPr>
          <w:ilvl w:val="0"/>
          <w:numId w:val="18"/>
        </w:numPr>
        <w:spacing w:after="120"/>
        <w:contextualSpacing w:val="0"/>
      </w:pPr>
      <w:r w:rsidRPr="005D4B23">
        <w:t>clarif</w:t>
      </w:r>
      <w:r>
        <w:t>y</w:t>
      </w:r>
      <w:r w:rsidRPr="005D4B23">
        <w:t xml:space="preserve"> the translation requirements for </w:t>
      </w:r>
      <w:r>
        <w:t xml:space="preserve">international patent applications made under the </w:t>
      </w:r>
      <w:r>
        <w:rPr>
          <w:noProof/>
        </w:rPr>
        <w:t xml:space="preserve">PCT </w:t>
      </w:r>
      <w:r>
        <w:t>(“PCT applications”)</w:t>
      </w:r>
      <w:r w:rsidRPr="005D4B23">
        <w:t xml:space="preserve"> </w:t>
      </w:r>
      <w:r>
        <w:t xml:space="preserve">to enter the national phase in Australia </w:t>
      </w:r>
      <w:r w:rsidRPr="005D4B23">
        <w:t>and provide</w:t>
      </w:r>
      <w:r>
        <w:t>s</w:t>
      </w:r>
      <w:r w:rsidRPr="005D4B23">
        <w:t xml:space="preserve"> some additional flexibility for applicants when filing translated documents</w:t>
      </w:r>
    </w:p>
    <w:p w14:paraId="6DFE5E4D" w14:textId="55E1A602" w:rsidR="0062416B" w:rsidRPr="005D4B23" w:rsidRDefault="0062416B" w:rsidP="0062416B">
      <w:pPr>
        <w:pStyle w:val="ListParagraph"/>
        <w:numPr>
          <w:ilvl w:val="0"/>
          <w:numId w:val="18"/>
        </w:numPr>
        <w:spacing w:after="120"/>
        <w:contextualSpacing w:val="0"/>
      </w:pPr>
      <w:r>
        <w:t>r</w:t>
      </w:r>
      <w:r w:rsidRPr="005D4B23">
        <w:t>emove</w:t>
      </w:r>
      <w:r>
        <w:t xml:space="preserve"> </w:t>
      </w:r>
      <w:r w:rsidRPr="005D4B23">
        <w:t xml:space="preserve">requirements for </w:t>
      </w:r>
      <w:r>
        <w:t xml:space="preserve">anyone who files a document translated into English to always </w:t>
      </w:r>
      <w:r w:rsidRPr="005D4B23">
        <w:t>provid</w:t>
      </w:r>
      <w:r>
        <w:t>e</w:t>
      </w:r>
      <w:r w:rsidRPr="005D4B23">
        <w:t xml:space="preserve"> </w:t>
      </w:r>
      <w:r>
        <w:t xml:space="preserve">a </w:t>
      </w:r>
      <w:r w:rsidRPr="005D4B23">
        <w:t xml:space="preserve">certificate of verification </w:t>
      </w:r>
      <w:r>
        <w:t>of the translation (“certificate of verification”)</w:t>
      </w:r>
      <w:r w:rsidR="00F20C8A">
        <w:t>; and</w:t>
      </w:r>
    </w:p>
    <w:p w14:paraId="5274AB61" w14:textId="4CAA893F" w:rsidR="0062416B" w:rsidRPr="005D4B23" w:rsidRDefault="0062416B" w:rsidP="00CB008A">
      <w:pPr>
        <w:pStyle w:val="ListParagraph"/>
        <w:numPr>
          <w:ilvl w:val="0"/>
          <w:numId w:val="18"/>
        </w:numPr>
        <w:contextualSpacing w:val="0"/>
      </w:pPr>
      <w:r>
        <w:t xml:space="preserve">provide that – if </w:t>
      </w:r>
      <w:r w:rsidRPr="005D4B23">
        <w:t xml:space="preserve">the Commissioner of Patents </w:t>
      </w:r>
      <w:r>
        <w:t xml:space="preserve">has </w:t>
      </w:r>
      <w:r w:rsidRPr="005D4B23">
        <w:t xml:space="preserve">reasonable doubts </w:t>
      </w:r>
      <w:r>
        <w:t>about</w:t>
      </w:r>
      <w:r w:rsidRPr="005D4B23">
        <w:t xml:space="preserve"> the </w:t>
      </w:r>
      <w:r>
        <w:t>accuracy</w:t>
      </w:r>
      <w:r w:rsidRPr="005D4B23">
        <w:t xml:space="preserve"> of </w:t>
      </w:r>
      <w:r>
        <w:t xml:space="preserve">a </w:t>
      </w:r>
      <w:r w:rsidRPr="005D4B23">
        <w:t>translation</w:t>
      </w:r>
      <w:r>
        <w:t xml:space="preserve"> into English – the Commissioner can require the person to either file a certificate of verification of the translation, or else file a corrected translation with its own certificate of verification</w:t>
      </w:r>
      <w:r w:rsidR="00F20C8A">
        <w:t>.</w:t>
      </w:r>
    </w:p>
    <w:p w14:paraId="17B77E08" w14:textId="3D763E06" w:rsidR="00AC6696" w:rsidRPr="005D4B23" w:rsidRDefault="00373BD6" w:rsidP="00CB008A">
      <w:pPr>
        <w:spacing w:after="120"/>
      </w:pPr>
      <w:r w:rsidRPr="005D4B23">
        <w:t xml:space="preserve">The various Parts in Schedule </w:t>
      </w:r>
      <w:r w:rsidR="0062416B">
        <w:t>2</w:t>
      </w:r>
      <w:r w:rsidR="0062416B" w:rsidRPr="005D4B23">
        <w:t xml:space="preserve"> </w:t>
      </w:r>
      <w:r w:rsidRPr="005D4B23">
        <w:t xml:space="preserve">to the </w:t>
      </w:r>
      <w:r w:rsidR="0062276E">
        <w:t xml:space="preserve">Regulations </w:t>
      </w:r>
      <w:r w:rsidRPr="005D4B23">
        <w:t xml:space="preserve">amend the </w:t>
      </w:r>
      <w:r w:rsidR="00BB53D9">
        <w:t>principal</w:t>
      </w:r>
      <w:r w:rsidRPr="005D4B23">
        <w:t xml:space="preserve"> Regulations as follows:</w:t>
      </w:r>
    </w:p>
    <w:p w14:paraId="14770D21" w14:textId="5D6CC0FC" w:rsidR="00817DCF" w:rsidRPr="005D4B23" w:rsidRDefault="00817DCF" w:rsidP="00CB008A">
      <w:pPr>
        <w:spacing w:after="120"/>
      </w:pPr>
      <w:r w:rsidRPr="005D4B23">
        <w:t xml:space="preserve">Part </w:t>
      </w:r>
      <w:r w:rsidR="0062416B">
        <w:t>1</w:t>
      </w:r>
      <w:r w:rsidR="0062416B" w:rsidRPr="005D4B23">
        <w:t xml:space="preserve"> </w:t>
      </w:r>
      <w:r w:rsidRPr="005D4B23">
        <w:t xml:space="preserve">– </w:t>
      </w:r>
      <w:r w:rsidRPr="005D4B23">
        <w:rPr>
          <w:noProof/>
        </w:rPr>
        <w:t xml:space="preserve">Delegation </w:t>
      </w:r>
    </w:p>
    <w:p w14:paraId="363F564C" w14:textId="3AAB5503" w:rsidR="00817DCF" w:rsidRPr="005D4B23" w:rsidRDefault="00817DCF" w:rsidP="00A35058">
      <w:pPr>
        <w:pStyle w:val="ListParagraph"/>
        <w:numPr>
          <w:ilvl w:val="0"/>
          <w:numId w:val="18"/>
        </w:numPr>
        <w:spacing w:after="120"/>
        <w:contextualSpacing w:val="0"/>
      </w:pPr>
      <w:r w:rsidRPr="005D4B23">
        <w:t xml:space="preserve">enables the Commissioner of Patents and the Registrar of Designs to delegate </w:t>
      </w:r>
      <w:r w:rsidR="00B930B2" w:rsidRPr="005D4B23">
        <w:t xml:space="preserve">to suitably qualified employees </w:t>
      </w:r>
      <w:r w:rsidR="006C15CA" w:rsidRPr="005D4B23">
        <w:t>t</w:t>
      </w:r>
      <w:r w:rsidRPr="005D4B23">
        <w:t>he</w:t>
      </w:r>
      <w:r w:rsidR="00B56A45">
        <w:t>ir</w:t>
      </w:r>
      <w:r w:rsidRPr="005D4B23">
        <w:t xml:space="preserve"> powers to summon witnesses </w:t>
      </w:r>
      <w:r w:rsidR="00B930B2">
        <w:t>or</w:t>
      </w:r>
      <w:r w:rsidRPr="005D4B23">
        <w:t xml:space="preserve"> </w:t>
      </w:r>
      <w:r w:rsidR="002D10BD">
        <w:t xml:space="preserve">to </w:t>
      </w:r>
      <w:r w:rsidR="00B930B2">
        <w:t xml:space="preserve">require </w:t>
      </w:r>
      <w:r w:rsidR="00B56A45">
        <w:t xml:space="preserve">someone </w:t>
      </w:r>
      <w:r w:rsidR="00B930B2">
        <w:t xml:space="preserve">to </w:t>
      </w:r>
      <w:r w:rsidRPr="005D4B23">
        <w:t>produce documents</w:t>
      </w:r>
      <w:r w:rsidR="00B56A45">
        <w:t xml:space="preserve"> or articles</w:t>
      </w:r>
      <w:r w:rsidR="00D66A69">
        <w:t>;</w:t>
      </w:r>
    </w:p>
    <w:p w14:paraId="454B4FEF" w14:textId="51B4DFBC" w:rsidR="00373BD6" w:rsidRPr="005D4B23" w:rsidRDefault="00817DCF" w:rsidP="00A35058">
      <w:pPr>
        <w:spacing w:after="120"/>
      </w:pPr>
      <w:r w:rsidRPr="005D4B23">
        <w:t xml:space="preserve">Part </w:t>
      </w:r>
      <w:r w:rsidR="0062416B">
        <w:t>2</w:t>
      </w:r>
      <w:r w:rsidR="0062416B" w:rsidRPr="005D4B23">
        <w:t xml:space="preserve"> </w:t>
      </w:r>
      <w:r w:rsidR="009D6DEA" w:rsidRPr="005D4B23">
        <w:t xml:space="preserve">– </w:t>
      </w:r>
      <w:r w:rsidRPr="005D4B23">
        <w:rPr>
          <w:noProof/>
        </w:rPr>
        <w:t>Fees</w:t>
      </w:r>
    </w:p>
    <w:p w14:paraId="4D67D752" w14:textId="59E93066" w:rsidR="00445168" w:rsidRPr="005D4B23" w:rsidRDefault="0068650F" w:rsidP="00A35058">
      <w:pPr>
        <w:pStyle w:val="ListParagraph"/>
        <w:numPr>
          <w:ilvl w:val="0"/>
          <w:numId w:val="18"/>
        </w:numPr>
        <w:spacing w:after="120"/>
        <w:contextualSpacing w:val="0"/>
      </w:pPr>
      <w:r w:rsidRPr="005D4B23">
        <w:t xml:space="preserve">ensures </w:t>
      </w:r>
      <w:r w:rsidR="00817DCF" w:rsidRPr="005D4B23">
        <w:t xml:space="preserve">the </w:t>
      </w:r>
      <w:r w:rsidR="00592444" w:rsidRPr="005D4B23">
        <w:t>s</w:t>
      </w:r>
      <w:r w:rsidRPr="005D4B23">
        <w:t xml:space="preserve">chedule of fees in </w:t>
      </w:r>
      <w:r w:rsidR="00503548" w:rsidRPr="005D4B23">
        <w:t>the Patents Regulations</w:t>
      </w:r>
      <w:r w:rsidRPr="005D4B23">
        <w:t xml:space="preserve"> complies with the </w:t>
      </w:r>
      <w:r w:rsidR="00274A4B">
        <w:t>s</w:t>
      </w:r>
      <w:r w:rsidRPr="005D4B23">
        <w:t xml:space="preserve">chedule of </w:t>
      </w:r>
      <w:r w:rsidR="00274A4B">
        <w:t>f</w:t>
      </w:r>
      <w:r w:rsidRPr="005D4B23">
        <w:t xml:space="preserve">ees under the </w:t>
      </w:r>
      <w:r w:rsidR="00E17CA9">
        <w:t>PCT</w:t>
      </w:r>
      <w:r w:rsidR="00D66A69">
        <w:t>;</w:t>
      </w:r>
    </w:p>
    <w:p w14:paraId="2128D3C5" w14:textId="5DF4B94F" w:rsidR="00487B65" w:rsidRPr="00E17CA9" w:rsidRDefault="00487B65" w:rsidP="00A35058">
      <w:pPr>
        <w:spacing w:after="120"/>
      </w:pPr>
      <w:r w:rsidRPr="00E17CA9">
        <w:t xml:space="preserve">Part </w:t>
      </w:r>
      <w:r w:rsidR="0062416B">
        <w:t>3</w:t>
      </w:r>
      <w:r w:rsidR="0062416B" w:rsidRPr="00E17CA9">
        <w:t xml:space="preserve"> </w:t>
      </w:r>
      <w:r w:rsidRPr="00E17CA9">
        <w:t>–</w:t>
      </w:r>
      <w:r w:rsidR="00071F43" w:rsidRPr="00E17CA9">
        <w:t xml:space="preserve"> </w:t>
      </w:r>
      <w:r w:rsidR="00817DCF" w:rsidRPr="00E17CA9">
        <w:t>Extension of time for acceptance</w:t>
      </w:r>
    </w:p>
    <w:p w14:paraId="7C07337B" w14:textId="61F2B0DD" w:rsidR="00D424C6" w:rsidRPr="005D4B23" w:rsidRDefault="00D424C6" w:rsidP="00A35058">
      <w:pPr>
        <w:pStyle w:val="ListParagraph"/>
        <w:numPr>
          <w:ilvl w:val="0"/>
          <w:numId w:val="30"/>
        </w:numPr>
        <w:spacing w:after="120"/>
        <w:contextualSpacing w:val="0"/>
      </w:pPr>
      <w:r w:rsidRPr="005D4B23">
        <w:t xml:space="preserve">provides greater certainty </w:t>
      </w:r>
      <w:r w:rsidR="00747B3E">
        <w:t>for</w:t>
      </w:r>
      <w:r w:rsidR="00B73BA4" w:rsidRPr="005D4B23">
        <w:t xml:space="preserve"> the acceptance </w:t>
      </w:r>
      <w:r w:rsidR="00747B3E">
        <w:t>period</w:t>
      </w:r>
      <w:r w:rsidR="00B73BA4" w:rsidRPr="005D4B23">
        <w:t xml:space="preserve"> of a patent</w:t>
      </w:r>
      <w:r w:rsidRPr="005D4B23">
        <w:t xml:space="preserve"> application </w:t>
      </w:r>
      <w:r w:rsidR="007F5FDE">
        <w:t xml:space="preserve">if </w:t>
      </w:r>
      <w:r w:rsidR="00B73BA4" w:rsidRPr="005D4B23">
        <w:t xml:space="preserve">there is a </w:t>
      </w:r>
      <w:r w:rsidR="00747B3E" w:rsidRPr="005D4B23">
        <w:t xml:space="preserve">dispute </w:t>
      </w:r>
      <w:r w:rsidR="00747B3E">
        <w:t>about the applicant’s entitlement to make the application</w:t>
      </w:r>
      <w:r w:rsidR="00D66A69">
        <w:t>;</w:t>
      </w:r>
    </w:p>
    <w:p w14:paraId="18C6263F" w14:textId="2599972D" w:rsidR="0062416B" w:rsidRPr="00E17CA9" w:rsidRDefault="0062416B" w:rsidP="0062416B">
      <w:pPr>
        <w:spacing w:after="120"/>
      </w:pPr>
      <w:r w:rsidRPr="00E17CA9">
        <w:t xml:space="preserve">Part </w:t>
      </w:r>
      <w:r>
        <w:t xml:space="preserve">4 </w:t>
      </w:r>
      <w:r w:rsidRPr="00E17CA9">
        <w:t xml:space="preserve">– </w:t>
      </w:r>
      <w:r>
        <w:t>Certificate of verification</w:t>
      </w:r>
    </w:p>
    <w:p w14:paraId="04B60852" w14:textId="3677F922" w:rsidR="0062416B" w:rsidRDefault="0062416B" w:rsidP="0062416B">
      <w:pPr>
        <w:pStyle w:val="ListParagraph"/>
        <w:numPr>
          <w:ilvl w:val="0"/>
          <w:numId w:val="30"/>
        </w:numPr>
        <w:spacing w:after="120"/>
        <w:contextualSpacing w:val="0"/>
      </w:pPr>
      <w:r>
        <w:t>makes the operation of the definition of the expression “certificate of verification” clearer</w:t>
      </w:r>
      <w:r w:rsidR="00D66A69">
        <w:t>;</w:t>
      </w:r>
    </w:p>
    <w:p w14:paraId="25AAF985" w14:textId="1DAA024B" w:rsidR="0062416B" w:rsidRPr="00A35058" w:rsidRDefault="0062416B" w:rsidP="0062416B">
      <w:pPr>
        <w:spacing w:after="120"/>
        <w:rPr>
          <w:i/>
        </w:rPr>
      </w:pPr>
      <w:r w:rsidRPr="003236FB">
        <w:t xml:space="preserve">Part </w:t>
      </w:r>
      <w:r w:rsidR="009F526B">
        <w:t xml:space="preserve">5 </w:t>
      </w:r>
      <w:r w:rsidRPr="003236FB">
        <w:t>–</w:t>
      </w:r>
      <w:r w:rsidRPr="00A35058">
        <w:rPr>
          <w:i/>
        </w:rPr>
        <w:t xml:space="preserve"> </w:t>
      </w:r>
      <w:r w:rsidR="003236FB">
        <w:t>Spent provision</w:t>
      </w:r>
      <w:r w:rsidR="009F526B">
        <w:t>s</w:t>
      </w:r>
    </w:p>
    <w:p w14:paraId="2B3324E1" w14:textId="7142AE64" w:rsidR="0062416B" w:rsidRDefault="00F830CF" w:rsidP="0062416B">
      <w:pPr>
        <w:pStyle w:val="ListParagraph"/>
        <w:numPr>
          <w:ilvl w:val="0"/>
          <w:numId w:val="30"/>
        </w:numPr>
        <w:spacing w:after="120"/>
        <w:contextualSpacing w:val="0"/>
      </w:pPr>
      <w:bookmarkStart w:id="2" w:name="_Hlk261481"/>
      <w:r>
        <w:t>repeal</w:t>
      </w:r>
      <w:r w:rsidR="001A7EF0">
        <w:t>s</w:t>
      </w:r>
      <w:r>
        <w:t xml:space="preserve"> </w:t>
      </w:r>
      <w:r w:rsidR="00023A0A">
        <w:t xml:space="preserve">a </w:t>
      </w:r>
      <w:r>
        <w:t xml:space="preserve">spent </w:t>
      </w:r>
      <w:r w:rsidR="00023A0A">
        <w:t xml:space="preserve">transitional </w:t>
      </w:r>
      <w:r>
        <w:t xml:space="preserve">provision </w:t>
      </w:r>
      <w:r w:rsidRPr="00DD0C0C">
        <w:t xml:space="preserve">for </w:t>
      </w:r>
      <w:r w:rsidR="006B08B9">
        <w:t>the formalities check</w:t>
      </w:r>
      <w:r w:rsidR="00FB2CCF">
        <w:t>ing</w:t>
      </w:r>
      <w:r w:rsidR="006B08B9">
        <w:t xml:space="preserve"> of </w:t>
      </w:r>
      <w:r w:rsidRPr="00DD0C0C">
        <w:t xml:space="preserve">PCT </w:t>
      </w:r>
      <w:r w:rsidR="00683A5D">
        <w:t xml:space="preserve">applications filed before 15 April </w:t>
      </w:r>
      <w:r>
        <w:t xml:space="preserve">2013 </w:t>
      </w:r>
      <w:r w:rsidR="006B08B9">
        <w:t>and makes a consequential amendment</w:t>
      </w:r>
      <w:bookmarkEnd w:id="2"/>
      <w:r w:rsidR="00D66A69">
        <w:t>; and</w:t>
      </w:r>
    </w:p>
    <w:p w14:paraId="4350CBB2" w14:textId="3A8813E8" w:rsidR="00817DCF" w:rsidRPr="005D4B23" w:rsidRDefault="00817DCF" w:rsidP="00A35058">
      <w:pPr>
        <w:spacing w:after="120"/>
      </w:pPr>
      <w:r w:rsidRPr="005D4B23">
        <w:t xml:space="preserve">Part </w:t>
      </w:r>
      <w:r w:rsidR="009F526B">
        <w:t>6</w:t>
      </w:r>
      <w:r w:rsidR="009F526B" w:rsidRPr="005D4B23">
        <w:t xml:space="preserve"> </w:t>
      </w:r>
      <w:r w:rsidRPr="005D4B23">
        <w:t>– Application, transitional and savings provisions</w:t>
      </w:r>
    </w:p>
    <w:p w14:paraId="47F7EC0F" w14:textId="53610E27" w:rsidR="00817DCF" w:rsidRPr="005D4B23" w:rsidRDefault="00817DCF" w:rsidP="00A35058">
      <w:pPr>
        <w:pStyle w:val="ListParagraph"/>
        <w:numPr>
          <w:ilvl w:val="0"/>
          <w:numId w:val="30"/>
        </w:numPr>
        <w:contextualSpacing w:val="0"/>
      </w:pPr>
      <w:r w:rsidRPr="005D4B23">
        <w:t xml:space="preserve">provides how </w:t>
      </w:r>
      <w:r w:rsidR="00023A0A">
        <w:t xml:space="preserve">an </w:t>
      </w:r>
      <w:r w:rsidR="007F5FDE">
        <w:t>amendment made by P</w:t>
      </w:r>
      <w:r w:rsidRPr="005D4B23">
        <w:t>art</w:t>
      </w:r>
      <w:r w:rsidR="009F526B">
        <w:t xml:space="preserve"> 3</w:t>
      </w:r>
      <w:r w:rsidRPr="005D4B23">
        <w:t xml:space="preserve"> in Schedule </w:t>
      </w:r>
      <w:r w:rsidR="00023A0A">
        <w:t xml:space="preserve">2 </w:t>
      </w:r>
      <w:r w:rsidRPr="005D4B23">
        <w:t>appl</w:t>
      </w:r>
      <w:r w:rsidR="009F526B">
        <w:t>ies</w:t>
      </w:r>
      <w:r w:rsidRPr="005D4B23">
        <w:t>.</w:t>
      </w:r>
    </w:p>
    <w:p w14:paraId="5A54BB4A" w14:textId="3B4EE1F5" w:rsidR="00AC6696" w:rsidRPr="005D4B23" w:rsidRDefault="00AC6696" w:rsidP="00E17CA9">
      <w:r w:rsidRPr="005D4B23">
        <w:t xml:space="preserve">Details of the Regulations are set out in the </w:t>
      </w:r>
      <w:r w:rsidRPr="005D4B23">
        <w:rPr>
          <w:u w:val="single"/>
        </w:rPr>
        <w:t>Attachment</w:t>
      </w:r>
      <w:r w:rsidRPr="005D4B23">
        <w:t>.</w:t>
      </w:r>
    </w:p>
    <w:p w14:paraId="47B571ED" w14:textId="47711726" w:rsidR="00181E7F" w:rsidRPr="00AE1C22" w:rsidRDefault="00181E7F" w:rsidP="00A35058">
      <w:pPr>
        <w:pStyle w:val="Heading2"/>
        <w:spacing w:after="120"/>
      </w:pPr>
      <w:bookmarkStart w:id="3" w:name="_Toc449086864"/>
      <w:r w:rsidRPr="00AE1C22">
        <w:t>Consultation</w:t>
      </w:r>
      <w:bookmarkEnd w:id="3"/>
      <w:r w:rsidRPr="00AE1C22">
        <w:t xml:space="preserve"> undertaken on Regulation</w:t>
      </w:r>
      <w:r w:rsidR="00E17CA9">
        <w:t>s</w:t>
      </w:r>
    </w:p>
    <w:p w14:paraId="16E067B8" w14:textId="4BAB743C" w:rsidR="00181E7F" w:rsidRPr="00AE1C22" w:rsidRDefault="00181E7F" w:rsidP="00E17CA9">
      <w:r w:rsidRPr="00AE1C22">
        <w:t>Consultation was undertaken on an exposure draft of the Regulation</w:t>
      </w:r>
      <w:r w:rsidR="007F0888">
        <w:t>s</w:t>
      </w:r>
      <w:r w:rsidRPr="00AE1C22">
        <w:t xml:space="preserve"> from</w:t>
      </w:r>
      <w:r w:rsidR="007F5FDE">
        <w:t xml:space="preserve"> </w:t>
      </w:r>
      <w:r w:rsidR="00BB53D9">
        <w:t xml:space="preserve">16 November </w:t>
      </w:r>
      <w:r w:rsidRPr="00AE1C22">
        <w:t xml:space="preserve">to </w:t>
      </w:r>
      <w:r w:rsidR="00BB53D9">
        <w:t>21 December 2018</w:t>
      </w:r>
      <w:r w:rsidRPr="00AE1C22">
        <w:t xml:space="preserve">. </w:t>
      </w:r>
      <w:r w:rsidR="007F5FDE">
        <w:t xml:space="preserve">Six </w:t>
      </w:r>
      <w:r w:rsidRPr="00AE1C22">
        <w:t>non-confidential submissions were received.</w:t>
      </w:r>
      <w:r w:rsidR="00BB53D9">
        <w:t xml:space="preserve"> Minor changes </w:t>
      </w:r>
      <w:r w:rsidR="004F4937">
        <w:t xml:space="preserve">were made </w:t>
      </w:r>
      <w:r w:rsidR="00BB53D9">
        <w:t xml:space="preserve">to Part 1 of </w:t>
      </w:r>
      <w:r w:rsidR="00AD6751">
        <w:t xml:space="preserve">Schedule 1 to the </w:t>
      </w:r>
      <w:r w:rsidR="001A28B3">
        <w:t xml:space="preserve">Regulations </w:t>
      </w:r>
      <w:r w:rsidR="00BB53D9">
        <w:t xml:space="preserve">to </w:t>
      </w:r>
      <w:r w:rsidR="004F4937">
        <w:t xml:space="preserve">address </w:t>
      </w:r>
      <w:r w:rsidR="00BB53D9">
        <w:t xml:space="preserve">unintended consequences identified </w:t>
      </w:r>
      <w:r w:rsidR="002A6E1C">
        <w:t>by</w:t>
      </w:r>
      <w:r w:rsidR="00BB53D9">
        <w:t xml:space="preserve"> the submissions.</w:t>
      </w:r>
      <w:r w:rsidRPr="00AE1C22">
        <w:t xml:space="preserve"> </w:t>
      </w:r>
    </w:p>
    <w:p w14:paraId="39F7B06C" w14:textId="3EA27E59" w:rsidR="00181E7F" w:rsidRPr="00AE1C22" w:rsidRDefault="00181E7F" w:rsidP="00023B32">
      <w:pPr>
        <w:pStyle w:val="Heading2"/>
        <w:spacing w:after="120"/>
      </w:pPr>
      <w:r w:rsidRPr="00AE1C22">
        <w:lastRenderedPageBreak/>
        <w:t xml:space="preserve">No Regulation Impact Statement required for the </w:t>
      </w:r>
      <w:r w:rsidR="0062276E">
        <w:t xml:space="preserve">Regulations </w:t>
      </w:r>
    </w:p>
    <w:p w14:paraId="44A85676" w14:textId="6C1B1BFF" w:rsidR="009D7154" w:rsidRDefault="00181E7F" w:rsidP="00993AAA">
      <w:r w:rsidRPr="00AE1C22">
        <w:t xml:space="preserve">The Office of Best Practice Regulation </w:t>
      </w:r>
      <w:r w:rsidR="00AD6751" w:rsidRPr="00AE1C22">
        <w:t>(</w:t>
      </w:r>
      <w:r w:rsidR="00AD6751">
        <w:t>“</w:t>
      </w:r>
      <w:r w:rsidR="00AD6751" w:rsidRPr="00AE1C22">
        <w:t>OBPR</w:t>
      </w:r>
      <w:r w:rsidR="00AD6751">
        <w:t>”</w:t>
      </w:r>
      <w:r w:rsidRPr="00AE1C22">
        <w:t xml:space="preserve">) advised that it does not require a Regulation Impact Statement for any of the measures in the </w:t>
      </w:r>
      <w:r w:rsidR="009124F6">
        <w:t>Regulations</w:t>
      </w:r>
      <w:r w:rsidR="008927E6">
        <w:t xml:space="preserve">, </w:t>
      </w:r>
      <w:r w:rsidRPr="00AE1C22">
        <w:t xml:space="preserve">as they are </w:t>
      </w:r>
      <w:proofErr w:type="gramStart"/>
      <w:r w:rsidR="008927E6">
        <w:t xml:space="preserve">all </w:t>
      </w:r>
      <w:r w:rsidRPr="00AE1C22">
        <w:t>of</w:t>
      </w:r>
      <w:proofErr w:type="gramEnd"/>
      <w:r w:rsidRPr="00AE1C22">
        <w:t xml:space="preserve"> a minor or machinery nature</w:t>
      </w:r>
      <w:r w:rsidR="00145D09">
        <w:t>.</w:t>
      </w:r>
      <w:r w:rsidRPr="00AE1C22">
        <w:t xml:space="preserve"> </w:t>
      </w:r>
      <w:r w:rsidR="00145D09">
        <w:t xml:space="preserve">The OBPR reference numbers </w:t>
      </w:r>
      <w:r w:rsidR="008927E6">
        <w:t>are</w:t>
      </w:r>
      <w:r w:rsidR="00145D09">
        <w:t xml:space="preserve"> </w:t>
      </w:r>
      <w:r w:rsidR="001104C1">
        <w:t xml:space="preserve">detailed </w:t>
      </w:r>
      <w:r w:rsidR="009D7154">
        <w:t xml:space="preserve">in the table </w:t>
      </w:r>
      <w:r w:rsidR="00145D09">
        <w:t>below.</w:t>
      </w:r>
    </w:p>
    <w:p w14:paraId="670DEEFC" w14:textId="77777777" w:rsidR="00A35058" w:rsidRPr="003F5DC4" w:rsidRDefault="00A35058" w:rsidP="00E17CA9">
      <w:pPr>
        <w:spacing w:line="276" w:lineRule="auto"/>
      </w:pPr>
    </w:p>
    <w:tbl>
      <w:tblPr>
        <w:tblStyle w:val="TableGrid"/>
        <w:tblW w:w="0" w:type="auto"/>
        <w:tblInd w:w="720" w:type="dxa"/>
        <w:tblCellMar>
          <w:top w:w="85" w:type="dxa"/>
          <w:bottom w:w="85" w:type="dxa"/>
        </w:tblCellMar>
        <w:tblLook w:val="04A0" w:firstRow="1" w:lastRow="0" w:firstColumn="1" w:lastColumn="0" w:noHBand="0" w:noVBand="1"/>
      </w:tblPr>
      <w:tblGrid>
        <w:gridCol w:w="4265"/>
        <w:gridCol w:w="3345"/>
      </w:tblGrid>
      <w:tr w:rsidR="001104C1" w:rsidRPr="001104C1" w14:paraId="0239BC40" w14:textId="77777777" w:rsidTr="00F66964">
        <w:tc>
          <w:tcPr>
            <w:tcW w:w="4265" w:type="dxa"/>
          </w:tcPr>
          <w:p w14:paraId="02DE7A60" w14:textId="66AF3F45" w:rsidR="001104C1" w:rsidRPr="001104C1" w:rsidRDefault="001104C1" w:rsidP="00E17CA9">
            <w:pPr>
              <w:spacing w:after="0" w:line="276" w:lineRule="auto"/>
              <w:rPr>
                <w:b/>
                <w:sz w:val="22"/>
                <w:szCs w:val="22"/>
              </w:rPr>
            </w:pPr>
            <w:r w:rsidRPr="001104C1">
              <w:rPr>
                <w:b/>
                <w:sz w:val="22"/>
                <w:szCs w:val="22"/>
              </w:rPr>
              <w:t xml:space="preserve">Amendments </w:t>
            </w:r>
            <w:r w:rsidR="00E17CA9">
              <w:rPr>
                <w:b/>
                <w:sz w:val="22"/>
                <w:szCs w:val="22"/>
              </w:rPr>
              <w:t xml:space="preserve">made by </w:t>
            </w:r>
            <w:r w:rsidRPr="001104C1">
              <w:rPr>
                <w:b/>
                <w:sz w:val="22"/>
                <w:szCs w:val="22"/>
              </w:rPr>
              <w:t>Regulations</w:t>
            </w:r>
          </w:p>
        </w:tc>
        <w:tc>
          <w:tcPr>
            <w:tcW w:w="3345" w:type="dxa"/>
          </w:tcPr>
          <w:p w14:paraId="2C09777D" w14:textId="77777777" w:rsidR="001104C1" w:rsidRPr="001104C1" w:rsidRDefault="001104C1" w:rsidP="00E17CA9">
            <w:pPr>
              <w:spacing w:after="0"/>
              <w:ind w:left="360"/>
              <w:rPr>
                <w:b/>
                <w:sz w:val="22"/>
                <w:szCs w:val="22"/>
              </w:rPr>
            </w:pPr>
            <w:r w:rsidRPr="001104C1">
              <w:rPr>
                <w:b/>
                <w:sz w:val="22"/>
                <w:szCs w:val="22"/>
              </w:rPr>
              <w:t>OBPR reference numbers</w:t>
            </w:r>
          </w:p>
        </w:tc>
      </w:tr>
      <w:tr w:rsidR="001104C1" w:rsidRPr="001104C1" w14:paraId="7E99BA25" w14:textId="77777777" w:rsidTr="00F66964">
        <w:tc>
          <w:tcPr>
            <w:tcW w:w="4265" w:type="dxa"/>
          </w:tcPr>
          <w:p w14:paraId="7BF79274" w14:textId="363928C5" w:rsidR="001104C1" w:rsidRPr="001104C1" w:rsidRDefault="00A35058" w:rsidP="00E17CA9">
            <w:pPr>
              <w:spacing w:after="0" w:line="276" w:lineRule="auto"/>
              <w:rPr>
                <w:b/>
                <w:sz w:val="22"/>
                <w:szCs w:val="22"/>
              </w:rPr>
            </w:pPr>
            <w:r>
              <w:rPr>
                <w:sz w:val="22"/>
                <w:szCs w:val="22"/>
              </w:rPr>
              <w:t xml:space="preserve">Schedule 1, Schedule 2 </w:t>
            </w:r>
            <w:r w:rsidR="001104C1" w:rsidRPr="001104C1">
              <w:rPr>
                <w:sz w:val="22"/>
                <w:szCs w:val="22"/>
              </w:rPr>
              <w:t xml:space="preserve">Part </w:t>
            </w:r>
            <w:r>
              <w:rPr>
                <w:sz w:val="22"/>
                <w:szCs w:val="22"/>
              </w:rPr>
              <w:t>4</w:t>
            </w:r>
            <w:r w:rsidR="00F45DB3">
              <w:rPr>
                <w:sz w:val="22"/>
                <w:szCs w:val="22"/>
              </w:rPr>
              <w:t xml:space="preserve"> </w:t>
            </w:r>
            <w:r w:rsidR="00F45DB3" w:rsidRPr="005D4B23">
              <w:t>–</w:t>
            </w:r>
            <w:r w:rsidR="00F45DB3">
              <w:t xml:space="preserve"> </w:t>
            </w:r>
            <w:r>
              <w:t xml:space="preserve">PCT </w:t>
            </w:r>
            <w:r>
              <w:rPr>
                <w:sz w:val="22"/>
                <w:szCs w:val="22"/>
              </w:rPr>
              <w:t>t</w:t>
            </w:r>
            <w:r w:rsidR="001104C1" w:rsidRPr="001104C1">
              <w:rPr>
                <w:sz w:val="22"/>
                <w:szCs w:val="22"/>
              </w:rPr>
              <w:t>ranslations</w:t>
            </w:r>
            <w:r>
              <w:rPr>
                <w:sz w:val="22"/>
                <w:szCs w:val="22"/>
              </w:rPr>
              <w:t xml:space="preserve"> and certificate of verification</w:t>
            </w:r>
          </w:p>
        </w:tc>
        <w:tc>
          <w:tcPr>
            <w:tcW w:w="3345" w:type="dxa"/>
          </w:tcPr>
          <w:p w14:paraId="63BA569D" w14:textId="77777777" w:rsidR="001104C1" w:rsidRPr="001104C1" w:rsidRDefault="001104C1" w:rsidP="00E17CA9">
            <w:pPr>
              <w:spacing w:after="0"/>
              <w:ind w:left="360"/>
              <w:rPr>
                <w:sz w:val="22"/>
                <w:szCs w:val="22"/>
                <w:lang w:val="en-US"/>
              </w:rPr>
            </w:pPr>
            <w:r w:rsidRPr="001104C1">
              <w:rPr>
                <w:sz w:val="22"/>
                <w:szCs w:val="22"/>
              </w:rPr>
              <w:t>23107, 23560</w:t>
            </w:r>
          </w:p>
        </w:tc>
      </w:tr>
      <w:tr w:rsidR="001104C1" w:rsidRPr="001104C1" w14:paraId="76741F85" w14:textId="77777777" w:rsidTr="00F66964">
        <w:tc>
          <w:tcPr>
            <w:tcW w:w="4265" w:type="dxa"/>
          </w:tcPr>
          <w:p w14:paraId="6A8719F8" w14:textId="7443477D" w:rsidR="001104C1" w:rsidRPr="001104C1" w:rsidRDefault="00A35058" w:rsidP="00E17CA9">
            <w:pPr>
              <w:spacing w:after="0" w:line="276" w:lineRule="auto"/>
              <w:rPr>
                <w:sz w:val="22"/>
                <w:szCs w:val="22"/>
              </w:rPr>
            </w:pPr>
            <w:r>
              <w:rPr>
                <w:sz w:val="22"/>
                <w:szCs w:val="22"/>
              </w:rPr>
              <w:t xml:space="preserve">Schedule 2 </w:t>
            </w:r>
            <w:r w:rsidR="001104C1" w:rsidRPr="001104C1">
              <w:rPr>
                <w:sz w:val="22"/>
                <w:szCs w:val="22"/>
              </w:rPr>
              <w:t xml:space="preserve">Part </w:t>
            </w:r>
            <w:r>
              <w:rPr>
                <w:sz w:val="22"/>
                <w:szCs w:val="22"/>
              </w:rPr>
              <w:t>1</w:t>
            </w:r>
            <w:r w:rsidR="00F45DB3">
              <w:rPr>
                <w:sz w:val="22"/>
                <w:szCs w:val="22"/>
              </w:rPr>
              <w:t xml:space="preserve"> </w:t>
            </w:r>
            <w:r w:rsidR="00F45DB3" w:rsidRPr="005D4B23">
              <w:t>–</w:t>
            </w:r>
            <w:r w:rsidR="00F45DB3">
              <w:t xml:space="preserve"> </w:t>
            </w:r>
            <w:r w:rsidR="001104C1" w:rsidRPr="001104C1">
              <w:rPr>
                <w:sz w:val="22"/>
                <w:szCs w:val="22"/>
              </w:rPr>
              <w:t>Delegations</w:t>
            </w:r>
          </w:p>
        </w:tc>
        <w:tc>
          <w:tcPr>
            <w:tcW w:w="3345" w:type="dxa"/>
          </w:tcPr>
          <w:p w14:paraId="5BFC3B19" w14:textId="77777777" w:rsidR="001104C1" w:rsidRPr="001104C1" w:rsidRDefault="001104C1" w:rsidP="00E17CA9">
            <w:pPr>
              <w:spacing w:after="0"/>
              <w:ind w:left="360"/>
              <w:rPr>
                <w:sz w:val="22"/>
                <w:szCs w:val="22"/>
              </w:rPr>
            </w:pPr>
            <w:r w:rsidRPr="001104C1">
              <w:rPr>
                <w:sz w:val="22"/>
                <w:szCs w:val="22"/>
              </w:rPr>
              <w:t>22950</w:t>
            </w:r>
          </w:p>
        </w:tc>
      </w:tr>
      <w:tr w:rsidR="001104C1" w:rsidRPr="001104C1" w14:paraId="730F52F3" w14:textId="77777777" w:rsidTr="00F66964">
        <w:tc>
          <w:tcPr>
            <w:tcW w:w="4265" w:type="dxa"/>
          </w:tcPr>
          <w:p w14:paraId="5FEA31AB" w14:textId="541A8C3B" w:rsidR="001104C1" w:rsidRPr="001104C1" w:rsidRDefault="00A35058" w:rsidP="00E17CA9">
            <w:pPr>
              <w:spacing w:after="0"/>
              <w:rPr>
                <w:sz w:val="22"/>
                <w:szCs w:val="22"/>
                <w:lang w:val="en-US"/>
              </w:rPr>
            </w:pPr>
            <w:r>
              <w:rPr>
                <w:sz w:val="22"/>
                <w:szCs w:val="22"/>
              </w:rPr>
              <w:t xml:space="preserve">Schedule 2 </w:t>
            </w:r>
            <w:r w:rsidR="001104C1" w:rsidRPr="001104C1">
              <w:rPr>
                <w:sz w:val="22"/>
                <w:szCs w:val="22"/>
              </w:rPr>
              <w:t xml:space="preserve">Part </w:t>
            </w:r>
            <w:r>
              <w:rPr>
                <w:sz w:val="22"/>
                <w:szCs w:val="22"/>
              </w:rPr>
              <w:t>2</w:t>
            </w:r>
            <w:r w:rsidR="00F45DB3">
              <w:rPr>
                <w:sz w:val="22"/>
                <w:szCs w:val="22"/>
              </w:rPr>
              <w:t xml:space="preserve"> </w:t>
            </w:r>
            <w:r w:rsidR="00F45DB3" w:rsidRPr="005D4B23">
              <w:t>–</w:t>
            </w:r>
            <w:r w:rsidR="00F45DB3">
              <w:t xml:space="preserve"> </w:t>
            </w:r>
            <w:r w:rsidR="001104C1" w:rsidRPr="001104C1">
              <w:rPr>
                <w:sz w:val="22"/>
                <w:szCs w:val="22"/>
                <w:lang w:val="en-US"/>
              </w:rPr>
              <w:t>Fees</w:t>
            </w:r>
          </w:p>
        </w:tc>
        <w:tc>
          <w:tcPr>
            <w:tcW w:w="3345" w:type="dxa"/>
          </w:tcPr>
          <w:p w14:paraId="36804CCE" w14:textId="77777777" w:rsidR="001104C1" w:rsidRPr="001104C1" w:rsidRDefault="001104C1" w:rsidP="00E17CA9">
            <w:pPr>
              <w:spacing w:after="0"/>
              <w:ind w:left="360"/>
              <w:rPr>
                <w:sz w:val="22"/>
                <w:szCs w:val="22"/>
                <w:lang w:val="en-US"/>
              </w:rPr>
            </w:pPr>
            <w:r w:rsidRPr="001104C1">
              <w:rPr>
                <w:sz w:val="22"/>
                <w:szCs w:val="22"/>
                <w:lang w:val="en-US"/>
              </w:rPr>
              <w:t>23611</w:t>
            </w:r>
          </w:p>
        </w:tc>
      </w:tr>
      <w:tr w:rsidR="001104C1" w:rsidRPr="001104C1" w14:paraId="2A5FB630" w14:textId="77777777" w:rsidTr="00F66964">
        <w:tc>
          <w:tcPr>
            <w:tcW w:w="4265" w:type="dxa"/>
          </w:tcPr>
          <w:p w14:paraId="2DEE257F" w14:textId="19829D29" w:rsidR="001104C1" w:rsidRPr="001104C1" w:rsidRDefault="00A35058" w:rsidP="00E17CA9">
            <w:pPr>
              <w:spacing w:after="0"/>
              <w:rPr>
                <w:sz w:val="22"/>
                <w:szCs w:val="22"/>
              </w:rPr>
            </w:pPr>
            <w:r>
              <w:rPr>
                <w:sz w:val="22"/>
                <w:szCs w:val="22"/>
              </w:rPr>
              <w:t xml:space="preserve">Schedule 2 </w:t>
            </w:r>
            <w:r w:rsidR="001104C1" w:rsidRPr="001104C1">
              <w:rPr>
                <w:sz w:val="22"/>
                <w:szCs w:val="22"/>
              </w:rPr>
              <w:t xml:space="preserve">Part </w:t>
            </w:r>
            <w:r>
              <w:rPr>
                <w:sz w:val="22"/>
                <w:szCs w:val="22"/>
              </w:rPr>
              <w:t>3</w:t>
            </w:r>
            <w:r w:rsidR="00F45DB3">
              <w:rPr>
                <w:sz w:val="22"/>
                <w:szCs w:val="22"/>
              </w:rPr>
              <w:t xml:space="preserve"> </w:t>
            </w:r>
            <w:r w:rsidR="00F45DB3" w:rsidRPr="005D4B23">
              <w:t>–</w:t>
            </w:r>
            <w:r w:rsidR="00F45DB3">
              <w:t xml:space="preserve"> </w:t>
            </w:r>
            <w:r w:rsidR="001104C1" w:rsidRPr="001104C1">
              <w:rPr>
                <w:sz w:val="22"/>
                <w:szCs w:val="22"/>
                <w:lang w:val="en-US"/>
              </w:rPr>
              <w:t>Extension of time for acceptance</w:t>
            </w:r>
          </w:p>
        </w:tc>
        <w:tc>
          <w:tcPr>
            <w:tcW w:w="3345" w:type="dxa"/>
          </w:tcPr>
          <w:p w14:paraId="24213E4C" w14:textId="77777777" w:rsidR="001104C1" w:rsidRPr="001104C1" w:rsidRDefault="001104C1" w:rsidP="00E17CA9">
            <w:pPr>
              <w:spacing w:after="0"/>
              <w:ind w:left="360"/>
              <w:rPr>
                <w:sz w:val="22"/>
                <w:szCs w:val="22"/>
                <w:lang w:val="en-US"/>
              </w:rPr>
            </w:pPr>
            <w:r w:rsidRPr="001104C1">
              <w:rPr>
                <w:sz w:val="22"/>
                <w:szCs w:val="22"/>
                <w:lang w:val="en-US"/>
              </w:rPr>
              <w:t>23561</w:t>
            </w:r>
          </w:p>
        </w:tc>
      </w:tr>
    </w:tbl>
    <w:p w14:paraId="00273F8F" w14:textId="798A2B34" w:rsidR="009D7154" w:rsidRPr="003F5DC4" w:rsidRDefault="009D7154" w:rsidP="00E17CA9">
      <w:pPr>
        <w:spacing w:after="0" w:line="276" w:lineRule="auto"/>
      </w:pPr>
    </w:p>
    <w:p w14:paraId="7C57988C" w14:textId="480ABEEF" w:rsidR="00C64A08" w:rsidRPr="005D4B23" w:rsidRDefault="00C64A08" w:rsidP="00E17CA9">
      <w:pPr>
        <w:pStyle w:val="Heading2"/>
      </w:pPr>
      <w:r w:rsidRPr="005D4B23">
        <w:t xml:space="preserve">Commencement of the </w:t>
      </w:r>
      <w:r w:rsidR="00A50345" w:rsidRPr="005D4B23">
        <w:t>Regulation</w:t>
      </w:r>
      <w:r w:rsidR="007278E2">
        <w:t>s</w:t>
      </w:r>
    </w:p>
    <w:p w14:paraId="313E65AC" w14:textId="06E41B1C" w:rsidR="00E100FF" w:rsidRDefault="00E54AF1" w:rsidP="00E17CA9">
      <w:r w:rsidRPr="005D4B23">
        <w:t>The commencement arrangements for each of the Parts of Schedule</w:t>
      </w:r>
      <w:r w:rsidR="00A35058">
        <w:t>s</w:t>
      </w:r>
      <w:r w:rsidRPr="005D4B23">
        <w:t xml:space="preserve"> 1</w:t>
      </w:r>
      <w:r w:rsidR="00A35058">
        <w:t xml:space="preserve"> and 2</w:t>
      </w:r>
      <w:r w:rsidRPr="005D4B23">
        <w:t xml:space="preserve"> </w:t>
      </w:r>
      <w:r w:rsidR="00E100FF">
        <w:t xml:space="preserve">to the Regulations </w:t>
      </w:r>
      <w:r w:rsidRPr="005D4B23">
        <w:t xml:space="preserve">are set out in the commencement table </w:t>
      </w:r>
      <w:r w:rsidR="001A28B3">
        <w:t xml:space="preserve">in </w:t>
      </w:r>
      <w:r w:rsidR="004F4937">
        <w:t>sub</w:t>
      </w:r>
      <w:r w:rsidR="001A28B3">
        <w:t>s</w:t>
      </w:r>
      <w:r w:rsidRPr="005D4B23">
        <w:t>ection 2</w:t>
      </w:r>
      <w:r w:rsidR="004F4937">
        <w:t>(1)</w:t>
      </w:r>
      <w:r w:rsidRPr="005D4B23">
        <w:t xml:space="preserve"> of the Regulations. </w:t>
      </w:r>
    </w:p>
    <w:p w14:paraId="04D7299E" w14:textId="48746FFD" w:rsidR="00E54AF1" w:rsidRPr="005D4B23" w:rsidRDefault="00E54AF1" w:rsidP="00E17CA9">
      <w:pPr>
        <w:rPr>
          <w:lang w:val="en-US"/>
        </w:rPr>
      </w:pPr>
      <w:r w:rsidRPr="005D4B23">
        <w:t xml:space="preserve">The </w:t>
      </w:r>
      <w:r w:rsidR="00E100FF">
        <w:t xml:space="preserve">amendments </w:t>
      </w:r>
      <w:r w:rsidR="004F4937">
        <w:t>made by</w:t>
      </w:r>
      <w:r w:rsidRPr="005D4B23">
        <w:t xml:space="preserve"> </w:t>
      </w:r>
      <w:r w:rsidRPr="005D4B23">
        <w:rPr>
          <w:lang w:val="en-US"/>
        </w:rPr>
        <w:t>Schedule</w:t>
      </w:r>
      <w:r w:rsidR="004F4937">
        <w:rPr>
          <w:lang w:val="en-US"/>
        </w:rPr>
        <w:t> </w:t>
      </w:r>
      <w:r w:rsidRPr="005D4B23">
        <w:rPr>
          <w:lang w:val="en-US"/>
        </w:rPr>
        <w:t>1</w:t>
      </w:r>
      <w:r w:rsidR="00BB53D9">
        <w:rPr>
          <w:lang w:val="en-US"/>
        </w:rPr>
        <w:t xml:space="preserve"> </w:t>
      </w:r>
      <w:r w:rsidR="00E100FF">
        <w:rPr>
          <w:lang w:val="en-US"/>
        </w:rPr>
        <w:t xml:space="preserve">to the Regulations </w:t>
      </w:r>
      <w:r w:rsidR="004F4937">
        <w:rPr>
          <w:lang w:val="en-US"/>
        </w:rPr>
        <w:t xml:space="preserve">commence six months after the registration of the Regulations on the Federal Register of Legislation. This is because </w:t>
      </w:r>
      <w:r w:rsidR="00E100FF" w:rsidRPr="005D4B23">
        <w:t xml:space="preserve">users of the IP system </w:t>
      </w:r>
      <w:r w:rsidR="004F4937">
        <w:rPr>
          <w:lang w:val="en-US"/>
        </w:rPr>
        <w:t xml:space="preserve">require </w:t>
      </w:r>
      <w:proofErr w:type="gramStart"/>
      <w:r w:rsidR="004F4937">
        <w:rPr>
          <w:lang w:val="en-US"/>
        </w:rPr>
        <w:t>sufficient</w:t>
      </w:r>
      <w:proofErr w:type="gramEnd"/>
      <w:r w:rsidR="004F4937">
        <w:rPr>
          <w:lang w:val="en-US"/>
        </w:rPr>
        <w:t xml:space="preserve"> notice to </w:t>
      </w:r>
      <w:r w:rsidR="00E100FF">
        <w:rPr>
          <w:lang w:val="en-US"/>
        </w:rPr>
        <w:t>prepare for the amendments to</w:t>
      </w:r>
      <w:r w:rsidR="004F4937">
        <w:rPr>
          <w:lang w:val="en-US"/>
        </w:rPr>
        <w:t xml:space="preserve"> </w:t>
      </w:r>
      <w:r w:rsidR="00EA1A54">
        <w:rPr>
          <w:lang w:val="en-US"/>
        </w:rPr>
        <w:t>the requirements for translation</w:t>
      </w:r>
      <w:r w:rsidR="004F4937">
        <w:rPr>
          <w:lang w:val="en-US"/>
        </w:rPr>
        <w:t xml:space="preserve">s </w:t>
      </w:r>
      <w:r w:rsidR="00EA1A54">
        <w:rPr>
          <w:lang w:val="en-US"/>
        </w:rPr>
        <w:t>and certificates of verification</w:t>
      </w:r>
      <w:r w:rsidR="00BB53D9">
        <w:rPr>
          <w:lang w:val="en-US"/>
        </w:rPr>
        <w:t>.</w:t>
      </w:r>
      <w:r w:rsidR="002D10BD">
        <w:rPr>
          <w:lang w:val="en-US"/>
        </w:rPr>
        <w:t xml:space="preserve"> </w:t>
      </w:r>
    </w:p>
    <w:p w14:paraId="2B304C94" w14:textId="78146EF5" w:rsidR="0055781A" w:rsidRDefault="008D1BFB" w:rsidP="00E17CA9">
      <w:r w:rsidRPr="005D4B23">
        <w:rPr>
          <w:lang w:val="en-US"/>
        </w:rPr>
        <w:t xml:space="preserve">The </w:t>
      </w:r>
      <w:r w:rsidR="0078561A" w:rsidRPr="005D4B23">
        <w:rPr>
          <w:lang w:val="en-US"/>
        </w:rPr>
        <w:t xml:space="preserve">other </w:t>
      </w:r>
      <w:r w:rsidR="004F4937">
        <w:rPr>
          <w:lang w:val="en-US"/>
        </w:rPr>
        <w:t xml:space="preserve">amendments made by </w:t>
      </w:r>
      <w:r w:rsidR="00817DCF" w:rsidRPr="005D4B23">
        <w:rPr>
          <w:lang w:val="en-US"/>
        </w:rPr>
        <w:t xml:space="preserve">Schedule </w:t>
      </w:r>
      <w:r w:rsidR="00A35058">
        <w:rPr>
          <w:lang w:val="en-US"/>
        </w:rPr>
        <w:t>2</w:t>
      </w:r>
      <w:r w:rsidR="00817DCF" w:rsidRPr="005D4B23">
        <w:rPr>
          <w:lang w:val="en-US"/>
        </w:rPr>
        <w:t xml:space="preserve"> </w:t>
      </w:r>
      <w:r w:rsidR="0062276E">
        <w:rPr>
          <w:lang w:val="en-US"/>
        </w:rPr>
        <w:t xml:space="preserve">to the Regulations </w:t>
      </w:r>
      <w:r w:rsidR="004F4937" w:rsidRPr="005D4B23">
        <w:rPr>
          <w:lang w:val="en-US"/>
        </w:rPr>
        <w:t xml:space="preserve">commence on </w:t>
      </w:r>
      <w:r w:rsidR="004F4937" w:rsidRPr="005D4B23">
        <w:t>the day after the registration of the Regulations</w:t>
      </w:r>
      <w:r w:rsidR="004F4937" w:rsidRPr="005D4B23">
        <w:rPr>
          <w:lang w:val="en-US"/>
        </w:rPr>
        <w:t xml:space="preserve"> on the </w:t>
      </w:r>
      <w:r w:rsidR="004F4937" w:rsidRPr="005D4B23">
        <w:t>Federal Register of Legislation</w:t>
      </w:r>
      <w:r w:rsidR="004F4937">
        <w:t>. These amendments</w:t>
      </w:r>
      <w:r w:rsidR="004F4937" w:rsidRPr="005D4B23">
        <w:t xml:space="preserve"> </w:t>
      </w:r>
      <w:r w:rsidR="00E54AF1" w:rsidRPr="005D4B23">
        <w:t xml:space="preserve">do not require </w:t>
      </w:r>
      <w:r w:rsidR="00E100FF" w:rsidRPr="005D4B23">
        <w:t xml:space="preserve">users of the IP system </w:t>
      </w:r>
      <w:r w:rsidR="00E100FF">
        <w:rPr>
          <w:lang w:val="en-US"/>
        </w:rPr>
        <w:t xml:space="preserve">to prepare for them, and so </w:t>
      </w:r>
      <w:r w:rsidR="002D10BD">
        <w:rPr>
          <w:lang w:val="en-US"/>
        </w:rPr>
        <w:t xml:space="preserve">can appropriately take effect </w:t>
      </w:r>
      <w:r w:rsidR="00EA1A54">
        <w:rPr>
          <w:lang w:val="en-US"/>
        </w:rPr>
        <w:t>on the default commencement date</w:t>
      </w:r>
      <w:r w:rsidR="00584FD7" w:rsidRPr="005D4B23">
        <w:t>.</w:t>
      </w:r>
    </w:p>
    <w:p w14:paraId="14B9A708" w14:textId="4A474509" w:rsidR="00CB15B2" w:rsidRPr="00BB53D9" w:rsidRDefault="00CB15B2" w:rsidP="00E17CA9">
      <w:pPr>
        <w:rPr>
          <w:lang w:val="en-US"/>
        </w:rPr>
      </w:pPr>
      <w:r w:rsidRPr="005D4B23">
        <w:br w:type="page"/>
      </w:r>
    </w:p>
    <w:p w14:paraId="31499D86" w14:textId="77777777" w:rsidR="007C3F3B" w:rsidRPr="005D4B23" w:rsidRDefault="00602F39" w:rsidP="00E17CA9">
      <w:pPr>
        <w:pStyle w:val="Heading2"/>
      </w:pPr>
      <w:r w:rsidRPr="005D4B23">
        <w:lastRenderedPageBreak/>
        <w:t>ATTACHMENT</w:t>
      </w:r>
    </w:p>
    <w:p w14:paraId="538CCC14" w14:textId="7434A5BD" w:rsidR="00E54AF1" w:rsidRPr="005D4B23" w:rsidRDefault="00E54AF1" w:rsidP="00E17CA9">
      <w:pPr>
        <w:pStyle w:val="Heading3"/>
      </w:pPr>
      <w:r w:rsidRPr="005D4B23">
        <w:t>Details of the Intellectual Property Laws Amendment (</w:t>
      </w:r>
      <w:r w:rsidR="00BB53D9">
        <w:t>PCT Translations</w:t>
      </w:r>
      <w:r w:rsidRPr="005D4B23">
        <w:t xml:space="preserve"> and Other Measures) Regulations 201</w:t>
      </w:r>
      <w:r w:rsidR="00BB53D9">
        <w:t>9</w:t>
      </w:r>
    </w:p>
    <w:p w14:paraId="5B7E04FD" w14:textId="77777777" w:rsidR="00E54AF1" w:rsidRPr="005D4B23" w:rsidRDefault="00E54AF1" w:rsidP="00E17CA9">
      <w:pPr>
        <w:pStyle w:val="Heading5"/>
      </w:pPr>
      <w:r w:rsidRPr="005D4B23">
        <w:t>Section 1 – Name</w:t>
      </w:r>
    </w:p>
    <w:p w14:paraId="0C924311" w14:textId="4D95A034" w:rsidR="00E54AF1" w:rsidRPr="005D4B23" w:rsidRDefault="00E54AF1" w:rsidP="00E17CA9">
      <w:r w:rsidRPr="005D4B23">
        <w:t xml:space="preserve">This section </w:t>
      </w:r>
      <w:r w:rsidR="00E100FF">
        <w:t xml:space="preserve">identifies the </w:t>
      </w:r>
      <w:r w:rsidRPr="005D4B23">
        <w:t>Regulation</w:t>
      </w:r>
      <w:r w:rsidR="0062276E">
        <w:t>s</w:t>
      </w:r>
      <w:r w:rsidRPr="005D4B23">
        <w:t xml:space="preserve"> </w:t>
      </w:r>
      <w:r w:rsidR="00E100FF">
        <w:t>a</w:t>
      </w:r>
      <w:r w:rsidRPr="005D4B23">
        <w:t xml:space="preserve">s the </w:t>
      </w:r>
      <w:r w:rsidRPr="004F4937">
        <w:rPr>
          <w:i/>
        </w:rPr>
        <w:t>Intellectual Property Laws Amendment (</w:t>
      </w:r>
      <w:r w:rsidR="00BB53D9" w:rsidRPr="004F4937">
        <w:rPr>
          <w:i/>
        </w:rPr>
        <w:t>PCT Translations</w:t>
      </w:r>
      <w:r w:rsidRPr="004F4937">
        <w:rPr>
          <w:i/>
        </w:rPr>
        <w:t xml:space="preserve"> and </w:t>
      </w:r>
      <w:r w:rsidR="00EA34A6" w:rsidRPr="004F4937">
        <w:rPr>
          <w:i/>
        </w:rPr>
        <w:t>Other Measures) Regulations 201</w:t>
      </w:r>
      <w:r w:rsidR="00BB53D9" w:rsidRPr="004F4937">
        <w:rPr>
          <w:i/>
        </w:rPr>
        <w:t>9</w:t>
      </w:r>
      <w:r w:rsidRPr="005D4B23">
        <w:t>.</w:t>
      </w:r>
    </w:p>
    <w:p w14:paraId="62239EE4" w14:textId="2D345967" w:rsidR="00E54AF1" w:rsidRDefault="00E54AF1" w:rsidP="00E17CA9">
      <w:pPr>
        <w:pStyle w:val="Heading5"/>
      </w:pPr>
      <w:r w:rsidRPr="005D4B23">
        <w:t>Section 2 – Commencement</w:t>
      </w:r>
    </w:p>
    <w:p w14:paraId="4C5687EE" w14:textId="6BD07673" w:rsidR="00BB53D9" w:rsidRPr="00BB53D9" w:rsidRDefault="00BB53D9" w:rsidP="00E17CA9">
      <w:r>
        <w:t xml:space="preserve">This section provides </w:t>
      </w:r>
      <w:r w:rsidR="00E100FF">
        <w:t>for the commencement of the Regulations.</w:t>
      </w:r>
    </w:p>
    <w:p w14:paraId="22D44D62" w14:textId="053F9776" w:rsidR="001C35C3" w:rsidRPr="005D4B23" w:rsidRDefault="00BB53D9" w:rsidP="00E17CA9">
      <w:r>
        <w:t xml:space="preserve">Schedule </w:t>
      </w:r>
      <w:r w:rsidR="00865BAB">
        <w:t xml:space="preserve">1 </w:t>
      </w:r>
      <w:r w:rsidR="001970D7">
        <w:t xml:space="preserve">to the </w:t>
      </w:r>
      <w:r w:rsidR="009124F6">
        <w:t>Regulations</w:t>
      </w:r>
      <w:r>
        <w:t xml:space="preserve">, </w:t>
      </w:r>
      <w:r w:rsidRPr="005D4B23">
        <w:t>relat</w:t>
      </w:r>
      <w:r w:rsidR="00F45DB3">
        <w:t>ing</w:t>
      </w:r>
      <w:r w:rsidRPr="005D4B23">
        <w:t xml:space="preserve"> to translations of PCT applications and certificates of verification</w:t>
      </w:r>
      <w:r w:rsidR="001970D7">
        <w:t xml:space="preserve"> of translations</w:t>
      </w:r>
      <w:r>
        <w:t xml:space="preserve">, commences </w:t>
      </w:r>
      <w:r w:rsidR="001C35C3" w:rsidRPr="005D4B23">
        <w:t xml:space="preserve">6 months </w:t>
      </w:r>
      <w:r w:rsidR="00865BAB">
        <w:t>after the Regulation</w:t>
      </w:r>
      <w:r w:rsidR="0062276E">
        <w:t>s</w:t>
      </w:r>
      <w:r w:rsidR="00865BAB">
        <w:t xml:space="preserve"> </w:t>
      </w:r>
      <w:r w:rsidR="0062276E">
        <w:t xml:space="preserve">are </w:t>
      </w:r>
      <w:r w:rsidR="00865BAB">
        <w:t>registered.</w:t>
      </w:r>
    </w:p>
    <w:p w14:paraId="45CABF8B" w14:textId="555C6E05" w:rsidR="00E54AF1" w:rsidRPr="005D4B23" w:rsidRDefault="00E54AF1" w:rsidP="00A35058">
      <w:pPr>
        <w:spacing w:after="120"/>
      </w:pPr>
      <w:r w:rsidRPr="005D4B23">
        <w:t>The remaining provisions</w:t>
      </w:r>
      <w:r w:rsidR="001C35C3" w:rsidRPr="005D4B23">
        <w:t xml:space="preserve"> in the </w:t>
      </w:r>
      <w:r w:rsidR="0062276E">
        <w:t xml:space="preserve">Regulations </w:t>
      </w:r>
      <w:r w:rsidRPr="005D4B23">
        <w:t>commence the day after the Regulation</w:t>
      </w:r>
      <w:r w:rsidR="0062276E">
        <w:t>s</w:t>
      </w:r>
      <w:r w:rsidRPr="005D4B23">
        <w:t xml:space="preserve"> </w:t>
      </w:r>
      <w:r w:rsidR="0062276E">
        <w:t>are</w:t>
      </w:r>
      <w:r w:rsidRPr="005D4B23">
        <w:t xml:space="preserve"> registered</w:t>
      </w:r>
      <w:r w:rsidR="00D81556">
        <w:t xml:space="preserve"> </w:t>
      </w:r>
      <w:r w:rsidR="00D81556">
        <w:rPr>
          <w:lang w:val="en-US"/>
        </w:rPr>
        <w:t>on the Federal Register of Legislation</w:t>
      </w:r>
      <w:r w:rsidRPr="005D4B23">
        <w:t>. These provisions are</w:t>
      </w:r>
      <w:r w:rsidR="00D81556">
        <w:t xml:space="preserve"> in</w:t>
      </w:r>
      <w:r w:rsidRPr="005D4B23">
        <w:t>:</w:t>
      </w:r>
    </w:p>
    <w:p w14:paraId="565EC87C" w14:textId="5FDC9D73" w:rsidR="001C35C3" w:rsidRPr="005D4B23" w:rsidRDefault="00884320" w:rsidP="00A35058">
      <w:pPr>
        <w:pStyle w:val="ListParagraph"/>
        <w:numPr>
          <w:ilvl w:val="0"/>
          <w:numId w:val="32"/>
        </w:numPr>
        <w:spacing w:after="120"/>
        <w:contextualSpacing w:val="0"/>
        <w:rPr>
          <w:lang w:val="en-US"/>
        </w:rPr>
      </w:pPr>
      <w:r>
        <w:t xml:space="preserve">Schedule 2 </w:t>
      </w:r>
      <w:r w:rsidR="001C35C3" w:rsidRPr="005D4B23">
        <w:t xml:space="preserve">Part </w:t>
      </w:r>
      <w:r>
        <w:t>1</w:t>
      </w:r>
      <w:r w:rsidR="00D81556">
        <w:t xml:space="preserve">, </w:t>
      </w:r>
      <w:r w:rsidR="00F45DB3" w:rsidRPr="005D4B23">
        <w:t>enabl</w:t>
      </w:r>
      <w:r w:rsidR="00F45DB3">
        <w:t>ing</w:t>
      </w:r>
      <w:r w:rsidR="00F45DB3" w:rsidRPr="005D4B23">
        <w:t xml:space="preserve"> the Commissioner of Patents and the Registrar of Designs to delegate their powers to summon witnesses and to produce documents</w:t>
      </w:r>
      <w:r w:rsidR="00EC3C3E">
        <w:rPr>
          <w:noProof/>
        </w:rPr>
        <w:t>;</w:t>
      </w:r>
    </w:p>
    <w:p w14:paraId="0D3E19E3" w14:textId="4B98D4F5" w:rsidR="001C35C3" w:rsidRPr="005D4B23" w:rsidRDefault="00884320" w:rsidP="00A35058">
      <w:pPr>
        <w:pStyle w:val="ListParagraph"/>
        <w:numPr>
          <w:ilvl w:val="0"/>
          <w:numId w:val="32"/>
        </w:numPr>
        <w:spacing w:after="120"/>
        <w:contextualSpacing w:val="0"/>
        <w:rPr>
          <w:lang w:val="en-US"/>
        </w:rPr>
      </w:pPr>
      <w:r>
        <w:t xml:space="preserve">Schedule 2 </w:t>
      </w:r>
      <w:r w:rsidR="001C35C3" w:rsidRPr="005D4B23">
        <w:t xml:space="preserve">Part </w:t>
      </w:r>
      <w:r>
        <w:t>2</w:t>
      </w:r>
      <w:r w:rsidR="00F45DB3">
        <w:t>,</w:t>
      </w:r>
      <w:r w:rsidR="001C35C3" w:rsidRPr="005D4B23">
        <w:t xml:space="preserve"> </w:t>
      </w:r>
      <w:r w:rsidR="00F45DB3" w:rsidRPr="00F45DB3">
        <w:rPr>
          <w:lang w:val="en-US"/>
        </w:rPr>
        <w:t>ensur</w:t>
      </w:r>
      <w:r w:rsidR="00F45DB3">
        <w:rPr>
          <w:lang w:val="en-US"/>
        </w:rPr>
        <w:t>ing</w:t>
      </w:r>
      <w:r w:rsidR="00F45DB3" w:rsidRPr="00F45DB3">
        <w:rPr>
          <w:lang w:val="en-US"/>
        </w:rPr>
        <w:t xml:space="preserve"> the schedule of fees in the Patents Regulations complies</w:t>
      </w:r>
      <w:r w:rsidR="00F45DB3" w:rsidRPr="00A35058">
        <w:rPr>
          <w:lang w:val="en-US"/>
        </w:rPr>
        <w:t xml:space="preserve"> with the schedule of fees under the </w:t>
      </w:r>
      <w:r w:rsidR="00E17CA9">
        <w:rPr>
          <w:lang w:val="en-US"/>
        </w:rPr>
        <w:t>PCT</w:t>
      </w:r>
      <w:r w:rsidR="00EC3C3E">
        <w:t>;</w:t>
      </w:r>
    </w:p>
    <w:p w14:paraId="3ED7264D" w14:textId="77777777" w:rsidR="00A35058" w:rsidRPr="00A35058" w:rsidRDefault="00884320" w:rsidP="00A35058">
      <w:pPr>
        <w:pStyle w:val="ListParagraph"/>
        <w:numPr>
          <w:ilvl w:val="0"/>
          <w:numId w:val="32"/>
        </w:numPr>
        <w:spacing w:after="120"/>
        <w:contextualSpacing w:val="0"/>
        <w:rPr>
          <w:lang w:val="en-US"/>
        </w:rPr>
      </w:pPr>
      <w:r w:rsidRPr="00A35058">
        <w:rPr>
          <w:lang w:val="en-US"/>
        </w:rPr>
        <w:t xml:space="preserve">Schedule 2 </w:t>
      </w:r>
      <w:r w:rsidR="001C35C3" w:rsidRPr="00A35058">
        <w:rPr>
          <w:lang w:val="en-US"/>
        </w:rPr>
        <w:t xml:space="preserve">Part </w:t>
      </w:r>
      <w:r w:rsidRPr="00A35058">
        <w:rPr>
          <w:lang w:val="en-US"/>
        </w:rPr>
        <w:t>3</w:t>
      </w:r>
      <w:r w:rsidR="00F45DB3" w:rsidRPr="00A35058">
        <w:rPr>
          <w:lang w:val="en-US"/>
        </w:rPr>
        <w:t>,</w:t>
      </w:r>
      <w:r w:rsidR="001C35C3" w:rsidRPr="00A35058">
        <w:rPr>
          <w:lang w:val="en-US"/>
        </w:rPr>
        <w:t xml:space="preserve"> </w:t>
      </w:r>
      <w:r w:rsidR="00747B3E" w:rsidRPr="00A35058">
        <w:rPr>
          <w:lang w:val="en-US"/>
        </w:rPr>
        <w:t>providing greater certainty for the acceptance period of a patent application if there is a dispute about the applicant’s entitlement to make the application</w:t>
      </w:r>
      <w:r w:rsidR="00EC3C3E">
        <w:rPr>
          <w:noProof/>
        </w:rPr>
        <w:t xml:space="preserve">; </w:t>
      </w:r>
    </w:p>
    <w:p w14:paraId="04171B2C" w14:textId="261B423D" w:rsidR="009F526B" w:rsidRDefault="00884320" w:rsidP="00A35058">
      <w:pPr>
        <w:pStyle w:val="ListParagraph"/>
        <w:numPr>
          <w:ilvl w:val="0"/>
          <w:numId w:val="32"/>
        </w:numPr>
        <w:spacing w:after="120"/>
        <w:contextualSpacing w:val="0"/>
        <w:rPr>
          <w:lang w:val="en-US"/>
        </w:rPr>
      </w:pPr>
      <w:r w:rsidRPr="00A35058">
        <w:rPr>
          <w:lang w:val="en-US"/>
        </w:rPr>
        <w:t>Schedule 2 Part 4</w:t>
      </w:r>
      <w:r w:rsidR="00023A0A">
        <w:rPr>
          <w:lang w:val="en-US"/>
        </w:rPr>
        <w:t>,</w:t>
      </w:r>
      <w:r w:rsidRPr="00A35058">
        <w:rPr>
          <w:lang w:val="en-US"/>
        </w:rPr>
        <w:t xml:space="preserve"> relating to the definition of certificate of verification</w:t>
      </w:r>
      <w:r w:rsidR="00A35058">
        <w:rPr>
          <w:lang w:val="en-US"/>
        </w:rPr>
        <w:t xml:space="preserve">; </w:t>
      </w:r>
    </w:p>
    <w:p w14:paraId="2C809F99" w14:textId="6FE28A5B" w:rsidR="00884320" w:rsidRPr="00A35058" w:rsidRDefault="009F526B" w:rsidP="00A35058">
      <w:pPr>
        <w:pStyle w:val="ListParagraph"/>
        <w:numPr>
          <w:ilvl w:val="0"/>
          <w:numId w:val="32"/>
        </w:numPr>
        <w:spacing w:after="120"/>
        <w:contextualSpacing w:val="0"/>
        <w:rPr>
          <w:lang w:val="en-US"/>
        </w:rPr>
      </w:pPr>
      <w:r w:rsidRPr="00A35058">
        <w:rPr>
          <w:lang w:val="en-US"/>
        </w:rPr>
        <w:t xml:space="preserve">Schedule 2 Part </w:t>
      </w:r>
      <w:r>
        <w:rPr>
          <w:lang w:val="en-US"/>
        </w:rPr>
        <w:t>5</w:t>
      </w:r>
      <w:r w:rsidR="00023A0A">
        <w:rPr>
          <w:lang w:val="en-US"/>
        </w:rPr>
        <w:t>,</w:t>
      </w:r>
      <w:r w:rsidRPr="00A35058">
        <w:rPr>
          <w:lang w:val="en-US"/>
        </w:rPr>
        <w:t xml:space="preserve"> re</w:t>
      </w:r>
      <w:r>
        <w:rPr>
          <w:lang w:val="en-US"/>
        </w:rPr>
        <w:t>peal</w:t>
      </w:r>
      <w:r w:rsidRPr="00A35058">
        <w:rPr>
          <w:lang w:val="en-US"/>
        </w:rPr>
        <w:t xml:space="preserve">ing </w:t>
      </w:r>
      <w:r w:rsidR="00023A0A">
        <w:rPr>
          <w:lang w:val="en-US"/>
        </w:rPr>
        <w:t xml:space="preserve">a </w:t>
      </w:r>
      <w:r>
        <w:rPr>
          <w:lang w:val="en-US"/>
        </w:rPr>
        <w:t xml:space="preserve">spent </w:t>
      </w:r>
      <w:r w:rsidR="00023A0A">
        <w:rPr>
          <w:lang w:val="en-US"/>
        </w:rPr>
        <w:t xml:space="preserve">transitional </w:t>
      </w:r>
      <w:r>
        <w:rPr>
          <w:lang w:val="en-US"/>
        </w:rPr>
        <w:t>provision</w:t>
      </w:r>
      <w:r w:rsidR="00023A0A">
        <w:rPr>
          <w:lang w:val="en-US"/>
        </w:rPr>
        <w:t xml:space="preserve"> for </w:t>
      </w:r>
      <w:r w:rsidR="006B08B9">
        <w:t>the formalities check</w:t>
      </w:r>
      <w:r w:rsidR="00285066">
        <w:t>ing</w:t>
      </w:r>
      <w:r w:rsidR="006B08B9">
        <w:t xml:space="preserve"> of </w:t>
      </w:r>
      <w:r w:rsidR="006B08B9" w:rsidRPr="00DD0C0C">
        <w:t xml:space="preserve">PCT </w:t>
      </w:r>
      <w:r w:rsidR="006B08B9">
        <w:t>applications filed before 15 April 2013</w:t>
      </w:r>
      <w:r w:rsidR="00023A0A">
        <w:rPr>
          <w:lang w:val="en-US"/>
        </w:rPr>
        <w:t>;</w:t>
      </w:r>
      <w:r>
        <w:rPr>
          <w:lang w:val="en-US"/>
        </w:rPr>
        <w:t xml:space="preserve"> </w:t>
      </w:r>
      <w:r w:rsidR="00A35058">
        <w:rPr>
          <w:lang w:val="en-US"/>
        </w:rPr>
        <w:t>and</w:t>
      </w:r>
    </w:p>
    <w:p w14:paraId="4FD7A7BB" w14:textId="771AADA3" w:rsidR="001C35C3" w:rsidRPr="005D4B23" w:rsidRDefault="00884320" w:rsidP="00A35058">
      <w:pPr>
        <w:pStyle w:val="ListParagraph"/>
        <w:numPr>
          <w:ilvl w:val="0"/>
          <w:numId w:val="32"/>
        </w:numPr>
        <w:contextualSpacing w:val="0"/>
        <w:rPr>
          <w:lang w:val="en-US"/>
        </w:rPr>
      </w:pPr>
      <w:r>
        <w:rPr>
          <w:noProof/>
        </w:rPr>
        <w:t xml:space="preserve">Schedule 2 </w:t>
      </w:r>
      <w:r w:rsidR="001C35C3" w:rsidRPr="005D4B23">
        <w:rPr>
          <w:noProof/>
        </w:rPr>
        <w:t xml:space="preserve">Part </w:t>
      </w:r>
      <w:r w:rsidR="00023A0A">
        <w:rPr>
          <w:noProof/>
        </w:rPr>
        <w:t>6</w:t>
      </w:r>
      <w:r w:rsidR="00747B3E">
        <w:rPr>
          <w:noProof/>
        </w:rPr>
        <w:t>,</w:t>
      </w:r>
      <w:r w:rsidR="00865BAB">
        <w:rPr>
          <w:noProof/>
        </w:rPr>
        <w:t xml:space="preserve"> </w:t>
      </w:r>
      <w:r w:rsidR="00747B3E" w:rsidRPr="00747B3E">
        <w:rPr>
          <w:noProof/>
        </w:rPr>
        <w:t>provid</w:t>
      </w:r>
      <w:r w:rsidR="00747B3E">
        <w:rPr>
          <w:noProof/>
        </w:rPr>
        <w:t>ing</w:t>
      </w:r>
      <w:r w:rsidR="00747B3E" w:rsidRPr="00747B3E">
        <w:rPr>
          <w:noProof/>
        </w:rPr>
        <w:t xml:space="preserve"> how </w:t>
      </w:r>
      <w:r w:rsidR="00023A0A">
        <w:rPr>
          <w:noProof/>
        </w:rPr>
        <w:t xml:space="preserve">an </w:t>
      </w:r>
      <w:r w:rsidR="00747B3E" w:rsidRPr="00747B3E">
        <w:rPr>
          <w:noProof/>
        </w:rPr>
        <w:t>amendment made by Part</w:t>
      </w:r>
      <w:r w:rsidR="00023A0A">
        <w:rPr>
          <w:noProof/>
        </w:rPr>
        <w:t xml:space="preserve"> 3 </w:t>
      </w:r>
      <w:r>
        <w:rPr>
          <w:noProof/>
        </w:rPr>
        <w:t xml:space="preserve">of Schedule 2 </w:t>
      </w:r>
      <w:r w:rsidR="00023A0A" w:rsidRPr="00747B3E">
        <w:rPr>
          <w:noProof/>
        </w:rPr>
        <w:t>appl</w:t>
      </w:r>
      <w:r w:rsidR="00023A0A">
        <w:rPr>
          <w:noProof/>
        </w:rPr>
        <w:t>ies</w:t>
      </w:r>
      <w:r w:rsidR="001C35C3" w:rsidRPr="005D4B23">
        <w:rPr>
          <w:noProof/>
        </w:rPr>
        <w:t xml:space="preserve">. </w:t>
      </w:r>
    </w:p>
    <w:p w14:paraId="75C79FC3" w14:textId="77777777" w:rsidR="00E54AF1" w:rsidRPr="005D4B23" w:rsidRDefault="00E54AF1" w:rsidP="00E17CA9">
      <w:pPr>
        <w:pStyle w:val="Heading5"/>
      </w:pPr>
      <w:r w:rsidRPr="005D4B23">
        <w:t>Section 3 – Authority</w:t>
      </w:r>
    </w:p>
    <w:p w14:paraId="0648EC50" w14:textId="2910DD60" w:rsidR="00E54AF1" w:rsidRPr="005D4B23" w:rsidRDefault="00E54AF1" w:rsidP="00E17CA9">
      <w:r w:rsidRPr="005D4B23">
        <w:t xml:space="preserve">This section provides that the </w:t>
      </w:r>
      <w:r w:rsidRPr="00BB3038">
        <w:rPr>
          <w:i/>
        </w:rPr>
        <w:t>Intellectual Property Laws Amendment (</w:t>
      </w:r>
      <w:r w:rsidR="00865BAB" w:rsidRPr="00BB3038">
        <w:rPr>
          <w:i/>
        </w:rPr>
        <w:t>PCT Translations</w:t>
      </w:r>
      <w:r w:rsidRPr="00BB3038">
        <w:rPr>
          <w:i/>
        </w:rPr>
        <w:t xml:space="preserve"> and Other Measures) Regulations 201</w:t>
      </w:r>
      <w:r w:rsidR="00865BAB" w:rsidRPr="00BB3038">
        <w:rPr>
          <w:i/>
        </w:rPr>
        <w:t>9</w:t>
      </w:r>
      <w:r w:rsidRPr="005D4B23">
        <w:t xml:space="preserve"> is made under the </w:t>
      </w:r>
      <w:r w:rsidRPr="005D4B23">
        <w:rPr>
          <w:i/>
        </w:rPr>
        <w:t>Designs Act 2003</w:t>
      </w:r>
      <w:r w:rsidR="001C35C3" w:rsidRPr="005D4B23">
        <w:t xml:space="preserve"> and</w:t>
      </w:r>
      <w:r w:rsidRPr="005D4B23">
        <w:t xml:space="preserve"> the </w:t>
      </w:r>
      <w:r w:rsidRPr="005D4B23">
        <w:rPr>
          <w:i/>
        </w:rPr>
        <w:t>Patents Act 1990</w:t>
      </w:r>
      <w:r w:rsidR="001C35C3" w:rsidRPr="005D4B23">
        <w:t>.</w:t>
      </w:r>
    </w:p>
    <w:p w14:paraId="369E5EE7" w14:textId="77777777" w:rsidR="00E54AF1" w:rsidRPr="005D4B23" w:rsidRDefault="00E54AF1" w:rsidP="00E17CA9">
      <w:pPr>
        <w:pStyle w:val="Heading5"/>
      </w:pPr>
      <w:r w:rsidRPr="005D4B23">
        <w:t>Section 4 – Schedules</w:t>
      </w:r>
    </w:p>
    <w:p w14:paraId="74AB9357" w14:textId="77777777" w:rsidR="00E54AF1" w:rsidRPr="005D4B23" w:rsidRDefault="00E54AF1" w:rsidP="00E17CA9">
      <w:r w:rsidRPr="005D4B23">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1646AF08" w14:textId="77777777" w:rsidR="00EA34A6" w:rsidRPr="005D4B23" w:rsidRDefault="00EA34A6" w:rsidP="00E17CA9">
      <w:pPr>
        <w:rPr>
          <w:u w:val="single"/>
        </w:rPr>
      </w:pPr>
      <w:r w:rsidRPr="005D4B23">
        <w:br w:type="page"/>
      </w:r>
    </w:p>
    <w:p w14:paraId="526991EC" w14:textId="1678EF7C" w:rsidR="009403CF" w:rsidRPr="005D4B23" w:rsidRDefault="009403CF" w:rsidP="00E17CA9">
      <w:pPr>
        <w:pStyle w:val="Heading2"/>
      </w:pPr>
      <w:r w:rsidRPr="005D4B23">
        <w:lastRenderedPageBreak/>
        <w:t xml:space="preserve">Schedule 1 </w:t>
      </w:r>
      <w:r w:rsidR="00A26526" w:rsidRPr="005D4B23">
        <w:t>–</w:t>
      </w:r>
      <w:r w:rsidR="00120E72" w:rsidRPr="005D4B23">
        <w:t xml:space="preserve"> </w:t>
      </w:r>
      <w:r w:rsidR="00884320">
        <w:t>PCT Translations</w:t>
      </w:r>
    </w:p>
    <w:p w14:paraId="36B94677" w14:textId="08D9C099" w:rsidR="00162FC8" w:rsidRPr="005D4B23" w:rsidRDefault="00162FC8" w:rsidP="00A35058">
      <w:pPr>
        <w:spacing w:after="120"/>
        <w:rPr>
          <w:rFonts w:eastAsia="Calibri"/>
        </w:rPr>
      </w:pPr>
      <w:r w:rsidRPr="005D4B23">
        <w:rPr>
          <w:rFonts w:eastAsia="Calibri"/>
        </w:rPr>
        <w:t xml:space="preserve">This </w:t>
      </w:r>
      <w:r w:rsidR="00274A4B">
        <w:rPr>
          <w:rFonts w:eastAsia="Calibri"/>
        </w:rPr>
        <w:t>P</w:t>
      </w:r>
      <w:r w:rsidRPr="005D4B23">
        <w:rPr>
          <w:rFonts w:eastAsia="Calibri"/>
        </w:rPr>
        <w:t>art amends the Patents Regulations to:</w:t>
      </w:r>
    </w:p>
    <w:p w14:paraId="7CD11D71" w14:textId="73ED4666" w:rsidR="00162FC8" w:rsidRPr="005D4B23" w:rsidRDefault="00162FC8" w:rsidP="00A35058">
      <w:pPr>
        <w:pStyle w:val="ListParagraph"/>
        <w:numPr>
          <w:ilvl w:val="0"/>
          <w:numId w:val="28"/>
        </w:numPr>
        <w:spacing w:after="120"/>
        <w:contextualSpacing w:val="0"/>
      </w:pPr>
      <w:r w:rsidRPr="005D4B23">
        <w:t xml:space="preserve">clarify the translation requirements for </w:t>
      </w:r>
      <w:r w:rsidR="00E17CA9">
        <w:t>PCT</w:t>
      </w:r>
      <w:r w:rsidR="00BD7010">
        <w:t xml:space="preserve"> applications</w:t>
      </w:r>
      <w:r w:rsidR="00EB027F">
        <w:t xml:space="preserve"> </w:t>
      </w:r>
      <w:r w:rsidR="001970D7">
        <w:t xml:space="preserve">to enter </w:t>
      </w:r>
      <w:r w:rsidR="00F06807">
        <w:t xml:space="preserve">the </w:t>
      </w:r>
      <w:r w:rsidR="001970D7">
        <w:t>national phase in Australia</w:t>
      </w:r>
      <w:r w:rsidRPr="005D4B23">
        <w:t>;</w:t>
      </w:r>
    </w:p>
    <w:p w14:paraId="7D636C90" w14:textId="18DDBEBA" w:rsidR="00162FC8" w:rsidRPr="005D4B23" w:rsidRDefault="00162FC8" w:rsidP="00A35058">
      <w:pPr>
        <w:pStyle w:val="ListParagraph"/>
        <w:numPr>
          <w:ilvl w:val="0"/>
          <w:numId w:val="28"/>
        </w:numPr>
        <w:spacing w:after="120"/>
        <w:contextualSpacing w:val="0"/>
      </w:pPr>
      <w:r w:rsidRPr="005D4B23">
        <w:t>ensure that as a minimum</w:t>
      </w:r>
      <w:r w:rsidR="009124F6">
        <w:t>,</w:t>
      </w:r>
      <w:r w:rsidRPr="005D4B23">
        <w:t xml:space="preserve"> </w:t>
      </w:r>
      <w:r w:rsidR="000A1E58">
        <w:t xml:space="preserve">an </w:t>
      </w:r>
      <w:r w:rsidRPr="005D4B23">
        <w:t xml:space="preserve">applicant </w:t>
      </w:r>
      <w:r w:rsidR="00214639">
        <w:t xml:space="preserve">of </w:t>
      </w:r>
      <w:r w:rsidR="000A1E58">
        <w:t xml:space="preserve">a </w:t>
      </w:r>
      <w:r w:rsidR="00214639">
        <w:t xml:space="preserve">PCT application </w:t>
      </w:r>
      <w:r w:rsidR="009124F6">
        <w:t xml:space="preserve">must </w:t>
      </w:r>
      <w:r w:rsidRPr="005D4B23">
        <w:t>file a</w:t>
      </w:r>
      <w:r w:rsidR="002F62CC">
        <w:t xml:space="preserve"> </w:t>
      </w:r>
      <w:r w:rsidRPr="005D4B23">
        <w:t xml:space="preserve">translation </w:t>
      </w:r>
      <w:r w:rsidR="002F62CC">
        <w:t>into English</w:t>
      </w:r>
      <w:r w:rsidR="002F62CC" w:rsidRPr="005D4B23">
        <w:t xml:space="preserve"> </w:t>
      </w:r>
      <w:r w:rsidRPr="005D4B23">
        <w:t>of the specification filed</w:t>
      </w:r>
      <w:r w:rsidR="009124F6">
        <w:t xml:space="preserve"> </w:t>
      </w:r>
      <w:r w:rsidR="000A1E58">
        <w:t xml:space="preserve">in another language </w:t>
      </w:r>
      <w:r w:rsidR="002F62CC">
        <w:t>at a foreign patent office</w:t>
      </w:r>
      <w:r w:rsidRPr="005D4B23">
        <w:t>;</w:t>
      </w:r>
    </w:p>
    <w:p w14:paraId="6A48BB88" w14:textId="17E12783" w:rsidR="00162FC8" w:rsidRPr="005D4B23" w:rsidRDefault="00162FC8" w:rsidP="00A35058">
      <w:pPr>
        <w:pStyle w:val="ListParagraph"/>
        <w:numPr>
          <w:ilvl w:val="0"/>
          <w:numId w:val="28"/>
        </w:numPr>
        <w:spacing w:after="120"/>
        <w:contextualSpacing w:val="0"/>
      </w:pPr>
      <w:r w:rsidRPr="005D4B23">
        <w:t xml:space="preserve">remove the requirement for </w:t>
      </w:r>
      <w:r w:rsidR="00B930B2">
        <w:t xml:space="preserve">persons filing </w:t>
      </w:r>
      <w:r w:rsidR="00B930B2" w:rsidRPr="005D4B23">
        <w:t>document</w:t>
      </w:r>
      <w:r w:rsidR="00B930B2">
        <w:t>s</w:t>
      </w:r>
      <w:r w:rsidR="00B930B2" w:rsidRPr="005D4B23">
        <w:t xml:space="preserve"> </w:t>
      </w:r>
      <w:r w:rsidR="00FD2109">
        <w:t>not in</w:t>
      </w:r>
      <w:r w:rsidR="00B930B2" w:rsidRPr="005D4B23">
        <w:t xml:space="preserve"> English </w:t>
      </w:r>
      <w:r w:rsidRPr="005D4B23">
        <w:t>to provide certificate</w:t>
      </w:r>
      <w:r w:rsidR="005F5501">
        <w:t>s</w:t>
      </w:r>
      <w:r w:rsidRPr="005D4B23">
        <w:t xml:space="preserve"> of verification</w:t>
      </w:r>
      <w:r w:rsidR="005F5501">
        <w:t xml:space="preserve"> </w:t>
      </w:r>
      <w:r w:rsidR="00FD2109">
        <w:t xml:space="preserve">with their </w:t>
      </w:r>
      <w:r w:rsidR="005F5501">
        <w:t>translations</w:t>
      </w:r>
      <w:r w:rsidR="00FD2109">
        <w:t xml:space="preserve"> of those documents</w:t>
      </w:r>
      <w:r w:rsidRPr="005D4B23">
        <w:t>; and</w:t>
      </w:r>
    </w:p>
    <w:p w14:paraId="034F4DEA" w14:textId="62E6FF82" w:rsidR="00162FC8" w:rsidRPr="005D4B23" w:rsidRDefault="001970D7" w:rsidP="00A35058">
      <w:pPr>
        <w:pStyle w:val="ListParagraph"/>
        <w:numPr>
          <w:ilvl w:val="0"/>
          <w:numId w:val="28"/>
        </w:numPr>
        <w:contextualSpacing w:val="0"/>
      </w:pPr>
      <w:r>
        <w:t xml:space="preserve">provide that </w:t>
      </w:r>
      <w:r w:rsidR="00367CDC">
        <w:t xml:space="preserve">– </w:t>
      </w:r>
      <w:r w:rsidR="00BD7010">
        <w:t>if</w:t>
      </w:r>
      <w:r>
        <w:t xml:space="preserve"> </w:t>
      </w:r>
      <w:r w:rsidRPr="005D4B23">
        <w:t xml:space="preserve">the Commissioner of Patents </w:t>
      </w:r>
      <w:r>
        <w:t xml:space="preserve">has </w:t>
      </w:r>
      <w:r w:rsidRPr="005D4B23">
        <w:t xml:space="preserve">reasonable doubts </w:t>
      </w:r>
      <w:r>
        <w:t>about</w:t>
      </w:r>
      <w:r w:rsidRPr="005D4B23">
        <w:t xml:space="preserve"> the </w:t>
      </w:r>
      <w:r>
        <w:t>accuracy</w:t>
      </w:r>
      <w:r w:rsidRPr="005D4B23">
        <w:t xml:space="preserve"> of </w:t>
      </w:r>
      <w:r>
        <w:t xml:space="preserve">a </w:t>
      </w:r>
      <w:r w:rsidRPr="005D4B23">
        <w:t>translation</w:t>
      </w:r>
      <w:r w:rsidR="00367CDC">
        <w:t xml:space="preserve"> into English –</w:t>
      </w:r>
      <w:r>
        <w:t xml:space="preserve"> the Commissioner can require the person to either </w:t>
      </w:r>
      <w:r w:rsidR="00517E14">
        <w:t>fil</w:t>
      </w:r>
      <w:r>
        <w:t xml:space="preserve">e a certificate of verification for the translation or </w:t>
      </w:r>
      <w:r w:rsidR="00BD7010">
        <w:t>else</w:t>
      </w:r>
      <w:r>
        <w:t xml:space="preserve"> file a corrected translation with its own certificate of verification</w:t>
      </w:r>
      <w:r w:rsidRPr="005D4B23">
        <w:t>.</w:t>
      </w:r>
    </w:p>
    <w:p w14:paraId="146CC701" w14:textId="52E4F6CA" w:rsidR="00162FC8" w:rsidRPr="005D4B23" w:rsidRDefault="00162FC8" w:rsidP="00E17CA9">
      <w:pPr>
        <w:pStyle w:val="Heading4"/>
      </w:pPr>
      <w:r w:rsidRPr="005D4B23">
        <w:t>Translation</w:t>
      </w:r>
      <w:r w:rsidR="00761AE8">
        <w:t>s</w:t>
      </w:r>
      <w:r w:rsidRPr="005D4B23">
        <w:t xml:space="preserve"> required </w:t>
      </w:r>
      <w:r w:rsidR="00367CDC">
        <w:t xml:space="preserve">for entry into </w:t>
      </w:r>
      <w:r w:rsidR="00D60622">
        <w:t xml:space="preserve">the </w:t>
      </w:r>
      <w:r w:rsidR="00367CDC">
        <w:t>national phase</w:t>
      </w:r>
    </w:p>
    <w:p w14:paraId="5E2D6899" w14:textId="7016DC8D" w:rsidR="00C256BC" w:rsidRDefault="00C256BC" w:rsidP="00E17CA9">
      <w:r>
        <w:t>U</w:t>
      </w:r>
      <w:r w:rsidRPr="005D4B23">
        <w:t>nder subsection 29</w:t>
      </w:r>
      <w:proofErr w:type="gramStart"/>
      <w:r w:rsidRPr="005D4B23">
        <w:t>A(</w:t>
      </w:r>
      <w:proofErr w:type="gramEnd"/>
      <w:r w:rsidRPr="005D4B23">
        <w:t>1) of the Patents Act</w:t>
      </w:r>
      <w:r>
        <w:t>,</w:t>
      </w:r>
      <w:r w:rsidRPr="005D4B23">
        <w:t xml:space="preserve"> </w:t>
      </w:r>
      <w:r>
        <w:t>a</w:t>
      </w:r>
      <w:r w:rsidR="00162FC8" w:rsidRPr="005D4B23">
        <w:t xml:space="preserve"> </w:t>
      </w:r>
      <w:r w:rsidR="00E17CA9">
        <w:t>PCT</w:t>
      </w:r>
      <w:r w:rsidR="009124F6">
        <w:t xml:space="preserve"> </w:t>
      </w:r>
      <w:r w:rsidR="00367CDC">
        <w:t xml:space="preserve">application </w:t>
      </w:r>
      <w:r w:rsidR="00162FC8" w:rsidRPr="005D4B23">
        <w:t xml:space="preserve">is </w:t>
      </w:r>
      <w:r>
        <w:t>treated as</w:t>
      </w:r>
      <w:r w:rsidR="00162FC8" w:rsidRPr="005D4B23">
        <w:t xml:space="preserve"> a</w:t>
      </w:r>
      <w:r>
        <w:t xml:space="preserve"> complete</w:t>
      </w:r>
      <w:r w:rsidR="00162FC8" w:rsidRPr="005D4B23">
        <w:t xml:space="preserve"> application for a standard patent in Australia. </w:t>
      </w:r>
      <w:r>
        <w:t xml:space="preserve">The </w:t>
      </w:r>
      <w:r w:rsidR="004B4EE1">
        <w:t xml:space="preserve">applicant of a </w:t>
      </w:r>
      <w:r w:rsidR="00E17CA9">
        <w:t>PCT</w:t>
      </w:r>
      <w:r>
        <w:t xml:space="preserve"> application must </w:t>
      </w:r>
      <w:r w:rsidR="00F06807">
        <w:t>comply with the requirements in subsection 29</w:t>
      </w:r>
      <w:proofErr w:type="gramStart"/>
      <w:r w:rsidR="00F06807">
        <w:t>A(</w:t>
      </w:r>
      <w:proofErr w:type="gramEnd"/>
      <w:r w:rsidR="00F06807">
        <w:t xml:space="preserve">5) of the Patents Act to enter the national phase in Australia: so </w:t>
      </w:r>
      <w:r>
        <w:t xml:space="preserve">the Commissioner of Patents can examine </w:t>
      </w:r>
      <w:r w:rsidR="004B4EE1">
        <w:t>the PCT application</w:t>
      </w:r>
      <w:r w:rsidR="00F06807">
        <w:t xml:space="preserve"> and decide whether or not to grant a patent</w:t>
      </w:r>
      <w:r>
        <w:t xml:space="preserve">. </w:t>
      </w:r>
      <w:r w:rsidR="00925B08">
        <w:t>To enter the national phase, the applicant must request this and pay the Australian fee.</w:t>
      </w:r>
    </w:p>
    <w:p w14:paraId="093DAFE8" w14:textId="4BBFA9EB" w:rsidR="00C256BC" w:rsidRDefault="00B4094E" w:rsidP="00E17CA9">
      <w:r>
        <w:t>P</w:t>
      </w:r>
      <w:r w:rsidRPr="005D4B23">
        <w:t xml:space="preserve">aragraph 29A(5)(a) </w:t>
      </w:r>
      <w:r>
        <w:t xml:space="preserve">of the Patents Act sets out a special requirement for a </w:t>
      </w:r>
      <w:r w:rsidR="00E17CA9">
        <w:t>PCT</w:t>
      </w:r>
      <w:r w:rsidRPr="005D4B23">
        <w:t xml:space="preserve"> application</w:t>
      </w:r>
      <w:r>
        <w:t xml:space="preserve"> </w:t>
      </w:r>
      <w:r w:rsidR="000764FC" w:rsidRPr="005D4B23">
        <w:t xml:space="preserve">filed </w:t>
      </w:r>
      <w:r w:rsidR="000764FC">
        <w:t xml:space="preserve">in a foreign patent office (“receiving Office”) </w:t>
      </w:r>
      <w:r w:rsidR="000764FC" w:rsidRPr="005D4B23">
        <w:t>in a language other than English</w:t>
      </w:r>
      <w:r w:rsidR="000764FC">
        <w:t xml:space="preserve">. For that PCT application to </w:t>
      </w:r>
      <w:r>
        <w:t xml:space="preserve">enter </w:t>
      </w:r>
      <w:r w:rsidR="00F06807">
        <w:t xml:space="preserve">the </w:t>
      </w:r>
      <w:r>
        <w:t xml:space="preserve">national phase in Australia, </w:t>
      </w:r>
      <w:r w:rsidR="000764FC">
        <w:t>t</w:t>
      </w:r>
      <w:r>
        <w:t xml:space="preserve">he </w:t>
      </w:r>
      <w:r w:rsidRPr="005D4B23">
        <w:t xml:space="preserve">applicant must file </w:t>
      </w:r>
      <w:r w:rsidR="00F06807">
        <w:t xml:space="preserve">at </w:t>
      </w:r>
      <w:r w:rsidR="00F06807" w:rsidRPr="005D4B23">
        <w:t>the Patent Office</w:t>
      </w:r>
      <w:r w:rsidR="00F06807">
        <w:t xml:space="preserve"> </w:t>
      </w:r>
      <w:r>
        <w:t xml:space="preserve">a translation </w:t>
      </w:r>
      <w:r w:rsidR="000764FC">
        <w:t xml:space="preserve">into English </w:t>
      </w:r>
      <w:r w:rsidR="00F66964">
        <w:t xml:space="preserve">of the </w:t>
      </w:r>
      <w:r w:rsidR="00E17CA9">
        <w:t>PCT</w:t>
      </w:r>
      <w:r w:rsidR="00F66964">
        <w:t xml:space="preserve"> application. </w:t>
      </w:r>
    </w:p>
    <w:p w14:paraId="644B27A9" w14:textId="68EBE604" w:rsidR="00F66964" w:rsidRDefault="00162FC8" w:rsidP="00E17CA9">
      <w:pPr>
        <w:spacing w:after="120"/>
      </w:pPr>
      <w:r w:rsidRPr="005D4B23">
        <w:t xml:space="preserve">The requirements for </w:t>
      </w:r>
      <w:r w:rsidR="00F66964">
        <w:t xml:space="preserve">those </w:t>
      </w:r>
      <w:r w:rsidRPr="005D4B23">
        <w:t>translations are set out in regulation 3.5AF</w:t>
      </w:r>
      <w:r w:rsidR="009124F6">
        <w:t xml:space="preserve"> of the Patents Regulations</w:t>
      </w:r>
      <w:r w:rsidRPr="005D4B23">
        <w:t>. Currently the</w:t>
      </w:r>
      <w:r w:rsidR="00F66964">
        <w:t>se</w:t>
      </w:r>
      <w:r w:rsidRPr="005D4B23">
        <w:t xml:space="preserve"> requirements are </w:t>
      </w:r>
      <w:r w:rsidR="00F66964">
        <w:t>not wholly clear</w:t>
      </w:r>
      <w:r w:rsidRPr="005D4B23">
        <w:t xml:space="preserve"> about what must be filed. </w:t>
      </w:r>
      <w:r w:rsidR="00F66964">
        <w:t>The translation could be of</w:t>
      </w:r>
      <w:r w:rsidR="00A35058">
        <w:t xml:space="preserve"> the PCT application as originally filed, as amended under Article 19 or 34 of the PCT, or as rectified by a competent authority under Rule 91 of the PCT. The interaction of regulation 3.5AC (which determines when a PCT application is taken to be amended) and regulation 3.5AF is also not clear.</w:t>
      </w:r>
    </w:p>
    <w:p w14:paraId="65138720" w14:textId="71D134F2" w:rsidR="00571117" w:rsidRDefault="00162FC8" w:rsidP="0099366D">
      <w:pPr>
        <w:spacing w:after="120"/>
      </w:pPr>
      <w:r w:rsidRPr="005D4B23">
        <w:t xml:space="preserve">There is also no guarantee that a translation filed by the applicant includes a translation of the </w:t>
      </w:r>
      <w:r w:rsidR="00571117">
        <w:t>PCT application</w:t>
      </w:r>
      <w:r w:rsidRPr="005D4B23">
        <w:t xml:space="preserve"> as originally filed</w:t>
      </w:r>
      <w:r w:rsidR="00571117">
        <w:t xml:space="preserve"> at the receiving Office</w:t>
      </w:r>
      <w:r w:rsidRPr="005D4B23">
        <w:t xml:space="preserve">. </w:t>
      </w:r>
      <w:r w:rsidR="00571117">
        <w:t>This is needed for:</w:t>
      </w:r>
    </w:p>
    <w:p w14:paraId="590C12A5" w14:textId="60E1AE6B" w:rsidR="00571117" w:rsidRDefault="00571117" w:rsidP="0099366D">
      <w:pPr>
        <w:pStyle w:val="ListParagraph"/>
        <w:numPr>
          <w:ilvl w:val="0"/>
          <w:numId w:val="37"/>
        </w:numPr>
        <w:spacing w:after="120"/>
        <w:ind w:left="714" w:hanging="357"/>
        <w:contextualSpacing w:val="0"/>
      </w:pPr>
      <w:r>
        <w:t>assessing</w:t>
      </w:r>
      <w:r w:rsidR="0029056B">
        <w:t xml:space="preserve">, </w:t>
      </w:r>
      <w:r w:rsidR="0029056B" w:rsidRPr="005D4B23">
        <w:t xml:space="preserve">under section 102 of </w:t>
      </w:r>
      <w:r w:rsidR="0029056B">
        <w:t>the Patents Act,</w:t>
      </w:r>
      <w:r w:rsidR="00761AE8">
        <w:t xml:space="preserve"> the allowability of amendments</w:t>
      </w:r>
      <w:r w:rsidR="00162FC8" w:rsidRPr="005D4B23">
        <w:t xml:space="preserve"> </w:t>
      </w:r>
      <w:r w:rsidR="00761AE8">
        <w:t xml:space="preserve">to the complete specification </w:t>
      </w:r>
      <w:r>
        <w:t xml:space="preserve">after </w:t>
      </w:r>
      <w:r w:rsidR="00761AE8">
        <w:t xml:space="preserve">a PCT application </w:t>
      </w:r>
      <w:r>
        <w:t>ent</w:t>
      </w:r>
      <w:r w:rsidR="00761AE8">
        <w:t>ers</w:t>
      </w:r>
      <w:r>
        <w:t xml:space="preserve"> </w:t>
      </w:r>
      <w:r w:rsidR="00EB2D7B">
        <w:t>the</w:t>
      </w:r>
      <w:r>
        <w:t xml:space="preserve"> national phase</w:t>
      </w:r>
      <w:r w:rsidR="00EB2D7B">
        <w:t xml:space="preserve"> in Australia</w:t>
      </w:r>
      <w:r w:rsidR="00F20C8A">
        <w:t>; and</w:t>
      </w:r>
    </w:p>
    <w:p w14:paraId="278C7E5A" w14:textId="74ECEBEF" w:rsidR="00162FC8" w:rsidRPr="005D4B23" w:rsidRDefault="00162FC8" w:rsidP="0099366D">
      <w:pPr>
        <w:pStyle w:val="ListParagraph"/>
        <w:numPr>
          <w:ilvl w:val="0"/>
          <w:numId w:val="37"/>
        </w:numPr>
        <w:spacing w:after="120"/>
        <w:ind w:left="714" w:hanging="357"/>
        <w:contextualSpacing w:val="0"/>
      </w:pPr>
      <w:r w:rsidRPr="005D4B23">
        <w:t>determining</w:t>
      </w:r>
      <w:r w:rsidR="0029056B">
        <w:t>,</w:t>
      </w:r>
      <w:r w:rsidR="00761AE8">
        <w:t xml:space="preserve"> </w:t>
      </w:r>
      <w:r w:rsidR="0029056B" w:rsidRPr="005D4B23">
        <w:t xml:space="preserve">under section 114 </w:t>
      </w:r>
      <w:r w:rsidR="0029056B">
        <w:t xml:space="preserve">of the Patents Act </w:t>
      </w:r>
      <w:r w:rsidR="0029056B" w:rsidRPr="005D4B23">
        <w:t>and regulation 3.14</w:t>
      </w:r>
      <w:r w:rsidR="0029056B">
        <w:t xml:space="preserve"> of the Patents Regulations, </w:t>
      </w:r>
      <w:r w:rsidR="00571117" w:rsidRPr="005D4B23">
        <w:t xml:space="preserve">the priority date </w:t>
      </w:r>
      <w:r w:rsidRPr="005D4B23">
        <w:t xml:space="preserve">of any translated </w:t>
      </w:r>
      <w:r w:rsidR="0029056B">
        <w:t xml:space="preserve">text of </w:t>
      </w:r>
      <w:r w:rsidR="009124F6" w:rsidRPr="005D4B23">
        <w:t>Article</w:t>
      </w:r>
      <w:r w:rsidR="009124F6">
        <w:t> </w:t>
      </w:r>
      <w:r w:rsidRPr="005D4B23">
        <w:t xml:space="preserve">19 or 34 amendments </w:t>
      </w:r>
      <w:r w:rsidR="0029056B">
        <w:t>filed at the Patent Office with the PCT application</w:t>
      </w:r>
      <w:r w:rsidR="00EB2D7B">
        <w:t>.</w:t>
      </w:r>
    </w:p>
    <w:p w14:paraId="53D81112" w14:textId="43051E52" w:rsidR="00162FC8" w:rsidRDefault="00162FC8" w:rsidP="00E17CA9">
      <w:r w:rsidRPr="005D4B23">
        <w:t xml:space="preserve">The amendments </w:t>
      </w:r>
      <w:r w:rsidR="00EB2D7B">
        <w:t xml:space="preserve">made by this Part </w:t>
      </w:r>
      <w:r w:rsidRPr="005D4B23">
        <w:t xml:space="preserve">will ensure that the applicant must </w:t>
      </w:r>
      <w:r w:rsidR="005F5501">
        <w:t xml:space="preserve">file </w:t>
      </w:r>
      <w:r w:rsidRPr="005D4B23">
        <w:t xml:space="preserve">a translation </w:t>
      </w:r>
      <w:r w:rsidR="005F5501">
        <w:t xml:space="preserve">into English </w:t>
      </w:r>
      <w:r w:rsidRPr="005D4B23">
        <w:t xml:space="preserve">of the specification </w:t>
      </w:r>
      <w:r w:rsidR="005F5501">
        <w:t>of the PCT application</w:t>
      </w:r>
      <w:r w:rsidR="0060176A">
        <w:t xml:space="preserve"> (</w:t>
      </w:r>
      <w:r w:rsidR="00C044CF">
        <w:t>the description, drawings and claims</w:t>
      </w:r>
      <w:r w:rsidR="0060176A">
        <w:t xml:space="preserve">) </w:t>
      </w:r>
      <w:r w:rsidRPr="005D4B23">
        <w:t>as originally filed</w:t>
      </w:r>
      <w:r w:rsidR="005F5501">
        <w:t xml:space="preserve"> at the receiving Office</w:t>
      </w:r>
      <w:r w:rsidR="00C044CF">
        <w:t xml:space="preserve"> or as subsequently rectified under Rule 91 of the PCT. </w:t>
      </w:r>
      <w:r w:rsidR="005F5501">
        <w:t>T</w:t>
      </w:r>
      <w:r w:rsidRPr="005D4B23">
        <w:t xml:space="preserve">he applicant </w:t>
      </w:r>
      <w:r w:rsidR="005F5501">
        <w:t>will</w:t>
      </w:r>
      <w:r w:rsidR="00C044CF">
        <w:t xml:space="preserve"> </w:t>
      </w:r>
      <w:r w:rsidR="005F5501">
        <w:t xml:space="preserve">also have </w:t>
      </w:r>
      <w:r w:rsidRPr="005D4B23">
        <w:t xml:space="preserve">the option of filing a translation </w:t>
      </w:r>
      <w:r w:rsidR="005F5501">
        <w:t xml:space="preserve">into English </w:t>
      </w:r>
      <w:r w:rsidRPr="005D4B23">
        <w:t xml:space="preserve">of </w:t>
      </w:r>
      <w:r w:rsidR="005F5501">
        <w:t xml:space="preserve">the text of </w:t>
      </w:r>
      <w:r w:rsidRPr="005D4B23">
        <w:t xml:space="preserve">any </w:t>
      </w:r>
      <w:r w:rsidRPr="005D4B23">
        <w:lastRenderedPageBreak/>
        <w:t>Article 19 or 34 amendments</w:t>
      </w:r>
      <w:r w:rsidR="0056595E">
        <w:t xml:space="preserve"> not in English</w:t>
      </w:r>
      <w:r w:rsidR="00F06807">
        <w:t>:</w:t>
      </w:r>
      <w:r w:rsidR="00823A58">
        <w:t xml:space="preserve"> if </w:t>
      </w:r>
      <w:r w:rsidRPr="005D4B23">
        <w:t xml:space="preserve">the applicant </w:t>
      </w:r>
      <w:r w:rsidR="005F5501">
        <w:t>w</w:t>
      </w:r>
      <w:r w:rsidR="00BA2751">
        <w:t>ishes</w:t>
      </w:r>
      <w:r w:rsidR="005F5501">
        <w:t xml:space="preserve"> </w:t>
      </w:r>
      <w:r w:rsidRPr="005D4B23">
        <w:t xml:space="preserve">to </w:t>
      </w:r>
      <w:r w:rsidR="0056595E">
        <w:t xml:space="preserve">apply </w:t>
      </w:r>
      <w:r w:rsidR="00F06807">
        <w:t xml:space="preserve">such </w:t>
      </w:r>
      <w:r w:rsidR="00BA2751">
        <w:t>amendment</w:t>
      </w:r>
      <w:r w:rsidR="0056595E">
        <w:t>s</w:t>
      </w:r>
      <w:r w:rsidR="00823A58">
        <w:t xml:space="preserve"> </w:t>
      </w:r>
      <w:r w:rsidR="005F5501">
        <w:t xml:space="preserve">to the PCT application </w:t>
      </w:r>
      <w:r w:rsidR="0056595E">
        <w:t>entering the</w:t>
      </w:r>
      <w:r w:rsidR="005F5501">
        <w:t xml:space="preserve"> national phase in Australia.</w:t>
      </w:r>
    </w:p>
    <w:p w14:paraId="2313B93B" w14:textId="12367BA1" w:rsidR="00162FC8" w:rsidRPr="005D4B23" w:rsidRDefault="00162FC8" w:rsidP="00E17CA9">
      <w:pPr>
        <w:pStyle w:val="Heading4"/>
      </w:pPr>
      <w:r w:rsidRPr="005D4B23">
        <w:t>Certificates of verification</w:t>
      </w:r>
      <w:r w:rsidR="009062B6">
        <w:t xml:space="preserve"> and corrected translations</w:t>
      </w:r>
    </w:p>
    <w:p w14:paraId="660082B1" w14:textId="61839A07" w:rsidR="00BA2751" w:rsidRDefault="00BA2751" w:rsidP="00BA2751">
      <w:r>
        <w:t>Once a PCT application in a language other than English</w:t>
      </w:r>
      <w:r w:rsidRPr="00BA2751">
        <w:t xml:space="preserve"> </w:t>
      </w:r>
      <w:r>
        <w:t xml:space="preserve">enters </w:t>
      </w:r>
      <w:r w:rsidR="00EB2D7B">
        <w:t xml:space="preserve">the </w:t>
      </w:r>
      <w:r>
        <w:t xml:space="preserve">national phase in Australia, the applicant must file a certificate of verification </w:t>
      </w:r>
      <w:r w:rsidR="00A03C70">
        <w:t xml:space="preserve">of the </w:t>
      </w:r>
      <w:r>
        <w:t xml:space="preserve">translation into English. </w:t>
      </w:r>
      <w:r w:rsidRPr="005D4B23">
        <w:t xml:space="preserve">If the certificate of verification is not </w:t>
      </w:r>
      <w:r>
        <w:t>fil</w:t>
      </w:r>
      <w:r w:rsidRPr="005D4B23">
        <w:t xml:space="preserve">ed, and the applicant does not comply with a formality notice from </w:t>
      </w:r>
      <w:r>
        <w:t>the Commissioner of Patents</w:t>
      </w:r>
      <w:r w:rsidRPr="005D4B23">
        <w:t xml:space="preserve"> requesting it, the </w:t>
      </w:r>
      <w:r>
        <w:t xml:space="preserve">PCT </w:t>
      </w:r>
      <w:r w:rsidRPr="005D4B23">
        <w:t>application lapses</w:t>
      </w:r>
      <w:r>
        <w:t>. This means it</w:t>
      </w:r>
      <w:r w:rsidRPr="005D4B23">
        <w:t xml:space="preserve"> does not progress </w:t>
      </w:r>
      <w:r w:rsidR="00A03C70">
        <w:t>any further in Australia</w:t>
      </w:r>
      <w:r w:rsidRPr="005D4B23">
        <w:t>.</w:t>
      </w:r>
    </w:p>
    <w:p w14:paraId="4FEC12ED" w14:textId="48E8AEAF" w:rsidR="00A03C70" w:rsidRDefault="00A03C70" w:rsidP="00BA2751">
      <w:r>
        <w:t xml:space="preserve">Other documents not in English may be filed at the Patent Office, </w:t>
      </w:r>
      <w:r w:rsidR="004B4EE1">
        <w:t>if</w:t>
      </w:r>
      <w:r>
        <w:t xml:space="preserve"> they are </w:t>
      </w:r>
      <w:r w:rsidR="00EB2D7B">
        <w:t xml:space="preserve">also </w:t>
      </w:r>
      <w:r>
        <w:t xml:space="preserve">filed with translations into English and </w:t>
      </w:r>
      <w:r w:rsidR="004B4EE1">
        <w:t xml:space="preserve">related </w:t>
      </w:r>
      <w:r>
        <w:t xml:space="preserve">certificates of verification. If </w:t>
      </w:r>
      <w:r w:rsidR="004B4EE1">
        <w:t xml:space="preserve">a </w:t>
      </w:r>
      <w:r>
        <w:t xml:space="preserve">document </w:t>
      </w:r>
      <w:r w:rsidR="004B4EE1">
        <w:t>not in English i</w:t>
      </w:r>
      <w:r>
        <w:t xml:space="preserve">s </w:t>
      </w:r>
      <w:r w:rsidR="004B4EE1">
        <w:t xml:space="preserve">filed with its translation but without a certificate of verification, then the Commissioner of Patents may treat the document as </w:t>
      </w:r>
      <w:r w:rsidR="0060176A">
        <w:t>having</w:t>
      </w:r>
      <w:r w:rsidR="004B4EE1">
        <w:t xml:space="preserve"> no effect.</w:t>
      </w:r>
    </w:p>
    <w:p w14:paraId="47FFE341" w14:textId="2B50D2C3" w:rsidR="00162FC8" w:rsidRPr="005D4B23" w:rsidRDefault="00162FC8" w:rsidP="00E17CA9">
      <w:r w:rsidRPr="005D4B23">
        <w:t xml:space="preserve">Most translations are accurate and do not give rise to any </w:t>
      </w:r>
      <w:r w:rsidR="004B4EE1">
        <w:t>concerns</w:t>
      </w:r>
      <w:r w:rsidRPr="005D4B23">
        <w:t xml:space="preserve">, making </w:t>
      </w:r>
      <w:r w:rsidR="004B4EE1" w:rsidRPr="005D4B23">
        <w:t>th</w:t>
      </w:r>
      <w:r w:rsidR="004B4EE1">
        <w:t>e</w:t>
      </w:r>
      <w:r w:rsidR="004B4EE1" w:rsidRPr="005D4B23">
        <w:t xml:space="preserve"> </w:t>
      </w:r>
      <w:r w:rsidRPr="005D4B23">
        <w:t xml:space="preserve">requirement </w:t>
      </w:r>
      <w:r w:rsidR="004B4EE1">
        <w:t xml:space="preserve">for certificates of verification </w:t>
      </w:r>
      <w:r w:rsidRPr="005D4B23">
        <w:t>an unnecessary burden on most applicants. The amendment</w:t>
      </w:r>
      <w:r w:rsidR="00EB2D7B">
        <w:t>s made by this Part</w:t>
      </w:r>
      <w:r w:rsidRPr="005D4B23">
        <w:t xml:space="preserve"> will remove </w:t>
      </w:r>
      <w:r w:rsidR="00EB2D7B">
        <w:t xml:space="preserve">this </w:t>
      </w:r>
      <w:r w:rsidRPr="005D4B23">
        <w:t>unnecessary burden</w:t>
      </w:r>
      <w:r w:rsidR="00EB2D7B">
        <w:t xml:space="preserve">, </w:t>
      </w:r>
      <w:r w:rsidRPr="005D4B23">
        <w:t>better align</w:t>
      </w:r>
      <w:r w:rsidR="00EB2D7B">
        <w:t>ing</w:t>
      </w:r>
      <w:r w:rsidRPr="005D4B23">
        <w:t xml:space="preserve"> </w:t>
      </w:r>
      <w:r w:rsidR="00C711EF">
        <w:t xml:space="preserve">the practice of the Patent Office with the practice of </w:t>
      </w:r>
      <w:r w:rsidR="0099366D">
        <w:t xml:space="preserve">most </w:t>
      </w:r>
      <w:r w:rsidR="00C711EF">
        <w:t xml:space="preserve">major English-language patent offices. These </w:t>
      </w:r>
      <w:r w:rsidR="0099366D">
        <w:t xml:space="preserve">include </w:t>
      </w:r>
      <w:r w:rsidR="00C711EF">
        <w:t>the patent offices of Canada, the United Kingdom and the United States of America, and of the</w:t>
      </w:r>
      <w:r w:rsidRPr="005D4B23">
        <w:t xml:space="preserve"> </w:t>
      </w:r>
      <w:r w:rsidR="00C711EF">
        <w:t>European Patent Organisation.</w:t>
      </w:r>
    </w:p>
    <w:p w14:paraId="3327C5C8" w14:textId="03C1DFED" w:rsidR="00EB2D7B" w:rsidRDefault="00EB2D7B" w:rsidP="00EB2D7B">
      <w:r>
        <w:t xml:space="preserve">If the Commissioner of Patents has reasonable doubt about the accuracy of a translation, then the Commissioner should be able to require the person who filed </w:t>
      </w:r>
      <w:r w:rsidR="00F47D9D">
        <w:t>the translation</w:t>
      </w:r>
      <w:r>
        <w:t xml:space="preserve"> to </w:t>
      </w:r>
      <w:r w:rsidR="00F47D9D">
        <w:t>arrange for its accuracy to be checked</w:t>
      </w:r>
      <w:r>
        <w:t>. The amendments ma</w:t>
      </w:r>
      <w:r w:rsidR="00F47D9D">
        <w:t>de by this Part will ensure the Commissioner can require the person to either file a certificate of verification for the translation, or else file a corrected translation with its own certificate of verification. It is expected that the Commissioner would not need to exercise this new power routinely.</w:t>
      </w:r>
    </w:p>
    <w:p w14:paraId="1A62FF27" w14:textId="77777777" w:rsidR="00162FC8" w:rsidRPr="005D4B23" w:rsidRDefault="00162FC8" w:rsidP="00E17CA9">
      <w:pPr>
        <w:pStyle w:val="Heading4"/>
      </w:pPr>
      <w:r w:rsidRPr="005D4B23">
        <w:t>Patents Regulations 1991</w:t>
      </w:r>
    </w:p>
    <w:p w14:paraId="7423F784" w14:textId="632E720D" w:rsidR="00162FC8" w:rsidRPr="005D4B23" w:rsidRDefault="00162FC8" w:rsidP="00C93FD0">
      <w:pPr>
        <w:pStyle w:val="Heading5"/>
        <w:rPr>
          <w:u w:val="none"/>
        </w:rPr>
      </w:pPr>
      <w:r w:rsidRPr="005D4B23">
        <w:t xml:space="preserve">Items </w:t>
      </w:r>
      <w:r w:rsidR="006D4310">
        <w:t>1</w:t>
      </w:r>
      <w:r w:rsidRPr="005D4B23">
        <w:t xml:space="preserve">, </w:t>
      </w:r>
      <w:r w:rsidR="00E037E5">
        <w:t>2</w:t>
      </w:r>
      <w:r w:rsidRPr="005D4B23">
        <w:t xml:space="preserve">, </w:t>
      </w:r>
      <w:r w:rsidR="00E037E5">
        <w:t>5</w:t>
      </w:r>
      <w:r w:rsidRPr="005D4B23">
        <w:t xml:space="preserve">, </w:t>
      </w:r>
      <w:r w:rsidR="00E037E5">
        <w:t>14</w:t>
      </w:r>
      <w:r w:rsidRPr="005D4B23">
        <w:t xml:space="preserve">, </w:t>
      </w:r>
      <w:r w:rsidR="00E037E5">
        <w:t>15, 1</w:t>
      </w:r>
      <w:r w:rsidR="006D4310">
        <w:t>6</w:t>
      </w:r>
      <w:r w:rsidRPr="005D4B23">
        <w:t xml:space="preserve">, </w:t>
      </w:r>
      <w:r w:rsidR="00E037E5">
        <w:t>18</w:t>
      </w:r>
      <w:r w:rsidRPr="005D4B23">
        <w:t xml:space="preserve">: </w:t>
      </w:r>
      <w:r w:rsidR="0056595E">
        <w:t>Requirements for c</w:t>
      </w:r>
      <w:r w:rsidR="0056595E" w:rsidRPr="005D4B23">
        <w:t xml:space="preserve">ertificates </w:t>
      </w:r>
      <w:r w:rsidRPr="005D4B23">
        <w:t>of verification</w:t>
      </w:r>
    </w:p>
    <w:p w14:paraId="12DE60E1" w14:textId="7AB63905" w:rsidR="00296807" w:rsidRDefault="00162FC8" w:rsidP="00E17CA9">
      <w:r w:rsidRPr="005D4B23">
        <w:t>These items amend paragraph 2.7(b), subparagraph 3.1(2)(c)(iii), subparagraph 3.5A(3)(b)(iii), paragraphs 3.14D(1)(e), 3.23(1)(c) and 9.2(3)(b) and subparagraph 22.15(3)(b)(ii) so that certificate</w:t>
      </w:r>
      <w:r w:rsidR="00D60622">
        <w:t>s</w:t>
      </w:r>
      <w:r w:rsidRPr="005D4B23">
        <w:t xml:space="preserve"> of verification </w:t>
      </w:r>
      <w:r w:rsidR="00D60622">
        <w:t>are</w:t>
      </w:r>
      <w:r w:rsidR="00371F90">
        <w:t xml:space="preserve"> no longer required </w:t>
      </w:r>
      <w:r w:rsidRPr="005D4B23">
        <w:t xml:space="preserve">when providing </w:t>
      </w:r>
      <w:r w:rsidR="00296807">
        <w:t>translations</w:t>
      </w:r>
      <w:r w:rsidRPr="005D4B23">
        <w:t xml:space="preserve"> </w:t>
      </w:r>
      <w:r w:rsidR="00296807">
        <w:t xml:space="preserve">into English </w:t>
      </w:r>
      <w:r w:rsidRPr="005D4B23">
        <w:t xml:space="preserve">under </w:t>
      </w:r>
      <w:r w:rsidR="009124F6" w:rsidRPr="005D4B23">
        <w:t>th</w:t>
      </w:r>
      <w:r w:rsidR="009124F6">
        <w:t>o</w:t>
      </w:r>
      <w:r w:rsidR="009124F6" w:rsidRPr="005D4B23">
        <w:t xml:space="preserve">se </w:t>
      </w:r>
      <w:r w:rsidR="00C93FD0">
        <w:t>provisions</w:t>
      </w:r>
      <w:r w:rsidRPr="005D4B23">
        <w:t>.</w:t>
      </w:r>
      <w:r w:rsidR="00371F90">
        <w:t xml:space="preserve"> </w:t>
      </w:r>
    </w:p>
    <w:p w14:paraId="41C24732" w14:textId="5D0F5A15" w:rsidR="00865BAB" w:rsidRPr="005D4B23" w:rsidRDefault="00865BAB" w:rsidP="0099366D">
      <w:pPr>
        <w:pStyle w:val="Heading5"/>
        <w:keepNext/>
      </w:pPr>
      <w:r w:rsidRPr="005D4B23">
        <w:t xml:space="preserve">Items </w:t>
      </w:r>
      <w:r>
        <w:t>3</w:t>
      </w:r>
      <w:r w:rsidRPr="005D4B23">
        <w:t xml:space="preserve"> and </w:t>
      </w:r>
      <w:r>
        <w:t>4</w:t>
      </w:r>
      <w:r w:rsidRPr="005D4B23">
        <w:t xml:space="preserve">: </w:t>
      </w:r>
      <w:proofErr w:type="spellStart"/>
      <w:r>
        <w:t>S</w:t>
      </w:r>
      <w:r w:rsidRPr="005D4B23">
        <w:t>ubregulation</w:t>
      </w:r>
      <w:proofErr w:type="spellEnd"/>
      <w:r w:rsidRPr="005D4B23">
        <w:t xml:space="preserve"> 3.2C(2)</w:t>
      </w:r>
    </w:p>
    <w:p w14:paraId="55322FF7" w14:textId="5D564E1C" w:rsidR="00865BAB" w:rsidRPr="005D4B23" w:rsidRDefault="00865BAB" w:rsidP="00E17CA9">
      <w:r w:rsidRPr="005D4B23">
        <w:t xml:space="preserve">Item </w:t>
      </w:r>
      <w:r>
        <w:t>4</w:t>
      </w:r>
      <w:r w:rsidRPr="005D4B23">
        <w:t xml:space="preserve"> repeal</w:t>
      </w:r>
      <w:r>
        <w:t>s</w:t>
      </w:r>
      <w:r w:rsidRPr="005D4B23">
        <w:t xml:space="preserve"> paragraph 3.2C(2)(b) to remove the requirement for an applicant to provide a certificate of verification </w:t>
      </w:r>
      <w:r w:rsidR="00D60622">
        <w:t>of</w:t>
      </w:r>
      <w:r w:rsidR="00D60622" w:rsidRPr="005D4B23">
        <w:t xml:space="preserve"> </w:t>
      </w:r>
      <w:r w:rsidRPr="005D4B23">
        <w:t xml:space="preserve">the translation </w:t>
      </w:r>
      <w:r w:rsidR="00D60622">
        <w:t xml:space="preserve">into English </w:t>
      </w:r>
      <w:r w:rsidRPr="005D4B23">
        <w:t xml:space="preserve">of </w:t>
      </w:r>
      <w:r w:rsidR="00D60622">
        <w:t>a PCT application that has entered the national phase in Australia</w:t>
      </w:r>
      <w:r w:rsidRPr="005D4B23">
        <w:t xml:space="preserve">. Item </w:t>
      </w:r>
      <w:r>
        <w:t>3</w:t>
      </w:r>
      <w:r w:rsidRPr="005D4B23">
        <w:t xml:space="preserve"> makes a consequential amendment to paragraph 3.2C(</w:t>
      </w:r>
      <w:proofErr w:type="gramStart"/>
      <w:r w:rsidRPr="005D4B23">
        <w:t>2)(</w:t>
      </w:r>
      <w:proofErr w:type="gramEnd"/>
      <w:r w:rsidRPr="005D4B23">
        <w:t xml:space="preserve">aa). </w:t>
      </w:r>
    </w:p>
    <w:p w14:paraId="5A1DC913" w14:textId="52FF5DD0" w:rsidR="00162FC8" w:rsidRPr="005D4B23" w:rsidRDefault="00162FC8" w:rsidP="00E17CA9">
      <w:pPr>
        <w:pStyle w:val="Heading5"/>
      </w:pPr>
      <w:r w:rsidRPr="005D4B23">
        <w:t>I</w:t>
      </w:r>
      <w:r w:rsidRPr="005D4B23">
        <w:rPr>
          <w:rFonts w:eastAsia="Calibri"/>
          <w:szCs w:val="22"/>
        </w:rPr>
        <w:t xml:space="preserve">tem </w:t>
      </w:r>
      <w:r w:rsidR="00E037E5">
        <w:rPr>
          <w:rFonts w:eastAsia="Calibri"/>
          <w:szCs w:val="22"/>
        </w:rPr>
        <w:t>6</w:t>
      </w:r>
      <w:r w:rsidRPr="005D4B23">
        <w:rPr>
          <w:rFonts w:eastAsia="Calibri"/>
          <w:szCs w:val="22"/>
        </w:rPr>
        <w:t xml:space="preserve">: </w:t>
      </w:r>
      <w:r w:rsidRPr="005D4B23">
        <w:t>Subparagraph 3.5AB</w:t>
      </w:r>
      <w:r w:rsidR="00214B16">
        <w:t>(</w:t>
      </w:r>
      <w:r w:rsidRPr="005D4B23">
        <w:t>2</w:t>
      </w:r>
      <w:r w:rsidR="00214B16">
        <w:t>)</w:t>
      </w:r>
      <w:r w:rsidRPr="005D4B23">
        <w:t>(b)(ii)</w:t>
      </w:r>
    </w:p>
    <w:p w14:paraId="6A49CDCF" w14:textId="56E56E53" w:rsidR="0031590B" w:rsidRDefault="00162FC8" w:rsidP="007D6278">
      <w:r w:rsidRPr="005D4B23">
        <w:t xml:space="preserve">This item repeals </w:t>
      </w:r>
      <w:r w:rsidR="00082D5D">
        <w:t xml:space="preserve">and substitutes </w:t>
      </w:r>
      <w:r w:rsidRPr="005D4B23">
        <w:t xml:space="preserve">subparagraph 3.5AB2(b)(ii) </w:t>
      </w:r>
      <w:r w:rsidR="00082D5D">
        <w:t xml:space="preserve">to make it clear that </w:t>
      </w:r>
      <w:r w:rsidR="00B438A5">
        <w:t xml:space="preserve">an applicant doesn’t </w:t>
      </w:r>
      <w:r w:rsidR="004E5171">
        <w:t xml:space="preserve">have </w:t>
      </w:r>
      <w:r w:rsidR="00B438A5">
        <w:t xml:space="preserve">to file a translation into English of the specification of </w:t>
      </w:r>
      <w:r w:rsidR="003F468C">
        <w:t>a</w:t>
      </w:r>
      <w:r w:rsidR="00B438A5">
        <w:t xml:space="preserve"> PCT application</w:t>
      </w:r>
      <w:r w:rsidR="003F468C">
        <w:t xml:space="preserve"> that is not in English</w:t>
      </w:r>
      <w:r w:rsidR="00B438A5">
        <w:t xml:space="preserve">: if </w:t>
      </w:r>
      <w:r w:rsidR="00082D5D">
        <w:t xml:space="preserve">the </w:t>
      </w:r>
      <w:r w:rsidR="00472CAA">
        <w:t>Article 21 publication</w:t>
      </w:r>
      <w:r w:rsidR="003F468C">
        <w:t xml:space="preserve"> </w:t>
      </w:r>
      <w:r w:rsidR="00CA5F41">
        <w:t xml:space="preserve">of that PCT application </w:t>
      </w:r>
      <w:r w:rsidR="003F468C">
        <w:t xml:space="preserve">was </w:t>
      </w:r>
      <w:r w:rsidR="00472CAA">
        <w:t>in English</w:t>
      </w:r>
      <w:r w:rsidR="003A2EAE">
        <w:t>.</w:t>
      </w:r>
      <w:r w:rsidR="00C70762">
        <w:t xml:space="preserve"> </w:t>
      </w:r>
    </w:p>
    <w:p w14:paraId="7D5DDFAC" w14:textId="29BEE601" w:rsidR="00162FC8" w:rsidRPr="005D4B23" w:rsidRDefault="005522AE" w:rsidP="00F2028C">
      <w:r>
        <w:lastRenderedPageBreak/>
        <w:t xml:space="preserve">The </w:t>
      </w:r>
      <w:r w:rsidR="0031590B">
        <w:t>requirements for a translation into English of</w:t>
      </w:r>
      <w:r>
        <w:t xml:space="preserve"> a PCT application entering the national phase is governed by </w:t>
      </w:r>
      <w:r w:rsidR="0031590B">
        <w:t xml:space="preserve">existing </w:t>
      </w:r>
      <w:proofErr w:type="spellStart"/>
      <w:r w:rsidR="00A15F38">
        <w:t>sub</w:t>
      </w:r>
      <w:r w:rsidR="0031590B">
        <w:t>regulations</w:t>
      </w:r>
      <w:proofErr w:type="spellEnd"/>
      <w:r w:rsidR="0031590B">
        <w:t xml:space="preserve"> 3.5</w:t>
      </w:r>
      <w:proofErr w:type="gramStart"/>
      <w:r w:rsidR="0031590B">
        <w:t>AF(</w:t>
      </w:r>
      <w:proofErr w:type="gramEnd"/>
      <w:r w:rsidR="0031590B">
        <w:t xml:space="preserve">1)–(2) and by new </w:t>
      </w:r>
      <w:proofErr w:type="spellStart"/>
      <w:r w:rsidR="00A15F38">
        <w:t>sub</w:t>
      </w:r>
      <w:r w:rsidR="0031590B">
        <w:t>regulations</w:t>
      </w:r>
      <w:proofErr w:type="spellEnd"/>
      <w:r w:rsidR="0031590B">
        <w:t xml:space="preserve"> 3.5AF(2A)–(2B) to be inserted by item </w:t>
      </w:r>
      <w:r w:rsidR="00E037E5">
        <w:t>12</w:t>
      </w:r>
      <w:r w:rsidR="0031590B">
        <w:t>.</w:t>
      </w:r>
    </w:p>
    <w:p w14:paraId="155AB2E9" w14:textId="39F36B7C" w:rsidR="00162FC8" w:rsidRPr="005D4B23" w:rsidRDefault="00162FC8" w:rsidP="00E17CA9">
      <w:pPr>
        <w:pStyle w:val="Heading5"/>
      </w:pPr>
      <w:r w:rsidRPr="005D4B23">
        <w:t xml:space="preserve">Items </w:t>
      </w:r>
      <w:r w:rsidR="00E037E5">
        <w:t>7</w:t>
      </w:r>
      <w:r w:rsidR="00E037E5" w:rsidRPr="005D4B23">
        <w:t xml:space="preserve"> </w:t>
      </w:r>
      <w:r w:rsidRPr="005D4B23">
        <w:t xml:space="preserve">and </w:t>
      </w:r>
      <w:r w:rsidR="00E037E5">
        <w:t>9</w:t>
      </w:r>
      <w:r w:rsidRPr="005D4B23">
        <w:t xml:space="preserve">: </w:t>
      </w:r>
      <w:proofErr w:type="spellStart"/>
      <w:r w:rsidRPr="005D4B23">
        <w:t>Subregulation</w:t>
      </w:r>
      <w:proofErr w:type="spellEnd"/>
      <w:r w:rsidRPr="005D4B23">
        <w:t xml:space="preserve"> 3.5</w:t>
      </w:r>
      <w:proofErr w:type="gramStart"/>
      <w:r w:rsidRPr="005D4B23">
        <w:t>AC(</w:t>
      </w:r>
      <w:proofErr w:type="gramEnd"/>
      <w:r w:rsidRPr="005D4B23">
        <w:t xml:space="preserve">3) and </w:t>
      </w:r>
      <w:proofErr w:type="spellStart"/>
      <w:r w:rsidRPr="005D4B23">
        <w:t>subregulation</w:t>
      </w:r>
      <w:proofErr w:type="spellEnd"/>
      <w:r w:rsidRPr="005D4B23">
        <w:t xml:space="preserve"> 3.5AC(5) </w:t>
      </w:r>
    </w:p>
    <w:p w14:paraId="538E5E00" w14:textId="16B9AC2E" w:rsidR="00162FC8" w:rsidRPr="005D4B23" w:rsidRDefault="00E037E5" w:rsidP="00E17CA9">
      <w:r>
        <w:t>These items</w:t>
      </w:r>
      <w:r w:rsidR="00162FC8" w:rsidRPr="005D4B23">
        <w:t xml:space="preserve"> </w:t>
      </w:r>
      <w:r w:rsidR="00392C62">
        <w:t>amend</w:t>
      </w:r>
      <w:r w:rsidR="00162FC8" w:rsidRPr="005D4B23">
        <w:t xml:space="preserve"> </w:t>
      </w:r>
      <w:proofErr w:type="spellStart"/>
      <w:r w:rsidR="00162FC8" w:rsidRPr="005D4B23">
        <w:t>subregulations</w:t>
      </w:r>
      <w:proofErr w:type="spellEnd"/>
      <w:r w:rsidR="00162FC8" w:rsidRPr="005D4B23">
        <w:t xml:space="preserve"> 3.5</w:t>
      </w:r>
      <w:proofErr w:type="gramStart"/>
      <w:r w:rsidR="00162FC8" w:rsidRPr="005D4B23">
        <w:t>AC(</w:t>
      </w:r>
      <w:proofErr w:type="gramEnd"/>
      <w:r w:rsidR="00162FC8" w:rsidRPr="005D4B23">
        <w:t xml:space="preserve">3) and 3.5AC(5) </w:t>
      </w:r>
      <w:r w:rsidR="007E637C">
        <w:t>consequentially on</w:t>
      </w:r>
      <w:r w:rsidR="00392C62">
        <w:t xml:space="preserve"> the </w:t>
      </w:r>
      <w:r w:rsidR="007E637C">
        <w:t xml:space="preserve">new </w:t>
      </w:r>
      <w:proofErr w:type="spellStart"/>
      <w:r w:rsidR="007E637C">
        <w:t>subregulations</w:t>
      </w:r>
      <w:proofErr w:type="spellEnd"/>
      <w:r w:rsidR="007E637C">
        <w:t xml:space="preserve"> inserted</w:t>
      </w:r>
      <w:r w:rsidR="00162FC8" w:rsidRPr="005D4B23">
        <w:t xml:space="preserve"> by items </w:t>
      </w:r>
      <w:r>
        <w:t>8</w:t>
      </w:r>
      <w:r w:rsidRPr="005D4B23">
        <w:t xml:space="preserve"> </w:t>
      </w:r>
      <w:r w:rsidR="00162FC8" w:rsidRPr="005D4B23">
        <w:t xml:space="preserve">and </w:t>
      </w:r>
      <w:r>
        <w:t xml:space="preserve">10 </w:t>
      </w:r>
      <w:r w:rsidR="007E637C">
        <w:t>respectively</w:t>
      </w:r>
      <w:r w:rsidR="00162FC8" w:rsidRPr="005D4B23">
        <w:t>.</w:t>
      </w:r>
    </w:p>
    <w:p w14:paraId="17B8F92C" w14:textId="5AEB4C20" w:rsidR="00162FC8" w:rsidRPr="005D4B23" w:rsidRDefault="00162FC8" w:rsidP="00E17CA9">
      <w:pPr>
        <w:pStyle w:val="Heading5"/>
      </w:pPr>
      <w:r w:rsidRPr="005D4B23">
        <w:t>I</w:t>
      </w:r>
      <w:r w:rsidRPr="005D4B23">
        <w:rPr>
          <w:rFonts w:eastAsia="Calibri"/>
          <w:szCs w:val="22"/>
        </w:rPr>
        <w:t xml:space="preserve">tems </w:t>
      </w:r>
      <w:r w:rsidR="00E037E5">
        <w:rPr>
          <w:rFonts w:eastAsia="Calibri"/>
          <w:szCs w:val="22"/>
        </w:rPr>
        <w:t>8</w:t>
      </w:r>
      <w:r w:rsidR="00E037E5" w:rsidRPr="005D4B23">
        <w:rPr>
          <w:rFonts w:eastAsia="Calibri"/>
          <w:szCs w:val="22"/>
        </w:rPr>
        <w:t xml:space="preserve"> </w:t>
      </w:r>
      <w:r w:rsidRPr="005D4B23">
        <w:rPr>
          <w:rFonts w:eastAsia="Calibri"/>
          <w:szCs w:val="22"/>
        </w:rPr>
        <w:t xml:space="preserve">and </w:t>
      </w:r>
      <w:r w:rsidR="00E037E5">
        <w:rPr>
          <w:rFonts w:eastAsia="Calibri"/>
          <w:szCs w:val="22"/>
        </w:rPr>
        <w:t>10</w:t>
      </w:r>
      <w:r w:rsidRPr="005D4B23">
        <w:rPr>
          <w:rFonts w:eastAsia="Calibri"/>
          <w:szCs w:val="22"/>
        </w:rPr>
        <w:t xml:space="preserve">: </w:t>
      </w:r>
      <w:proofErr w:type="spellStart"/>
      <w:r w:rsidRPr="005D4B23">
        <w:t>Subregulations</w:t>
      </w:r>
      <w:proofErr w:type="spellEnd"/>
      <w:r w:rsidRPr="005D4B23">
        <w:t xml:space="preserve"> 3.5AC(3</w:t>
      </w:r>
      <w:r w:rsidR="00E86A1D" w:rsidRPr="005D4B23">
        <w:t>A</w:t>
      </w:r>
      <w:r w:rsidRPr="005D4B23">
        <w:t>) and 3.5AC(5</w:t>
      </w:r>
      <w:r w:rsidR="00E86A1D" w:rsidRPr="005D4B23">
        <w:t>A</w:t>
      </w:r>
      <w:r w:rsidRPr="005D4B23">
        <w:t>)</w:t>
      </w:r>
    </w:p>
    <w:p w14:paraId="5A8CA1E1" w14:textId="56812FA0" w:rsidR="007D6278" w:rsidRDefault="00E037E5" w:rsidP="007D6278">
      <w:r>
        <w:t>These items</w:t>
      </w:r>
      <w:r w:rsidR="007D6278" w:rsidRPr="005D4B23">
        <w:t xml:space="preserve"> insert new </w:t>
      </w:r>
      <w:proofErr w:type="spellStart"/>
      <w:r w:rsidR="007D6278" w:rsidRPr="005D4B23">
        <w:t>subregulations</w:t>
      </w:r>
      <w:proofErr w:type="spellEnd"/>
      <w:r w:rsidR="007D6278" w:rsidRPr="005D4B23">
        <w:t xml:space="preserve"> 3.5AC(3</w:t>
      </w:r>
      <w:r w:rsidR="007D6278">
        <w:t>A</w:t>
      </w:r>
      <w:r w:rsidR="007D6278" w:rsidRPr="005D4B23">
        <w:t>) and 3.5AC(5</w:t>
      </w:r>
      <w:r w:rsidR="007D6278">
        <w:t>A</w:t>
      </w:r>
      <w:r w:rsidR="007D6278" w:rsidRPr="005D4B23">
        <w:t>) of the Patents Regulations</w:t>
      </w:r>
      <w:r w:rsidR="007D6278">
        <w:t xml:space="preserve"> </w:t>
      </w:r>
      <w:r w:rsidR="007D6278" w:rsidRPr="005D4B23">
        <w:t xml:space="preserve">to clarify the circumstances </w:t>
      </w:r>
      <w:r w:rsidR="007D6278">
        <w:t xml:space="preserve">in </w:t>
      </w:r>
      <w:r w:rsidR="007D6278" w:rsidRPr="005D4B23">
        <w:t xml:space="preserve">which Article 19 or 34 </w:t>
      </w:r>
      <w:r w:rsidR="007D6278">
        <w:t xml:space="preserve">amendments of </w:t>
      </w:r>
      <w:r w:rsidR="009634FD">
        <w:t xml:space="preserve">the specification of </w:t>
      </w:r>
      <w:r w:rsidR="007D6278" w:rsidRPr="005D4B23">
        <w:t xml:space="preserve">a PCT application </w:t>
      </w:r>
      <w:r w:rsidR="007D6278">
        <w:t xml:space="preserve">not in English, respectively, have effect </w:t>
      </w:r>
      <w:r w:rsidR="009634FD">
        <w:t xml:space="preserve">when the PCT application enters the national phase </w:t>
      </w:r>
      <w:r w:rsidR="007D6278">
        <w:t xml:space="preserve">in Australia. </w:t>
      </w:r>
    </w:p>
    <w:p w14:paraId="602B1698" w14:textId="350CE7A4" w:rsidR="007D6278" w:rsidRDefault="007D6278" w:rsidP="007D6278">
      <w:r>
        <w:t xml:space="preserve">New </w:t>
      </w:r>
      <w:proofErr w:type="spellStart"/>
      <w:r>
        <w:t>subregulations</w:t>
      </w:r>
      <w:proofErr w:type="spellEnd"/>
      <w:r>
        <w:t xml:space="preserve"> 3.5AF(2A)–(2B) inserted by item </w:t>
      </w:r>
      <w:r w:rsidR="00E037E5">
        <w:t xml:space="preserve">12 </w:t>
      </w:r>
      <w:r>
        <w:t xml:space="preserve">require the applicant to file </w:t>
      </w:r>
      <w:r w:rsidRPr="005D4B23">
        <w:t xml:space="preserve">a translation </w:t>
      </w:r>
      <w:r>
        <w:t xml:space="preserve">into English </w:t>
      </w:r>
      <w:r w:rsidRPr="005D4B23">
        <w:t xml:space="preserve">of the specification </w:t>
      </w:r>
      <w:r>
        <w:t xml:space="preserve">of the PCT application </w:t>
      </w:r>
      <w:r w:rsidRPr="005D4B23">
        <w:t>as originally filed</w:t>
      </w:r>
      <w:r>
        <w:t xml:space="preserve"> at the receiving Office, or as subsequently rectified under Rule 91 of the PCT. This is for the PCT application to enter the national phase in Australia.</w:t>
      </w:r>
      <w:r w:rsidR="00AD0D0C">
        <w:t xml:space="preserve"> </w:t>
      </w:r>
      <w:r w:rsidR="00E037E5">
        <w:t xml:space="preserve">Existing </w:t>
      </w:r>
      <w:proofErr w:type="spellStart"/>
      <w:r w:rsidR="00E037E5">
        <w:t>s</w:t>
      </w:r>
      <w:r w:rsidR="00AD0D0C">
        <w:t>ubregulation</w:t>
      </w:r>
      <w:proofErr w:type="spellEnd"/>
      <w:r w:rsidR="00AD0D0C">
        <w:t xml:space="preserve"> 3.5</w:t>
      </w:r>
      <w:proofErr w:type="gramStart"/>
      <w:r w:rsidR="00AD0D0C">
        <w:t>AC(</w:t>
      </w:r>
      <w:proofErr w:type="gramEnd"/>
      <w:r w:rsidR="00AD0D0C">
        <w:t xml:space="preserve">2) ensures that on the day that translation is filed, its specification replaces the </w:t>
      </w:r>
      <w:r w:rsidR="00AD0D0C" w:rsidRPr="005D4B23">
        <w:t xml:space="preserve">specification </w:t>
      </w:r>
      <w:r w:rsidR="00AD0D0C">
        <w:t xml:space="preserve">of the PCT application not in English. </w:t>
      </w:r>
    </w:p>
    <w:p w14:paraId="7ADC5A48" w14:textId="78133D3E" w:rsidR="00396406" w:rsidRDefault="00AD0D0C" w:rsidP="007D6278">
      <w:r>
        <w:t xml:space="preserve">New </w:t>
      </w:r>
      <w:proofErr w:type="spellStart"/>
      <w:r>
        <w:t>subregulations</w:t>
      </w:r>
      <w:proofErr w:type="spellEnd"/>
      <w:r>
        <w:t xml:space="preserve"> 3.5AC(3A) and 3.5AC(5A) will ensure that </w:t>
      </w:r>
      <w:r w:rsidR="007D6278">
        <w:t xml:space="preserve">any </w:t>
      </w:r>
      <w:r w:rsidR="007D6278" w:rsidRPr="005D4B23">
        <w:t xml:space="preserve">Article 19 or Article 34 </w:t>
      </w:r>
      <w:r w:rsidR="007D6278">
        <w:t xml:space="preserve">amendment of that PCT application </w:t>
      </w:r>
      <w:r>
        <w:t xml:space="preserve">not in English will only </w:t>
      </w:r>
      <w:r w:rsidR="007D6278">
        <w:t>have effect in Australia</w:t>
      </w:r>
      <w:r w:rsidR="00C50E83">
        <w:t xml:space="preserve"> — </w:t>
      </w:r>
      <w:r>
        <w:t xml:space="preserve">if </w:t>
      </w:r>
      <w:r w:rsidR="007D6278">
        <w:t>the applicant file</w:t>
      </w:r>
      <w:r>
        <w:t>s</w:t>
      </w:r>
      <w:r w:rsidR="007D6278">
        <w:t xml:space="preserve"> a translation into English of the amendment</w:t>
      </w:r>
      <w:r w:rsidR="00854863">
        <w:t xml:space="preserve"> </w:t>
      </w:r>
      <w:r w:rsidR="00C50E83">
        <w:t>on the same day that</w:t>
      </w:r>
      <w:r w:rsidR="00DF1625">
        <w:t xml:space="preserve"> </w:t>
      </w:r>
      <w:r w:rsidR="00396406">
        <w:t xml:space="preserve">the applicant files the </w:t>
      </w:r>
      <w:r>
        <w:t xml:space="preserve">translated </w:t>
      </w:r>
      <w:r w:rsidR="00396406" w:rsidRPr="005D4B23">
        <w:t xml:space="preserve">specification </w:t>
      </w:r>
      <w:r w:rsidR="00396406">
        <w:t xml:space="preserve">of the PCT application. </w:t>
      </w:r>
      <w:r w:rsidR="00DF1625">
        <w:t>Nevertheless, once the PCT application is in the national phase, the applicant can request amendment of its specification under the Australian legislation (e.g. under section 104 of the Patents Act).</w:t>
      </w:r>
    </w:p>
    <w:p w14:paraId="4C64C41F" w14:textId="21A2211D" w:rsidR="00276B1F" w:rsidRDefault="00276B1F" w:rsidP="007D6278">
      <w:r>
        <w:t xml:space="preserve">The new </w:t>
      </w:r>
      <w:proofErr w:type="spellStart"/>
      <w:r>
        <w:t>subregulations</w:t>
      </w:r>
      <w:proofErr w:type="spellEnd"/>
      <w:r>
        <w:t xml:space="preserve"> will not apply to an </w:t>
      </w:r>
      <w:r w:rsidRPr="005D4B23">
        <w:t xml:space="preserve">Article 19 or </w:t>
      </w:r>
      <w:r w:rsidR="0079420F">
        <w:t xml:space="preserve">to an </w:t>
      </w:r>
      <w:r w:rsidRPr="005D4B23">
        <w:t xml:space="preserve">Article 34 </w:t>
      </w:r>
      <w:r>
        <w:t>amendment</w:t>
      </w:r>
      <w:r w:rsidR="0079420F">
        <w:t>,</w:t>
      </w:r>
      <w:r>
        <w:t xml:space="preserve"> if the International Bureau has already published </w:t>
      </w:r>
      <w:r w:rsidR="0079420F">
        <w:t xml:space="preserve">a translation of </w:t>
      </w:r>
      <w:r>
        <w:t xml:space="preserve">the </w:t>
      </w:r>
      <w:r w:rsidR="0079420F">
        <w:t xml:space="preserve">amendment into English as part of the </w:t>
      </w:r>
      <w:r>
        <w:t>Article 21 publication</w:t>
      </w:r>
      <w:r w:rsidR="0079420F">
        <w:t xml:space="preserve"> of the PCT application</w:t>
      </w:r>
      <w:r>
        <w:t xml:space="preserve">. </w:t>
      </w:r>
      <w:r w:rsidR="0079420F">
        <w:t xml:space="preserve">In </w:t>
      </w:r>
      <w:r w:rsidR="002237ED">
        <w:t>that</w:t>
      </w:r>
      <w:r w:rsidR="0079420F">
        <w:t xml:space="preserve"> case, </w:t>
      </w:r>
      <w:r w:rsidR="00E037E5">
        <w:t xml:space="preserve">existing </w:t>
      </w:r>
      <w:proofErr w:type="spellStart"/>
      <w:r w:rsidR="0079420F">
        <w:t>subregulations</w:t>
      </w:r>
      <w:proofErr w:type="spellEnd"/>
      <w:r w:rsidR="0079420F">
        <w:t xml:space="preserve"> 3.5</w:t>
      </w:r>
      <w:proofErr w:type="gramStart"/>
      <w:r w:rsidR="0079420F">
        <w:t>AC(</w:t>
      </w:r>
      <w:proofErr w:type="gramEnd"/>
      <w:r w:rsidR="0079420F">
        <w:t xml:space="preserve">2), 3.5AF(1)–(2) and 3.5AF(4) ensure that the </w:t>
      </w:r>
      <w:r w:rsidR="00390326">
        <w:t xml:space="preserve">translation of the </w:t>
      </w:r>
      <w:r w:rsidR="0079420F">
        <w:t>amendment is given effect on the date of the Article 21 publication.</w:t>
      </w:r>
    </w:p>
    <w:p w14:paraId="2DC1CE63" w14:textId="152179F3" w:rsidR="00162FC8" w:rsidRPr="005D4B23" w:rsidRDefault="00162FC8" w:rsidP="00614EB3">
      <w:pPr>
        <w:pStyle w:val="Heading5"/>
        <w:keepNext/>
      </w:pPr>
      <w:r w:rsidRPr="005D4B23">
        <w:t>I</w:t>
      </w:r>
      <w:r w:rsidRPr="005D4B23">
        <w:rPr>
          <w:rFonts w:eastAsia="Calibri"/>
          <w:szCs w:val="22"/>
        </w:rPr>
        <w:t xml:space="preserve">tem </w:t>
      </w:r>
      <w:r w:rsidR="00DD6D6B">
        <w:rPr>
          <w:rFonts w:eastAsia="Calibri"/>
          <w:szCs w:val="22"/>
        </w:rPr>
        <w:t>11</w:t>
      </w:r>
      <w:r w:rsidRPr="005D4B23">
        <w:rPr>
          <w:rFonts w:eastAsia="Calibri"/>
          <w:szCs w:val="22"/>
        </w:rPr>
        <w:t xml:space="preserve">: </w:t>
      </w:r>
      <w:proofErr w:type="spellStart"/>
      <w:r w:rsidR="002237ED" w:rsidRPr="005D4B23">
        <w:t>Subregulations</w:t>
      </w:r>
      <w:proofErr w:type="spellEnd"/>
      <w:r w:rsidR="002237ED" w:rsidRPr="005D4B23">
        <w:t xml:space="preserve"> 3.5</w:t>
      </w:r>
      <w:proofErr w:type="gramStart"/>
      <w:r w:rsidR="002237ED" w:rsidRPr="005D4B23">
        <w:t>AC(</w:t>
      </w:r>
      <w:proofErr w:type="gramEnd"/>
      <w:r w:rsidR="002237ED">
        <w:t>8</w:t>
      </w:r>
      <w:r w:rsidR="002237ED" w:rsidRPr="005D4B23">
        <w:t>)</w:t>
      </w:r>
      <w:r w:rsidR="00B970E5">
        <w:t>–</w:t>
      </w:r>
      <w:r w:rsidR="002237ED">
        <w:t>(12)</w:t>
      </w:r>
    </w:p>
    <w:p w14:paraId="7F17705F" w14:textId="5BDDBCEC" w:rsidR="00162FC8" w:rsidRPr="005D4B23" w:rsidRDefault="00DD6D6B" w:rsidP="00E17CA9">
      <w:r>
        <w:t>This item</w:t>
      </w:r>
      <w:r w:rsidR="00162FC8" w:rsidRPr="005D4B23">
        <w:t xml:space="preserve"> </w:t>
      </w:r>
      <w:r w:rsidR="002237ED">
        <w:t xml:space="preserve">inserts new </w:t>
      </w:r>
      <w:proofErr w:type="spellStart"/>
      <w:r w:rsidR="002237ED">
        <w:t>sub</w:t>
      </w:r>
      <w:r w:rsidR="0093131C">
        <w:t>regulation</w:t>
      </w:r>
      <w:r w:rsidR="002237ED">
        <w:t>s</w:t>
      </w:r>
      <w:proofErr w:type="spellEnd"/>
      <w:r w:rsidR="00162FC8" w:rsidRPr="005D4B23">
        <w:t xml:space="preserve"> 3.5</w:t>
      </w:r>
      <w:proofErr w:type="gramStart"/>
      <w:r w:rsidR="00162FC8" w:rsidRPr="005D4B23">
        <w:t>AC</w:t>
      </w:r>
      <w:r w:rsidR="002237ED">
        <w:t>(</w:t>
      </w:r>
      <w:proofErr w:type="gramEnd"/>
      <w:r w:rsidR="002237ED">
        <w:t>8)–(12) into</w:t>
      </w:r>
      <w:r w:rsidR="00162FC8" w:rsidRPr="005D4B23">
        <w:t xml:space="preserve"> the Patents Regulations to </w:t>
      </w:r>
      <w:r w:rsidR="007D1EA7">
        <w:t xml:space="preserve">allow </w:t>
      </w:r>
      <w:r w:rsidR="00162FC8" w:rsidRPr="005D4B23">
        <w:t>translation</w:t>
      </w:r>
      <w:r w:rsidR="007D1EA7">
        <w:t>s</w:t>
      </w:r>
      <w:r w:rsidR="00162FC8" w:rsidRPr="005D4B23">
        <w:t xml:space="preserve"> of Article 19 or Article 34 amendment</w:t>
      </w:r>
      <w:r w:rsidR="007D1EA7">
        <w:t>s</w:t>
      </w:r>
      <w:r w:rsidR="00162FC8" w:rsidRPr="005D4B23">
        <w:t xml:space="preserve"> </w:t>
      </w:r>
      <w:r w:rsidR="00E86A1D" w:rsidRPr="005D4B23">
        <w:t xml:space="preserve">filed </w:t>
      </w:r>
      <w:r w:rsidR="007D1EA7" w:rsidRPr="005D4B23">
        <w:t xml:space="preserve">under </w:t>
      </w:r>
      <w:r w:rsidR="007D1EA7">
        <w:t xml:space="preserve">new </w:t>
      </w:r>
      <w:proofErr w:type="spellStart"/>
      <w:r w:rsidR="007D1EA7" w:rsidRPr="005D4B23">
        <w:t>subregulations</w:t>
      </w:r>
      <w:proofErr w:type="spellEnd"/>
      <w:r w:rsidR="007D1EA7" w:rsidRPr="005D4B23">
        <w:t xml:space="preserve"> 3.5AC(3A) or 3.5AC(5A)</w:t>
      </w:r>
      <w:r w:rsidR="007D1EA7">
        <w:t xml:space="preserve"> </w:t>
      </w:r>
      <w:r w:rsidR="00E86A1D" w:rsidRPr="005D4B23">
        <w:t xml:space="preserve">to </w:t>
      </w:r>
      <w:r w:rsidR="007D1EA7">
        <w:t>be corrected or verified as needed</w:t>
      </w:r>
      <w:r w:rsidR="00162FC8" w:rsidRPr="005D4B23">
        <w:t xml:space="preserve">. </w:t>
      </w:r>
    </w:p>
    <w:p w14:paraId="413EE67F" w14:textId="27C7582C" w:rsidR="00162FC8" w:rsidRPr="005D4B23" w:rsidRDefault="00914CEA" w:rsidP="00E17CA9">
      <w:r>
        <w:t xml:space="preserve">New </w:t>
      </w:r>
      <w:proofErr w:type="spellStart"/>
      <w:r>
        <w:t>s</w:t>
      </w:r>
      <w:r w:rsidR="00162FC8" w:rsidRPr="005D4B23">
        <w:t>ubregulation</w:t>
      </w:r>
      <w:proofErr w:type="spellEnd"/>
      <w:r w:rsidR="00162FC8" w:rsidRPr="005D4B23">
        <w:t xml:space="preserve"> 3.5</w:t>
      </w:r>
      <w:proofErr w:type="gramStart"/>
      <w:r w:rsidR="00162FC8" w:rsidRPr="005D4B23">
        <w:t>AC(</w:t>
      </w:r>
      <w:proofErr w:type="gramEnd"/>
      <w:r w:rsidR="00162FC8" w:rsidRPr="005D4B23">
        <w:t xml:space="preserve">8) </w:t>
      </w:r>
      <w:r w:rsidR="007D1EA7">
        <w:t>permits the</w:t>
      </w:r>
      <w:r w:rsidR="00162FC8" w:rsidRPr="005D4B23">
        <w:t xml:space="preserve"> applicant </w:t>
      </w:r>
      <w:r w:rsidR="007D1EA7">
        <w:t xml:space="preserve">for a PCT application, on their own initiative, to correct an error or omission in the </w:t>
      </w:r>
      <w:r w:rsidR="00162FC8" w:rsidRPr="005D4B23">
        <w:t xml:space="preserve">translation of an Article 19 or Article 34 amendment filed </w:t>
      </w:r>
      <w:r w:rsidR="007D1EA7" w:rsidRPr="005D4B23">
        <w:t xml:space="preserve">under </w:t>
      </w:r>
      <w:r w:rsidR="007D1EA7">
        <w:t xml:space="preserve">new </w:t>
      </w:r>
      <w:proofErr w:type="spellStart"/>
      <w:r w:rsidR="007D1EA7" w:rsidRPr="005D4B23">
        <w:t>subregulations</w:t>
      </w:r>
      <w:proofErr w:type="spellEnd"/>
      <w:r w:rsidR="007D1EA7" w:rsidRPr="005D4B23">
        <w:t xml:space="preserve"> 3.5AC(3A) or 3.5AC(5A)</w:t>
      </w:r>
      <w:r w:rsidR="007D1EA7">
        <w:t xml:space="preserve"> respectively</w:t>
      </w:r>
      <w:r w:rsidR="00162FC8" w:rsidRPr="005D4B23">
        <w:t>.</w:t>
      </w:r>
      <w:r w:rsidR="007D1EA7">
        <w:t xml:space="preserve"> To do this, the applicant files a corrected translation of the amendment. As the applicant is taking the initiative to make the correction, the applicant is not required to file a certificate of verification as well. </w:t>
      </w:r>
      <w:r w:rsidR="00C54E0B">
        <w:t xml:space="preserve">If the Commissioner has concerns about the accuracy of the corrected translation, the Commissioner can exercise the power under new </w:t>
      </w:r>
      <w:proofErr w:type="spellStart"/>
      <w:r w:rsidR="00C54E0B">
        <w:t>s</w:t>
      </w:r>
      <w:r w:rsidR="00C54E0B" w:rsidRPr="005D4B23">
        <w:t>ubregulations</w:t>
      </w:r>
      <w:proofErr w:type="spellEnd"/>
      <w:r w:rsidR="00C54E0B" w:rsidRPr="005D4B23">
        <w:t xml:space="preserve"> 3.5</w:t>
      </w:r>
      <w:proofErr w:type="gramStart"/>
      <w:r w:rsidR="00C54E0B" w:rsidRPr="005D4B23">
        <w:t>AC(</w:t>
      </w:r>
      <w:proofErr w:type="gramEnd"/>
      <w:r w:rsidR="00C54E0B" w:rsidRPr="005D4B23">
        <w:t>9)</w:t>
      </w:r>
      <w:r w:rsidR="00C54E0B">
        <w:t>–</w:t>
      </w:r>
      <w:r w:rsidR="00C54E0B" w:rsidRPr="005D4B23">
        <w:t>(11)</w:t>
      </w:r>
      <w:r w:rsidR="00C54E0B">
        <w:t xml:space="preserve"> to require the applicant to correct or verify it.</w:t>
      </w:r>
    </w:p>
    <w:p w14:paraId="6BCF0F08" w14:textId="60C652D0" w:rsidR="007D1EA7" w:rsidRDefault="00914CEA" w:rsidP="00614EB3">
      <w:pPr>
        <w:spacing w:after="120"/>
      </w:pPr>
      <w:r>
        <w:lastRenderedPageBreak/>
        <w:t xml:space="preserve">New </w:t>
      </w:r>
      <w:proofErr w:type="spellStart"/>
      <w:r>
        <w:t>s</w:t>
      </w:r>
      <w:r w:rsidR="00162FC8" w:rsidRPr="005D4B23">
        <w:t>ubregulations</w:t>
      </w:r>
      <w:proofErr w:type="spellEnd"/>
      <w:r w:rsidR="00162FC8" w:rsidRPr="005D4B23">
        <w:t xml:space="preserve"> 3.5</w:t>
      </w:r>
      <w:proofErr w:type="gramStart"/>
      <w:r w:rsidR="00162FC8" w:rsidRPr="005D4B23">
        <w:t>AC(</w:t>
      </w:r>
      <w:proofErr w:type="gramEnd"/>
      <w:r w:rsidR="00162FC8" w:rsidRPr="005D4B23">
        <w:t>9), 3.5AC(10), and 3.5AC(11) enable the Commissioner to requ</w:t>
      </w:r>
      <w:r w:rsidR="00016423">
        <w:t>ire</w:t>
      </w:r>
      <w:r w:rsidR="00162FC8" w:rsidRPr="005D4B23">
        <w:t xml:space="preserve"> </w:t>
      </w:r>
      <w:r w:rsidR="007D1EA7">
        <w:t xml:space="preserve">the applicant to </w:t>
      </w:r>
      <w:r w:rsidR="00162FC8" w:rsidRPr="005D4B23">
        <w:t xml:space="preserve">correct </w:t>
      </w:r>
      <w:r w:rsidR="007D1EA7">
        <w:t xml:space="preserve">or verify </w:t>
      </w:r>
      <w:r>
        <w:t>the</w:t>
      </w:r>
      <w:r w:rsidR="007D1EA7">
        <w:t xml:space="preserve"> </w:t>
      </w:r>
      <w:r w:rsidR="00162FC8" w:rsidRPr="005D4B23">
        <w:t xml:space="preserve">translation of </w:t>
      </w:r>
      <w:r>
        <w:t>an</w:t>
      </w:r>
      <w:r w:rsidRPr="005D4B23">
        <w:t xml:space="preserve"> </w:t>
      </w:r>
      <w:r w:rsidR="00162FC8" w:rsidRPr="005D4B23">
        <w:t xml:space="preserve">amendment </w:t>
      </w:r>
      <w:r w:rsidR="00C54E0B">
        <w:t>mentioned in</w:t>
      </w:r>
      <w:r w:rsidR="007D1EA7" w:rsidRPr="005D4B23">
        <w:t xml:space="preserve"> </w:t>
      </w:r>
      <w:r w:rsidR="007D1EA7">
        <w:t xml:space="preserve">new </w:t>
      </w:r>
      <w:proofErr w:type="spellStart"/>
      <w:r w:rsidR="007D1EA7" w:rsidRPr="005D4B23">
        <w:t>subregulations</w:t>
      </w:r>
      <w:proofErr w:type="spellEnd"/>
      <w:r w:rsidR="007D1EA7" w:rsidRPr="005D4B23">
        <w:t xml:space="preserve"> 3.5AC(3A) or 3.5AC(5A)</w:t>
      </w:r>
      <w:r w:rsidR="00854863">
        <w:t xml:space="preserve">. </w:t>
      </w:r>
      <w:r w:rsidR="007D1EA7">
        <w:t>The Commissioner can exercise this power</w:t>
      </w:r>
      <w:r>
        <w:t xml:space="preserve">, </w:t>
      </w:r>
      <w:r w:rsidR="00162FC8" w:rsidRPr="005D4B23">
        <w:t xml:space="preserve">if the Commissioner </w:t>
      </w:r>
      <w:r w:rsidR="00AD4C39">
        <w:t xml:space="preserve">reasonably believes that the translation does not accurately reflect the contents of the </w:t>
      </w:r>
      <w:r w:rsidR="00016423">
        <w:t>amendment</w:t>
      </w:r>
      <w:r w:rsidR="00162FC8" w:rsidRPr="005D4B23">
        <w:t xml:space="preserve">. </w:t>
      </w:r>
      <w:r w:rsidR="00AD4C39">
        <w:t xml:space="preserve">The applicant </w:t>
      </w:r>
      <w:r w:rsidR="007D1EA7">
        <w:t xml:space="preserve">must respond to the Commissioner’s notification in one of two ways: </w:t>
      </w:r>
    </w:p>
    <w:p w14:paraId="1118B1BE" w14:textId="53C1FCE7" w:rsidR="007D1EA7" w:rsidRDefault="00AD4C39" w:rsidP="00614EB3">
      <w:pPr>
        <w:pStyle w:val="ListParagraph"/>
        <w:numPr>
          <w:ilvl w:val="0"/>
          <w:numId w:val="39"/>
        </w:numPr>
        <w:spacing w:after="120"/>
      </w:pPr>
      <w:r>
        <w:t xml:space="preserve">by filing a corrected translation </w:t>
      </w:r>
      <w:r w:rsidR="007D1EA7">
        <w:t xml:space="preserve">of the amendment </w:t>
      </w:r>
      <w:r>
        <w:t xml:space="preserve">and </w:t>
      </w:r>
      <w:r w:rsidR="007D1EA7">
        <w:t xml:space="preserve">a </w:t>
      </w:r>
      <w:r>
        <w:t>certificate of verification</w:t>
      </w:r>
      <w:r w:rsidR="007D1EA7">
        <w:t xml:space="preserve"> for the corrected translation</w:t>
      </w:r>
      <w:r w:rsidR="00D0268E">
        <w:t>; or</w:t>
      </w:r>
    </w:p>
    <w:p w14:paraId="41AAC87E" w14:textId="2598DA73" w:rsidR="007D1EA7" w:rsidRDefault="00AD4C39" w:rsidP="00614EB3">
      <w:pPr>
        <w:pStyle w:val="ListParagraph"/>
        <w:numPr>
          <w:ilvl w:val="0"/>
          <w:numId w:val="39"/>
        </w:numPr>
        <w:spacing w:after="120"/>
      </w:pPr>
      <w:r>
        <w:t xml:space="preserve">certifying that the translation is correct by filing a certificate of verification </w:t>
      </w:r>
      <w:r w:rsidR="007D1EA7">
        <w:t>for it</w:t>
      </w:r>
      <w:r>
        <w:t>.</w:t>
      </w:r>
    </w:p>
    <w:p w14:paraId="251D64E3" w14:textId="56418809" w:rsidR="00162FC8" w:rsidRDefault="00162FC8">
      <w:r w:rsidRPr="005D4B23">
        <w:t xml:space="preserve">The applicant must </w:t>
      </w:r>
      <w:r w:rsidR="0015798C">
        <w:t xml:space="preserve">comply with the Commissioner’s notification </w:t>
      </w:r>
      <w:r w:rsidRPr="005D4B23">
        <w:t>within two month</w:t>
      </w:r>
      <w:r w:rsidR="00914CEA">
        <w:t>s</w:t>
      </w:r>
      <w:r w:rsidRPr="005D4B23">
        <w:t xml:space="preserve"> </w:t>
      </w:r>
      <w:r w:rsidR="00914CEA">
        <w:t xml:space="preserve">after </w:t>
      </w:r>
      <w:r w:rsidR="0015798C">
        <w:t>it</w:t>
      </w:r>
      <w:r w:rsidR="00914CEA">
        <w:t xml:space="preserve"> is given,</w:t>
      </w:r>
      <w:r w:rsidRPr="005D4B23">
        <w:t xml:space="preserve"> </w:t>
      </w:r>
      <w:r w:rsidR="00914CEA">
        <w:t>or else</w:t>
      </w:r>
      <w:r w:rsidR="00914CEA" w:rsidRPr="005D4B23">
        <w:t xml:space="preserve"> </w:t>
      </w:r>
      <w:r w:rsidRPr="005D4B23">
        <w:t xml:space="preserve">the </w:t>
      </w:r>
      <w:r w:rsidR="00914CEA">
        <w:t xml:space="preserve">PCT </w:t>
      </w:r>
      <w:r w:rsidRPr="005D4B23">
        <w:t>application lapse</w:t>
      </w:r>
      <w:r w:rsidR="00914CEA">
        <w:t>s</w:t>
      </w:r>
      <w:r w:rsidRPr="005D4B23">
        <w:t>.</w:t>
      </w:r>
      <w:r w:rsidR="00AD4C39">
        <w:t xml:space="preserve"> </w:t>
      </w:r>
    </w:p>
    <w:p w14:paraId="780BF02A" w14:textId="45DE3B80" w:rsidR="00185883" w:rsidRDefault="00E037E5" w:rsidP="00E17CA9">
      <w:r>
        <w:t xml:space="preserve">New </w:t>
      </w:r>
      <w:proofErr w:type="spellStart"/>
      <w:r>
        <w:t>s</w:t>
      </w:r>
      <w:r w:rsidR="00162FC8" w:rsidRPr="005D4B23">
        <w:t>ubregulation</w:t>
      </w:r>
      <w:proofErr w:type="spellEnd"/>
      <w:r w:rsidR="00162FC8" w:rsidRPr="005D4B23">
        <w:t xml:space="preserve"> 3.5</w:t>
      </w:r>
      <w:proofErr w:type="gramStart"/>
      <w:r w:rsidR="00162FC8" w:rsidRPr="005D4B23">
        <w:t>AC(</w:t>
      </w:r>
      <w:proofErr w:type="gramEnd"/>
      <w:r w:rsidR="00162FC8" w:rsidRPr="005D4B23">
        <w:t xml:space="preserve">12) provides that </w:t>
      </w:r>
      <w:r w:rsidR="00BA3CBB">
        <w:t>the filing of a</w:t>
      </w:r>
      <w:r w:rsidR="00914CEA">
        <w:t xml:space="preserve"> </w:t>
      </w:r>
      <w:r w:rsidR="00162FC8" w:rsidRPr="005D4B23">
        <w:t>correct</w:t>
      </w:r>
      <w:r w:rsidR="00914CEA">
        <w:t>ed</w:t>
      </w:r>
      <w:r w:rsidR="00162FC8" w:rsidRPr="005D4B23">
        <w:t xml:space="preserve"> translation </w:t>
      </w:r>
      <w:r w:rsidR="00914CEA">
        <w:t>of the amendment</w:t>
      </w:r>
      <w:r w:rsidR="00185883">
        <w:t xml:space="preserve"> </w:t>
      </w:r>
      <w:r w:rsidR="00914CEA">
        <w:t>—</w:t>
      </w:r>
      <w:r w:rsidR="00185883">
        <w:t xml:space="preserve"> </w:t>
      </w:r>
      <w:r w:rsidR="00914CEA">
        <w:t>whether on the applicant’s initiative or at the Commissioner’s requiring</w:t>
      </w:r>
      <w:r w:rsidR="00185883">
        <w:t xml:space="preserve"> </w:t>
      </w:r>
      <w:r w:rsidR="00914CEA">
        <w:t>—</w:t>
      </w:r>
      <w:r w:rsidR="00185883">
        <w:t xml:space="preserve"> </w:t>
      </w:r>
      <w:r w:rsidR="00914CEA">
        <w:t xml:space="preserve">is not an amendment of the </w:t>
      </w:r>
      <w:r w:rsidR="00C50E83">
        <w:t xml:space="preserve">specification of the </w:t>
      </w:r>
      <w:r w:rsidR="00914CEA">
        <w:t>PCT application</w:t>
      </w:r>
      <w:r w:rsidR="007102D1">
        <w:t xml:space="preserve"> f</w:t>
      </w:r>
      <w:r w:rsidR="007102D1" w:rsidRPr="007102D1">
        <w:t>or subsection 29A(3) of the Act</w:t>
      </w:r>
      <w:r w:rsidR="00914CEA">
        <w:t xml:space="preserve">. </w:t>
      </w:r>
      <w:r w:rsidR="0015798C">
        <w:t xml:space="preserve">Instead </w:t>
      </w:r>
      <w:r w:rsidR="00C50E83">
        <w:t>the corrected translation</w:t>
      </w:r>
      <w:r w:rsidR="007102D1" w:rsidRPr="005D4B23">
        <w:t xml:space="preserve"> </w:t>
      </w:r>
      <w:r w:rsidR="00C50E83">
        <w:t>r</w:t>
      </w:r>
      <w:r w:rsidR="00914CEA">
        <w:t>eplace</w:t>
      </w:r>
      <w:r w:rsidR="0015798C">
        <w:t>s</w:t>
      </w:r>
      <w:r w:rsidR="00914CEA">
        <w:t xml:space="preserve"> the originally-filed translation of the amendment</w:t>
      </w:r>
      <w:r w:rsidR="0015798C">
        <w:t xml:space="preserve">, </w:t>
      </w:r>
      <w:r w:rsidR="00C50E83">
        <w:t>with effect from when the originally-filed translation was filed.</w:t>
      </w:r>
      <w:r w:rsidR="00157E24">
        <w:t xml:space="preserve"> </w:t>
      </w:r>
      <w:r w:rsidR="00D76BA4">
        <w:t xml:space="preserve">This means that if the originally-filed translation of the amendment was filed on the same day as the translation of the specification of the PCT application, then the corrected translation </w:t>
      </w:r>
      <w:r w:rsidR="00D4002E">
        <w:t xml:space="preserve">of the amendment </w:t>
      </w:r>
      <w:r w:rsidR="00D76BA4">
        <w:t xml:space="preserve">is taken to have amended the translated specification </w:t>
      </w:r>
      <w:r w:rsidR="00157E24">
        <w:t xml:space="preserve">under new </w:t>
      </w:r>
      <w:proofErr w:type="spellStart"/>
      <w:r w:rsidR="00157E24">
        <w:t>subregulation</w:t>
      </w:r>
      <w:proofErr w:type="spellEnd"/>
      <w:r w:rsidR="00157E24">
        <w:t xml:space="preserve"> 3.5AC(3A) or 3.5AC(5A) on that same day (notes on items </w:t>
      </w:r>
      <w:r w:rsidR="00DD6D6B">
        <w:t>8</w:t>
      </w:r>
      <w:r w:rsidR="00157E24">
        <w:t xml:space="preserve"> and </w:t>
      </w:r>
      <w:r w:rsidR="00DD6D6B">
        <w:t>10</w:t>
      </w:r>
      <w:r w:rsidR="00157E24">
        <w:t xml:space="preserve"> above)</w:t>
      </w:r>
      <w:r w:rsidR="00D76BA4">
        <w:t xml:space="preserve">. </w:t>
      </w:r>
      <w:r w:rsidR="00B970E5">
        <w:t xml:space="preserve">It also means that </w:t>
      </w:r>
      <w:r w:rsidR="00185883">
        <w:t xml:space="preserve">the Commissioner can require the applicant to correct or verify a corrected translation of an amendment: whether this corrected translation was filed on the applicant’s initiative or at the Commissioner’s earlier requiring. This use of the requiring power would be expected to be </w:t>
      </w:r>
      <w:r w:rsidR="00DA7198">
        <w:t>very un</w:t>
      </w:r>
      <w:r w:rsidR="00185883">
        <w:t>common</w:t>
      </w:r>
      <w:r w:rsidR="007B2BD9">
        <w:t>.</w:t>
      </w:r>
    </w:p>
    <w:p w14:paraId="2A2B5D8D" w14:textId="64A58239" w:rsidR="00162FC8" w:rsidRPr="005D4B23" w:rsidRDefault="00162FC8" w:rsidP="00E17CA9">
      <w:pPr>
        <w:pStyle w:val="Heading5"/>
      </w:pPr>
      <w:r w:rsidRPr="005D4B23">
        <w:t>I</w:t>
      </w:r>
      <w:r w:rsidRPr="005D4B23">
        <w:rPr>
          <w:rFonts w:eastAsia="Calibri"/>
          <w:szCs w:val="22"/>
        </w:rPr>
        <w:t xml:space="preserve">tem </w:t>
      </w:r>
      <w:r w:rsidR="00DD6D6B">
        <w:rPr>
          <w:rFonts w:eastAsia="Calibri"/>
          <w:szCs w:val="22"/>
        </w:rPr>
        <w:t>12</w:t>
      </w:r>
      <w:r w:rsidRPr="005D4B23">
        <w:rPr>
          <w:rFonts w:eastAsia="Calibri"/>
          <w:szCs w:val="22"/>
        </w:rPr>
        <w:t xml:space="preserve">: </w:t>
      </w:r>
      <w:proofErr w:type="spellStart"/>
      <w:r w:rsidR="00630A34" w:rsidRPr="005D4B23">
        <w:t>Subregulations</w:t>
      </w:r>
      <w:proofErr w:type="spellEnd"/>
      <w:r w:rsidR="00630A34" w:rsidRPr="005D4B23">
        <w:t xml:space="preserve"> 3.5A</w:t>
      </w:r>
      <w:r w:rsidR="00630A34">
        <w:t>F</w:t>
      </w:r>
      <w:r w:rsidR="00630A34" w:rsidRPr="005D4B23">
        <w:t>(</w:t>
      </w:r>
      <w:r w:rsidR="00630A34">
        <w:t>2A</w:t>
      </w:r>
      <w:r w:rsidR="00630A34" w:rsidRPr="005D4B23">
        <w:t>)</w:t>
      </w:r>
      <w:r w:rsidR="00630A34">
        <w:t>–(2H)</w:t>
      </w:r>
    </w:p>
    <w:p w14:paraId="41EB5C95" w14:textId="4EA00346" w:rsidR="00630A34" w:rsidRDefault="00162FC8" w:rsidP="00787DD6">
      <w:pPr>
        <w:spacing w:after="120"/>
      </w:pPr>
      <w:r w:rsidRPr="005D4B23">
        <w:t xml:space="preserve">This item </w:t>
      </w:r>
      <w:r w:rsidR="00630A34">
        <w:t xml:space="preserve">inserts new </w:t>
      </w:r>
      <w:proofErr w:type="spellStart"/>
      <w:r w:rsidR="00630A34">
        <w:t>s</w:t>
      </w:r>
      <w:r w:rsidR="00630A34" w:rsidRPr="005D4B23">
        <w:t>ubregulations</w:t>
      </w:r>
      <w:proofErr w:type="spellEnd"/>
      <w:r w:rsidR="00630A34" w:rsidRPr="005D4B23">
        <w:t xml:space="preserve"> 3.5A</w:t>
      </w:r>
      <w:r w:rsidR="00630A34">
        <w:t>F</w:t>
      </w:r>
      <w:r w:rsidR="00630A34" w:rsidRPr="005D4B23">
        <w:t>(</w:t>
      </w:r>
      <w:r w:rsidR="00630A34">
        <w:t>2A</w:t>
      </w:r>
      <w:r w:rsidR="00630A34" w:rsidRPr="005D4B23">
        <w:t>)</w:t>
      </w:r>
      <w:r w:rsidR="00630A34">
        <w:t xml:space="preserve">–(2H) </w:t>
      </w:r>
      <w:r w:rsidRPr="005D4B23">
        <w:t>of the Patents Regulations to</w:t>
      </w:r>
      <w:r w:rsidR="00630A34">
        <w:t>:</w:t>
      </w:r>
    </w:p>
    <w:p w14:paraId="5CB0AD0F" w14:textId="4CED2872" w:rsidR="00162FC8" w:rsidRDefault="00162FC8" w:rsidP="00787DD6">
      <w:pPr>
        <w:pStyle w:val="ListParagraph"/>
        <w:numPr>
          <w:ilvl w:val="0"/>
          <w:numId w:val="40"/>
        </w:numPr>
        <w:spacing w:after="120"/>
      </w:pPr>
      <w:r w:rsidRPr="005D4B23">
        <w:t xml:space="preserve">clarify </w:t>
      </w:r>
      <w:r w:rsidR="00630A34">
        <w:t xml:space="preserve">what </w:t>
      </w:r>
      <w:r w:rsidRPr="005D4B23">
        <w:t xml:space="preserve">translation </w:t>
      </w:r>
      <w:r w:rsidR="00630A34">
        <w:t>into English must be filed for a PCT application not in English to enter the national phase in Australia</w:t>
      </w:r>
      <w:r w:rsidR="00F20C8A">
        <w:t>;</w:t>
      </w:r>
    </w:p>
    <w:p w14:paraId="578CBA35" w14:textId="18985FDA" w:rsidR="00630A34" w:rsidRDefault="00630A34" w:rsidP="00787DD6">
      <w:pPr>
        <w:pStyle w:val="ListParagraph"/>
        <w:numPr>
          <w:ilvl w:val="0"/>
          <w:numId w:val="40"/>
        </w:numPr>
        <w:spacing w:after="120"/>
      </w:pPr>
      <w:r>
        <w:t>provide for that translation into English to be corrected or verified as needed</w:t>
      </w:r>
      <w:r w:rsidR="00F20C8A">
        <w:t>; and</w:t>
      </w:r>
    </w:p>
    <w:p w14:paraId="41EB87A9" w14:textId="2A83EC17" w:rsidR="00630A34" w:rsidRPr="005D4B23" w:rsidRDefault="00AA5825" w:rsidP="00787DD6">
      <w:pPr>
        <w:pStyle w:val="ListParagraph"/>
        <w:numPr>
          <w:ilvl w:val="0"/>
          <w:numId w:val="40"/>
        </w:numPr>
        <w:spacing w:after="120"/>
      </w:pPr>
      <w:r>
        <w:t>clarify the effect of an error or omission in a translation and the effect of their correction.</w:t>
      </w:r>
    </w:p>
    <w:p w14:paraId="00EBF331" w14:textId="3621578E" w:rsidR="00162FC8" w:rsidRPr="005D4B23" w:rsidRDefault="00241EA0" w:rsidP="00E17CA9">
      <w:r>
        <w:t xml:space="preserve">New </w:t>
      </w:r>
      <w:proofErr w:type="spellStart"/>
      <w:r>
        <w:t>s</w:t>
      </w:r>
      <w:r w:rsidRPr="005D4B23">
        <w:t>ubregulation</w:t>
      </w:r>
      <w:proofErr w:type="spellEnd"/>
      <w:r w:rsidRPr="005D4B23">
        <w:t xml:space="preserve"> </w:t>
      </w:r>
      <w:r w:rsidR="00162FC8" w:rsidRPr="005D4B23">
        <w:t xml:space="preserve">3.5AF(2A) provides that </w:t>
      </w:r>
      <w:r w:rsidR="00CA5F41" w:rsidRPr="005D4B23">
        <w:t>the</w:t>
      </w:r>
      <w:r w:rsidR="00CA5F41">
        <w:t xml:space="preserve"> </w:t>
      </w:r>
      <w:r>
        <w:t xml:space="preserve">other </w:t>
      </w:r>
      <w:r w:rsidR="00CA5F41">
        <w:t xml:space="preserve">new </w:t>
      </w:r>
      <w:proofErr w:type="spellStart"/>
      <w:r w:rsidR="00CA5F41">
        <w:t>subregulations</w:t>
      </w:r>
      <w:proofErr w:type="spellEnd"/>
      <w:r w:rsidR="00CA5F41" w:rsidRPr="005D4B23">
        <w:t xml:space="preserve"> </w:t>
      </w:r>
      <w:r w:rsidR="00162FC8" w:rsidRPr="005D4B23">
        <w:t xml:space="preserve">apply </w:t>
      </w:r>
      <w:r w:rsidR="00CA5F41">
        <w:t>if</w:t>
      </w:r>
      <w:r w:rsidR="00CA5F41" w:rsidRPr="005D4B23">
        <w:t xml:space="preserve"> </w:t>
      </w:r>
      <w:r w:rsidR="00162FC8" w:rsidRPr="005D4B23">
        <w:t>a PCT application is not filed in English</w:t>
      </w:r>
      <w:r w:rsidR="00AA5825">
        <w:t xml:space="preserve"> at its receiving Office</w:t>
      </w:r>
      <w:r w:rsidR="00162FC8" w:rsidRPr="005D4B23">
        <w:t xml:space="preserve">, and </w:t>
      </w:r>
      <w:r w:rsidR="00AA5825">
        <w:t>its Article 21 publication was not in English</w:t>
      </w:r>
      <w:r w:rsidR="00162FC8" w:rsidRPr="005D4B23">
        <w:t xml:space="preserve">. </w:t>
      </w:r>
      <w:r w:rsidR="00AC5D5E">
        <w:t xml:space="preserve">Existing </w:t>
      </w:r>
      <w:proofErr w:type="spellStart"/>
      <w:r w:rsidR="00AC5D5E">
        <w:t>subregulations</w:t>
      </w:r>
      <w:proofErr w:type="spellEnd"/>
      <w:r w:rsidR="00AC5D5E">
        <w:t xml:space="preserve"> 3.5</w:t>
      </w:r>
      <w:proofErr w:type="gramStart"/>
      <w:r w:rsidR="00AC5D5E">
        <w:t>AF(</w:t>
      </w:r>
      <w:proofErr w:type="gramEnd"/>
      <w:r w:rsidR="00AC5D5E">
        <w:t xml:space="preserve">1)–(2) govern the case of a </w:t>
      </w:r>
      <w:r w:rsidR="00AC5D5E" w:rsidRPr="005D4B23">
        <w:t xml:space="preserve">PCT application </w:t>
      </w:r>
      <w:r w:rsidR="00AC5D5E">
        <w:t>not in English whose Article 21 publication was in English: no translation is required to be filed.</w:t>
      </w:r>
    </w:p>
    <w:p w14:paraId="76DD5100" w14:textId="28A1F275" w:rsidR="00162FC8" w:rsidRPr="005D4B23" w:rsidRDefault="00241EA0" w:rsidP="00E17CA9">
      <w:r>
        <w:t xml:space="preserve">New </w:t>
      </w:r>
      <w:proofErr w:type="spellStart"/>
      <w:r>
        <w:t>s</w:t>
      </w:r>
      <w:r w:rsidRPr="005D4B23">
        <w:t>ubregulation</w:t>
      </w:r>
      <w:proofErr w:type="spellEnd"/>
      <w:r w:rsidRPr="005D4B23">
        <w:t xml:space="preserve"> </w:t>
      </w:r>
      <w:r w:rsidR="00162FC8" w:rsidRPr="005D4B23">
        <w:t>3.5AF(2B) provides that to s</w:t>
      </w:r>
      <w:r w:rsidR="00274A4B">
        <w:t>atisfy the requirements of paragraph</w:t>
      </w:r>
      <w:r w:rsidR="00162FC8" w:rsidRPr="005D4B23">
        <w:t xml:space="preserve"> 29A(5)(a) of the Act </w:t>
      </w:r>
      <w:r w:rsidR="00E86A1D" w:rsidRPr="005D4B23">
        <w:t xml:space="preserve">for </w:t>
      </w:r>
      <w:r w:rsidR="00162FC8" w:rsidRPr="005D4B23">
        <w:t xml:space="preserve">a PCT application </w:t>
      </w:r>
      <w:r>
        <w:t>not in</w:t>
      </w:r>
      <w:r w:rsidR="00162FC8" w:rsidRPr="005D4B23">
        <w:t xml:space="preserve"> English, </w:t>
      </w:r>
      <w:r w:rsidR="00E86A1D" w:rsidRPr="005D4B23">
        <w:t>the applicant must file a</w:t>
      </w:r>
      <w:r w:rsidR="00162FC8" w:rsidRPr="005D4B23">
        <w:t xml:space="preserve"> translation </w:t>
      </w:r>
      <w:r>
        <w:t xml:space="preserve">into English </w:t>
      </w:r>
      <w:r w:rsidR="00162FC8" w:rsidRPr="005D4B23">
        <w:t xml:space="preserve">of the specification as originally filed </w:t>
      </w:r>
      <w:r w:rsidR="00CA5F41">
        <w:t>at the receiving Office</w:t>
      </w:r>
      <w:r w:rsidR="00EF560F">
        <w:t>. The applicant may also choose to have the translation reflect a</w:t>
      </w:r>
      <w:r w:rsidR="00162FC8" w:rsidRPr="005D4B23">
        <w:t>ny Rule 91 rectification</w:t>
      </w:r>
      <w:r w:rsidR="00EF560F">
        <w:t xml:space="preserve"> to the PCT application, or to abandon any </w:t>
      </w:r>
      <w:r>
        <w:t xml:space="preserve">such </w:t>
      </w:r>
      <w:r w:rsidR="00EF560F">
        <w:t xml:space="preserve">rectification by </w:t>
      </w:r>
      <w:r>
        <w:t xml:space="preserve">choosing that the </w:t>
      </w:r>
      <w:r w:rsidR="00EF560F">
        <w:t>translation not reflect it</w:t>
      </w:r>
      <w:r w:rsidR="00162FC8" w:rsidRPr="005D4B23">
        <w:t xml:space="preserve">. </w:t>
      </w:r>
      <w:r>
        <w:t xml:space="preserve">In any case, the translation of the specification filed by the applicant becomes the specification of the PCT application in the national phase in Australia: existing </w:t>
      </w:r>
      <w:proofErr w:type="spellStart"/>
      <w:r>
        <w:t>subregulation</w:t>
      </w:r>
      <w:proofErr w:type="spellEnd"/>
      <w:r>
        <w:t xml:space="preserve"> 3.5</w:t>
      </w:r>
      <w:proofErr w:type="gramStart"/>
      <w:r>
        <w:t>AC(</w:t>
      </w:r>
      <w:proofErr w:type="gramEnd"/>
      <w:r>
        <w:t>2).</w:t>
      </w:r>
    </w:p>
    <w:p w14:paraId="383C4F4A" w14:textId="13F2CC33" w:rsidR="00241EA0" w:rsidRPr="005D4B23" w:rsidRDefault="00241EA0">
      <w:r>
        <w:lastRenderedPageBreak/>
        <w:t xml:space="preserve">New </w:t>
      </w:r>
      <w:proofErr w:type="spellStart"/>
      <w:r>
        <w:t>s</w:t>
      </w:r>
      <w:r w:rsidRPr="005D4B23">
        <w:t>ubregulation</w:t>
      </w:r>
      <w:proofErr w:type="spellEnd"/>
      <w:r w:rsidRPr="005D4B23">
        <w:t xml:space="preserve"> </w:t>
      </w:r>
      <w:r w:rsidR="00162FC8" w:rsidRPr="005D4B23">
        <w:t xml:space="preserve">3.5AF(2C) </w:t>
      </w:r>
      <w:r>
        <w:t>permits the</w:t>
      </w:r>
      <w:r w:rsidRPr="005D4B23">
        <w:t xml:space="preserve"> applicant </w:t>
      </w:r>
      <w:r>
        <w:t xml:space="preserve">for a PCT application, on their own initiative, to correct an error or omission in the </w:t>
      </w:r>
      <w:r w:rsidRPr="005D4B23">
        <w:t xml:space="preserve">translation of </w:t>
      </w:r>
      <w:r>
        <w:t xml:space="preserve">the specification of the PCT application filed </w:t>
      </w:r>
      <w:r w:rsidRPr="005D4B23">
        <w:t xml:space="preserve">under </w:t>
      </w:r>
      <w:r>
        <w:t xml:space="preserve">new </w:t>
      </w:r>
      <w:proofErr w:type="spellStart"/>
      <w:r>
        <w:t>subregulation</w:t>
      </w:r>
      <w:proofErr w:type="spellEnd"/>
      <w:r>
        <w:t xml:space="preserve"> </w:t>
      </w:r>
      <w:r w:rsidRPr="005D4B23">
        <w:t>3.5AF(2B).</w:t>
      </w:r>
      <w:r>
        <w:t xml:space="preserve"> To do this, the applicant files a corrected translation of the amendment. As the applicant is taking the initiative to make the correction, the applicant is not required to file a certificate of verification as well. If the Commissioner has concerns about the accuracy of the corrected translation, the Commissioner can exercise the power under new </w:t>
      </w:r>
      <w:proofErr w:type="spellStart"/>
      <w:r>
        <w:t>s</w:t>
      </w:r>
      <w:r w:rsidRPr="005D4B23">
        <w:t>ubregulations</w:t>
      </w:r>
      <w:proofErr w:type="spellEnd"/>
      <w:r w:rsidRPr="005D4B23">
        <w:t xml:space="preserve"> 3.5AF(2D)</w:t>
      </w:r>
      <w:r w:rsidR="00430402">
        <w:t>–</w:t>
      </w:r>
      <w:r w:rsidRPr="005D4B23">
        <w:t xml:space="preserve">(2F) </w:t>
      </w:r>
      <w:r>
        <w:t>to require the applicant to correct or verify it.</w:t>
      </w:r>
    </w:p>
    <w:p w14:paraId="6CC8F3A5" w14:textId="75F9237D" w:rsidR="00241EA0" w:rsidRDefault="00430402" w:rsidP="00023B32">
      <w:r>
        <w:t xml:space="preserve">New </w:t>
      </w:r>
      <w:proofErr w:type="spellStart"/>
      <w:r>
        <w:t>s</w:t>
      </w:r>
      <w:r w:rsidR="00E86A1D" w:rsidRPr="005D4B23">
        <w:t>ubregulations</w:t>
      </w:r>
      <w:proofErr w:type="spellEnd"/>
      <w:r w:rsidR="00E86A1D" w:rsidRPr="005D4B23">
        <w:t xml:space="preserve"> 3.5AF(2D), 3.5AF(2E), and 3.5AF(2F) </w:t>
      </w:r>
      <w:r w:rsidR="00241EA0" w:rsidRPr="005D4B23">
        <w:t>enable the Commissioner to requ</w:t>
      </w:r>
      <w:r w:rsidR="00241EA0">
        <w:t>ire</w:t>
      </w:r>
      <w:r w:rsidR="00241EA0" w:rsidRPr="005D4B23">
        <w:t xml:space="preserve"> </w:t>
      </w:r>
      <w:r w:rsidR="00241EA0">
        <w:t xml:space="preserve">the applicant to </w:t>
      </w:r>
      <w:r w:rsidR="00241EA0" w:rsidRPr="005D4B23">
        <w:t xml:space="preserve">correct </w:t>
      </w:r>
      <w:r w:rsidR="00241EA0">
        <w:t xml:space="preserve">or verify the </w:t>
      </w:r>
      <w:r w:rsidR="00241EA0" w:rsidRPr="005D4B23">
        <w:t xml:space="preserve">translation of </w:t>
      </w:r>
      <w:r w:rsidR="00551A35">
        <w:t>the specification filed under new regulation 3.5AF(2B).</w:t>
      </w:r>
      <w:r w:rsidR="00241EA0">
        <w:t xml:space="preserve"> The Commissioner can exercise this power, </w:t>
      </w:r>
      <w:r w:rsidR="00241EA0" w:rsidRPr="005D4B23">
        <w:t xml:space="preserve">if the Commissioner </w:t>
      </w:r>
      <w:r w:rsidR="00241EA0">
        <w:t xml:space="preserve">reasonably believes that the translation does not accurately reflect the </w:t>
      </w:r>
      <w:r w:rsidR="00551A35">
        <w:t>specification of the PCT application: whether as originally filed or with any Rule 91 rectifications</w:t>
      </w:r>
      <w:r w:rsidR="00241EA0" w:rsidRPr="005D4B23">
        <w:t xml:space="preserve">. </w:t>
      </w:r>
      <w:r w:rsidR="00241EA0">
        <w:t xml:space="preserve">The applicant must respond to the Commissioner’s notification in one of two ways: </w:t>
      </w:r>
    </w:p>
    <w:p w14:paraId="7437FEBE" w14:textId="581BC248" w:rsidR="00241EA0" w:rsidRDefault="00241EA0" w:rsidP="00241EA0">
      <w:pPr>
        <w:pStyle w:val="ListParagraph"/>
        <w:numPr>
          <w:ilvl w:val="0"/>
          <w:numId w:val="39"/>
        </w:numPr>
        <w:spacing w:after="120"/>
      </w:pPr>
      <w:r>
        <w:t>by filing a corrected translation of the amendment and a certificate of verification for the corrected translation</w:t>
      </w:r>
      <w:r w:rsidR="00F20C8A">
        <w:t xml:space="preserve">; </w:t>
      </w:r>
      <w:r w:rsidR="00D0268E">
        <w:t>or</w:t>
      </w:r>
    </w:p>
    <w:p w14:paraId="2334BE54" w14:textId="77777777" w:rsidR="00241EA0" w:rsidRDefault="00241EA0" w:rsidP="00241EA0">
      <w:pPr>
        <w:pStyle w:val="ListParagraph"/>
        <w:numPr>
          <w:ilvl w:val="0"/>
          <w:numId w:val="39"/>
        </w:numPr>
        <w:spacing w:after="120"/>
      </w:pPr>
      <w:r>
        <w:t>certifying that the translation is correct by filing a certificate of verification for it.</w:t>
      </w:r>
    </w:p>
    <w:p w14:paraId="3976675F" w14:textId="77777777" w:rsidR="00241EA0" w:rsidRDefault="00241EA0" w:rsidP="00241EA0">
      <w:r w:rsidRPr="005D4B23">
        <w:t xml:space="preserve">The applicant must </w:t>
      </w:r>
      <w:r>
        <w:t xml:space="preserve">comply with the Commissioner’s notification </w:t>
      </w:r>
      <w:r w:rsidRPr="005D4B23">
        <w:t>within two month</w:t>
      </w:r>
      <w:r>
        <w:t>s</w:t>
      </w:r>
      <w:r w:rsidRPr="005D4B23">
        <w:t xml:space="preserve"> </w:t>
      </w:r>
      <w:r>
        <w:t>after it is given,</w:t>
      </w:r>
      <w:r w:rsidRPr="005D4B23">
        <w:t xml:space="preserve"> </w:t>
      </w:r>
      <w:r>
        <w:t>or else</w:t>
      </w:r>
      <w:r w:rsidRPr="005D4B23">
        <w:t xml:space="preserve"> the </w:t>
      </w:r>
      <w:r>
        <w:t xml:space="preserve">PCT </w:t>
      </w:r>
      <w:r w:rsidRPr="005D4B23">
        <w:t>application lapse</w:t>
      </w:r>
      <w:r>
        <w:t>s</w:t>
      </w:r>
      <w:r w:rsidRPr="005D4B23">
        <w:t>.</w:t>
      </w:r>
      <w:r>
        <w:t xml:space="preserve"> </w:t>
      </w:r>
    </w:p>
    <w:p w14:paraId="0DC0D95B" w14:textId="432D482C" w:rsidR="00162FC8" w:rsidRPr="005D4B23" w:rsidRDefault="00430402" w:rsidP="00E17CA9">
      <w:r>
        <w:t xml:space="preserve">New </w:t>
      </w:r>
      <w:proofErr w:type="spellStart"/>
      <w:r>
        <w:t>s</w:t>
      </w:r>
      <w:r w:rsidR="00162FC8" w:rsidRPr="005D4B23">
        <w:t>ubregulation</w:t>
      </w:r>
      <w:proofErr w:type="spellEnd"/>
      <w:r w:rsidR="00162FC8" w:rsidRPr="005D4B23">
        <w:t xml:space="preserve"> 3.5AF(2G) provides that an</w:t>
      </w:r>
      <w:r w:rsidR="00551A35">
        <w:t>y</w:t>
      </w:r>
      <w:r w:rsidR="00162FC8" w:rsidRPr="005D4B23">
        <w:t xml:space="preserve"> error or omission </w:t>
      </w:r>
      <w:r w:rsidR="00551A35">
        <w:t xml:space="preserve">in the translation of the specification of a PCT application </w:t>
      </w:r>
      <w:r w:rsidR="00162FC8" w:rsidRPr="005D4B23">
        <w:t xml:space="preserve">does not invalidate </w:t>
      </w:r>
      <w:r w:rsidR="00551A35">
        <w:t>the entry into national phase</w:t>
      </w:r>
      <w:r w:rsidR="00E86A1D" w:rsidRPr="005D4B23">
        <w:t xml:space="preserve"> of the PCT application</w:t>
      </w:r>
      <w:r w:rsidR="00162FC8" w:rsidRPr="005D4B23">
        <w:t>. This includes circumstances where a translation of the wrong specification, missing parts or incorrect wording has inadvertently been provided.</w:t>
      </w:r>
    </w:p>
    <w:p w14:paraId="6BF8CDFC" w14:textId="18D703D4" w:rsidR="00BA3CBB" w:rsidRPr="005D4B23" w:rsidRDefault="00430402" w:rsidP="00E17CA9">
      <w:r>
        <w:t xml:space="preserve">New </w:t>
      </w:r>
      <w:proofErr w:type="spellStart"/>
      <w:r>
        <w:t>s</w:t>
      </w:r>
      <w:r w:rsidR="00162FC8" w:rsidRPr="005D4B23">
        <w:t>ubregulation</w:t>
      </w:r>
      <w:proofErr w:type="spellEnd"/>
      <w:r w:rsidR="00162FC8" w:rsidRPr="005D4B23">
        <w:t xml:space="preserve"> 3.5AF(2H) </w:t>
      </w:r>
      <w:r w:rsidR="00551A35" w:rsidRPr="005D4B23">
        <w:t xml:space="preserve">provides that </w:t>
      </w:r>
      <w:r w:rsidR="00BA3CBB">
        <w:t xml:space="preserve">the filing of </w:t>
      </w:r>
      <w:r w:rsidR="00551A35">
        <w:t xml:space="preserve">a </w:t>
      </w:r>
      <w:r w:rsidR="00551A35" w:rsidRPr="005D4B23">
        <w:t>correct</w:t>
      </w:r>
      <w:r w:rsidR="00551A35">
        <w:t>ed</w:t>
      </w:r>
      <w:r w:rsidR="00551A35" w:rsidRPr="005D4B23">
        <w:t xml:space="preserve"> translation </w:t>
      </w:r>
      <w:r w:rsidR="00551A35">
        <w:t xml:space="preserve">of the specification — whether on the applicant’s initiative or at the Commissioner’s requiring — is not taken to be an amendment of the PCT application. Instead it replaces the originally-filed translation of the specification, </w:t>
      </w:r>
      <w:r w:rsidR="00D4002E">
        <w:t xml:space="preserve">with effect on the day the originally-filed translation was filed. This means that </w:t>
      </w:r>
      <w:r w:rsidR="00551A35">
        <w:t xml:space="preserve">the corrected translation of the specification becomes the specification of the PCT application </w:t>
      </w:r>
      <w:r w:rsidR="00D4002E">
        <w:t xml:space="preserve">under existing </w:t>
      </w:r>
      <w:proofErr w:type="spellStart"/>
      <w:r w:rsidR="00D4002E">
        <w:t>subregulation</w:t>
      </w:r>
      <w:proofErr w:type="spellEnd"/>
      <w:r w:rsidR="00D4002E">
        <w:t xml:space="preserve"> 3.5</w:t>
      </w:r>
      <w:proofErr w:type="gramStart"/>
      <w:r w:rsidR="00D4002E">
        <w:t>AC(</w:t>
      </w:r>
      <w:proofErr w:type="gramEnd"/>
      <w:r w:rsidR="00D4002E">
        <w:t>2) on that same day. It also means that the Commissioner can require the applicant to correct or verify a corrected translation of the specification: whether this corrected translation was filed on the applicant’s initiative or at the Commissioner’s earlier requiring. This use of the requiring power would be expected to be very uncommon.</w:t>
      </w:r>
    </w:p>
    <w:p w14:paraId="708053A7" w14:textId="3C81B267" w:rsidR="00162FC8" w:rsidRPr="005D4B23" w:rsidRDefault="00162FC8" w:rsidP="00E17CA9">
      <w:pPr>
        <w:pStyle w:val="Heading5"/>
      </w:pPr>
      <w:r w:rsidRPr="005D4B23">
        <w:t xml:space="preserve">Item </w:t>
      </w:r>
      <w:r w:rsidR="00DD6D6B">
        <w:t>13</w:t>
      </w:r>
      <w:r w:rsidRPr="005D4B23">
        <w:t xml:space="preserve">: </w:t>
      </w:r>
      <w:proofErr w:type="spellStart"/>
      <w:r w:rsidRPr="005D4B23">
        <w:t>Subregulation</w:t>
      </w:r>
      <w:proofErr w:type="spellEnd"/>
      <w:r w:rsidRPr="005D4B23">
        <w:t xml:space="preserve"> 3.5</w:t>
      </w:r>
      <w:proofErr w:type="gramStart"/>
      <w:r w:rsidRPr="005D4B23">
        <w:t>AF(</w:t>
      </w:r>
      <w:proofErr w:type="gramEnd"/>
      <w:r w:rsidRPr="005D4B23">
        <w:t>4)</w:t>
      </w:r>
    </w:p>
    <w:p w14:paraId="06162E66" w14:textId="36FF01D3" w:rsidR="00162FC8" w:rsidRPr="005D4B23" w:rsidRDefault="00162FC8" w:rsidP="00E17CA9">
      <w:r w:rsidRPr="005D4B23">
        <w:t xml:space="preserve">This item makes a consequential amendment to </w:t>
      </w:r>
      <w:proofErr w:type="spellStart"/>
      <w:r w:rsidRPr="005D4B23">
        <w:t>subregulation</w:t>
      </w:r>
      <w:proofErr w:type="spellEnd"/>
      <w:r w:rsidRPr="005D4B23">
        <w:t xml:space="preserve"> 3.5</w:t>
      </w:r>
      <w:proofErr w:type="gramStart"/>
      <w:r w:rsidRPr="005D4B23">
        <w:t>AF(</w:t>
      </w:r>
      <w:proofErr w:type="gramEnd"/>
      <w:r w:rsidRPr="005D4B23">
        <w:t xml:space="preserve">4) to account for the changes made by item </w:t>
      </w:r>
      <w:r w:rsidR="00DD6D6B">
        <w:t>12</w:t>
      </w:r>
      <w:r w:rsidRPr="005D4B23">
        <w:t>.</w:t>
      </w:r>
    </w:p>
    <w:p w14:paraId="1BFEB4C8" w14:textId="35B96383" w:rsidR="00162FC8" w:rsidRPr="005D4B23" w:rsidRDefault="00162FC8" w:rsidP="00E17CA9">
      <w:pPr>
        <w:pStyle w:val="Heading5"/>
      </w:pPr>
      <w:r w:rsidRPr="005D4B23">
        <w:t xml:space="preserve">Item </w:t>
      </w:r>
      <w:r w:rsidR="008E7174">
        <w:t>1</w:t>
      </w:r>
      <w:r w:rsidR="00BB3038">
        <w:t>7</w:t>
      </w:r>
      <w:r w:rsidRPr="005D4B23">
        <w:t xml:space="preserve"> </w:t>
      </w:r>
      <w:r w:rsidR="0093131C">
        <w:t>Paragraph</w:t>
      </w:r>
      <w:r w:rsidR="00EF0511">
        <w:t>s</w:t>
      </w:r>
      <w:r w:rsidRPr="005D4B23">
        <w:t xml:space="preserve"> 13.4(1)(b)</w:t>
      </w:r>
      <w:r w:rsidR="00EF0511">
        <w:t xml:space="preserve"> and (c)</w:t>
      </w:r>
    </w:p>
    <w:p w14:paraId="37BF0D37" w14:textId="64960D33" w:rsidR="0069062A" w:rsidRDefault="00162FC8" w:rsidP="00E17CA9">
      <w:r w:rsidRPr="005D4B23">
        <w:t xml:space="preserve">This item </w:t>
      </w:r>
      <w:r w:rsidR="00EF0511">
        <w:t>repeals</w:t>
      </w:r>
      <w:r w:rsidR="00EF0511" w:rsidRPr="005D4B23">
        <w:t xml:space="preserve"> </w:t>
      </w:r>
      <w:r w:rsidRPr="005D4B23">
        <w:t xml:space="preserve">paragraph 13.4(1)(b) </w:t>
      </w:r>
      <w:r w:rsidR="00EF0511">
        <w:t xml:space="preserve">and inserts substitute paragraph </w:t>
      </w:r>
      <w:r w:rsidR="00EF0511" w:rsidRPr="005D4B23">
        <w:t>13.4(1)(b)</w:t>
      </w:r>
      <w:r w:rsidR="00EF0511">
        <w:t xml:space="preserve"> and new paragraph </w:t>
      </w:r>
      <w:r w:rsidR="00EF0511" w:rsidRPr="005D4B23">
        <w:t>13.4(1)(</w:t>
      </w:r>
      <w:r w:rsidR="00EF0511">
        <w:t>c</w:t>
      </w:r>
      <w:r w:rsidR="00EF0511" w:rsidRPr="005D4B23">
        <w:t>)</w:t>
      </w:r>
      <w:r w:rsidR="00EF0511">
        <w:t xml:space="preserve"> </w:t>
      </w:r>
      <w:r w:rsidRPr="005D4B23">
        <w:t xml:space="preserve">to </w:t>
      </w:r>
      <w:r w:rsidR="007B2BD9">
        <w:t xml:space="preserve">ensure that an applicant whose application is being examined is not disadvantaged by the Commissioner requiring the correction or verification of a translation under new </w:t>
      </w:r>
      <w:proofErr w:type="spellStart"/>
      <w:r w:rsidR="007B2BD9">
        <w:t>subregulations</w:t>
      </w:r>
      <w:proofErr w:type="spellEnd"/>
      <w:r w:rsidR="007B2BD9">
        <w:t xml:space="preserve"> 3.5AC(9), 3.5AF(2D) or 22.15A(2)</w:t>
      </w:r>
      <w:r w:rsidR="0069062A">
        <w:t xml:space="preserve"> inserted by items </w:t>
      </w:r>
      <w:r w:rsidR="00DD6D6B">
        <w:t>11, 12 and 19 respectively</w:t>
      </w:r>
      <w:r w:rsidR="0069062A">
        <w:t>.</w:t>
      </w:r>
    </w:p>
    <w:p w14:paraId="2A518AD9" w14:textId="0BBA9ACF" w:rsidR="007B2BD9" w:rsidRDefault="0069062A" w:rsidP="00E17CA9">
      <w:r>
        <w:lastRenderedPageBreak/>
        <w:t>The Commissioner might require the applicant or some other person</w:t>
      </w:r>
      <w:r w:rsidR="00EF0511">
        <w:t xml:space="preserve"> </w:t>
      </w:r>
      <w:r>
        <w:t>who filed a translation of a document to correct or verify th</w:t>
      </w:r>
      <w:r w:rsidR="00280970">
        <w:t>at</w:t>
      </w:r>
      <w:r>
        <w:t xml:space="preserve"> translation. </w:t>
      </w:r>
      <w:r w:rsidR="00280970">
        <w:t xml:space="preserve">If the period for acceptance of the application is already running, it could disadvantage an applicant who would need some time to correct </w:t>
      </w:r>
      <w:r w:rsidR="00010D09">
        <w:t>or</w:t>
      </w:r>
      <w:r w:rsidR="00280970">
        <w:t xml:space="preserve"> verify a translation, or to respond to someone else’s corrected </w:t>
      </w:r>
      <w:r w:rsidR="00010D09">
        <w:t>or</w:t>
      </w:r>
      <w:r w:rsidR="00280970">
        <w:t xml:space="preserve"> verified translation, so that the application can be accepted.</w:t>
      </w:r>
      <w:r w:rsidR="00253D89">
        <w:t xml:space="preserve"> </w:t>
      </w:r>
    </w:p>
    <w:p w14:paraId="7BE59623" w14:textId="6C923290" w:rsidR="00280970" w:rsidRDefault="00280970" w:rsidP="00F20C8A">
      <w:pPr>
        <w:spacing w:after="120"/>
      </w:pPr>
      <w:r>
        <w:t xml:space="preserve">To avoid this disadvantage to the applicant, the </w:t>
      </w:r>
      <w:r w:rsidRPr="005D4B23">
        <w:t xml:space="preserve">usual </w:t>
      </w:r>
      <w:r w:rsidR="00010D09">
        <w:t xml:space="preserve">period </w:t>
      </w:r>
      <w:r w:rsidR="00010D09" w:rsidRPr="005D4B23">
        <w:t xml:space="preserve">for acceptance of a patent </w:t>
      </w:r>
      <w:r w:rsidR="00010D09">
        <w:t xml:space="preserve">application would be extended from </w:t>
      </w:r>
      <w:r w:rsidR="00010D09" w:rsidRPr="005D4B23">
        <w:t>12</w:t>
      </w:r>
      <w:r w:rsidR="00010D09">
        <w:t xml:space="preserve"> </w:t>
      </w:r>
      <w:r w:rsidRPr="005D4B23">
        <w:t>month</w:t>
      </w:r>
      <w:r w:rsidR="00EF0511">
        <w:t>s</w:t>
      </w:r>
      <w:r w:rsidRPr="005D4B23">
        <w:t xml:space="preserve"> </w:t>
      </w:r>
      <w:r>
        <w:t>to 14 months</w:t>
      </w:r>
      <w:r w:rsidR="00010D09" w:rsidRPr="00010D09">
        <w:t xml:space="preserve"> </w:t>
      </w:r>
      <w:r w:rsidR="00010D09">
        <w:t xml:space="preserve">following a first report under section 45 of the Patents Act. This would suffice to </w:t>
      </w:r>
      <w:r>
        <w:t>allow for the two-month response period</w:t>
      </w:r>
      <w:r w:rsidR="00010D09">
        <w:t xml:space="preserve"> to the Commissioner’s requiring under new </w:t>
      </w:r>
      <w:proofErr w:type="spellStart"/>
      <w:r w:rsidR="00010D09">
        <w:t>subregulations</w:t>
      </w:r>
      <w:proofErr w:type="spellEnd"/>
      <w:r w:rsidR="00010D09">
        <w:t xml:space="preserve"> 3.5</w:t>
      </w:r>
      <w:proofErr w:type="gramStart"/>
      <w:r w:rsidR="00010D09">
        <w:t>AC(</w:t>
      </w:r>
      <w:proofErr w:type="gramEnd"/>
      <w:r w:rsidR="00010D09">
        <w:t>9), 3.5AF(2D) or 22.15A(2)</w:t>
      </w:r>
      <w:r>
        <w:t>.</w:t>
      </w:r>
      <w:r w:rsidR="00010D09">
        <w:t xml:space="preserve"> The </w:t>
      </w:r>
      <w:r w:rsidR="00EF0511">
        <w:t>14-month</w:t>
      </w:r>
      <w:r w:rsidR="00010D09">
        <w:t xml:space="preserve"> acceptance period</w:t>
      </w:r>
      <w:r w:rsidR="00EF0511">
        <w:t xml:space="preserve"> would apply if:</w:t>
      </w:r>
    </w:p>
    <w:p w14:paraId="17CA5B8B" w14:textId="77FC9C46" w:rsidR="00EF0511" w:rsidRDefault="00EF0511" w:rsidP="00EF0511">
      <w:pPr>
        <w:pStyle w:val="ListParagraph"/>
        <w:numPr>
          <w:ilvl w:val="0"/>
          <w:numId w:val="39"/>
        </w:numPr>
        <w:spacing w:after="120"/>
      </w:pPr>
      <w:r>
        <w:t xml:space="preserve">the notification </w:t>
      </w:r>
      <w:r w:rsidR="00253D89">
        <w:t xml:space="preserve">of the Commissioner’s requiring </w:t>
      </w:r>
      <w:r w:rsidRPr="00EF0511">
        <w:t xml:space="preserve">is given to a person under </w:t>
      </w:r>
      <w:proofErr w:type="spellStart"/>
      <w:r w:rsidRPr="00EF0511">
        <w:t>subregulation</w:t>
      </w:r>
      <w:proofErr w:type="spellEnd"/>
      <w:r w:rsidRPr="00EF0511">
        <w:t xml:space="preserve"> 3.5</w:t>
      </w:r>
      <w:proofErr w:type="gramStart"/>
      <w:r w:rsidRPr="00EF0511">
        <w:t>AC(</w:t>
      </w:r>
      <w:proofErr w:type="gramEnd"/>
      <w:r w:rsidRPr="00EF0511">
        <w:t>9), 3.5AF(2D) or 22.15A(2) in relation to the application</w:t>
      </w:r>
      <w:r w:rsidR="00253D89">
        <w:t>,</w:t>
      </w:r>
      <w:r w:rsidRPr="00EF0511">
        <w:t xml:space="preserve"> on or after the date of the first report</w:t>
      </w:r>
      <w:r>
        <w:t xml:space="preserve"> </w:t>
      </w:r>
      <w:r w:rsidRPr="00EF0511">
        <w:t>under section 45 of the Act</w:t>
      </w:r>
      <w:r w:rsidR="00F20C8A">
        <w:t>; and</w:t>
      </w:r>
    </w:p>
    <w:p w14:paraId="26A8AF62" w14:textId="2AA89504" w:rsidR="00EF0511" w:rsidRDefault="00EF0511" w:rsidP="00BB3038">
      <w:pPr>
        <w:pStyle w:val="ListParagraph"/>
        <w:numPr>
          <w:ilvl w:val="0"/>
          <w:numId w:val="39"/>
        </w:numPr>
        <w:spacing w:after="120"/>
      </w:pPr>
      <w:r>
        <w:t>the notified person</w:t>
      </w:r>
      <w:r w:rsidR="00253D89">
        <w:t xml:space="preserve"> complies with the </w:t>
      </w:r>
      <w:r w:rsidR="001464B2">
        <w:t>Commissioner’s requiring in the relevant two-month response period.</w:t>
      </w:r>
    </w:p>
    <w:p w14:paraId="6AA8ED4D" w14:textId="0ECB5015" w:rsidR="00253D89" w:rsidRDefault="00253D89" w:rsidP="00E17CA9">
      <w:r>
        <w:t xml:space="preserve">This </w:t>
      </w:r>
      <w:r w:rsidR="001464B2">
        <w:t xml:space="preserve">ensure that </w:t>
      </w:r>
      <w:r w:rsidR="00BE5DC2">
        <w:t xml:space="preserve">the applicant can enjoy the extended acceptance period — </w:t>
      </w:r>
      <w:r w:rsidR="001464B2">
        <w:t xml:space="preserve">if in the first or subsequent report on the application </w:t>
      </w:r>
      <w:r>
        <w:t xml:space="preserve">the Commissioner </w:t>
      </w:r>
      <w:r w:rsidR="001464B2">
        <w:t>requir</w:t>
      </w:r>
      <w:r>
        <w:t>es the applicant to correct or verify a translation</w:t>
      </w:r>
      <w:r w:rsidR="005351BA">
        <w:t>.</w:t>
      </w:r>
      <w:r w:rsidR="001464B2">
        <w:t xml:space="preserve"> It also </w:t>
      </w:r>
      <w:r>
        <w:t xml:space="preserve">ensures that the </w:t>
      </w:r>
      <w:r w:rsidR="005351BA">
        <w:t xml:space="preserve">extended acceptance </w:t>
      </w:r>
      <w:r>
        <w:t xml:space="preserve">period </w:t>
      </w:r>
      <w:r w:rsidR="005351BA">
        <w:t xml:space="preserve">does not </w:t>
      </w:r>
      <w:r>
        <w:t>appl</w:t>
      </w:r>
      <w:r w:rsidR="005351BA">
        <w:t>y</w:t>
      </w:r>
      <w:r>
        <w:t xml:space="preserve"> </w:t>
      </w:r>
      <w:r w:rsidR="005351BA">
        <w:t xml:space="preserve">if the </w:t>
      </w:r>
      <w:r w:rsidR="001464B2">
        <w:t>Commissioner requir</w:t>
      </w:r>
      <w:r w:rsidR="005351BA">
        <w:t>es</w:t>
      </w:r>
      <w:r w:rsidR="001464B2">
        <w:t xml:space="preserve"> the applicant or someone else to correct or verify a translation</w:t>
      </w:r>
      <w:r w:rsidR="005351BA">
        <w:t xml:space="preserve"> before the application is examined</w:t>
      </w:r>
      <w:r>
        <w:t>.</w:t>
      </w:r>
    </w:p>
    <w:p w14:paraId="22558A61" w14:textId="2AB3BC34" w:rsidR="00162FC8" w:rsidRPr="005D4B23" w:rsidRDefault="00162FC8" w:rsidP="00E17CA9">
      <w:r w:rsidRPr="005D4B23">
        <w:t xml:space="preserve">If the applicant corrects the translation </w:t>
      </w:r>
      <w:r w:rsidR="00DD2FB6">
        <w:t xml:space="preserve">on the applicant’s own initiative, there is no extension of the </w:t>
      </w:r>
      <w:r w:rsidRPr="005D4B23">
        <w:t>12</w:t>
      </w:r>
      <w:r w:rsidR="00DD2FB6">
        <w:t>-</w:t>
      </w:r>
      <w:r w:rsidRPr="005D4B23">
        <w:t>month acceptance period</w:t>
      </w:r>
      <w:r w:rsidR="00DD2FB6">
        <w:t>.</w:t>
      </w:r>
      <w:r w:rsidR="00DD2FB6" w:rsidRPr="005D4B23">
        <w:t xml:space="preserve"> </w:t>
      </w:r>
      <w:r w:rsidR="00DD2FB6">
        <w:t>This is because such a correction would generally be within the applicant’s control. If necessary, the applicant</w:t>
      </w:r>
      <w:r w:rsidR="00274A4B">
        <w:t xml:space="preserve"> could seek </w:t>
      </w:r>
      <w:r w:rsidR="00DD2FB6" w:rsidRPr="005D4B23">
        <w:t xml:space="preserve">under </w:t>
      </w:r>
      <w:r w:rsidR="00DD2FB6">
        <w:t xml:space="preserve">the existing provisions of </w:t>
      </w:r>
      <w:r w:rsidR="00DD2FB6" w:rsidRPr="005D4B23">
        <w:t>section 223 of the Patents Act</w:t>
      </w:r>
      <w:r w:rsidR="00DD2FB6" w:rsidDel="00DD2FB6">
        <w:t xml:space="preserve"> </w:t>
      </w:r>
      <w:r w:rsidR="00DD2FB6">
        <w:t>to extend the time for acceptance of the application</w:t>
      </w:r>
      <w:r w:rsidRPr="005D4B23">
        <w:t>.</w:t>
      </w:r>
    </w:p>
    <w:p w14:paraId="46AA5E57" w14:textId="4C47ECC2" w:rsidR="00162FC8" w:rsidRPr="005D4B23" w:rsidRDefault="00162FC8" w:rsidP="00E17CA9">
      <w:pPr>
        <w:pStyle w:val="Heading5"/>
      </w:pPr>
      <w:r w:rsidRPr="005D4B23">
        <w:t xml:space="preserve">Item </w:t>
      </w:r>
      <w:r w:rsidR="007B5407">
        <w:t>19</w:t>
      </w:r>
      <w:r w:rsidRPr="005D4B23">
        <w:t>: Regulation 22.15A</w:t>
      </w:r>
    </w:p>
    <w:p w14:paraId="07289167" w14:textId="767E7DCE" w:rsidR="002C6168" w:rsidRPr="005D4B23" w:rsidRDefault="002C6168" w:rsidP="002C6168">
      <w:r>
        <w:t>This item</w:t>
      </w:r>
      <w:r w:rsidRPr="005D4B23">
        <w:t xml:space="preserve"> </w:t>
      </w:r>
      <w:r>
        <w:t>inserts new regulation 22.15A</w:t>
      </w:r>
      <w:r w:rsidRPr="005D4B23">
        <w:t xml:space="preserve"> to </w:t>
      </w:r>
      <w:r>
        <w:t xml:space="preserve">allow the Commissioner to require that </w:t>
      </w:r>
      <w:r w:rsidRPr="005D4B23">
        <w:t>translation</w:t>
      </w:r>
      <w:r>
        <w:t>s</w:t>
      </w:r>
      <w:r w:rsidRPr="005D4B23">
        <w:t xml:space="preserve"> </w:t>
      </w:r>
      <w:r>
        <w:t>of documents be corrected or verified</w:t>
      </w:r>
      <w:r w:rsidRPr="005D4B23">
        <w:t xml:space="preserve">. </w:t>
      </w:r>
      <w:r>
        <w:t>New regulation 22.15A does not apply to correcting or verifying translations of specifications of PCT applications</w:t>
      </w:r>
      <w:r w:rsidR="000A0900">
        <w:t>,</w:t>
      </w:r>
      <w:r>
        <w:t xml:space="preserve"> or of </w:t>
      </w:r>
      <w:r w:rsidRPr="005D4B23">
        <w:t xml:space="preserve">Article 19 or 34 </w:t>
      </w:r>
      <w:r>
        <w:t>amendments</w:t>
      </w:r>
      <w:r w:rsidR="000A0900">
        <w:t xml:space="preserve">. Those translations </w:t>
      </w:r>
      <w:r>
        <w:t xml:space="preserve">are </w:t>
      </w:r>
      <w:r w:rsidR="000A0900">
        <w:t xml:space="preserve">corrected or verified under their own special provisions: </w:t>
      </w:r>
      <w:r>
        <w:t xml:space="preserve">new </w:t>
      </w:r>
      <w:proofErr w:type="spellStart"/>
      <w:r w:rsidR="000A0900">
        <w:t>subregulations</w:t>
      </w:r>
      <w:proofErr w:type="spellEnd"/>
      <w:r w:rsidR="000A0900" w:rsidRPr="005D4B23">
        <w:t xml:space="preserve"> </w:t>
      </w:r>
      <w:r w:rsidR="00DE6B5B" w:rsidRPr="005D4B23">
        <w:t>3.5</w:t>
      </w:r>
      <w:proofErr w:type="gramStart"/>
      <w:r w:rsidR="00DE6B5B" w:rsidRPr="005D4B23">
        <w:t>AC</w:t>
      </w:r>
      <w:r w:rsidR="00DE6B5B">
        <w:t>(</w:t>
      </w:r>
      <w:proofErr w:type="gramEnd"/>
      <w:r w:rsidR="00DE6B5B">
        <w:t xml:space="preserve">8)–(12) or </w:t>
      </w:r>
      <w:r w:rsidR="000A0900" w:rsidRPr="005D4B23">
        <w:t>3.5AF(2C)</w:t>
      </w:r>
      <w:r w:rsidR="000A0900">
        <w:t>–(2F)</w:t>
      </w:r>
      <w:r w:rsidR="00DE6B5B">
        <w:t>, inserted by items 11 and 12</w:t>
      </w:r>
      <w:r w:rsidR="000A0900">
        <w:t xml:space="preserve"> respectively.</w:t>
      </w:r>
    </w:p>
    <w:p w14:paraId="2FAEF41B" w14:textId="6DAD4C15" w:rsidR="00162FC8" w:rsidRPr="005D4B23" w:rsidRDefault="00C372E3" w:rsidP="00E17CA9">
      <w:r>
        <w:t xml:space="preserve">New </w:t>
      </w:r>
      <w:proofErr w:type="spellStart"/>
      <w:r>
        <w:t>s</w:t>
      </w:r>
      <w:r w:rsidRPr="005D4B23">
        <w:t>ubregulation</w:t>
      </w:r>
      <w:proofErr w:type="spellEnd"/>
      <w:r w:rsidRPr="005D4B23">
        <w:t xml:space="preserve"> </w:t>
      </w:r>
      <w:r w:rsidR="00162FC8" w:rsidRPr="005D4B23">
        <w:t>22.15A(1) specifies that the regulation applies if a translation of a document into English is filed and the Commissioner reasonably believes that the translation does not accurately reflect the contents of the document.</w:t>
      </w:r>
    </w:p>
    <w:p w14:paraId="2E32A02B" w14:textId="6FC9C7AD" w:rsidR="00C372E3" w:rsidRDefault="00C372E3" w:rsidP="00E17CA9">
      <w:r>
        <w:t xml:space="preserve">New </w:t>
      </w:r>
      <w:proofErr w:type="spellStart"/>
      <w:r>
        <w:t>s</w:t>
      </w:r>
      <w:r w:rsidRPr="005D4B23">
        <w:t>ubregulation</w:t>
      </w:r>
      <w:proofErr w:type="spellEnd"/>
      <w:r w:rsidRPr="005D4B23">
        <w:t xml:space="preserve"> </w:t>
      </w:r>
      <w:r w:rsidR="00162FC8" w:rsidRPr="005D4B23">
        <w:t xml:space="preserve">22.15A(2) enables the Commissioner to </w:t>
      </w:r>
      <w:r>
        <w:t xml:space="preserve">require </w:t>
      </w:r>
      <w:r w:rsidR="00162FC8" w:rsidRPr="005D4B23">
        <w:t>the person who filed the translat</w:t>
      </w:r>
      <w:r w:rsidR="00E42BD8">
        <w:t xml:space="preserve">ion </w:t>
      </w:r>
      <w:r w:rsidR="00162FC8" w:rsidRPr="005D4B23">
        <w:t xml:space="preserve">in the circumstances outlined in </w:t>
      </w:r>
      <w:r>
        <w:t xml:space="preserve">new </w:t>
      </w:r>
      <w:proofErr w:type="spellStart"/>
      <w:r w:rsidR="00162FC8" w:rsidRPr="005D4B23">
        <w:t>subregulation</w:t>
      </w:r>
      <w:proofErr w:type="spellEnd"/>
      <w:r w:rsidR="00162FC8" w:rsidRPr="005D4B23">
        <w:t xml:space="preserve"> 22.15A(1) to </w:t>
      </w:r>
      <w:r>
        <w:t xml:space="preserve">correct or </w:t>
      </w:r>
      <w:r w:rsidR="00466595">
        <w:t>verify the translation within a period of two months</w:t>
      </w:r>
      <w:r w:rsidR="00162FC8" w:rsidRPr="005D4B23">
        <w:t>.</w:t>
      </w:r>
      <w:r w:rsidR="00466595" w:rsidRPr="00466595">
        <w:t xml:space="preserve"> </w:t>
      </w:r>
      <w:r w:rsidR="00A12CB4">
        <w:t>The applicant must respond to the Commissioner’s notification in one of two ways:</w:t>
      </w:r>
    </w:p>
    <w:p w14:paraId="1197C556" w14:textId="6270EACC" w:rsidR="00A12CB4" w:rsidRDefault="00A12CB4" w:rsidP="00A12CB4">
      <w:pPr>
        <w:pStyle w:val="ListParagraph"/>
        <w:numPr>
          <w:ilvl w:val="0"/>
          <w:numId w:val="39"/>
        </w:numPr>
        <w:spacing w:after="120"/>
      </w:pPr>
      <w:r>
        <w:t>by filing a corrected translation of the document and a certificate of verification for the corrected translation</w:t>
      </w:r>
      <w:r w:rsidR="00D0268E">
        <w:t>; or</w:t>
      </w:r>
    </w:p>
    <w:p w14:paraId="067A37C2" w14:textId="77777777" w:rsidR="00A12CB4" w:rsidRDefault="00A12CB4" w:rsidP="00A12CB4">
      <w:pPr>
        <w:pStyle w:val="ListParagraph"/>
        <w:numPr>
          <w:ilvl w:val="0"/>
          <w:numId w:val="39"/>
        </w:numPr>
        <w:spacing w:after="120"/>
      </w:pPr>
      <w:r>
        <w:t>certifying that the translation is correct by filing a certificate of verification for it.</w:t>
      </w:r>
    </w:p>
    <w:p w14:paraId="65D77C29" w14:textId="16034A08" w:rsidR="00162FC8" w:rsidRPr="005D4B23" w:rsidRDefault="00A12CB4" w:rsidP="00E17CA9">
      <w:r>
        <w:lastRenderedPageBreak/>
        <w:t xml:space="preserve">The consequences of failing to comply with the Commissioner’s </w:t>
      </w:r>
      <w:r w:rsidR="007B5407">
        <w:t>notification</w:t>
      </w:r>
      <w:r>
        <w:t xml:space="preserve"> are specified </w:t>
      </w:r>
      <w:r w:rsidR="007B5407">
        <w:t xml:space="preserve">for various persons </w:t>
      </w:r>
      <w:r w:rsidR="008E7174">
        <w:t xml:space="preserve">and documents </w:t>
      </w:r>
      <w:r>
        <w:t xml:space="preserve">in new </w:t>
      </w:r>
      <w:proofErr w:type="spellStart"/>
      <w:r>
        <w:t>subregulations</w:t>
      </w:r>
      <w:proofErr w:type="spellEnd"/>
      <w:r>
        <w:t xml:space="preserve"> 22.15A(3)–(9)</w:t>
      </w:r>
      <w:r w:rsidR="008E7174">
        <w:t>.</w:t>
      </w:r>
    </w:p>
    <w:p w14:paraId="16C30E42" w14:textId="00C8194E" w:rsidR="00162FC8" w:rsidRPr="005D4B23" w:rsidRDefault="00C372E3" w:rsidP="00E17CA9">
      <w:r>
        <w:t xml:space="preserve">New </w:t>
      </w:r>
      <w:proofErr w:type="spellStart"/>
      <w:r>
        <w:t>s</w:t>
      </w:r>
      <w:r w:rsidR="00162FC8" w:rsidRPr="005D4B23">
        <w:t>ubregulation</w:t>
      </w:r>
      <w:proofErr w:type="spellEnd"/>
      <w:r w:rsidR="00162FC8" w:rsidRPr="005D4B23">
        <w:t xml:space="preserve"> 22.15A(3) </w:t>
      </w:r>
      <w:r w:rsidR="00274A4B">
        <w:t>specifies</w:t>
      </w:r>
      <w:r w:rsidR="00162FC8" w:rsidRPr="005D4B23">
        <w:t xml:space="preserve"> the consequences if the applicant </w:t>
      </w:r>
      <w:r w:rsidR="008E7174">
        <w:t>for a standard patent fails to</w:t>
      </w:r>
      <w:r w:rsidR="00162FC8" w:rsidRPr="005D4B23">
        <w:t xml:space="preserve"> comply with </w:t>
      </w:r>
      <w:r w:rsidR="008E7174">
        <w:t>a notification</w:t>
      </w:r>
      <w:r w:rsidR="00162FC8" w:rsidRPr="005D4B23">
        <w:t xml:space="preserve"> </w:t>
      </w:r>
      <w:r w:rsidR="00A12CB4">
        <w:t xml:space="preserve">under new </w:t>
      </w:r>
      <w:proofErr w:type="spellStart"/>
      <w:r w:rsidR="00A12CB4">
        <w:t>subregulation</w:t>
      </w:r>
      <w:proofErr w:type="spellEnd"/>
      <w:r w:rsidR="00A12CB4">
        <w:t xml:space="preserve"> 22.15A(2) </w:t>
      </w:r>
      <w:r w:rsidR="007B5407">
        <w:t>in relation to</w:t>
      </w:r>
      <w:r w:rsidR="00A12CB4">
        <w:t xml:space="preserve"> </w:t>
      </w:r>
      <w:r w:rsidR="00162FC8" w:rsidRPr="005D4B23">
        <w:t>a translation of a</w:t>
      </w:r>
      <w:r w:rsidR="008E7174">
        <w:t>n application for a</w:t>
      </w:r>
      <w:r w:rsidR="00162FC8" w:rsidRPr="005D4B23">
        <w:t xml:space="preserve"> standard patent application. If the applicant does not comply, the application will lapse.</w:t>
      </w:r>
    </w:p>
    <w:p w14:paraId="5406B9E4" w14:textId="45B357E7" w:rsidR="00162FC8" w:rsidRPr="005D4B23" w:rsidRDefault="00C372E3" w:rsidP="00E17CA9">
      <w:r>
        <w:t xml:space="preserve">New </w:t>
      </w:r>
      <w:proofErr w:type="spellStart"/>
      <w:r>
        <w:t>s</w:t>
      </w:r>
      <w:r w:rsidR="00162FC8" w:rsidRPr="005D4B23">
        <w:t>ubregulation</w:t>
      </w:r>
      <w:proofErr w:type="spellEnd"/>
      <w:r w:rsidR="00162FC8" w:rsidRPr="005D4B23">
        <w:t xml:space="preserve"> 22.15A(4) specifies the procedure to be followed if the patent application lapses </w:t>
      </w:r>
      <w:r w:rsidR="00274A4B">
        <w:t>under</w:t>
      </w:r>
      <w:r w:rsidR="00162FC8" w:rsidRPr="005D4B23">
        <w:t xml:space="preserve"> </w:t>
      </w:r>
      <w:r>
        <w:t>new</w:t>
      </w:r>
      <w:r w:rsidR="00A12CB4">
        <w:t xml:space="preserve"> </w:t>
      </w:r>
      <w:proofErr w:type="spellStart"/>
      <w:r w:rsidR="00162FC8" w:rsidRPr="005D4B23">
        <w:t>subregulation</w:t>
      </w:r>
      <w:proofErr w:type="spellEnd"/>
      <w:r w:rsidR="00162FC8" w:rsidRPr="005D4B23">
        <w:t xml:space="preserve"> 22.15</w:t>
      </w:r>
      <w:r>
        <w:t>A</w:t>
      </w:r>
      <w:r w:rsidR="00162FC8" w:rsidRPr="005D4B23">
        <w:t xml:space="preserve">(3). </w:t>
      </w:r>
      <w:r w:rsidR="00DE6B5B">
        <w:t>T</w:t>
      </w:r>
      <w:r w:rsidR="00162FC8" w:rsidRPr="005D4B23">
        <w:t xml:space="preserve">he Commissioner must notify the applicant that the application has lapsed </w:t>
      </w:r>
      <w:r w:rsidR="00942FB0" w:rsidRPr="005D4B23">
        <w:t>and</w:t>
      </w:r>
      <w:r w:rsidR="00162FC8" w:rsidRPr="005D4B23">
        <w:t xml:space="preserve"> advertise this fact in the </w:t>
      </w:r>
      <w:r w:rsidR="00162FC8" w:rsidRPr="005D4B23">
        <w:rPr>
          <w:i/>
        </w:rPr>
        <w:t>Official Journal</w:t>
      </w:r>
      <w:r w:rsidR="00162FC8" w:rsidRPr="005D4B23">
        <w:t xml:space="preserve">.  </w:t>
      </w:r>
    </w:p>
    <w:p w14:paraId="21163759" w14:textId="02E35CDC" w:rsidR="00162FC8" w:rsidRPr="005D4B23" w:rsidRDefault="00C372E3" w:rsidP="00E17CA9">
      <w:r>
        <w:t xml:space="preserve">New </w:t>
      </w:r>
      <w:proofErr w:type="spellStart"/>
      <w:r>
        <w:t>s</w:t>
      </w:r>
      <w:r w:rsidR="00162FC8" w:rsidRPr="005D4B23">
        <w:t>ubregulation</w:t>
      </w:r>
      <w:proofErr w:type="spellEnd"/>
      <w:r w:rsidR="00162FC8" w:rsidRPr="005D4B23">
        <w:t xml:space="preserve"> 22.15A(5) </w:t>
      </w:r>
      <w:r w:rsidR="00274A4B">
        <w:t>specifi</w:t>
      </w:r>
      <w:r w:rsidR="00162FC8" w:rsidRPr="005D4B23">
        <w:t xml:space="preserve">es the consequence if the person who </w:t>
      </w:r>
      <w:r w:rsidR="007B5407">
        <w:t>fails to</w:t>
      </w:r>
      <w:r w:rsidR="00162FC8" w:rsidRPr="005D4B23">
        <w:t xml:space="preserve"> comply with the </w:t>
      </w:r>
      <w:r w:rsidR="00DE6B5B">
        <w:t>notification</w:t>
      </w:r>
      <w:r w:rsidR="00162FC8" w:rsidRPr="005D4B23">
        <w:t xml:space="preserve"> </w:t>
      </w:r>
      <w:r w:rsidR="007B5407">
        <w:t xml:space="preserve">under </w:t>
      </w:r>
      <w:r>
        <w:t xml:space="preserve">new </w:t>
      </w:r>
      <w:proofErr w:type="spellStart"/>
      <w:r w:rsidR="00162FC8" w:rsidRPr="005D4B23">
        <w:t>subregulation</w:t>
      </w:r>
      <w:proofErr w:type="spellEnd"/>
      <w:r w:rsidR="00162FC8" w:rsidRPr="005D4B23">
        <w:t xml:space="preserve"> 22.15</w:t>
      </w:r>
      <w:r>
        <w:t>A</w:t>
      </w:r>
      <w:r w:rsidR="00162FC8" w:rsidRPr="005D4B23">
        <w:t xml:space="preserve">(2) </w:t>
      </w:r>
      <w:r w:rsidR="00DE6B5B">
        <w:t>had</w:t>
      </w:r>
      <w:r w:rsidR="00162FC8" w:rsidRPr="005D4B23">
        <w:t xml:space="preserve"> </w:t>
      </w:r>
      <w:r w:rsidR="00DE6B5B">
        <w:t>asserted</w:t>
      </w:r>
      <w:r w:rsidR="00162FC8" w:rsidRPr="005D4B23">
        <w:t xml:space="preserve"> that a patent application or innovation patent </w:t>
      </w:r>
      <w:r w:rsidR="00274A4B">
        <w:t>i</w:t>
      </w:r>
      <w:r w:rsidR="00162FC8" w:rsidRPr="005D4B23">
        <w:t>s not novel</w:t>
      </w:r>
      <w:r w:rsidR="00274A4B">
        <w:t>,</w:t>
      </w:r>
      <w:r w:rsidR="00162FC8" w:rsidRPr="005D4B23">
        <w:t xml:space="preserve"> inventive</w:t>
      </w:r>
      <w:r w:rsidR="00274A4B">
        <w:t xml:space="preserve"> and/or innovative</w:t>
      </w:r>
      <w:r w:rsidR="00162FC8" w:rsidRPr="005D4B23">
        <w:t xml:space="preserve">. </w:t>
      </w:r>
      <w:r w:rsidR="00DE6B5B">
        <w:t>T</w:t>
      </w:r>
      <w:r w:rsidR="00162FC8" w:rsidRPr="005D4B23">
        <w:t xml:space="preserve">he Commissioner </w:t>
      </w:r>
      <w:r w:rsidR="00950E05">
        <w:t xml:space="preserve">may </w:t>
      </w:r>
      <w:r w:rsidR="00162FC8" w:rsidRPr="005D4B23">
        <w:t xml:space="preserve">exercise discretion in deciding whether to use </w:t>
      </w:r>
      <w:r w:rsidR="00DE6B5B" w:rsidRPr="005D4B23">
        <w:t>th</w:t>
      </w:r>
      <w:r w:rsidR="00DE6B5B">
        <w:t>e</w:t>
      </w:r>
      <w:r w:rsidR="00DE6B5B" w:rsidRPr="005D4B23">
        <w:t xml:space="preserve"> </w:t>
      </w:r>
      <w:r w:rsidR="00162FC8" w:rsidRPr="005D4B23">
        <w:t xml:space="preserve">translation to support </w:t>
      </w:r>
      <w:r w:rsidR="00DE6B5B">
        <w:t xml:space="preserve">the </w:t>
      </w:r>
      <w:r w:rsidR="00162FC8" w:rsidRPr="005D4B23">
        <w:t>assertion of invalidity.</w:t>
      </w:r>
    </w:p>
    <w:p w14:paraId="6C560ACD" w14:textId="067805AA" w:rsidR="00162FC8" w:rsidRPr="005D4B23" w:rsidRDefault="00C372E3" w:rsidP="00E17CA9">
      <w:r>
        <w:t xml:space="preserve">New </w:t>
      </w:r>
      <w:proofErr w:type="spellStart"/>
      <w:r>
        <w:t>s</w:t>
      </w:r>
      <w:r w:rsidR="00162FC8" w:rsidRPr="005D4B23">
        <w:t>ubregulation</w:t>
      </w:r>
      <w:proofErr w:type="spellEnd"/>
      <w:r w:rsidR="00162FC8" w:rsidRPr="005D4B23">
        <w:t xml:space="preserve"> 22.15A(6) specifies the consequences if the </w:t>
      </w:r>
      <w:r w:rsidR="008E7174" w:rsidRPr="005D4B23">
        <w:t xml:space="preserve">person who </w:t>
      </w:r>
      <w:r w:rsidR="008E7174">
        <w:t>fails to</w:t>
      </w:r>
      <w:r w:rsidR="008E7174" w:rsidRPr="005D4B23">
        <w:t xml:space="preserve"> comply with the </w:t>
      </w:r>
      <w:r w:rsidR="00DE6B5B">
        <w:t>notification</w:t>
      </w:r>
      <w:r w:rsidR="008E7174" w:rsidRPr="005D4B23">
        <w:t xml:space="preserve"> </w:t>
      </w:r>
      <w:r w:rsidR="008E7174">
        <w:t xml:space="preserve">under new </w:t>
      </w:r>
      <w:proofErr w:type="spellStart"/>
      <w:r w:rsidR="008E7174" w:rsidRPr="005D4B23">
        <w:t>subregulation</w:t>
      </w:r>
      <w:proofErr w:type="spellEnd"/>
      <w:r w:rsidR="008E7174" w:rsidRPr="005D4B23">
        <w:t xml:space="preserve"> 22.15</w:t>
      </w:r>
      <w:r w:rsidR="008E7174">
        <w:t>A</w:t>
      </w:r>
      <w:r w:rsidR="008E7174" w:rsidRPr="005D4B23">
        <w:t>(2)</w:t>
      </w:r>
      <w:r w:rsidR="00162FC8" w:rsidRPr="005D4B23">
        <w:t xml:space="preserve"> </w:t>
      </w:r>
      <w:r w:rsidR="00DE6B5B">
        <w:t>had</w:t>
      </w:r>
      <w:r w:rsidR="00162FC8" w:rsidRPr="005D4B23">
        <w:t xml:space="preserve"> requested re-examination of a complete specification. </w:t>
      </w:r>
      <w:r w:rsidR="00DD6D6B">
        <w:t>T</w:t>
      </w:r>
      <w:r w:rsidR="00162FC8" w:rsidRPr="005D4B23">
        <w:t xml:space="preserve">he Commissioner may decide not to re-examine the complete specification, </w:t>
      </w:r>
      <w:r w:rsidR="00DE6B5B">
        <w:t>by analogy with</w:t>
      </w:r>
      <w:r w:rsidR="00162FC8" w:rsidRPr="005D4B23">
        <w:t xml:space="preserve"> </w:t>
      </w:r>
      <w:r w:rsidR="00DE6B5B">
        <w:t xml:space="preserve">existing </w:t>
      </w:r>
      <w:proofErr w:type="spellStart"/>
      <w:r w:rsidR="00162FC8" w:rsidRPr="005D4B23">
        <w:t>subregulation</w:t>
      </w:r>
      <w:proofErr w:type="spellEnd"/>
      <w:r w:rsidR="00162FC8" w:rsidRPr="005D4B23">
        <w:t xml:space="preserve"> 9.2(4). </w:t>
      </w:r>
    </w:p>
    <w:p w14:paraId="3BE94087" w14:textId="4C47A0A3" w:rsidR="00162FC8" w:rsidRPr="005D4B23" w:rsidRDefault="00C372E3" w:rsidP="00E17CA9">
      <w:r>
        <w:t xml:space="preserve">New </w:t>
      </w:r>
      <w:proofErr w:type="spellStart"/>
      <w:r>
        <w:t>s</w:t>
      </w:r>
      <w:r w:rsidR="00162FC8" w:rsidRPr="005D4B23">
        <w:t>ubregulation</w:t>
      </w:r>
      <w:proofErr w:type="spellEnd"/>
      <w:r w:rsidR="00162FC8" w:rsidRPr="005D4B23">
        <w:t xml:space="preserve"> 22.15A(7) </w:t>
      </w:r>
      <w:r w:rsidR="00274A4B">
        <w:t>specifie</w:t>
      </w:r>
      <w:r w:rsidR="00162FC8" w:rsidRPr="005D4B23">
        <w:t>s what action</w:t>
      </w:r>
      <w:r w:rsidR="002951B4">
        <w:t>s the Commissioner may</w:t>
      </w:r>
      <w:r w:rsidR="00162FC8" w:rsidRPr="005D4B23">
        <w:t xml:space="preserve"> take if </w:t>
      </w:r>
      <w:r w:rsidR="00DE6B5B">
        <w:t>someone</w:t>
      </w:r>
      <w:r w:rsidR="00162FC8" w:rsidRPr="005D4B23">
        <w:t xml:space="preserve"> </w:t>
      </w:r>
      <w:r w:rsidR="008E7174">
        <w:t>fails to</w:t>
      </w:r>
      <w:r w:rsidR="008E7174" w:rsidRPr="005D4B23">
        <w:t xml:space="preserve"> comply with </w:t>
      </w:r>
      <w:r w:rsidR="00DE6B5B">
        <w:t>a notification</w:t>
      </w:r>
      <w:r w:rsidR="008E7174" w:rsidRPr="005D4B23">
        <w:t xml:space="preserve"> </w:t>
      </w:r>
      <w:r w:rsidR="008E7174">
        <w:t xml:space="preserve">under new </w:t>
      </w:r>
      <w:proofErr w:type="spellStart"/>
      <w:r w:rsidR="008E7174" w:rsidRPr="005D4B23">
        <w:t>subregulation</w:t>
      </w:r>
      <w:proofErr w:type="spellEnd"/>
      <w:r w:rsidR="008E7174" w:rsidRPr="005D4B23">
        <w:t xml:space="preserve"> 22.15</w:t>
      </w:r>
      <w:r w:rsidR="008E7174">
        <w:t>A</w:t>
      </w:r>
      <w:r w:rsidR="008E7174" w:rsidRPr="005D4B23">
        <w:t>(2)</w:t>
      </w:r>
      <w:r w:rsidR="00162FC8" w:rsidRPr="005D4B23">
        <w:t xml:space="preserve"> in relation to any document other than those specified in </w:t>
      </w:r>
      <w:r>
        <w:t xml:space="preserve">new </w:t>
      </w:r>
      <w:proofErr w:type="spellStart"/>
      <w:r w:rsidR="00162FC8" w:rsidRPr="005D4B23">
        <w:t>subregulations</w:t>
      </w:r>
      <w:proofErr w:type="spellEnd"/>
      <w:r w:rsidR="00162FC8" w:rsidRPr="005D4B23">
        <w:t xml:space="preserve"> 22.15A(3)</w:t>
      </w:r>
      <w:proofErr w:type="gramStart"/>
      <w:r w:rsidR="00DE6B5B">
        <w:t>–</w:t>
      </w:r>
      <w:r w:rsidR="00162FC8" w:rsidRPr="005D4B23">
        <w:t>(</w:t>
      </w:r>
      <w:proofErr w:type="gramEnd"/>
      <w:r w:rsidR="00162FC8" w:rsidRPr="005D4B23">
        <w:t xml:space="preserve">6). </w:t>
      </w:r>
      <w:r w:rsidR="00DD6D6B">
        <w:t>T</w:t>
      </w:r>
      <w:r w:rsidR="00162FC8" w:rsidRPr="005D4B23">
        <w:t xml:space="preserve">he Commissioner may take one or more actions specified in </w:t>
      </w:r>
      <w:r>
        <w:t xml:space="preserve">new </w:t>
      </w:r>
      <w:proofErr w:type="spellStart"/>
      <w:r w:rsidR="00162FC8" w:rsidRPr="005D4B23">
        <w:t>subregulation</w:t>
      </w:r>
      <w:proofErr w:type="spellEnd"/>
      <w:r w:rsidR="00162FC8" w:rsidRPr="005D4B23">
        <w:t xml:space="preserve"> 22.15A(8) (below) if the Commissioner is satisfied, on the balance of probabilities, that it is appropriate in the circumstances to take the action. </w:t>
      </w:r>
    </w:p>
    <w:p w14:paraId="7E5D3DA7" w14:textId="3BDBF889" w:rsidR="00162FC8" w:rsidRPr="005D4B23" w:rsidRDefault="00C372E3" w:rsidP="00E17CA9">
      <w:r>
        <w:t xml:space="preserve">New </w:t>
      </w:r>
      <w:proofErr w:type="spellStart"/>
      <w:r>
        <w:t>s</w:t>
      </w:r>
      <w:r w:rsidR="00162FC8" w:rsidRPr="005D4B23">
        <w:t>ubregulation</w:t>
      </w:r>
      <w:proofErr w:type="spellEnd"/>
      <w:r w:rsidR="00162FC8" w:rsidRPr="005D4B23">
        <w:t xml:space="preserve"> 22.15A(8) describes the actions the Commissioner may take</w:t>
      </w:r>
      <w:r w:rsidR="002951B4">
        <w:t xml:space="preserve"> for the purposes of </w:t>
      </w:r>
      <w:proofErr w:type="spellStart"/>
      <w:r w:rsidR="002951B4">
        <w:t>subregulation</w:t>
      </w:r>
      <w:proofErr w:type="spellEnd"/>
      <w:r w:rsidR="00162FC8" w:rsidRPr="005D4B23">
        <w:t xml:space="preserve"> 22.15</w:t>
      </w:r>
      <w:r w:rsidR="001037B7">
        <w:t>A</w:t>
      </w:r>
      <w:r w:rsidR="00162FC8" w:rsidRPr="005D4B23">
        <w:t xml:space="preserve">(7) above. The actions specified in </w:t>
      </w:r>
      <w:r>
        <w:t xml:space="preserve">new </w:t>
      </w:r>
      <w:proofErr w:type="spellStart"/>
      <w:r w:rsidR="00162FC8" w:rsidRPr="005D4B23">
        <w:t>subregulation</w:t>
      </w:r>
      <w:proofErr w:type="spellEnd"/>
      <w:r w:rsidR="00162FC8" w:rsidRPr="005D4B23">
        <w:t xml:space="preserve"> 22.15A(8) are analogous to those provided under section 210A of the Patents Act which deals with non-compliance with a direction by the Commissioner. If the person who does not comply is </w:t>
      </w:r>
      <w:r w:rsidR="00DD6D6B">
        <w:t xml:space="preserve">the </w:t>
      </w:r>
      <w:r w:rsidR="00162FC8" w:rsidRPr="005D4B23">
        <w:t xml:space="preserve">applicant for </w:t>
      </w:r>
      <w:r w:rsidR="00DD6D6B">
        <w:t>the</w:t>
      </w:r>
      <w:r w:rsidR="00DD6D6B" w:rsidRPr="005D4B23">
        <w:t xml:space="preserve"> </w:t>
      </w:r>
      <w:r w:rsidR="00162FC8" w:rsidRPr="005D4B23">
        <w:t xml:space="preserve">patent, the Commissioner may refuse to grant the patent. If the person who does not comply is any person other than </w:t>
      </w:r>
      <w:r w:rsidR="00DD6D6B">
        <w:t>the</w:t>
      </w:r>
      <w:r w:rsidR="00DD6D6B" w:rsidRPr="005D4B23">
        <w:t xml:space="preserve"> </w:t>
      </w:r>
      <w:r w:rsidR="00162FC8" w:rsidRPr="005D4B23">
        <w:t xml:space="preserve">applicant, the Commissioner may draw an inference unfavourable to the person’s interest in proceedings before the Commissioner. </w:t>
      </w:r>
    </w:p>
    <w:p w14:paraId="5A131BDD" w14:textId="2BFE4A68" w:rsidR="00162FC8" w:rsidRDefault="00C372E3" w:rsidP="00E17CA9">
      <w:r>
        <w:t xml:space="preserve">New </w:t>
      </w:r>
      <w:proofErr w:type="spellStart"/>
      <w:r>
        <w:t>s</w:t>
      </w:r>
      <w:r w:rsidRPr="005D4B23">
        <w:t>ubregulation</w:t>
      </w:r>
      <w:proofErr w:type="spellEnd"/>
      <w:r w:rsidRPr="005D4B23">
        <w:t xml:space="preserve"> </w:t>
      </w:r>
      <w:r w:rsidR="00162FC8" w:rsidRPr="005D4B23">
        <w:t xml:space="preserve">22.15A(9) specifies the circumstances the Commissioner must consider when deciding whether to take the actions specified in </w:t>
      </w:r>
      <w:r>
        <w:t xml:space="preserve">new </w:t>
      </w:r>
      <w:proofErr w:type="spellStart"/>
      <w:r w:rsidR="00162FC8" w:rsidRPr="005D4B23">
        <w:t>subregulation</w:t>
      </w:r>
      <w:proofErr w:type="spellEnd"/>
      <w:r w:rsidR="00162FC8" w:rsidRPr="005D4B23">
        <w:t xml:space="preserve"> 22.15A(8) when </w:t>
      </w:r>
      <w:r w:rsidR="00DE6B5B">
        <w:t>someone</w:t>
      </w:r>
      <w:r w:rsidR="00162FC8" w:rsidRPr="005D4B23">
        <w:t xml:space="preserve"> </w:t>
      </w:r>
      <w:r w:rsidR="008E7174">
        <w:t>fails to</w:t>
      </w:r>
      <w:r w:rsidR="008E7174" w:rsidRPr="005D4B23">
        <w:t xml:space="preserve"> comply with the </w:t>
      </w:r>
      <w:r w:rsidR="00DE6B5B">
        <w:t>notification</w:t>
      </w:r>
      <w:r w:rsidR="008E7174" w:rsidRPr="005D4B23">
        <w:t xml:space="preserve"> </w:t>
      </w:r>
      <w:r w:rsidR="008E7174">
        <w:t xml:space="preserve">under new </w:t>
      </w:r>
      <w:proofErr w:type="spellStart"/>
      <w:r w:rsidR="008E7174" w:rsidRPr="005D4B23">
        <w:t>subregulation</w:t>
      </w:r>
      <w:proofErr w:type="spellEnd"/>
      <w:r w:rsidR="008E7174" w:rsidRPr="005D4B23">
        <w:t xml:space="preserve"> 22.15</w:t>
      </w:r>
      <w:r w:rsidR="008E7174">
        <w:t>A</w:t>
      </w:r>
      <w:r w:rsidR="008E7174" w:rsidRPr="005D4B23">
        <w:t>(2)</w:t>
      </w:r>
      <w:r w:rsidR="00162FC8" w:rsidRPr="005D4B23">
        <w:t xml:space="preserve">. When deciding whether to take an action, the Commissioner must consider whether the person has a reasonable excuse for refusing or failing to </w:t>
      </w:r>
      <w:r w:rsidR="00DE6B5B">
        <w:t>comply with the notification</w:t>
      </w:r>
      <w:r w:rsidR="00162FC8" w:rsidRPr="005D4B23">
        <w:t xml:space="preserve"> </w:t>
      </w:r>
      <w:proofErr w:type="gramStart"/>
      <w:r w:rsidR="00162FC8" w:rsidRPr="005D4B23">
        <w:t>and also</w:t>
      </w:r>
      <w:proofErr w:type="gramEnd"/>
      <w:r w:rsidR="00162FC8" w:rsidRPr="005D4B23">
        <w:t xml:space="preserve"> must consider any other matter the Commissioner considers to be relevant.</w:t>
      </w:r>
    </w:p>
    <w:p w14:paraId="6E13DA0A" w14:textId="2C4CB266" w:rsidR="000D2A2F" w:rsidRPr="005D4B23" w:rsidRDefault="000D2A2F" w:rsidP="00BB3038">
      <w:pPr>
        <w:pStyle w:val="Heading5"/>
        <w:keepNext/>
      </w:pPr>
      <w:r w:rsidRPr="005D4B23">
        <w:t xml:space="preserve">Item </w:t>
      </w:r>
      <w:r w:rsidR="00C372E3">
        <w:t>20</w:t>
      </w:r>
      <w:r>
        <w:t>: Application of amendments</w:t>
      </w:r>
    </w:p>
    <w:p w14:paraId="2C1A5413" w14:textId="10D03361" w:rsidR="000D2A2F" w:rsidRPr="00023B32" w:rsidRDefault="000D2A2F" w:rsidP="000D2A2F">
      <w:r>
        <w:t>This item introduces new regulation 23.50A that provides how the amendments made by this Schedule apply.</w:t>
      </w:r>
    </w:p>
    <w:p w14:paraId="091819BF" w14:textId="0675A5B8" w:rsidR="000D2A2F" w:rsidRPr="005D4B23" w:rsidRDefault="000D2A2F" w:rsidP="000D2A2F">
      <w:proofErr w:type="spellStart"/>
      <w:r w:rsidRPr="005D4B23">
        <w:lastRenderedPageBreak/>
        <w:t>Subregulation</w:t>
      </w:r>
      <w:proofErr w:type="spellEnd"/>
      <w:r w:rsidRPr="005D4B23">
        <w:t xml:space="preserve"> 23.50</w:t>
      </w:r>
      <w:r>
        <w:t>A</w:t>
      </w:r>
      <w:r w:rsidRPr="005D4B23">
        <w:t>(</w:t>
      </w:r>
      <w:r>
        <w:t>1</w:t>
      </w:r>
      <w:r w:rsidRPr="005D4B23">
        <w:t xml:space="preserve">) provides that, subject to </w:t>
      </w:r>
      <w:proofErr w:type="spellStart"/>
      <w:r w:rsidRPr="005D4B23">
        <w:t>subregulation</w:t>
      </w:r>
      <w:proofErr w:type="spellEnd"/>
      <w:r w:rsidRPr="005D4B23">
        <w:t xml:space="preserve"> 23.50</w:t>
      </w:r>
      <w:r>
        <w:t>A</w:t>
      </w:r>
      <w:r w:rsidRPr="005D4B23">
        <w:t>(</w:t>
      </w:r>
      <w:r>
        <w:t>2</w:t>
      </w:r>
      <w:r w:rsidRPr="005D4B23">
        <w:t xml:space="preserve">), the amendments </w:t>
      </w:r>
      <w:r w:rsidR="003A4078">
        <w:t>made by this Schedule apply to</w:t>
      </w:r>
      <w:r w:rsidRPr="005D4B23">
        <w:t xml:space="preserve"> translations filed after </w:t>
      </w:r>
      <w:r w:rsidR="003A4078">
        <w:t xml:space="preserve">its </w:t>
      </w:r>
      <w:r w:rsidRPr="005D4B23">
        <w:t xml:space="preserve">commencement. </w:t>
      </w:r>
    </w:p>
    <w:p w14:paraId="7CA07ABE" w14:textId="64B8FB3A" w:rsidR="000D2A2F" w:rsidRPr="005D4B23" w:rsidRDefault="000D2A2F" w:rsidP="000D2A2F">
      <w:proofErr w:type="spellStart"/>
      <w:r w:rsidRPr="005D4B23">
        <w:t>Subregulation</w:t>
      </w:r>
      <w:proofErr w:type="spellEnd"/>
      <w:r w:rsidRPr="005D4B23">
        <w:t xml:space="preserve"> 23.50</w:t>
      </w:r>
      <w:r>
        <w:t>A</w:t>
      </w:r>
      <w:r w:rsidRPr="005D4B23">
        <w:t>(</w:t>
      </w:r>
      <w:r>
        <w:t>2</w:t>
      </w:r>
      <w:r w:rsidRPr="005D4B23">
        <w:t xml:space="preserve">) provides that the amendments of regulation 3.5AF </w:t>
      </w:r>
      <w:r w:rsidR="003A4078">
        <w:t xml:space="preserve">made by this </w:t>
      </w:r>
      <w:r w:rsidR="00FB4091">
        <w:t>S</w:t>
      </w:r>
      <w:r w:rsidR="003A4078">
        <w:t xml:space="preserve">chedule </w:t>
      </w:r>
      <w:r w:rsidRPr="005D4B23">
        <w:t xml:space="preserve">apply to PCT applications </w:t>
      </w:r>
      <w:r w:rsidR="003A4078">
        <w:t>that enter the national phase after the commencement of this Schedule</w:t>
      </w:r>
      <w:r w:rsidRPr="005D4B23">
        <w:t>.</w:t>
      </w:r>
      <w:r w:rsidR="003A4078">
        <w:t xml:space="preserve"> </w:t>
      </w:r>
    </w:p>
    <w:p w14:paraId="279C23E8" w14:textId="44520AE5" w:rsidR="003A4078" w:rsidRDefault="003A4078">
      <w:pPr>
        <w:spacing w:after="0"/>
        <w:rPr>
          <w:b/>
          <w:bCs/>
          <w:u w:val="single"/>
        </w:rPr>
      </w:pPr>
      <w:r>
        <w:br w:type="page"/>
      </w:r>
    </w:p>
    <w:p w14:paraId="2BCC31CC" w14:textId="6093F7F4" w:rsidR="00016423" w:rsidRPr="005D4B23" w:rsidRDefault="00016423" w:rsidP="00016423">
      <w:pPr>
        <w:pStyle w:val="Heading2"/>
      </w:pPr>
      <w:r w:rsidRPr="005D4B23">
        <w:lastRenderedPageBreak/>
        <w:t xml:space="preserve">Schedule </w:t>
      </w:r>
      <w:r>
        <w:t>2</w:t>
      </w:r>
      <w:r w:rsidRPr="005D4B23">
        <w:t xml:space="preserve"> – </w:t>
      </w:r>
      <w:r>
        <w:t>Other amendments</w:t>
      </w:r>
    </w:p>
    <w:p w14:paraId="186056F6" w14:textId="6B4C369C" w:rsidR="00EC1641" w:rsidRPr="005D4B23" w:rsidRDefault="0037448F" w:rsidP="00E17CA9">
      <w:pPr>
        <w:pStyle w:val="Heading3"/>
        <w:rPr>
          <w:noProof/>
        </w:rPr>
      </w:pPr>
      <w:r w:rsidRPr="005D4B23">
        <w:t xml:space="preserve">Part </w:t>
      </w:r>
      <w:r w:rsidR="00016423">
        <w:t>1</w:t>
      </w:r>
      <w:r w:rsidR="0033558E" w:rsidRPr="005D4B23">
        <w:t xml:space="preserve"> – </w:t>
      </w:r>
      <w:r w:rsidRPr="005D4B23">
        <w:rPr>
          <w:noProof/>
        </w:rPr>
        <w:t>Delegations</w:t>
      </w:r>
    </w:p>
    <w:p w14:paraId="04F733D5" w14:textId="5377A881" w:rsidR="00614EB3" w:rsidRDefault="000A32A0" w:rsidP="00E17CA9">
      <w:r w:rsidRPr="005D4B23">
        <w:t xml:space="preserve">This part amends the </w:t>
      </w:r>
      <w:r w:rsidR="003C7265" w:rsidRPr="005D4B23">
        <w:t>Patents Regulations</w:t>
      </w:r>
      <w:r w:rsidRPr="005D4B23">
        <w:t xml:space="preserve"> and Designs Regulations to enable the Commissioner of Patents and the Registrar of Designs to delegate </w:t>
      </w:r>
      <w:r w:rsidR="00614EB3">
        <w:t>their</w:t>
      </w:r>
      <w:r w:rsidRPr="005D4B23">
        <w:t xml:space="preserve"> powers under the respective Acts to summon witnesses and require </w:t>
      </w:r>
      <w:r w:rsidR="00614EB3">
        <w:t xml:space="preserve">someone to </w:t>
      </w:r>
      <w:r w:rsidRPr="005D4B23">
        <w:t>produc</w:t>
      </w:r>
      <w:r w:rsidR="00614EB3">
        <w:t>e</w:t>
      </w:r>
      <w:r w:rsidRPr="005D4B23">
        <w:t xml:space="preserve"> documents</w:t>
      </w:r>
      <w:r w:rsidR="00614EB3">
        <w:t xml:space="preserve"> or articles</w:t>
      </w:r>
      <w:r w:rsidRPr="005D4B23">
        <w:t xml:space="preserve">. Such powers are exercised in the context of opposition and hearing proceedings and are provided by </w:t>
      </w:r>
      <w:r w:rsidR="005348F0">
        <w:t>paragraphs</w:t>
      </w:r>
      <w:r w:rsidRPr="005D4B23">
        <w:t xml:space="preserve"> 210(1)(a) and (c) </w:t>
      </w:r>
      <w:r w:rsidR="005348F0">
        <w:t xml:space="preserve">of the Patents Act </w:t>
      </w:r>
      <w:r w:rsidRPr="005D4B23">
        <w:t xml:space="preserve">and </w:t>
      </w:r>
      <w:r w:rsidR="005348F0">
        <w:t xml:space="preserve">paragraphs </w:t>
      </w:r>
      <w:r w:rsidRPr="005D4B23">
        <w:t>127(1)(a) and (c)</w:t>
      </w:r>
      <w:r w:rsidR="005348F0">
        <w:t xml:space="preserve"> of the Designs Act</w:t>
      </w:r>
      <w:r w:rsidRPr="005D4B23">
        <w:t xml:space="preserve">. </w:t>
      </w:r>
    </w:p>
    <w:p w14:paraId="0D67E253" w14:textId="77FA42C7" w:rsidR="000A32A0" w:rsidRPr="005D4B23" w:rsidRDefault="000A32A0" w:rsidP="00E17CA9">
      <w:r w:rsidRPr="005D4B23">
        <w:t xml:space="preserve">Under the current Patents </w:t>
      </w:r>
      <w:r w:rsidR="00614EB3">
        <w:t xml:space="preserve">Act </w:t>
      </w:r>
      <w:r w:rsidRPr="005D4B23">
        <w:t xml:space="preserve">and Designs </w:t>
      </w:r>
      <w:r w:rsidR="00614EB3">
        <w:t>Act</w:t>
      </w:r>
      <w:r w:rsidRPr="005D4B23">
        <w:t>, the Commissioner and Registrar must personally exercise these powers.</w:t>
      </w:r>
      <w:r w:rsidR="00614EB3">
        <w:t xml:space="preserve"> This contrasts with all other powers conferred on the Commissioner by the Patents Act and Registrar by the Designs Act, which can be delegated to suitable qualified employees of the Patents and Designs Offices. </w:t>
      </w:r>
    </w:p>
    <w:p w14:paraId="656252E8" w14:textId="56E0D3D6" w:rsidR="000A32A0" w:rsidRPr="005D4B23" w:rsidRDefault="000A32A0" w:rsidP="00E17CA9">
      <w:r w:rsidRPr="005D4B23">
        <w:t>It appears that these limitations on the</w:t>
      </w:r>
      <w:r w:rsidR="00614EB3">
        <w:t xml:space="preserve"> delegation of these</w:t>
      </w:r>
      <w:r w:rsidRPr="005D4B23">
        <w:t xml:space="preserve"> powers of </w:t>
      </w:r>
      <w:r w:rsidR="00614EB3">
        <w:t>by</w:t>
      </w:r>
      <w:r w:rsidRPr="005D4B23">
        <w:t xml:space="preserve"> Commissioner and Registrar were included to ensure that the </w:t>
      </w:r>
      <w:r w:rsidR="00F46805">
        <w:t xml:space="preserve">compulsory </w:t>
      </w:r>
      <w:r w:rsidRPr="005D4B23">
        <w:t xml:space="preserve">powers granted by these rights’ respective legislation were not exercised without serious consideration by a suitably qualified and responsible person. These limitations do not exist in </w:t>
      </w:r>
      <w:r w:rsidR="00F46805">
        <w:t xml:space="preserve">the </w:t>
      </w:r>
      <w:r w:rsidRPr="005D4B23">
        <w:t>trade mark</w:t>
      </w:r>
      <w:r w:rsidR="00F46805">
        <w:t>s</w:t>
      </w:r>
      <w:r w:rsidRPr="005D4B23">
        <w:t xml:space="preserve"> legislation. Since the practices and procedures around </w:t>
      </w:r>
      <w:proofErr w:type="spellStart"/>
      <w:r w:rsidRPr="005D4B23">
        <w:t>trade mark</w:t>
      </w:r>
      <w:r w:rsidR="00F46805">
        <w:t>s</w:t>
      </w:r>
      <w:proofErr w:type="spellEnd"/>
      <w:r w:rsidRPr="005D4B23">
        <w:t xml:space="preserve"> hearings are generally </w:t>
      </w:r>
      <w:proofErr w:type="gramStart"/>
      <w:r w:rsidRPr="005D4B23">
        <w:t>similar to</w:t>
      </w:r>
      <w:proofErr w:type="gramEnd"/>
      <w:r w:rsidRPr="005D4B23">
        <w:t xml:space="preserve"> those for patents and designs, it appears that these limitations are not necessary under the patents and designs legislation.</w:t>
      </w:r>
    </w:p>
    <w:p w14:paraId="0813766F" w14:textId="6A14C5B7" w:rsidR="000A32A0" w:rsidRPr="005D4B23" w:rsidRDefault="000A32A0" w:rsidP="00E17CA9">
      <w:r w:rsidRPr="005D4B23">
        <w:t xml:space="preserve">In practice, for patents these powers are generally exercised within IP Australia by a Deputy Commissioner of </w:t>
      </w:r>
      <w:r w:rsidR="00A5766E" w:rsidRPr="005D4B23">
        <w:t>P</w:t>
      </w:r>
      <w:r w:rsidRPr="005D4B23">
        <w:t>atents outside the Oppositions area, following initial consideration by an Oppositions staff member. Consequently, the Deputy Commissioner relies heavily on the information and advice provided by the Oppositions staff to determine whether to issue the notice in question. A similar practice is taken in the Designs area by the Registrar or a Deputy Registrar.</w:t>
      </w:r>
    </w:p>
    <w:p w14:paraId="6CD17850" w14:textId="480748BF" w:rsidR="00A5766E" w:rsidRPr="005D4B23" w:rsidRDefault="000A32A0" w:rsidP="00E17CA9">
      <w:r w:rsidRPr="005D4B23">
        <w:t xml:space="preserve">The amendments will remove the current limitation on the </w:t>
      </w:r>
      <w:r w:rsidR="002951B4">
        <w:t xml:space="preserve">delegation of </w:t>
      </w:r>
      <w:r w:rsidRPr="005D4B23">
        <w:t>powers of the Commissioner and Registrar to summon witnesses and require the production of documents</w:t>
      </w:r>
      <w:r w:rsidR="00614EB3">
        <w:t>, and instead allow the power to be delegated directly to Oppositions staff</w:t>
      </w:r>
      <w:r w:rsidR="00A5766E" w:rsidRPr="005D4B23">
        <w:t xml:space="preserve">. The delegation of these powers to </w:t>
      </w:r>
      <w:r w:rsidR="00CE1969">
        <w:t xml:space="preserve">those </w:t>
      </w:r>
      <w:r w:rsidR="00A5766E" w:rsidRPr="005D4B23">
        <w:t xml:space="preserve">staff </w:t>
      </w:r>
      <w:r w:rsidR="00CE1969">
        <w:t xml:space="preserve">who </w:t>
      </w:r>
      <w:r w:rsidR="00A5766E" w:rsidRPr="005D4B23">
        <w:t>are best positioned to take account of the relevant considerations in deciding whether to issue summons or require production of documents will allow administrative aspects of oppositions and hearings to be streamlined.</w:t>
      </w:r>
    </w:p>
    <w:p w14:paraId="653D8992" w14:textId="77777777" w:rsidR="00A5766E" w:rsidRPr="005D4B23" w:rsidRDefault="00A5766E" w:rsidP="00E17CA9">
      <w:r w:rsidRPr="005D4B23">
        <w:t>To ensure that the powers are only exercised by a suitably qualified and experienced person, the amendments will permit these</w:t>
      </w:r>
      <w:r w:rsidR="000A32A0" w:rsidRPr="005D4B23">
        <w:t xml:space="preserve"> powers to be delegated to Executive level staff </w:t>
      </w:r>
      <w:r w:rsidRPr="005D4B23">
        <w:t>or higher only</w:t>
      </w:r>
      <w:r w:rsidR="000A32A0" w:rsidRPr="005D4B23">
        <w:t xml:space="preserve">. IP Australia will update the instrument of delegation to identify these specific Executive level staff members to ensure that delegation is restricted to suitably qualified and trained staff with the required expertise. The instrument of delegation would allow the flexibility for updates to be made in the event of internal restructures at IP Australia as opposed to having these delegations detailed in the Regulations. </w:t>
      </w:r>
    </w:p>
    <w:p w14:paraId="6DB3463B" w14:textId="5CBEFEC7" w:rsidR="000A32A0" w:rsidRPr="005D4B23" w:rsidRDefault="00A5766E" w:rsidP="00E17CA9">
      <w:r w:rsidRPr="005D4B23">
        <w:t>To ensure that individuals’ rights are protected, d</w:t>
      </w:r>
      <w:r w:rsidR="000A32A0" w:rsidRPr="005D4B23">
        <w:t xml:space="preserve">ecisions taken by delegates under these powers </w:t>
      </w:r>
      <w:r w:rsidR="00CE1969">
        <w:t>ar</w:t>
      </w:r>
      <w:r w:rsidR="000A32A0" w:rsidRPr="005D4B23">
        <w:t xml:space="preserve">e appealable under the </w:t>
      </w:r>
      <w:r w:rsidR="000A32A0" w:rsidRPr="005D4B23">
        <w:rPr>
          <w:i/>
        </w:rPr>
        <w:t>Administrative Decisions (Judicial Review) Act 1977</w:t>
      </w:r>
      <w:r w:rsidR="005348F0">
        <w:t xml:space="preserve">, as </w:t>
      </w:r>
      <w:r w:rsidR="00CE1969">
        <w:t xml:space="preserve">are many other </w:t>
      </w:r>
      <w:r w:rsidR="005348F0">
        <w:t>administrative decisions under Commonwealth enactments</w:t>
      </w:r>
      <w:r w:rsidR="000A32A0" w:rsidRPr="005D4B23">
        <w:t xml:space="preserve">. </w:t>
      </w:r>
    </w:p>
    <w:p w14:paraId="61315872" w14:textId="77777777" w:rsidR="00A5766E" w:rsidRPr="005D4B23" w:rsidRDefault="00A5766E" w:rsidP="00993AAA">
      <w:pPr>
        <w:pStyle w:val="Heading4"/>
        <w:keepNext/>
      </w:pPr>
      <w:r w:rsidRPr="005D4B23">
        <w:lastRenderedPageBreak/>
        <w:t>Designs Regulations 2004</w:t>
      </w:r>
    </w:p>
    <w:p w14:paraId="3D1AFE8E" w14:textId="65D7F7FB" w:rsidR="00A5766E" w:rsidRPr="005D4B23" w:rsidRDefault="00A5766E" w:rsidP="00993AAA">
      <w:pPr>
        <w:pStyle w:val="Heading5"/>
        <w:keepNext/>
      </w:pPr>
      <w:r w:rsidRPr="005D4B23">
        <w:t xml:space="preserve">Item </w:t>
      </w:r>
      <w:r w:rsidR="00016423">
        <w:t>1</w:t>
      </w:r>
      <w:r w:rsidRPr="005D4B23">
        <w:t>: Regulation 10.01</w:t>
      </w:r>
    </w:p>
    <w:p w14:paraId="4FA47210" w14:textId="6CBDBF0C" w:rsidR="00A5766E" w:rsidRPr="005D4B23" w:rsidRDefault="00A5766E" w:rsidP="00E17CA9">
      <w:r w:rsidRPr="005D4B23">
        <w:rPr>
          <w:rFonts w:eastAsia="Calibri"/>
        </w:rPr>
        <w:t xml:space="preserve">This item </w:t>
      </w:r>
      <w:r w:rsidR="00C12641" w:rsidRPr="005D4B23">
        <w:rPr>
          <w:rFonts w:eastAsia="Calibri"/>
        </w:rPr>
        <w:t xml:space="preserve">makes a consequential amendment to regulation 10.01 as a result of the addition of </w:t>
      </w:r>
      <w:proofErr w:type="spellStart"/>
      <w:r w:rsidR="00310038" w:rsidRPr="005D4B23">
        <w:rPr>
          <w:rFonts w:eastAsia="Calibri"/>
        </w:rPr>
        <w:t>subregulation</w:t>
      </w:r>
      <w:proofErr w:type="spellEnd"/>
      <w:r w:rsidR="00C12641" w:rsidRPr="005D4B23">
        <w:rPr>
          <w:rFonts w:eastAsia="Calibri"/>
        </w:rPr>
        <w:t xml:space="preserve"> 10.01(2) by item </w:t>
      </w:r>
      <w:r w:rsidR="00614EB3">
        <w:rPr>
          <w:rFonts w:eastAsia="Calibri"/>
        </w:rPr>
        <w:t>2</w:t>
      </w:r>
      <w:r w:rsidR="00C12641" w:rsidRPr="005D4B23">
        <w:rPr>
          <w:rFonts w:eastAsia="Calibri"/>
        </w:rPr>
        <w:t>.</w:t>
      </w:r>
    </w:p>
    <w:p w14:paraId="52325E84" w14:textId="29513505" w:rsidR="00C12641" w:rsidRPr="005D4B23" w:rsidRDefault="00C12641" w:rsidP="00993AAA">
      <w:pPr>
        <w:keepNext/>
        <w:rPr>
          <w:u w:val="single"/>
        </w:rPr>
      </w:pPr>
      <w:r w:rsidRPr="005D4B23">
        <w:rPr>
          <w:u w:val="single"/>
        </w:rPr>
        <w:t xml:space="preserve">Item </w:t>
      </w:r>
      <w:r w:rsidR="00016423">
        <w:rPr>
          <w:u w:val="single"/>
        </w:rPr>
        <w:t>2</w:t>
      </w:r>
      <w:r w:rsidRPr="005D4B23">
        <w:rPr>
          <w:u w:val="single"/>
        </w:rPr>
        <w:t xml:space="preserve">: At the end of </w:t>
      </w:r>
      <w:r w:rsidR="0093131C">
        <w:rPr>
          <w:u w:val="single"/>
        </w:rPr>
        <w:t>regulation</w:t>
      </w:r>
      <w:r w:rsidRPr="005D4B23">
        <w:rPr>
          <w:u w:val="single"/>
        </w:rPr>
        <w:t xml:space="preserve"> 10.01</w:t>
      </w:r>
    </w:p>
    <w:p w14:paraId="7160DBDF" w14:textId="3ADF9701" w:rsidR="00C12641" w:rsidRPr="005D4B23" w:rsidRDefault="00C12641" w:rsidP="00E17CA9">
      <w:r w:rsidRPr="005D4B23">
        <w:t xml:space="preserve">This item inserts a new </w:t>
      </w:r>
      <w:proofErr w:type="spellStart"/>
      <w:r w:rsidR="00614EB3">
        <w:t>subregulation</w:t>
      </w:r>
      <w:proofErr w:type="spellEnd"/>
      <w:r w:rsidRPr="005D4B23">
        <w:t xml:space="preserve"> 10.01</w:t>
      </w:r>
      <w:r w:rsidR="00614EB3">
        <w:t>(2)</w:t>
      </w:r>
      <w:r w:rsidRPr="005D4B23">
        <w:t xml:space="preserve"> to all</w:t>
      </w:r>
      <w:r w:rsidR="0059495C">
        <w:t>ow</w:t>
      </w:r>
      <w:r w:rsidRPr="005D4B23">
        <w:t xml:space="preserve"> the Registrar </w:t>
      </w:r>
      <w:r w:rsidR="0059495C">
        <w:t xml:space="preserve">of Designs </w:t>
      </w:r>
      <w:r w:rsidRPr="005D4B23">
        <w:t xml:space="preserve">to delegate </w:t>
      </w:r>
      <w:r w:rsidR="00F46805">
        <w:t>the</w:t>
      </w:r>
      <w:r w:rsidR="005348F0">
        <w:t xml:space="preserve"> </w:t>
      </w:r>
      <w:r w:rsidRPr="005D4B23">
        <w:t xml:space="preserve">powers relating to summoning witnesses and requiring production of documents under paragraphs 127(1)(a) and (c) of the Designs Act to relevant </w:t>
      </w:r>
      <w:r w:rsidR="0059495C">
        <w:t xml:space="preserve">staff holding or performing the duties of an </w:t>
      </w:r>
      <w:r w:rsidRPr="005D4B23">
        <w:t xml:space="preserve">Executive </w:t>
      </w:r>
      <w:r w:rsidR="002951B4">
        <w:t>L</w:t>
      </w:r>
      <w:r w:rsidRPr="005D4B23">
        <w:t xml:space="preserve">evel 1 or above </w:t>
      </w:r>
      <w:r w:rsidR="0059495C">
        <w:t>position</w:t>
      </w:r>
      <w:r w:rsidRPr="005D4B23">
        <w:t xml:space="preserve">. </w:t>
      </w:r>
      <w:r w:rsidR="005348F0">
        <w:t>There is no sub</w:t>
      </w:r>
      <w:r w:rsidR="00F46805">
        <w:t>-</w:t>
      </w:r>
      <w:r w:rsidR="005348F0">
        <w:t>delegation of the Registrar’s powers</w:t>
      </w:r>
      <w:r w:rsidRPr="005D4B23">
        <w:t>.</w:t>
      </w:r>
    </w:p>
    <w:p w14:paraId="09EE5A0E" w14:textId="205C21B1" w:rsidR="00BC6D55" w:rsidRPr="005D4B23" w:rsidRDefault="00BC6D55" w:rsidP="00993AAA">
      <w:pPr>
        <w:pStyle w:val="Heading4"/>
        <w:keepNext/>
      </w:pPr>
      <w:r w:rsidRPr="005D4B23">
        <w:t>Patents Regulations 1991</w:t>
      </w:r>
    </w:p>
    <w:p w14:paraId="4BDED711" w14:textId="2B6BDCAE" w:rsidR="00D71C49" w:rsidRPr="005D4B23" w:rsidRDefault="006C08A0" w:rsidP="00993AAA">
      <w:pPr>
        <w:pStyle w:val="Heading5"/>
        <w:keepNext/>
        <w:rPr>
          <w:rFonts w:eastAsia="Calibri"/>
        </w:rPr>
      </w:pPr>
      <w:r w:rsidRPr="005D4B23">
        <w:rPr>
          <w:rFonts w:eastAsia="Calibri"/>
        </w:rPr>
        <w:t xml:space="preserve">Item </w:t>
      </w:r>
      <w:r w:rsidR="00040008">
        <w:rPr>
          <w:rFonts w:eastAsia="Calibri"/>
        </w:rPr>
        <w:t>3</w:t>
      </w:r>
      <w:r w:rsidRPr="005D4B23">
        <w:rPr>
          <w:rFonts w:eastAsia="Calibri"/>
        </w:rPr>
        <w:t xml:space="preserve">: </w:t>
      </w:r>
      <w:r w:rsidR="00653145" w:rsidRPr="005D4B23">
        <w:rPr>
          <w:rFonts w:eastAsia="Calibri"/>
        </w:rPr>
        <w:t xml:space="preserve">Regulation </w:t>
      </w:r>
      <w:r w:rsidRPr="005D4B23">
        <w:rPr>
          <w:rFonts w:eastAsia="Calibri"/>
        </w:rPr>
        <w:t>21.2</w:t>
      </w:r>
    </w:p>
    <w:p w14:paraId="7D8BE822" w14:textId="473B560C" w:rsidR="00DF127D" w:rsidRPr="005D4B23" w:rsidRDefault="00DF127D" w:rsidP="00E17CA9">
      <w:pPr>
        <w:rPr>
          <w:rFonts w:eastAsia="Calibri"/>
          <w:szCs w:val="22"/>
        </w:rPr>
      </w:pPr>
      <w:r w:rsidRPr="005D4B23">
        <w:rPr>
          <w:rFonts w:eastAsia="Calibri"/>
          <w:szCs w:val="22"/>
        </w:rPr>
        <w:t xml:space="preserve">This item makes a consequential amendment to regulation 21.2 as a result of the addition of </w:t>
      </w:r>
      <w:proofErr w:type="spellStart"/>
      <w:r w:rsidRPr="005D4B23">
        <w:rPr>
          <w:rFonts w:eastAsia="Calibri"/>
          <w:szCs w:val="22"/>
        </w:rPr>
        <w:t>subregulation</w:t>
      </w:r>
      <w:proofErr w:type="spellEnd"/>
      <w:r w:rsidRPr="005D4B23">
        <w:rPr>
          <w:rFonts w:eastAsia="Calibri"/>
          <w:szCs w:val="22"/>
        </w:rPr>
        <w:t xml:space="preserve"> 21.2(2) by item </w:t>
      </w:r>
      <w:r w:rsidR="0059495C">
        <w:rPr>
          <w:rFonts w:eastAsia="Calibri"/>
          <w:szCs w:val="22"/>
        </w:rPr>
        <w:t>5</w:t>
      </w:r>
      <w:r w:rsidRPr="005D4B23">
        <w:rPr>
          <w:rFonts w:eastAsia="Calibri"/>
          <w:szCs w:val="22"/>
        </w:rPr>
        <w:t>.</w:t>
      </w:r>
    </w:p>
    <w:p w14:paraId="40D163A3" w14:textId="1AB66DD5" w:rsidR="004F3669" w:rsidRPr="005D4B23" w:rsidRDefault="00DF127D" w:rsidP="00993AAA">
      <w:pPr>
        <w:keepNext/>
        <w:rPr>
          <w:rFonts w:eastAsia="Calibri"/>
          <w:szCs w:val="22"/>
          <w:u w:val="single"/>
        </w:rPr>
      </w:pPr>
      <w:r w:rsidRPr="005D4B23">
        <w:rPr>
          <w:rFonts w:eastAsia="Calibri"/>
          <w:szCs w:val="22"/>
          <w:u w:val="single"/>
        </w:rPr>
        <w:t xml:space="preserve">Item </w:t>
      </w:r>
      <w:r w:rsidR="00016423">
        <w:rPr>
          <w:rFonts w:eastAsia="Calibri"/>
          <w:szCs w:val="22"/>
          <w:u w:val="single"/>
        </w:rPr>
        <w:t>4</w:t>
      </w:r>
      <w:r w:rsidRPr="005D4B23">
        <w:rPr>
          <w:rFonts w:eastAsia="Calibri"/>
          <w:szCs w:val="22"/>
          <w:u w:val="single"/>
        </w:rPr>
        <w:t xml:space="preserve">: </w:t>
      </w:r>
      <w:r w:rsidR="0093131C">
        <w:rPr>
          <w:rFonts w:eastAsia="Calibri"/>
          <w:szCs w:val="22"/>
          <w:u w:val="single"/>
        </w:rPr>
        <w:t>Regulation</w:t>
      </w:r>
      <w:r w:rsidR="004F3669" w:rsidRPr="005D4B23">
        <w:rPr>
          <w:rFonts w:eastAsia="Calibri"/>
          <w:szCs w:val="22"/>
          <w:u w:val="single"/>
        </w:rPr>
        <w:t xml:space="preserve"> 21.2</w:t>
      </w:r>
    </w:p>
    <w:p w14:paraId="7B55633F" w14:textId="53E0C754" w:rsidR="00DF127D" w:rsidRPr="005D4B23" w:rsidRDefault="00DF127D" w:rsidP="00E17CA9">
      <w:r w:rsidRPr="005D4B23">
        <w:rPr>
          <w:rFonts w:eastAsia="Calibri"/>
          <w:szCs w:val="22"/>
        </w:rPr>
        <w:t xml:space="preserve">This item </w:t>
      </w:r>
      <w:r w:rsidR="007A4F7E" w:rsidRPr="005D4B23">
        <w:rPr>
          <w:rFonts w:eastAsia="Calibri"/>
          <w:szCs w:val="22"/>
        </w:rPr>
        <w:t>a</w:t>
      </w:r>
      <w:r w:rsidR="007A4F7E" w:rsidRPr="005D4B23">
        <w:rPr>
          <w:szCs w:val="22"/>
        </w:rPr>
        <w:t xml:space="preserve">mends regulation 21.2 of the Patents Regulations to correct a </w:t>
      </w:r>
      <w:r w:rsidR="007A4F7E" w:rsidRPr="005D4B23">
        <w:t xml:space="preserve">typographical error so that it correctly refers to </w:t>
      </w:r>
      <w:r w:rsidR="0093131C">
        <w:t>regulation</w:t>
      </w:r>
      <w:r w:rsidR="007A4F7E" w:rsidRPr="005D4B23">
        <w:t xml:space="preserve"> 210(1)(a) and (c).</w:t>
      </w:r>
    </w:p>
    <w:p w14:paraId="5531ACD2" w14:textId="63A0365B" w:rsidR="004F3669" w:rsidRPr="005D4B23" w:rsidRDefault="004F3669" w:rsidP="00993AAA">
      <w:pPr>
        <w:keepNext/>
        <w:rPr>
          <w:rFonts w:eastAsia="Calibri"/>
          <w:szCs w:val="22"/>
          <w:u w:val="single"/>
        </w:rPr>
      </w:pPr>
      <w:r w:rsidRPr="005D4B23">
        <w:rPr>
          <w:rFonts w:eastAsia="Calibri"/>
          <w:szCs w:val="22"/>
          <w:u w:val="single"/>
        </w:rPr>
        <w:t xml:space="preserve">Item </w:t>
      </w:r>
      <w:r w:rsidR="00016423">
        <w:rPr>
          <w:rFonts w:eastAsia="Calibri"/>
          <w:szCs w:val="22"/>
          <w:u w:val="single"/>
        </w:rPr>
        <w:t>5</w:t>
      </w:r>
      <w:r w:rsidR="007F6B3E" w:rsidRPr="005D4B23">
        <w:rPr>
          <w:rFonts w:eastAsia="Calibri"/>
          <w:szCs w:val="22"/>
          <w:u w:val="single"/>
        </w:rPr>
        <w:t>:</w:t>
      </w:r>
      <w:r w:rsidRPr="005D4B23">
        <w:rPr>
          <w:rFonts w:eastAsia="Calibri"/>
          <w:szCs w:val="22"/>
          <w:u w:val="single"/>
        </w:rPr>
        <w:t xml:space="preserve"> At the end of </w:t>
      </w:r>
      <w:r w:rsidR="0093131C">
        <w:rPr>
          <w:rFonts w:eastAsia="Calibri"/>
          <w:szCs w:val="22"/>
          <w:u w:val="single"/>
        </w:rPr>
        <w:t>regulation</w:t>
      </w:r>
      <w:r w:rsidRPr="005D4B23">
        <w:rPr>
          <w:rFonts w:eastAsia="Calibri"/>
          <w:szCs w:val="22"/>
          <w:u w:val="single"/>
        </w:rPr>
        <w:t xml:space="preserve"> 21.2</w:t>
      </w:r>
    </w:p>
    <w:p w14:paraId="0FDAEFF8" w14:textId="734E4457" w:rsidR="00A5386E" w:rsidRPr="005D4B23" w:rsidRDefault="00A5766E" w:rsidP="00E17CA9">
      <w:r w:rsidRPr="005D4B23">
        <w:rPr>
          <w:rFonts w:eastAsia="Calibri"/>
          <w:szCs w:val="22"/>
        </w:rPr>
        <w:t>This item</w:t>
      </w:r>
      <w:r w:rsidR="006C08A0" w:rsidRPr="005D4B23">
        <w:rPr>
          <w:rFonts w:eastAsia="Calibri"/>
          <w:szCs w:val="22"/>
        </w:rPr>
        <w:t xml:space="preserve"> </w:t>
      </w:r>
      <w:r w:rsidR="004F3669" w:rsidRPr="005D4B23">
        <w:rPr>
          <w:rFonts w:eastAsia="Calibri"/>
          <w:szCs w:val="22"/>
        </w:rPr>
        <w:t xml:space="preserve">inserts a new provision to </w:t>
      </w:r>
      <w:r w:rsidR="006C08A0" w:rsidRPr="005D4B23">
        <w:rPr>
          <w:rFonts w:eastAsia="Calibri"/>
          <w:szCs w:val="22"/>
        </w:rPr>
        <w:t xml:space="preserve">regulation 21.2 of the Patents Regulations </w:t>
      </w:r>
      <w:r w:rsidR="004F3669" w:rsidRPr="005D4B23">
        <w:rPr>
          <w:rFonts w:eastAsia="Calibri"/>
          <w:szCs w:val="22"/>
        </w:rPr>
        <w:t xml:space="preserve">to </w:t>
      </w:r>
      <w:r w:rsidR="00057122" w:rsidRPr="005D4B23">
        <w:rPr>
          <w:rFonts w:eastAsia="Calibri"/>
          <w:szCs w:val="22"/>
        </w:rPr>
        <w:t>allow</w:t>
      </w:r>
      <w:r w:rsidR="005D664A" w:rsidRPr="005D4B23">
        <w:rPr>
          <w:rFonts w:eastAsia="Calibri"/>
          <w:szCs w:val="22"/>
        </w:rPr>
        <w:t xml:space="preserve"> </w:t>
      </w:r>
      <w:r w:rsidR="00057122" w:rsidRPr="005D4B23">
        <w:rPr>
          <w:rFonts w:eastAsia="Calibri"/>
          <w:szCs w:val="22"/>
        </w:rPr>
        <w:t xml:space="preserve">the Commissioner to delegate </w:t>
      </w:r>
      <w:r w:rsidR="00F46805">
        <w:rPr>
          <w:rFonts w:eastAsia="Calibri"/>
          <w:szCs w:val="22"/>
        </w:rPr>
        <w:t>the</w:t>
      </w:r>
      <w:r w:rsidR="00F46805" w:rsidRPr="005D4B23">
        <w:rPr>
          <w:rFonts w:eastAsia="Calibri"/>
          <w:szCs w:val="22"/>
        </w:rPr>
        <w:t xml:space="preserve"> </w:t>
      </w:r>
      <w:r w:rsidR="00057122" w:rsidRPr="005D4B23">
        <w:rPr>
          <w:rFonts w:eastAsia="Calibri"/>
          <w:szCs w:val="22"/>
        </w:rPr>
        <w:t>powers</w:t>
      </w:r>
      <w:r w:rsidR="0024656C" w:rsidRPr="005D4B23">
        <w:rPr>
          <w:rFonts w:eastAsia="Calibri"/>
          <w:szCs w:val="22"/>
        </w:rPr>
        <w:t xml:space="preserve"> </w:t>
      </w:r>
      <w:r w:rsidR="004C0554" w:rsidRPr="005D4B23">
        <w:t xml:space="preserve">relating to summoning witnesses and requiring production of documents under </w:t>
      </w:r>
      <w:r w:rsidR="00C553FA" w:rsidRPr="005D4B23">
        <w:t>paragraphs 210(1)(a) and 210(1)(c) of the Patents Act to</w:t>
      </w:r>
      <w:r w:rsidR="00901569" w:rsidRPr="005D4B23">
        <w:t xml:space="preserve"> </w:t>
      </w:r>
      <w:r w:rsidR="00AD7A84" w:rsidRPr="005D4B23">
        <w:t xml:space="preserve">relevant </w:t>
      </w:r>
      <w:r w:rsidR="0059495C">
        <w:t xml:space="preserve">staff holding or performing the duties of an </w:t>
      </w:r>
      <w:r w:rsidR="0059495C" w:rsidRPr="005D4B23">
        <w:t xml:space="preserve">Executive </w:t>
      </w:r>
      <w:r w:rsidR="0059495C">
        <w:t>L</w:t>
      </w:r>
      <w:r w:rsidR="0059495C" w:rsidRPr="005D4B23">
        <w:t xml:space="preserve">evel 1 or above </w:t>
      </w:r>
      <w:r w:rsidR="0059495C">
        <w:t>position</w:t>
      </w:r>
      <w:r w:rsidR="0059495C" w:rsidRPr="005D4B23">
        <w:t>.</w:t>
      </w:r>
      <w:r w:rsidR="005348F0">
        <w:t xml:space="preserve"> There is no sub</w:t>
      </w:r>
      <w:r w:rsidR="00F46805">
        <w:t>-</w:t>
      </w:r>
      <w:r w:rsidR="005348F0">
        <w:t>delegation of the Commissioner’s powers</w:t>
      </w:r>
      <w:r w:rsidR="0059495C" w:rsidRPr="005D4B23">
        <w:t>.</w:t>
      </w:r>
    </w:p>
    <w:p w14:paraId="4242D2B9" w14:textId="070DBD3B" w:rsidR="0037448F" w:rsidRPr="005D4B23" w:rsidRDefault="0037448F" w:rsidP="00993AAA">
      <w:pPr>
        <w:pStyle w:val="Heading3"/>
        <w:keepNext/>
        <w:rPr>
          <w:noProof/>
        </w:rPr>
      </w:pPr>
      <w:r w:rsidRPr="005D4B23">
        <w:t xml:space="preserve">Part </w:t>
      </w:r>
      <w:r w:rsidR="00016423">
        <w:t>2</w:t>
      </w:r>
      <w:r w:rsidRPr="005D4B23">
        <w:t xml:space="preserve"> – </w:t>
      </w:r>
      <w:r w:rsidRPr="005D4B23">
        <w:rPr>
          <w:noProof/>
        </w:rPr>
        <w:t>Fees</w:t>
      </w:r>
    </w:p>
    <w:p w14:paraId="189AC8D1" w14:textId="30866D84" w:rsidR="0037448F" w:rsidRPr="005D4B23" w:rsidRDefault="0037448F" w:rsidP="00E17CA9">
      <w:r w:rsidRPr="005D4B23">
        <w:t xml:space="preserve">This part amends item 404 of the Patents Regulations to </w:t>
      </w:r>
      <w:r w:rsidR="00D248D6">
        <w:t xml:space="preserve">ensure that </w:t>
      </w:r>
      <w:r w:rsidRPr="005D4B23">
        <w:t>Australia</w:t>
      </w:r>
      <w:r w:rsidR="00D248D6">
        <w:t xml:space="preserve"> continues to meet the </w:t>
      </w:r>
      <w:r w:rsidRPr="005D4B23">
        <w:t>obligation</w:t>
      </w:r>
      <w:r w:rsidR="00D248D6">
        <w:t xml:space="preserve"> under the PCT</w:t>
      </w:r>
      <w:r w:rsidRPr="005D4B23">
        <w:t xml:space="preserve"> to </w:t>
      </w:r>
      <w:r w:rsidR="004A6AA5">
        <w:t>apply</w:t>
      </w:r>
      <w:r w:rsidR="004A6AA5" w:rsidRPr="005D4B23">
        <w:t xml:space="preserve"> </w:t>
      </w:r>
      <w:r w:rsidRPr="005D4B23">
        <w:t>reduction</w:t>
      </w:r>
      <w:r w:rsidR="00D248D6">
        <w:t xml:space="preserve">s </w:t>
      </w:r>
      <w:r w:rsidR="003C6BA1">
        <w:t>to</w:t>
      </w:r>
      <w:r w:rsidR="00D248D6">
        <w:t xml:space="preserve"> certain international fees payable for the benefit of the International Bureau of the World Intellectual Property Organi</w:t>
      </w:r>
      <w:r w:rsidR="00EF511D">
        <w:t>s</w:t>
      </w:r>
      <w:r w:rsidR="00D248D6">
        <w:t>ation</w:t>
      </w:r>
      <w:r w:rsidRPr="005D4B23">
        <w:t xml:space="preserve">. </w:t>
      </w:r>
    </w:p>
    <w:p w14:paraId="0516C9F4" w14:textId="30242F41" w:rsidR="0037448F" w:rsidRPr="005D4B23" w:rsidRDefault="0037448F" w:rsidP="00E17CA9">
      <w:pPr>
        <w:rPr>
          <w:strike/>
        </w:rPr>
      </w:pPr>
      <w:r w:rsidRPr="005D4B23">
        <w:t xml:space="preserve">The current wording under item 404 of the Patents Regulations is outdated and does not align with the current </w:t>
      </w:r>
      <w:r w:rsidR="002951B4">
        <w:t>s</w:t>
      </w:r>
      <w:r w:rsidRPr="005D4B23">
        <w:t xml:space="preserve">chedule of </w:t>
      </w:r>
      <w:r w:rsidR="002951B4">
        <w:t>f</w:t>
      </w:r>
      <w:r w:rsidRPr="005D4B23">
        <w:t xml:space="preserve">ees under PCT regulations. These amendments are necessary to ensure consistency with the changes to the fee reduction criteria in item 5 in the PCT </w:t>
      </w:r>
      <w:r w:rsidR="002951B4">
        <w:t>s</w:t>
      </w:r>
      <w:r w:rsidR="00A5766E" w:rsidRPr="005D4B23">
        <w:t xml:space="preserve">chedule of </w:t>
      </w:r>
      <w:r w:rsidR="002951B4">
        <w:t>f</w:t>
      </w:r>
      <w:r w:rsidRPr="005D4B23">
        <w:t xml:space="preserve">ees adopted by the PCT </w:t>
      </w:r>
      <w:r w:rsidR="002951B4">
        <w:t>U</w:t>
      </w:r>
      <w:r w:rsidRPr="005D4B23">
        <w:t>nion</w:t>
      </w:r>
      <w:r w:rsidR="004A6AA5">
        <w:t xml:space="preserve"> in 2018</w:t>
      </w:r>
      <w:r w:rsidRPr="005D4B23">
        <w:t>.</w:t>
      </w:r>
      <w:r w:rsidR="00992F07">
        <w:t xml:space="preserve"> The amendments do not affect the fees payable to the Patent Office.</w:t>
      </w:r>
    </w:p>
    <w:p w14:paraId="564E48D1" w14:textId="77777777" w:rsidR="0037448F" w:rsidRPr="005D4B23" w:rsidRDefault="0037448F" w:rsidP="00993AAA">
      <w:pPr>
        <w:pStyle w:val="Heading4"/>
        <w:keepNext/>
      </w:pPr>
      <w:r w:rsidRPr="005D4B23">
        <w:lastRenderedPageBreak/>
        <w:t>Patents Regulations 1991</w:t>
      </w:r>
    </w:p>
    <w:p w14:paraId="144C5617" w14:textId="7735A355" w:rsidR="0037448F" w:rsidRPr="005D4B23" w:rsidRDefault="0037448F" w:rsidP="00993AAA">
      <w:pPr>
        <w:pStyle w:val="Heading5"/>
        <w:keepNext/>
        <w:rPr>
          <w:rFonts w:eastAsia="Calibri"/>
        </w:rPr>
      </w:pPr>
      <w:r w:rsidRPr="005D4B23">
        <w:rPr>
          <w:rFonts w:eastAsia="Calibri"/>
        </w:rPr>
        <w:t xml:space="preserve">Item </w:t>
      </w:r>
      <w:r w:rsidR="00016423">
        <w:rPr>
          <w:rFonts w:eastAsia="Calibri"/>
        </w:rPr>
        <w:t>6</w:t>
      </w:r>
      <w:r w:rsidRPr="005D4B23">
        <w:rPr>
          <w:rFonts w:eastAsia="Calibri"/>
        </w:rPr>
        <w:t xml:space="preserve">: Clause 4 of Schedule 7 (table item 404) </w:t>
      </w:r>
    </w:p>
    <w:p w14:paraId="70B20E9B" w14:textId="33CFFB37" w:rsidR="00992F07" w:rsidRDefault="0037448F" w:rsidP="00E17CA9">
      <w:r w:rsidRPr="005D4B23">
        <w:t xml:space="preserve">This </w:t>
      </w:r>
      <w:r w:rsidR="004A6AA5">
        <w:t xml:space="preserve">item repeals and substitutes </w:t>
      </w:r>
      <w:r w:rsidRPr="005D4B23">
        <w:t>item 404</w:t>
      </w:r>
      <w:r w:rsidR="002A2E6F" w:rsidRPr="005D4B23">
        <w:t xml:space="preserve"> </w:t>
      </w:r>
      <w:r w:rsidR="004A6AA5">
        <w:t xml:space="preserve">so </w:t>
      </w:r>
      <w:r w:rsidR="002A2E6F" w:rsidRPr="005D4B23">
        <w:t xml:space="preserve">that it </w:t>
      </w:r>
      <w:r w:rsidR="004A6AA5">
        <w:t xml:space="preserve">applies the </w:t>
      </w:r>
      <w:r w:rsidRPr="005D4B23">
        <w:t>fee reduction criteria under the PCT regulations</w:t>
      </w:r>
      <w:r w:rsidR="002A2E6F" w:rsidRPr="005D4B23">
        <w:t xml:space="preserve"> (item 5 of the schedule of fees </w:t>
      </w:r>
      <w:r w:rsidR="004A6AA5">
        <w:t>set out in</w:t>
      </w:r>
      <w:r w:rsidR="004A6AA5" w:rsidRPr="005D4B23">
        <w:t xml:space="preserve"> </w:t>
      </w:r>
      <w:r w:rsidR="002A2E6F" w:rsidRPr="005D4B23">
        <w:t>the PCT)</w:t>
      </w:r>
      <w:r w:rsidRPr="005D4B23">
        <w:t xml:space="preserve">. </w:t>
      </w:r>
    </w:p>
    <w:p w14:paraId="39228DAF" w14:textId="00C2D28E" w:rsidR="00992F07" w:rsidRDefault="00992F07" w:rsidP="00E17CA9">
      <w:r w:rsidRPr="005D4B23">
        <w:t xml:space="preserve">Schedule 1 </w:t>
      </w:r>
      <w:r w:rsidR="00632566">
        <w:t>to</w:t>
      </w:r>
      <w:r w:rsidR="00632566" w:rsidRPr="005D4B23">
        <w:t xml:space="preserve"> </w:t>
      </w:r>
      <w:r w:rsidRPr="005D4B23">
        <w:t>the Patents Act provides a definition of the PCT</w:t>
      </w:r>
      <w:r w:rsidR="00632566">
        <w:t xml:space="preserve"> which</w:t>
      </w:r>
      <w:r w:rsidRPr="005D4B23">
        <w:t xml:space="preserve"> refer</w:t>
      </w:r>
      <w:r w:rsidR="00632566">
        <w:t>s</w:t>
      </w:r>
      <w:r w:rsidRPr="005D4B23">
        <w:t xml:space="preserve"> to the treaty and the regulations made under that treaty as in force from time to time. </w:t>
      </w:r>
      <w:r>
        <w:t xml:space="preserve">Because of </w:t>
      </w:r>
      <w:r w:rsidR="00632566">
        <w:t>that definition</w:t>
      </w:r>
      <w:r>
        <w:t>, the reference in this item to the schedule of fees in the PCT will be taken to refer to that schedule as in force from time to time (even without specific reference to that in the provision of the regulation).</w:t>
      </w:r>
    </w:p>
    <w:p w14:paraId="02E2DD0A" w14:textId="4D142F42" w:rsidR="00ED03A9" w:rsidRPr="005D4B23" w:rsidRDefault="0037448F" w:rsidP="00E17CA9">
      <w:r w:rsidRPr="005D4B23">
        <w:t xml:space="preserve">This </w:t>
      </w:r>
      <w:r w:rsidR="00992F07">
        <w:t xml:space="preserve">amendment </w:t>
      </w:r>
      <w:r w:rsidRPr="005D4B23">
        <w:t xml:space="preserve">will ensure </w:t>
      </w:r>
      <w:r w:rsidR="00992F07">
        <w:t xml:space="preserve">that the fee reduction in item 404 of the Patents Regulations is </w:t>
      </w:r>
      <w:r w:rsidRPr="005D4B23">
        <w:t>consisten</w:t>
      </w:r>
      <w:r w:rsidR="00992F07">
        <w:t>t</w:t>
      </w:r>
      <w:r w:rsidRPr="005D4B23">
        <w:t xml:space="preserve"> with the changes to item 5 of the PCT </w:t>
      </w:r>
      <w:r w:rsidR="002951B4">
        <w:t>s</w:t>
      </w:r>
      <w:r w:rsidRPr="005D4B23">
        <w:t xml:space="preserve">chedule of fees that came into force on </w:t>
      </w:r>
      <w:r w:rsidR="00993AAA" w:rsidRPr="005D4B23">
        <w:t>1</w:t>
      </w:r>
      <w:r w:rsidR="00993AAA">
        <w:t> </w:t>
      </w:r>
      <w:r w:rsidRPr="005D4B23">
        <w:t>July 2018</w:t>
      </w:r>
      <w:r w:rsidR="002A2E6F" w:rsidRPr="005D4B23">
        <w:t xml:space="preserve"> and</w:t>
      </w:r>
      <w:r w:rsidR="00146344" w:rsidRPr="005D4B23">
        <w:t xml:space="preserve"> allow any</w:t>
      </w:r>
      <w:r w:rsidR="002A2E6F" w:rsidRPr="005D4B23">
        <w:t xml:space="preserve"> future changes to</w:t>
      </w:r>
      <w:r w:rsidR="00146344" w:rsidRPr="005D4B23">
        <w:t xml:space="preserve"> this fee and </w:t>
      </w:r>
      <w:r w:rsidR="00B92B17" w:rsidRPr="005D4B23">
        <w:t xml:space="preserve">fee </w:t>
      </w:r>
      <w:r w:rsidR="00146344" w:rsidRPr="005D4B23">
        <w:t>reduction criteria</w:t>
      </w:r>
      <w:r w:rsidR="00B92B17" w:rsidRPr="005D4B23">
        <w:t xml:space="preserve"> to be applied</w:t>
      </w:r>
      <w:r w:rsidR="00992F07">
        <w:t xml:space="preserve"> in Australia</w:t>
      </w:r>
      <w:r w:rsidR="002A2E6F" w:rsidRPr="005D4B23">
        <w:t xml:space="preserve"> without the need to further update the </w:t>
      </w:r>
      <w:r w:rsidR="002951B4">
        <w:t xml:space="preserve">Patents </w:t>
      </w:r>
      <w:r w:rsidR="002A2E6F" w:rsidRPr="005D4B23">
        <w:t>Regulations</w:t>
      </w:r>
      <w:r w:rsidR="00992F07">
        <w:t>.</w:t>
      </w:r>
      <w:r w:rsidR="00ED03A9" w:rsidRPr="005D4B23">
        <w:t xml:space="preserve"> </w:t>
      </w:r>
      <w:r w:rsidR="00992F07">
        <w:t>This</w:t>
      </w:r>
      <w:r w:rsidR="00992F07" w:rsidRPr="005D4B23">
        <w:t xml:space="preserve"> </w:t>
      </w:r>
      <w:r w:rsidR="00ED03A9" w:rsidRPr="005D4B23">
        <w:t xml:space="preserve">is appropriate as this fee reduction </w:t>
      </w:r>
      <w:r w:rsidR="002951B4">
        <w:t>and the eligibility criteria for it are</w:t>
      </w:r>
      <w:r w:rsidR="00ED03A9" w:rsidRPr="005D4B23">
        <w:t xml:space="preserve"> regularly reviewed and revised by the PCT Union</w:t>
      </w:r>
      <w:r w:rsidRPr="005D4B23">
        <w:t>.</w:t>
      </w:r>
      <w:r w:rsidR="00126626" w:rsidRPr="005D4B23">
        <w:t xml:space="preserve"> </w:t>
      </w:r>
    </w:p>
    <w:p w14:paraId="4F8F73DE" w14:textId="5E8A646A" w:rsidR="0037448F" w:rsidRPr="005D4B23" w:rsidRDefault="00126626" w:rsidP="00E17CA9">
      <w:pPr>
        <w:rPr>
          <w:strike/>
        </w:rPr>
      </w:pPr>
      <w:r w:rsidRPr="005D4B23">
        <w:t xml:space="preserve">Reference to an item of the PCT </w:t>
      </w:r>
      <w:r w:rsidR="002951B4">
        <w:t>s</w:t>
      </w:r>
      <w:r w:rsidRPr="005D4B23">
        <w:t xml:space="preserve">chedule of fees is consistent with the approach taken to other parts of the </w:t>
      </w:r>
      <w:r w:rsidR="002951B4">
        <w:t>Patents Regulations</w:t>
      </w:r>
      <w:r w:rsidRPr="005D4B23">
        <w:t xml:space="preserve"> which</w:t>
      </w:r>
      <w:r w:rsidR="00716D8C" w:rsidRPr="005D4B23">
        <w:t>, where appropriate,</w:t>
      </w:r>
      <w:r w:rsidR="00862EDB" w:rsidRPr="005D4B23">
        <w:t xml:space="preserve"> </w:t>
      </w:r>
      <w:r w:rsidRPr="005D4B23">
        <w:t>directly cross-reference the text of the PCT. See for example regulation 3.5</w:t>
      </w:r>
      <w:proofErr w:type="gramStart"/>
      <w:r w:rsidRPr="005D4B23">
        <w:t>AB(</w:t>
      </w:r>
      <w:proofErr w:type="gramEnd"/>
      <w:r w:rsidRPr="005D4B23">
        <w:t>2), which refers to time limits by reference to the PCT Rules.</w:t>
      </w:r>
    </w:p>
    <w:p w14:paraId="3C078465" w14:textId="543355F0" w:rsidR="00B830B7" w:rsidRPr="005D4B23" w:rsidRDefault="00B830B7" w:rsidP="00E17CA9">
      <w:pPr>
        <w:pStyle w:val="Heading3"/>
        <w:rPr>
          <w:noProof/>
        </w:rPr>
      </w:pPr>
      <w:r w:rsidRPr="005D4B23">
        <w:rPr>
          <w:color w:val="000000"/>
        </w:rPr>
        <w:t xml:space="preserve">Part </w:t>
      </w:r>
      <w:r w:rsidR="00016423">
        <w:rPr>
          <w:color w:val="000000"/>
        </w:rPr>
        <w:t>3</w:t>
      </w:r>
      <w:r w:rsidRPr="005D4B23">
        <w:rPr>
          <w:color w:val="000000"/>
        </w:rPr>
        <w:t xml:space="preserve"> – </w:t>
      </w:r>
      <w:r w:rsidR="0037448F" w:rsidRPr="005D4B23">
        <w:rPr>
          <w:noProof/>
        </w:rPr>
        <w:t>Extension of time for acceptance</w:t>
      </w:r>
      <w:r w:rsidR="00D10BE1" w:rsidRPr="005D4B23">
        <w:rPr>
          <w:noProof/>
        </w:rPr>
        <w:tab/>
      </w:r>
    </w:p>
    <w:p w14:paraId="2AD4FCBB" w14:textId="7E3B25B3" w:rsidR="008F7F61" w:rsidRPr="005D4B23" w:rsidRDefault="00A5766E" w:rsidP="00E17CA9">
      <w:pPr>
        <w:rPr>
          <w:noProof/>
        </w:rPr>
      </w:pPr>
      <w:r w:rsidRPr="005D4B23">
        <w:rPr>
          <w:noProof/>
        </w:rPr>
        <w:t>This p</w:t>
      </w:r>
      <w:r w:rsidR="00C356B7" w:rsidRPr="005D4B23">
        <w:rPr>
          <w:noProof/>
        </w:rPr>
        <w:t xml:space="preserve">art amends the </w:t>
      </w:r>
      <w:r w:rsidR="003C7265" w:rsidRPr="005D4B23">
        <w:rPr>
          <w:noProof/>
        </w:rPr>
        <w:t>Patents Regulations</w:t>
      </w:r>
      <w:r w:rsidR="00C356B7" w:rsidRPr="005D4B23">
        <w:rPr>
          <w:noProof/>
        </w:rPr>
        <w:t xml:space="preserve"> to</w:t>
      </w:r>
      <w:r w:rsidR="00D10BE1" w:rsidRPr="005D4B23">
        <w:rPr>
          <w:noProof/>
        </w:rPr>
        <w:t xml:space="preserve"> </w:t>
      </w:r>
      <w:r w:rsidR="000616B6" w:rsidRPr="005D4B23">
        <w:rPr>
          <w:noProof/>
        </w:rPr>
        <w:t xml:space="preserve">provide greater certainty </w:t>
      </w:r>
      <w:r w:rsidR="0059495C">
        <w:rPr>
          <w:noProof/>
        </w:rPr>
        <w:t xml:space="preserve">for the </w:t>
      </w:r>
      <w:r w:rsidR="000616B6" w:rsidRPr="005D4B23">
        <w:rPr>
          <w:noProof/>
        </w:rPr>
        <w:t xml:space="preserve">acceptance </w:t>
      </w:r>
      <w:r w:rsidR="0059495C">
        <w:rPr>
          <w:noProof/>
        </w:rPr>
        <w:t>period</w:t>
      </w:r>
      <w:r w:rsidR="000616B6" w:rsidRPr="005D4B23">
        <w:rPr>
          <w:noProof/>
        </w:rPr>
        <w:t xml:space="preserve"> of an application subject to </w:t>
      </w:r>
      <w:r w:rsidR="00192338" w:rsidRPr="005D4B23">
        <w:rPr>
          <w:noProof/>
        </w:rPr>
        <w:t xml:space="preserve">an </w:t>
      </w:r>
      <w:r w:rsidR="000616B6" w:rsidRPr="005D4B23">
        <w:rPr>
          <w:noProof/>
        </w:rPr>
        <w:t xml:space="preserve">entitlement </w:t>
      </w:r>
      <w:r w:rsidR="0059495C">
        <w:rPr>
          <w:noProof/>
        </w:rPr>
        <w:t>dispute</w:t>
      </w:r>
      <w:r w:rsidR="00192338" w:rsidRPr="005D4B23">
        <w:rPr>
          <w:noProof/>
        </w:rPr>
        <w:t xml:space="preserve"> under s</w:t>
      </w:r>
      <w:r w:rsidR="003C3B0A">
        <w:rPr>
          <w:noProof/>
        </w:rPr>
        <w:t>ubsection</w:t>
      </w:r>
      <w:r w:rsidR="00192338" w:rsidRPr="005D4B23">
        <w:rPr>
          <w:noProof/>
        </w:rPr>
        <w:t xml:space="preserve"> 36(1) of the Patents Act</w:t>
      </w:r>
      <w:r w:rsidR="000616B6" w:rsidRPr="005D4B23">
        <w:rPr>
          <w:noProof/>
        </w:rPr>
        <w:t>.</w:t>
      </w:r>
    </w:p>
    <w:p w14:paraId="08FDACCF" w14:textId="3E223325" w:rsidR="00D00575" w:rsidRPr="005D4B23" w:rsidRDefault="00D00575" w:rsidP="00E17CA9">
      <w:pPr>
        <w:rPr>
          <w:noProof/>
        </w:rPr>
      </w:pPr>
      <w:r w:rsidRPr="005D4B23">
        <w:rPr>
          <w:noProof/>
        </w:rPr>
        <w:t>An application under s</w:t>
      </w:r>
      <w:r w:rsidR="009F5657" w:rsidRPr="005D4B23">
        <w:rPr>
          <w:noProof/>
        </w:rPr>
        <w:t>ubsection</w:t>
      </w:r>
      <w:r w:rsidRPr="005D4B23">
        <w:rPr>
          <w:noProof/>
        </w:rPr>
        <w:t xml:space="preserve"> 36(1) to challenge entitlement </w:t>
      </w:r>
      <w:r w:rsidR="001521D6" w:rsidRPr="005D4B23">
        <w:rPr>
          <w:noProof/>
        </w:rPr>
        <w:t>to</w:t>
      </w:r>
      <w:r w:rsidRPr="005D4B23">
        <w:rPr>
          <w:noProof/>
        </w:rPr>
        <w:t xml:space="preserve"> a patent application often delays acceptance of the application. While entitlement to the application is unclear or unresolved it cannot be accepted by the Patents Office. </w:t>
      </w:r>
      <w:r w:rsidR="001521D6" w:rsidRPr="005D4B23">
        <w:rPr>
          <w:noProof/>
        </w:rPr>
        <w:t xml:space="preserve">Under paragraph 13.4(1)(f) of the </w:t>
      </w:r>
      <w:r w:rsidR="002951B4">
        <w:rPr>
          <w:noProof/>
        </w:rPr>
        <w:t>Patents R</w:t>
      </w:r>
      <w:r w:rsidR="001521D6" w:rsidRPr="005D4B23">
        <w:rPr>
          <w:noProof/>
        </w:rPr>
        <w:t>egulations, the period for acceptance of an application may be extended if a successful application was made in respect of the application under subection 36(1). However, i</w:t>
      </w:r>
      <w:r w:rsidR="009F5657" w:rsidRPr="005D4B23">
        <w:rPr>
          <w:noProof/>
        </w:rPr>
        <w:t>f a s</w:t>
      </w:r>
      <w:r w:rsidR="002951B4">
        <w:rPr>
          <w:noProof/>
        </w:rPr>
        <w:t>ubsection</w:t>
      </w:r>
      <w:r w:rsidR="009F5657" w:rsidRPr="005D4B23">
        <w:rPr>
          <w:noProof/>
        </w:rPr>
        <w:t xml:space="preserve"> 36</w:t>
      </w:r>
      <w:r w:rsidR="002951B4">
        <w:rPr>
          <w:noProof/>
        </w:rPr>
        <w:t>(1)</w:t>
      </w:r>
      <w:r w:rsidR="009F5657" w:rsidRPr="005D4B23">
        <w:rPr>
          <w:noProof/>
        </w:rPr>
        <w:t xml:space="preserve"> application is found to be unsuccessful</w:t>
      </w:r>
      <w:r w:rsidR="003C3B0A">
        <w:rPr>
          <w:noProof/>
        </w:rPr>
        <w:t>, then</w:t>
      </w:r>
      <w:r w:rsidR="009F5657" w:rsidRPr="005D4B23">
        <w:rPr>
          <w:noProof/>
        </w:rPr>
        <w:t xml:space="preserve"> it is unclear if the extension period for acceptance under paragraph 13.4(1)(f)</w:t>
      </w:r>
      <w:r w:rsidR="001521D6" w:rsidRPr="005D4B23">
        <w:rPr>
          <w:noProof/>
        </w:rPr>
        <w:t xml:space="preserve"> is available</w:t>
      </w:r>
      <w:r w:rsidR="009F5657" w:rsidRPr="005D4B23">
        <w:rPr>
          <w:noProof/>
        </w:rPr>
        <w:t>. Consequently, an applicant</w:t>
      </w:r>
      <w:r w:rsidR="003C3B0A">
        <w:rPr>
          <w:noProof/>
        </w:rPr>
        <w:t>,</w:t>
      </w:r>
      <w:r w:rsidR="009F5657" w:rsidRPr="005D4B23">
        <w:rPr>
          <w:noProof/>
        </w:rPr>
        <w:t xml:space="preserve"> through no fault of their own</w:t>
      </w:r>
      <w:r w:rsidR="003C3B0A">
        <w:rPr>
          <w:noProof/>
        </w:rPr>
        <w:t>,</w:t>
      </w:r>
      <w:r w:rsidR="009F5657" w:rsidRPr="005D4B23">
        <w:rPr>
          <w:noProof/>
        </w:rPr>
        <w:t xml:space="preserve"> may find their patent application has not been accepted with</w:t>
      </w:r>
      <w:r w:rsidR="003676A7" w:rsidRPr="005D4B23">
        <w:rPr>
          <w:noProof/>
        </w:rPr>
        <w:t>in</w:t>
      </w:r>
      <w:r w:rsidR="009F5657" w:rsidRPr="005D4B23">
        <w:rPr>
          <w:noProof/>
        </w:rPr>
        <w:t xml:space="preserve"> the prescribed period and has therefore lapsed. </w:t>
      </w:r>
    </w:p>
    <w:p w14:paraId="40078172" w14:textId="538AF6AF" w:rsidR="009F5657" w:rsidRPr="005D4B23" w:rsidRDefault="009F5657" w:rsidP="00E17CA9">
      <w:pPr>
        <w:rPr>
          <w:noProof/>
        </w:rPr>
      </w:pPr>
      <w:r w:rsidRPr="005D4B23">
        <w:rPr>
          <w:noProof/>
        </w:rPr>
        <w:t xml:space="preserve">The amendment </w:t>
      </w:r>
      <w:r w:rsidR="003C3B0A">
        <w:rPr>
          <w:noProof/>
        </w:rPr>
        <w:t xml:space="preserve">made by this Part </w:t>
      </w:r>
      <w:r w:rsidRPr="005D4B23">
        <w:rPr>
          <w:noProof/>
        </w:rPr>
        <w:t>address</w:t>
      </w:r>
      <w:r w:rsidR="003C3B0A">
        <w:rPr>
          <w:noProof/>
        </w:rPr>
        <w:t>es</w:t>
      </w:r>
      <w:r w:rsidRPr="005D4B23">
        <w:rPr>
          <w:noProof/>
        </w:rPr>
        <w:t xml:space="preserve"> this issue by clarifying that the extension referred to in the Patent</w:t>
      </w:r>
      <w:r w:rsidR="003C7265" w:rsidRPr="005D4B23">
        <w:rPr>
          <w:noProof/>
        </w:rPr>
        <w:t>s</w:t>
      </w:r>
      <w:r w:rsidRPr="005D4B23">
        <w:rPr>
          <w:noProof/>
        </w:rPr>
        <w:t xml:space="preserve"> Regulations may be granted whether or not a subsection 36(1) application is su</w:t>
      </w:r>
      <w:r w:rsidR="00FD38C7" w:rsidRPr="005D4B23">
        <w:rPr>
          <w:noProof/>
        </w:rPr>
        <w:t>c</w:t>
      </w:r>
      <w:r w:rsidRPr="005D4B23">
        <w:rPr>
          <w:noProof/>
        </w:rPr>
        <w:t xml:space="preserve">cessful. </w:t>
      </w:r>
      <w:r w:rsidR="00FD38C7" w:rsidRPr="005D4B23">
        <w:rPr>
          <w:noProof/>
        </w:rPr>
        <w:t xml:space="preserve">This is consistent with the further period </w:t>
      </w:r>
      <w:r w:rsidR="003C3B0A">
        <w:rPr>
          <w:noProof/>
        </w:rPr>
        <w:t>provided</w:t>
      </w:r>
      <w:r w:rsidR="003C3B0A" w:rsidRPr="005D4B23">
        <w:rPr>
          <w:noProof/>
        </w:rPr>
        <w:t xml:space="preserve"> </w:t>
      </w:r>
      <w:r w:rsidR="003C3B0A">
        <w:rPr>
          <w:noProof/>
        </w:rPr>
        <w:t>by existing subregulation 13.4(1)(e) for</w:t>
      </w:r>
      <w:r w:rsidR="003C3B0A" w:rsidRPr="005D4B23">
        <w:rPr>
          <w:noProof/>
        </w:rPr>
        <w:t xml:space="preserve"> </w:t>
      </w:r>
      <w:r w:rsidR="003C3B0A">
        <w:rPr>
          <w:noProof/>
        </w:rPr>
        <w:t>acceptance of an application that is the subject of a</w:t>
      </w:r>
      <w:r w:rsidR="00FD38C7" w:rsidRPr="005D4B23">
        <w:rPr>
          <w:noProof/>
        </w:rPr>
        <w:t xml:space="preserve"> </w:t>
      </w:r>
      <w:r w:rsidR="003C3B0A">
        <w:rPr>
          <w:noProof/>
        </w:rPr>
        <w:t xml:space="preserve">request </w:t>
      </w:r>
      <w:r w:rsidR="003C3B0A" w:rsidRPr="005D4B23">
        <w:rPr>
          <w:noProof/>
        </w:rPr>
        <w:t xml:space="preserve">under section 32 of the Patents Act </w:t>
      </w:r>
      <w:r w:rsidR="003C3B0A">
        <w:rPr>
          <w:noProof/>
        </w:rPr>
        <w:t xml:space="preserve">for the Commissioner to determine a </w:t>
      </w:r>
      <w:r w:rsidR="00FD38C7" w:rsidRPr="005D4B23">
        <w:rPr>
          <w:noProof/>
        </w:rPr>
        <w:t>dispute between joint applicants.</w:t>
      </w:r>
    </w:p>
    <w:p w14:paraId="47CED103" w14:textId="591F9625" w:rsidR="008F7F61" w:rsidRPr="005D4B23" w:rsidRDefault="008F7F61" w:rsidP="00993AAA">
      <w:pPr>
        <w:pStyle w:val="Heading4"/>
        <w:keepNext/>
      </w:pPr>
      <w:r w:rsidRPr="005D4B23">
        <w:lastRenderedPageBreak/>
        <w:t>Patents Regulations 1991</w:t>
      </w:r>
    </w:p>
    <w:p w14:paraId="7AB72E23" w14:textId="5074C38F" w:rsidR="00F850BE" w:rsidRPr="005D4B23" w:rsidRDefault="00F850BE" w:rsidP="00993AAA">
      <w:pPr>
        <w:pStyle w:val="Heading5"/>
        <w:keepNext/>
      </w:pPr>
      <w:r w:rsidRPr="005D4B23">
        <w:t xml:space="preserve">Item </w:t>
      </w:r>
      <w:r w:rsidR="00016423">
        <w:t>7</w:t>
      </w:r>
      <w:r w:rsidR="002B3BC9" w:rsidRPr="005D4B23">
        <w:t xml:space="preserve">: </w:t>
      </w:r>
      <w:r w:rsidR="00A5766E" w:rsidRPr="005D4B23">
        <w:t>Paragraph</w:t>
      </w:r>
      <w:r w:rsidR="00662597" w:rsidRPr="005D4B23">
        <w:t xml:space="preserve"> </w:t>
      </w:r>
      <w:r w:rsidR="002B3BC9" w:rsidRPr="005D4B23">
        <w:t>13.4</w:t>
      </w:r>
      <w:r w:rsidR="000E6F85" w:rsidRPr="005D4B23">
        <w:t>(1)(f)</w:t>
      </w:r>
    </w:p>
    <w:p w14:paraId="3852F692" w14:textId="30B2EEC7" w:rsidR="00261098" w:rsidRPr="005D4B23" w:rsidRDefault="000E6F85" w:rsidP="00E17CA9">
      <w:r w:rsidRPr="005D4B23">
        <w:t xml:space="preserve">This item amends </w:t>
      </w:r>
      <w:r w:rsidR="00C66A8E" w:rsidRPr="005D4B23">
        <w:t xml:space="preserve">paragraph </w:t>
      </w:r>
      <w:r w:rsidRPr="005D4B23">
        <w:t>13.4(1)(f) to specify that if an ap</w:t>
      </w:r>
      <w:r w:rsidR="00384B91" w:rsidRPr="005D4B23">
        <w:t xml:space="preserve">plication is made under </w:t>
      </w:r>
      <w:r w:rsidR="002951B4">
        <w:t>sub</w:t>
      </w:r>
      <w:r w:rsidR="00384B91" w:rsidRPr="005D4B23">
        <w:t>section </w:t>
      </w:r>
      <w:r w:rsidRPr="005D4B23">
        <w:t>36</w:t>
      </w:r>
      <w:r w:rsidR="002951B4">
        <w:t>(1)</w:t>
      </w:r>
      <w:r w:rsidRPr="005D4B23">
        <w:t xml:space="preserve"> of the Patents Act, </w:t>
      </w:r>
      <w:r w:rsidRPr="005D4B23">
        <w:rPr>
          <w:lang w:val="en"/>
        </w:rPr>
        <w:t>a further period of three months is provided for acceptance</w:t>
      </w:r>
      <w:r w:rsidR="001521D6" w:rsidRPr="005D4B23">
        <w:rPr>
          <w:lang w:val="en"/>
        </w:rPr>
        <w:t xml:space="preserve"> of the application</w:t>
      </w:r>
      <w:r w:rsidRPr="005D4B23">
        <w:rPr>
          <w:lang w:val="en"/>
        </w:rPr>
        <w:t xml:space="preserve"> from the date of any </w:t>
      </w:r>
      <w:r w:rsidR="00A5766E" w:rsidRPr="005D4B23">
        <w:rPr>
          <w:lang w:val="en"/>
        </w:rPr>
        <w:t>decision to make or not to make</w:t>
      </w:r>
      <w:r w:rsidRPr="005D4B23">
        <w:rPr>
          <w:lang w:val="en"/>
        </w:rPr>
        <w:t xml:space="preserve"> a d</w:t>
      </w:r>
      <w:r w:rsidR="00A5766E" w:rsidRPr="005D4B23">
        <w:rPr>
          <w:lang w:val="en"/>
        </w:rPr>
        <w:t>eclaration</w:t>
      </w:r>
      <w:r w:rsidRPr="005D4B23">
        <w:rPr>
          <w:lang w:val="en"/>
        </w:rPr>
        <w:t xml:space="preserve"> under </w:t>
      </w:r>
      <w:r w:rsidR="002951B4">
        <w:rPr>
          <w:lang w:val="en"/>
        </w:rPr>
        <w:t>that subsection</w:t>
      </w:r>
      <w:r w:rsidRPr="005D4B23">
        <w:rPr>
          <w:lang w:val="en"/>
        </w:rPr>
        <w:t>.</w:t>
      </w:r>
      <w:r w:rsidR="005F246C" w:rsidRPr="005D4B23">
        <w:rPr>
          <w:lang w:val="en"/>
        </w:rPr>
        <w:t xml:space="preserve"> </w:t>
      </w:r>
    </w:p>
    <w:p w14:paraId="7BC1D240" w14:textId="014EB92B" w:rsidR="000322F9" w:rsidRDefault="000322F9" w:rsidP="00E17CA9">
      <w:pPr>
        <w:pStyle w:val="Heading3"/>
      </w:pPr>
      <w:r>
        <w:t>Part 4</w:t>
      </w:r>
      <w:r w:rsidR="000D2A2F">
        <w:t xml:space="preserve"> – Certificate of verification</w:t>
      </w:r>
    </w:p>
    <w:p w14:paraId="02DFBEB8" w14:textId="44AEA4CC" w:rsidR="000322F9" w:rsidRPr="002951B4" w:rsidRDefault="000322F9" w:rsidP="000322F9">
      <w:pPr>
        <w:pStyle w:val="Heading4"/>
        <w:rPr>
          <w:i w:val="0"/>
        </w:rPr>
      </w:pPr>
      <w:r>
        <w:rPr>
          <w:i w:val="0"/>
        </w:rPr>
        <w:t xml:space="preserve">This Part </w:t>
      </w:r>
      <w:r w:rsidR="000D2A2F">
        <w:rPr>
          <w:i w:val="0"/>
        </w:rPr>
        <w:t xml:space="preserve">amends the definition of </w:t>
      </w:r>
      <w:r w:rsidR="00A87496">
        <w:rPr>
          <w:i w:val="0"/>
        </w:rPr>
        <w:t>the expression “</w:t>
      </w:r>
      <w:r w:rsidR="000D2A2F">
        <w:rPr>
          <w:i w:val="0"/>
        </w:rPr>
        <w:t>certificate of verification</w:t>
      </w:r>
      <w:r w:rsidR="00A87496">
        <w:rPr>
          <w:i w:val="0"/>
        </w:rPr>
        <w:t>”</w:t>
      </w:r>
      <w:r w:rsidR="0059495C">
        <w:rPr>
          <w:i w:val="0"/>
        </w:rPr>
        <w:t xml:space="preserve"> in the </w:t>
      </w:r>
      <w:r w:rsidR="00142DA4">
        <w:rPr>
          <w:i w:val="0"/>
        </w:rPr>
        <w:t xml:space="preserve">interpretation </w:t>
      </w:r>
      <w:r w:rsidR="00B42DF6">
        <w:rPr>
          <w:i w:val="0"/>
        </w:rPr>
        <w:t>provision</w:t>
      </w:r>
      <w:r w:rsidR="00142DA4">
        <w:rPr>
          <w:i w:val="0"/>
        </w:rPr>
        <w:t xml:space="preserve"> </w:t>
      </w:r>
      <w:r w:rsidR="0059495C">
        <w:rPr>
          <w:i w:val="0"/>
        </w:rPr>
        <w:t>in regulation 1.3 of the Patents Regulations.</w:t>
      </w:r>
    </w:p>
    <w:p w14:paraId="5CA44739" w14:textId="77777777" w:rsidR="000322F9" w:rsidRPr="005D4B23" w:rsidRDefault="000322F9" w:rsidP="00993AAA">
      <w:pPr>
        <w:pStyle w:val="Heading4"/>
        <w:keepNext/>
      </w:pPr>
      <w:r w:rsidRPr="005D4B23">
        <w:t>Patents Regulations 1991</w:t>
      </w:r>
    </w:p>
    <w:p w14:paraId="1D59F697" w14:textId="7D69D1BB" w:rsidR="000322F9" w:rsidRPr="005D4B23" w:rsidRDefault="000322F9" w:rsidP="00993AAA">
      <w:pPr>
        <w:pStyle w:val="Heading5"/>
        <w:keepNext/>
        <w:rPr>
          <w:u w:val="none"/>
        </w:rPr>
      </w:pPr>
      <w:r w:rsidRPr="005D4B23">
        <w:t xml:space="preserve">Item </w:t>
      </w:r>
      <w:r w:rsidR="00142DA4">
        <w:t>8</w:t>
      </w:r>
      <w:r w:rsidRPr="005D4B23">
        <w:t xml:space="preserve">: </w:t>
      </w:r>
      <w:r>
        <w:t>Definition of certificate of verification</w:t>
      </w:r>
    </w:p>
    <w:p w14:paraId="42A5B302" w14:textId="77777777" w:rsidR="00B42DF6" w:rsidRDefault="00142DA4" w:rsidP="000322F9">
      <w:r>
        <w:t>This item</w:t>
      </w:r>
      <w:r w:rsidR="00A87496">
        <w:t xml:space="preserve"> </w:t>
      </w:r>
      <w:r w:rsidR="000322F9">
        <w:t xml:space="preserve">amends the definition of “certificate of verification” in regulation 1.3. Paragraph (a) of the current definition refers to the “accompanying document” to the certificate. Under the </w:t>
      </w:r>
      <w:r>
        <w:t xml:space="preserve">amendments </w:t>
      </w:r>
      <w:r w:rsidR="000322F9">
        <w:t xml:space="preserve">made </w:t>
      </w:r>
      <w:r>
        <w:t xml:space="preserve">in </w:t>
      </w:r>
      <w:r w:rsidR="000D2A2F">
        <w:t>Schedule 1</w:t>
      </w:r>
      <w:r w:rsidR="000322F9">
        <w:t xml:space="preserve">, an applicant will no longer have to file a certificate of verification when filing the translation into English of an original document not in English. </w:t>
      </w:r>
    </w:p>
    <w:p w14:paraId="1F55C6DD" w14:textId="55629973" w:rsidR="000322F9" w:rsidRDefault="000322F9" w:rsidP="000322F9">
      <w:r>
        <w:t>This item therefore amends the definition to refer instead to the certificate of verification of the translation of a “</w:t>
      </w:r>
      <w:r w:rsidR="000D2A2F">
        <w:t xml:space="preserve">relevant </w:t>
      </w:r>
      <w:r>
        <w:t>document”</w:t>
      </w:r>
      <w:r w:rsidR="000D2A2F">
        <w:t xml:space="preserve">, to cover all circumstances when a certificate may need to be filed under the </w:t>
      </w:r>
      <w:r w:rsidR="00142DA4">
        <w:t xml:space="preserve">amendments </w:t>
      </w:r>
      <w:r w:rsidR="000D2A2F">
        <w:t xml:space="preserve">made </w:t>
      </w:r>
      <w:r w:rsidR="00142DA4">
        <w:t xml:space="preserve">in </w:t>
      </w:r>
      <w:r w:rsidR="000D2A2F">
        <w:t>Schedule 1</w:t>
      </w:r>
      <w:r>
        <w:t xml:space="preserve">. </w:t>
      </w:r>
    </w:p>
    <w:p w14:paraId="16848434" w14:textId="6AA046CC" w:rsidR="00A87496" w:rsidRDefault="00A87496" w:rsidP="00A87496">
      <w:pPr>
        <w:pStyle w:val="Heading3"/>
      </w:pPr>
      <w:r>
        <w:t>Part 5 – Spent provisions</w:t>
      </w:r>
    </w:p>
    <w:p w14:paraId="74D07343" w14:textId="40797BC0" w:rsidR="00A87496" w:rsidRPr="002951B4" w:rsidRDefault="00A87496" w:rsidP="00A87496">
      <w:pPr>
        <w:pStyle w:val="Heading4"/>
        <w:rPr>
          <w:i w:val="0"/>
        </w:rPr>
      </w:pPr>
      <w:r>
        <w:rPr>
          <w:i w:val="0"/>
        </w:rPr>
        <w:t xml:space="preserve">This Part repeals </w:t>
      </w:r>
      <w:r w:rsidR="006B08B9" w:rsidRPr="006B08B9">
        <w:rPr>
          <w:i w:val="0"/>
        </w:rPr>
        <w:t>a spent transitional provision for the formalities check of PCT applications filed before 15 April 2013 and makes a consequential amendment</w:t>
      </w:r>
      <w:r w:rsidR="006B08B9">
        <w:rPr>
          <w:i w:val="0"/>
        </w:rPr>
        <w:t>.</w:t>
      </w:r>
    </w:p>
    <w:p w14:paraId="7BE2D044" w14:textId="77777777" w:rsidR="00A87496" w:rsidRPr="005D4B23" w:rsidRDefault="00A87496" w:rsidP="00993AAA">
      <w:pPr>
        <w:pStyle w:val="Heading4"/>
        <w:keepNext/>
      </w:pPr>
      <w:r w:rsidRPr="005D4B23">
        <w:t>Patents Regulations 1991</w:t>
      </w:r>
    </w:p>
    <w:p w14:paraId="475CB584" w14:textId="5E3B6403" w:rsidR="00A87496" w:rsidRPr="005D4B23" w:rsidRDefault="00A87496" w:rsidP="00993AAA">
      <w:pPr>
        <w:pStyle w:val="Heading5"/>
        <w:keepNext/>
        <w:rPr>
          <w:u w:val="none"/>
        </w:rPr>
      </w:pPr>
      <w:r w:rsidRPr="005D4B23">
        <w:t xml:space="preserve">Item </w:t>
      </w:r>
      <w:r>
        <w:t>9</w:t>
      </w:r>
      <w:r w:rsidRPr="005D4B23">
        <w:t xml:space="preserve">: </w:t>
      </w:r>
      <w:r>
        <w:t xml:space="preserve">note following </w:t>
      </w:r>
      <w:proofErr w:type="spellStart"/>
      <w:r>
        <w:t>subregulation</w:t>
      </w:r>
      <w:proofErr w:type="spellEnd"/>
      <w:r>
        <w:t xml:space="preserve"> 3.2C(1)</w:t>
      </w:r>
    </w:p>
    <w:p w14:paraId="7EEDC4F7" w14:textId="387CCCCD" w:rsidR="00A87496" w:rsidRDefault="00DD2FB6" w:rsidP="00A87496">
      <w:r>
        <w:t>This item</w:t>
      </w:r>
      <w:r w:rsidR="00A87496">
        <w:t xml:space="preserve"> repeals the note following </w:t>
      </w:r>
      <w:proofErr w:type="spellStart"/>
      <w:r w:rsidR="00A87496">
        <w:t>subregulation</w:t>
      </w:r>
      <w:proofErr w:type="spellEnd"/>
      <w:r w:rsidR="00A87496">
        <w:t xml:space="preserve"> 3.2C(1) </w:t>
      </w:r>
      <w:proofErr w:type="gramStart"/>
      <w:r w:rsidR="00A87496">
        <w:t>as a consequence of</w:t>
      </w:r>
      <w:proofErr w:type="gramEnd"/>
      <w:r w:rsidR="00A87496">
        <w:t xml:space="preserve"> the repeal of </w:t>
      </w:r>
      <w:proofErr w:type="spellStart"/>
      <w:r w:rsidR="00A87496">
        <w:t>subregulation</w:t>
      </w:r>
      <w:proofErr w:type="spellEnd"/>
      <w:r w:rsidR="00A87496">
        <w:t xml:space="preserve"> 3.2C(7).</w:t>
      </w:r>
    </w:p>
    <w:p w14:paraId="14A337B0" w14:textId="669D7235" w:rsidR="006B08B9" w:rsidRPr="005D4B23" w:rsidRDefault="006B08B9" w:rsidP="00993AAA">
      <w:pPr>
        <w:pStyle w:val="Heading5"/>
        <w:keepNext/>
        <w:rPr>
          <w:u w:val="none"/>
        </w:rPr>
      </w:pPr>
      <w:r w:rsidRPr="005D4B23">
        <w:t xml:space="preserve">Item </w:t>
      </w:r>
      <w:r w:rsidR="00DD2FB6">
        <w:t>10</w:t>
      </w:r>
      <w:r w:rsidRPr="005D4B23">
        <w:t xml:space="preserve">: </w:t>
      </w:r>
      <w:proofErr w:type="spellStart"/>
      <w:r>
        <w:t>subregulation</w:t>
      </w:r>
      <w:proofErr w:type="spellEnd"/>
      <w:r>
        <w:t xml:space="preserve"> 3.2C(</w:t>
      </w:r>
      <w:r w:rsidR="00DD2FB6">
        <w:t>7</w:t>
      </w:r>
      <w:r>
        <w:t>)</w:t>
      </w:r>
    </w:p>
    <w:p w14:paraId="2DCB22FA" w14:textId="77777777" w:rsidR="00B42DF6" w:rsidRDefault="0022562F" w:rsidP="00A87496">
      <w:r>
        <w:t xml:space="preserve">Existing regulation 3.2C provides for the formality checking of PCT applications that have entered the national phase. This item simplifies the existing regulation by repealing </w:t>
      </w:r>
      <w:proofErr w:type="spellStart"/>
      <w:r>
        <w:t>subregulation</w:t>
      </w:r>
      <w:proofErr w:type="spellEnd"/>
      <w:r>
        <w:t xml:space="preserve"> 3.2C(7), which i</w:t>
      </w:r>
      <w:r w:rsidR="00D71790">
        <w:t xml:space="preserve">s a </w:t>
      </w:r>
      <w:r>
        <w:t>spent transitional provision governing PCT applications filed before 15 April 2013</w:t>
      </w:r>
      <w:r w:rsidR="00D71790">
        <w:t xml:space="preserve"> (“the critical date”)</w:t>
      </w:r>
      <w:r>
        <w:t>. Th</w:t>
      </w:r>
      <w:r w:rsidR="00142DA4">
        <w:t xml:space="preserve">e </w:t>
      </w:r>
      <w:proofErr w:type="spellStart"/>
      <w:r>
        <w:t>subregulation</w:t>
      </w:r>
      <w:proofErr w:type="spellEnd"/>
      <w:r>
        <w:t xml:space="preserve"> ensure</w:t>
      </w:r>
      <w:r w:rsidR="00D71790">
        <w:t>s</w:t>
      </w:r>
      <w:r>
        <w:t xml:space="preserve"> that </w:t>
      </w:r>
      <w:r w:rsidR="00D71790">
        <w:t>regulation 3.2C could apply to those PCT applications appropriately, by ensuring that references in the regulation to subsection 29</w:t>
      </w:r>
      <w:proofErr w:type="gramStart"/>
      <w:r w:rsidR="00D71790">
        <w:t>A(</w:t>
      </w:r>
      <w:proofErr w:type="gramEnd"/>
      <w:r w:rsidR="00D71790">
        <w:t xml:space="preserve">5) of the Patents Act were taken to be references to the patents legislation applying before the critical date. </w:t>
      </w:r>
    </w:p>
    <w:p w14:paraId="7595838A" w14:textId="7C2836CC" w:rsidR="00D71790" w:rsidRDefault="00D71790" w:rsidP="00A87496">
      <w:r>
        <w:t xml:space="preserve">It is </w:t>
      </w:r>
      <w:r w:rsidR="00142DA4">
        <w:t xml:space="preserve">now </w:t>
      </w:r>
      <w:r>
        <w:t>very unlikely that a PCT application filed before the critical date could enter the national phase and so require formalities checking</w:t>
      </w:r>
      <w:r w:rsidR="00142DA4">
        <w:t xml:space="preserve"> under regulation 3.2C</w:t>
      </w:r>
      <w:r>
        <w:t>. This is because Australia permits</w:t>
      </w:r>
      <w:r w:rsidR="00142DA4">
        <w:t xml:space="preserve"> a PCT application to</w:t>
      </w:r>
      <w:r>
        <w:t xml:space="preserve"> ent</w:t>
      </w:r>
      <w:r w:rsidR="00142DA4">
        <w:t>er</w:t>
      </w:r>
      <w:r>
        <w:t xml:space="preserve"> the national phase no later than </w:t>
      </w:r>
      <w:r w:rsidR="00142DA4">
        <w:t xml:space="preserve">31 months from </w:t>
      </w:r>
      <w:r w:rsidR="00142DA4">
        <w:lastRenderedPageBreak/>
        <w:t xml:space="preserve">its priority date. For any PCT application filed on 14 April 2013, this 31-month period would have expired before the end of 2015. </w:t>
      </w:r>
    </w:p>
    <w:p w14:paraId="1D73025A" w14:textId="3BC5CB05" w:rsidR="0037448F" w:rsidRPr="005D4B23" w:rsidRDefault="0037448F" w:rsidP="00993AAA">
      <w:pPr>
        <w:pStyle w:val="Heading3"/>
        <w:keepNext/>
      </w:pPr>
      <w:r w:rsidRPr="005D4B23">
        <w:t xml:space="preserve">Part </w:t>
      </w:r>
      <w:r w:rsidR="000B13F8">
        <w:t>6</w:t>
      </w:r>
      <w:r w:rsidR="000B13F8" w:rsidRPr="005D4B23">
        <w:t xml:space="preserve"> </w:t>
      </w:r>
      <w:r w:rsidRPr="005D4B23">
        <w:t>– Application, transitional and savings provisions</w:t>
      </w:r>
    </w:p>
    <w:p w14:paraId="3BFB9149" w14:textId="2E0A52F6" w:rsidR="002951B4" w:rsidRPr="002951B4" w:rsidRDefault="002951B4" w:rsidP="00E17CA9">
      <w:pPr>
        <w:pStyle w:val="Heading4"/>
        <w:rPr>
          <w:i w:val="0"/>
        </w:rPr>
      </w:pPr>
      <w:r>
        <w:rPr>
          <w:i w:val="0"/>
        </w:rPr>
        <w:t xml:space="preserve">This Part </w:t>
      </w:r>
      <w:r w:rsidR="000D2A2F" w:rsidRPr="0059495C">
        <w:rPr>
          <w:i w:val="0"/>
        </w:rPr>
        <w:t xml:space="preserve">provides how the amendments made by </w:t>
      </w:r>
      <w:r w:rsidR="00A87496">
        <w:rPr>
          <w:i w:val="0"/>
        </w:rPr>
        <w:t xml:space="preserve">Part 3 of </w:t>
      </w:r>
      <w:r w:rsidR="000D2A2F" w:rsidRPr="0059495C">
        <w:rPr>
          <w:i w:val="0"/>
        </w:rPr>
        <w:t xml:space="preserve">Schedule 2 </w:t>
      </w:r>
      <w:r w:rsidR="00A87496">
        <w:rPr>
          <w:i w:val="0"/>
        </w:rPr>
        <w:t>to</w:t>
      </w:r>
      <w:r w:rsidR="00A87496" w:rsidRPr="0059495C">
        <w:rPr>
          <w:i w:val="0"/>
        </w:rPr>
        <w:t xml:space="preserve"> </w:t>
      </w:r>
      <w:r w:rsidR="000D2A2F" w:rsidRPr="0059495C">
        <w:rPr>
          <w:i w:val="0"/>
        </w:rPr>
        <w:t>the Regulations apply.</w:t>
      </w:r>
    </w:p>
    <w:p w14:paraId="40C5BC70" w14:textId="7A488932" w:rsidR="00757995" w:rsidRPr="005D4B23" w:rsidRDefault="00757995" w:rsidP="00993AAA">
      <w:pPr>
        <w:pStyle w:val="Heading4"/>
        <w:keepNext/>
      </w:pPr>
      <w:r w:rsidRPr="005D4B23">
        <w:t>Patents Regulations 1991</w:t>
      </w:r>
    </w:p>
    <w:p w14:paraId="1D29073B" w14:textId="4FD8C117" w:rsidR="00C8683D" w:rsidRPr="005D4B23" w:rsidRDefault="00C8683D" w:rsidP="00993AAA">
      <w:pPr>
        <w:pStyle w:val="Heading5"/>
        <w:keepNext/>
      </w:pPr>
      <w:r w:rsidRPr="005D4B23">
        <w:t xml:space="preserve">Item </w:t>
      </w:r>
      <w:r w:rsidR="000B13F8">
        <w:t>11</w:t>
      </w:r>
      <w:r w:rsidRPr="005D4B23">
        <w:t>: Application of amendment</w:t>
      </w:r>
      <w:r w:rsidR="00A87496" w:rsidRPr="00A87496">
        <w:t xml:space="preserve"> </w:t>
      </w:r>
      <w:r w:rsidR="00A87496">
        <w:t>made by Part 3 of Schedule 2</w:t>
      </w:r>
    </w:p>
    <w:p w14:paraId="370C83F3" w14:textId="0C2E2487" w:rsidR="00757995" w:rsidRPr="005D4B23" w:rsidRDefault="00757995" w:rsidP="00E17CA9">
      <w:r w:rsidRPr="005D4B23">
        <w:t xml:space="preserve">This item </w:t>
      </w:r>
      <w:r w:rsidR="000D2A2F">
        <w:t xml:space="preserve">introduces a new part into Chapter 23 of the Patents Regulations. </w:t>
      </w:r>
      <w:r w:rsidR="00A4368A">
        <w:t xml:space="preserve">New </w:t>
      </w:r>
      <w:r w:rsidR="00635F1D">
        <w:t xml:space="preserve">Part </w:t>
      </w:r>
      <w:r w:rsidR="000D2A2F">
        <w:t xml:space="preserve">5 of </w:t>
      </w:r>
      <w:r w:rsidR="00A4368A">
        <w:t xml:space="preserve">Chapter 23 of </w:t>
      </w:r>
      <w:r w:rsidR="000D2A2F">
        <w:t>the Patent Regulations provides how amendments made by the Regulations apply.</w:t>
      </w:r>
    </w:p>
    <w:p w14:paraId="4E416734" w14:textId="57DCB876" w:rsidR="000D2A2F" w:rsidRDefault="00A4368A" w:rsidP="000D2A2F">
      <w:proofErr w:type="gramStart"/>
      <w:r>
        <w:t>In particular, n</w:t>
      </w:r>
      <w:r w:rsidR="000D2A2F">
        <w:t>ew</w:t>
      </w:r>
      <w:proofErr w:type="gramEnd"/>
      <w:r w:rsidR="000D2A2F">
        <w:t xml:space="preserve"> </w:t>
      </w:r>
      <w:proofErr w:type="spellStart"/>
      <w:r w:rsidR="000D2A2F">
        <w:t>s</w:t>
      </w:r>
      <w:r w:rsidR="000D2A2F" w:rsidRPr="005D4B23">
        <w:t>ubregulation</w:t>
      </w:r>
      <w:proofErr w:type="spellEnd"/>
      <w:r w:rsidR="000D2A2F" w:rsidRPr="005D4B23">
        <w:t xml:space="preserve"> 23.50 provides that the amendment of regulation 13.4 </w:t>
      </w:r>
      <w:r>
        <w:t>by Part 3 of Schedule 2 to the Regulations applies</w:t>
      </w:r>
      <w:r w:rsidR="000D2A2F" w:rsidRPr="005D4B23">
        <w:t xml:space="preserve"> in relation to applications </w:t>
      </w:r>
      <w:r w:rsidR="000D2A2F">
        <w:t>under subsection 36(1) of the Patents Act</w:t>
      </w:r>
      <w:r w:rsidR="000D2A2F" w:rsidRPr="005D4B23">
        <w:t xml:space="preserve"> made after the commencement of Part </w:t>
      </w:r>
      <w:r w:rsidR="000D2A2F">
        <w:t>3</w:t>
      </w:r>
      <w:r w:rsidR="000D2A2F" w:rsidRPr="005D4B23">
        <w:t xml:space="preserve"> of </w:t>
      </w:r>
      <w:r w:rsidR="000D2A2F">
        <w:t xml:space="preserve">Schedule 2 to </w:t>
      </w:r>
      <w:r w:rsidR="000D2A2F" w:rsidRPr="005D4B23">
        <w:t>the Regulation</w:t>
      </w:r>
      <w:r w:rsidR="000D2A2F">
        <w:t>s</w:t>
      </w:r>
      <w:r w:rsidR="000D2A2F" w:rsidRPr="005D4B23">
        <w:t xml:space="preserve"> and</w:t>
      </w:r>
      <w:r w:rsidR="000D2A2F">
        <w:t xml:space="preserve"> also to</w:t>
      </w:r>
      <w:r w:rsidR="000D2A2F" w:rsidRPr="005D4B23">
        <w:t xml:space="preserve"> applications under </w:t>
      </w:r>
      <w:r w:rsidR="000D2A2F">
        <w:t>sub</w:t>
      </w:r>
      <w:r w:rsidR="000D2A2F" w:rsidRPr="005D4B23">
        <w:t xml:space="preserve">section 36(1) of the Patents Act made but not decided before </w:t>
      </w:r>
      <w:r>
        <w:t>that</w:t>
      </w:r>
      <w:r w:rsidR="000D2A2F" w:rsidRPr="005D4B23">
        <w:t xml:space="preserve"> commencement.</w:t>
      </w:r>
    </w:p>
    <w:p w14:paraId="1E9CCDB3" w14:textId="77777777" w:rsidR="00181E7F" w:rsidRDefault="00181E7F" w:rsidP="00E17CA9">
      <w:pPr>
        <w:spacing w:after="0"/>
      </w:pPr>
      <w:bookmarkStart w:id="4" w:name="_Toc382397262"/>
      <w:r>
        <w:br w:type="page"/>
      </w:r>
    </w:p>
    <w:p w14:paraId="4C3F261D" w14:textId="77777777" w:rsidR="00181E7F" w:rsidRPr="00AE1C22" w:rsidRDefault="00181E7F" w:rsidP="00E17CA9">
      <w:pPr>
        <w:pStyle w:val="Heading2"/>
        <w:jc w:val="center"/>
        <w:rPr>
          <w:rFonts w:eastAsiaTheme="minorHAnsi"/>
          <w:lang w:eastAsia="en-US"/>
        </w:rPr>
      </w:pPr>
      <w:r w:rsidRPr="00AE1C22">
        <w:rPr>
          <w:rFonts w:eastAsiaTheme="minorHAnsi"/>
          <w:lang w:eastAsia="en-US"/>
        </w:rPr>
        <w:lastRenderedPageBreak/>
        <w:t>Statement of Compatibility with Human Rights</w:t>
      </w:r>
    </w:p>
    <w:p w14:paraId="2DA60BFD" w14:textId="77777777" w:rsidR="00181E7F" w:rsidRPr="00AE1C22" w:rsidRDefault="00181E7F" w:rsidP="00E17CA9">
      <w:pPr>
        <w:pStyle w:val="Heading4"/>
        <w:rPr>
          <w:rFonts w:eastAsiaTheme="minorHAnsi"/>
          <w:lang w:eastAsia="en-US"/>
        </w:rPr>
      </w:pPr>
      <w:r w:rsidRPr="00AE1C22">
        <w:rPr>
          <w:rFonts w:eastAsiaTheme="minorHAnsi"/>
          <w:lang w:eastAsia="en-US"/>
        </w:rPr>
        <w:t>Prepared in accordance with Part 3 of the Human Rights (Parliamentary Scrutiny) Act 2011</w:t>
      </w:r>
    </w:p>
    <w:p w14:paraId="5626C080" w14:textId="3535318A" w:rsidR="00181E7F" w:rsidRPr="00AE1C22" w:rsidRDefault="00181E7F" w:rsidP="00E17CA9">
      <w:pPr>
        <w:pStyle w:val="Heading3"/>
      </w:pPr>
      <w:r w:rsidRPr="00AE1C22">
        <w:t>Intellectual Property Laws Amendment (</w:t>
      </w:r>
      <w:r w:rsidR="005D1C61">
        <w:t>PCT Translations</w:t>
      </w:r>
      <w:r w:rsidRPr="00AE1C22">
        <w:t xml:space="preserve"> and Other Measures) Regulation</w:t>
      </w:r>
      <w:r w:rsidR="00EE5C05">
        <w:t>s</w:t>
      </w:r>
      <w:r w:rsidRPr="00AE1C22">
        <w:t xml:space="preserve"> 201</w:t>
      </w:r>
      <w:r w:rsidR="005D1C61">
        <w:t>9</w:t>
      </w:r>
    </w:p>
    <w:p w14:paraId="27B3D54E" w14:textId="2F0AC422" w:rsidR="00181E7F" w:rsidRPr="00AE1C22" w:rsidRDefault="00181E7F" w:rsidP="00E17CA9">
      <w:pPr>
        <w:rPr>
          <w:rFonts w:eastAsiaTheme="minorHAnsi"/>
          <w:lang w:eastAsia="en-US"/>
        </w:rPr>
      </w:pPr>
      <w:r w:rsidRPr="00AE1C22">
        <w:rPr>
          <w:rFonts w:eastAsiaTheme="minorHAnsi"/>
          <w:lang w:eastAsia="en-US"/>
        </w:rPr>
        <w:t xml:space="preserve">This </w:t>
      </w:r>
      <w:r w:rsidR="00684F98">
        <w:rPr>
          <w:rFonts w:eastAsiaTheme="minorHAnsi"/>
          <w:lang w:eastAsia="en-US"/>
        </w:rPr>
        <w:t xml:space="preserve">Disallowable </w:t>
      </w:r>
      <w:r w:rsidRPr="00AE1C22">
        <w:rPr>
          <w:rFonts w:eastAsiaTheme="minorHAnsi"/>
          <w:lang w:eastAsia="en-US"/>
        </w:rPr>
        <w:t xml:space="preserve">Legislative Instrument is compatible with the human rights and freedoms recognised or declared in the international instruments listed in section 3 of the </w:t>
      </w:r>
      <w:r w:rsidRPr="00AE1C22">
        <w:rPr>
          <w:rFonts w:eastAsiaTheme="minorHAnsi"/>
          <w:i/>
          <w:lang w:eastAsia="en-US"/>
        </w:rPr>
        <w:t>Human Rights (Parliamentary Scrutiny) Act 2011</w:t>
      </w:r>
    </w:p>
    <w:p w14:paraId="390ACCE8" w14:textId="77777777" w:rsidR="00181E7F" w:rsidRPr="00AE1C22" w:rsidRDefault="00181E7F" w:rsidP="00E17CA9">
      <w:pPr>
        <w:pStyle w:val="Heading3"/>
      </w:pPr>
      <w:r w:rsidRPr="00AE1C22">
        <w:t>Overview of the Legislative Instrument</w:t>
      </w:r>
    </w:p>
    <w:p w14:paraId="7F7B5060" w14:textId="25DF47DE" w:rsidR="00181E7F" w:rsidRPr="00AE1C22" w:rsidRDefault="00181E7F" w:rsidP="00E17CA9">
      <w:r w:rsidRPr="00AE1C22">
        <w:t xml:space="preserve">The </w:t>
      </w:r>
      <w:r w:rsidR="00EE5C05" w:rsidRPr="00EE5C05">
        <w:rPr>
          <w:i/>
        </w:rPr>
        <w:t>Intellectual Property Laws Amendment (PCT Translations and Other Measures) Regulations 2019</w:t>
      </w:r>
      <w:r w:rsidR="00EE5C05" w:rsidRPr="00AE1C22">
        <w:t xml:space="preserve"> </w:t>
      </w:r>
      <w:r w:rsidRPr="00AE1C22">
        <w:t>(‘Regulation</w:t>
      </w:r>
      <w:r w:rsidR="00EE5C05">
        <w:t>s</w:t>
      </w:r>
      <w:r w:rsidRPr="00AE1C22">
        <w:t xml:space="preserve">’) makes amendments to the </w:t>
      </w:r>
      <w:r w:rsidRPr="00EE5C05">
        <w:rPr>
          <w:i/>
        </w:rPr>
        <w:t xml:space="preserve">Patents Regulations </w:t>
      </w:r>
      <w:r w:rsidR="00EE5C05" w:rsidRPr="00EE5C05">
        <w:rPr>
          <w:i/>
        </w:rPr>
        <w:t>1990</w:t>
      </w:r>
      <w:r w:rsidR="00EE5C05">
        <w:t xml:space="preserve"> (‘Patents Regulations’) and the </w:t>
      </w:r>
      <w:r w:rsidRPr="00EE5C05">
        <w:rPr>
          <w:i/>
        </w:rPr>
        <w:t>Designs Regulations</w:t>
      </w:r>
      <w:r w:rsidR="00EE5C05" w:rsidRPr="00EE5C05">
        <w:rPr>
          <w:i/>
        </w:rPr>
        <w:t xml:space="preserve"> 2004</w:t>
      </w:r>
      <w:r w:rsidR="00EE5C05">
        <w:t xml:space="preserve"> (‘Designs Regulations’)</w:t>
      </w:r>
      <w:r w:rsidR="00684F98">
        <w:t xml:space="preserve"> </w:t>
      </w:r>
      <w:r w:rsidRPr="00AE1C22">
        <w:t xml:space="preserve">to streamline and align the administration of Australian IP system. </w:t>
      </w:r>
    </w:p>
    <w:p w14:paraId="552C684E" w14:textId="01D4E3DF" w:rsidR="00181E7F" w:rsidRPr="00AE1C22" w:rsidRDefault="00181E7F" w:rsidP="00E17CA9">
      <w:proofErr w:type="gramStart"/>
      <w:r w:rsidRPr="00AE1C22">
        <w:t xml:space="preserve">The  </w:t>
      </w:r>
      <w:r w:rsidR="008473DF">
        <w:rPr>
          <w:rFonts w:eastAsiaTheme="minorHAnsi"/>
          <w:lang w:eastAsia="en-US"/>
        </w:rPr>
        <w:t>Disallowable</w:t>
      </w:r>
      <w:proofErr w:type="gramEnd"/>
      <w:r w:rsidR="008473DF">
        <w:rPr>
          <w:rFonts w:eastAsiaTheme="minorHAnsi"/>
          <w:lang w:eastAsia="en-US"/>
        </w:rPr>
        <w:t xml:space="preserve"> </w:t>
      </w:r>
      <w:r w:rsidR="008473DF" w:rsidRPr="00AE1C22">
        <w:rPr>
          <w:rFonts w:eastAsiaTheme="minorHAnsi"/>
          <w:lang w:eastAsia="en-US"/>
        </w:rPr>
        <w:t xml:space="preserve">Legislative Instrument </w:t>
      </w:r>
      <w:r w:rsidRPr="00AE1C22">
        <w:t xml:space="preserve">has </w:t>
      </w:r>
      <w:r w:rsidR="007F3C10">
        <w:t xml:space="preserve">the following </w:t>
      </w:r>
      <w:r w:rsidRPr="00AE1C22">
        <w:t>schedule</w:t>
      </w:r>
      <w:r w:rsidR="007F3C10">
        <w:t>s and parts</w:t>
      </w:r>
      <w:r w:rsidRPr="00AE1C22">
        <w:t>:</w:t>
      </w:r>
    </w:p>
    <w:p w14:paraId="166817AE" w14:textId="2B1C786E" w:rsidR="00181E7F" w:rsidRPr="00AE1C22" w:rsidRDefault="007F3C10" w:rsidP="005B58FD">
      <w:pPr>
        <w:pStyle w:val="ListParagraph"/>
        <w:numPr>
          <w:ilvl w:val="0"/>
          <w:numId w:val="34"/>
        </w:numPr>
        <w:contextualSpacing w:val="0"/>
        <w:rPr>
          <w:lang w:val="en-US"/>
        </w:rPr>
      </w:pPr>
      <w:r>
        <w:t>Schedule 1</w:t>
      </w:r>
      <w:r w:rsidR="00181E7F" w:rsidRPr="00AE1C22">
        <w:t xml:space="preserve"> clarifies the requirements for translations of </w:t>
      </w:r>
      <w:r w:rsidR="00E17CA9">
        <w:t>PCT</w:t>
      </w:r>
      <w:r w:rsidR="00181E7F" w:rsidRPr="00AE1C22">
        <w:t xml:space="preserve"> applications and removes the requirements to file certificates of verification for translated documents</w:t>
      </w:r>
    </w:p>
    <w:p w14:paraId="326134A5" w14:textId="56421999" w:rsidR="00181E7F" w:rsidRPr="00AE1C22" w:rsidRDefault="007F3C10" w:rsidP="005B58FD">
      <w:pPr>
        <w:pStyle w:val="ListParagraph"/>
        <w:numPr>
          <w:ilvl w:val="0"/>
          <w:numId w:val="34"/>
        </w:numPr>
        <w:contextualSpacing w:val="0"/>
        <w:rPr>
          <w:lang w:val="en-US"/>
        </w:rPr>
      </w:pPr>
      <w:r>
        <w:t xml:space="preserve">Schedule </w:t>
      </w:r>
      <w:r w:rsidR="00F1431A">
        <w:t xml:space="preserve">2, </w:t>
      </w:r>
      <w:r w:rsidR="00181E7F" w:rsidRPr="00AE1C22">
        <w:t xml:space="preserve">Part </w:t>
      </w:r>
      <w:r w:rsidR="00F1431A">
        <w:t>1</w:t>
      </w:r>
      <w:r w:rsidR="00F1431A" w:rsidRPr="00AE1C22">
        <w:t xml:space="preserve"> </w:t>
      </w:r>
      <w:r w:rsidR="00181E7F" w:rsidRPr="00AE1C22">
        <w:t>allows t</w:t>
      </w:r>
      <w:r w:rsidR="00181E7F" w:rsidRPr="00AE1C22">
        <w:rPr>
          <w:noProof/>
        </w:rPr>
        <w:t xml:space="preserve">he Commissioner of Patents and the Registrar of Designs to delegate </w:t>
      </w:r>
      <w:r w:rsidR="0028287D">
        <w:rPr>
          <w:noProof/>
        </w:rPr>
        <w:t>to their Executive Level 1 employees</w:t>
      </w:r>
      <w:r w:rsidR="0028287D" w:rsidRPr="00AE1C22">
        <w:rPr>
          <w:noProof/>
        </w:rPr>
        <w:t xml:space="preserve"> </w:t>
      </w:r>
      <w:r w:rsidR="00181E7F" w:rsidRPr="00AE1C22">
        <w:rPr>
          <w:noProof/>
        </w:rPr>
        <w:t>the</w:t>
      </w:r>
      <w:r w:rsidR="0028287D">
        <w:rPr>
          <w:noProof/>
        </w:rPr>
        <w:t xml:space="preserve"> statutory</w:t>
      </w:r>
      <w:r w:rsidR="00181E7F" w:rsidRPr="00AE1C22">
        <w:rPr>
          <w:noProof/>
        </w:rPr>
        <w:t xml:space="preserve"> powers to summon witnesses and </w:t>
      </w:r>
      <w:r w:rsidR="0028287D">
        <w:rPr>
          <w:noProof/>
        </w:rPr>
        <w:t xml:space="preserve">to require the </w:t>
      </w:r>
      <w:r w:rsidR="0028287D" w:rsidRPr="00AE1C22">
        <w:rPr>
          <w:noProof/>
        </w:rPr>
        <w:t>produc</w:t>
      </w:r>
      <w:r w:rsidR="0028287D">
        <w:rPr>
          <w:noProof/>
        </w:rPr>
        <w:t>tion of</w:t>
      </w:r>
      <w:r w:rsidR="0028287D" w:rsidRPr="00AE1C22">
        <w:rPr>
          <w:noProof/>
        </w:rPr>
        <w:t xml:space="preserve"> </w:t>
      </w:r>
      <w:r w:rsidR="00181E7F" w:rsidRPr="00AE1C22">
        <w:rPr>
          <w:noProof/>
        </w:rPr>
        <w:t>documents</w:t>
      </w:r>
      <w:r w:rsidR="0028287D">
        <w:rPr>
          <w:noProof/>
        </w:rPr>
        <w:t xml:space="preserve"> or articles</w:t>
      </w:r>
      <w:r w:rsidR="00181E7F" w:rsidRPr="00AE1C22">
        <w:rPr>
          <w:noProof/>
        </w:rPr>
        <w:t>.</w:t>
      </w:r>
    </w:p>
    <w:p w14:paraId="562D6DE4" w14:textId="7036BB5E" w:rsidR="00181E7F" w:rsidRPr="00AE1C22" w:rsidRDefault="00F1431A" w:rsidP="005B58FD">
      <w:pPr>
        <w:pStyle w:val="ListParagraph"/>
        <w:numPr>
          <w:ilvl w:val="0"/>
          <w:numId w:val="34"/>
        </w:numPr>
        <w:contextualSpacing w:val="0"/>
        <w:rPr>
          <w:lang w:val="en-US"/>
        </w:rPr>
      </w:pPr>
      <w:r>
        <w:t xml:space="preserve">Schedule 2, </w:t>
      </w:r>
      <w:r w:rsidR="00181E7F" w:rsidRPr="00AE1C22">
        <w:t xml:space="preserve">Part </w:t>
      </w:r>
      <w:r>
        <w:t>2</w:t>
      </w:r>
      <w:r w:rsidRPr="00AE1C22">
        <w:t xml:space="preserve"> </w:t>
      </w:r>
      <w:r w:rsidR="00181E7F" w:rsidRPr="00AE1C22">
        <w:rPr>
          <w:lang w:val="en-US"/>
        </w:rPr>
        <w:t xml:space="preserve">ensures consistency between the </w:t>
      </w:r>
      <w:r w:rsidR="00181E7F" w:rsidRPr="00AE1C22">
        <w:rPr>
          <w:noProof/>
        </w:rPr>
        <w:t>schedule of fees under the PCT and the schedule of fees in the Patents Regulations.</w:t>
      </w:r>
    </w:p>
    <w:p w14:paraId="27DD9667" w14:textId="7D2C8E41" w:rsidR="00181E7F" w:rsidRPr="00AE1C22" w:rsidRDefault="00F1431A" w:rsidP="005B58FD">
      <w:pPr>
        <w:pStyle w:val="ListParagraph"/>
        <w:numPr>
          <w:ilvl w:val="0"/>
          <w:numId w:val="34"/>
        </w:numPr>
        <w:contextualSpacing w:val="0"/>
        <w:rPr>
          <w:lang w:val="en-US"/>
        </w:rPr>
      </w:pPr>
      <w:r>
        <w:t xml:space="preserve">Schedule 2, </w:t>
      </w:r>
      <w:r w:rsidR="00181E7F" w:rsidRPr="00AE1C22">
        <w:rPr>
          <w:lang w:val="en-US"/>
        </w:rPr>
        <w:t xml:space="preserve">Part </w:t>
      </w:r>
      <w:r>
        <w:rPr>
          <w:lang w:val="en-US"/>
        </w:rPr>
        <w:t>3</w:t>
      </w:r>
      <w:r w:rsidRPr="00AE1C22">
        <w:rPr>
          <w:lang w:val="en-US"/>
        </w:rPr>
        <w:t xml:space="preserve"> </w:t>
      </w:r>
      <w:r w:rsidR="00181E7F" w:rsidRPr="00AE1C22">
        <w:t>ensures greater certainty for patent applications subject to an entitlement</w:t>
      </w:r>
      <w:r w:rsidR="00181E7F" w:rsidRPr="00AE1C22">
        <w:rPr>
          <w:noProof/>
        </w:rPr>
        <w:t xml:space="preserve"> challenge</w:t>
      </w:r>
      <w:r>
        <w:rPr>
          <w:noProof/>
        </w:rPr>
        <w:t>.</w:t>
      </w:r>
    </w:p>
    <w:p w14:paraId="6D848A01" w14:textId="449E7E73" w:rsidR="00F1431A" w:rsidRPr="005B58FD" w:rsidRDefault="00F1431A" w:rsidP="00F1431A">
      <w:pPr>
        <w:pStyle w:val="ListParagraph"/>
        <w:numPr>
          <w:ilvl w:val="0"/>
          <w:numId w:val="34"/>
        </w:numPr>
        <w:contextualSpacing w:val="0"/>
        <w:rPr>
          <w:lang w:val="en-US"/>
        </w:rPr>
      </w:pPr>
      <w:r>
        <w:t xml:space="preserve">Schedule 2, </w:t>
      </w:r>
      <w:r w:rsidRPr="00AE1C22">
        <w:rPr>
          <w:noProof/>
        </w:rPr>
        <w:t xml:space="preserve">Part </w:t>
      </w:r>
      <w:r>
        <w:rPr>
          <w:noProof/>
        </w:rPr>
        <w:t>4</w:t>
      </w:r>
      <w:r w:rsidRPr="00AE1C22">
        <w:rPr>
          <w:noProof/>
        </w:rPr>
        <w:t xml:space="preserve"> </w:t>
      </w:r>
      <w:r>
        <w:rPr>
          <w:noProof/>
        </w:rPr>
        <w:t>make the definition of the expression “certificate of verification” clearer</w:t>
      </w:r>
      <w:r w:rsidRPr="00AE1C22">
        <w:rPr>
          <w:noProof/>
        </w:rPr>
        <w:t xml:space="preserve">. </w:t>
      </w:r>
    </w:p>
    <w:p w14:paraId="0F65E9DB" w14:textId="5FD31D5C" w:rsidR="00F1431A" w:rsidRPr="00AE1C22" w:rsidRDefault="00F1431A" w:rsidP="00F1431A">
      <w:pPr>
        <w:pStyle w:val="ListParagraph"/>
        <w:numPr>
          <w:ilvl w:val="0"/>
          <w:numId w:val="34"/>
        </w:numPr>
        <w:contextualSpacing w:val="0"/>
        <w:rPr>
          <w:lang w:val="en-US"/>
        </w:rPr>
      </w:pPr>
      <w:r>
        <w:rPr>
          <w:lang w:val="en-US"/>
        </w:rPr>
        <w:t>Schedule 2, Part 5 repeals a spent transitional provision</w:t>
      </w:r>
    </w:p>
    <w:p w14:paraId="7ADFA756" w14:textId="71A486CA" w:rsidR="00181E7F" w:rsidRPr="00AE1C22" w:rsidRDefault="00F1431A" w:rsidP="005B58FD">
      <w:pPr>
        <w:pStyle w:val="ListParagraph"/>
        <w:numPr>
          <w:ilvl w:val="0"/>
          <w:numId w:val="34"/>
        </w:numPr>
        <w:contextualSpacing w:val="0"/>
        <w:rPr>
          <w:lang w:val="en-US"/>
        </w:rPr>
      </w:pPr>
      <w:r>
        <w:t xml:space="preserve">Schedule 2, </w:t>
      </w:r>
      <w:r w:rsidR="00181E7F" w:rsidRPr="00AE1C22">
        <w:rPr>
          <w:noProof/>
        </w:rPr>
        <w:t xml:space="preserve">Part </w:t>
      </w:r>
      <w:r>
        <w:rPr>
          <w:noProof/>
        </w:rPr>
        <w:t>6</w:t>
      </w:r>
      <w:r w:rsidRPr="00AE1C22">
        <w:rPr>
          <w:noProof/>
        </w:rPr>
        <w:t xml:space="preserve"> </w:t>
      </w:r>
      <w:r w:rsidR="00181E7F" w:rsidRPr="00AE1C22">
        <w:rPr>
          <w:noProof/>
        </w:rPr>
        <w:t xml:space="preserve">provides application, transitional and savings provisions. </w:t>
      </w:r>
    </w:p>
    <w:p w14:paraId="712377BD" w14:textId="77777777" w:rsidR="00181E7F" w:rsidRPr="00AE1C22" w:rsidRDefault="00181E7F" w:rsidP="00E17CA9">
      <w:pPr>
        <w:pStyle w:val="Heading3"/>
      </w:pPr>
      <w:r w:rsidRPr="00AE1C22">
        <w:t>Human rights implications</w:t>
      </w:r>
    </w:p>
    <w:p w14:paraId="3471FB5E" w14:textId="768F662F" w:rsidR="00181E7F" w:rsidRPr="00AE1C22" w:rsidRDefault="00181E7F" w:rsidP="00B42DF6">
      <w:r w:rsidRPr="00AE1C22">
        <w:t xml:space="preserve">The </w:t>
      </w:r>
      <w:r w:rsidR="008473DF">
        <w:rPr>
          <w:rFonts w:eastAsiaTheme="minorHAnsi"/>
          <w:lang w:eastAsia="en-US"/>
        </w:rPr>
        <w:t xml:space="preserve">Disallowable </w:t>
      </w:r>
      <w:r w:rsidRPr="00AE1C22">
        <w:t xml:space="preserve">Legislative Instrument </w:t>
      </w:r>
      <w:r w:rsidR="00B42DF6">
        <w:t>does not engage any human rights issues.</w:t>
      </w:r>
    </w:p>
    <w:p w14:paraId="2052682A" w14:textId="77777777" w:rsidR="00181E7F" w:rsidRPr="00AE1C22" w:rsidRDefault="00181E7F" w:rsidP="00E17CA9">
      <w:pPr>
        <w:pStyle w:val="Heading3"/>
      </w:pPr>
      <w:r w:rsidRPr="00AE1C22">
        <w:t>Conclusion</w:t>
      </w:r>
    </w:p>
    <w:p w14:paraId="1472E575" w14:textId="796058EA" w:rsidR="00181E7F" w:rsidRPr="00AE1C22" w:rsidRDefault="00181E7F" w:rsidP="00E17CA9">
      <w:r w:rsidRPr="00AE1C22">
        <w:t xml:space="preserve">The </w:t>
      </w:r>
      <w:r w:rsidR="0028287D">
        <w:t>Disallowable L</w:t>
      </w:r>
      <w:r w:rsidR="0028287D" w:rsidRPr="00AE1C22">
        <w:t xml:space="preserve">egislative </w:t>
      </w:r>
      <w:r w:rsidR="0028287D">
        <w:t>I</w:t>
      </w:r>
      <w:r w:rsidR="0028287D" w:rsidRPr="00AE1C22">
        <w:t xml:space="preserve">nstrument </w:t>
      </w:r>
      <w:r w:rsidRPr="00AE1C22">
        <w:t xml:space="preserve">is compatible with human rights because it does not raise any human rights issues. </w:t>
      </w:r>
    </w:p>
    <w:p w14:paraId="3949B17E" w14:textId="0BBFC161" w:rsidR="00662597" w:rsidRPr="00181E7F" w:rsidRDefault="00181E7F" w:rsidP="00E17CA9">
      <w:pPr>
        <w:jc w:val="center"/>
        <w:rPr>
          <w:b/>
        </w:rPr>
      </w:pPr>
      <w:r w:rsidRPr="00AE1C22">
        <w:rPr>
          <w:b/>
        </w:rPr>
        <w:t>The Hon Karen Andrews MP, Minister for Industry, Science and Technology</w:t>
      </w:r>
      <w:bookmarkEnd w:id="4"/>
    </w:p>
    <w:sectPr w:rsidR="00662597" w:rsidRPr="00181E7F" w:rsidSect="009B67D9">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3BA57" w14:textId="77777777" w:rsidR="00DD2FB6" w:rsidRDefault="00DD2FB6" w:rsidP="00B34E79">
      <w:r>
        <w:separator/>
      </w:r>
    </w:p>
  </w:endnote>
  <w:endnote w:type="continuationSeparator" w:id="0">
    <w:p w14:paraId="0C3BA54D" w14:textId="77777777" w:rsidR="00DD2FB6" w:rsidRDefault="00DD2FB6" w:rsidP="00B34E79">
      <w:r>
        <w:continuationSeparator/>
      </w:r>
    </w:p>
  </w:endnote>
  <w:endnote w:type="continuationNotice" w:id="1">
    <w:p w14:paraId="4B26DD5F" w14:textId="77777777" w:rsidR="00DD2FB6" w:rsidRDefault="00DD2FB6" w:rsidP="00B34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882387"/>
      <w:docPartObj>
        <w:docPartGallery w:val="Page Numbers (Bottom of Page)"/>
        <w:docPartUnique/>
      </w:docPartObj>
    </w:sdtPr>
    <w:sdtEndPr>
      <w:rPr>
        <w:noProof/>
      </w:rPr>
    </w:sdtEndPr>
    <w:sdtContent>
      <w:p w14:paraId="0AC16993" w14:textId="77777777" w:rsidR="00DD2FB6" w:rsidRDefault="00DD2FB6" w:rsidP="00040008">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C4A09" w14:textId="77777777" w:rsidR="00DD2FB6" w:rsidRDefault="00DD2FB6" w:rsidP="00B34E79">
      <w:r>
        <w:separator/>
      </w:r>
    </w:p>
  </w:footnote>
  <w:footnote w:type="continuationSeparator" w:id="0">
    <w:p w14:paraId="740A7E73" w14:textId="77777777" w:rsidR="00DD2FB6" w:rsidRDefault="00DD2FB6" w:rsidP="00B34E79">
      <w:r>
        <w:continuationSeparator/>
      </w:r>
    </w:p>
  </w:footnote>
  <w:footnote w:type="continuationNotice" w:id="1">
    <w:p w14:paraId="4AEE7D13" w14:textId="77777777" w:rsidR="00DD2FB6" w:rsidRDefault="00DD2FB6" w:rsidP="00B34E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35D"/>
    <w:multiLevelType w:val="hybridMultilevel"/>
    <w:tmpl w:val="8C38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25D73"/>
    <w:multiLevelType w:val="hybridMultilevel"/>
    <w:tmpl w:val="7A8CC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1DF7BD9"/>
    <w:multiLevelType w:val="hybridMultilevel"/>
    <w:tmpl w:val="FE9EC2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F3315"/>
    <w:multiLevelType w:val="hybridMultilevel"/>
    <w:tmpl w:val="EB42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D38D1"/>
    <w:multiLevelType w:val="hybridMultilevel"/>
    <w:tmpl w:val="E9B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B30F2B"/>
    <w:multiLevelType w:val="hybridMultilevel"/>
    <w:tmpl w:val="2F10C6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0B5214"/>
    <w:multiLevelType w:val="hybridMultilevel"/>
    <w:tmpl w:val="1BFC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E4E1C"/>
    <w:multiLevelType w:val="hybridMultilevel"/>
    <w:tmpl w:val="9606D4E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5F175D"/>
    <w:multiLevelType w:val="hybridMultilevel"/>
    <w:tmpl w:val="EA7071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43D7B31"/>
    <w:multiLevelType w:val="hybridMultilevel"/>
    <w:tmpl w:val="9DEE3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10FAE"/>
    <w:multiLevelType w:val="hybridMultilevel"/>
    <w:tmpl w:val="5BF4F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32F2F"/>
    <w:multiLevelType w:val="hybridMultilevel"/>
    <w:tmpl w:val="B960513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24F20"/>
    <w:multiLevelType w:val="hybridMultilevel"/>
    <w:tmpl w:val="71A4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F66E8A"/>
    <w:multiLevelType w:val="hybridMultilevel"/>
    <w:tmpl w:val="D7E029C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2453713"/>
    <w:multiLevelType w:val="hybridMultilevel"/>
    <w:tmpl w:val="22A21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F4259E"/>
    <w:multiLevelType w:val="hybridMultilevel"/>
    <w:tmpl w:val="8FBA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323AD9"/>
    <w:multiLevelType w:val="hybridMultilevel"/>
    <w:tmpl w:val="926CC2B8"/>
    <w:lvl w:ilvl="0" w:tplc="FDFA26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01A12"/>
    <w:multiLevelType w:val="hybridMultilevel"/>
    <w:tmpl w:val="AB788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0D6419"/>
    <w:multiLevelType w:val="hybridMultilevel"/>
    <w:tmpl w:val="3DA42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B303B"/>
    <w:multiLevelType w:val="hybridMultilevel"/>
    <w:tmpl w:val="EA183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956F47"/>
    <w:multiLevelType w:val="hybridMultilevel"/>
    <w:tmpl w:val="283E5F88"/>
    <w:lvl w:ilvl="0" w:tplc="32CC21B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5A1EA5"/>
    <w:multiLevelType w:val="hybridMultilevel"/>
    <w:tmpl w:val="D29EAE62"/>
    <w:lvl w:ilvl="0" w:tplc="F0441F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01214C"/>
    <w:multiLevelType w:val="hybridMultilevel"/>
    <w:tmpl w:val="E23EE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035C7D"/>
    <w:multiLevelType w:val="hybridMultilevel"/>
    <w:tmpl w:val="D354C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EDD3884"/>
    <w:multiLevelType w:val="hybridMultilevel"/>
    <w:tmpl w:val="5E208C12"/>
    <w:lvl w:ilvl="0" w:tplc="07243904">
      <w:start w:val="1"/>
      <w:numFmt w:val="decimal"/>
      <w:suff w:val="space"/>
      <w:lvlText w:val="%1."/>
      <w:lvlJc w:val="left"/>
      <w:pPr>
        <w:ind w:left="928" w:hanging="360"/>
      </w:pPr>
      <w:rPr>
        <w:rFonts w:asciiTheme="minorHAnsi" w:hAnsiTheme="minorHAnsi"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D9056C"/>
    <w:multiLevelType w:val="hybridMultilevel"/>
    <w:tmpl w:val="3B2EA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175210"/>
    <w:multiLevelType w:val="hybridMultilevel"/>
    <w:tmpl w:val="50DEC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D046F6"/>
    <w:multiLevelType w:val="hybridMultilevel"/>
    <w:tmpl w:val="D76A8438"/>
    <w:lvl w:ilvl="0" w:tplc="0C090001">
      <w:start w:val="1"/>
      <w:numFmt w:val="bullet"/>
      <w:lvlText w:val=""/>
      <w:lvlJc w:val="left"/>
      <w:pPr>
        <w:ind w:left="720" w:hanging="360"/>
      </w:pPr>
      <w:rPr>
        <w:rFonts w:ascii="Symbol" w:hAnsi="Symbol" w:hint="default"/>
      </w:rPr>
    </w:lvl>
    <w:lvl w:ilvl="1" w:tplc="B87CE42E">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A3723"/>
    <w:multiLevelType w:val="hybridMultilevel"/>
    <w:tmpl w:val="06121E8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6169A"/>
    <w:multiLevelType w:val="hybridMultilevel"/>
    <w:tmpl w:val="8E2C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012CEF"/>
    <w:multiLevelType w:val="hybridMultilevel"/>
    <w:tmpl w:val="EB48E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3E0092"/>
    <w:multiLevelType w:val="hybridMultilevel"/>
    <w:tmpl w:val="9B5CB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7F449C"/>
    <w:multiLevelType w:val="hybridMultilevel"/>
    <w:tmpl w:val="BD4485F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4" w15:restartNumberingAfterBreak="0">
    <w:nsid w:val="5E0111FE"/>
    <w:multiLevelType w:val="hybridMultilevel"/>
    <w:tmpl w:val="D7D8233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5" w15:restartNumberingAfterBreak="0">
    <w:nsid w:val="60FD0D01"/>
    <w:multiLevelType w:val="hybridMultilevel"/>
    <w:tmpl w:val="0E760CDC"/>
    <w:lvl w:ilvl="0" w:tplc="FDFA26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EA606C"/>
    <w:multiLevelType w:val="hybridMultilevel"/>
    <w:tmpl w:val="D638E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7A5672"/>
    <w:multiLevelType w:val="hybridMultilevel"/>
    <w:tmpl w:val="28BCF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3A34B4"/>
    <w:multiLevelType w:val="hybridMultilevel"/>
    <w:tmpl w:val="E520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C901FD"/>
    <w:multiLevelType w:val="hybridMultilevel"/>
    <w:tmpl w:val="10A8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1"/>
  </w:num>
  <w:num w:numId="4">
    <w:abstractNumId w:val="30"/>
  </w:num>
  <w:num w:numId="5">
    <w:abstractNumId w:val="19"/>
  </w:num>
  <w:num w:numId="6">
    <w:abstractNumId w:val="6"/>
  </w:num>
  <w:num w:numId="7">
    <w:abstractNumId w:val="1"/>
  </w:num>
  <w:num w:numId="8">
    <w:abstractNumId w:val="9"/>
  </w:num>
  <w:num w:numId="9">
    <w:abstractNumId w:val="4"/>
  </w:num>
  <w:num w:numId="10">
    <w:abstractNumId w:val="17"/>
  </w:num>
  <w:num w:numId="11">
    <w:abstractNumId w:val="35"/>
  </w:num>
  <w:num w:numId="12">
    <w:abstractNumId w:val="8"/>
  </w:num>
  <w:num w:numId="13">
    <w:abstractNumId w:val="12"/>
  </w:num>
  <w:num w:numId="14">
    <w:abstractNumId w:val="5"/>
  </w:num>
  <w:num w:numId="15">
    <w:abstractNumId w:val="2"/>
  </w:num>
  <w:num w:numId="16">
    <w:abstractNumId w:val="38"/>
  </w:num>
  <w:num w:numId="17">
    <w:abstractNumId w:val="39"/>
  </w:num>
  <w:num w:numId="18">
    <w:abstractNumId w:val="23"/>
  </w:num>
  <w:num w:numId="19">
    <w:abstractNumId w:val="18"/>
  </w:num>
  <w:num w:numId="20">
    <w:abstractNumId w:val="25"/>
  </w:num>
  <w:num w:numId="21">
    <w:abstractNumId w:val="34"/>
  </w:num>
  <w:num w:numId="22">
    <w:abstractNumId w:val="3"/>
  </w:num>
  <w:num w:numId="23">
    <w:abstractNumId w:val="13"/>
  </w:num>
  <w:num w:numId="24">
    <w:abstractNumId w:val="28"/>
  </w:num>
  <w:num w:numId="25">
    <w:abstractNumId w:val="33"/>
  </w:num>
  <w:num w:numId="26">
    <w:abstractNumId w:val="37"/>
  </w:num>
  <w:num w:numId="27">
    <w:abstractNumId w:val="22"/>
  </w:num>
  <w:num w:numId="28">
    <w:abstractNumId w:val="20"/>
  </w:num>
  <w:num w:numId="29">
    <w:abstractNumId w:val="29"/>
  </w:num>
  <w:num w:numId="30">
    <w:abstractNumId w:val="32"/>
  </w:num>
  <w:num w:numId="31">
    <w:abstractNumId w:val="27"/>
  </w:num>
  <w:num w:numId="32">
    <w:abstractNumId w:val="24"/>
  </w:num>
  <w:num w:numId="33">
    <w:abstractNumId w:val="15"/>
  </w:num>
  <w:num w:numId="34">
    <w:abstractNumId w:val="11"/>
  </w:num>
  <w:num w:numId="35">
    <w:abstractNumId w:val="0"/>
  </w:num>
  <w:num w:numId="36">
    <w:abstractNumId w:val="21"/>
  </w:num>
  <w:num w:numId="37">
    <w:abstractNumId w:val="36"/>
  </w:num>
  <w:num w:numId="38">
    <w:abstractNumId w:val="14"/>
  </w:num>
  <w:num w:numId="39">
    <w:abstractNumId w:val="2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19D"/>
    <w:rsid w:val="000018ED"/>
    <w:rsid w:val="000030DD"/>
    <w:rsid w:val="000032F3"/>
    <w:rsid w:val="00006A84"/>
    <w:rsid w:val="00006EBA"/>
    <w:rsid w:val="000071D7"/>
    <w:rsid w:val="00007A46"/>
    <w:rsid w:val="0001029F"/>
    <w:rsid w:val="00010830"/>
    <w:rsid w:val="000108CC"/>
    <w:rsid w:val="00010D09"/>
    <w:rsid w:val="0001329A"/>
    <w:rsid w:val="000138D1"/>
    <w:rsid w:val="00013CD8"/>
    <w:rsid w:val="00014A81"/>
    <w:rsid w:val="0001529E"/>
    <w:rsid w:val="00016423"/>
    <w:rsid w:val="000171AA"/>
    <w:rsid w:val="00020672"/>
    <w:rsid w:val="00020757"/>
    <w:rsid w:val="00023A0A"/>
    <w:rsid w:val="00023B32"/>
    <w:rsid w:val="00024287"/>
    <w:rsid w:val="000276AD"/>
    <w:rsid w:val="00027FC8"/>
    <w:rsid w:val="00031020"/>
    <w:rsid w:val="000322F9"/>
    <w:rsid w:val="0003243F"/>
    <w:rsid w:val="00032A23"/>
    <w:rsid w:val="0003490F"/>
    <w:rsid w:val="00034AD9"/>
    <w:rsid w:val="00035D9D"/>
    <w:rsid w:val="00036EC5"/>
    <w:rsid w:val="000376A1"/>
    <w:rsid w:val="00037A37"/>
    <w:rsid w:val="00040008"/>
    <w:rsid w:val="00041792"/>
    <w:rsid w:val="00041D0D"/>
    <w:rsid w:val="00043D23"/>
    <w:rsid w:val="00043E68"/>
    <w:rsid w:val="00044D70"/>
    <w:rsid w:val="00045801"/>
    <w:rsid w:val="000467E9"/>
    <w:rsid w:val="00050691"/>
    <w:rsid w:val="00051C22"/>
    <w:rsid w:val="00051C27"/>
    <w:rsid w:val="000527C5"/>
    <w:rsid w:val="00052CAF"/>
    <w:rsid w:val="000539B5"/>
    <w:rsid w:val="00055672"/>
    <w:rsid w:val="00055D60"/>
    <w:rsid w:val="00056FAE"/>
    <w:rsid w:val="00057122"/>
    <w:rsid w:val="0006032B"/>
    <w:rsid w:val="000605F5"/>
    <w:rsid w:val="000616B6"/>
    <w:rsid w:val="00064091"/>
    <w:rsid w:val="000642F6"/>
    <w:rsid w:val="000645F5"/>
    <w:rsid w:val="000649C6"/>
    <w:rsid w:val="0006583C"/>
    <w:rsid w:val="00066D1C"/>
    <w:rsid w:val="00067555"/>
    <w:rsid w:val="00070DBA"/>
    <w:rsid w:val="0007197E"/>
    <w:rsid w:val="00071EB5"/>
    <w:rsid w:val="00071F43"/>
    <w:rsid w:val="00072FFF"/>
    <w:rsid w:val="00073986"/>
    <w:rsid w:val="0007427E"/>
    <w:rsid w:val="00075EF4"/>
    <w:rsid w:val="000763D6"/>
    <w:rsid w:val="000764FC"/>
    <w:rsid w:val="00076BBC"/>
    <w:rsid w:val="00076F79"/>
    <w:rsid w:val="00077CEE"/>
    <w:rsid w:val="00080547"/>
    <w:rsid w:val="000805A6"/>
    <w:rsid w:val="00081610"/>
    <w:rsid w:val="00081A00"/>
    <w:rsid w:val="00082934"/>
    <w:rsid w:val="00082D5D"/>
    <w:rsid w:val="00083A92"/>
    <w:rsid w:val="00087014"/>
    <w:rsid w:val="000907F5"/>
    <w:rsid w:val="00090DBF"/>
    <w:rsid w:val="00091092"/>
    <w:rsid w:val="00091A8A"/>
    <w:rsid w:val="00092FA1"/>
    <w:rsid w:val="000930EB"/>
    <w:rsid w:val="00093D0F"/>
    <w:rsid w:val="0009431C"/>
    <w:rsid w:val="00094575"/>
    <w:rsid w:val="00094755"/>
    <w:rsid w:val="000A06D4"/>
    <w:rsid w:val="000A0900"/>
    <w:rsid w:val="000A182C"/>
    <w:rsid w:val="000A1E58"/>
    <w:rsid w:val="000A2838"/>
    <w:rsid w:val="000A2992"/>
    <w:rsid w:val="000A32A0"/>
    <w:rsid w:val="000A3380"/>
    <w:rsid w:val="000A33BC"/>
    <w:rsid w:val="000A4BC0"/>
    <w:rsid w:val="000A55CE"/>
    <w:rsid w:val="000A5FC0"/>
    <w:rsid w:val="000A70DD"/>
    <w:rsid w:val="000A759A"/>
    <w:rsid w:val="000B0919"/>
    <w:rsid w:val="000B13F8"/>
    <w:rsid w:val="000B27E7"/>
    <w:rsid w:val="000B300D"/>
    <w:rsid w:val="000B3723"/>
    <w:rsid w:val="000B53B5"/>
    <w:rsid w:val="000B5BF1"/>
    <w:rsid w:val="000B7F28"/>
    <w:rsid w:val="000C0E86"/>
    <w:rsid w:val="000C20D4"/>
    <w:rsid w:val="000C3345"/>
    <w:rsid w:val="000C37C1"/>
    <w:rsid w:val="000C40C1"/>
    <w:rsid w:val="000C563A"/>
    <w:rsid w:val="000C5AAC"/>
    <w:rsid w:val="000C6843"/>
    <w:rsid w:val="000C7BEF"/>
    <w:rsid w:val="000D0283"/>
    <w:rsid w:val="000D07B3"/>
    <w:rsid w:val="000D09E4"/>
    <w:rsid w:val="000D2086"/>
    <w:rsid w:val="000D20A3"/>
    <w:rsid w:val="000D2A2F"/>
    <w:rsid w:val="000D3B01"/>
    <w:rsid w:val="000D646E"/>
    <w:rsid w:val="000E07D8"/>
    <w:rsid w:val="000E0BFF"/>
    <w:rsid w:val="000E236F"/>
    <w:rsid w:val="000E2959"/>
    <w:rsid w:val="000E33D3"/>
    <w:rsid w:val="000E358D"/>
    <w:rsid w:val="000E38C9"/>
    <w:rsid w:val="000E39EA"/>
    <w:rsid w:val="000E4F9B"/>
    <w:rsid w:val="000E53B4"/>
    <w:rsid w:val="000E5547"/>
    <w:rsid w:val="000E6A9F"/>
    <w:rsid w:val="000E6F85"/>
    <w:rsid w:val="000E7412"/>
    <w:rsid w:val="000E7516"/>
    <w:rsid w:val="000E75E5"/>
    <w:rsid w:val="000E7758"/>
    <w:rsid w:val="000E7E59"/>
    <w:rsid w:val="000F0816"/>
    <w:rsid w:val="000F08EB"/>
    <w:rsid w:val="000F2A79"/>
    <w:rsid w:val="000F2B74"/>
    <w:rsid w:val="000F33CE"/>
    <w:rsid w:val="000F382F"/>
    <w:rsid w:val="000F6910"/>
    <w:rsid w:val="000F6FE9"/>
    <w:rsid w:val="00100D69"/>
    <w:rsid w:val="0010164D"/>
    <w:rsid w:val="00103469"/>
    <w:rsid w:val="0010365E"/>
    <w:rsid w:val="001037B7"/>
    <w:rsid w:val="00103F82"/>
    <w:rsid w:val="0010450B"/>
    <w:rsid w:val="00105CF4"/>
    <w:rsid w:val="00106100"/>
    <w:rsid w:val="0010701A"/>
    <w:rsid w:val="001104C1"/>
    <w:rsid w:val="00110A5C"/>
    <w:rsid w:val="00110E19"/>
    <w:rsid w:val="00111D66"/>
    <w:rsid w:val="00111FAD"/>
    <w:rsid w:val="00115EBC"/>
    <w:rsid w:val="001166F9"/>
    <w:rsid w:val="001202DF"/>
    <w:rsid w:val="00120E72"/>
    <w:rsid w:val="0012131A"/>
    <w:rsid w:val="001220C3"/>
    <w:rsid w:val="00122779"/>
    <w:rsid w:val="00122B6D"/>
    <w:rsid w:val="00122E63"/>
    <w:rsid w:val="0012376C"/>
    <w:rsid w:val="00123893"/>
    <w:rsid w:val="00123D7B"/>
    <w:rsid w:val="00123E6A"/>
    <w:rsid w:val="0012413C"/>
    <w:rsid w:val="00126626"/>
    <w:rsid w:val="0012694E"/>
    <w:rsid w:val="00127B85"/>
    <w:rsid w:val="00127BFD"/>
    <w:rsid w:val="00130180"/>
    <w:rsid w:val="00130F1D"/>
    <w:rsid w:val="00131FB1"/>
    <w:rsid w:val="00132BDE"/>
    <w:rsid w:val="0013317B"/>
    <w:rsid w:val="00134C34"/>
    <w:rsid w:val="00134C6B"/>
    <w:rsid w:val="00135CA2"/>
    <w:rsid w:val="00136440"/>
    <w:rsid w:val="001375C9"/>
    <w:rsid w:val="00137D72"/>
    <w:rsid w:val="00137E41"/>
    <w:rsid w:val="001400C8"/>
    <w:rsid w:val="001428C8"/>
    <w:rsid w:val="00142DA4"/>
    <w:rsid w:val="00143490"/>
    <w:rsid w:val="0014366E"/>
    <w:rsid w:val="001439E4"/>
    <w:rsid w:val="00143D9B"/>
    <w:rsid w:val="00145D09"/>
    <w:rsid w:val="00146344"/>
    <w:rsid w:val="001464B2"/>
    <w:rsid w:val="00146A84"/>
    <w:rsid w:val="001472DD"/>
    <w:rsid w:val="001521D6"/>
    <w:rsid w:val="001525C5"/>
    <w:rsid w:val="001531B1"/>
    <w:rsid w:val="001535D0"/>
    <w:rsid w:val="00153E51"/>
    <w:rsid w:val="0015441D"/>
    <w:rsid w:val="00154D87"/>
    <w:rsid w:val="00155E5F"/>
    <w:rsid w:val="00156427"/>
    <w:rsid w:val="0015798C"/>
    <w:rsid w:val="00157E24"/>
    <w:rsid w:val="001606D7"/>
    <w:rsid w:val="001617E8"/>
    <w:rsid w:val="00161E6F"/>
    <w:rsid w:val="00161F41"/>
    <w:rsid w:val="0016208E"/>
    <w:rsid w:val="001628E2"/>
    <w:rsid w:val="00162A3E"/>
    <w:rsid w:val="00162D84"/>
    <w:rsid w:val="00162FC8"/>
    <w:rsid w:val="00164BF6"/>
    <w:rsid w:val="0016567C"/>
    <w:rsid w:val="001659C5"/>
    <w:rsid w:val="001662DF"/>
    <w:rsid w:val="00167D2E"/>
    <w:rsid w:val="0017002D"/>
    <w:rsid w:val="00170E61"/>
    <w:rsid w:val="0017116F"/>
    <w:rsid w:val="001763FB"/>
    <w:rsid w:val="001764FE"/>
    <w:rsid w:val="001817E5"/>
    <w:rsid w:val="00181B93"/>
    <w:rsid w:val="00181E7F"/>
    <w:rsid w:val="0018216E"/>
    <w:rsid w:val="00182C49"/>
    <w:rsid w:val="00184C5C"/>
    <w:rsid w:val="00184E67"/>
    <w:rsid w:val="001855C4"/>
    <w:rsid w:val="00185780"/>
    <w:rsid w:val="00185883"/>
    <w:rsid w:val="00185D92"/>
    <w:rsid w:val="00186D7B"/>
    <w:rsid w:val="00190A3B"/>
    <w:rsid w:val="00190A9F"/>
    <w:rsid w:val="00191283"/>
    <w:rsid w:val="00191564"/>
    <w:rsid w:val="00191858"/>
    <w:rsid w:val="00191EBE"/>
    <w:rsid w:val="00192338"/>
    <w:rsid w:val="00193309"/>
    <w:rsid w:val="00194585"/>
    <w:rsid w:val="00195A93"/>
    <w:rsid w:val="00195D78"/>
    <w:rsid w:val="001961C9"/>
    <w:rsid w:val="001964D7"/>
    <w:rsid w:val="00196717"/>
    <w:rsid w:val="00196BDE"/>
    <w:rsid w:val="001970D7"/>
    <w:rsid w:val="001A28B3"/>
    <w:rsid w:val="001A3CDB"/>
    <w:rsid w:val="001A52ED"/>
    <w:rsid w:val="001A5308"/>
    <w:rsid w:val="001A5595"/>
    <w:rsid w:val="001A5ED2"/>
    <w:rsid w:val="001A6609"/>
    <w:rsid w:val="001A6E02"/>
    <w:rsid w:val="001A7979"/>
    <w:rsid w:val="001A7DE2"/>
    <w:rsid w:val="001A7EF0"/>
    <w:rsid w:val="001B1517"/>
    <w:rsid w:val="001B1989"/>
    <w:rsid w:val="001B2F22"/>
    <w:rsid w:val="001B2FDA"/>
    <w:rsid w:val="001B49DF"/>
    <w:rsid w:val="001B4DAA"/>
    <w:rsid w:val="001B5C99"/>
    <w:rsid w:val="001B6BB7"/>
    <w:rsid w:val="001B7240"/>
    <w:rsid w:val="001C08CF"/>
    <w:rsid w:val="001C187E"/>
    <w:rsid w:val="001C1C07"/>
    <w:rsid w:val="001C2156"/>
    <w:rsid w:val="001C2D97"/>
    <w:rsid w:val="001C2DE5"/>
    <w:rsid w:val="001C35C3"/>
    <w:rsid w:val="001C3BF5"/>
    <w:rsid w:val="001C590B"/>
    <w:rsid w:val="001C636B"/>
    <w:rsid w:val="001C6C29"/>
    <w:rsid w:val="001C7ABC"/>
    <w:rsid w:val="001D167B"/>
    <w:rsid w:val="001D1ABD"/>
    <w:rsid w:val="001D2FC3"/>
    <w:rsid w:val="001D566F"/>
    <w:rsid w:val="001D5E8B"/>
    <w:rsid w:val="001D71FC"/>
    <w:rsid w:val="001D7B49"/>
    <w:rsid w:val="001E0D2E"/>
    <w:rsid w:val="001E3752"/>
    <w:rsid w:val="001E409D"/>
    <w:rsid w:val="001E4F1E"/>
    <w:rsid w:val="001E5537"/>
    <w:rsid w:val="001E5E87"/>
    <w:rsid w:val="001E65F2"/>
    <w:rsid w:val="001E67C4"/>
    <w:rsid w:val="001E6CA5"/>
    <w:rsid w:val="001F00C5"/>
    <w:rsid w:val="001F0930"/>
    <w:rsid w:val="001F3F0E"/>
    <w:rsid w:val="001F525C"/>
    <w:rsid w:val="001F529D"/>
    <w:rsid w:val="001F56CC"/>
    <w:rsid w:val="001F5734"/>
    <w:rsid w:val="001F5F7B"/>
    <w:rsid w:val="001F63AB"/>
    <w:rsid w:val="001F79F8"/>
    <w:rsid w:val="00201A24"/>
    <w:rsid w:val="00201C64"/>
    <w:rsid w:val="00202ADA"/>
    <w:rsid w:val="00203A6F"/>
    <w:rsid w:val="00204069"/>
    <w:rsid w:val="002046A9"/>
    <w:rsid w:val="00205375"/>
    <w:rsid w:val="002053D3"/>
    <w:rsid w:val="00206017"/>
    <w:rsid w:val="002067FC"/>
    <w:rsid w:val="002070F3"/>
    <w:rsid w:val="002078BE"/>
    <w:rsid w:val="0021046A"/>
    <w:rsid w:val="00210CD1"/>
    <w:rsid w:val="00211772"/>
    <w:rsid w:val="00211C79"/>
    <w:rsid w:val="00214639"/>
    <w:rsid w:val="002147D1"/>
    <w:rsid w:val="00214B16"/>
    <w:rsid w:val="00215763"/>
    <w:rsid w:val="002175B7"/>
    <w:rsid w:val="00220CBB"/>
    <w:rsid w:val="00220E1D"/>
    <w:rsid w:val="00220E45"/>
    <w:rsid w:val="00220ED9"/>
    <w:rsid w:val="00222538"/>
    <w:rsid w:val="0022265B"/>
    <w:rsid w:val="002236FA"/>
    <w:rsid w:val="002237ED"/>
    <w:rsid w:val="00223DD3"/>
    <w:rsid w:val="0022454E"/>
    <w:rsid w:val="0022562F"/>
    <w:rsid w:val="002264B4"/>
    <w:rsid w:val="002270EE"/>
    <w:rsid w:val="002306C3"/>
    <w:rsid w:val="00231D55"/>
    <w:rsid w:val="00232D01"/>
    <w:rsid w:val="00233016"/>
    <w:rsid w:val="002342E6"/>
    <w:rsid w:val="002345D9"/>
    <w:rsid w:val="00234784"/>
    <w:rsid w:val="002349DD"/>
    <w:rsid w:val="00234E09"/>
    <w:rsid w:val="00236D70"/>
    <w:rsid w:val="00237B28"/>
    <w:rsid w:val="00241EA0"/>
    <w:rsid w:val="002456E2"/>
    <w:rsid w:val="0024573A"/>
    <w:rsid w:val="0024656C"/>
    <w:rsid w:val="00247E78"/>
    <w:rsid w:val="002502B5"/>
    <w:rsid w:val="00250387"/>
    <w:rsid w:val="00251277"/>
    <w:rsid w:val="002513B6"/>
    <w:rsid w:val="00251AE3"/>
    <w:rsid w:val="00252130"/>
    <w:rsid w:val="002529B4"/>
    <w:rsid w:val="00253388"/>
    <w:rsid w:val="002533E7"/>
    <w:rsid w:val="00253D89"/>
    <w:rsid w:val="00255010"/>
    <w:rsid w:val="0025575B"/>
    <w:rsid w:val="00255C9A"/>
    <w:rsid w:val="00256711"/>
    <w:rsid w:val="00256C62"/>
    <w:rsid w:val="00256DEB"/>
    <w:rsid w:val="00257C78"/>
    <w:rsid w:val="00260542"/>
    <w:rsid w:val="0026097C"/>
    <w:rsid w:val="00260DAD"/>
    <w:rsid w:val="00261098"/>
    <w:rsid w:val="00261DAB"/>
    <w:rsid w:val="0026290C"/>
    <w:rsid w:val="0026357F"/>
    <w:rsid w:val="0026395E"/>
    <w:rsid w:val="0026475D"/>
    <w:rsid w:val="00264800"/>
    <w:rsid w:val="00264AA9"/>
    <w:rsid w:val="00265985"/>
    <w:rsid w:val="0026677A"/>
    <w:rsid w:val="00267BD9"/>
    <w:rsid w:val="00267FE7"/>
    <w:rsid w:val="00271968"/>
    <w:rsid w:val="0027311D"/>
    <w:rsid w:val="0027324A"/>
    <w:rsid w:val="00274038"/>
    <w:rsid w:val="00274995"/>
    <w:rsid w:val="00274A4B"/>
    <w:rsid w:val="00275350"/>
    <w:rsid w:val="00275BC0"/>
    <w:rsid w:val="00276323"/>
    <w:rsid w:val="00276610"/>
    <w:rsid w:val="00276B1F"/>
    <w:rsid w:val="00276FAF"/>
    <w:rsid w:val="0027750D"/>
    <w:rsid w:val="002776CE"/>
    <w:rsid w:val="00280970"/>
    <w:rsid w:val="002817AB"/>
    <w:rsid w:val="0028287D"/>
    <w:rsid w:val="00285066"/>
    <w:rsid w:val="0028605F"/>
    <w:rsid w:val="00286A26"/>
    <w:rsid w:val="00286CC1"/>
    <w:rsid w:val="0029056B"/>
    <w:rsid w:val="002913A8"/>
    <w:rsid w:val="002918BE"/>
    <w:rsid w:val="0029484A"/>
    <w:rsid w:val="002951B4"/>
    <w:rsid w:val="002959E4"/>
    <w:rsid w:val="00295BB5"/>
    <w:rsid w:val="00295F77"/>
    <w:rsid w:val="00296405"/>
    <w:rsid w:val="00296807"/>
    <w:rsid w:val="002A12D2"/>
    <w:rsid w:val="002A2C82"/>
    <w:rsid w:val="002A2E6F"/>
    <w:rsid w:val="002A3226"/>
    <w:rsid w:val="002A65E2"/>
    <w:rsid w:val="002A6E1C"/>
    <w:rsid w:val="002A6F07"/>
    <w:rsid w:val="002A73B7"/>
    <w:rsid w:val="002A7AC5"/>
    <w:rsid w:val="002B0062"/>
    <w:rsid w:val="002B0E70"/>
    <w:rsid w:val="002B0FE3"/>
    <w:rsid w:val="002B1BBD"/>
    <w:rsid w:val="002B1D55"/>
    <w:rsid w:val="002B2B7D"/>
    <w:rsid w:val="002B2CFF"/>
    <w:rsid w:val="002B3BC9"/>
    <w:rsid w:val="002B40AE"/>
    <w:rsid w:val="002B49B0"/>
    <w:rsid w:val="002B521F"/>
    <w:rsid w:val="002B5632"/>
    <w:rsid w:val="002B59A6"/>
    <w:rsid w:val="002B6094"/>
    <w:rsid w:val="002B7B94"/>
    <w:rsid w:val="002B7BA6"/>
    <w:rsid w:val="002B7BD6"/>
    <w:rsid w:val="002C0278"/>
    <w:rsid w:val="002C0480"/>
    <w:rsid w:val="002C1DEE"/>
    <w:rsid w:val="002C2F28"/>
    <w:rsid w:val="002C344F"/>
    <w:rsid w:val="002C3C63"/>
    <w:rsid w:val="002C4E14"/>
    <w:rsid w:val="002C5F4F"/>
    <w:rsid w:val="002C6168"/>
    <w:rsid w:val="002C6916"/>
    <w:rsid w:val="002C7BE2"/>
    <w:rsid w:val="002D0CF9"/>
    <w:rsid w:val="002D10BD"/>
    <w:rsid w:val="002D16F3"/>
    <w:rsid w:val="002D18F9"/>
    <w:rsid w:val="002D1B0B"/>
    <w:rsid w:val="002D1B41"/>
    <w:rsid w:val="002D1C38"/>
    <w:rsid w:val="002D1FF2"/>
    <w:rsid w:val="002D2036"/>
    <w:rsid w:val="002D2B86"/>
    <w:rsid w:val="002D30FB"/>
    <w:rsid w:val="002D431C"/>
    <w:rsid w:val="002D50C5"/>
    <w:rsid w:val="002D5809"/>
    <w:rsid w:val="002D58A7"/>
    <w:rsid w:val="002D5D18"/>
    <w:rsid w:val="002D602B"/>
    <w:rsid w:val="002D74B8"/>
    <w:rsid w:val="002D7A86"/>
    <w:rsid w:val="002E01A8"/>
    <w:rsid w:val="002E0300"/>
    <w:rsid w:val="002E13DB"/>
    <w:rsid w:val="002E2A16"/>
    <w:rsid w:val="002E4D04"/>
    <w:rsid w:val="002E5197"/>
    <w:rsid w:val="002E51F6"/>
    <w:rsid w:val="002E58A0"/>
    <w:rsid w:val="002E5C17"/>
    <w:rsid w:val="002E62C9"/>
    <w:rsid w:val="002E67A1"/>
    <w:rsid w:val="002E6D06"/>
    <w:rsid w:val="002E7D4C"/>
    <w:rsid w:val="002E7E78"/>
    <w:rsid w:val="002F2364"/>
    <w:rsid w:val="002F249F"/>
    <w:rsid w:val="002F3159"/>
    <w:rsid w:val="002F5466"/>
    <w:rsid w:val="002F5D5A"/>
    <w:rsid w:val="002F62CC"/>
    <w:rsid w:val="002F753E"/>
    <w:rsid w:val="002F7D94"/>
    <w:rsid w:val="003030B0"/>
    <w:rsid w:val="0030550E"/>
    <w:rsid w:val="00305F17"/>
    <w:rsid w:val="00307269"/>
    <w:rsid w:val="00310038"/>
    <w:rsid w:val="003113DB"/>
    <w:rsid w:val="003115CB"/>
    <w:rsid w:val="00311A96"/>
    <w:rsid w:val="00312803"/>
    <w:rsid w:val="00312D44"/>
    <w:rsid w:val="0031344B"/>
    <w:rsid w:val="00313BAC"/>
    <w:rsid w:val="00314207"/>
    <w:rsid w:val="00314F29"/>
    <w:rsid w:val="0031590B"/>
    <w:rsid w:val="00315B53"/>
    <w:rsid w:val="003170CB"/>
    <w:rsid w:val="00321AF4"/>
    <w:rsid w:val="00322C62"/>
    <w:rsid w:val="00322CEA"/>
    <w:rsid w:val="003236FB"/>
    <w:rsid w:val="0032385F"/>
    <w:rsid w:val="0032395B"/>
    <w:rsid w:val="0032548E"/>
    <w:rsid w:val="00326041"/>
    <w:rsid w:val="00326F55"/>
    <w:rsid w:val="003277E6"/>
    <w:rsid w:val="00330806"/>
    <w:rsid w:val="003327BD"/>
    <w:rsid w:val="0033558E"/>
    <w:rsid w:val="003364B7"/>
    <w:rsid w:val="00336880"/>
    <w:rsid w:val="00341703"/>
    <w:rsid w:val="00341895"/>
    <w:rsid w:val="0034260F"/>
    <w:rsid w:val="0034313B"/>
    <w:rsid w:val="00344233"/>
    <w:rsid w:val="003450E4"/>
    <w:rsid w:val="00345FEB"/>
    <w:rsid w:val="00346436"/>
    <w:rsid w:val="00351B65"/>
    <w:rsid w:val="003521D0"/>
    <w:rsid w:val="003538E7"/>
    <w:rsid w:val="003567B6"/>
    <w:rsid w:val="00356818"/>
    <w:rsid w:val="00356FE8"/>
    <w:rsid w:val="0035701F"/>
    <w:rsid w:val="00357881"/>
    <w:rsid w:val="00360934"/>
    <w:rsid w:val="00361FDF"/>
    <w:rsid w:val="003623E0"/>
    <w:rsid w:val="00363DC5"/>
    <w:rsid w:val="003674C5"/>
    <w:rsid w:val="003676A7"/>
    <w:rsid w:val="00367CDC"/>
    <w:rsid w:val="00367E1C"/>
    <w:rsid w:val="003702D9"/>
    <w:rsid w:val="003703B9"/>
    <w:rsid w:val="00370DBF"/>
    <w:rsid w:val="00371741"/>
    <w:rsid w:val="00371A7A"/>
    <w:rsid w:val="00371BED"/>
    <w:rsid w:val="00371F90"/>
    <w:rsid w:val="00373414"/>
    <w:rsid w:val="00373418"/>
    <w:rsid w:val="0037378E"/>
    <w:rsid w:val="00373BD6"/>
    <w:rsid w:val="00373DF2"/>
    <w:rsid w:val="0037448F"/>
    <w:rsid w:val="00375639"/>
    <w:rsid w:val="00376412"/>
    <w:rsid w:val="003774FC"/>
    <w:rsid w:val="00377D97"/>
    <w:rsid w:val="00380ABF"/>
    <w:rsid w:val="0038389A"/>
    <w:rsid w:val="00384288"/>
    <w:rsid w:val="003846BC"/>
    <w:rsid w:val="00384B91"/>
    <w:rsid w:val="003851DA"/>
    <w:rsid w:val="00386680"/>
    <w:rsid w:val="003866D2"/>
    <w:rsid w:val="00386D23"/>
    <w:rsid w:val="00387C06"/>
    <w:rsid w:val="00390326"/>
    <w:rsid w:val="00390584"/>
    <w:rsid w:val="003909BB"/>
    <w:rsid w:val="00390ADA"/>
    <w:rsid w:val="0039137D"/>
    <w:rsid w:val="00391392"/>
    <w:rsid w:val="003915B7"/>
    <w:rsid w:val="00392C62"/>
    <w:rsid w:val="003941AD"/>
    <w:rsid w:val="00395445"/>
    <w:rsid w:val="00395F31"/>
    <w:rsid w:val="00396406"/>
    <w:rsid w:val="0039663E"/>
    <w:rsid w:val="00396D1E"/>
    <w:rsid w:val="003974CB"/>
    <w:rsid w:val="00397E7C"/>
    <w:rsid w:val="003A009C"/>
    <w:rsid w:val="003A14CC"/>
    <w:rsid w:val="003A1A24"/>
    <w:rsid w:val="003A1A48"/>
    <w:rsid w:val="003A2EAE"/>
    <w:rsid w:val="003A4078"/>
    <w:rsid w:val="003A48E3"/>
    <w:rsid w:val="003A4EE8"/>
    <w:rsid w:val="003A50E0"/>
    <w:rsid w:val="003A569D"/>
    <w:rsid w:val="003A6CB7"/>
    <w:rsid w:val="003A7D6B"/>
    <w:rsid w:val="003B0387"/>
    <w:rsid w:val="003B0553"/>
    <w:rsid w:val="003B0909"/>
    <w:rsid w:val="003B2737"/>
    <w:rsid w:val="003B2F86"/>
    <w:rsid w:val="003B301C"/>
    <w:rsid w:val="003B3443"/>
    <w:rsid w:val="003B52E5"/>
    <w:rsid w:val="003B674C"/>
    <w:rsid w:val="003B7613"/>
    <w:rsid w:val="003C17E0"/>
    <w:rsid w:val="003C22DF"/>
    <w:rsid w:val="003C2863"/>
    <w:rsid w:val="003C3B0A"/>
    <w:rsid w:val="003C49AA"/>
    <w:rsid w:val="003C542B"/>
    <w:rsid w:val="003C5919"/>
    <w:rsid w:val="003C67A7"/>
    <w:rsid w:val="003C6ABD"/>
    <w:rsid w:val="003C6BA1"/>
    <w:rsid w:val="003C71D7"/>
    <w:rsid w:val="003C7265"/>
    <w:rsid w:val="003C7590"/>
    <w:rsid w:val="003C76A1"/>
    <w:rsid w:val="003C7C56"/>
    <w:rsid w:val="003D06F3"/>
    <w:rsid w:val="003D07A6"/>
    <w:rsid w:val="003D13A3"/>
    <w:rsid w:val="003D1A7D"/>
    <w:rsid w:val="003D27E8"/>
    <w:rsid w:val="003D2895"/>
    <w:rsid w:val="003D33C2"/>
    <w:rsid w:val="003D4E9D"/>
    <w:rsid w:val="003D593F"/>
    <w:rsid w:val="003D5DE5"/>
    <w:rsid w:val="003D612A"/>
    <w:rsid w:val="003D6292"/>
    <w:rsid w:val="003D68A7"/>
    <w:rsid w:val="003D76A8"/>
    <w:rsid w:val="003D7927"/>
    <w:rsid w:val="003E067E"/>
    <w:rsid w:val="003E06DB"/>
    <w:rsid w:val="003E0A5D"/>
    <w:rsid w:val="003E1A4D"/>
    <w:rsid w:val="003E4BEB"/>
    <w:rsid w:val="003E6C8D"/>
    <w:rsid w:val="003F0664"/>
    <w:rsid w:val="003F1261"/>
    <w:rsid w:val="003F30EF"/>
    <w:rsid w:val="003F468C"/>
    <w:rsid w:val="003F481A"/>
    <w:rsid w:val="003F4FDA"/>
    <w:rsid w:val="003F57F4"/>
    <w:rsid w:val="003F6DC3"/>
    <w:rsid w:val="003F7256"/>
    <w:rsid w:val="003F77B5"/>
    <w:rsid w:val="0040036B"/>
    <w:rsid w:val="0040055C"/>
    <w:rsid w:val="0040207A"/>
    <w:rsid w:val="00402678"/>
    <w:rsid w:val="00403006"/>
    <w:rsid w:val="004030A9"/>
    <w:rsid w:val="00403813"/>
    <w:rsid w:val="00406716"/>
    <w:rsid w:val="004101A6"/>
    <w:rsid w:val="0041261D"/>
    <w:rsid w:val="004127CE"/>
    <w:rsid w:val="00412CB5"/>
    <w:rsid w:val="00412D35"/>
    <w:rsid w:val="004138D4"/>
    <w:rsid w:val="0041509C"/>
    <w:rsid w:val="004154DA"/>
    <w:rsid w:val="004155FE"/>
    <w:rsid w:val="00415899"/>
    <w:rsid w:val="0041597A"/>
    <w:rsid w:val="00415D19"/>
    <w:rsid w:val="00417D8B"/>
    <w:rsid w:val="004206E6"/>
    <w:rsid w:val="00421A2F"/>
    <w:rsid w:val="00423607"/>
    <w:rsid w:val="00424088"/>
    <w:rsid w:val="004274D6"/>
    <w:rsid w:val="00427856"/>
    <w:rsid w:val="00430402"/>
    <w:rsid w:val="00430893"/>
    <w:rsid w:val="004319A0"/>
    <w:rsid w:val="00431A96"/>
    <w:rsid w:val="00431E2A"/>
    <w:rsid w:val="004321A4"/>
    <w:rsid w:val="0043293C"/>
    <w:rsid w:val="0043367C"/>
    <w:rsid w:val="00434996"/>
    <w:rsid w:val="00435824"/>
    <w:rsid w:val="00435A0E"/>
    <w:rsid w:val="00435C02"/>
    <w:rsid w:val="00436017"/>
    <w:rsid w:val="00436454"/>
    <w:rsid w:val="00436758"/>
    <w:rsid w:val="00437457"/>
    <w:rsid w:val="004409AB"/>
    <w:rsid w:val="00440A6D"/>
    <w:rsid w:val="00441712"/>
    <w:rsid w:val="00441AB4"/>
    <w:rsid w:val="00442006"/>
    <w:rsid w:val="00442563"/>
    <w:rsid w:val="00442700"/>
    <w:rsid w:val="00444112"/>
    <w:rsid w:val="00445016"/>
    <w:rsid w:val="00445168"/>
    <w:rsid w:val="00445E6F"/>
    <w:rsid w:val="004467FF"/>
    <w:rsid w:val="00446928"/>
    <w:rsid w:val="00446C03"/>
    <w:rsid w:val="004473ED"/>
    <w:rsid w:val="00450560"/>
    <w:rsid w:val="004509B7"/>
    <w:rsid w:val="0045277D"/>
    <w:rsid w:val="0045285F"/>
    <w:rsid w:val="00454279"/>
    <w:rsid w:val="004543FC"/>
    <w:rsid w:val="00454AA5"/>
    <w:rsid w:val="00455FFD"/>
    <w:rsid w:val="00456C6B"/>
    <w:rsid w:val="004616FB"/>
    <w:rsid w:val="00461FF9"/>
    <w:rsid w:val="0046239C"/>
    <w:rsid w:val="00462657"/>
    <w:rsid w:val="004627C3"/>
    <w:rsid w:val="004642F3"/>
    <w:rsid w:val="004647F5"/>
    <w:rsid w:val="00464803"/>
    <w:rsid w:val="00464F3C"/>
    <w:rsid w:val="00466595"/>
    <w:rsid w:val="00466DE1"/>
    <w:rsid w:val="004702DE"/>
    <w:rsid w:val="00470F5D"/>
    <w:rsid w:val="00472329"/>
    <w:rsid w:val="00472785"/>
    <w:rsid w:val="00472927"/>
    <w:rsid w:val="00472CAA"/>
    <w:rsid w:val="00473E74"/>
    <w:rsid w:val="00474D96"/>
    <w:rsid w:val="00474FF6"/>
    <w:rsid w:val="00476234"/>
    <w:rsid w:val="004767CC"/>
    <w:rsid w:val="00477D42"/>
    <w:rsid w:val="00477DD4"/>
    <w:rsid w:val="004802E1"/>
    <w:rsid w:val="00481763"/>
    <w:rsid w:val="0048241F"/>
    <w:rsid w:val="00483157"/>
    <w:rsid w:val="00483173"/>
    <w:rsid w:val="004847ED"/>
    <w:rsid w:val="00484CA5"/>
    <w:rsid w:val="00485905"/>
    <w:rsid w:val="00487B65"/>
    <w:rsid w:val="00490600"/>
    <w:rsid w:val="00491D68"/>
    <w:rsid w:val="00492113"/>
    <w:rsid w:val="00493EE5"/>
    <w:rsid w:val="004944E9"/>
    <w:rsid w:val="004969A0"/>
    <w:rsid w:val="004A0955"/>
    <w:rsid w:val="004A09DA"/>
    <w:rsid w:val="004A135D"/>
    <w:rsid w:val="004A2255"/>
    <w:rsid w:val="004A2B0E"/>
    <w:rsid w:val="004A2D8F"/>
    <w:rsid w:val="004A3074"/>
    <w:rsid w:val="004A36A0"/>
    <w:rsid w:val="004A4319"/>
    <w:rsid w:val="004A4E10"/>
    <w:rsid w:val="004A510A"/>
    <w:rsid w:val="004A54DB"/>
    <w:rsid w:val="004A5905"/>
    <w:rsid w:val="004A59E4"/>
    <w:rsid w:val="004A5C84"/>
    <w:rsid w:val="004A5DF3"/>
    <w:rsid w:val="004A6485"/>
    <w:rsid w:val="004A65DF"/>
    <w:rsid w:val="004A6AA5"/>
    <w:rsid w:val="004A7DA1"/>
    <w:rsid w:val="004B0112"/>
    <w:rsid w:val="004B0636"/>
    <w:rsid w:val="004B08DE"/>
    <w:rsid w:val="004B0CC4"/>
    <w:rsid w:val="004B1548"/>
    <w:rsid w:val="004B1C02"/>
    <w:rsid w:val="004B330E"/>
    <w:rsid w:val="004B3520"/>
    <w:rsid w:val="004B4EE1"/>
    <w:rsid w:val="004B6E15"/>
    <w:rsid w:val="004B7432"/>
    <w:rsid w:val="004B780D"/>
    <w:rsid w:val="004B78BD"/>
    <w:rsid w:val="004C0554"/>
    <w:rsid w:val="004C1EB5"/>
    <w:rsid w:val="004C287A"/>
    <w:rsid w:val="004C34D1"/>
    <w:rsid w:val="004C39AB"/>
    <w:rsid w:val="004C455A"/>
    <w:rsid w:val="004C5169"/>
    <w:rsid w:val="004C593D"/>
    <w:rsid w:val="004C5C16"/>
    <w:rsid w:val="004C5C50"/>
    <w:rsid w:val="004C61C5"/>
    <w:rsid w:val="004C6277"/>
    <w:rsid w:val="004C6367"/>
    <w:rsid w:val="004C7D01"/>
    <w:rsid w:val="004D0ADF"/>
    <w:rsid w:val="004D0ECF"/>
    <w:rsid w:val="004D20D1"/>
    <w:rsid w:val="004D256A"/>
    <w:rsid w:val="004D4C43"/>
    <w:rsid w:val="004D4ED9"/>
    <w:rsid w:val="004D4F99"/>
    <w:rsid w:val="004D506B"/>
    <w:rsid w:val="004D51BA"/>
    <w:rsid w:val="004D5EB1"/>
    <w:rsid w:val="004D6154"/>
    <w:rsid w:val="004E037B"/>
    <w:rsid w:val="004E059F"/>
    <w:rsid w:val="004E05CC"/>
    <w:rsid w:val="004E1F02"/>
    <w:rsid w:val="004E3C98"/>
    <w:rsid w:val="004E436F"/>
    <w:rsid w:val="004E43F0"/>
    <w:rsid w:val="004E50AE"/>
    <w:rsid w:val="004E5171"/>
    <w:rsid w:val="004E6A75"/>
    <w:rsid w:val="004E73CA"/>
    <w:rsid w:val="004E7D1D"/>
    <w:rsid w:val="004F0D22"/>
    <w:rsid w:val="004F3669"/>
    <w:rsid w:val="004F3981"/>
    <w:rsid w:val="004F3EAF"/>
    <w:rsid w:val="004F4937"/>
    <w:rsid w:val="004F4F27"/>
    <w:rsid w:val="004F5B29"/>
    <w:rsid w:val="004F60F1"/>
    <w:rsid w:val="004F61E4"/>
    <w:rsid w:val="004F7942"/>
    <w:rsid w:val="005007E8"/>
    <w:rsid w:val="00500F6D"/>
    <w:rsid w:val="00501B03"/>
    <w:rsid w:val="00501E6D"/>
    <w:rsid w:val="00502F85"/>
    <w:rsid w:val="0050345F"/>
    <w:rsid w:val="00503548"/>
    <w:rsid w:val="00503995"/>
    <w:rsid w:val="00503C12"/>
    <w:rsid w:val="00503FCF"/>
    <w:rsid w:val="0050476C"/>
    <w:rsid w:val="0050527E"/>
    <w:rsid w:val="005054A1"/>
    <w:rsid w:val="005058A5"/>
    <w:rsid w:val="005063F4"/>
    <w:rsid w:val="00506C72"/>
    <w:rsid w:val="00507D99"/>
    <w:rsid w:val="00510600"/>
    <w:rsid w:val="005112A7"/>
    <w:rsid w:val="00511EE4"/>
    <w:rsid w:val="00511FE6"/>
    <w:rsid w:val="00512413"/>
    <w:rsid w:val="0051347B"/>
    <w:rsid w:val="00513B3F"/>
    <w:rsid w:val="00514A4D"/>
    <w:rsid w:val="00514B90"/>
    <w:rsid w:val="00515775"/>
    <w:rsid w:val="005161B7"/>
    <w:rsid w:val="0051728B"/>
    <w:rsid w:val="00517688"/>
    <w:rsid w:val="00517936"/>
    <w:rsid w:val="00517E14"/>
    <w:rsid w:val="00520FE1"/>
    <w:rsid w:val="0052292C"/>
    <w:rsid w:val="00522960"/>
    <w:rsid w:val="005233CA"/>
    <w:rsid w:val="0052349A"/>
    <w:rsid w:val="0052762E"/>
    <w:rsid w:val="00531AAA"/>
    <w:rsid w:val="005321BB"/>
    <w:rsid w:val="00533F60"/>
    <w:rsid w:val="005345EE"/>
    <w:rsid w:val="005348F0"/>
    <w:rsid w:val="005351BA"/>
    <w:rsid w:val="0053584B"/>
    <w:rsid w:val="00536226"/>
    <w:rsid w:val="005378D2"/>
    <w:rsid w:val="0054093A"/>
    <w:rsid w:val="00540E31"/>
    <w:rsid w:val="00540EAA"/>
    <w:rsid w:val="00540F0B"/>
    <w:rsid w:val="00541806"/>
    <w:rsid w:val="005418D1"/>
    <w:rsid w:val="00541BCE"/>
    <w:rsid w:val="005431BF"/>
    <w:rsid w:val="0054454F"/>
    <w:rsid w:val="00544FDE"/>
    <w:rsid w:val="005451F7"/>
    <w:rsid w:val="00545367"/>
    <w:rsid w:val="00545B91"/>
    <w:rsid w:val="00547AC3"/>
    <w:rsid w:val="00547AE0"/>
    <w:rsid w:val="00547DBD"/>
    <w:rsid w:val="005504A9"/>
    <w:rsid w:val="005506A5"/>
    <w:rsid w:val="00551A35"/>
    <w:rsid w:val="005522AE"/>
    <w:rsid w:val="005534EA"/>
    <w:rsid w:val="005539F4"/>
    <w:rsid w:val="00553A8B"/>
    <w:rsid w:val="00554351"/>
    <w:rsid w:val="0055551A"/>
    <w:rsid w:val="005562F3"/>
    <w:rsid w:val="00556585"/>
    <w:rsid w:val="005571F6"/>
    <w:rsid w:val="005573DA"/>
    <w:rsid w:val="0055781A"/>
    <w:rsid w:val="00560993"/>
    <w:rsid w:val="005610D5"/>
    <w:rsid w:val="00561D52"/>
    <w:rsid w:val="00562704"/>
    <w:rsid w:val="00562AE7"/>
    <w:rsid w:val="00562B6D"/>
    <w:rsid w:val="00564AF6"/>
    <w:rsid w:val="0056506F"/>
    <w:rsid w:val="00565788"/>
    <w:rsid w:val="0056595E"/>
    <w:rsid w:val="00565D0D"/>
    <w:rsid w:val="00567090"/>
    <w:rsid w:val="00567232"/>
    <w:rsid w:val="00570D75"/>
    <w:rsid w:val="00570FE2"/>
    <w:rsid w:val="00571117"/>
    <w:rsid w:val="0057130A"/>
    <w:rsid w:val="00572FC9"/>
    <w:rsid w:val="00573907"/>
    <w:rsid w:val="00573AB6"/>
    <w:rsid w:val="00573FD0"/>
    <w:rsid w:val="0057512B"/>
    <w:rsid w:val="00575AFF"/>
    <w:rsid w:val="00576B9D"/>
    <w:rsid w:val="00576DF1"/>
    <w:rsid w:val="0057751F"/>
    <w:rsid w:val="005801B8"/>
    <w:rsid w:val="0058026B"/>
    <w:rsid w:val="00581DD4"/>
    <w:rsid w:val="005822CA"/>
    <w:rsid w:val="00583573"/>
    <w:rsid w:val="00583812"/>
    <w:rsid w:val="00583EE4"/>
    <w:rsid w:val="0058410F"/>
    <w:rsid w:val="00584FD7"/>
    <w:rsid w:val="005850A9"/>
    <w:rsid w:val="00585B35"/>
    <w:rsid w:val="00587C98"/>
    <w:rsid w:val="00590D73"/>
    <w:rsid w:val="00591207"/>
    <w:rsid w:val="00592444"/>
    <w:rsid w:val="005926B1"/>
    <w:rsid w:val="00594936"/>
    <w:rsid w:val="0059495C"/>
    <w:rsid w:val="00595861"/>
    <w:rsid w:val="0059657A"/>
    <w:rsid w:val="00597A81"/>
    <w:rsid w:val="00597A88"/>
    <w:rsid w:val="00597D1F"/>
    <w:rsid w:val="005A1010"/>
    <w:rsid w:val="005A1D32"/>
    <w:rsid w:val="005A301E"/>
    <w:rsid w:val="005A40CA"/>
    <w:rsid w:val="005A5173"/>
    <w:rsid w:val="005A5D6C"/>
    <w:rsid w:val="005A6609"/>
    <w:rsid w:val="005A7462"/>
    <w:rsid w:val="005B3938"/>
    <w:rsid w:val="005B3F8D"/>
    <w:rsid w:val="005B421A"/>
    <w:rsid w:val="005B4F80"/>
    <w:rsid w:val="005B57C0"/>
    <w:rsid w:val="005B58FD"/>
    <w:rsid w:val="005B7239"/>
    <w:rsid w:val="005C11F3"/>
    <w:rsid w:val="005C1BD4"/>
    <w:rsid w:val="005C1C3D"/>
    <w:rsid w:val="005C38E4"/>
    <w:rsid w:val="005C3F68"/>
    <w:rsid w:val="005C4382"/>
    <w:rsid w:val="005C4E07"/>
    <w:rsid w:val="005C5257"/>
    <w:rsid w:val="005C5E81"/>
    <w:rsid w:val="005D02E3"/>
    <w:rsid w:val="005D09DC"/>
    <w:rsid w:val="005D170F"/>
    <w:rsid w:val="005D1850"/>
    <w:rsid w:val="005D198B"/>
    <w:rsid w:val="005D19D8"/>
    <w:rsid w:val="005D1B5C"/>
    <w:rsid w:val="005D1BA3"/>
    <w:rsid w:val="005D1C61"/>
    <w:rsid w:val="005D3314"/>
    <w:rsid w:val="005D3D48"/>
    <w:rsid w:val="005D4B23"/>
    <w:rsid w:val="005D5BD7"/>
    <w:rsid w:val="005D664A"/>
    <w:rsid w:val="005D6D08"/>
    <w:rsid w:val="005D79D5"/>
    <w:rsid w:val="005E0B66"/>
    <w:rsid w:val="005E1095"/>
    <w:rsid w:val="005E258B"/>
    <w:rsid w:val="005E27C1"/>
    <w:rsid w:val="005E2929"/>
    <w:rsid w:val="005E3058"/>
    <w:rsid w:val="005E37BB"/>
    <w:rsid w:val="005E37BE"/>
    <w:rsid w:val="005E59ED"/>
    <w:rsid w:val="005E64FE"/>
    <w:rsid w:val="005E76F9"/>
    <w:rsid w:val="005F037E"/>
    <w:rsid w:val="005F1E07"/>
    <w:rsid w:val="005F246C"/>
    <w:rsid w:val="005F3EB7"/>
    <w:rsid w:val="005F4572"/>
    <w:rsid w:val="005F5501"/>
    <w:rsid w:val="005F56E9"/>
    <w:rsid w:val="005F57F3"/>
    <w:rsid w:val="005F6A42"/>
    <w:rsid w:val="00600265"/>
    <w:rsid w:val="0060083D"/>
    <w:rsid w:val="00600D9B"/>
    <w:rsid w:val="0060142D"/>
    <w:rsid w:val="0060176A"/>
    <w:rsid w:val="006017D5"/>
    <w:rsid w:val="006019B7"/>
    <w:rsid w:val="00602F39"/>
    <w:rsid w:val="00603424"/>
    <w:rsid w:val="00603795"/>
    <w:rsid w:val="006055CA"/>
    <w:rsid w:val="00607B9F"/>
    <w:rsid w:val="00610596"/>
    <w:rsid w:val="00610E7E"/>
    <w:rsid w:val="00611097"/>
    <w:rsid w:val="00612744"/>
    <w:rsid w:val="00613C15"/>
    <w:rsid w:val="00613FF4"/>
    <w:rsid w:val="00614EB3"/>
    <w:rsid w:val="00616DD4"/>
    <w:rsid w:val="00620CFE"/>
    <w:rsid w:val="00621C19"/>
    <w:rsid w:val="006221B9"/>
    <w:rsid w:val="0062276E"/>
    <w:rsid w:val="00622F29"/>
    <w:rsid w:val="0062416B"/>
    <w:rsid w:val="00625210"/>
    <w:rsid w:val="00625542"/>
    <w:rsid w:val="00627C8A"/>
    <w:rsid w:val="00627DA2"/>
    <w:rsid w:val="00630039"/>
    <w:rsid w:val="006303F6"/>
    <w:rsid w:val="00630A34"/>
    <w:rsid w:val="00630B6A"/>
    <w:rsid w:val="00632566"/>
    <w:rsid w:val="00632777"/>
    <w:rsid w:val="00632B35"/>
    <w:rsid w:val="00632FED"/>
    <w:rsid w:val="006340C2"/>
    <w:rsid w:val="006345DE"/>
    <w:rsid w:val="00635F1D"/>
    <w:rsid w:val="00637722"/>
    <w:rsid w:val="00637A93"/>
    <w:rsid w:val="00640319"/>
    <w:rsid w:val="00640671"/>
    <w:rsid w:val="006408F9"/>
    <w:rsid w:val="006416FE"/>
    <w:rsid w:val="00642726"/>
    <w:rsid w:val="0064330A"/>
    <w:rsid w:val="00644D8F"/>
    <w:rsid w:val="00645C7C"/>
    <w:rsid w:val="0064635F"/>
    <w:rsid w:val="00650739"/>
    <w:rsid w:val="00653145"/>
    <w:rsid w:val="00653A06"/>
    <w:rsid w:val="00654E70"/>
    <w:rsid w:val="00655A4C"/>
    <w:rsid w:val="0065728C"/>
    <w:rsid w:val="0066068D"/>
    <w:rsid w:val="006618A2"/>
    <w:rsid w:val="00662597"/>
    <w:rsid w:val="00662FC4"/>
    <w:rsid w:val="00662FDB"/>
    <w:rsid w:val="006633FD"/>
    <w:rsid w:val="006637B8"/>
    <w:rsid w:val="00664DD3"/>
    <w:rsid w:val="006658F0"/>
    <w:rsid w:val="00667789"/>
    <w:rsid w:val="00667817"/>
    <w:rsid w:val="00670AA6"/>
    <w:rsid w:val="00671A62"/>
    <w:rsid w:val="006721D4"/>
    <w:rsid w:val="00672857"/>
    <w:rsid w:val="00672B7C"/>
    <w:rsid w:val="00673DDC"/>
    <w:rsid w:val="006747AB"/>
    <w:rsid w:val="006750D7"/>
    <w:rsid w:val="00675701"/>
    <w:rsid w:val="00676B48"/>
    <w:rsid w:val="00677FC0"/>
    <w:rsid w:val="00677FE8"/>
    <w:rsid w:val="006803B9"/>
    <w:rsid w:val="00681183"/>
    <w:rsid w:val="0068197D"/>
    <w:rsid w:val="00681ED1"/>
    <w:rsid w:val="0068260F"/>
    <w:rsid w:val="00683A5D"/>
    <w:rsid w:val="006849CB"/>
    <w:rsid w:val="00684C3A"/>
    <w:rsid w:val="00684F98"/>
    <w:rsid w:val="0068650F"/>
    <w:rsid w:val="00686902"/>
    <w:rsid w:val="00687CA4"/>
    <w:rsid w:val="0069062A"/>
    <w:rsid w:val="0069139F"/>
    <w:rsid w:val="00693D76"/>
    <w:rsid w:val="006943DE"/>
    <w:rsid w:val="00694562"/>
    <w:rsid w:val="00694FAB"/>
    <w:rsid w:val="00695DB1"/>
    <w:rsid w:val="00696334"/>
    <w:rsid w:val="00697083"/>
    <w:rsid w:val="00697B66"/>
    <w:rsid w:val="006A0A64"/>
    <w:rsid w:val="006A0B4B"/>
    <w:rsid w:val="006A1E9E"/>
    <w:rsid w:val="006A2CEC"/>
    <w:rsid w:val="006A423F"/>
    <w:rsid w:val="006A4C1A"/>
    <w:rsid w:val="006A5520"/>
    <w:rsid w:val="006A5D06"/>
    <w:rsid w:val="006A743D"/>
    <w:rsid w:val="006B00F6"/>
    <w:rsid w:val="006B03FF"/>
    <w:rsid w:val="006B08B9"/>
    <w:rsid w:val="006B2825"/>
    <w:rsid w:val="006B36B2"/>
    <w:rsid w:val="006B3D91"/>
    <w:rsid w:val="006B3E83"/>
    <w:rsid w:val="006B5D46"/>
    <w:rsid w:val="006B7B8B"/>
    <w:rsid w:val="006C08A0"/>
    <w:rsid w:val="006C0962"/>
    <w:rsid w:val="006C15CA"/>
    <w:rsid w:val="006C22F1"/>
    <w:rsid w:val="006C374E"/>
    <w:rsid w:val="006C38C7"/>
    <w:rsid w:val="006C3C1C"/>
    <w:rsid w:val="006C4D49"/>
    <w:rsid w:val="006C5175"/>
    <w:rsid w:val="006C53C9"/>
    <w:rsid w:val="006C60EE"/>
    <w:rsid w:val="006C63CD"/>
    <w:rsid w:val="006C69DF"/>
    <w:rsid w:val="006C6C18"/>
    <w:rsid w:val="006D2742"/>
    <w:rsid w:val="006D3E2F"/>
    <w:rsid w:val="006D40FE"/>
    <w:rsid w:val="006D4310"/>
    <w:rsid w:val="006D434D"/>
    <w:rsid w:val="006D6A8C"/>
    <w:rsid w:val="006D737C"/>
    <w:rsid w:val="006D754B"/>
    <w:rsid w:val="006D7765"/>
    <w:rsid w:val="006D7D60"/>
    <w:rsid w:val="006E0657"/>
    <w:rsid w:val="006E0907"/>
    <w:rsid w:val="006E1BFD"/>
    <w:rsid w:val="006E2339"/>
    <w:rsid w:val="006E2F88"/>
    <w:rsid w:val="006E3F23"/>
    <w:rsid w:val="006E4A4A"/>
    <w:rsid w:val="006E5212"/>
    <w:rsid w:val="006E6A53"/>
    <w:rsid w:val="006F2608"/>
    <w:rsid w:val="006F3001"/>
    <w:rsid w:val="006F365C"/>
    <w:rsid w:val="006F36FF"/>
    <w:rsid w:val="006F3E0C"/>
    <w:rsid w:val="006F469D"/>
    <w:rsid w:val="006F5196"/>
    <w:rsid w:val="006F5935"/>
    <w:rsid w:val="006F5A2E"/>
    <w:rsid w:val="006F6F42"/>
    <w:rsid w:val="006F6FA5"/>
    <w:rsid w:val="006F7B43"/>
    <w:rsid w:val="007008AF"/>
    <w:rsid w:val="00702B77"/>
    <w:rsid w:val="00702CBD"/>
    <w:rsid w:val="00703AB8"/>
    <w:rsid w:val="00703D1B"/>
    <w:rsid w:val="007040A8"/>
    <w:rsid w:val="00705AB3"/>
    <w:rsid w:val="00705F84"/>
    <w:rsid w:val="00707985"/>
    <w:rsid w:val="007102D1"/>
    <w:rsid w:val="007111F6"/>
    <w:rsid w:val="0071188A"/>
    <w:rsid w:val="00712294"/>
    <w:rsid w:val="00712F85"/>
    <w:rsid w:val="007131AD"/>
    <w:rsid w:val="00714DBF"/>
    <w:rsid w:val="00715448"/>
    <w:rsid w:val="0071597E"/>
    <w:rsid w:val="00716C9D"/>
    <w:rsid w:val="00716D8C"/>
    <w:rsid w:val="00720794"/>
    <w:rsid w:val="007217EB"/>
    <w:rsid w:val="00722042"/>
    <w:rsid w:val="007220CF"/>
    <w:rsid w:val="00725A53"/>
    <w:rsid w:val="007278E2"/>
    <w:rsid w:val="00732A49"/>
    <w:rsid w:val="00733C89"/>
    <w:rsid w:val="0073427E"/>
    <w:rsid w:val="00735778"/>
    <w:rsid w:val="00736A76"/>
    <w:rsid w:val="0073733E"/>
    <w:rsid w:val="00737569"/>
    <w:rsid w:val="00740462"/>
    <w:rsid w:val="00740DCA"/>
    <w:rsid w:val="00740ECA"/>
    <w:rsid w:val="007415BC"/>
    <w:rsid w:val="00741BBF"/>
    <w:rsid w:val="00742004"/>
    <w:rsid w:val="0074212D"/>
    <w:rsid w:val="00742E44"/>
    <w:rsid w:val="0074370E"/>
    <w:rsid w:val="00743F5C"/>
    <w:rsid w:val="0074438C"/>
    <w:rsid w:val="0074480F"/>
    <w:rsid w:val="007448A2"/>
    <w:rsid w:val="0074752B"/>
    <w:rsid w:val="00747B3E"/>
    <w:rsid w:val="00750008"/>
    <w:rsid w:val="00750177"/>
    <w:rsid w:val="007523F6"/>
    <w:rsid w:val="0075289C"/>
    <w:rsid w:val="00754441"/>
    <w:rsid w:val="00756BCF"/>
    <w:rsid w:val="00756D56"/>
    <w:rsid w:val="007578E4"/>
    <w:rsid w:val="00757995"/>
    <w:rsid w:val="00757C8E"/>
    <w:rsid w:val="00760015"/>
    <w:rsid w:val="00760EE2"/>
    <w:rsid w:val="00761AE8"/>
    <w:rsid w:val="00761D83"/>
    <w:rsid w:val="0076211E"/>
    <w:rsid w:val="00762643"/>
    <w:rsid w:val="007626CA"/>
    <w:rsid w:val="007629D5"/>
    <w:rsid w:val="00763D6E"/>
    <w:rsid w:val="007642CF"/>
    <w:rsid w:val="00766A1B"/>
    <w:rsid w:val="00766D87"/>
    <w:rsid w:val="00767056"/>
    <w:rsid w:val="007673EE"/>
    <w:rsid w:val="007676EA"/>
    <w:rsid w:val="00770018"/>
    <w:rsid w:val="00770D7D"/>
    <w:rsid w:val="00770FB0"/>
    <w:rsid w:val="00773652"/>
    <w:rsid w:val="0077481C"/>
    <w:rsid w:val="00775583"/>
    <w:rsid w:val="00776439"/>
    <w:rsid w:val="007767D1"/>
    <w:rsid w:val="0077699C"/>
    <w:rsid w:val="0077712C"/>
    <w:rsid w:val="00777698"/>
    <w:rsid w:val="00777E0A"/>
    <w:rsid w:val="0078081F"/>
    <w:rsid w:val="00780954"/>
    <w:rsid w:val="007819B7"/>
    <w:rsid w:val="00782DCC"/>
    <w:rsid w:val="0078465D"/>
    <w:rsid w:val="0078561A"/>
    <w:rsid w:val="00785F12"/>
    <w:rsid w:val="00787DD6"/>
    <w:rsid w:val="00787E82"/>
    <w:rsid w:val="00790003"/>
    <w:rsid w:val="0079107C"/>
    <w:rsid w:val="00792DD0"/>
    <w:rsid w:val="0079420F"/>
    <w:rsid w:val="00794CB3"/>
    <w:rsid w:val="00794EC8"/>
    <w:rsid w:val="0079646B"/>
    <w:rsid w:val="00796B01"/>
    <w:rsid w:val="007972B7"/>
    <w:rsid w:val="00797D9A"/>
    <w:rsid w:val="007A0027"/>
    <w:rsid w:val="007A06F9"/>
    <w:rsid w:val="007A07E4"/>
    <w:rsid w:val="007A1E43"/>
    <w:rsid w:val="007A2E2E"/>
    <w:rsid w:val="007A4947"/>
    <w:rsid w:val="007A4F7E"/>
    <w:rsid w:val="007A5ABE"/>
    <w:rsid w:val="007A62F2"/>
    <w:rsid w:val="007A6788"/>
    <w:rsid w:val="007B00BA"/>
    <w:rsid w:val="007B0B6F"/>
    <w:rsid w:val="007B1189"/>
    <w:rsid w:val="007B1C9F"/>
    <w:rsid w:val="007B1E3B"/>
    <w:rsid w:val="007B1F91"/>
    <w:rsid w:val="007B29E9"/>
    <w:rsid w:val="007B2BD9"/>
    <w:rsid w:val="007B2C7A"/>
    <w:rsid w:val="007B3071"/>
    <w:rsid w:val="007B41BD"/>
    <w:rsid w:val="007B5407"/>
    <w:rsid w:val="007B5CC0"/>
    <w:rsid w:val="007B5EB4"/>
    <w:rsid w:val="007B65CC"/>
    <w:rsid w:val="007C07AF"/>
    <w:rsid w:val="007C109C"/>
    <w:rsid w:val="007C1B87"/>
    <w:rsid w:val="007C1F25"/>
    <w:rsid w:val="007C28FA"/>
    <w:rsid w:val="007C341A"/>
    <w:rsid w:val="007C3F3B"/>
    <w:rsid w:val="007C42C7"/>
    <w:rsid w:val="007C431B"/>
    <w:rsid w:val="007C4C89"/>
    <w:rsid w:val="007C505E"/>
    <w:rsid w:val="007C52A5"/>
    <w:rsid w:val="007C5421"/>
    <w:rsid w:val="007C639D"/>
    <w:rsid w:val="007C696A"/>
    <w:rsid w:val="007C6F51"/>
    <w:rsid w:val="007C708E"/>
    <w:rsid w:val="007D043D"/>
    <w:rsid w:val="007D1EA7"/>
    <w:rsid w:val="007D24BA"/>
    <w:rsid w:val="007D27E3"/>
    <w:rsid w:val="007D3741"/>
    <w:rsid w:val="007D555D"/>
    <w:rsid w:val="007D5652"/>
    <w:rsid w:val="007D6278"/>
    <w:rsid w:val="007D6899"/>
    <w:rsid w:val="007D6C3D"/>
    <w:rsid w:val="007D6D05"/>
    <w:rsid w:val="007D6D60"/>
    <w:rsid w:val="007D7301"/>
    <w:rsid w:val="007D74B7"/>
    <w:rsid w:val="007D750A"/>
    <w:rsid w:val="007D7A19"/>
    <w:rsid w:val="007D7E89"/>
    <w:rsid w:val="007E21D4"/>
    <w:rsid w:val="007E35B9"/>
    <w:rsid w:val="007E4236"/>
    <w:rsid w:val="007E5827"/>
    <w:rsid w:val="007E5C5D"/>
    <w:rsid w:val="007E637C"/>
    <w:rsid w:val="007E65CA"/>
    <w:rsid w:val="007E7B5A"/>
    <w:rsid w:val="007F0888"/>
    <w:rsid w:val="007F1D6B"/>
    <w:rsid w:val="007F2869"/>
    <w:rsid w:val="007F3C10"/>
    <w:rsid w:val="007F46B8"/>
    <w:rsid w:val="007F4C2D"/>
    <w:rsid w:val="007F5C5A"/>
    <w:rsid w:val="007F5FDE"/>
    <w:rsid w:val="007F6B3E"/>
    <w:rsid w:val="007F6C19"/>
    <w:rsid w:val="007F7487"/>
    <w:rsid w:val="0080011E"/>
    <w:rsid w:val="00800A58"/>
    <w:rsid w:val="0080263B"/>
    <w:rsid w:val="008026E3"/>
    <w:rsid w:val="00803102"/>
    <w:rsid w:val="0080317A"/>
    <w:rsid w:val="00803999"/>
    <w:rsid w:val="00803B60"/>
    <w:rsid w:val="0080443F"/>
    <w:rsid w:val="00805801"/>
    <w:rsid w:val="008063DD"/>
    <w:rsid w:val="00806769"/>
    <w:rsid w:val="00807647"/>
    <w:rsid w:val="00807B90"/>
    <w:rsid w:val="00810492"/>
    <w:rsid w:val="00811400"/>
    <w:rsid w:val="00811C4D"/>
    <w:rsid w:val="0081254E"/>
    <w:rsid w:val="00813721"/>
    <w:rsid w:val="00814113"/>
    <w:rsid w:val="00816658"/>
    <w:rsid w:val="008168D2"/>
    <w:rsid w:val="0081726B"/>
    <w:rsid w:val="008176B6"/>
    <w:rsid w:val="00817B8A"/>
    <w:rsid w:val="00817DCF"/>
    <w:rsid w:val="008222B0"/>
    <w:rsid w:val="008223CF"/>
    <w:rsid w:val="00822C87"/>
    <w:rsid w:val="00823A58"/>
    <w:rsid w:val="00824113"/>
    <w:rsid w:val="00824AA7"/>
    <w:rsid w:val="00826A65"/>
    <w:rsid w:val="00826FFD"/>
    <w:rsid w:val="00830679"/>
    <w:rsid w:val="0083094B"/>
    <w:rsid w:val="00833437"/>
    <w:rsid w:val="0083394D"/>
    <w:rsid w:val="008348BE"/>
    <w:rsid w:val="008350A3"/>
    <w:rsid w:val="00836035"/>
    <w:rsid w:val="00836BB4"/>
    <w:rsid w:val="00840165"/>
    <w:rsid w:val="00841AE1"/>
    <w:rsid w:val="00844ADE"/>
    <w:rsid w:val="00846F4D"/>
    <w:rsid w:val="008473DF"/>
    <w:rsid w:val="008476AE"/>
    <w:rsid w:val="00847ABC"/>
    <w:rsid w:val="00850071"/>
    <w:rsid w:val="00851599"/>
    <w:rsid w:val="008515C9"/>
    <w:rsid w:val="00851A1C"/>
    <w:rsid w:val="00854105"/>
    <w:rsid w:val="0085413D"/>
    <w:rsid w:val="00854863"/>
    <w:rsid w:val="008554AD"/>
    <w:rsid w:val="00855F83"/>
    <w:rsid w:val="00856477"/>
    <w:rsid w:val="00856494"/>
    <w:rsid w:val="00856B05"/>
    <w:rsid w:val="00857335"/>
    <w:rsid w:val="0086096F"/>
    <w:rsid w:val="00860D31"/>
    <w:rsid w:val="00861DB7"/>
    <w:rsid w:val="00861F68"/>
    <w:rsid w:val="00862267"/>
    <w:rsid w:val="00862CC3"/>
    <w:rsid w:val="00862EDB"/>
    <w:rsid w:val="00864572"/>
    <w:rsid w:val="008648B6"/>
    <w:rsid w:val="00865BAB"/>
    <w:rsid w:val="0086647F"/>
    <w:rsid w:val="00866594"/>
    <w:rsid w:val="00866A85"/>
    <w:rsid w:val="00866FD3"/>
    <w:rsid w:val="0086751F"/>
    <w:rsid w:val="008678DC"/>
    <w:rsid w:val="00870A01"/>
    <w:rsid w:val="00870B42"/>
    <w:rsid w:val="008713CD"/>
    <w:rsid w:val="0087140A"/>
    <w:rsid w:val="0087216F"/>
    <w:rsid w:val="008723D0"/>
    <w:rsid w:val="008728DF"/>
    <w:rsid w:val="0087294D"/>
    <w:rsid w:val="008739AC"/>
    <w:rsid w:val="00875764"/>
    <w:rsid w:val="008765BD"/>
    <w:rsid w:val="008768CD"/>
    <w:rsid w:val="008800BE"/>
    <w:rsid w:val="00883DD5"/>
    <w:rsid w:val="00884320"/>
    <w:rsid w:val="00884A72"/>
    <w:rsid w:val="0088541F"/>
    <w:rsid w:val="008857FA"/>
    <w:rsid w:val="00886CB1"/>
    <w:rsid w:val="00887325"/>
    <w:rsid w:val="0089030F"/>
    <w:rsid w:val="00890E06"/>
    <w:rsid w:val="00891210"/>
    <w:rsid w:val="008927E6"/>
    <w:rsid w:val="00892B45"/>
    <w:rsid w:val="0089470C"/>
    <w:rsid w:val="0089564A"/>
    <w:rsid w:val="008967A4"/>
    <w:rsid w:val="00897135"/>
    <w:rsid w:val="008A0396"/>
    <w:rsid w:val="008A0A0A"/>
    <w:rsid w:val="008A0B50"/>
    <w:rsid w:val="008A158B"/>
    <w:rsid w:val="008A1771"/>
    <w:rsid w:val="008A21B9"/>
    <w:rsid w:val="008A3889"/>
    <w:rsid w:val="008A46F3"/>
    <w:rsid w:val="008A4B5C"/>
    <w:rsid w:val="008A6AE4"/>
    <w:rsid w:val="008A7C51"/>
    <w:rsid w:val="008B03F2"/>
    <w:rsid w:val="008B0CD3"/>
    <w:rsid w:val="008B1AC1"/>
    <w:rsid w:val="008B2A77"/>
    <w:rsid w:val="008B4F6C"/>
    <w:rsid w:val="008B5105"/>
    <w:rsid w:val="008B56C8"/>
    <w:rsid w:val="008B56FD"/>
    <w:rsid w:val="008B5B5D"/>
    <w:rsid w:val="008B5ECA"/>
    <w:rsid w:val="008B6783"/>
    <w:rsid w:val="008B7579"/>
    <w:rsid w:val="008B7E3A"/>
    <w:rsid w:val="008B7F6E"/>
    <w:rsid w:val="008C2525"/>
    <w:rsid w:val="008C28A0"/>
    <w:rsid w:val="008C34C0"/>
    <w:rsid w:val="008C3B31"/>
    <w:rsid w:val="008C52FA"/>
    <w:rsid w:val="008C609D"/>
    <w:rsid w:val="008D10F3"/>
    <w:rsid w:val="008D1955"/>
    <w:rsid w:val="008D1BFB"/>
    <w:rsid w:val="008D1C95"/>
    <w:rsid w:val="008D1CFD"/>
    <w:rsid w:val="008D1FDB"/>
    <w:rsid w:val="008D3619"/>
    <w:rsid w:val="008D3C52"/>
    <w:rsid w:val="008D4833"/>
    <w:rsid w:val="008D5747"/>
    <w:rsid w:val="008D734B"/>
    <w:rsid w:val="008D7A3B"/>
    <w:rsid w:val="008D7AA3"/>
    <w:rsid w:val="008D7B82"/>
    <w:rsid w:val="008D7E16"/>
    <w:rsid w:val="008E060F"/>
    <w:rsid w:val="008E11FE"/>
    <w:rsid w:val="008E121A"/>
    <w:rsid w:val="008E2E53"/>
    <w:rsid w:val="008E4170"/>
    <w:rsid w:val="008E4AAB"/>
    <w:rsid w:val="008E55F0"/>
    <w:rsid w:val="008E56FE"/>
    <w:rsid w:val="008E6270"/>
    <w:rsid w:val="008E6273"/>
    <w:rsid w:val="008E6451"/>
    <w:rsid w:val="008E7174"/>
    <w:rsid w:val="008F17DB"/>
    <w:rsid w:val="008F1BA3"/>
    <w:rsid w:val="008F1ED4"/>
    <w:rsid w:val="008F2938"/>
    <w:rsid w:val="008F36CC"/>
    <w:rsid w:val="008F5F17"/>
    <w:rsid w:val="008F7587"/>
    <w:rsid w:val="008F79BB"/>
    <w:rsid w:val="008F7F04"/>
    <w:rsid w:val="008F7F61"/>
    <w:rsid w:val="00900E9D"/>
    <w:rsid w:val="00901569"/>
    <w:rsid w:val="009022A9"/>
    <w:rsid w:val="009023D7"/>
    <w:rsid w:val="00903650"/>
    <w:rsid w:val="00904CAD"/>
    <w:rsid w:val="00904E2F"/>
    <w:rsid w:val="00905E1F"/>
    <w:rsid w:val="00905E25"/>
    <w:rsid w:val="00905F2F"/>
    <w:rsid w:val="009062B6"/>
    <w:rsid w:val="00907B40"/>
    <w:rsid w:val="00910CA9"/>
    <w:rsid w:val="009112DD"/>
    <w:rsid w:val="00911644"/>
    <w:rsid w:val="00911980"/>
    <w:rsid w:val="00911995"/>
    <w:rsid w:val="009124F6"/>
    <w:rsid w:val="00912DA1"/>
    <w:rsid w:val="00913707"/>
    <w:rsid w:val="00914105"/>
    <w:rsid w:val="00914BBE"/>
    <w:rsid w:val="00914CEA"/>
    <w:rsid w:val="00914CEE"/>
    <w:rsid w:val="00914FFD"/>
    <w:rsid w:val="00915CFC"/>
    <w:rsid w:val="00916003"/>
    <w:rsid w:val="0091713F"/>
    <w:rsid w:val="0092001A"/>
    <w:rsid w:val="0092002C"/>
    <w:rsid w:val="00920BC3"/>
    <w:rsid w:val="0092206F"/>
    <w:rsid w:val="00922344"/>
    <w:rsid w:val="00923546"/>
    <w:rsid w:val="00924BBC"/>
    <w:rsid w:val="00925B08"/>
    <w:rsid w:val="00925E74"/>
    <w:rsid w:val="00925EF7"/>
    <w:rsid w:val="00927A76"/>
    <w:rsid w:val="0093001B"/>
    <w:rsid w:val="0093002B"/>
    <w:rsid w:val="0093131C"/>
    <w:rsid w:val="00931531"/>
    <w:rsid w:val="00932EAF"/>
    <w:rsid w:val="00932FE2"/>
    <w:rsid w:val="00935F3B"/>
    <w:rsid w:val="00936CA2"/>
    <w:rsid w:val="00937015"/>
    <w:rsid w:val="00937E56"/>
    <w:rsid w:val="009403CF"/>
    <w:rsid w:val="009404B2"/>
    <w:rsid w:val="009406F5"/>
    <w:rsid w:val="00940A3A"/>
    <w:rsid w:val="00941142"/>
    <w:rsid w:val="0094142C"/>
    <w:rsid w:val="00941D62"/>
    <w:rsid w:val="00942966"/>
    <w:rsid w:val="00942B4E"/>
    <w:rsid w:val="00942FB0"/>
    <w:rsid w:val="0094310A"/>
    <w:rsid w:val="00946150"/>
    <w:rsid w:val="00946433"/>
    <w:rsid w:val="00946992"/>
    <w:rsid w:val="00947116"/>
    <w:rsid w:val="009472FB"/>
    <w:rsid w:val="00950221"/>
    <w:rsid w:val="00950693"/>
    <w:rsid w:val="00950E05"/>
    <w:rsid w:val="00951239"/>
    <w:rsid w:val="00953154"/>
    <w:rsid w:val="009547EC"/>
    <w:rsid w:val="00954F50"/>
    <w:rsid w:val="009557DA"/>
    <w:rsid w:val="0095654D"/>
    <w:rsid w:val="0095672D"/>
    <w:rsid w:val="0095674F"/>
    <w:rsid w:val="00956CAE"/>
    <w:rsid w:val="00956CEF"/>
    <w:rsid w:val="0095733B"/>
    <w:rsid w:val="0095777D"/>
    <w:rsid w:val="00957988"/>
    <w:rsid w:val="00957F75"/>
    <w:rsid w:val="009611F2"/>
    <w:rsid w:val="00961764"/>
    <w:rsid w:val="009617B8"/>
    <w:rsid w:val="00962874"/>
    <w:rsid w:val="009634FD"/>
    <w:rsid w:val="009640B0"/>
    <w:rsid w:val="009640D6"/>
    <w:rsid w:val="00964CDA"/>
    <w:rsid w:val="0096593B"/>
    <w:rsid w:val="00965AA9"/>
    <w:rsid w:val="00965DEE"/>
    <w:rsid w:val="00967080"/>
    <w:rsid w:val="009679BF"/>
    <w:rsid w:val="00970C52"/>
    <w:rsid w:val="00971B53"/>
    <w:rsid w:val="00973C14"/>
    <w:rsid w:val="00973E90"/>
    <w:rsid w:val="00974126"/>
    <w:rsid w:val="0097502D"/>
    <w:rsid w:val="0097519D"/>
    <w:rsid w:val="0097793E"/>
    <w:rsid w:val="00977DE3"/>
    <w:rsid w:val="009804AF"/>
    <w:rsid w:val="00980C92"/>
    <w:rsid w:val="0098186B"/>
    <w:rsid w:val="00981F93"/>
    <w:rsid w:val="00982723"/>
    <w:rsid w:val="0098302F"/>
    <w:rsid w:val="009830D4"/>
    <w:rsid w:val="009832D2"/>
    <w:rsid w:val="009835A3"/>
    <w:rsid w:val="00983AEF"/>
    <w:rsid w:val="00984192"/>
    <w:rsid w:val="00985E82"/>
    <w:rsid w:val="0098600E"/>
    <w:rsid w:val="0098705F"/>
    <w:rsid w:val="0098733B"/>
    <w:rsid w:val="0098780F"/>
    <w:rsid w:val="00990F89"/>
    <w:rsid w:val="0099183E"/>
    <w:rsid w:val="00992F07"/>
    <w:rsid w:val="0099366D"/>
    <w:rsid w:val="00993AAA"/>
    <w:rsid w:val="00993B37"/>
    <w:rsid w:val="0099413C"/>
    <w:rsid w:val="009945FB"/>
    <w:rsid w:val="00995929"/>
    <w:rsid w:val="00995CE1"/>
    <w:rsid w:val="0099618C"/>
    <w:rsid w:val="0099772E"/>
    <w:rsid w:val="009A12B5"/>
    <w:rsid w:val="009A1823"/>
    <w:rsid w:val="009A2371"/>
    <w:rsid w:val="009A2411"/>
    <w:rsid w:val="009B0EB3"/>
    <w:rsid w:val="009B28C9"/>
    <w:rsid w:val="009B48A5"/>
    <w:rsid w:val="009B4B66"/>
    <w:rsid w:val="009B50E6"/>
    <w:rsid w:val="009B549D"/>
    <w:rsid w:val="009B5676"/>
    <w:rsid w:val="009B67D9"/>
    <w:rsid w:val="009B6BE1"/>
    <w:rsid w:val="009B72A1"/>
    <w:rsid w:val="009B767B"/>
    <w:rsid w:val="009B7B99"/>
    <w:rsid w:val="009C1FB9"/>
    <w:rsid w:val="009C363D"/>
    <w:rsid w:val="009C3FC9"/>
    <w:rsid w:val="009C47B6"/>
    <w:rsid w:val="009C564C"/>
    <w:rsid w:val="009C591A"/>
    <w:rsid w:val="009C6310"/>
    <w:rsid w:val="009C645C"/>
    <w:rsid w:val="009C6B28"/>
    <w:rsid w:val="009C781C"/>
    <w:rsid w:val="009C7AA7"/>
    <w:rsid w:val="009C7D56"/>
    <w:rsid w:val="009C7DB6"/>
    <w:rsid w:val="009C7E4E"/>
    <w:rsid w:val="009D1280"/>
    <w:rsid w:val="009D1A8B"/>
    <w:rsid w:val="009D2F84"/>
    <w:rsid w:val="009D49D4"/>
    <w:rsid w:val="009D6905"/>
    <w:rsid w:val="009D6DEA"/>
    <w:rsid w:val="009D7154"/>
    <w:rsid w:val="009D7D00"/>
    <w:rsid w:val="009E13CF"/>
    <w:rsid w:val="009E17E1"/>
    <w:rsid w:val="009E18D0"/>
    <w:rsid w:val="009E1F0E"/>
    <w:rsid w:val="009E247D"/>
    <w:rsid w:val="009E4A51"/>
    <w:rsid w:val="009E4C79"/>
    <w:rsid w:val="009E7083"/>
    <w:rsid w:val="009E753A"/>
    <w:rsid w:val="009E79BA"/>
    <w:rsid w:val="009F1024"/>
    <w:rsid w:val="009F10D3"/>
    <w:rsid w:val="009F15A7"/>
    <w:rsid w:val="009F1A41"/>
    <w:rsid w:val="009F2048"/>
    <w:rsid w:val="009F2050"/>
    <w:rsid w:val="009F26E5"/>
    <w:rsid w:val="009F4257"/>
    <w:rsid w:val="009F45B0"/>
    <w:rsid w:val="009F526B"/>
    <w:rsid w:val="009F5657"/>
    <w:rsid w:val="009F59A3"/>
    <w:rsid w:val="009F5A90"/>
    <w:rsid w:val="009F5BA7"/>
    <w:rsid w:val="009F7A86"/>
    <w:rsid w:val="009F7DB1"/>
    <w:rsid w:val="00A00F71"/>
    <w:rsid w:val="00A0111C"/>
    <w:rsid w:val="00A035E0"/>
    <w:rsid w:val="00A03A25"/>
    <w:rsid w:val="00A03C70"/>
    <w:rsid w:val="00A05288"/>
    <w:rsid w:val="00A05C31"/>
    <w:rsid w:val="00A06A45"/>
    <w:rsid w:val="00A06EFC"/>
    <w:rsid w:val="00A0726A"/>
    <w:rsid w:val="00A072BA"/>
    <w:rsid w:val="00A07F27"/>
    <w:rsid w:val="00A10510"/>
    <w:rsid w:val="00A10FFF"/>
    <w:rsid w:val="00A1218A"/>
    <w:rsid w:val="00A12CB4"/>
    <w:rsid w:val="00A12D89"/>
    <w:rsid w:val="00A1335B"/>
    <w:rsid w:val="00A14E57"/>
    <w:rsid w:val="00A15F38"/>
    <w:rsid w:val="00A16DAD"/>
    <w:rsid w:val="00A17D8F"/>
    <w:rsid w:val="00A20507"/>
    <w:rsid w:val="00A2083F"/>
    <w:rsid w:val="00A208F7"/>
    <w:rsid w:val="00A22DE3"/>
    <w:rsid w:val="00A236C3"/>
    <w:rsid w:val="00A23DBC"/>
    <w:rsid w:val="00A26526"/>
    <w:rsid w:val="00A26F7F"/>
    <w:rsid w:val="00A27F03"/>
    <w:rsid w:val="00A313EC"/>
    <w:rsid w:val="00A3186E"/>
    <w:rsid w:val="00A31FED"/>
    <w:rsid w:val="00A3231F"/>
    <w:rsid w:val="00A35058"/>
    <w:rsid w:val="00A35EBC"/>
    <w:rsid w:val="00A365C7"/>
    <w:rsid w:val="00A36A53"/>
    <w:rsid w:val="00A372D1"/>
    <w:rsid w:val="00A37328"/>
    <w:rsid w:val="00A374D0"/>
    <w:rsid w:val="00A4201F"/>
    <w:rsid w:val="00A434A5"/>
    <w:rsid w:val="00A4368A"/>
    <w:rsid w:val="00A4470E"/>
    <w:rsid w:val="00A450EF"/>
    <w:rsid w:val="00A45559"/>
    <w:rsid w:val="00A461D2"/>
    <w:rsid w:val="00A46CD2"/>
    <w:rsid w:val="00A47A41"/>
    <w:rsid w:val="00A50345"/>
    <w:rsid w:val="00A50435"/>
    <w:rsid w:val="00A506DC"/>
    <w:rsid w:val="00A5227C"/>
    <w:rsid w:val="00A52AE4"/>
    <w:rsid w:val="00A531C9"/>
    <w:rsid w:val="00A5386E"/>
    <w:rsid w:val="00A53C6D"/>
    <w:rsid w:val="00A53E43"/>
    <w:rsid w:val="00A54ECB"/>
    <w:rsid w:val="00A550E2"/>
    <w:rsid w:val="00A568D5"/>
    <w:rsid w:val="00A56BC8"/>
    <w:rsid w:val="00A5730B"/>
    <w:rsid w:val="00A5766E"/>
    <w:rsid w:val="00A60A23"/>
    <w:rsid w:val="00A616C8"/>
    <w:rsid w:val="00A63C9E"/>
    <w:rsid w:val="00A648F0"/>
    <w:rsid w:val="00A64C98"/>
    <w:rsid w:val="00A65657"/>
    <w:rsid w:val="00A6597A"/>
    <w:rsid w:val="00A66115"/>
    <w:rsid w:val="00A6789A"/>
    <w:rsid w:val="00A67FAA"/>
    <w:rsid w:val="00A700A6"/>
    <w:rsid w:val="00A702B1"/>
    <w:rsid w:val="00A70859"/>
    <w:rsid w:val="00A71C73"/>
    <w:rsid w:val="00A71E98"/>
    <w:rsid w:val="00A741C6"/>
    <w:rsid w:val="00A7483F"/>
    <w:rsid w:val="00A76641"/>
    <w:rsid w:val="00A77BAE"/>
    <w:rsid w:val="00A77E9A"/>
    <w:rsid w:val="00A806AB"/>
    <w:rsid w:val="00A80860"/>
    <w:rsid w:val="00A81F26"/>
    <w:rsid w:val="00A82118"/>
    <w:rsid w:val="00A82A9A"/>
    <w:rsid w:val="00A83491"/>
    <w:rsid w:val="00A8349D"/>
    <w:rsid w:val="00A8393C"/>
    <w:rsid w:val="00A84A4E"/>
    <w:rsid w:val="00A8519D"/>
    <w:rsid w:val="00A8590A"/>
    <w:rsid w:val="00A85FA6"/>
    <w:rsid w:val="00A86455"/>
    <w:rsid w:val="00A87496"/>
    <w:rsid w:val="00A87F8D"/>
    <w:rsid w:val="00A901B0"/>
    <w:rsid w:val="00A9039D"/>
    <w:rsid w:val="00A934AF"/>
    <w:rsid w:val="00A944D9"/>
    <w:rsid w:val="00A94878"/>
    <w:rsid w:val="00A95235"/>
    <w:rsid w:val="00A96CDD"/>
    <w:rsid w:val="00A96DFC"/>
    <w:rsid w:val="00A97A31"/>
    <w:rsid w:val="00AA00A9"/>
    <w:rsid w:val="00AA066C"/>
    <w:rsid w:val="00AA12AA"/>
    <w:rsid w:val="00AA2992"/>
    <w:rsid w:val="00AA420A"/>
    <w:rsid w:val="00AA503B"/>
    <w:rsid w:val="00AA5825"/>
    <w:rsid w:val="00AA5EB8"/>
    <w:rsid w:val="00AA6E22"/>
    <w:rsid w:val="00AA7292"/>
    <w:rsid w:val="00AA7B34"/>
    <w:rsid w:val="00AB007C"/>
    <w:rsid w:val="00AB06B2"/>
    <w:rsid w:val="00AB10E7"/>
    <w:rsid w:val="00AB132E"/>
    <w:rsid w:val="00AB19DC"/>
    <w:rsid w:val="00AB310A"/>
    <w:rsid w:val="00AB3904"/>
    <w:rsid w:val="00AB3E4F"/>
    <w:rsid w:val="00AB52F4"/>
    <w:rsid w:val="00AB539B"/>
    <w:rsid w:val="00AB5D99"/>
    <w:rsid w:val="00AB7873"/>
    <w:rsid w:val="00AB7A9A"/>
    <w:rsid w:val="00AC00F0"/>
    <w:rsid w:val="00AC0351"/>
    <w:rsid w:val="00AC06F3"/>
    <w:rsid w:val="00AC3F83"/>
    <w:rsid w:val="00AC486E"/>
    <w:rsid w:val="00AC4D63"/>
    <w:rsid w:val="00AC544E"/>
    <w:rsid w:val="00AC58ED"/>
    <w:rsid w:val="00AC5D5E"/>
    <w:rsid w:val="00AC6696"/>
    <w:rsid w:val="00AC679B"/>
    <w:rsid w:val="00AC7C16"/>
    <w:rsid w:val="00AD026A"/>
    <w:rsid w:val="00AD0D0C"/>
    <w:rsid w:val="00AD1109"/>
    <w:rsid w:val="00AD4C39"/>
    <w:rsid w:val="00AD51AC"/>
    <w:rsid w:val="00AD55D3"/>
    <w:rsid w:val="00AD572D"/>
    <w:rsid w:val="00AD6751"/>
    <w:rsid w:val="00AD6EDE"/>
    <w:rsid w:val="00AD6FE6"/>
    <w:rsid w:val="00AD7538"/>
    <w:rsid w:val="00AD7A77"/>
    <w:rsid w:val="00AD7A84"/>
    <w:rsid w:val="00AE16EF"/>
    <w:rsid w:val="00AE1A72"/>
    <w:rsid w:val="00AE1E02"/>
    <w:rsid w:val="00AE2729"/>
    <w:rsid w:val="00AE2E3E"/>
    <w:rsid w:val="00AE436C"/>
    <w:rsid w:val="00AE4614"/>
    <w:rsid w:val="00AE4A44"/>
    <w:rsid w:val="00AE558B"/>
    <w:rsid w:val="00AE7D1C"/>
    <w:rsid w:val="00AE7FAC"/>
    <w:rsid w:val="00AE7FE6"/>
    <w:rsid w:val="00AF099E"/>
    <w:rsid w:val="00AF0F43"/>
    <w:rsid w:val="00AF4878"/>
    <w:rsid w:val="00AF6342"/>
    <w:rsid w:val="00AF6803"/>
    <w:rsid w:val="00AF6B7B"/>
    <w:rsid w:val="00AF7137"/>
    <w:rsid w:val="00B00725"/>
    <w:rsid w:val="00B0150B"/>
    <w:rsid w:val="00B018FB"/>
    <w:rsid w:val="00B019E5"/>
    <w:rsid w:val="00B02733"/>
    <w:rsid w:val="00B030E6"/>
    <w:rsid w:val="00B057F8"/>
    <w:rsid w:val="00B0762C"/>
    <w:rsid w:val="00B1026D"/>
    <w:rsid w:val="00B10D8B"/>
    <w:rsid w:val="00B111F6"/>
    <w:rsid w:val="00B1309C"/>
    <w:rsid w:val="00B15B90"/>
    <w:rsid w:val="00B17732"/>
    <w:rsid w:val="00B17C16"/>
    <w:rsid w:val="00B2026D"/>
    <w:rsid w:val="00B20B04"/>
    <w:rsid w:val="00B21219"/>
    <w:rsid w:val="00B21942"/>
    <w:rsid w:val="00B222A8"/>
    <w:rsid w:val="00B2367D"/>
    <w:rsid w:val="00B24DD7"/>
    <w:rsid w:val="00B2588A"/>
    <w:rsid w:val="00B25E50"/>
    <w:rsid w:val="00B26CD2"/>
    <w:rsid w:val="00B27059"/>
    <w:rsid w:val="00B27422"/>
    <w:rsid w:val="00B301B8"/>
    <w:rsid w:val="00B31402"/>
    <w:rsid w:val="00B31490"/>
    <w:rsid w:val="00B32C9D"/>
    <w:rsid w:val="00B32EDF"/>
    <w:rsid w:val="00B349C1"/>
    <w:rsid w:val="00B34C8E"/>
    <w:rsid w:val="00B34E79"/>
    <w:rsid w:val="00B34E7B"/>
    <w:rsid w:val="00B355C2"/>
    <w:rsid w:val="00B358A2"/>
    <w:rsid w:val="00B35B3A"/>
    <w:rsid w:val="00B35CC0"/>
    <w:rsid w:val="00B36F1A"/>
    <w:rsid w:val="00B40540"/>
    <w:rsid w:val="00B4094E"/>
    <w:rsid w:val="00B40D36"/>
    <w:rsid w:val="00B41967"/>
    <w:rsid w:val="00B41D83"/>
    <w:rsid w:val="00B4251B"/>
    <w:rsid w:val="00B428DF"/>
    <w:rsid w:val="00B42BF4"/>
    <w:rsid w:val="00B42DF6"/>
    <w:rsid w:val="00B438A5"/>
    <w:rsid w:val="00B4451C"/>
    <w:rsid w:val="00B462CB"/>
    <w:rsid w:val="00B46D9E"/>
    <w:rsid w:val="00B4731E"/>
    <w:rsid w:val="00B50241"/>
    <w:rsid w:val="00B50340"/>
    <w:rsid w:val="00B5136A"/>
    <w:rsid w:val="00B51960"/>
    <w:rsid w:val="00B52372"/>
    <w:rsid w:val="00B53619"/>
    <w:rsid w:val="00B539C4"/>
    <w:rsid w:val="00B55172"/>
    <w:rsid w:val="00B55B86"/>
    <w:rsid w:val="00B562CC"/>
    <w:rsid w:val="00B56351"/>
    <w:rsid w:val="00B56791"/>
    <w:rsid w:val="00B56A45"/>
    <w:rsid w:val="00B56C4D"/>
    <w:rsid w:val="00B578AF"/>
    <w:rsid w:val="00B602EA"/>
    <w:rsid w:val="00B60843"/>
    <w:rsid w:val="00B60E18"/>
    <w:rsid w:val="00B6129A"/>
    <w:rsid w:val="00B616AD"/>
    <w:rsid w:val="00B62E70"/>
    <w:rsid w:val="00B634C9"/>
    <w:rsid w:val="00B637DD"/>
    <w:rsid w:val="00B63A65"/>
    <w:rsid w:val="00B641D4"/>
    <w:rsid w:val="00B6521F"/>
    <w:rsid w:val="00B65560"/>
    <w:rsid w:val="00B65589"/>
    <w:rsid w:val="00B655ED"/>
    <w:rsid w:val="00B67BC9"/>
    <w:rsid w:val="00B70A07"/>
    <w:rsid w:val="00B70B96"/>
    <w:rsid w:val="00B7236E"/>
    <w:rsid w:val="00B73095"/>
    <w:rsid w:val="00B7387C"/>
    <w:rsid w:val="00B73BA4"/>
    <w:rsid w:val="00B754AB"/>
    <w:rsid w:val="00B762EE"/>
    <w:rsid w:val="00B8199D"/>
    <w:rsid w:val="00B830B7"/>
    <w:rsid w:val="00B85813"/>
    <w:rsid w:val="00B866B1"/>
    <w:rsid w:val="00B86A65"/>
    <w:rsid w:val="00B8753C"/>
    <w:rsid w:val="00B8789D"/>
    <w:rsid w:val="00B91E79"/>
    <w:rsid w:val="00B92B17"/>
    <w:rsid w:val="00B92FE2"/>
    <w:rsid w:val="00B930B2"/>
    <w:rsid w:val="00B93247"/>
    <w:rsid w:val="00B93680"/>
    <w:rsid w:val="00B936AE"/>
    <w:rsid w:val="00B945AD"/>
    <w:rsid w:val="00B95E93"/>
    <w:rsid w:val="00B95EE5"/>
    <w:rsid w:val="00B9689F"/>
    <w:rsid w:val="00B970E5"/>
    <w:rsid w:val="00B97711"/>
    <w:rsid w:val="00BA0474"/>
    <w:rsid w:val="00BA0CA6"/>
    <w:rsid w:val="00BA17A9"/>
    <w:rsid w:val="00BA1873"/>
    <w:rsid w:val="00BA22CE"/>
    <w:rsid w:val="00BA2466"/>
    <w:rsid w:val="00BA2751"/>
    <w:rsid w:val="00BA3A20"/>
    <w:rsid w:val="00BA3CBB"/>
    <w:rsid w:val="00BA6D5E"/>
    <w:rsid w:val="00BA7130"/>
    <w:rsid w:val="00BA7E82"/>
    <w:rsid w:val="00BB12B9"/>
    <w:rsid w:val="00BB2476"/>
    <w:rsid w:val="00BB2AC9"/>
    <w:rsid w:val="00BB2D95"/>
    <w:rsid w:val="00BB2DE7"/>
    <w:rsid w:val="00BB3038"/>
    <w:rsid w:val="00BB4A87"/>
    <w:rsid w:val="00BB53D9"/>
    <w:rsid w:val="00BB65D0"/>
    <w:rsid w:val="00BB6D8E"/>
    <w:rsid w:val="00BB7664"/>
    <w:rsid w:val="00BC04E8"/>
    <w:rsid w:val="00BC103F"/>
    <w:rsid w:val="00BC14F0"/>
    <w:rsid w:val="00BC21BE"/>
    <w:rsid w:val="00BC26A2"/>
    <w:rsid w:val="00BC3F03"/>
    <w:rsid w:val="00BC4C8A"/>
    <w:rsid w:val="00BC4E5C"/>
    <w:rsid w:val="00BC56DE"/>
    <w:rsid w:val="00BC6D55"/>
    <w:rsid w:val="00BC6D97"/>
    <w:rsid w:val="00BC71AB"/>
    <w:rsid w:val="00BC71BD"/>
    <w:rsid w:val="00BC7F2B"/>
    <w:rsid w:val="00BD0A63"/>
    <w:rsid w:val="00BD10A2"/>
    <w:rsid w:val="00BD10DD"/>
    <w:rsid w:val="00BD3F5B"/>
    <w:rsid w:val="00BD419C"/>
    <w:rsid w:val="00BD6006"/>
    <w:rsid w:val="00BD6D33"/>
    <w:rsid w:val="00BD6F8F"/>
    <w:rsid w:val="00BD7010"/>
    <w:rsid w:val="00BD74A3"/>
    <w:rsid w:val="00BE040B"/>
    <w:rsid w:val="00BE0619"/>
    <w:rsid w:val="00BE15C3"/>
    <w:rsid w:val="00BE5DC2"/>
    <w:rsid w:val="00BE6FA1"/>
    <w:rsid w:val="00BE793A"/>
    <w:rsid w:val="00BF030C"/>
    <w:rsid w:val="00BF0B60"/>
    <w:rsid w:val="00BF1A70"/>
    <w:rsid w:val="00BF2749"/>
    <w:rsid w:val="00BF4771"/>
    <w:rsid w:val="00C00855"/>
    <w:rsid w:val="00C02ED7"/>
    <w:rsid w:val="00C02FBF"/>
    <w:rsid w:val="00C0398B"/>
    <w:rsid w:val="00C044CF"/>
    <w:rsid w:val="00C044DB"/>
    <w:rsid w:val="00C055EE"/>
    <w:rsid w:val="00C056DD"/>
    <w:rsid w:val="00C05FA5"/>
    <w:rsid w:val="00C065DB"/>
    <w:rsid w:val="00C067FA"/>
    <w:rsid w:val="00C06A99"/>
    <w:rsid w:val="00C06D90"/>
    <w:rsid w:val="00C07AEC"/>
    <w:rsid w:val="00C108F2"/>
    <w:rsid w:val="00C11647"/>
    <w:rsid w:val="00C12641"/>
    <w:rsid w:val="00C158AC"/>
    <w:rsid w:val="00C16402"/>
    <w:rsid w:val="00C17A56"/>
    <w:rsid w:val="00C205D0"/>
    <w:rsid w:val="00C20968"/>
    <w:rsid w:val="00C2214B"/>
    <w:rsid w:val="00C22C60"/>
    <w:rsid w:val="00C2389B"/>
    <w:rsid w:val="00C239F1"/>
    <w:rsid w:val="00C249E0"/>
    <w:rsid w:val="00C24B11"/>
    <w:rsid w:val="00C24DE7"/>
    <w:rsid w:val="00C2559D"/>
    <w:rsid w:val="00C256BC"/>
    <w:rsid w:val="00C25FC6"/>
    <w:rsid w:val="00C261FC"/>
    <w:rsid w:val="00C27CD9"/>
    <w:rsid w:val="00C3066A"/>
    <w:rsid w:val="00C312E5"/>
    <w:rsid w:val="00C32AA8"/>
    <w:rsid w:val="00C339B0"/>
    <w:rsid w:val="00C35442"/>
    <w:rsid w:val="00C356B7"/>
    <w:rsid w:val="00C35E50"/>
    <w:rsid w:val="00C369B2"/>
    <w:rsid w:val="00C372E3"/>
    <w:rsid w:val="00C406BA"/>
    <w:rsid w:val="00C4082B"/>
    <w:rsid w:val="00C413DD"/>
    <w:rsid w:val="00C43863"/>
    <w:rsid w:val="00C43ED7"/>
    <w:rsid w:val="00C44BBF"/>
    <w:rsid w:val="00C44EEE"/>
    <w:rsid w:val="00C4528E"/>
    <w:rsid w:val="00C45F83"/>
    <w:rsid w:val="00C4630D"/>
    <w:rsid w:val="00C46640"/>
    <w:rsid w:val="00C471DF"/>
    <w:rsid w:val="00C50796"/>
    <w:rsid w:val="00C50E83"/>
    <w:rsid w:val="00C515B8"/>
    <w:rsid w:val="00C51AD8"/>
    <w:rsid w:val="00C53FB8"/>
    <w:rsid w:val="00C54E0B"/>
    <w:rsid w:val="00C55172"/>
    <w:rsid w:val="00C553FA"/>
    <w:rsid w:val="00C5544E"/>
    <w:rsid w:val="00C565B3"/>
    <w:rsid w:val="00C57161"/>
    <w:rsid w:val="00C60482"/>
    <w:rsid w:val="00C613B6"/>
    <w:rsid w:val="00C63366"/>
    <w:rsid w:val="00C63AD6"/>
    <w:rsid w:val="00C64A08"/>
    <w:rsid w:val="00C6569A"/>
    <w:rsid w:val="00C6594C"/>
    <w:rsid w:val="00C65E75"/>
    <w:rsid w:val="00C6633C"/>
    <w:rsid w:val="00C665ED"/>
    <w:rsid w:val="00C66714"/>
    <w:rsid w:val="00C66A8E"/>
    <w:rsid w:val="00C6702D"/>
    <w:rsid w:val="00C70762"/>
    <w:rsid w:val="00C70C96"/>
    <w:rsid w:val="00C710BD"/>
    <w:rsid w:val="00C711EF"/>
    <w:rsid w:val="00C7188F"/>
    <w:rsid w:val="00C71D94"/>
    <w:rsid w:val="00C725C6"/>
    <w:rsid w:val="00C73916"/>
    <w:rsid w:val="00C73C89"/>
    <w:rsid w:val="00C74069"/>
    <w:rsid w:val="00C74DD8"/>
    <w:rsid w:val="00C75696"/>
    <w:rsid w:val="00C75844"/>
    <w:rsid w:val="00C75E9C"/>
    <w:rsid w:val="00C762F4"/>
    <w:rsid w:val="00C771CB"/>
    <w:rsid w:val="00C772D0"/>
    <w:rsid w:val="00C809C5"/>
    <w:rsid w:val="00C81EF2"/>
    <w:rsid w:val="00C83431"/>
    <w:rsid w:val="00C8387D"/>
    <w:rsid w:val="00C84136"/>
    <w:rsid w:val="00C84FF1"/>
    <w:rsid w:val="00C857D8"/>
    <w:rsid w:val="00C8610C"/>
    <w:rsid w:val="00C8683D"/>
    <w:rsid w:val="00C86ACE"/>
    <w:rsid w:val="00C86D25"/>
    <w:rsid w:val="00C90452"/>
    <w:rsid w:val="00C9135D"/>
    <w:rsid w:val="00C91FCA"/>
    <w:rsid w:val="00C92DD4"/>
    <w:rsid w:val="00C93FD0"/>
    <w:rsid w:val="00C94384"/>
    <w:rsid w:val="00C94739"/>
    <w:rsid w:val="00C94FA6"/>
    <w:rsid w:val="00C95311"/>
    <w:rsid w:val="00C9536F"/>
    <w:rsid w:val="00C95C30"/>
    <w:rsid w:val="00C964EC"/>
    <w:rsid w:val="00C9672C"/>
    <w:rsid w:val="00CA08E2"/>
    <w:rsid w:val="00CA1DAB"/>
    <w:rsid w:val="00CA2519"/>
    <w:rsid w:val="00CA2E75"/>
    <w:rsid w:val="00CA33D6"/>
    <w:rsid w:val="00CA5850"/>
    <w:rsid w:val="00CA5A26"/>
    <w:rsid w:val="00CA5F41"/>
    <w:rsid w:val="00CA604F"/>
    <w:rsid w:val="00CB008A"/>
    <w:rsid w:val="00CB0BA9"/>
    <w:rsid w:val="00CB15B2"/>
    <w:rsid w:val="00CB176A"/>
    <w:rsid w:val="00CB2E14"/>
    <w:rsid w:val="00CB5280"/>
    <w:rsid w:val="00CB699D"/>
    <w:rsid w:val="00CB7167"/>
    <w:rsid w:val="00CB735B"/>
    <w:rsid w:val="00CB7B89"/>
    <w:rsid w:val="00CC203C"/>
    <w:rsid w:val="00CC3D10"/>
    <w:rsid w:val="00CC6535"/>
    <w:rsid w:val="00CD1CEB"/>
    <w:rsid w:val="00CD3A53"/>
    <w:rsid w:val="00CD3F88"/>
    <w:rsid w:val="00CD411E"/>
    <w:rsid w:val="00CD51BD"/>
    <w:rsid w:val="00CE06DA"/>
    <w:rsid w:val="00CE1610"/>
    <w:rsid w:val="00CE1969"/>
    <w:rsid w:val="00CE2FDC"/>
    <w:rsid w:val="00CE41BB"/>
    <w:rsid w:val="00CE616C"/>
    <w:rsid w:val="00CE62F7"/>
    <w:rsid w:val="00CF1019"/>
    <w:rsid w:val="00CF2B64"/>
    <w:rsid w:val="00CF4C7E"/>
    <w:rsid w:val="00CF5B37"/>
    <w:rsid w:val="00CF5D00"/>
    <w:rsid w:val="00CF70EF"/>
    <w:rsid w:val="00CF71E2"/>
    <w:rsid w:val="00CF77FC"/>
    <w:rsid w:val="00CF7EEE"/>
    <w:rsid w:val="00D00575"/>
    <w:rsid w:val="00D0268E"/>
    <w:rsid w:val="00D034C8"/>
    <w:rsid w:val="00D04198"/>
    <w:rsid w:val="00D04BB3"/>
    <w:rsid w:val="00D05154"/>
    <w:rsid w:val="00D06F0E"/>
    <w:rsid w:val="00D104A3"/>
    <w:rsid w:val="00D10BE1"/>
    <w:rsid w:val="00D11267"/>
    <w:rsid w:val="00D11387"/>
    <w:rsid w:val="00D12383"/>
    <w:rsid w:val="00D12694"/>
    <w:rsid w:val="00D12961"/>
    <w:rsid w:val="00D12EAC"/>
    <w:rsid w:val="00D138DA"/>
    <w:rsid w:val="00D146B5"/>
    <w:rsid w:val="00D150E9"/>
    <w:rsid w:val="00D1595A"/>
    <w:rsid w:val="00D15D78"/>
    <w:rsid w:val="00D16B74"/>
    <w:rsid w:val="00D1769D"/>
    <w:rsid w:val="00D17E1B"/>
    <w:rsid w:val="00D20430"/>
    <w:rsid w:val="00D2189D"/>
    <w:rsid w:val="00D219DA"/>
    <w:rsid w:val="00D21A2D"/>
    <w:rsid w:val="00D224AC"/>
    <w:rsid w:val="00D22769"/>
    <w:rsid w:val="00D23343"/>
    <w:rsid w:val="00D23373"/>
    <w:rsid w:val="00D239FB"/>
    <w:rsid w:val="00D2429A"/>
    <w:rsid w:val="00D248D6"/>
    <w:rsid w:val="00D253EB"/>
    <w:rsid w:val="00D25B71"/>
    <w:rsid w:val="00D266B5"/>
    <w:rsid w:val="00D26861"/>
    <w:rsid w:val="00D26D8B"/>
    <w:rsid w:val="00D27509"/>
    <w:rsid w:val="00D27561"/>
    <w:rsid w:val="00D314DF"/>
    <w:rsid w:val="00D316FE"/>
    <w:rsid w:val="00D32F77"/>
    <w:rsid w:val="00D33813"/>
    <w:rsid w:val="00D33F90"/>
    <w:rsid w:val="00D34F57"/>
    <w:rsid w:val="00D36B5B"/>
    <w:rsid w:val="00D4002E"/>
    <w:rsid w:val="00D423E2"/>
    <w:rsid w:val="00D424C6"/>
    <w:rsid w:val="00D4251D"/>
    <w:rsid w:val="00D43A84"/>
    <w:rsid w:val="00D44484"/>
    <w:rsid w:val="00D44673"/>
    <w:rsid w:val="00D447D0"/>
    <w:rsid w:val="00D44939"/>
    <w:rsid w:val="00D44B3A"/>
    <w:rsid w:val="00D45FB9"/>
    <w:rsid w:val="00D46618"/>
    <w:rsid w:val="00D476F6"/>
    <w:rsid w:val="00D5050A"/>
    <w:rsid w:val="00D52126"/>
    <w:rsid w:val="00D522D5"/>
    <w:rsid w:val="00D5256D"/>
    <w:rsid w:val="00D52A2E"/>
    <w:rsid w:val="00D539A0"/>
    <w:rsid w:val="00D54C5C"/>
    <w:rsid w:val="00D54E37"/>
    <w:rsid w:val="00D556CC"/>
    <w:rsid w:val="00D55D7F"/>
    <w:rsid w:val="00D57BF1"/>
    <w:rsid w:val="00D60622"/>
    <w:rsid w:val="00D60DD4"/>
    <w:rsid w:val="00D60E73"/>
    <w:rsid w:val="00D61075"/>
    <w:rsid w:val="00D61337"/>
    <w:rsid w:val="00D61351"/>
    <w:rsid w:val="00D628E3"/>
    <w:rsid w:val="00D62D53"/>
    <w:rsid w:val="00D62DEB"/>
    <w:rsid w:val="00D62F02"/>
    <w:rsid w:val="00D63DC5"/>
    <w:rsid w:val="00D64402"/>
    <w:rsid w:val="00D645B2"/>
    <w:rsid w:val="00D65346"/>
    <w:rsid w:val="00D65A5C"/>
    <w:rsid w:val="00D66A69"/>
    <w:rsid w:val="00D67DE6"/>
    <w:rsid w:val="00D70257"/>
    <w:rsid w:val="00D70286"/>
    <w:rsid w:val="00D70296"/>
    <w:rsid w:val="00D7094A"/>
    <w:rsid w:val="00D71790"/>
    <w:rsid w:val="00D71C49"/>
    <w:rsid w:val="00D73C8A"/>
    <w:rsid w:val="00D74C25"/>
    <w:rsid w:val="00D7509D"/>
    <w:rsid w:val="00D761BA"/>
    <w:rsid w:val="00D763B2"/>
    <w:rsid w:val="00D76BA4"/>
    <w:rsid w:val="00D77D3B"/>
    <w:rsid w:val="00D80DF9"/>
    <w:rsid w:val="00D81556"/>
    <w:rsid w:val="00D81932"/>
    <w:rsid w:val="00D8349D"/>
    <w:rsid w:val="00D84736"/>
    <w:rsid w:val="00D85A5A"/>
    <w:rsid w:val="00D85C1F"/>
    <w:rsid w:val="00D86448"/>
    <w:rsid w:val="00D8645C"/>
    <w:rsid w:val="00D8653C"/>
    <w:rsid w:val="00D86B6B"/>
    <w:rsid w:val="00D879A3"/>
    <w:rsid w:val="00D87B58"/>
    <w:rsid w:val="00D901D4"/>
    <w:rsid w:val="00D90880"/>
    <w:rsid w:val="00D925A9"/>
    <w:rsid w:val="00D92961"/>
    <w:rsid w:val="00D93BB9"/>
    <w:rsid w:val="00D948BA"/>
    <w:rsid w:val="00D958DD"/>
    <w:rsid w:val="00D95959"/>
    <w:rsid w:val="00D977E8"/>
    <w:rsid w:val="00DA162F"/>
    <w:rsid w:val="00DA1932"/>
    <w:rsid w:val="00DA1F19"/>
    <w:rsid w:val="00DA28A8"/>
    <w:rsid w:val="00DA3348"/>
    <w:rsid w:val="00DA3B23"/>
    <w:rsid w:val="00DA40DF"/>
    <w:rsid w:val="00DA42F1"/>
    <w:rsid w:val="00DA6218"/>
    <w:rsid w:val="00DA7198"/>
    <w:rsid w:val="00DA76E1"/>
    <w:rsid w:val="00DA777F"/>
    <w:rsid w:val="00DA789B"/>
    <w:rsid w:val="00DB01A9"/>
    <w:rsid w:val="00DB0E7A"/>
    <w:rsid w:val="00DB12F5"/>
    <w:rsid w:val="00DB4DA6"/>
    <w:rsid w:val="00DB50EC"/>
    <w:rsid w:val="00DB59DC"/>
    <w:rsid w:val="00DB702F"/>
    <w:rsid w:val="00DC0792"/>
    <w:rsid w:val="00DC0D25"/>
    <w:rsid w:val="00DC1120"/>
    <w:rsid w:val="00DC2B1C"/>
    <w:rsid w:val="00DC3708"/>
    <w:rsid w:val="00DC52B8"/>
    <w:rsid w:val="00DC555A"/>
    <w:rsid w:val="00DC7DA4"/>
    <w:rsid w:val="00DD0555"/>
    <w:rsid w:val="00DD06DD"/>
    <w:rsid w:val="00DD0700"/>
    <w:rsid w:val="00DD2199"/>
    <w:rsid w:val="00DD2FB6"/>
    <w:rsid w:val="00DD4585"/>
    <w:rsid w:val="00DD5A33"/>
    <w:rsid w:val="00DD5BB3"/>
    <w:rsid w:val="00DD6248"/>
    <w:rsid w:val="00DD6771"/>
    <w:rsid w:val="00DD677A"/>
    <w:rsid w:val="00DD68AA"/>
    <w:rsid w:val="00DD6D6B"/>
    <w:rsid w:val="00DD6E79"/>
    <w:rsid w:val="00DE000B"/>
    <w:rsid w:val="00DE021E"/>
    <w:rsid w:val="00DE09B7"/>
    <w:rsid w:val="00DE1301"/>
    <w:rsid w:val="00DE214D"/>
    <w:rsid w:val="00DE22FA"/>
    <w:rsid w:val="00DE3F89"/>
    <w:rsid w:val="00DE5E47"/>
    <w:rsid w:val="00DE6B5B"/>
    <w:rsid w:val="00DE6D03"/>
    <w:rsid w:val="00DE6DD4"/>
    <w:rsid w:val="00DF127D"/>
    <w:rsid w:val="00DF1625"/>
    <w:rsid w:val="00DF189E"/>
    <w:rsid w:val="00DF1CB6"/>
    <w:rsid w:val="00DF25E4"/>
    <w:rsid w:val="00DF2DC4"/>
    <w:rsid w:val="00DF2FC4"/>
    <w:rsid w:val="00DF40C3"/>
    <w:rsid w:val="00DF4922"/>
    <w:rsid w:val="00DF561E"/>
    <w:rsid w:val="00DF6C6B"/>
    <w:rsid w:val="00E009E1"/>
    <w:rsid w:val="00E02022"/>
    <w:rsid w:val="00E02466"/>
    <w:rsid w:val="00E035D7"/>
    <w:rsid w:val="00E037E5"/>
    <w:rsid w:val="00E0439C"/>
    <w:rsid w:val="00E04D6E"/>
    <w:rsid w:val="00E054FB"/>
    <w:rsid w:val="00E06A36"/>
    <w:rsid w:val="00E07152"/>
    <w:rsid w:val="00E0746B"/>
    <w:rsid w:val="00E07ED5"/>
    <w:rsid w:val="00E07EF4"/>
    <w:rsid w:val="00E100FF"/>
    <w:rsid w:val="00E114AE"/>
    <w:rsid w:val="00E129E4"/>
    <w:rsid w:val="00E12C98"/>
    <w:rsid w:val="00E16272"/>
    <w:rsid w:val="00E16CFF"/>
    <w:rsid w:val="00E17A7C"/>
    <w:rsid w:val="00E17CA9"/>
    <w:rsid w:val="00E17CAF"/>
    <w:rsid w:val="00E20237"/>
    <w:rsid w:val="00E20687"/>
    <w:rsid w:val="00E2239B"/>
    <w:rsid w:val="00E22483"/>
    <w:rsid w:val="00E27796"/>
    <w:rsid w:val="00E30311"/>
    <w:rsid w:val="00E30BDB"/>
    <w:rsid w:val="00E30E60"/>
    <w:rsid w:val="00E317D5"/>
    <w:rsid w:val="00E326A7"/>
    <w:rsid w:val="00E32A7E"/>
    <w:rsid w:val="00E32DE6"/>
    <w:rsid w:val="00E33317"/>
    <w:rsid w:val="00E336D6"/>
    <w:rsid w:val="00E34A95"/>
    <w:rsid w:val="00E34BD7"/>
    <w:rsid w:val="00E34DC5"/>
    <w:rsid w:val="00E34E86"/>
    <w:rsid w:val="00E3784C"/>
    <w:rsid w:val="00E37A50"/>
    <w:rsid w:val="00E4010E"/>
    <w:rsid w:val="00E41977"/>
    <w:rsid w:val="00E42BD8"/>
    <w:rsid w:val="00E434A6"/>
    <w:rsid w:val="00E479C1"/>
    <w:rsid w:val="00E50F74"/>
    <w:rsid w:val="00E50FA3"/>
    <w:rsid w:val="00E5178A"/>
    <w:rsid w:val="00E51B47"/>
    <w:rsid w:val="00E52C18"/>
    <w:rsid w:val="00E53078"/>
    <w:rsid w:val="00E53AF7"/>
    <w:rsid w:val="00E541F7"/>
    <w:rsid w:val="00E54AF1"/>
    <w:rsid w:val="00E54B35"/>
    <w:rsid w:val="00E54D9B"/>
    <w:rsid w:val="00E54ED0"/>
    <w:rsid w:val="00E5590B"/>
    <w:rsid w:val="00E5608F"/>
    <w:rsid w:val="00E56D41"/>
    <w:rsid w:val="00E60E57"/>
    <w:rsid w:val="00E61595"/>
    <w:rsid w:val="00E62C2A"/>
    <w:rsid w:val="00E63EB0"/>
    <w:rsid w:val="00E64658"/>
    <w:rsid w:val="00E64812"/>
    <w:rsid w:val="00E65C16"/>
    <w:rsid w:val="00E66A5D"/>
    <w:rsid w:val="00E71469"/>
    <w:rsid w:val="00E7163A"/>
    <w:rsid w:val="00E72306"/>
    <w:rsid w:val="00E74A29"/>
    <w:rsid w:val="00E74BB9"/>
    <w:rsid w:val="00E74DFF"/>
    <w:rsid w:val="00E766B1"/>
    <w:rsid w:val="00E76802"/>
    <w:rsid w:val="00E76928"/>
    <w:rsid w:val="00E76A23"/>
    <w:rsid w:val="00E76BDC"/>
    <w:rsid w:val="00E77853"/>
    <w:rsid w:val="00E778D5"/>
    <w:rsid w:val="00E77C92"/>
    <w:rsid w:val="00E830F2"/>
    <w:rsid w:val="00E8322E"/>
    <w:rsid w:val="00E837D4"/>
    <w:rsid w:val="00E848A6"/>
    <w:rsid w:val="00E85CEC"/>
    <w:rsid w:val="00E863BB"/>
    <w:rsid w:val="00E86A1D"/>
    <w:rsid w:val="00E8757C"/>
    <w:rsid w:val="00E8789A"/>
    <w:rsid w:val="00E87BC1"/>
    <w:rsid w:val="00E90D5A"/>
    <w:rsid w:val="00E919A0"/>
    <w:rsid w:val="00E91F0B"/>
    <w:rsid w:val="00E91FD4"/>
    <w:rsid w:val="00E92485"/>
    <w:rsid w:val="00E9388C"/>
    <w:rsid w:val="00E93D5E"/>
    <w:rsid w:val="00E9457D"/>
    <w:rsid w:val="00E95C91"/>
    <w:rsid w:val="00E969C0"/>
    <w:rsid w:val="00E96B8F"/>
    <w:rsid w:val="00E96DCF"/>
    <w:rsid w:val="00E978AE"/>
    <w:rsid w:val="00EA0091"/>
    <w:rsid w:val="00EA08DD"/>
    <w:rsid w:val="00EA0BE4"/>
    <w:rsid w:val="00EA0C3A"/>
    <w:rsid w:val="00EA1463"/>
    <w:rsid w:val="00EA1A54"/>
    <w:rsid w:val="00EA2169"/>
    <w:rsid w:val="00EA27C0"/>
    <w:rsid w:val="00EA34A6"/>
    <w:rsid w:val="00EA3AA5"/>
    <w:rsid w:val="00EA4F83"/>
    <w:rsid w:val="00EA6CA6"/>
    <w:rsid w:val="00EB027F"/>
    <w:rsid w:val="00EB1A1D"/>
    <w:rsid w:val="00EB2D7B"/>
    <w:rsid w:val="00EB606E"/>
    <w:rsid w:val="00EB6412"/>
    <w:rsid w:val="00EB669F"/>
    <w:rsid w:val="00EB6944"/>
    <w:rsid w:val="00EB7DE6"/>
    <w:rsid w:val="00EC1641"/>
    <w:rsid w:val="00EC1D04"/>
    <w:rsid w:val="00EC3C3E"/>
    <w:rsid w:val="00EC5653"/>
    <w:rsid w:val="00EC7045"/>
    <w:rsid w:val="00EC7B0C"/>
    <w:rsid w:val="00EC7C76"/>
    <w:rsid w:val="00ED03A9"/>
    <w:rsid w:val="00ED045D"/>
    <w:rsid w:val="00ED0FF0"/>
    <w:rsid w:val="00ED4432"/>
    <w:rsid w:val="00ED49BF"/>
    <w:rsid w:val="00ED6635"/>
    <w:rsid w:val="00ED66FB"/>
    <w:rsid w:val="00ED7212"/>
    <w:rsid w:val="00EE08A9"/>
    <w:rsid w:val="00EE2CC5"/>
    <w:rsid w:val="00EE334F"/>
    <w:rsid w:val="00EE492B"/>
    <w:rsid w:val="00EE5526"/>
    <w:rsid w:val="00EE5C05"/>
    <w:rsid w:val="00EE65D1"/>
    <w:rsid w:val="00EF0511"/>
    <w:rsid w:val="00EF1489"/>
    <w:rsid w:val="00EF16FB"/>
    <w:rsid w:val="00EF1C49"/>
    <w:rsid w:val="00EF2832"/>
    <w:rsid w:val="00EF298A"/>
    <w:rsid w:val="00EF2D24"/>
    <w:rsid w:val="00EF3CAE"/>
    <w:rsid w:val="00EF3E26"/>
    <w:rsid w:val="00EF46EA"/>
    <w:rsid w:val="00EF4803"/>
    <w:rsid w:val="00EF511D"/>
    <w:rsid w:val="00EF51CA"/>
    <w:rsid w:val="00EF560F"/>
    <w:rsid w:val="00EF5A24"/>
    <w:rsid w:val="00EF5B0C"/>
    <w:rsid w:val="00EF6342"/>
    <w:rsid w:val="00EF73D8"/>
    <w:rsid w:val="00F004C7"/>
    <w:rsid w:val="00F01010"/>
    <w:rsid w:val="00F013F1"/>
    <w:rsid w:val="00F01C3D"/>
    <w:rsid w:val="00F02C1D"/>
    <w:rsid w:val="00F0368F"/>
    <w:rsid w:val="00F03CF0"/>
    <w:rsid w:val="00F03DCE"/>
    <w:rsid w:val="00F0430D"/>
    <w:rsid w:val="00F05D04"/>
    <w:rsid w:val="00F0675F"/>
    <w:rsid w:val="00F06807"/>
    <w:rsid w:val="00F06B0F"/>
    <w:rsid w:val="00F06CD0"/>
    <w:rsid w:val="00F074CD"/>
    <w:rsid w:val="00F100F1"/>
    <w:rsid w:val="00F10477"/>
    <w:rsid w:val="00F10814"/>
    <w:rsid w:val="00F10C08"/>
    <w:rsid w:val="00F10E0C"/>
    <w:rsid w:val="00F11AD9"/>
    <w:rsid w:val="00F122CA"/>
    <w:rsid w:val="00F12699"/>
    <w:rsid w:val="00F1289C"/>
    <w:rsid w:val="00F137F1"/>
    <w:rsid w:val="00F13A92"/>
    <w:rsid w:val="00F13B8F"/>
    <w:rsid w:val="00F1431A"/>
    <w:rsid w:val="00F14362"/>
    <w:rsid w:val="00F15637"/>
    <w:rsid w:val="00F1689C"/>
    <w:rsid w:val="00F16D9F"/>
    <w:rsid w:val="00F16E3F"/>
    <w:rsid w:val="00F2028C"/>
    <w:rsid w:val="00F206D8"/>
    <w:rsid w:val="00F20AF5"/>
    <w:rsid w:val="00F20C8A"/>
    <w:rsid w:val="00F21659"/>
    <w:rsid w:val="00F22F95"/>
    <w:rsid w:val="00F23853"/>
    <w:rsid w:val="00F246F9"/>
    <w:rsid w:val="00F250E6"/>
    <w:rsid w:val="00F2556F"/>
    <w:rsid w:val="00F260BC"/>
    <w:rsid w:val="00F26B3F"/>
    <w:rsid w:val="00F26C39"/>
    <w:rsid w:val="00F27657"/>
    <w:rsid w:val="00F278A2"/>
    <w:rsid w:val="00F31539"/>
    <w:rsid w:val="00F32362"/>
    <w:rsid w:val="00F3347A"/>
    <w:rsid w:val="00F3358B"/>
    <w:rsid w:val="00F344C5"/>
    <w:rsid w:val="00F34B46"/>
    <w:rsid w:val="00F34BAB"/>
    <w:rsid w:val="00F35A47"/>
    <w:rsid w:val="00F36C10"/>
    <w:rsid w:val="00F4061C"/>
    <w:rsid w:val="00F41A96"/>
    <w:rsid w:val="00F42D3B"/>
    <w:rsid w:val="00F42F17"/>
    <w:rsid w:val="00F434CD"/>
    <w:rsid w:val="00F43EEB"/>
    <w:rsid w:val="00F440CF"/>
    <w:rsid w:val="00F44182"/>
    <w:rsid w:val="00F4491F"/>
    <w:rsid w:val="00F45DB3"/>
    <w:rsid w:val="00F46805"/>
    <w:rsid w:val="00F47D9D"/>
    <w:rsid w:val="00F5110E"/>
    <w:rsid w:val="00F53860"/>
    <w:rsid w:val="00F5438D"/>
    <w:rsid w:val="00F54E95"/>
    <w:rsid w:val="00F55CDF"/>
    <w:rsid w:val="00F56707"/>
    <w:rsid w:val="00F56FBD"/>
    <w:rsid w:val="00F57406"/>
    <w:rsid w:val="00F575AB"/>
    <w:rsid w:val="00F575CF"/>
    <w:rsid w:val="00F57C38"/>
    <w:rsid w:val="00F60CD5"/>
    <w:rsid w:val="00F60FCF"/>
    <w:rsid w:val="00F6200D"/>
    <w:rsid w:val="00F626C5"/>
    <w:rsid w:val="00F62969"/>
    <w:rsid w:val="00F63B6F"/>
    <w:rsid w:val="00F658EE"/>
    <w:rsid w:val="00F66964"/>
    <w:rsid w:val="00F67DA3"/>
    <w:rsid w:val="00F70697"/>
    <w:rsid w:val="00F70749"/>
    <w:rsid w:val="00F70BF6"/>
    <w:rsid w:val="00F70DD6"/>
    <w:rsid w:val="00F7180F"/>
    <w:rsid w:val="00F7184A"/>
    <w:rsid w:val="00F730C0"/>
    <w:rsid w:val="00F73EDA"/>
    <w:rsid w:val="00F7485F"/>
    <w:rsid w:val="00F76514"/>
    <w:rsid w:val="00F803A6"/>
    <w:rsid w:val="00F81039"/>
    <w:rsid w:val="00F82E23"/>
    <w:rsid w:val="00F830CF"/>
    <w:rsid w:val="00F84827"/>
    <w:rsid w:val="00F84E6C"/>
    <w:rsid w:val="00F850BE"/>
    <w:rsid w:val="00F855CC"/>
    <w:rsid w:val="00F858B7"/>
    <w:rsid w:val="00F85909"/>
    <w:rsid w:val="00F86517"/>
    <w:rsid w:val="00F872A2"/>
    <w:rsid w:val="00F9265E"/>
    <w:rsid w:val="00F9353F"/>
    <w:rsid w:val="00F96AB1"/>
    <w:rsid w:val="00FA1367"/>
    <w:rsid w:val="00FA1FA3"/>
    <w:rsid w:val="00FA3922"/>
    <w:rsid w:val="00FA57CB"/>
    <w:rsid w:val="00FA5F2E"/>
    <w:rsid w:val="00FA7482"/>
    <w:rsid w:val="00FA7501"/>
    <w:rsid w:val="00FB096D"/>
    <w:rsid w:val="00FB1DDD"/>
    <w:rsid w:val="00FB2641"/>
    <w:rsid w:val="00FB2CCF"/>
    <w:rsid w:val="00FB3D09"/>
    <w:rsid w:val="00FB4091"/>
    <w:rsid w:val="00FB48EE"/>
    <w:rsid w:val="00FB4AE9"/>
    <w:rsid w:val="00FB51D0"/>
    <w:rsid w:val="00FB59EE"/>
    <w:rsid w:val="00FC1B2C"/>
    <w:rsid w:val="00FC3282"/>
    <w:rsid w:val="00FC3FC0"/>
    <w:rsid w:val="00FC5A48"/>
    <w:rsid w:val="00FC7A6D"/>
    <w:rsid w:val="00FD1289"/>
    <w:rsid w:val="00FD1B38"/>
    <w:rsid w:val="00FD2109"/>
    <w:rsid w:val="00FD2220"/>
    <w:rsid w:val="00FD27F5"/>
    <w:rsid w:val="00FD2B0B"/>
    <w:rsid w:val="00FD2EAE"/>
    <w:rsid w:val="00FD303C"/>
    <w:rsid w:val="00FD38C7"/>
    <w:rsid w:val="00FD3E02"/>
    <w:rsid w:val="00FD500F"/>
    <w:rsid w:val="00FD5787"/>
    <w:rsid w:val="00FD5AEC"/>
    <w:rsid w:val="00FD77E4"/>
    <w:rsid w:val="00FE0153"/>
    <w:rsid w:val="00FE0671"/>
    <w:rsid w:val="00FE0E55"/>
    <w:rsid w:val="00FE25C6"/>
    <w:rsid w:val="00FE33C8"/>
    <w:rsid w:val="00FE43E1"/>
    <w:rsid w:val="00FE46D2"/>
    <w:rsid w:val="00FE58A8"/>
    <w:rsid w:val="00FE59DE"/>
    <w:rsid w:val="00FE67C1"/>
    <w:rsid w:val="00FE6925"/>
    <w:rsid w:val="00FE6942"/>
    <w:rsid w:val="00FE78A8"/>
    <w:rsid w:val="00FE7B90"/>
    <w:rsid w:val="00FF00A4"/>
    <w:rsid w:val="00FF02BE"/>
    <w:rsid w:val="00FF0841"/>
    <w:rsid w:val="00FF0C43"/>
    <w:rsid w:val="00FF10B0"/>
    <w:rsid w:val="00FF17A1"/>
    <w:rsid w:val="00FF23F6"/>
    <w:rsid w:val="00FF27BD"/>
    <w:rsid w:val="00FF28AB"/>
    <w:rsid w:val="00FF2F84"/>
    <w:rsid w:val="00FF479A"/>
    <w:rsid w:val="00FF4B98"/>
    <w:rsid w:val="00FF52DB"/>
    <w:rsid w:val="00FF5940"/>
    <w:rsid w:val="00FF5C6E"/>
    <w:rsid w:val="00FF6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B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E79"/>
    <w:pPr>
      <w:spacing w:after="24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5321BB"/>
    <w:pPr>
      <w:tabs>
        <w:tab w:val="left" w:pos="1620"/>
      </w:tabs>
      <w:jc w:val="center"/>
      <w:outlineLvl w:val="0"/>
    </w:pPr>
    <w:rPr>
      <w:b/>
      <w:color w:val="000000"/>
      <w:u w:val="single"/>
    </w:rPr>
  </w:style>
  <w:style w:type="paragraph" w:styleId="Heading2">
    <w:name w:val="heading 2"/>
    <w:basedOn w:val="Normal"/>
    <w:next w:val="Normal"/>
    <w:link w:val="Heading2Char"/>
    <w:uiPriority w:val="9"/>
    <w:unhideWhenUsed/>
    <w:qFormat/>
    <w:rsid w:val="005321BB"/>
    <w:pPr>
      <w:keepNext/>
      <w:tabs>
        <w:tab w:val="left" w:pos="1620"/>
      </w:tabs>
      <w:outlineLvl w:val="1"/>
    </w:pPr>
    <w:rPr>
      <w:b/>
      <w:bCs/>
      <w:u w:val="single"/>
    </w:rPr>
  </w:style>
  <w:style w:type="paragraph" w:styleId="Heading3">
    <w:name w:val="heading 3"/>
    <w:basedOn w:val="Normal"/>
    <w:next w:val="Normal"/>
    <w:link w:val="Heading3Char"/>
    <w:uiPriority w:val="9"/>
    <w:unhideWhenUsed/>
    <w:qFormat/>
    <w:rsid w:val="005321BB"/>
    <w:pPr>
      <w:spacing w:before="240"/>
      <w:outlineLvl w:val="2"/>
    </w:pPr>
    <w:rPr>
      <w:rFonts w:eastAsia="Calibri"/>
      <w:b/>
      <w:szCs w:val="22"/>
    </w:rPr>
  </w:style>
  <w:style w:type="paragraph" w:styleId="Heading4">
    <w:name w:val="heading 4"/>
    <w:basedOn w:val="Normal"/>
    <w:next w:val="Normal"/>
    <w:link w:val="Heading4Char"/>
    <w:uiPriority w:val="9"/>
    <w:unhideWhenUsed/>
    <w:qFormat/>
    <w:rsid w:val="005321BB"/>
    <w:pPr>
      <w:spacing w:before="240"/>
      <w:outlineLvl w:val="3"/>
    </w:pPr>
    <w:rPr>
      <w:i/>
    </w:rPr>
  </w:style>
  <w:style w:type="paragraph" w:styleId="Heading5">
    <w:name w:val="heading 5"/>
    <w:basedOn w:val="Normal"/>
    <w:next w:val="Normal"/>
    <w:link w:val="Heading5Char"/>
    <w:uiPriority w:val="9"/>
    <w:unhideWhenUsed/>
    <w:qFormat/>
    <w:rsid w:val="00B34E79"/>
    <w:pP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tyle-StandardParagraphofText">
    <w:name w:val="ES Style - Standard Paragraph of Text"/>
    <w:basedOn w:val="Normal"/>
    <w:qFormat/>
    <w:rsid w:val="00091A8A"/>
    <w:pPr>
      <w:spacing w:before="240"/>
    </w:pPr>
    <w:rPr>
      <w:rFonts w:ascii="Arial" w:hAnsi="Arial" w:cs="Arial"/>
      <w:color w:val="000000"/>
      <w:sz w:val="22"/>
      <w:szCs w:val="22"/>
    </w:rPr>
  </w:style>
  <w:style w:type="character" w:customStyle="1" w:styleId="Heading3Char">
    <w:name w:val="Heading 3 Char"/>
    <w:link w:val="Heading3"/>
    <w:uiPriority w:val="9"/>
    <w:rsid w:val="005321BB"/>
    <w:rPr>
      <w:rFonts w:ascii="Times New Roman" w:hAnsi="Times New Roman"/>
      <w:b/>
      <w:sz w:val="24"/>
      <w:szCs w:val="22"/>
    </w:rPr>
  </w:style>
  <w:style w:type="character" w:customStyle="1" w:styleId="Heading2Char">
    <w:name w:val="Heading 2 Char"/>
    <w:link w:val="Heading2"/>
    <w:uiPriority w:val="9"/>
    <w:rsid w:val="005321BB"/>
    <w:rPr>
      <w:rFonts w:ascii="Times New Roman" w:eastAsia="Times New Roman" w:hAnsi="Times New Roman"/>
      <w:b/>
      <w:bCs/>
      <w:sz w:val="24"/>
      <w:szCs w:val="24"/>
      <w:u w:val="single"/>
    </w:rPr>
  </w:style>
  <w:style w:type="character" w:styleId="CommentReference">
    <w:name w:val="annotation reference"/>
    <w:basedOn w:val="DefaultParagraphFont"/>
    <w:uiPriority w:val="99"/>
    <w:semiHidden/>
    <w:unhideWhenUsed/>
    <w:rsid w:val="002456E2"/>
    <w:rPr>
      <w:sz w:val="16"/>
      <w:szCs w:val="16"/>
    </w:rPr>
  </w:style>
  <w:style w:type="paragraph" w:styleId="CommentText">
    <w:name w:val="annotation text"/>
    <w:basedOn w:val="Normal"/>
    <w:link w:val="CommentTextChar"/>
    <w:uiPriority w:val="99"/>
    <w:unhideWhenUsed/>
    <w:rsid w:val="002456E2"/>
    <w:rPr>
      <w:sz w:val="20"/>
      <w:szCs w:val="20"/>
    </w:rPr>
  </w:style>
  <w:style w:type="character" w:customStyle="1" w:styleId="CommentTextChar">
    <w:name w:val="Comment Text Char"/>
    <w:basedOn w:val="DefaultParagraphFont"/>
    <w:link w:val="CommentText"/>
    <w:uiPriority w:val="99"/>
    <w:rsid w:val="002456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456E2"/>
    <w:rPr>
      <w:b/>
      <w:bCs/>
    </w:rPr>
  </w:style>
  <w:style w:type="character" w:customStyle="1" w:styleId="CommentSubjectChar">
    <w:name w:val="Comment Subject Char"/>
    <w:basedOn w:val="CommentTextChar"/>
    <w:link w:val="CommentSubject"/>
    <w:uiPriority w:val="99"/>
    <w:semiHidden/>
    <w:rsid w:val="002456E2"/>
    <w:rPr>
      <w:rFonts w:ascii="Times New Roman" w:eastAsia="Times New Roman" w:hAnsi="Times New Roman"/>
      <w:b/>
      <w:bCs/>
    </w:rPr>
  </w:style>
  <w:style w:type="paragraph" w:styleId="BalloonText">
    <w:name w:val="Balloon Text"/>
    <w:basedOn w:val="Normal"/>
    <w:link w:val="BalloonTextChar"/>
    <w:uiPriority w:val="99"/>
    <w:semiHidden/>
    <w:unhideWhenUsed/>
    <w:rsid w:val="002456E2"/>
    <w:rPr>
      <w:rFonts w:ascii="Tahoma" w:hAnsi="Tahoma" w:cs="Tahoma"/>
      <w:sz w:val="16"/>
      <w:szCs w:val="16"/>
    </w:rPr>
  </w:style>
  <w:style w:type="character" w:customStyle="1" w:styleId="BalloonTextChar">
    <w:name w:val="Balloon Text Char"/>
    <w:basedOn w:val="DefaultParagraphFont"/>
    <w:link w:val="BalloonText"/>
    <w:uiPriority w:val="99"/>
    <w:semiHidden/>
    <w:rsid w:val="002456E2"/>
    <w:rPr>
      <w:rFonts w:ascii="Tahoma" w:eastAsia="Times New Roman" w:hAnsi="Tahoma" w:cs="Tahoma"/>
      <w:sz w:val="16"/>
      <w:szCs w:val="16"/>
    </w:rPr>
  </w:style>
  <w:style w:type="paragraph" w:styleId="Revision">
    <w:name w:val="Revision"/>
    <w:hidden/>
    <w:uiPriority w:val="99"/>
    <w:semiHidden/>
    <w:rsid w:val="00A8590A"/>
    <w:rPr>
      <w:rFonts w:ascii="Times New Roman" w:eastAsia="Times New Roman" w:hAnsi="Times New Roman"/>
      <w:sz w:val="24"/>
      <w:szCs w:val="24"/>
    </w:rPr>
  </w:style>
  <w:style w:type="paragraph" w:styleId="Header">
    <w:name w:val="header"/>
    <w:basedOn w:val="Normal"/>
    <w:link w:val="HeaderChar"/>
    <w:uiPriority w:val="99"/>
    <w:unhideWhenUsed/>
    <w:rsid w:val="002D0CF9"/>
    <w:pPr>
      <w:tabs>
        <w:tab w:val="center" w:pos="4513"/>
        <w:tab w:val="right" w:pos="9026"/>
      </w:tabs>
    </w:pPr>
  </w:style>
  <w:style w:type="character" w:customStyle="1" w:styleId="HeaderChar">
    <w:name w:val="Header Char"/>
    <w:basedOn w:val="DefaultParagraphFont"/>
    <w:link w:val="Header"/>
    <w:uiPriority w:val="99"/>
    <w:rsid w:val="002D0CF9"/>
    <w:rPr>
      <w:rFonts w:ascii="Times New Roman" w:eastAsia="Times New Roman" w:hAnsi="Times New Roman"/>
      <w:sz w:val="24"/>
      <w:szCs w:val="24"/>
    </w:rPr>
  </w:style>
  <w:style w:type="paragraph" w:styleId="Footer">
    <w:name w:val="footer"/>
    <w:basedOn w:val="Normal"/>
    <w:link w:val="FooterChar"/>
    <w:uiPriority w:val="99"/>
    <w:unhideWhenUsed/>
    <w:rsid w:val="002D0CF9"/>
    <w:pPr>
      <w:tabs>
        <w:tab w:val="center" w:pos="4513"/>
        <w:tab w:val="right" w:pos="9026"/>
      </w:tabs>
    </w:pPr>
  </w:style>
  <w:style w:type="character" w:customStyle="1" w:styleId="FooterChar">
    <w:name w:val="Footer Char"/>
    <w:basedOn w:val="DefaultParagraphFont"/>
    <w:link w:val="Footer"/>
    <w:uiPriority w:val="99"/>
    <w:rsid w:val="002D0CF9"/>
    <w:rPr>
      <w:rFonts w:ascii="Times New Roman" w:eastAsia="Times New Roman" w:hAnsi="Times New Roman"/>
      <w:sz w:val="24"/>
      <w:szCs w:val="24"/>
    </w:rPr>
  </w:style>
  <w:style w:type="character" w:styleId="Hyperlink">
    <w:name w:val="Hyperlink"/>
    <w:basedOn w:val="DefaultParagraphFont"/>
    <w:uiPriority w:val="99"/>
    <w:unhideWhenUsed/>
    <w:rsid w:val="00AE7FE6"/>
    <w:rPr>
      <w:color w:val="0000FF" w:themeColor="hyperlink"/>
      <w:u w:val="single"/>
    </w:rPr>
  </w:style>
  <w:style w:type="paragraph" w:styleId="ListParagraph">
    <w:name w:val="List Paragraph"/>
    <w:basedOn w:val="Normal"/>
    <w:uiPriority w:val="34"/>
    <w:qFormat/>
    <w:rsid w:val="00020757"/>
    <w:pPr>
      <w:ind w:left="720"/>
      <w:contextualSpacing/>
    </w:pPr>
  </w:style>
  <w:style w:type="character" w:styleId="FollowedHyperlink">
    <w:name w:val="FollowedHyperlink"/>
    <w:basedOn w:val="DefaultParagraphFont"/>
    <w:uiPriority w:val="99"/>
    <w:semiHidden/>
    <w:unhideWhenUsed/>
    <w:rsid w:val="00BD0A63"/>
    <w:rPr>
      <w:color w:val="800080" w:themeColor="followedHyperlink"/>
      <w:u w:val="single"/>
    </w:rPr>
  </w:style>
  <w:style w:type="character" w:customStyle="1" w:styleId="CharAmSchText">
    <w:name w:val="CharAmSchText"/>
    <w:basedOn w:val="DefaultParagraphFont"/>
    <w:qFormat/>
    <w:rsid w:val="00066D1C"/>
  </w:style>
  <w:style w:type="paragraph" w:styleId="EndnoteText">
    <w:name w:val="endnote text"/>
    <w:basedOn w:val="Normal"/>
    <w:link w:val="EndnoteTextChar"/>
    <w:uiPriority w:val="99"/>
    <w:semiHidden/>
    <w:unhideWhenUsed/>
    <w:rsid w:val="00982723"/>
    <w:rPr>
      <w:sz w:val="20"/>
      <w:szCs w:val="20"/>
    </w:rPr>
  </w:style>
  <w:style w:type="character" w:customStyle="1" w:styleId="EndnoteTextChar">
    <w:name w:val="Endnote Text Char"/>
    <w:basedOn w:val="DefaultParagraphFont"/>
    <w:link w:val="EndnoteText"/>
    <w:uiPriority w:val="99"/>
    <w:semiHidden/>
    <w:rsid w:val="00982723"/>
    <w:rPr>
      <w:rFonts w:ascii="Times New Roman" w:eastAsia="Times New Roman" w:hAnsi="Times New Roman"/>
    </w:rPr>
  </w:style>
  <w:style w:type="character" w:styleId="EndnoteReference">
    <w:name w:val="endnote reference"/>
    <w:basedOn w:val="DefaultParagraphFont"/>
    <w:uiPriority w:val="99"/>
    <w:semiHidden/>
    <w:unhideWhenUsed/>
    <w:rsid w:val="00982723"/>
    <w:rPr>
      <w:vertAlign w:val="superscript"/>
    </w:rPr>
  </w:style>
  <w:style w:type="character" w:customStyle="1" w:styleId="FootnoteTextChar">
    <w:name w:val="Footnote Text Char"/>
    <w:aliases w:val="Footnote ak Char"/>
    <w:link w:val="FootnoteText"/>
    <w:uiPriority w:val="99"/>
    <w:locked/>
    <w:rsid w:val="002345D9"/>
  </w:style>
  <w:style w:type="paragraph" w:styleId="FootnoteText">
    <w:name w:val="footnote text"/>
    <w:aliases w:val="Footnote ak"/>
    <w:basedOn w:val="Normal"/>
    <w:link w:val="FootnoteTextChar"/>
    <w:uiPriority w:val="99"/>
    <w:unhideWhenUsed/>
    <w:qFormat/>
    <w:rsid w:val="002345D9"/>
    <w:pPr>
      <w:spacing w:before="240"/>
    </w:pPr>
    <w:rPr>
      <w:rFonts w:ascii="Arial" w:eastAsia="Calibri" w:hAnsi="Arial"/>
      <w:sz w:val="20"/>
      <w:szCs w:val="20"/>
    </w:rPr>
  </w:style>
  <w:style w:type="character" w:customStyle="1" w:styleId="FootnoteTextChar1">
    <w:name w:val="Footnote Text Char1"/>
    <w:basedOn w:val="DefaultParagraphFont"/>
    <w:uiPriority w:val="99"/>
    <w:semiHidden/>
    <w:rsid w:val="002345D9"/>
    <w:rPr>
      <w:rFonts w:ascii="Times New Roman" w:eastAsia="Times New Roman" w:hAnsi="Times New Roman"/>
    </w:rPr>
  </w:style>
  <w:style w:type="character" w:styleId="FootnoteReference">
    <w:name w:val="footnote reference"/>
    <w:uiPriority w:val="99"/>
    <w:unhideWhenUsed/>
    <w:rsid w:val="002345D9"/>
    <w:rPr>
      <w:vertAlign w:val="superscript"/>
    </w:rPr>
  </w:style>
  <w:style w:type="character" w:customStyle="1" w:styleId="Heading1Char">
    <w:name w:val="Heading 1 Char"/>
    <w:basedOn w:val="DefaultParagraphFont"/>
    <w:link w:val="Heading1"/>
    <w:uiPriority w:val="9"/>
    <w:rsid w:val="005321BB"/>
    <w:rPr>
      <w:rFonts w:ascii="Times New Roman" w:eastAsia="Times New Roman" w:hAnsi="Times New Roman"/>
      <w:b/>
      <w:color w:val="000000"/>
      <w:sz w:val="24"/>
      <w:szCs w:val="24"/>
      <w:u w:val="single"/>
    </w:rPr>
  </w:style>
  <w:style w:type="character" w:customStyle="1" w:styleId="Heading4Char">
    <w:name w:val="Heading 4 Char"/>
    <w:basedOn w:val="DefaultParagraphFont"/>
    <w:link w:val="Heading4"/>
    <w:uiPriority w:val="9"/>
    <w:rsid w:val="005321BB"/>
    <w:rPr>
      <w:rFonts w:ascii="Times New Roman" w:eastAsia="Times New Roman" w:hAnsi="Times New Roman"/>
      <w:i/>
      <w:sz w:val="24"/>
      <w:szCs w:val="24"/>
    </w:rPr>
  </w:style>
  <w:style w:type="character" w:customStyle="1" w:styleId="Heading5Char">
    <w:name w:val="Heading 5 Char"/>
    <w:basedOn w:val="DefaultParagraphFont"/>
    <w:link w:val="Heading5"/>
    <w:uiPriority w:val="9"/>
    <w:rsid w:val="00B34E79"/>
    <w:rPr>
      <w:rFonts w:ascii="Times New Roman" w:eastAsia="Times New Roman" w:hAnsi="Times New Roman"/>
      <w:sz w:val="24"/>
      <w:szCs w:val="24"/>
      <w:u w:val="single"/>
    </w:rPr>
  </w:style>
  <w:style w:type="character" w:styleId="UnresolvedMention">
    <w:name w:val="Unresolved Mention"/>
    <w:basedOn w:val="DefaultParagraphFont"/>
    <w:uiPriority w:val="99"/>
    <w:semiHidden/>
    <w:unhideWhenUsed/>
    <w:rsid w:val="007F0888"/>
    <w:rPr>
      <w:color w:val="605E5C"/>
      <w:shd w:val="clear" w:color="auto" w:fill="E1DFDD"/>
    </w:rPr>
  </w:style>
  <w:style w:type="table" w:styleId="TableGrid">
    <w:name w:val="Table Grid"/>
    <w:basedOn w:val="TableNormal"/>
    <w:uiPriority w:val="59"/>
    <w:rsid w:val="009D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7599">
      <w:bodyDiv w:val="1"/>
      <w:marLeft w:val="0"/>
      <w:marRight w:val="0"/>
      <w:marTop w:val="0"/>
      <w:marBottom w:val="0"/>
      <w:divBdr>
        <w:top w:val="none" w:sz="0" w:space="0" w:color="auto"/>
        <w:left w:val="none" w:sz="0" w:space="0" w:color="auto"/>
        <w:bottom w:val="none" w:sz="0" w:space="0" w:color="auto"/>
        <w:right w:val="none" w:sz="0" w:space="0" w:color="auto"/>
      </w:divBdr>
    </w:div>
    <w:div w:id="419448136">
      <w:bodyDiv w:val="1"/>
      <w:marLeft w:val="0"/>
      <w:marRight w:val="0"/>
      <w:marTop w:val="0"/>
      <w:marBottom w:val="0"/>
      <w:divBdr>
        <w:top w:val="none" w:sz="0" w:space="0" w:color="auto"/>
        <w:left w:val="none" w:sz="0" w:space="0" w:color="auto"/>
        <w:bottom w:val="none" w:sz="0" w:space="0" w:color="auto"/>
        <w:right w:val="none" w:sz="0" w:space="0" w:color="auto"/>
      </w:divBdr>
    </w:div>
    <w:div w:id="14784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CDB7A-0A58-445D-B3EF-C4C0AD13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6603</Words>
  <Characters>37639</Characters>
  <Application>Microsoft Office Word</Application>
  <DocSecurity>0</DocSecurity>
  <Lines>313</Lines>
  <Paragraphs>88</Paragraphs>
  <ScaleCrop>false</ScaleCrop>
  <Company/>
  <LinksUpToDate>false</LinksUpToDate>
  <CharactersWithSpaces>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2019-03-18T01:55:00Z</dcterms:created>
  <dcterms:modified xsi:type="dcterms:W3CDTF">2019-03-18T01:55:00Z</dcterms:modified>
</cp:coreProperties>
</file>