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34605" w14:textId="77777777" w:rsidR="00602302" w:rsidRPr="00602302" w:rsidRDefault="00602302" w:rsidP="00602302">
      <w:pPr>
        <w:shd w:val="clear" w:color="auto" w:fill="FFFFFF"/>
        <w:spacing w:after="240" w:line="285" w:lineRule="atLeast"/>
        <w:jc w:val="center"/>
        <w:outlineLvl w:val="0"/>
        <w:rPr>
          <w:rFonts w:ascii="Times New Roman" w:eastAsia="Times New Roman" w:hAnsi="Times New Roman" w:cs="Times New Roman"/>
          <w:b/>
          <w:bCs/>
          <w:color w:val="000000"/>
          <w:kern w:val="36"/>
          <w:sz w:val="24"/>
          <w:szCs w:val="24"/>
          <w:u w:val="single"/>
          <w:lang w:eastAsia="en-AU"/>
        </w:rPr>
      </w:pPr>
      <w:bookmarkStart w:id="0" w:name="_GoBack"/>
      <w:bookmarkEnd w:id="0"/>
      <w:r>
        <w:rPr>
          <w:rFonts w:ascii="Times New Roman" w:eastAsia="Times New Roman" w:hAnsi="Times New Roman" w:cs="Times New Roman"/>
          <w:b/>
          <w:bCs/>
          <w:color w:val="000000"/>
          <w:kern w:val="36"/>
          <w:sz w:val="24"/>
          <w:szCs w:val="24"/>
          <w:u w:val="single"/>
          <w:lang w:eastAsia="en-AU"/>
        </w:rPr>
        <w:t xml:space="preserve">SUPPLEMENTARY </w:t>
      </w:r>
      <w:r w:rsidRPr="00602302">
        <w:rPr>
          <w:rFonts w:ascii="Times New Roman" w:eastAsia="Times New Roman" w:hAnsi="Times New Roman" w:cs="Times New Roman"/>
          <w:b/>
          <w:bCs/>
          <w:color w:val="000000"/>
          <w:kern w:val="36"/>
          <w:sz w:val="24"/>
          <w:szCs w:val="24"/>
          <w:u w:val="single"/>
          <w:lang w:eastAsia="en-AU"/>
        </w:rPr>
        <w:t>EXPLANATORY STATEMENT</w:t>
      </w:r>
    </w:p>
    <w:p w14:paraId="149218E4" w14:textId="77777777" w:rsidR="00602302" w:rsidRPr="00602302" w:rsidRDefault="00602302" w:rsidP="00602302">
      <w:pPr>
        <w:shd w:val="clear" w:color="auto" w:fill="FFFFFF"/>
        <w:spacing w:after="240" w:line="240" w:lineRule="auto"/>
        <w:jc w:val="center"/>
        <w:rPr>
          <w:rFonts w:ascii="Times New Roman" w:eastAsia="Times New Roman" w:hAnsi="Times New Roman" w:cs="Times New Roman"/>
          <w:color w:val="000000"/>
          <w:sz w:val="24"/>
          <w:szCs w:val="24"/>
          <w:lang w:eastAsia="en-AU"/>
        </w:rPr>
      </w:pPr>
      <w:bookmarkStart w:id="1" w:name="CursorPositionBM"/>
      <w:bookmarkEnd w:id="1"/>
      <w:r w:rsidRPr="00602302">
        <w:rPr>
          <w:rFonts w:ascii="Times New Roman" w:eastAsia="Times New Roman" w:hAnsi="Times New Roman" w:cs="Times New Roman"/>
          <w:color w:val="000000"/>
          <w:sz w:val="24"/>
          <w:szCs w:val="24"/>
          <w:lang w:eastAsia="en-AU"/>
        </w:rPr>
        <w:t>Issued by the Authority of the Minister for Industry, Science and Technology</w:t>
      </w:r>
    </w:p>
    <w:p w14:paraId="43D1ABF5" w14:textId="77777777" w:rsidR="00602302" w:rsidRPr="00602302" w:rsidRDefault="00602302" w:rsidP="00602302">
      <w:pPr>
        <w:shd w:val="clear" w:color="auto" w:fill="FFFFFF"/>
        <w:spacing w:before="240" w:after="240" w:line="293" w:lineRule="atLeast"/>
        <w:jc w:val="center"/>
        <w:outlineLvl w:val="3"/>
        <w:rPr>
          <w:rFonts w:ascii="Times New Roman" w:eastAsia="Times New Roman" w:hAnsi="Times New Roman" w:cs="Times New Roman"/>
          <w:b/>
          <w:bCs/>
          <w:i/>
          <w:iCs/>
          <w:color w:val="000000"/>
          <w:sz w:val="24"/>
          <w:szCs w:val="24"/>
          <w:lang w:eastAsia="en-AU"/>
        </w:rPr>
      </w:pPr>
      <w:r w:rsidRPr="00602302">
        <w:rPr>
          <w:rFonts w:ascii="Times New Roman" w:eastAsia="Times New Roman" w:hAnsi="Times New Roman" w:cs="Times New Roman"/>
          <w:b/>
          <w:bCs/>
          <w:i/>
          <w:iCs/>
          <w:color w:val="000000"/>
          <w:sz w:val="24"/>
          <w:szCs w:val="24"/>
          <w:lang w:eastAsia="en-AU"/>
        </w:rPr>
        <w:t>Intellectual Property Laws Amendment (PCT Translations and Other Measures) Regulations 2019</w:t>
      </w:r>
    </w:p>
    <w:p w14:paraId="5DBEBAA2" w14:textId="77777777" w:rsidR="00E2475C" w:rsidRDefault="00E2475C"/>
    <w:p w14:paraId="790AB084" w14:textId="77777777" w:rsidR="00602302" w:rsidRPr="00602302" w:rsidRDefault="00602302" w:rsidP="00602302">
      <w:pPr>
        <w:keepNext/>
        <w:tabs>
          <w:tab w:val="left" w:pos="1620"/>
        </w:tabs>
        <w:spacing w:after="240" w:line="240" w:lineRule="auto"/>
        <w:rPr>
          <w:rFonts w:ascii="Times New Roman" w:eastAsia="Times New Roman" w:hAnsi="Times New Roman" w:cs="Times New Roman"/>
          <w:b/>
          <w:bCs/>
          <w:sz w:val="24"/>
          <w:szCs w:val="24"/>
          <w:lang w:eastAsia="en-AU"/>
        </w:rPr>
      </w:pPr>
      <w:r w:rsidRPr="00817750">
        <w:rPr>
          <w:rFonts w:ascii="Times New Roman" w:eastAsia="Times New Roman" w:hAnsi="Times New Roman" w:cs="Times New Roman"/>
          <w:b/>
          <w:bCs/>
          <w:sz w:val="24"/>
          <w:szCs w:val="24"/>
          <w:lang w:eastAsia="en-AU"/>
        </w:rPr>
        <w:t>D</w:t>
      </w:r>
      <w:r w:rsidRPr="00602302">
        <w:rPr>
          <w:rFonts w:ascii="Times New Roman" w:eastAsia="Times New Roman" w:hAnsi="Times New Roman" w:cs="Times New Roman"/>
          <w:b/>
          <w:bCs/>
          <w:sz w:val="24"/>
          <w:szCs w:val="24"/>
          <w:lang w:eastAsia="en-AU"/>
        </w:rPr>
        <w:t xml:space="preserve">elegation of </w:t>
      </w:r>
      <w:r w:rsidR="00E212F7" w:rsidRPr="00817750">
        <w:rPr>
          <w:rFonts w:ascii="Times New Roman" w:eastAsia="Times New Roman" w:hAnsi="Times New Roman" w:cs="Times New Roman"/>
          <w:b/>
          <w:bCs/>
          <w:sz w:val="24"/>
          <w:szCs w:val="24"/>
          <w:lang w:eastAsia="en-AU"/>
        </w:rPr>
        <w:t xml:space="preserve">specific </w:t>
      </w:r>
      <w:r w:rsidRPr="00602302">
        <w:rPr>
          <w:rFonts w:ascii="Times New Roman" w:eastAsia="Times New Roman" w:hAnsi="Times New Roman" w:cs="Times New Roman"/>
          <w:b/>
          <w:bCs/>
          <w:sz w:val="24"/>
          <w:szCs w:val="24"/>
          <w:lang w:eastAsia="en-AU"/>
        </w:rPr>
        <w:t>power</w:t>
      </w:r>
      <w:r w:rsidR="00E212F7" w:rsidRPr="00817750">
        <w:rPr>
          <w:rFonts w:ascii="Times New Roman" w:eastAsia="Times New Roman" w:hAnsi="Times New Roman" w:cs="Times New Roman"/>
          <w:b/>
          <w:bCs/>
          <w:sz w:val="24"/>
          <w:szCs w:val="24"/>
          <w:lang w:eastAsia="en-AU"/>
        </w:rPr>
        <w:t xml:space="preserve">s to Executive level employees </w:t>
      </w:r>
      <w:r w:rsidRPr="00602302">
        <w:rPr>
          <w:rFonts w:ascii="Times New Roman" w:eastAsia="Times New Roman" w:hAnsi="Times New Roman" w:cs="Times New Roman"/>
          <w:b/>
          <w:bCs/>
          <w:sz w:val="24"/>
          <w:szCs w:val="24"/>
          <w:lang w:eastAsia="en-AU"/>
        </w:rPr>
        <w:t xml:space="preserve"> </w:t>
      </w:r>
    </w:p>
    <w:p w14:paraId="2A22A5BA" w14:textId="77777777" w:rsidR="00602302" w:rsidRPr="00602302" w:rsidRDefault="00E212F7" w:rsidP="00602302">
      <w:pPr>
        <w:spacing w:after="0" w:line="240" w:lineRule="auto"/>
        <w:rPr>
          <w:rFonts w:ascii="Times New Roman" w:eastAsia="Times New Roman" w:hAnsi="Times New Roman" w:cs="Times New Roman"/>
          <w:i/>
          <w:sz w:val="24"/>
          <w:szCs w:val="24"/>
          <w:lang w:eastAsia="en-AU"/>
        </w:rPr>
      </w:pPr>
      <w:r w:rsidRPr="00817750">
        <w:rPr>
          <w:rFonts w:ascii="Times New Roman" w:eastAsia="Times New Roman" w:hAnsi="Times New Roman" w:cs="Times New Roman"/>
          <w:i/>
          <w:sz w:val="24"/>
          <w:szCs w:val="24"/>
          <w:lang w:eastAsia="en-AU"/>
        </w:rPr>
        <w:t>Replace Part 1 of Schedule 2 to the Explanatory Statement with the following text</w:t>
      </w:r>
      <w:r w:rsidR="00602302" w:rsidRPr="00602302">
        <w:rPr>
          <w:rFonts w:ascii="Times New Roman" w:eastAsia="Times New Roman" w:hAnsi="Times New Roman" w:cs="Times New Roman"/>
          <w:i/>
          <w:sz w:val="24"/>
          <w:szCs w:val="24"/>
          <w:lang w:eastAsia="en-AU"/>
        </w:rPr>
        <w:t>:</w:t>
      </w:r>
    </w:p>
    <w:p w14:paraId="0E3C8818" w14:textId="77777777" w:rsidR="007066C1" w:rsidRPr="00F576D4" w:rsidRDefault="007066C1" w:rsidP="00E212F7">
      <w:pPr>
        <w:spacing w:before="240"/>
        <w:rPr>
          <w:rFonts w:ascii="Times New Roman" w:hAnsi="Times New Roman" w:cs="Times New Roman"/>
          <w:b/>
          <w:bCs/>
        </w:rPr>
      </w:pPr>
      <w:r w:rsidRPr="00F576D4">
        <w:rPr>
          <w:rFonts w:ascii="Times New Roman" w:hAnsi="Times New Roman" w:cs="Times New Roman"/>
          <w:b/>
          <w:bCs/>
        </w:rPr>
        <w:t>Part 1 – Delegations</w:t>
      </w:r>
    </w:p>
    <w:p w14:paraId="433DCB0C" w14:textId="1C3E3FED" w:rsidR="001334F9" w:rsidRPr="00817750" w:rsidRDefault="001334F9" w:rsidP="00E212F7">
      <w:pPr>
        <w:spacing w:before="240"/>
        <w:rPr>
          <w:rFonts w:ascii="Times New Roman" w:hAnsi="Times New Roman" w:cs="Times New Roman"/>
        </w:rPr>
      </w:pPr>
      <w:r w:rsidRPr="00817750">
        <w:rPr>
          <w:rFonts w:ascii="Times New Roman" w:hAnsi="Times New Roman" w:cs="Times New Roman"/>
        </w:rPr>
        <w:t xml:space="preserve">Under paragraphs 210(1)(a) and (c) of the </w:t>
      </w:r>
      <w:r w:rsidRPr="00817750">
        <w:rPr>
          <w:rFonts w:ascii="Times New Roman" w:hAnsi="Times New Roman" w:cs="Times New Roman"/>
          <w:i/>
          <w:iCs/>
        </w:rPr>
        <w:t>Patents Act 1990</w:t>
      </w:r>
      <w:r w:rsidRPr="00817750">
        <w:rPr>
          <w:rFonts w:ascii="Times New Roman" w:hAnsi="Times New Roman" w:cs="Times New Roman"/>
        </w:rPr>
        <w:t xml:space="preserve"> (“Patents Act”) and paragraphs 127(1)(a) and (c) of the </w:t>
      </w:r>
      <w:r w:rsidRPr="00817750">
        <w:rPr>
          <w:rFonts w:ascii="Times New Roman" w:hAnsi="Times New Roman" w:cs="Times New Roman"/>
          <w:i/>
          <w:iCs/>
        </w:rPr>
        <w:t>Designs Act 2004</w:t>
      </w:r>
      <w:r w:rsidRPr="00817750">
        <w:rPr>
          <w:rFonts w:ascii="Times New Roman" w:hAnsi="Times New Roman" w:cs="Times New Roman"/>
        </w:rPr>
        <w:t xml:space="preserve"> (“Designs Act”), the Commissioner of Patents (“Commissioner”) and the Registrar of Designs (“Registrar”) are empowered to summon witnesses, or to require someone to produce documents or articles. </w:t>
      </w:r>
      <w:r w:rsidR="002F7E75">
        <w:rPr>
          <w:rFonts w:ascii="Times New Roman" w:hAnsi="Times New Roman" w:cs="Times New Roman"/>
        </w:rPr>
        <w:t xml:space="preserve">These powers are referred </w:t>
      </w:r>
      <w:r w:rsidR="00375150">
        <w:rPr>
          <w:rFonts w:ascii="Times New Roman" w:hAnsi="Times New Roman" w:cs="Times New Roman"/>
        </w:rPr>
        <w:t xml:space="preserve">to in this Explanatory Statement </w:t>
      </w:r>
      <w:r w:rsidR="002F7E75">
        <w:rPr>
          <w:rFonts w:ascii="Times New Roman" w:hAnsi="Times New Roman" w:cs="Times New Roman"/>
        </w:rPr>
        <w:t xml:space="preserve">as </w:t>
      </w:r>
      <w:r w:rsidR="00375150">
        <w:rPr>
          <w:rFonts w:ascii="Times New Roman" w:hAnsi="Times New Roman" w:cs="Times New Roman"/>
        </w:rPr>
        <w:t>“</w:t>
      </w:r>
      <w:r w:rsidR="002F7E75">
        <w:rPr>
          <w:rFonts w:ascii="Times New Roman" w:hAnsi="Times New Roman" w:cs="Times New Roman"/>
        </w:rPr>
        <w:t>the specific powers</w:t>
      </w:r>
      <w:r w:rsidR="00375150">
        <w:rPr>
          <w:rFonts w:ascii="Times New Roman" w:hAnsi="Times New Roman" w:cs="Times New Roman"/>
        </w:rPr>
        <w:t>”</w:t>
      </w:r>
      <w:r w:rsidR="002F7E75">
        <w:rPr>
          <w:rFonts w:ascii="Times New Roman" w:hAnsi="Times New Roman" w:cs="Times New Roman"/>
        </w:rPr>
        <w:t xml:space="preserve">. </w:t>
      </w:r>
      <w:r w:rsidRPr="00817750">
        <w:rPr>
          <w:rFonts w:ascii="Times New Roman" w:hAnsi="Times New Roman" w:cs="Times New Roman"/>
        </w:rPr>
        <w:t xml:space="preserve">The specific powers are exercised in opposition and other administrative proceedings </w:t>
      </w:r>
      <w:r w:rsidR="004A3F85">
        <w:rPr>
          <w:rFonts w:ascii="Times New Roman" w:hAnsi="Times New Roman" w:cs="Times New Roman"/>
        </w:rPr>
        <w:t xml:space="preserve">conducted </w:t>
      </w:r>
      <w:r w:rsidRPr="00817750">
        <w:rPr>
          <w:rFonts w:ascii="Times New Roman" w:hAnsi="Times New Roman" w:cs="Times New Roman"/>
        </w:rPr>
        <w:t>before delegates of the Commissioner or Registrar.</w:t>
      </w:r>
    </w:p>
    <w:p w14:paraId="69405FD3" w14:textId="4AE475AE" w:rsidR="00732D41" w:rsidRDefault="00E212F7" w:rsidP="001334F9">
      <w:pPr>
        <w:spacing w:before="240"/>
        <w:rPr>
          <w:rFonts w:ascii="Times New Roman" w:hAnsi="Times New Roman" w:cs="Times New Roman"/>
        </w:rPr>
      </w:pPr>
      <w:r w:rsidRPr="00817750">
        <w:rPr>
          <w:rFonts w:ascii="Times New Roman" w:hAnsi="Times New Roman" w:cs="Times New Roman"/>
        </w:rPr>
        <w:t xml:space="preserve">This part amends the </w:t>
      </w:r>
      <w:r w:rsidRPr="00817750">
        <w:rPr>
          <w:rFonts w:ascii="Times New Roman" w:hAnsi="Times New Roman" w:cs="Times New Roman"/>
          <w:i/>
          <w:iCs/>
        </w:rPr>
        <w:t>Patents Regulations 1991</w:t>
      </w:r>
      <w:r w:rsidRPr="00817750">
        <w:rPr>
          <w:rFonts w:ascii="Times New Roman" w:hAnsi="Times New Roman" w:cs="Times New Roman"/>
        </w:rPr>
        <w:t xml:space="preserve"> (“Patents Regulations”) and the </w:t>
      </w:r>
      <w:r w:rsidRPr="00817750">
        <w:rPr>
          <w:rFonts w:ascii="Times New Roman" w:hAnsi="Times New Roman" w:cs="Times New Roman"/>
          <w:i/>
          <w:iCs/>
        </w:rPr>
        <w:t>Designs Regulations 2004</w:t>
      </w:r>
      <w:r w:rsidRPr="00817750">
        <w:rPr>
          <w:rFonts w:ascii="Times New Roman" w:hAnsi="Times New Roman" w:cs="Times New Roman"/>
        </w:rPr>
        <w:t xml:space="preserve"> (“Designs Regulations”) to permit the Commissioner and the Registrar to delegate the</w:t>
      </w:r>
      <w:r w:rsidR="001334F9" w:rsidRPr="00817750">
        <w:rPr>
          <w:rFonts w:ascii="Times New Roman" w:hAnsi="Times New Roman" w:cs="Times New Roman"/>
        </w:rPr>
        <w:t xml:space="preserve"> specific</w:t>
      </w:r>
      <w:r w:rsidRPr="00817750">
        <w:rPr>
          <w:rFonts w:ascii="Times New Roman" w:hAnsi="Times New Roman" w:cs="Times New Roman"/>
        </w:rPr>
        <w:t xml:space="preserve"> powers to </w:t>
      </w:r>
      <w:r w:rsidR="000A6798">
        <w:rPr>
          <w:rFonts w:ascii="Times New Roman" w:hAnsi="Times New Roman" w:cs="Times New Roman"/>
        </w:rPr>
        <w:t xml:space="preserve">employees of </w:t>
      </w:r>
      <w:r w:rsidR="007066C1" w:rsidRPr="00EA4B16">
        <w:rPr>
          <w:rFonts w:ascii="Times New Roman" w:hAnsi="Times New Roman" w:cs="Times New Roman"/>
        </w:rPr>
        <w:t xml:space="preserve">Executive Level (EL) 1 </w:t>
      </w:r>
      <w:r w:rsidR="000A6798">
        <w:rPr>
          <w:rFonts w:ascii="Times New Roman" w:hAnsi="Times New Roman" w:cs="Times New Roman"/>
        </w:rPr>
        <w:t>or higher classification</w:t>
      </w:r>
      <w:r w:rsidR="007066C1" w:rsidRPr="00EA4B16">
        <w:rPr>
          <w:rFonts w:ascii="Times New Roman" w:hAnsi="Times New Roman" w:cs="Times New Roman"/>
        </w:rPr>
        <w:t xml:space="preserve"> in IP Australia</w:t>
      </w:r>
      <w:r w:rsidR="00EA4B16" w:rsidRPr="00817750">
        <w:rPr>
          <w:rFonts w:ascii="Times New Roman" w:hAnsi="Times New Roman" w:cs="Times New Roman"/>
        </w:rPr>
        <w:t>.</w:t>
      </w:r>
      <w:r w:rsidR="00671F40" w:rsidRPr="00817750">
        <w:rPr>
          <w:rFonts w:ascii="Times New Roman" w:hAnsi="Times New Roman" w:cs="Times New Roman"/>
        </w:rPr>
        <w:t xml:space="preserve"> </w:t>
      </w:r>
      <w:r w:rsidR="00555B7D">
        <w:rPr>
          <w:rFonts w:ascii="Times New Roman" w:hAnsi="Times New Roman" w:cs="Times New Roman"/>
        </w:rPr>
        <w:t xml:space="preserve">Currently the specific powers must be exercised personally by the Commissioner or Registrar, or by the Deputy Commissioner or Deputy Registrar, which is inefficient and causes delays to IP Australia issuing written decisions. </w:t>
      </w:r>
      <w:r w:rsidR="001334F9" w:rsidRPr="00817750">
        <w:rPr>
          <w:rFonts w:ascii="Times New Roman" w:hAnsi="Times New Roman" w:cs="Times New Roman"/>
        </w:rPr>
        <w:t>Th</w:t>
      </w:r>
      <w:r w:rsidR="00671F40" w:rsidRPr="00817750">
        <w:rPr>
          <w:rFonts w:ascii="Times New Roman" w:hAnsi="Times New Roman" w:cs="Times New Roman"/>
        </w:rPr>
        <w:t>is</w:t>
      </w:r>
      <w:r w:rsidR="001334F9" w:rsidRPr="00817750">
        <w:rPr>
          <w:rFonts w:ascii="Times New Roman" w:hAnsi="Times New Roman" w:cs="Times New Roman"/>
        </w:rPr>
        <w:t xml:space="preserve"> </w:t>
      </w:r>
      <w:r w:rsidR="001334F9" w:rsidRPr="001334F9">
        <w:rPr>
          <w:rFonts w:ascii="Times New Roman" w:hAnsi="Times New Roman" w:cs="Times New Roman"/>
        </w:rPr>
        <w:t xml:space="preserve">delegation </w:t>
      </w:r>
      <w:r w:rsidR="001334F9" w:rsidRPr="00817750">
        <w:rPr>
          <w:rFonts w:ascii="Times New Roman" w:hAnsi="Times New Roman" w:cs="Times New Roman"/>
        </w:rPr>
        <w:t xml:space="preserve">of the specific powers </w:t>
      </w:r>
      <w:r w:rsidR="001334F9" w:rsidRPr="001334F9">
        <w:rPr>
          <w:rFonts w:ascii="Times New Roman" w:hAnsi="Times New Roman" w:cs="Times New Roman"/>
        </w:rPr>
        <w:t xml:space="preserve">is </w:t>
      </w:r>
      <w:r w:rsidR="00555B7D">
        <w:rPr>
          <w:rFonts w:ascii="Times New Roman" w:hAnsi="Times New Roman" w:cs="Times New Roman"/>
        </w:rPr>
        <w:t xml:space="preserve">therefore </w:t>
      </w:r>
      <w:r w:rsidR="001334F9" w:rsidRPr="001334F9">
        <w:rPr>
          <w:rFonts w:ascii="Times New Roman" w:hAnsi="Times New Roman" w:cs="Times New Roman"/>
        </w:rPr>
        <w:t>appropriate and necessary to the good functioning of Australia’s IP system</w:t>
      </w:r>
      <w:r w:rsidR="00671F40" w:rsidRPr="00817750">
        <w:rPr>
          <w:rFonts w:ascii="Times New Roman" w:hAnsi="Times New Roman" w:cs="Times New Roman"/>
        </w:rPr>
        <w:t>. There are a</w:t>
      </w:r>
      <w:r w:rsidR="001334F9" w:rsidRPr="001334F9">
        <w:rPr>
          <w:rFonts w:ascii="Times New Roman" w:hAnsi="Times New Roman" w:cs="Times New Roman"/>
        </w:rPr>
        <w:t xml:space="preserve">ppropriate safeguards in place to ensure that the </w:t>
      </w:r>
      <w:r w:rsidR="00671F40" w:rsidRPr="00817750">
        <w:rPr>
          <w:rFonts w:ascii="Times New Roman" w:hAnsi="Times New Roman" w:cs="Times New Roman"/>
        </w:rPr>
        <w:t xml:space="preserve">delegated </w:t>
      </w:r>
      <w:r w:rsidR="001334F9" w:rsidRPr="001334F9">
        <w:rPr>
          <w:rFonts w:ascii="Times New Roman" w:hAnsi="Times New Roman" w:cs="Times New Roman"/>
        </w:rPr>
        <w:t xml:space="preserve">powers </w:t>
      </w:r>
      <w:r w:rsidR="00671F40" w:rsidRPr="00817750">
        <w:rPr>
          <w:rFonts w:ascii="Times New Roman" w:hAnsi="Times New Roman" w:cs="Times New Roman"/>
        </w:rPr>
        <w:t>ar</w:t>
      </w:r>
      <w:r w:rsidR="001334F9" w:rsidRPr="001334F9">
        <w:rPr>
          <w:rFonts w:ascii="Times New Roman" w:hAnsi="Times New Roman" w:cs="Times New Roman"/>
        </w:rPr>
        <w:t>e exercised responsibly</w:t>
      </w:r>
      <w:r w:rsidR="00671F40" w:rsidRPr="00817750">
        <w:rPr>
          <w:rFonts w:ascii="Times New Roman" w:hAnsi="Times New Roman" w:cs="Times New Roman"/>
        </w:rPr>
        <w:t>,</w:t>
      </w:r>
      <w:r w:rsidR="001334F9" w:rsidRPr="001334F9">
        <w:rPr>
          <w:rFonts w:ascii="Times New Roman" w:hAnsi="Times New Roman" w:cs="Times New Roman"/>
        </w:rPr>
        <w:t xml:space="preserve"> and that individuals’ rights </w:t>
      </w:r>
      <w:r w:rsidR="00671F40" w:rsidRPr="00817750">
        <w:rPr>
          <w:rFonts w:ascii="Times New Roman" w:hAnsi="Times New Roman" w:cs="Times New Roman"/>
        </w:rPr>
        <w:t>ar</w:t>
      </w:r>
      <w:r w:rsidR="001334F9" w:rsidRPr="001334F9">
        <w:rPr>
          <w:rFonts w:ascii="Times New Roman" w:hAnsi="Times New Roman" w:cs="Times New Roman"/>
        </w:rPr>
        <w:t>e protected.</w:t>
      </w:r>
      <w:r w:rsidR="004A3F85">
        <w:rPr>
          <w:rFonts w:ascii="Times New Roman" w:hAnsi="Times New Roman" w:cs="Times New Roman"/>
        </w:rPr>
        <w:t xml:space="preserve"> </w:t>
      </w:r>
    </w:p>
    <w:p w14:paraId="34A36C64" w14:textId="61CDC232" w:rsidR="001334F9" w:rsidRPr="001334F9" w:rsidRDefault="004A3F85" w:rsidP="001334F9">
      <w:pPr>
        <w:spacing w:before="240"/>
        <w:rPr>
          <w:rFonts w:ascii="Times New Roman" w:hAnsi="Times New Roman" w:cs="Times New Roman"/>
        </w:rPr>
      </w:pPr>
      <w:r>
        <w:rPr>
          <w:rFonts w:ascii="Times New Roman" w:hAnsi="Times New Roman" w:cs="Times New Roman"/>
        </w:rPr>
        <w:t xml:space="preserve">Neither the Patents Act nor the Designs Act permits </w:t>
      </w:r>
      <w:r w:rsidR="00732D41">
        <w:rPr>
          <w:rFonts w:ascii="Times New Roman" w:hAnsi="Times New Roman" w:cs="Times New Roman"/>
        </w:rPr>
        <w:t xml:space="preserve">any </w:t>
      </w:r>
      <w:r>
        <w:rPr>
          <w:rFonts w:ascii="Times New Roman" w:hAnsi="Times New Roman" w:cs="Times New Roman"/>
        </w:rPr>
        <w:t>sub-delegat</w:t>
      </w:r>
      <w:r w:rsidR="00732D41">
        <w:rPr>
          <w:rFonts w:ascii="Times New Roman" w:hAnsi="Times New Roman" w:cs="Times New Roman"/>
        </w:rPr>
        <w:t>ion</w:t>
      </w:r>
      <w:r>
        <w:rPr>
          <w:rFonts w:ascii="Times New Roman" w:hAnsi="Times New Roman" w:cs="Times New Roman"/>
        </w:rPr>
        <w:t>.</w:t>
      </w:r>
      <w:r w:rsidR="00732D41">
        <w:rPr>
          <w:rFonts w:ascii="Times New Roman" w:hAnsi="Times New Roman" w:cs="Times New Roman"/>
        </w:rPr>
        <w:t xml:space="preserve"> This means that </w:t>
      </w:r>
      <w:r w:rsidR="00375150">
        <w:rPr>
          <w:rFonts w:ascii="Times New Roman" w:hAnsi="Times New Roman" w:cs="Times New Roman"/>
        </w:rPr>
        <w:t>a</w:t>
      </w:r>
      <w:r w:rsidR="00732D41">
        <w:rPr>
          <w:rFonts w:ascii="Times New Roman" w:hAnsi="Times New Roman" w:cs="Times New Roman"/>
        </w:rPr>
        <w:t xml:space="preserve"> delegate of the Commissioner or the Registrar can</w:t>
      </w:r>
      <w:r w:rsidR="00375150">
        <w:rPr>
          <w:rFonts w:ascii="Times New Roman" w:hAnsi="Times New Roman" w:cs="Times New Roman"/>
        </w:rPr>
        <w:t>’t</w:t>
      </w:r>
      <w:r w:rsidR="00732D41">
        <w:rPr>
          <w:rFonts w:ascii="Times New Roman" w:hAnsi="Times New Roman" w:cs="Times New Roman"/>
        </w:rPr>
        <w:t xml:space="preserve"> further delegate any </w:t>
      </w:r>
      <w:r w:rsidR="00375150">
        <w:rPr>
          <w:rFonts w:ascii="Times New Roman" w:hAnsi="Times New Roman" w:cs="Times New Roman"/>
        </w:rPr>
        <w:t xml:space="preserve">delegated </w:t>
      </w:r>
      <w:r w:rsidR="00732D41">
        <w:rPr>
          <w:rFonts w:ascii="Times New Roman" w:hAnsi="Times New Roman" w:cs="Times New Roman"/>
        </w:rPr>
        <w:t>power or function.</w:t>
      </w:r>
    </w:p>
    <w:p w14:paraId="7C821AC8" w14:textId="13311797" w:rsidR="00996AAB" w:rsidRPr="00817750" w:rsidRDefault="00996AAB" w:rsidP="00EA4B16">
      <w:pPr>
        <w:spacing w:before="240"/>
        <w:rPr>
          <w:rFonts w:ascii="Times New Roman" w:hAnsi="Times New Roman" w:cs="Times New Roman"/>
          <w:b/>
          <w:bCs/>
        </w:rPr>
      </w:pPr>
      <w:r w:rsidRPr="00817750">
        <w:rPr>
          <w:rFonts w:ascii="Times New Roman" w:hAnsi="Times New Roman" w:cs="Times New Roman"/>
          <w:b/>
          <w:bCs/>
        </w:rPr>
        <w:t xml:space="preserve">Why delegation of the specific powers </w:t>
      </w:r>
      <w:r w:rsidR="007066C1" w:rsidRPr="00817750">
        <w:rPr>
          <w:rFonts w:ascii="Times New Roman" w:hAnsi="Times New Roman" w:cs="Times New Roman"/>
          <w:b/>
          <w:bCs/>
        </w:rPr>
        <w:t>is not</w:t>
      </w:r>
      <w:r w:rsidRPr="00817750">
        <w:rPr>
          <w:rFonts w:ascii="Times New Roman" w:hAnsi="Times New Roman" w:cs="Times New Roman"/>
          <w:b/>
          <w:bCs/>
        </w:rPr>
        <w:t xml:space="preserve"> limited to members of the </w:t>
      </w:r>
      <w:r w:rsidRPr="00EA4B16">
        <w:rPr>
          <w:rFonts w:ascii="Times New Roman" w:hAnsi="Times New Roman" w:cs="Times New Roman"/>
          <w:b/>
          <w:bCs/>
        </w:rPr>
        <w:t>S</w:t>
      </w:r>
      <w:r w:rsidRPr="00817750">
        <w:rPr>
          <w:rFonts w:ascii="Times New Roman" w:hAnsi="Times New Roman" w:cs="Times New Roman"/>
          <w:b/>
          <w:bCs/>
        </w:rPr>
        <w:t>enior Executive Service</w:t>
      </w:r>
    </w:p>
    <w:p w14:paraId="264A5E6C" w14:textId="77777777" w:rsidR="00EA4B16" w:rsidRPr="00EA4B16" w:rsidRDefault="00EA4B16" w:rsidP="00EA4B16">
      <w:pPr>
        <w:spacing w:before="240"/>
        <w:rPr>
          <w:rFonts w:ascii="Times New Roman" w:hAnsi="Times New Roman" w:cs="Times New Roman"/>
        </w:rPr>
      </w:pPr>
      <w:r w:rsidRPr="00EA4B16">
        <w:rPr>
          <w:rFonts w:ascii="Times New Roman" w:hAnsi="Times New Roman" w:cs="Times New Roman"/>
        </w:rPr>
        <w:t xml:space="preserve">The </w:t>
      </w:r>
      <w:r w:rsidR="00671F40" w:rsidRPr="00817750">
        <w:rPr>
          <w:rFonts w:ascii="Times New Roman" w:hAnsi="Times New Roman" w:cs="Times New Roman"/>
        </w:rPr>
        <w:t>purpose of this part</w:t>
      </w:r>
      <w:r w:rsidRPr="00EA4B16">
        <w:rPr>
          <w:rFonts w:ascii="Times New Roman" w:hAnsi="Times New Roman" w:cs="Times New Roman"/>
        </w:rPr>
        <w:t xml:space="preserve"> is to expedite processing of hearing decisions by allowing the specific powers to be exercised directly by expert EL1 and EL2 staff who work in the hearings and oppositions teams </w:t>
      </w:r>
      <w:r w:rsidR="00671F40" w:rsidRPr="00EA4B16">
        <w:rPr>
          <w:rFonts w:ascii="Times New Roman" w:hAnsi="Times New Roman" w:cs="Times New Roman"/>
        </w:rPr>
        <w:t>in IP Australia</w:t>
      </w:r>
      <w:r w:rsidR="00671F40" w:rsidRPr="00817750">
        <w:rPr>
          <w:rFonts w:ascii="Times New Roman" w:hAnsi="Times New Roman" w:cs="Times New Roman"/>
        </w:rPr>
        <w:t>,</w:t>
      </w:r>
      <w:r w:rsidR="00671F40" w:rsidRPr="00EA4B16">
        <w:rPr>
          <w:rFonts w:ascii="Times New Roman" w:hAnsi="Times New Roman" w:cs="Times New Roman"/>
        </w:rPr>
        <w:t xml:space="preserve"> </w:t>
      </w:r>
      <w:r w:rsidRPr="00EA4B16">
        <w:rPr>
          <w:rFonts w:ascii="Times New Roman" w:hAnsi="Times New Roman" w:cs="Times New Roman"/>
        </w:rPr>
        <w:t xml:space="preserve">and </w:t>
      </w:r>
      <w:r w:rsidR="00671F40" w:rsidRPr="00817750">
        <w:rPr>
          <w:rFonts w:ascii="Times New Roman" w:hAnsi="Times New Roman" w:cs="Times New Roman"/>
        </w:rPr>
        <w:t xml:space="preserve">who </w:t>
      </w:r>
      <w:r w:rsidRPr="00EA4B16">
        <w:rPr>
          <w:rFonts w:ascii="Times New Roman" w:hAnsi="Times New Roman" w:cs="Times New Roman"/>
        </w:rPr>
        <w:t xml:space="preserve">have the necessary skills and experience to determine </w:t>
      </w:r>
      <w:r w:rsidR="00671F40" w:rsidRPr="00817750">
        <w:rPr>
          <w:rFonts w:ascii="Times New Roman" w:hAnsi="Times New Roman" w:cs="Times New Roman"/>
        </w:rPr>
        <w:t>whether</w:t>
      </w:r>
      <w:r w:rsidRPr="00EA4B16">
        <w:rPr>
          <w:rFonts w:ascii="Times New Roman" w:hAnsi="Times New Roman" w:cs="Times New Roman"/>
        </w:rPr>
        <w:t xml:space="preserve"> the specific powers should be exercised. This would ultimately have the effect that hearing decisions are issued more quickly</w:t>
      </w:r>
      <w:r w:rsidR="00334840" w:rsidRPr="00817750">
        <w:rPr>
          <w:rFonts w:ascii="Times New Roman" w:hAnsi="Times New Roman" w:cs="Times New Roman"/>
        </w:rPr>
        <w:t>. As a result, it would</w:t>
      </w:r>
      <w:r w:rsidRPr="00EA4B16">
        <w:rPr>
          <w:rFonts w:ascii="Times New Roman" w:hAnsi="Times New Roman" w:cs="Times New Roman"/>
        </w:rPr>
        <w:t xml:space="preserve"> reduc</w:t>
      </w:r>
      <w:r w:rsidR="00334840" w:rsidRPr="00817750">
        <w:rPr>
          <w:rFonts w:ascii="Times New Roman" w:hAnsi="Times New Roman" w:cs="Times New Roman"/>
        </w:rPr>
        <w:t>e</w:t>
      </w:r>
      <w:r w:rsidRPr="00EA4B16">
        <w:rPr>
          <w:rFonts w:ascii="Times New Roman" w:hAnsi="Times New Roman" w:cs="Times New Roman"/>
        </w:rPr>
        <w:t xml:space="preserve"> uncertainty for applicants for IP rights</w:t>
      </w:r>
      <w:r w:rsidR="00334840" w:rsidRPr="00817750">
        <w:rPr>
          <w:rFonts w:ascii="Times New Roman" w:hAnsi="Times New Roman" w:cs="Times New Roman"/>
        </w:rPr>
        <w:t>, as well as for</w:t>
      </w:r>
      <w:r w:rsidRPr="00EA4B16">
        <w:rPr>
          <w:rFonts w:ascii="Times New Roman" w:hAnsi="Times New Roman" w:cs="Times New Roman"/>
        </w:rPr>
        <w:t xml:space="preserve"> third parties who would otherwise be unclear about their freedom to operate while decisions are pending.</w:t>
      </w:r>
    </w:p>
    <w:p w14:paraId="0E152124" w14:textId="77777777" w:rsidR="00EA4B16" w:rsidRPr="00EA4B16" w:rsidRDefault="00EA4B16" w:rsidP="00EA4B16">
      <w:pPr>
        <w:spacing w:before="240"/>
        <w:rPr>
          <w:rFonts w:ascii="Times New Roman" w:hAnsi="Times New Roman" w:cs="Times New Roman"/>
        </w:rPr>
      </w:pPr>
      <w:r w:rsidRPr="00EA4B16">
        <w:rPr>
          <w:rFonts w:ascii="Times New Roman" w:hAnsi="Times New Roman" w:cs="Times New Roman"/>
        </w:rPr>
        <w:t xml:space="preserve">As such, it is appropriate and necessary to specify that the specific powers may be delegated to staff below </w:t>
      </w:r>
      <w:r w:rsidRPr="00817750">
        <w:rPr>
          <w:rFonts w:ascii="Times New Roman" w:hAnsi="Times New Roman" w:cs="Times New Roman"/>
        </w:rPr>
        <w:t xml:space="preserve">the </w:t>
      </w:r>
      <w:r w:rsidRPr="00EA4B16">
        <w:rPr>
          <w:rFonts w:ascii="Times New Roman" w:hAnsi="Times New Roman" w:cs="Times New Roman"/>
        </w:rPr>
        <w:t>S</w:t>
      </w:r>
      <w:r w:rsidRPr="00817750">
        <w:rPr>
          <w:rFonts w:ascii="Times New Roman" w:hAnsi="Times New Roman" w:cs="Times New Roman"/>
        </w:rPr>
        <w:t xml:space="preserve">enior Executive Service </w:t>
      </w:r>
      <w:r w:rsidR="00334840" w:rsidRPr="00817750">
        <w:rPr>
          <w:rFonts w:ascii="Times New Roman" w:hAnsi="Times New Roman" w:cs="Times New Roman"/>
        </w:rPr>
        <w:t xml:space="preserve">(“SES”) </w:t>
      </w:r>
      <w:r w:rsidRPr="00EA4B16">
        <w:rPr>
          <w:rFonts w:ascii="Times New Roman" w:hAnsi="Times New Roman" w:cs="Times New Roman"/>
        </w:rPr>
        <w:t>level</w:t>
      </w:r>
      <w:r w:rsidRPr="00817750">
        <w:rPr>
          <w:rFonts w:ascii="Times New Roman" w:hAnsi="Times New Roman" w:cs="Times New Roman"/>
        </w:rPr>
        <w:t xml:space="preserve">, </w:t>
      </w:r>
      <w:r w:rsidRPr="00EA4B16">
        <w:rPr>
          <w:rFonts w:ascii="Times New Roman" w:hAnsi="Times New Roman" w:cs="Times New Roman"/>
        </w:rPr>
        <w:t>for the good management of the IP rights system</w:t>
      </w:r>
      <w:r w:rsidR="00996AAB" w:rsidRPr="00817750">
        <w:rPr>
          <w:rFonts w:ascii="Times New Roman" w:hAnsi="Times New Roman" w:cs="Times New Roman"/>
        </w:rPr>
        <w:t>,</w:t>
      </w:r>
      <w:r w:rsidRPr="00EA4B16">
        <w:rPr>
          <w:rFonts w:ascii="Times New Roman" w:hAnsi="Times New Roman" w:cs="Times New Roman"/>
        </w:rPr>
        <w:t xml:space="preserve"> and </w:t>
      </w:r>
      <w:r w:rsidRPr="00817750">
        <w:rPr>
          <w:rFonts w:ascii="Times New Roman" w:hAnsi="Times New Roman" w:cs="Times New Roman"/>
        </w:rPr>
        <w:t>to take</w:t>
      </w:r>
      <w:r w:rsidRPr="00EA4B16">
        <w:rPr>
          <w:rFonts w:ascii="Times New Roman" w:hAnsi="Times New Roman" w:cs="Times New Roman"/>
        </w:rPr>
        <w:t xml:space="preserve"> account </w:t>
      </w:r>
      <w:r w:rsidRPr="00817750">
        <w:rPr>
          <w:rFonts w:ascii="Times New Roman" w:hAnsi="Times New Roman" w:cs="Times New Roman"/>
        </w:rPr>
        <w:t xml:space="preserve">of </w:t>
      </w:r>
      <w:r w:rsidRPr="00EA4B16">
        <w:rPr>
          <w:rFonts w:ascii="Times New Roman" w:hAnsi="Times New Roman" w:cs="Times New Roman"/>
        </w:rPr>
        <w:t xml:space="preserve">the operational circumstances of </w:t>
      </w:r>
      <w:r w:rsidRPr="00817750">
        <w:rPr>
          <w:rFonts w:ascii="Times New Roman" w:hAnsi="Times New Roman" w:cs="Times New Roman"/>
        </w:rPr>
        <w:t>IP Australia</w:t>
      </w:r>
      <w:r w:rsidRPr="00EA4B16">
        <w:rPr>
          <w:rFonts w:ascii="Times New Roman" w:hAnsi="Times New Roman" w:cs="Times New Roman"/>
        </w:rPr>
        <w:t xml:space="preserve">. </w:t>
      </w:r>
      <w:r w:rsidR="00334840" w:rsidRPr="00817750">
        <w:rPr>
          <w:rFonts w:ascii="Times New Roman" w:hAnsi="Times New Roman" w:cs="Times New Roman"/>
        </w:rPr>
        <w:t xml:space="preserve">Limiting </w:t>
      </w:r>
      <w:r w:rsidRPr="00EA4B16">
        <w:rPr>
          <w:rFonts w:ascii="Times New Roman" w:hAnsi="Times New Roman" w:cs="Times New Roman"/>
        </w:rPr>
        <w:t xml:space="preserve">delegation </w:t>
      </w:r>
      <w:r w:rsidR="00334840" w:rsidRPr="00817750">
        <w:rPr>
          <w:rFonts w:ascii="Times New Roman" w:hAnsi="Times New Roman" w:cs="Times New Roman"/>
        </w:rPr>
        <w:t xml:space="preserve">for the specific powers </w:t>
      </w:r>
      <w:r w:rsidRPr="00EA4B16">
        <w:rPr>
          <w:rFonts w:ascii="Times New Roman" w:hAnsi="Times New Roman" w:cs="Times New Roman"/>
        </w:rPr>
        <w:t>to EL1 staff and above is an appropriate safeguard to ensure that the powers would only be exercise</w:t>
      </w:r>
      <w:r w:rsidR="00334840" w:rsidRPr="00817750">
        <w:rPr>
          <w:rFonts w:ascii="Times New Roman" w:hAnsi="Times New Roman" w:cs="Times New Roman"/>
        </w:rPr>
        <w:t>d by those who are competent to do so</w:t>
      </w:r>
      <w:r w:rsidRPr="00EA4B16">
        <w:rPr>
          <w:rFonts w:ascii="Times New Roman" w:hAnsi="Times New Roman" w:cs="Times New Roman"/>
        </w:rPr>
        <w:t>.</w:t>
      </w:r>
    </w:p>
    <w:p w14:paraId="5BA515A1" w14:textId="3687051B" w:rsidR="00EA4B16" w:rsidRPr="00EA4B16" w:rsidRDefault="00EA4B16" w:rsidP="00EA4B16">
      <w:pPr>
        <w:spacing w:before="240"/>
        <w:rPr>
          <w:rFonts w:ascii="Times New Roman" w:hAnsi="Times New Roman" w:cs="Times New Roman"/>
        </w:rPr>
      </w:pPr>
      <w:r w:rsidRPr="00EA4B16">
        <w:rPr>
          <w:rFonts w:ascii="Times New Roman" w:hAnsi="Times New Roman" w:cs="Times New Roman"/>
        </w:rPr>
        <w:t xml:space="preserve">Under the Patents Act and the Designs Act, the statutory offices of Deputy Commissioner of Patents (“Deputy Commissioner”) and Deputy Registrar of Designs (“Deputy Registrar”) have all the powers and functions of the Commissioner and Registrar, respectively, except the powers of delegation. These roles are already undertaken by EL2 employees, and </w:t>
      </w:r>
      <w:r w:rsidR="00334840" w:rsidRPr="00817750">
        <w:rPr>
          <w:rFonts w:ascii="Times New Roman" w:hAnsi="Times New Roman" w:cs="Times New Roman"/>
        </w:rPr>
        <w:t>so</w:t>
      </w:r>
      <w:r w:rsidRPr="00EA4B16">
        <w:rPr>
          <w:rFonts w:ascii="Times New Roman" w:hAnsi="Times New Roman" w:cs="Times New Roman"/>
        </w:rPr>
        <w:t xml:space="preserve"> IP</w:t>
      </w:r>
      <w:r w:rsidR="00334840" w:rsidRPr="00817750">
        <w:rPr>
          <w:rFonts w:ascii="Times New Roman" w:hAnsi="Times New Roman" w:cs="Times New Roman"/>
        </w:rPr>
        <w:t> </w:t>
      </w:r>
      <w:r w:rsidRPr="00EA4B16">
        <w:rPr>
          <w:rFonts w:ascii="Times New Roman" w:hAnsi="Times New Roman" w:cs="Times New Roman"/>
        </w:rPr>
        <w:t xml:space="preserve">Australia already has a small number of EL2 staff who can exercise the specific powers. As such, restricting delegation of the specific powers to members of the SES could have no practical effect. Further, as noted above, the staff who </w:t>
      </w:r>
      <w:r w:rsidRPr="00EA4B16">
        <w:rPr>
          <w:rFonts w:ascii="Times New Roman" w:hAnsi="Times New Roman" w:cs="Times New Roman"/>
        </w:rPr>
        <w:lastRenderedPageBreak/>
        <w:t>have the technical expertise to determine whether the specific powers should be exercised are typically staff at the EL1 or EL2 level</w:t>
      </w:r>
      <w:r w:rsidR="00375150">
        <w:rPr>
          <w:rFonts w:ascii="Times New Roman" w:hAnsi="Times New Roman" w:cs="Times New Roman"/>
        </w:rPr>
        <w:t>, but</w:t>
      </w:r>
      <w:r w:rsidRPr="00EA4B16">
        <w:rPr>
          <w:rFonts w:ascii="Times New Roman" w:hAnsi="Times New Roman" w:cs="Times New Roman"/>
        </w:rPr>
        <w:t xml:space="preserve"> who are not Deputy Commissioners or Deputy Registrars. </w:t>
      </w:r>
    </w:p>
    <w:p w14:paraId="0893E794" w14:textId="7A0C279B" w:rsidR="00EA4B16" w:rsidRPr="00EA4B16" w:rsidRDefault="00EA4B16" w:rsidP="00EA4B16">
      <w:pPr>
        <w:spacing w:before="240"/>
        <w:rPr>
          <w:rFonts w:ascii="Times New Roman" w:hAnsi="Times New Roman" w:cs="Times New Roman"/>
        </w:rPr>
      </w:pPr>
      <w:r w:rsidRPr="00EA4B16">
        <w:rPr>
          <w:rFonts w:ascii="Times New Roman" w:hAnsi="Times New Roman" w:cs="Times New Roman"/>
        </w:rPr>
        <w:t xml:space="preserve">Section 209(1) of the Patents Act provides that the Commissioner may delegate all or any of her powers under the Act to a prescribed employee by an instrument. An equivalent provision exists in section 124(1) of the Designs Act. There is no limitation in subsection 209(1) of the Patents Act or in subsection 124(1) of the Designs Act as to the level of employee to whom any of the powers can be delegated: provided only that the employees are prescribed in regulation. This suggests that in both instances </w:t>
      </w:r>
      <w:r w:rsidR="00375150">
        <w:rPr>
          <w:rFonts w:ascii="Times New Roman" w:hAnsi="Times New Roman" w:cs="Times New Roman"/>
        </w:rPr>
        <w:t>the Australian</w:t>
      </w:r>
      <w:r w:rsidR="00996AAB" w:rsidRPr="00817750">
        <w:rPr>
          <w:rFonts w:ascii="Times New Roman" w:hAnsi="Times New Roman" w:cs="Times New Roman"/>
        </w:rPr>
        <w:t xml:space="preserve"> </w:t>
      </w:r>
      <w:r w:rsidRPr="00EA4B16">
        <w:rPr>
          <w:rFonts w:ascii="Times New Roman" w:hAnsi="Times New Roman" w:cs="Times New Roman"/>
        </w:rPr>
        <w:t>Parliament inten</w:t>
      </w:r>
      <w:r w:rsidR="00375150">
        <w:rPr>
          <w:rFonts w:ascii="Times New Roman" w:hAnsi="Times New Roman" w:cs="Times New Roman"/>
        </w:rPr>
        <w:t>ded</w:t>
      </w:r>
      <w:r w:rsidRPr="00EA4B16">
        <w:rPr>
          <w:rFonts w:ascii="Times New Roman" w:hAnsi="Times New Roman" w:cs="Times New Roman"/>
        </w:rPr>
        <w:t xml:space="preserve"> to provide</w:t>
      </w:r>
      <w:r w:rsidR="00996AAB" w:rsidRPr="00817750">
        <w:rPr>
          <w:rFonts w:ascii="Times New Roman" w:hAnsi="Times New Roman" w:cs="Times New Roman"/>
        </w:rPr>
        <w:t xml:space="preserve"> </w:t>
      </w:r>
      <w:r w:rsidRPr="00EA4B16">
        <w:rPr>
          <w:rFonts w:ascii="Times New Roman" w:hAnsi="Times New Roman" w:cs="Times New Roman"/>
        </w:rPr>
        <w:t>—</w:t>
      </w:r>
      <w:r w:rsidR="00996AAB" w:rsidRPr="00817750">
        <w:rPr>
          <w:rFonts w:ascii="Times New Roman" w:hAnsi="Times New Roman" w:cs="Times New Roman"/>
        </w:rPr>
        <w:t xml:space="preserve"> </w:t>
      </w:r>
      <w:r w:rsidRPr="00EA4B16">
        <w:rPr>
          <w:rFonts w:ascii="Times New Roman" w:hAnsi="Times New Roman" w:cs="Times New Roman"/>
        </w:rPr>
        <w:t>subject to regulations prescribing the appropriate levels of employee</w:t>
      </w:r>
      <w:r w:rsidR="00996AAB" w:rsidRPr="00817750">
        <w:rPr>
          <w:rFonts w:ascii="Times New Roman" w:hAnsi="Times New Roman" w:cs="Times New Roman"/>
        </w:rPr>
        <w:t xml:space="preserve"> </w:t>
      </w:r>
      <w:r w:rsidRPr="00EA4B16">
        <w:rPr>
          <w:rFonts w:ascii="Times New Roman" w:hAnsi="Times New Roman" w:cs="Times New Roman"/>
        </w:rPr>
        <w:t>—</w:t>
      </w:r>
      <w:r w:rsidR="00996AAB" w:rsidRPr="00817750">
        <w:rPr>
          <w:rFonts w:ascii="Times New Roman" w:hAnsi="Times New Roman" w:cs="Times New Roman"/>
        </w:rPr>
        <w:t xml:space="preserve"> </w:t>
      </w:r>
      <w:r w:rsidRPr="00EA4B16">
        <w:rPr>
          <w:rFonts w:ascii="Times New Roman" w:hAnsi="Times New Roman" w:cs="Times New Roman"/>
        </w:rPr>
        <w:t>the Commissioner and the Registrar with the flexibility to delegate any of their powers to an appropriate employee at any classification level, rather than to employees in the SES only.</w:t>
      </w:r>
    </w:p>
    <w:p w14:paraId="2D27E113" w14:textId="090236F3" w:rsidR="00EA4B16" w:rsidRPr="00817750" w:rsidRDefault="00EA4B16" w:rsidP="00EA4B16">
      <w:pPr>
        <w:spacing w:before="240"/>
        <w:rPr>
          <w:rFonts w:ascii="Times New Roman" w:hAnsi="Times New Roman" w:cs="Times New Roman"/>
        </w:rPr>
      </w:pPr>
      <w:r w:rsidRPr="00817750">
        <w:rPr>
          <w:rFonts w:ascii="Times New Roman" w:hAnsi="Times New Roman" w:cs="Times New Roman"/>
        </w:rPr>
        <w:t>Flexibility to delegate powers when administering IP Rights is appropriate and necessary because IP Australia is a large agency dealing with a large volume of IP rights</w:t>
      </w:r>
      <w:r w:rsidR="00375150">
        <w:rPr>
          <w:rFonts w:ascii="Times New Roman" w:hAnsi="Times New Roman" w:cs="Times New Roman"/>
        </w:rPr>
        <w:t>,</w:t>
      </w:r>
      <w:r w:rsidRPr="00817750">
        <w:rPr>
          <w:rFonts w:ascii="Times New Roman" w:hAnsi="Times New Roman" w:cs="Times New Roman"/>
        </w:rPr>
        <w:t xml:space="preserve"> but with a small SES cohort (10</w:t>
      </w:r>
      <w:r w:rsidR="00557E43">
        <w:rPr>
          <w:rFonts w:ascii="Times New Roman" w:hAnsi="Times New Roman" w:cs="Times New Roman"/>
        </w:rPr>
        <w:t> </w:t>
      </w:r>
      <w:r w:rsidRPr="00817750">
        <w:rPr>
          <w:rFonts w:ascii="Times New Roman" w:hAnsi="Times New Roman" w:cs="Times New Roman"/>
        </w:rPr>
        <w:t xml:space="preserve">SES officers for over 1000 </w:t>
      </w:r>
      <w:r w:rsidR="00557E43">
        <w:rPr>
          <w:rFonts w:ascii="Times New Roman" w:hAnsi="Times New Roman" w:cs="Times New Roman"/>
        </w:rPr>
        <w:t xml:space="preserve">staff at the </w:t>
      </w:r>
      <w:r w:rsidRPr="00817750">
        <w:rPr>
          <w:rFonts w:ascii="Times New Roman" w:hAnsi="Times New Roman" w:cs="Times New Roman"/>
        </w:rPr>
        <w:t>APS and EL</w:t>
      </w:r>
      <w:r w:rsidR="00557E43">
        <w:rPr>
          <w:rFonts w:ascii="Times New Roman" w:hAnsi="Times New Roman" w:cs="Times New Roman"/>
        </w:rPr>
        <w:t xml:space="preserve"> levels</w:t>
      </w:r>
      <w:r w:rsidRPr="00817750">
        <w:rPr>
          <w:rFonts w:ascii="Times New Roman" w:hAnsi="Times New Roman" w:cs="Times New Roman"/>
        </w:rPr>
        <w:t xml:space="preserve">). </w:t>
      </w:r>
      <w:r w:rsidR="00996AAB" w:rsidRPr="00817750">
        <w:rPr>
          <w:rFonts w:ascii="Times New Roman" w:hAnsi="Times New Roman" w:cs="Times New Roman"/>
        </w:rPr>
        <w:t>To ensure that the large volume of IP</w:t>
      </w:r>
      <w:r w:rsidR="00557E43">
        <w:rPr>
          <w:rFonts w:ascii="Times New Roman" w:hAnsi="Times New Roman" w:cs="Times New Roman"/>
        </w:rPr>
        <w:t> </w:t>
      </w:r>
      <w:r w:rsidR="00996AAB" w:rsidRPr="00817750">
        <w:rPr>
          <w:rFonts w:ascii="Times New Roman" w:hAnsi="Times New Roman" w:cs="Times New Roman"/>
        </w:rPr>
        <w:t xml:space="preserve">rights can be processed expeditiously, </w:t>
      </w:r>
      <w:r w:rsidR="00AC7AA8">
        <w:rPr>
          <w:rFonts w:ascii="Times New Roman" w:hAnsi="Times New Roman" w:cs="Times New Roman"/>
        </w:rPr>
        <w:t xml:space="preserve">the general </w:t>
      </w:r>
      <w:r w:rsidRPr="00817750">
        <w:rPr>
          <w:rFonts w:ascii="Times New Roman" w:hAnsi="Times New Roman" w:cs="Times New Roman"/>
        </w:rPr>
        <w:t xml:space="preserve">powers </w:t>
      </w:r>
      <w:r w:rsidR="00AC7AA8">
        <w:rPr>
          <w:rFonts w:ascii="Times New Roman" w:hAnsi="Times New Roman" w:cs="Times New Roman"/>
        </w:rPr>
        <w:t xml:space="preserve">and functions </w:t>
      </w:r>
      <w:r w:rsidRPr="00817750">
        <w:rPr>
          <w:rFonts w:ascii="Times New Roman" w:hAnsi="Times New Roman" w:cs="Times New Roman"/>
        </w:rPr>
        <w:t xml:space="preserve">of the Commissioner and Registrar </w:t>
      </w:r>
      <w:r w:rsidR="00AC7AA8">
        <w:rPr>
          <w:rFonts w:ascii="Times New Roman" w:hAnsi="Times New Roman" w:cs="Times New Roman"/>
        </w:rPr>
        <w:t xml:space="preserve">— </w:t>
      </w:r>
      <w:r w:rsidR="00AC7AA8" w:rsidRPr="00AC7AA8">
        <w:rPr>
          <w:rFonts w:ascii="Times New Roman" w:hAnsi="Times New Roman" w:cs="Times New Roman"/>
        </w:rPr>
        <w:t xml:space="preserve">those </w:t>
      </w:r>
      <w:r w:rsidRPr="00AC7AA8">
        <w:rPr>
          <w:rFonts w:ascii="Times New Roman" w:hAnsi="Times New Roman" w:cs="Times New Roman"/>
        </w:rPr>
        <w:t>other than the specific powers</w:t>
      </w:r>
      <w:r w:rsidR="00AC7AA8">
        <w:rPr>
          <w:rFonts w:ascii="Times New Roman" w:hAnsi="Times New Roman" w:cs="Times New Roman"/>
        </w:rPr>
        <w:t xml:space="preserve"> — could already</w:t>
      </w:r>
      <w:r w:rsidRPr="00817750">
        <w:rPr>
          <w:rFonts w:ascii="Times New Roman" w:hAnsi="Times New Roman" w:cs="Times New Roman"/>
        </w:rPr>
        <w:t xml:space="preserve"> be delegated to </w:t>
      </w:r>
      <w:r w:rsidR="00AC7AA8">
        <w:rPr>
          <w:rFonts w:ascii="Times New Roman" w:hAnsi="Times New Roman" w:cs="Times New Roman"/>
        </w:rPr>
        <w:t xml:space="preserve">APS and EL </w:t>
      </w:r>
      <w:r w:rsidRPr="00817750">
        <w:rPr>
          <w:rFonts w:ascii="Times New Roman" w:hAnsi="Times New Roman" w:cs="Times New Roman"/>
        </w:rPr>
        <w:t>employees of IP</w:t>
      </w:r>
      <w:r w:rsidR="00AC7AA8">
        <w:rPr>
          <w:rFonts w:ascii="Times New Roman" w:hAnsi="Times New Roman" w:cs="Times New Roman"/>
        </w:rPr>
        <w:t> </w:t>
      </w:r>
      <w:r w:rsidRPr="00817750">
        <w:rPr>
          <w:rFonts w:ascii="Times New Roman" w:hAnsi="Times New Roman" w:cs="Times New Roman"/>
        </w:rPr>
        <w:t>Australia</w:t>
      </w:r>
      <w:r w:rsidR="00AC7AA8">
        <w:rPr>
          <w:rFonts w:ascii="Times New Roman" w:hAnsi="Times New Roman" w:cs="Times New Roman"/>
        </w:rPr>
        <w:t xml:space="preserve">. This was provided in </w:t>
      </w:r>
      <w:r w:rsidR="00865EBF">
        <w:rPr>
          <w:rFonts w:ascii="Times New Roman" w:hAnsi="Times New Roman" w:cs="Times New Roman"/>
        </w:rPr>
        <w:t xml:space="preserve">what were </w:t>
      </w:r>
      <w:r w:rsidR="00996AAB" w:rsidRPr="00817750">
        <w:rPr>
          <w:rFonts w:ascii="Times New Roman" w:hAnsi="Times New Roman" w:cs="Times New Roman"/>
        </w:rPr>
        <w:t>regulation 21.2 of the Patents Regulations</w:t>
      </w:r>
      <w:r w:rsidR="00AC7AA8">
        <w:rPr>
          <w:rFonts w:ascii="Times New Roman" w:hAnsi="Times New Roman" w:cs="Times New Roman"/>
        </w:rPr>
        <w:t xml:space="preserve"> and </w:t>
      </w:r>
      <w:r w:rsidR="00996AAB" w:rsidRPr="00817750">
        <w:rPr>
          <w:rFonts w:ascii="Times New Roman" w:hAnsi="Times New Roman" w:cs="Times New Roman"/>
        </w:rPr>
        <w:t>paragraph 10.01(a) of the Designs Regulations</w:t>
      </w:r>
      <w:r w:rsidR="00865EBF">
        <w:rPr>
          <w:rFonts w:ascii="Times New Roman" w:hAnsi="Times New Roman" w:cs="Times New Roman"/>
        </w:rPr>
        <w:t>, before the amendments made by this part</w:t>
      </w:r>
      <w:r w:rsidR="00996AAB" w:rsidRPr="00817750">
        <w:rPr>
          <w:rFonts w:ascii="Times New Roman" w:hAnsi="Times New Roman" w:cs="Times New Roman"/>
        </w:rPr>
        <w:t>.</w:t>
      </w:r>
    </w:p>
    <w:p w14:paraId="6DF2543D" w14:textId="6B10594B" w:rsidR="007066C1" w:rsidRPr="007066C1" w:rsidRDefault="00324FCA" w:rsidP="007066C1">
      <w:pPr>
        <w:spacing w:before="240"/>
        <w:rPr>
          <w:rFonts w:ascii="Times New Roman" w:hAnsi="Times New Roman" w:cs="Times New Roman"/>
          <w:b/>
          <w:bCs/>
        </w:rPr>
      </w:pPr>
      <w:r>
        <w:rPr>
          <w:rFonts w:ascii="Times New Roman" w:hAnsi="Times New Roman" w:cs="Times New Roman"/>
          <w:b/>
          <w:bCs/>
        </w:rPr>
        <w:t>Safeguards to ensure delegates possess expertise appropriate to any delegated powers</w:t>
      </w:r>
    </w:p>
    <w:p w14:paraId="0496AD29" w14:textId="71EC348C" w:rsidR="00671F40" w:rsidRPr="00671F40" w:rsidRDefault="00671F40" w:rsidP="00671F40">
      <w:pPr>
        <w:spacing w:before="240"/>
        <w:rPr>
          <w:rFonts w:ascii="Times New Roman" w:hAnsi="Times New Roman" w:cs="Times New Roman"/>
        </w:rPr>
      </w:pPr>
      <w:r w:rsidRPr="00817750">
        <w:rPr>
          <w:rFonts w:ascii="Times New Roman" w:hAnsi="Times New Roman" w:cs="Times New Roman"/>
        </w:rPr>
        <w:t>T</w:t>
      </w:r>
      <w:r w:rsidRPr="00671F40">
        <w:rPr>
          <w:rFonts w:ascii="Times New Roman" w:hAnsi="Times New Roman" w:cs="Times New Roman"/>
        </w:rPr>
        <w:t xml:space="preserve">he processes in place in </w:t>
      </w:r>
      <w:r w:rsidRPr="00817750">
        <w:rPr>
          <w:rFonts w:ascii="Times New Roman" w:hAnsi="Times New Roman" w:cs="Times New Roman"/>
        </w:rPr>
        <w:t>IP Australia</w:t>
      </w:r>
      <w:r w:rsidRPr="00671F40">
        <w:rPr>
          <w:rFonts w:ascii="Times New Roman" w:hAnsi="Times New Roman" w:cs="Times New Roman"/>
        </w:rPr>
        <w:t xml:space="preserve"> are </w:t>
      </w:r>
      <w:proofErr w:type="gramStart"/>
      <w:r w:rsidRPr="00671F40">
        <w:rPr>
          <w:rFonts w:ascii="Times New Roman" w:hAnsi="Times New Roman" w:cs="Times New Roman"/>
        </w:rPr>
        <w:t>sufficient</w:t>
      </w:r>
      <w:proofErr w:type="gramEnd"/>
      <w:r w:rsidRPr="00671F40">
        <w:rPr>
          <w:rFonts w:ascii="Times New Roman" w:hAnsi="Times New Roman" w:cs="Times New Roman"/>
        </w:rPr>
        <w:t xml:space="preserve"> to ensure that the specific powers would only be delegated to individuals </w:t>
      </w:r>
      <w:r w:rsidRPr="00817750">
        <w:rPr>
          <w:rFonts w:ascii="Times New Roman" w:hAnsi="Times New Roman" w:cs="Times New Roman"/>
        </w:rPr>
        <w:t>who are competent</w:t>
      </w:r>
      <w:r w:rsidRPr="00671F40">
        <w:rPr>
          <w:rFonts w:ascii="Times New Roman" w:hAnsi="Times New Roman" w:cs="Times New Roman"/>
        </w:rPr>
        <w:t xml:space="preserve"> to exercise them. The delegation of the specific powers would only be to EL staff</w:t>
      </w:r>
      <w:r w:rsidRPr="00817750">
        <w:rPr>
          <w:rFonts w:ascii="Times New Roman" w:hAnsi="Times New Roman" w:cs="Times New Roman"/>
        </w:rPr>
        <w:t xml:space="preserve"> with</w:t>
      </w:r>
      <w:r w:rsidRPr="00671F40">
        <w:rPr>
          <w:rFonts w:ascii="Times New Roman" w:hAnsi="Times New Roman" w:cs="Times New Roman"/>
        </w:rPr>
        <w:t xml:space="preserve"> relevant expertise, and who occupy specifi</w:t>
      </w:r>
      <w:r w:rsidRPr="00817750">
        <w:rPr>
          <w:rFonts w:ascii="Times New Roman" w:hAnsi="Times New Roman" w:cs="Times New Roman"/>
        </w:rPr>
        <w:t>ed</w:t>
      </w:r>
      <w:r w:rsidRPr="00671F40">
        <w:rPr>
          <w:rFonts w:ascii="Times New Roman" w:hAnsi="Times New Roman" w:cs="Times New Roman"/>
        </w:rPr>
        <w:t xml:space="preserve"> position numbers in the IP Australia hearings and oppositions teams. These position numbers would be specified in the instrument of delegation. Staff would only occupy these positions following a careful merit-based recruitment process according </w:t>
      </w:r>
      <w:r w:rsidR="00557E43">
        <w:rPr>
          <w:rFonts w:ascii="Times New Roman" w:hAnsi="Times New Roman" w:cs="Times New Roman"/>
        </w:rPr>
        <w:t>with</w:t>
      </w:r>
      <w:r w:rsidRPr="00671F40">
        <w:rPr>
          <w:rFonts w:ascii="Times New Roman" w:hAnsi="Times New Roman" w:cs="Times New Roman"/>
        </w:rPr>
        <w:t xml:space="preserve"> the </w:t>
      </w:r>
      <w:r w:rsidRPr="00671F40">
        <w:rPr>
          <w:rFonts w:ascii="Times New Roman" w:hAnsi="Times New Roman" w:cs="Times New Roman"/>
          <w:i/>
          <w:iCs/>
        </w:rPr>
        <w:t>Public Service Act</w:t>
      </w:r>
      <w:r w:rsidRPr="00671F40">
        <w:rPr>
          <w:rFonts w:ascii="Times New Roman" w:hAnsi="Times New Roman" w:cs="Times New Roman"/>
        </w:rPr>
        <w:t xml:space="preserve"> </w:t>
      </w:r>
      <w:r w:rsidRPr="00671F40">
        <w:rPr>
          <w:rFonts w:ascii="Times New Roman" w:hAnsi="Times New Roman" w:cs="Times New Roman"/>
          <w:i/>
          <w:iCs/>
        </w:rPr>
        <w:t xml:space="preserve">1999 </w:t>
      </w:r>
      <w:r w:rsidRPr="00671F40">
        <w:rPr>
          <w:rFonts w:ascii="Times New Roman" w:hAnsi="Times New Roman" w:cs="Times New Roman"/>
        </w:rPr>
        <w:t>(</w:t>
      </w:r>
      <w:r w:rsidRPr="00817750">
        <w:rPr>
          <w:rFonts w:ascii="Times New Roman" w:hAnsi="Times New Roman" w:cs="Times New Roman"/>
        </w:rPr>
        <w:t>“</w:t>
      </w:r>
      <w:r w:rsidRPr="00671F40">
        <w:rPr>
          <w:rFonts w:ascii="Times New Roman" w:hAnsi="Times New Roman" w:cs="Times New Roman"/>
        </w:rPr>
        <w:t>Public Service Act</w:t>
      </w:r>
      <w:r w:rsidRPr="00817750">
        <w:rPr>
          <w:rFonts w:ascii="Times New Roman" w:hAnsi="Times New Roman" w:cs="Times New Roman"/>
        </w:rPr>
        <w:t>”</w:t>
      </w:r>
      <w:r w:rsidRPr="00671F40">
        <w:rPr>
          <w:rFonts w:ascii="Times New Roman" w:hAnsi="Times New Roman" w:cs="Times New Roman"/>
        </w:rPr>
        <w:t xml:space="preserve">), which would ensure that only suitably experienced and qualified persons would exercise those delegated powers. Should staff change positions, they could no longer exercise the delegated powers. </w:t>
      </w:r>
    </w:p>
    <w:p w14:paraId="237DC142" w14:textId="3F585733" w:rsidR="00EC4425" w:rsidRPr="00817750" w:rsidRDefault="00671F40" w:rsidP="00671F40">
      <w:pPr>
        <w:spacing w:before="240"/>
        <w:rPr>
          <w:rFonts w:ascii="Times New Roman" w:hAnsi="Times New Roman" w:cs="Times New Roman"/>
        </w:rPr>
      </w:pPr>
      <w:r w:rsidRPr="00671F40">
        <w:rPr>
          <w:rFonts w:ascii="Times New Roman" w:hAnsi="Times New Roman" w:cs="Times New Roman"/>
        </w:rPr>
        <w:t>For some while, the statutory offices of the Commissioner, the Registrar of Designs</w:t>
      </w:r>
      <w:r w:rsidR="00FF69BC">
        <w:rPr>
          <w:rFonts w:ascii="Times New Roman" w:hAnsi="Times New Roman" w:cs="Times New Roman"/>
        </w:rPr>
        <w:t>,</w:t>
      </w:r>
      <w:r w:rsidRPr="00671F40">
        <w:rPr>
          <w:rFonts w:ascii="Times New Roman" w:hAnsi="Times New Roman" w:cs="Times New Roman"/>
        </w:rPr>
        <w:t xml:space="preserve"> the Registrar of </w:t>
      </w:r>
      <w:proofErr w:type="gramStart"/>
      <w:r w:rsidRPr="00671F40">
        <w:rPr>
          <w:rFonts w:ascii="Times New Roman" w:hAnsi="Times New Roman" w:cs="Times New Roman"/>
        </w:rPr>
        <w:t>Trade Marks</w:t>
      </w:r>
      <w:proofErr w:type="gramEnd"/>
      <w:r w:rsidR="00FF69BC">
        <w:rPr>
          <w:rFonts w:ascii="Times New Roman" w:hAnsi="Times New Roman" w:cs="Times New Roman"/>
        </w:rPr>
        <w:t xml:space="preserve"> and the Registrar of Plant Breeder’s Rights</w:t>
      </w:r>
      <w:r w:rsidRPr="00671F40">
        <w:rPr>
          <w:rFonts w:ascii="Times New Roman" w:hAnsi="Times New Roman" w:cs="Times New Roman"/>
        </w:rPr>
        <w:t xml:space="preserve"> have been assigned to an SES Band 2 position</w:t>
      </w:r>
      <w:r w:rsidR="00EC4425" w:rsidRPr="00817750">
        <w:rPr>
          <w:rFonts w:ascii="Times New Roman" w:hAnsi="Times New Roman" w:cs="Times New Roman"/>
        </w:rPr>
        <w:t xml:space="preserve"> in IP Australia</w:t>
      </w:r>
      <w:r w:rsidRPr="00671F40">
        <w:rPr>
          <w:rFonts w:ascii="Times New Roman" w:hAnsi="Times New Roman" w:cs="Times New Roman"/>
        </w:rPr>
        <w:t xml:space="preserve">. The occupant of this position has considerable experience </w:t>
      </w:r>
      <w:r w:rsidR="006E6D5A" w:rsidRPr="00817750">
        <w:rPr>
          <w:rFonts w:ascii="Times New Roman" w:hAnsi="Times New Roman" w:cs="Times New Roman"/>
        </w:rPr>
        <w:t>in delegating</w:t>
      </w:r>
      <w:r w:rsidRPr="00671F40">
        <w:rPr>
          <w:rFonts w:ascii="Times New Roman" w:hAnsi="Times New Roman" w:cs="Times New Roman"/>
        </w:rPr>
        <w:t xml:space="preserve"> power</w:t>
      </w:r>
      <w:r w:rsidRPr="00817750">
        <w:rPr>
          <w:rFonts w:ascii="Times New Roman" w:hAnsi="Times New Roman" w:cs="Times New Roman"/>
        </w:rPr>
        <w:t>s and functions</w:t>
      </w:r>
      <w:r w:rsidRPr="00671F40">
        <w:rPr>
          <w:rFonts w:ascii="Times New Roman" w:hAnsi="Times New Roman" w:cs="Times New Roman"/>
        </w:rPr>
        <w:t xml:space="preserve"> </w:t>
      </w:r>
      <w:r w:rsidR="00EC4425" w:rsidRPr="00817750">
        <w:rPr>
          <w:rFonts w:ascii="Times New Roman" w:hAnsi="Times New Roman" w:cs="Times New Roman"/>
        </w:rPr>
        <w:t xml:space="preserve">under the </w:t>
      </w:r>
      <w:r w:rsidR="00EC4425" w:rsidRPr="00671F40">
        <w:rPr>
          <w:rFonts w:ascii="Times New Roman" w:hAnsi="Times New Roman" w:cs="Times New Roman"/>
        </w:rPr>
        <w:t>Patents</w:t>
      </w:r>
      <w:r w:rsidR="00EC4425" w:rsidRPr="00817750">
        <w:rPr>
          <w:rFonts w:ascii="Times New Roman" w:hAnsi="Times New Roman" w:cs="Times New Roman"/>
        </w:rPr>
        <w:t xml:space="preserve"> Act</w:t>
      </w:r>
      <w:r w:rsidR="00EC4425" w:rsidRPr="00671F40">
        <w:rPr>
          <w:rFonts w:ascii="Times New Roman" w:hAnsi="Times New Roman" w:cs="Times New Roman"/>
        </w:rPr>
        <w:t xml:space="preserve">, </w:t>
      </w:r>
      <w:r w:rsidR="00EC4425" w:rsidRPr="00817750">
        <w:rPr>
          <w:rFonts w:ascii="Times New Roman" w:hAnsi="Times New Roman" w:cs="Times New Roman"/>
        </w:rPr>
        <w:t xml:space="preserve">the </w:t>
      </w:r>
      <w:r w:rsidR="00EC4425" w:rsidRPr="00671F40">
        <w:rPr>
          <w:rFonts w:ascii="Times New Roman" w:hAnsi="Times New Roman" w:cs="Times New Roman"/>
        </w:rPr>
        <w:t xml:space="preserve">Designs </w:t>
      </w:r>
      <w:r w:rsidR="00EC4425" w:rsidRPr="00817750">
        <w:rPr>
          <w:rFonts w:ascii="Times New Roman" w:hAnsi="Times New Roman" w:cs="Times New Roman"/>
        </w:rPr>
        <w:t xml:space="preserve">Act, the </w:t>
      </w:r>
      <w:proofErr w:type="gramStart"/>
      <w:r w:rsidR="00EC4425" w:rsidRPr="00671F40">
        <w:rPr>
          <w:rFonts w:ascii="Times New Roman" w:hAnsi="Times New Roman" w:cs="Times New Roman"/>
          <w:i/>
          <w:iCs/>
        </w:rPr>
        <w:t>Trade Marks</w:t>
      </w:r>
      <w:proofErr w:type="gramEnd"/>
      <w:r w:rsidR="00EC4425" w:rsidRPr="00671F40">
        <w:rPr>
          <w:rFonts w:ascii="Times New Roman" w:hAnsi="Times New Roman" w:cs="Times New Roman"/>
          <w:i/>
          <w:iCs/>
        </w:rPr>
        <w:t xml:space="preserve"> Act 1995</w:t>
      </w:r>
      <w:r w:rsidR="00EC4425" w:rsidRPr="00671F40">
        <w:rPr>
          <w:rFonts w:ascii="Times New Roman" w:hAnsi="Times New Roman" w:cs="Times New Roman"/>
        </w:rPr>
        <w:t xml:space="preserve"> (“Trade Marks Act”), and </w:t>
      </w:r>
      <w:r w:rsidR="00EC4425" w:rsidRPr="00817750">
        <w:rPr>
          <w:rFonts w:ascii="Times New Roman" w:hAnsi="Times New Roman" w:cs="Times New Roman"/>
        </w:rPr>
        <w:t xml:space="preserve">the </w:t>
      </w:r>
      <w:r w:rsidR="00EC4425" w:rsidRPr="00671F40">
        <w:rPr>
          <w:rFonts w:ascii="Times New Roman" w:hAnsi="Times New Roman" w:cs="Times New Roman"/>
          <w:i/>
          <w:iCs/>
        </w:rPr>
        <w:t xml:space="preserve">Plant Breeders’ Rights </w:t>
      </w:r>
      <w:r w:rsidR="00EC4425" w:rsidRPr="00817750">
        <w:rPr>
          <w:rFonts w:ascii="Times New Roman" w:hAnsi="Times New Roman" w:cs="Times New Roman"/>
          <w:i/>
          <w:iCs/>
        </w:rPr>
        <w:t>Act 1994</w:t>
      </w:r>
      <w:r w:rsidR="00EC4425" w:rsidRPr="00817750">
        <w:rPr>
          <w:rFonts w:ascii="Times New Roman" w:hAnsi="Times New Roman" w:cs="Times New Roman"/>
        </w:rPr>
        <w:t>: collectively, “</w:t>
      </w:r>
      <w:r w:rsidR="00EC4425" w:rsidRPr="00671F40">
        <w:rPr>
          <w:rFonts w:ascii="Times New Roman" w:hAnsi="Times New Roman" w:cs="Times New Roman"/>
        </w:rPr>
        <w:t>the IP rights legislation</w:t>
      </w:r>
      <w:r w:rsidR="00EC4425" w:rsidRPr="00817750">
        <w:rPr>
          <w:rFonts w:ascii="Times New Roman" w:hAnsi="Times New Roman" w:cs="Times New Roman"/>
        </w:rPr>
        <w:t xml:space="preserve">”. These </w:t>
      </w:r>
      <w:r w:rsidR="00EC4425" w:rsidRPr="00671F40">
        <w:rPr>
          <w:rFonts w:ascii="Times New Roman" w:hAnsi="Times New Roman" w:cs="Times New Roman"/>
        </w:rPr>
        <w:t xml:space="preserve">powers </w:t>
      </w:r>
      <w:r w:rsidR="00EC4425" w:rsidRPr="00817750">
        <w:rPr>
          <w:rFonts w:ascii="Times New Roman" w:hAnsi="Times New Roman" w:cs="Times New Roman"/>
        </w:rPr>
        <w:t xml:space="preserve">and functions </w:t>
      </w:r>
      <w:r w:rsidR="00EC4425" w:rsidRPr="00671F40">
        <w:rPr>
          <w:rFonts w:ascii="Times New Roman" w:hAnsi="Times New Roman" w:cs="Times New Roman"/>
        </w:rPr>
        <w:t xml:space="preserve">are delegated </w:t>
      </w:r>
      <w:r w:rsidR="00EC4425" w:rsidRPr="00817750">
        <w:rPr>
          <w:rFonts w:ascii="Times New Roman" w:hAnsi="Times New Roman" w:cs="Times New Roman"/>
        </w:rPr>
        <w:t xml:space="preserve">appropriately </w:t>
      </w:r>
      <w:r w:rsidR="00EC4425" w:rsidRPr="00671F40">
        <w:rPr>
          <w:rFonts w:ascii="Times New Roman" w:hAnsi="Times New Roman" w:cs="Times New Roman"/>
        </w:rPr>
        <w:t>to hundreds of staff within IP Australia</w:t>
      </w:r>
      <w:r w:rsidR="005B37F5">
        <w:rPr>
          <w:rFonts w:ascii="Times New Roman" w:hAnsi="Times New Roman" w:cs="Times New Roman"/>
        </w:rPr>
        <w:t xml:space="preserve">. This is because </w:t>
      </w:r>
      <w:r w:rsidR="00EC4425" w:rsidRPr="00671F40">
        <w:rPr>
          <w:rFonts w:ascii="Times New Roman" w:hAnsi="Times New Roman" w:cs="Times New Roman"/>
        </w:rPr>
        <w:t>the Commissioner and Registrars have robust recruitment, training, governance and quality control procedures in place</w:t>
      </w:r>
      <w:r w:rsidR="005B37F5">
        <w:rPr>
          <w:rFonts w:ascii="Times New Roman" w:hAnsi="Times New Roman" w:cs="Times New Roman"/>
        </w:rPr>
        <w:t xml:space="preserve">, </w:t>
      </w:r>
      <w:proofErr w:type="gramStart"/>
      <w:r w:rsidR="005B37F5">
        <w:rPr>
          <w:rFonts w:ascii="Times New Roman" w:hAnsi="Times New Roman" w:cs="Times New Roman"/>
        </w:rPr>
        <w:t>so as</w:t>
      </w:r>
      <w:r w:rsidR="00EC4425" w:rsidRPr="00671F40">
        <w:rPr>
          <w:rFonts w:ascii="Times New Roman" w:hAnsi="Times New Roman" w:cs="Times New Roman"/>
        </w:rPr>
        <w:t xml:space="preserve"> to</w:t>
      </w:r>
      <w:proofErr w:type="gramEnd"/>
      <w:r w:rsidR="00EC4425" w:rsidRPr="00671F40">
        <w:rPr>
          <w:rFonts w:ascii="Times New Roman" w:hAnsi="Times New Roman" w:cs="Times New Roman"/>
        </w:rPr>
        <w:t xml:space="preserve"> ensure that </w:t>
      </w:r>
      <w:r w:rsidR="005B37F5" w:rsidRPr="00671F40">
        <w:rPr>
          <w:rFonts w:ascii="Times New Roman" w:hAnsi="Times New Roman" w:cs="Times New Roman"/>
        </w:rPr>
        <w:t xml:space="preserve">only suitably qualified and experienced persons </w:t>
      </w:r>
      <w:r w:rsidR="005B37F5">
        <w:rPr>
          <w:rFonts w:ascii="Times New Roman" w:hAnsi="Times New Roman" w:cs="Times New Roman"/>
        </w:rPr>
        <w:t xml:space="preserve">receive </w:t>
      </w:r>
      <w:r w:rsidR="00EC4425" w:rsidRPr="00671F40">
        <w:rPr>
          <w:rFonts w:ascii="Times New Roman" w:hAnsi="Times New Roman" w:cs="Times New Roman"/>
        </w:rPr>
        <w:t>delegations.</w:t>
      </w:r>
      <w:r w:rsidR="00EC4425" w:rsidRPr="00817750">
        <w:rPr>
          <w:rFonts w:ascii="Times New Roman" w:hAnsi="Times New Roman" w:cs="Times New Roman"/>
        </w:rPr>
        <w:t xml:space="preserve"> </w:t>
      </w:r>
    </w:p>
    <w:p w14:paraId="2A6BBFC5" w14:textId="399FB4E5" w:rsidR="00671F40" w:rsidRPr="00671F40" w:rsidRDefault="00FF69BC" w:rsidP="00671F40">
      <w:pPr>
        <w:spacing w:before="240"/>
        <w:rPr>
          <w:rFonts w:ascii="Times New Roman" w:hAnsi="Times New Roman" w:cs="Times New Roman"/>
        </w:rPr>
      </w:pPr>
      <w:r>
        <w:rPr>
          <w:rFonts w:ascii="Times New Roman" w:hAnsi="Times New Roman" w:cs="Times New Roman"/>
        </w:rPr>
        <w:t xml:space="preserve">It is not necessary that the Patents Regulations and Designs Regulations specifically state </w:t>
      </w:r>
      <w:r w:rsidR="006E6D5A" w:rsidRPr="00817750">
        <w:rPr>
          <w:rFonts w:ascii="Times New Roman" w:hAnsi="Times New Roman" w:cs="Times New Roman"/>
        </w:rPr>
        <w:t>that delegates must have appropriate expertise</w:t>
      </w:r>
      <w:r>
        <w:rPr>
          <w:rFonts w:ascii="Times New Roman" w:hAnsi="Times New Roman" w:cs="Times New Roman"/>
        </w:rPr>
        <w:t xml:space="preserve"> to exercise a delegation</w:t>
      </w:r>
      <w:r w:rsidR="00671F40" w:rsidRPr="00671F40">
        <w:rPr>
          <w:rFonts w:ascii="Times New Roman" w:hAnsi="Times New Roman" w:cs="Times New Roman"/>
        </w:rPr>
        <w:t xml:space="preserve"> for the following reasons:</w:t>
      </w:r>
    </w:p>
    <w:p w14:paraId="02A8A44A" w14:textId="0F01A248" w:rsidR="00671F40" w:rsidRPr="00671F40" w:rsidRDefault="00817750" w:rsidP="00375150">
      <w:pPr>
        <w:numPr>
          <w:ilvl w:val="0"/>
          <w:numId w:val="1"/>
        </w:numPr>
        <w:rPr>
          <w:rFonts w:ascii="Times New Roman" w:hAnsi="Times New Roman" w:cs="Times New Roman"/>
        </w:rPr>
      </w:pPr>
      <w:r>
        <w:rPr>
          <w:rFonts w:ascii="Times New Roman" w:hAnsi="Times New Roman" w:cs="Times New Roman"/>
        </w:rPr>
        <w:t xml:space="preserve">It </w:t>
      </w:r>
      <w:r w:rsidRPr="00817750">
        <w:rPr>
          <w:rFonts w:ascii="Times New Roman" w:hAnsi="Times New Roman" w:cs="Times New Roman"/>
        </w:rPr>
        <w:t xml:space="preserve">has always been </w:t>
      </w:r>
      <w:r w:rsidRPr="00671F40">
        <w:rPr>
          <w:rFonts w:ascii="Times New Roman" w:hAnsi="Times New Roman" w:cs="Times New Roman"/>
        </w:rPr>
        <w:t xml:space="preserve">considered self-evident </w:t>
      </w:r>
      <w:r>
        <w:rPr>
          <w:rFonts w:ascii="Times New Roman" w:hAnsi="Times New Roman" w:cs="Times New Roman"/>
        </w:rPr>
        <w:t xml:space="preserve">that </w:t>
      </w:r>
      <w:r w:rsidRPr="00671F40">
        <w:rPr>
          <w:rFonts w:ascii="Times New Roman" w:hAnsi="Times New Roman" w:cs="Times New Roman"/>
        </w:rPr>
        <w:t xml:space="preserve">a delegate must have appropriate expertise to exercise </w:t>
      </w:r>
      <w:r>
        <w:rPr>
          <w:rFonts w:ascii="Times New Roman" w:hAnsi="Times New Roman" w:cs="Times New Roman"/>
        </w:rPr>
        <w:t>any</w:t>
      </w:r>
      <w:r w:rsidRPr="00671F40">
        <w:rPr>
          <w:rFonts w:ascii="Times New Roman" w:hAnsi="Times New Roman" w:cs="Times New Roman"/>
        </w:rPr>
        <w:t xml:space="preserve"> delegated power </w:t>
      </w:r>
      <w:r>
        <w:rPr>
          <w:rFonts w:ascii="Times New Roman" w:hAnsi="Times New Roman" w:cs="Times New Roman"/>
        </w:rPr>
        <w:t>or</w:t>
      </w:r>
      <w:r w:rsidRPr="00671F40">
        <w:rPr>
          <w:rFonts w:ascii="Times New Roman" w:hAnsi="Times New Roman" w:cs="Times New Roman"/>
        </w:rPr>
        <w:t xml:space="preserve"> function</w:t>
      </w:r>
      <w:r>
        <w:rPr>
          <w:rFonts w:ascii="Times New Roman" w:hAnsi="Times New Roman" w:cs="Times New Roman"/>
        </w:rPr>
        <w:t>.</w:t>
      </w:r>
      <w:r w:rsidRPr="00817750">
        <w:rPr>
          <w:rFonts w:ascii="Times New Roman" w:hAnsi="Times New Roman" w:cs="Times New Roman"/>
        </w:rPr>
        <w:t xml:space="preserve"> </w:t>
      </w:r>
      <w:r>
        <w:rPr>
          <w:rFonts w:ascii="Times New Roman" w:hAnsi="Times New Roman" w:cs="Times New Roman"/>
        </w:rPr>
        <w:t>So</w:t>
      </w:r>
      <w:r w:rsidR="00557E43">
        <w:rPr>
          <w:rFonts w:ascii="Times New Roman" w:hAnsi="Times New Roman" w:cs="Times New Roman"/>
        </w:rPr>
        <w:t>,</w:t>
      </w:r>
      <w:r>
        <w:rPr>
          <w:rFonts w:ascii="Times New Roman" w:hAnsi="Times New Roman" w:cs="Times New Roman"/>
        </w:rPr>
        <w:t xml:space="preserve"> n</w:t>
      </w:r>
      <w:r w:rsidR="00671F40" w:rsidRPr="00671F40">
        <w:rPr>
          <w:rFonts w:ascii="Times New Roman" w:hAnsi="Times New Roman" w:cs="Times New Roman"/>
        </w:rPr>
        <w:t xml:space="preserve">one of the existing provisions </w:t>
      </w:r>
      <w:r w:rsidR="006E6D5A" w:rsidRPr="00671F40">
        <w:rPr>
          <w:rFonts w:ascii="Times New Roman" w:hAnsi="Times New Roman" w:cs="Times New Roman"/>
        </w:rPr>
        <w:t xml:space="preserve">in the IP rights legislation </w:t>
      </w:r>
      <w:r w:rsidR="00671F40" w:rsidRPr="00671F40">
        <w:rPr>
          <w:rFonts w:ascii="Times New Roman" w:hAnsi="Times New Roman" w:cs="Times New Roman"/>
        </w:rPr>
        <w:t xml:space="preserve">authorising delegation </w:t>
      </w:r>
      <w:r>
        <w:rPr>
          <w:rFonts w:ascii="Times New Roman" w:hAnsi="Times New Roman" w:cs="Times New Roman"/>
        </w:rPr>
        <w:t>set out such a principle</w:t>
      </w:r>
      <w:r w:rsidR="00671F40" w:rsidRPr="00671F40">
        <w:rPr>
          <w:rFonts w:ascii="Times New Roman" w:hAnsi="Times New Roman" w:cs="Times New Roman"/>
        </w:rPr>
        <w:t xml:space="preserve">. These provisions include those in the </w:t>
      </w:r>
      <w:proofErr w:type="gramStart"/>
      <w:r w:rsidR="00671F40" w:rsidRPr="00671F40">
        <w:rPr>
          <w:rFonts w:ascii="Times New Roman" w:hAnsi="Times New Roman" w:cs="Times New Roman"/>
        </w:rPr>
        <w:t>Trade Marks</w:t>
      </w:r>
      <w:proofErr w:type="gramEnd"/>
      <w:r w:rsidR="00671F40" w:rsidRPr="00671F40">
        <w:rPr>
          <w:rFonts w:ascii="Times New Roman" w:hAnsi="Times New Roman" w:cs="Times New Roman"/>
        </w:rPr>
        <w:t xml:space="preserve"> legislation permitting the delegation of all </w:t>
      </w:r>
      <w:r w:rsidR="00AC7AA8">
        <w:rPr>
          <w:rFonts w:ascii="Times New Roman" w:hAnsi="Times New Roman" w:cs="Times New Roman"/>
        </w:rPr>
        <w:t xml:space="preserve">of the Registrar’s </w:t>
      </w:r>
      <w:r w:rsidR="00671F40" w:rsidRPr="00671F40">
        <w:rPr>
          <w:rFonts w:ascii="Times New Roman" w:hAnsi="Times New Roman" w:cs="Times New Roman"/>
        </w:rPr>
        <w:t xml:space="preserve">powers, including the power to summon witnesses or </w:t>
      </w:r>
      <w:r w:rsidR="006E6D5A" w:rsidRPr="00817750">
        <w:rPr>
          <w:rFonts w:ascii="Times New Roman" w:hAnsi="Times New Roman" w:cs="Times New Roman"/>
        </w:rPr>
        <w:t xml:space="preserve">to require the </w:t>
      </w:r>
      <w:r w:rsidR="00671F40" w:rsidRPr="00671F40">
        <w:rPr>
          <w:rFonts w:ascii="Times New Roman" w:hAnsi="Times New Roman" w:cs="Times New Roman"/>
        </w:rPr>
        <w:t>produc</w:t>
      </w:r>
      <w:r w:rsidR="006E6D5A" w:rsidRPr="00817750">
        <w:rPr>
          <w:rFonts w:ascii="Times New Roman" w:hAnsi="Times New Roman" w:cs="Times New Roman"/>
        </w:rPr>
        <w:t xml:space="preserve">tion of </w:t>
      </w:r>
      <w:r w:rsidR="00671F40" w:rsidRPr="00671F40">
        <w:rPr>
          <w:rFonts w:ascii="Times New Roman" w:hAnsi="Times New Roman" w:cs="Times New Roman"/>
        </w:rPr>
        <w:t>documents</w:t>
      </w:r>
      <w:r w:rsidR="006E6D5A" w:rsidRPr="00817750">
        <w:rPr>
          <w:rFonts w:ascii="Times New Roman" w:hAnsi="Times New Roman" w:cs="Times New Roman"/>
        </w:rPr>
        <w:t xml:space="preserve"> or articles</w:t>
      </w:r>
      <w:r w:rsidR="00671F40" w:rsidRPr="00671F40">
        <w:rPr>
          <w:rFonts w:ascii="Times New Roman" w:hAnsi="Times New Roman" w:cs="Times New Roman"/>
        </w:rPr>
        <w:t>: sections 202 and 206 of the Trade Marks Act</w:t>
      </w:r>
      <w:r w:rsidR="006E6D5A" w:rsidRPr="00817750">
        <w:rPr>
          <w:rFonts w:ascii="Times New Roman" w:hAnsi="Times New Roman" w:cs="Times New Roman"/>
        </w:rPr>
        <w:t xml:space="preserve">; </w:t>
      </w:r>
      <w:r w:rsidR="00671F40" w:rsidRPr="00671F40">
        <w:rPr>
          <w:rFonts w:ascii="Times New Roman" w:hAnsi="Times New Roman" w:cs="Times New Roman"/>
        </w:rPr>
        <w:t xml:space="preserve">regulation 19.2 of the </w:t>
      </w:r>
      <w:r w:rsidR="00671F40" w:rsidRPr="00671F40">
        <w:rPr>
          <w:rFonts w:ascii="Times New Roman" w:hAnsi="Times New Roman" w:cs="Times New Roman"/>
          <w:i/>
          <w:iCs/>
        </w:rPr>
        <w:t>Trade Marks Regulations 1995</w:t>
      </w:r>
      <w:r w:rsidR="00671F40" w:rsidRPr="00671F40">
        <w:rPr>
          <w:rFonts w:ascii="Times New Roman" w:hAnsi="Times New Roman" w:cs="Times New Roman"/>
        </w:rPr>
        <w:t xml:space="preserve">. </w:t>
      </w:r>
    </w:p>
    <w:p w14:paraId="1AB35572" w14:textId="22F80A07" w:rsidR="00671F40" w:rsidRPr="00671F40" w:rsidRDefault="00671F40" w:rsidP="00375150">
      <w:pPr>
        <w:numPr>
          <w:ilvl w:val="0"/>
          <w:numId w:val="1"/>
        </w:numPr>
        <w:rPr>
          <w:rFonts w:ascii="Times New Roman" w:hAnsi="Times New Roman" w:cs="Times New Roman"/>
        </w:rPr>
      </w:pPr>
      <w:r w:rsidRPr="00671F40">
        <w:rPr>
          <w:rFonts w:ascii="Times New Roman" w:hAnsi="Times New Roman" w:cs="Times New Roman"/>
        </w:rPr>
        <w:t>Any person occupying the statutory offices of the Commissioner or the Registrar is bound by the APS Values in sections 10 and 10A of the Public Service Act</w:t>
      </w:r>
      <w:r w:rsidR="006E6D5A" w:rsidRPr="00817750">
        <w:rPr>
          <w:rFonts w:ascii="Times New Roman" w:hAnsi="Times New Roman" w:cs="Times New Roman"/>
        </w:rPr>
        <w:t>,</w:t>
      </w:r>
      <w:r w:rsidRPr="00671F40">
        <w:rPr>
          <w:rFonts w:ascii="Times New Roman" w:hAnsi="Times New Roman" w:cs="Times New Roman"/>
        </w:rPr>
        <w:t xml:space="preserve"> which require that </w:t>
      </w:r>
      <w:r w:rsidRPr="00671F40">
        <w:rPr>
          <w:rFonts w:ascii="Times New Roman" w:hAnsi="Times New Roman" w:cs="Times New Roman"/>
        </w:rPr>
        <w:lastRenderedPageBreak/>
        <w:t>decisions are ethical, transparent and objective</w:t>
      </w:r>
      <w:r w:rsidR="00557E43">
        <w:rPr>
          <w:rFonts w:ascii="Times New Roman" w:hAnsi="Times New Roman" w:cs="Times New Roman"/>
        </w:rPr>
        <w:t>,</w:t>
      </w:r>
      <w:r w:rsidRPr="00671F40">
        <w:rPr>
          <w:rFonts w:ascii="Times New Roman" w:hAnsi="Times New Roman" w:cs="Times New Roman"/>
        </w:rPr>
        <w:t xml:space="preserve"> and work to achieve the best outcomes for the Australian community and the Government. The Commissioner and the Registrar would therefore not delegate a power </w:t>
      </w:r>
      <w:r w:rsidR="006E6D5A" w:rsidRPr="00817750">
        <w:rPr>
          <w:rFonts w:ascii="Times New Roman" w:hAnsi="Times New Roman" w:cs="Times New Roman"/>
        </w:rPr>
        <w:t xml:space="preserve">or function </w:t>
      </w:r>
      <w:r w:rsidRPr="00671F40">
        <w:rPr>
          <w:rFonts w:ascii="Times New Roman" w:hAnsi="Times New Roman" w:cs="Times New Roman"/>
        </w:rPr>
        <w:t xml:space="preserve">to </w:t>
      </w:r>
      <w:r w:rsidR="00AC7AA8">
        <w:rPr>
          <w:rFonts w:ascii="Times New Roman" w:hAnsi="Times New Roman" w:cs="Times New Roman"/>
        </w:rPr>
        <w:t>someone</w:t>
      </w:r>
      <w:r w:rsidRPr="00671F40">
        <w:rPr>
          <w:rFonts w:ascii="Times New Roman" w:hAnsi="Times New Roman" w:cs="Times New Roman"/>
        </w:rPr>
        <w:t xml:space="preserve"> </w:t>
      </w:r>
      <w:r w:rsidR="006E6D5A" w:rsidRPr="00817750">
        <w:rPr>
          <w:rFonts w:ascii="Times New Roman" w:hAnsi="Times New Roman" w:cs="Times New Roman"/>
        </w:rPr>
        <w:t xml:space="preserve">who </w:t>
      </w:r>
      <w:r w:rsidR="00AC7AA8">
        <w:rPr>
          <w:rFonts w:ascii="Times New Roman" w:hAnsi="Times New Roman" w:cs="Times New Roman"/>
        </w:rPr>
        <w:t>cannot</w:t>
      </w:r>
      <w:r w:rsidR="006E6D5A" w:rsidRPr="00817750">
        <w:rPr>
          <w:rFonts w:ascii="Times New Roman" w:hAnsi="Times New Roman" w:cs="Times New Roman"/>
        </w:rPr>
        <w:t xml:space="preserve"> exercise it</w:t>
      </w:r>
      <w:r w:rsidR="00AC7AA8">
        <w:rPr>
          <w:rFonts w:ascii="Times New Roman" w:hAnsi="Times New Roman" w:cs="Times New Roman"/>
        </w:rPr>
        <w:t xml:space="preserve"> competently</w:t>
      </w:r>
      <w:r w:rsidR="006E6D5A" w:rsidRPr="00817750">
        <w:rPr>
          <w:rFonts w:ascii="Times New Roman" w:hAnsi="Times New Roman" w:cs="Times New Roman"/>
        </w:rPr>
        <w:t xml:space="preserve">, </w:t>
      </w:r>
      <w:r w:rsidRPr="00671F40">
        <w:rPr>
          <w:rFonts w:ascii="Times New Roman" w:hAnsi="Times New Roman" w:cs="Times New Roman"/>
        </w:rPr>
        <w:t xml:space="preserve">because </w:t>
      </w:r>
      <w:r w:rsidR="00AC7AA8">
        <w:rPr>
          <w:rFonts w:ascii="Times New Roman" w:hAnsi="Times New Roman" w:cs="Times New Roman"/>
        </w:rPr>
        <w:t xml:space="preserve">such a delegation </w:t>
      </w:r>
      <w:r w:rsidRPr="00671F40">
        <w:rPr>
          <w:rFonts w:ascii="Times New Roman" w:hAnsi="Times New Roman" w:cs="Times New Roman"/>
        </w:rPr>
        <w:t>would be a breach of the Public Service Act.</w:t>
      </w:r>
    </w:p>
    <w:p w14:paraId="6CE1B07C" w14:textId="143EBE80" w:rsidR="00671F40" w:rsidRPr="00671F40" w:rsidRDefault="00FF69BC" w:rsidP="00671F40">
      <w:pPr>
        <w:spacing w:before="240"/>
        <w:rPr>
          <w:rFonts w:ascii="Times New Roman" w:hAnsi="Times New Roman" w:cs="Times New Roman"/>
        </w:rPr>
      </w:pPr>
      <w:r>
        <w:rPr>
          <w:rFonts w:ascii="Times New Roman" w:hAnsi="Times New Roman" w:cs="Times New Roman"/>
        </w:rPr>
        <w:t xml:space="preserve">It is also not practical or desirable to specify in the </w:t>
      </w:r>
      <w:proofErr w:type="gramStart"/>
      <w:r>
        <w:rPr>
          <w:rFonts w:ascii="Times New Roman" w:hAnsi="Times New Roman" w:cs="Times New Roman"/>
        </w:rPr>
        <w:t xml:space="preserve">regulations </w:t>
      </w:r>
      <w:r w:rsidR="00671F40" w:rsidRPr="00671F40">
        <w:rPr>
          <w:rFonts w:ascii="Times New Roman" w:hAnsi="Times New Roman" w:cs="Times New Roman"/>
        </w:rPr>
        <w:t xml:space="preserve"> the</w:t>
      </w:r>
      <w:proofErr w:type="gramEnd"/>
      <w:r w:rsidR="00671F40" w:rsidRPr="00671F40">
        <w:rPr>
          <w:rFonts w:ascii="Times New Roman" w:hAnsi="Times New Roman" w:cs="Times New Roman"/>
        </w:rPr>
        <w:t xml:space="preserve"> qualifications or specific position of a person to whom the specific powers could be delegated. </w:t>
      </w:r>
      <w:r>
        <w:rPr>
          <w:rFonts w:ascii="Times New Roman" w:hAnsi="Times New Roman" w:cs="Times New Roman"/>
        </w:rPr>
        <w:t xml:space="preserve">This </w:t>
      </w:r>
      <w:r w:rsidR="0083214F">
        <w:rPr>
          <w:rFonts w:ascii="Times New Roman" w:hAnsi="Times New Roman" w:cs="Times New Roman"/>
        </w:rPr>
        <w:t xml:space="preserve">is </w:t>
      </w:r>
      <w:r w:rsidR="00375150">
        <w:rPr>
          <w:rFonts w:ascii="Times New Roman" w:hAnsi="Times New Roman" w:cs="Times New Roman"/>
        </w:rPr>
        <w:t xml:space="preserve">because </w:t>
      </w:r>
      <w:r w:rsidR="00375150" w:rsidRPr="00671F40">
        <w:rPr>
          <w:rFonts w:ascii="Times New Roman" w:hAnsi="Times New Roman" w:cs="Times New Roman"/>
        </w:rPr>
        <w:t xml:space="preserve">there </w:t>
      </w:r>
      <w:r w:rsidR="00375150">
        <w:rPr>
          <w:rFonts w:ascii="Times New Roman" w:hAnsi="Times New Roman" w:cs="Times New Roman"/>
        </w:rPr>
        <w:t>i</w:t>
      </w:r>
      <w:r w:rsidR="00375150" w:rsidRPr="00671F40">
        <w:rPr>
          <w:rFonts w:ascii="Times New Roman" w:hAnsi="Times New Roman" w:cs="Times New Roman"/>
        </w:rPr>
        <w:t xml:space="preserve">s no specific qualification </w:t>
      </w:r>
      <w:r w:rsidR="00375150" w:rsidRPr="00817750">
        <w:rPr>
          <w:rFonts w:ascii="Times New Roman" w:hAnsi="Times New Roman" w:cs="Times New Roman"/>
        </w:rPr>
        <w:t xml:space="preserve">that could reasonably be required of </w:t>
      </w:r>
      <w:r w:rsidR="00005A53">
        <w:rPr>
          <w:rFonts w:ascii="Times New Roman" w:hAnsi="Times New Roman" w:cs="Times New Roman"/>
        </w:rPr>
        <w:t>any</w:t>
      </w:r>
      <w:r w:rsidR="00375150" w:rsidRPr="00817750">
        <w:rPr>
          <w:rFonts w:ascii="Times New Roman" w:hAnsi="Times New Roman" w:cs="Times New Roman"/>
        </w:rPr>
        <w:t xml:space="preserve"> delegate who might appropriately exercise the specific powers</w:t>
      </w:r>
      <w:r w:rsidR="00005A53">
        <w:rPr>
          <w:rFonts w:ascii="Times New Roman" w:hAnsi="Times New Roman" w:cs="Times New Roman"/>
        </w:rPr>
        <w:t xml:space="preserve">. The important thing is that a delegate has the skills gained through practical </w:t>
      </w:r>
      <w:proofErr w:type="gramStart"/>
      <w:r w:rsidR="00005A53">
        <w:rPr>
          <w:rFonts w:ascii="Times New Roman" w:hAnsi="Times New Roman" w:cs="Times New Roman"/>
        </w:rPr>
        <w:t>experience, and</w:t>
      </w:r>
      <w:proofErr w:type="gramEnd"/>
      <w:r w:rsidR="00005A53">
        <w:rPr>
          <w:rFonts w:ascii="Times New Roman" w:hAnsi="Times New Roman" w:cs="Times New Roman"/>
        </w:rPr>
        <w:t xml:space="preserve"> has demonstrated sound judgement</w:t>
      </w:r>
      <w:r w:rsidR="00375150" w:rsidRPr="00671F40">
        <w:rPr>
          <w:rFonts w:ascii="Times New Roman" w:hAnsi="Times New Roman" w:cs="Times New Roman"/>
        </w:rPr>
        <w:t>.</w:t>
      </w:r>
      <w:r w:rsidR="00375150" w:rsidRPr="00817750">
        <w:rPr>
          <w:rFonts w:ascii="Times New Roman" w:hAnsi="Times New Roman" w:cs="Times New Roman"/>
        </w:rPr>
        <w:t xml:space="preserve"> It </w:t>
      </w:r>
      <w:r w:rsidR="00375150" w:rsidRPr="00671F40">
        <w:rPr>
          <w:rFonts w:ascii="Times New Roman" w:hAnsi="Times New Roman" w:cs="Times New Roman"/>
        </w:rPr>
        <w:t xml:space="preserve">would </w:t>
      </w:r>
      <w:r w:rsidR="00375150" w:rsidRPr="00817750">
        <w:rPr>
          <w:rFonts w:ascii="Times New Roman" w:hAnsi="Times New Roman" w:cs="Times New Roman"/>
        </w:rPr>
        <w:t xml:space="preserve">also </w:t>
      </w:r>
      <w:r w:rsidR="00375150" w:rsidRPr="00671F40">
        <w:rPr>
          <w:rFonts w:ascii="Times New Roman" w:hAnsi="Times New Roman" w:cs="Times New Roman"/>
        </w:rPr>
        <w:t xml:space="preserve">require the Patents and Designs Regulations to be updated any time there was an internal restructure of IP Australia. </w:t>
      </w:r>
      <w:r w:rsidR="00375150">
        <w:rPr>
          <w:rFonts w:ascii="Times New Roman" w:hAnsi="Times New Roman" w:cs="Times New Roman"/>
        </w:rPr>
        <w:t xml:space="preserve">Finally, </w:t>
      </w:r>
      <w:r w:rsidR="00005A53">
        <w:rPr>
          <w:rFonts w:ascii="Times New Roman" w:hAnsi="Times New Roman" w:cs="Times New Roman"/>
        </w:rPr>
        <w:t>attempting to describe the qualifications</w:t>
      </w:r>
      <w:r w:rsidR="00671F40" w:rsidRPr="00671F40">
        <w:rPr>
          <w:rFonts w:ascii="Times New Roman" w:hAnsi="Times New Roman" w:cs="Times New Roman"/>
        </w:rPr>
        <w:t xml:space="preserve"> could potentially render the meaning of the provision unclear</w:t>
      </w:r>
      <w:r w:rsidR="001D34C2" w:rsidRPr="00817750">
        <w:rPr>
          <w:rFonts w:ascii="Times New Roman" w:hAnsi="Times New Roman" w:cs="Times New Roman"/>
        </w:rPr>
        <w:t xml:space="preserve">. </w:t>
      </w:r>
    </w:p>
    <w:p w14:paraId="293C6D20" w14:textId="33EC8730" w:rsidR="00671F40" w:rsidRPr="00817750" w:rsidRDefault="00671F40" w:rsidP="00671F40">
      <w:pPr>
        <w:spacing w:before="240"/>
        <w:rPr>
          <w:rFonts w:ascii="Times New Roman" w:hAnsi="Times New Roman" w:cs="Times New Roman"/>
        </w:rPr>
      </w:pPr>
      <w:r w:rsidRPr="00671F40">
        <w:rPr>
          <w:rFonts w:ascii="Times New Roman" w:hAnsi="Times New Roman" w:cs="Times New Roman"/>
        </w:rPr>
        <w:t xml:space="preserve">To ensure that individuals’ rights are protected, decisions taken by delegates to use those powers are appealable under the </w:t>
      </w:r>
      <w:r w:rsidRPr="00671F40">
        <w:rPr>
          <w:rFonts w:ascii="Times New Roman" w:hAnsi="Times New Roman" w:cs="Times New Roman"/>
          <w:i/>
          <w:iCs/>
        </w:rPr>
        <w:t>Administrative Decisions (Judicial Review) Act 1977,</w:t>
      </w:r>
      <w:r w:rsidRPr="00671F40">
        <w:rPr>
          <w:rFonts w:ascii="Times New Roman" w:hAnsi="Times New Roman" w:cs="Times New Roman"/>
        </w:rPr>
        <w:t xml:space="preserve"> as are many other administrative decisions under Commonwealth enactments. So, there </w:t>
      </w:r>
      <w:r w:rsidR="00213EA0" w:rsidRPr="00817750">
        <w:rPr>
          <w:rFonts w:ascii="Times New Roman" w:hAnsi="Times New Roman" w:cs="Times New Roman"/>
        </w:rPr>
        <w:t>are</w:t>
      </w:r>
      <w:r w:rsidRPr="00671F40">
        <w:rPr>
          <w:rFonts w:ascii="Times New Roman" w:hAnsi="Times New Roman" w:cs="Times New Roman"/>
        </w:rPr>
        <w:t xml:space="preserve"> appropriate safeguards in place</w:t>
      </w:r>
      <w:r w:rsidR="00213EA0" w:rsidRPr="00817750">
        <w:rPr>
          <w:rFonts w:ascii="Times New Roman" w:hAnsi="Times New Roman" w:cs="Times New Roman"/>
        </w:rPr>
        <w:t>,</w:t>
      </w:r>
      <w:r w:rsidRPr="00671F40">
        <w:rPr>
          <w:rFonts w:ascii="Times New Roman" w:hAnsi="Times New Roman" w:cs="Times New Roman"/>
        </w:rPr>
        <w:t xml:space="preserve"> should </w:t>
      </w:r>
      <w:r w:rsidR="00213EA0" w:rsidRPr="00817750">
        <w:rPr>
          <w:rFonts w:ascii="Times New Roman" w:hAnsi="Times New Roman" w:cs="Times New Roman"/>
        </w:rPr>
        <w:t>someone</w:t>
      </w:r>
      <w:r w:rsidRPr="00671F40">
        <w:rPr>
          <w:rFonts w:ascii="Times New Roman" w:hAnsi="Times New Roman" w:cs="Times New Roman"/>
        </w:rPr>
        <w:t xml:space="preserve"> wish to challenge the exercise of the delegated powers.</w:t>
      </w:r>
    </w:p>
    <w:p w14:paraId="732687ED" w14:textId="77777777" w:rsidR="001D34C2" w:rsidRPr="001D34C2" w:rsidRDefault="001D34C2" w:rsidP="001D34C2">
      <w:pPr>
        <w:spacing w:before="240"/>
        <w:rPr>
          <w:rFonts w:ascii="Times New Roman" w:hAnsi="Times New Roman" w:cs="Times New Roman"/>
          <w:b/>
          <w:bCs/>
          <w:i/>
          <w:iCs/>
        </w:rPr>
      </w:pPr>
      <w:r w:rsidRPr="001D34C2">
        <w:rPr>
          <w:rFonts w:ascii="Times New Roman" w:hAnsi="Times New Roman" w:cs="Times New Roman"/>
          <w:b/>
          <w:bCs/>
          <w:i/>
          <w:iCs/>
        </w:rPr>
        <w:t>Designs Regulations 2004</w:t>
      </w:r>
    </w:p>
    <w:p w14:paraId="28397AEC" w14:textId="77777777" w:rsidR="001D34C2" w:rsidRPr="001D34C2" w:rsidRDefault="001D34C2" w:rsidP="001D34C2">
      <w:pPr>
        <w:spacing w:before="240"/>
        <w:rPr>
          <w:rFonts w:ascii="Times New Roman" w:hAnsi="Times New Roman" w:cs="Times New Roman"/>
          <w:u w:val="single"/>
        </w:rPr>
      </w:pPr>
      <w:r w:rsidRPr="001D34C2">
        <w:rPr>
          <w:rFonts w:ascii="Times New Roman" w:hAnsi="Times New Roman" w:cs="Times New Roman"/>
          <w:u w:val="single"/>
        </w:rPr>
        <w:t>Item 1: Regulation 10.01</w:t>
      </w:r>
    </w:p>
    <w:p w14:paraId="402D71E5" w14:textId="15700F8C" w:rsidR="001D34C2" w:rsidRPr="001D34C2" w:rsidRDefault="001D34C2" w:rsidP="001D34C2">
      <w:pPr>
        <w:spacing w:before="240"/>
        <w:rPr>
          <w:rFonts w:ascii="Times New Roman" w:hAnsi="Times New Roman" w:cs="Times New Roman"/>
        </w:rPr>
      </w:pPr>
      <w:r w:rsidRPr="001D34C2">
        <w:rPr>
          <w:rFonts w:ascii="Times New Roman" w:hAnsi="Times New Roman" w:cs="Times New Roman"/>
        </w:rPr>
        <w:t xml:space="preserve">This item makes a consequential amendment to regulation 10.01 as a result of the addition of </w:t>
      </w:r>
      <w:r w:rsidR="002F7E75">
        <w:rPr>
          <w:rFonts w:ascii="Times New Roman" w:hAnsi="Times New Roman" w:cs="Times New Roman"/>
        </w:rPr>
        <w:t xml:space="preserve">new </w:t>
      </w:r>
      <w:r w:rsidRPr="001D34C2">
        <w:rPr>
          <w:rFonts w:ascii="Times New Roman" w:hAnsi="Times New Roman" w:cs="Times New Roman"/>
        </w:rPr>
        <w:t>subregulation 10.01(2) by item 2.</w:t>
      </w:r>
    </w:p>
    <w:p w14:paraId="2A7746F1" w14:textId="77777777" w:rsidR="001D34C2" w:rsidRPr="001D34C2" w:rsidRDefault="001D34C2" w:rsidP="001D34C2">
      <w:pPr>
        <w:spacing w:before="240"/>
        <w:rPr>
          <w:rFonts w:ascii="Times New Roman" w:hAnsi="Times New Roman" w:cs="Times New Roman"/>
        </w:rPr>
      </w:pPr>
      <w:r w:rsidRPr="001D34C2">
        <w:rPr>
          <w:rFonts w:ascii="Times New Roman" w:hAnsi="Times New Roman" w:cs="Times New Roman"/>
          <w:u w:val="single"/>
        </w:rPr>
        <w:t>Item 2: At the end of regulation 10.01</w:t>
      </w:r>
    </w:p>
    <w:p w14:paraId="3CE962D8" w14:textId="0D46D0F1" w:rsidR="001D34C2" w:rsidRPr="001D34C2" w:rsidRDefault="001D34C2" w:rsidP="001D34C2">
      <w:pPr>
        <w:spacing w:before="240"/>
        <w:rPr>
          <w:rFonts w:ascii="Times New Roman" w:hAnsi="Times New Roman" w:cs="Times New Roman"/>
        </w:rPr>
      </w:pPr>
      <w:r w:rsidRPr="001D34C2">
        <w:rPr>
          <w:rFonts w:ascii="Times New Roman" w:hAnsi="Times New Roman" w:cs="Times New Roman"/>
        </w:rPr>
        <w:t xml:space="preserve">This item </w:t>
      </w:r>
      <w:r w:rsidR="002F7E75">
        <w:rPr>
          <w:rFonts w:ascii="Times New Roman" w:hAnsi="Times New Roman" w:cs="Times New Roman"/>
        </w:rPr>
        <w:t>adds</w:t>
      </w:r>
      <w:r w:rsidRPr="001D34C2">
        <w:rPr>
          <w:rFonts w:ascii="Times New Roman" w:hAnsi="Times New Roman" w:cs="Times New Roman"/>
        </w:rPr>
        <w:t xml:space="preserve"> new subregulation 10.01(2) to allow the Registrar to delegate </w:t>
      </w:r>
      <w:r w:rsidR="00557E43">
        <w:rPr>
          <w:rFonts w:ascii="Times New Roman" w:hAnsi="Times New Roman" w:cs="Times New Roman"/>
        </w:rPr>
        <w:t xml:space="preserve">any of </w:t>
      </w:r>
      <w:r w:rsidRPr="001D34C2">
        <w:rPr>
          <w:rFonts w:ascii="Times New Roman" w:hAnsi="Times New Roman" w:cs="Times New Roman"/>
        </w:rPr>
        <w:t>the</w:t>
      </w:r>
      <w:r w:rsidR="004A3F85">
        <w:rPr>
          <w:rFonts w:ascii="Times New Roman" w:hAnsi="Times New Roman" w:cs="Times New Roman"/>
        </w:rPr>
        <w:t xml:space="preserve"> Registrar’s</w:t>
      </w:r>
      <w:r w:rsidRPr="001D34C2">
        <w:rPr>
          <w:rFonts w:ascii="Times New Roman" w:hAnsi="Times New Roman" w:cs="Times New Roman"/>
        </w:rPr>
        <w:t xml:space="preserve"> </w:t>
      </w:r>
      <w:r w:rsidR="004A3F85">
        <w:rPr>
          <w:rFonts w:ascii="Times New Roman" w:hAnsi="Times New Roman" w:cs="Times New Roman"/>
        </w:rPr>
        <w:t>powers or functions</w:t>
      </w:r>
      <w:r w:rsidRPr="001D34C2">
        <w:rPr>
          <w:rFonts w:ascii="Times New Roman" w:hAnsi="Times New Roman" w:cs="Times New Roman"/>
        </w:rPr>
        <w:t xml:space="preserve"> under paragraphs 127(1)(a) and (c) of the Designs Act to </w:t>
      </w:r>
      <w:r w:rsidR="00557E43">
        <w:rPr>
          <w:rFonts w:ascii="Times New Roman" w:hAnsi="Times New Roman" w:cs="Times New Roman"/>
        </w:rPr>
        <w:t xml:space="preserve">an employee in the Designs Office who </w:t>
      </w:r>
      <w:r w:rsidRPr="001D34C2">
        <w:rPr>
          <w:rFonts w:ascii="Times New Roman" w:hAnsi="Times New Roman" w:cs="Times New Roman"/>
        </w:rPr>
        <w:t>hold</w:t>
      </w:r>
      <w:r w:rsidR="004A3F85">
        <w:rPr>
          <w:rFonts w:ascii="Times New Roman" w:hAnsi="Times New Roman" w:cs="Times New Roman"/>
        </w:rPr>
        <w:t>s</w:t>
      </w:r>
      <w:r w:rsidRPr="001D34C2">
        <w:rPr>
          <w:rFonts w:ascii="Times New Roman" w:hAnsi="Times New Roman" w:cs="Times New Roman"/>
        </w:rPr>
        <w:t xml:space="preserve"> or perform</w:t>
      </w:r>
      <w:r w:rsidR="004A3F85">
        <w:rPr>
          <w:rFonts w:ascii="Times New Roman" w:hAnsi="Times New Roman" w:cs="Times New Roman"/>
        </w:rPr>
        <w:t>s</w:t>
      </w:r>
      <w:r w:rsidRPr="001D34C2">
        <w:rPr>
          <w:rFonts w:ascii="Times New Roman" w:hAnsi="Times New Roman" w:cs="Times New Roman"/>
        </w:rPr>
        <w:t xml:space="preserve"> the duties of an Executive Level 1 or above position. </w:t>
      </w:r>
      <w:r w:rsidR="00A11FF9">
        <w:rPr>
          <w:rFonts w:ascii="Times New Roman" w:hAnsi="Times New Roman" w:cs="Times New Roman"/>
        </w:rPr>
        <w:t>This will allow the Registrar to delegate the specific powers appropriately.</w:t>
      </w:r>
    </w:p>
    <w:p w14:paraId="6081C365" w14:textId="77777777" w:rsidR="001D34C2" w:rsidRPr="001D34C2" w:rsidRDefault="001D34C2" w:rsidP="001D34C2">
      <w:pPr>
        <w:spacing w:before="240"/>
        <w:rPr>
          <w:rFonts w:ascii="Times New Roman" w:hAnsi="Times New Roman" w:cs="Times New Roman"/>
          <w:b/>
          <w:bCs/>
          <w:i/>
          <w:iCs/>
        </w:rPr>
      </w:pPr>
      <w:r w:rsidRPr="001D34C2">
        <w:rPr>
          <w:rFonts w:ascii="Times New Roman" w:hAnsi="Times New Roman" w:cs="Times New Roman"/>
          <w:b/>
          <w:bCs/>
          <w:i/>
          <w:iCs/>
        </w:rPr>
        <w:t>Patents Regulations 1991</w:t>
      </w:r>
    </w:p>
    <w:p w14:paraId="6D31EC1B" w14:textId="77777777" w:rsidR="001D34C2" w:rsidRPr="001D34C2" w:rsidRDefault="001D34C2" w:rsidP="001D34C2">
      <w:pPr>
        <w:spacing w:before="240"/>
        <w:rPr>
          <w:rFonts w:ascii="Times New Roman" w:hAnsi="Times New Roman" w:cs="Times New Roman"/>
          <w:u w:val="single"/>
        </w:rPr>
      </w:pPr>
      <w:r w:rsidRPr="001D34C2">
        <w:rPr>
          <w:rFonts w:ascii="Times New Roman" w:hAnsi="Times New Roman" w:cs="Times New Roman"/>
          <w:u w:val="single"/>
        </w:rPr>
        <w:t>Item 3: Regulation 21.2</w:t>
      </w:r>
    </w:p>
    <w:p w14:paraId="2F3BAFA9" w14:textId="77777777" w:rsidR="001D34C2" w:rsidRPr="001D34C2" w:rsidRDefault="001D34C2" w:rsidP="001D34C2">
      <w:pPr>
        <w:spacing w:before="240"/>
        <w:rPr>
          <w:rFonts w:ascii="Times New Roman" w:hAnsi="Times New Roman" w:cs="Times New Roman"/>
        </w:rPr>
      </w:pPr>
      <w:r w:rsidRPr="001D34C2">
        <w:rPr>
          <w:rFonts w:ascii="Times New Roman" w:hAnsi="Times New Roman" w:cs="Times New Roman"/>
        </w:rPr>
        <w:t>This item makes a consequential amendment to regulation 21.2 as a result of the addition of subregulation 21.2(2) by item 5.</w:t>
      </w:r>
    </w:p>
    <w:p w14:paraId="1FCEB6F2" w14:textId="77777777" w:rsidR="001D34C2" w:rsidRPr="001D34C2" w:rsidRDefault="001D34C2" w:rsidP="002F7E75">
      <w:pPr>
        <w:keepNext/>
        <w:spacing w:before="240"/>
        <w:rPr>
          <w:rFonts w:ascii="Times New Roman" w:hAnsi="Times New Roman" w:cs="Times New Roman"/>
        </w:rPr>
      </w:pPr>
      <w:r w:rsidRPr="001D34C2">
        <w:rPr>
          <w:rFonts w:ascii="Times New Roman" w:hAnsi="Times New Roman" w:cs="Times New Roman"/>
          <w:u w:val="single"/>
        </w:rPr>
        <w:t>Item 4: Regulation 21.2</w:t>
      </w:r>
    </w:p>
    <w:p w14:paraId="584D1F81" w14:textId="4C9ACAF6" w:rsidR="001D34C2" w:rsidRPr="001D34C2" w:rsidRDefault="001D34C2" w:rsidP="001D34C2">
      <w:pPr>
        <w:spacing w:before="240"/>
        <w:rPr>
          <w:rFonts w:ascii="Times New Roman" w:hAnsi="Times New Roman" w:cs="Times New Roman"/>
        </w:rPr>
      </w:pPr>
      <w:r w:rsidRPr="001D34C2">
        <w:rPr>
          <w:rFonts w:ascii="Times New Roman" w:hAnsi="Times New Roman" w:cs="Times New Roman"/>
        </w:rPr>
        <w:t xml:space="preserve">This item amends regulation 21.2 of the Patents Regulations to correct a typographical error so that it correctly refers to </w:t>
      </w:r>
      <w:r w:rsidR="002F7E75">
        <w:rPr>
          <w:rFonts w:ascii="Times New Roman" w:hAnsi="Times New Roman" w:cs="Times New Roman"/>
        </w:rPr>
        <w:t>paragraphs</w:t>
      </w:r>
      <w:r w:rsidRPr="001D34C2">
        <w:rPr>
          <w:rFonts w:ascii="Times New Roman" w:hAnsi="Times New Roman" w:cs="Times New Roman"/>
        </w:rPr>
        <w:t xml:space="preserve"> 210(1)(a) and (c)</w:t>
      </w:r>
      <w:r w:rsidR="00557E43">
        <w:rPr>
          <w:rFonts w:ascii="Times New Roman" w:hAnsi="Times New Roman" w:cs="Times New Roman"/>
        </w:rPr>
        <w:t xml:space="preserve"> of the Patents Act</w:t>
      </w:r>
      <w:r w:rsidRPr="001D34C2">
        <w:rPr>
          <w:rFonts w:ascii="Times New Roman" w:hAnsi="Times New Roman" w:cs="Times New Roman"/>
        </w:rPr>
        <w:t>.</w:t>
      </w:r>
      <w:r w:rsidR="00AC7AA8">
        <w:rPr>
          <w:rFonts w:ascii="Times New Roman" w:hAnsi="Times New Roman" w:cs="Times New Roman"/>
        </w:rPr>
        <w:t xml:space="preserve"> This reference appear</w:t>
      </w:r>
      <w:r w:rsidR="00A11FF9">
        <w:rPr>
          <w:rFonts w:ascii="Times New Roman" w:hAnsi="Times New Roman" w:cs="Times New Roman"/>
        </w:rPr>
        <w:t>ed</w:t>
      </w:r>
      <w:r w:rsidR="00AC7AA8">
        <w:rPr>
          <w:rFonts w:ascii="Times New Roman" w:hAnsi="Times New Roman" w:cs="Times New Roman"/>
        </w:rPr>
        <w:t xml:space="preserve"> in the provision which </w:t>
      </w:r>
      <w:r w:rsidR="00A11FF9">
        <w:rPr>
          <w:rFonts w:ascii="Times New Roman" w:hAnsi="Times New Roman" w:cs="Times New Roman"/>
        </w:rPr>
        <w:t>permitted the Commissioner to delegate the general powers and functions, but not the specific powers.</w:t>
      </w:r>
    </w:p>
    <w:p w14:paraId="21BE7D8B" w14:textId="77777777" w:rsidR="001D34C2" w:rsidRPr="001D34C2" w:rsidRDefault="001D34C2" w:rsidP="001D34C2">
      <w:pPr>
        <w:spacing w:before="240"/>
        <w:rPr>
          <w:rFonts w:ascii="Times New Roman" w:hAnsi="Times New Roman" w:cs="Times New Roman"/>
        </w:rPr>
      </w:pPr>
      <w:r w:rsidRPr="001D34C2">
        <w:rPr>
          <w:rFonts w:ascii="Times New Roman" w:hAnsi="Times New Roman" w:cs="Times New Roman"/>
          <w:u w:val="single"/>
        </w:rPr>
        <w:t>Item 5: At the end of regulation 21.2</w:t>
      </w:r>
    </w:p>
    <w:p w14:paraId="140B05A5" w14:textId="6C7109BD" w:rsidR="001D34C2" w:rsidRPr="00671F40" w:rsidRDefault="001D34C2" w:rsidP="00671F40">
      <w:pPr>
        <w:spacing w:before="240"/>
        <w:rPr>
          <w:rFonts w:ascii="Times New Roman" w:hAnsi="Times New Roman" w:cs="Times New Roman"/>
        </w:rPr>
      </w:pPr>
      <w:r w:rsidRPr="001D34C2">
        <w:rPr>
          <w:rFonts w:ascii="Times New Roman" w:hAnsi="Times New Roman" w:cs="Times New Roman"/>
        </w:rPr>
        <w:t xml:space="preserve">This item </w:t>
      </w:r>
      <w:r w:rsidR="00557E43">
        <w:rPr>
          <w:rFonts w:ascii="Times New Roman" w:hAnsi="Times New Roman" w:cs="Times New Roman"/>
        </w:rPr>
        <w:t>adds new sub</w:t>
      </w:r>
      <w:r w:rsidRPr="001D34C2">
        <w:rPr>
          <w:rFonts w:ascii="Times New Roman" w:hAnsi="Times New Roman" w:cs="Times New Roman"/>
        </w:rPr>
        <w:t>regulation 21.2</w:t>
      </w:r>
      <w:r w:rsidR="00557E43">
        <w:rPr>
          <w:rFonts w:ascii="Times New Roman" w:hAnsi="Times New Roman" w:cs="Times New Roman"/>
        </w:rPr>
        <w:t>(2)</w:t>
      </w:r>
      <w:r w:rsidRPr="001D34C2">
        <w:rPr>
          <w:rFonts w:ascii="Times New Roman" w:hAnsi="Times New Roman" w:cs="Times New Roman"/>
        </w:rPr>
        <w:t xml:space="preserve"> to allow the Commissioner to delegate </w:t>
      </w:r>
      <w:r w:rsidR="004A3F85" w:rsidRPr="004A3F85">
        <w:rPr>
          <w:rFonts w:ascii="Times New Roman" w:hAnsi="Times New Roman" w:cs="Times New Roman"/>
        </w:rPr>
        <w:t xml:space="preserve">any of </w:t>
      </w:r>
      <w:r w:rsidR="004A3F85" w:rsidRPr="001D34C2">
        <w:rPr>
          <w:rFonts w:ascii="Times New Roman" w:hAnsi="Times New Roman" w:cs="Times New Roman"/>
        </w:rPr>
        <w:t xml:space="preserve">the </w:t>
      </w:r>
      <w:r w:rsidR="005B37F5">
        <w:rPr>
          <w:rFonts w:ascii="Times New Roman" w:hAnsi="Times New Roman" w:cs="Times New Roman"/>
        </w:rPr>
        <w:t xml:space="preserve">Commissioner’s </w:t>
      </w:r>
      <w:r w:rsidR="004A3F85" w:rsidRPr="004A3F85">
        <w:rPr>
          <w:rFonts w:ascii="Times New Roman" w:hAnsi="Times New Roman" w:cs="Times New Roman"/>
        </w:rPr>
        <w:t>powers</w:t>
      </w:r>
      <w:r w:rsidR="004A3F85" w:rsidRPr="001D34C2">
        <w:rPr>
          <w:rFonts w:ascii="Times New Roman" w:hAnsi="Times New Roman" w:cs="Times New Roman"/>
        </w:rPr>
        <w:t xml:space="preserve"> </w:t>
      </w:r>
      <w:r w:rsidR="00A11FF9">
        <w:rPr>
          <w:rFonts w:ascii="Times New Roman" w:hAnsi="Times New Roman" w:cs="Times New Roman"/>
        </w:rPr>
        <w:t xml:space="preserve">and functions </w:t>
      </w:r>
      <w:r w:rsidRPr="001D34C2">
        <w:rPr>
          <w:rFonts w:ascii="Times New Roman" w:hAnsi="Times New Roman" w:cs="Times New Roman"/>
        </w:rPr>
        <w:t xml:space="preserve">under paragraphs 210(1)(a) and 210(1)(c) of the Patents Act to </w:t>
      </w:r>
      <w:r w:rsidR="004A3F85">
        <w:rPr>
          <w:rFonts w:ascii="Times New Roman" w:hAnsi="Times New Roman" w:cs="Times New Roman"/>
        </w:rPr>
        <w:t>an employee of the Patent Office</w:t>
      </w:r>
      <w:r w:rsidRPr="001D34C2">
        <w:rPr>
          <w:rFonts w:ascii="Times New Roman" w:hAnsi="Times New Roman" w:cs="Times New Roman"/>
        </w:rPr>
        <w:t xml:space="preserve"> </w:t>
      </w:r>
      <w:r w:rsidR="004A3F85">
        <w:rPr>
          <w:rFonts w:ascii="Times New Roman" w:hAnsi="Times New Roman" w:cs="Times New Roman"/>
        </w:rPr>
        <w:t xml:space="preserve">who holds or </w:t>
      </w:r>
      <w:r w:rsidRPr="001D34C2">
        <w:rPr>
          <w:rFonts w:ascii="Times New Roman" w:hAnsi="Times New Roman" w:cs="Times New Roman"/>
        </w:rPr>
        <w:t>perform</w:t>
      </w:r>
      <w:r w:rsidR="004A3F85">
        <w:rPr>
          <w:rFonts w:ascii="Times New Roman" w:hAnsi="Times New Roman" w:cs="Times New Roman"/>
        </w:rPr>
        <w:t>s</w:t>
      </w:r>
      <w:r w:rsidRPr="001D34C2">
        <w:rPr>
          <w:rFonts w:ascii="Times New Roman" w:hAnsi="Times New Roman" w:cs="Times New Roman"/>
        </w:rPr>
        <w:t xml:space="preserve"> the duties of an Executive Level 1 or above position. </w:t>
      </w:r>
      <w:r w:rsidR="00A11FF9" w:rsidRPr="00A11FF9">
        <w:rPr>
          <w:rFonts w:ascii="Times New Roman" w:hAnsi="Times New Roman" w:cs="Times New Roman"/>
        </w:rPr>
        <w:t xml:space="preserve">This will allow the </w:t>
      </w:r>
      <w:r w:rsidR="00A11FF9">
        <w:rPr>
          <w:rFonts w:ascii="Times New Roman" w:hAnsi="Times New Roman" w:cs="Times New Roman"/>
        </w:rPr>
        <w:t>Commissioner</w:t>
      </w:r>
      <w:r w:rsidR="00A11FF9" w:rsidRPr="00A11FF9">
        <w:rPr>
          <w:rFonts w:ascii="Times New Roman" w:hAnsi="Times New Roman" w:cs="Times New Roman"/>
        </w:rPr>
        <w:t xml:space="preserve"> to delegate the specific powers appropriately.</w:t>
      </w:r>
    </w:p>
    <w:sectPr w:rsidR="001D34C2" w:rsidRPr="00671F40" w:rsidSect="007A449D">
      <w:footerReference w:type="default" r:id="rId7"/>
      <w:pgSz w:w="11906" w:h="16838"/>
      <w:pgMar w:top="993" w:right="1440" w:bottom="1135" w:left="1440" w:header="708" w:footer="4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C2C0D" w14:textId="77777777" w:rsidR="00013DFF" w:rsidRDefault="00013DFF" w:rsidP="00013DFF">
      <w:pPr>
        <w:spacing w:after="0" w:line="240" w:lineRule="auto"/>
      </w:pPr>
      <w:r>
        <w:separator/>
      </w:r>
    </w:p>
  </w:endnote>
  <w:endnote w:type="continuationSeparator" w:id="0">
    <w:p w14:paraId="0DA40693" w14:textId="77777777" w:rsidR="00013DFF" w:rsidRDefault="00013DFF" w:rsidP="00013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4004861"/>
      <w:docPartObj>
        <w:docPartGallery w:val="Page Numbers (Bottom of Page)"/>
        <w:docPartUnique/>
      </w:docPartObj>
    </w:sdtPr>
    <w:sdtEndPr>
      <w:rPr>
        <w:noProof/>
      </w:rPr>
    </w:sdtEndPr>
    <w:sdtContent>
      <w:p w14:paraId="50EB93F2" w14:textId="690BC36E" w:rsidR="007A449D" w:rsidRDefault="007A44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AB001D" w14:textId="77777777" w:rsidR="007A449D" w:rsidRDefault="007A44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F592C" w14:textId="77777777" w:rsidR="00013DFF" w:rsidRDefault="00013DFF" w:rsidP="00013DFF">
      <w:pPr>
        <w:spacing w:after="0" w:line="240" w:lineRule="auto"/>
      </w:pPr>
      <w:r>
        <w:separator/>
      </w:r>
    </w:p>
  </w:footnote>
  <w:footnote w:type="continuationSeparator" w:id="0">
    <w:p w14:paraId="7DAAF79D" w14:textId="77777777" w:rsidR="00013DFF" w:rsidRDefault="00013DFF" w:rsidP="00013D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442E16"/>
    <w:multiLevelType w:val="hybridMultilevel"/>
    <w:tmpl w:val="5E7419BC"/>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302"/>
    <w:rsid w:val="00005A53"/>
    <w:rsid w:val="00013DFF"/>
    <w:rsid w:val="000A6798"/>
    <w:rsid w:val="001334F9"/>
    <w:rsid w:val="001A71ED"/>
    <w:rsid w:val="001D34C2"/>
    <w:rsid w:val="00213EA0"/>
    <w:rsid w:val="00235C59"/>
    <w:rsid w:val="002F7E75"/>
    <w:rsid w:val="00324FCA"/>
    <w:rsid w:val="00334840"/>
    <w:rsid w:val="00375150"/>
    <w:rsid w:val="004A3F85"/>
    <w:rsid w:val="00555B7D"/>
    <w:rsid w:val="00557E43"/>
    <w:rsid w:val="005B37F5"/>
    <w:rsid w:val="00602302"/>
    <w:rsid w:val="0061192E"/>
    <w:rsid w:val="00671F40"/>
    <w:rsid w:val="006E6D5A"/>
    <w:rsid w:val="007066C1"/>
    <w:rsid w:val="00732D41"/>
    <w:rsid w:val="007A449D"/>
    <w:rsid w:val="00817750"/>
    <w:rsid w:val="0083214F"/>
    <w:rsid w:val="00865EBF"/>
    <w:rsid w:val="009951CF"/>
    <w:rsid w:val="00996AAB"/>
    <w:rsid w:val="009C5AD2"/>
    <w:rsid w:val="00A11FF9"/>
    <w:rsid w:val="00AC7AA8"/>
    <w:rsid w:val="00C10B93"/>
    <w:rsid w:val="00CA50A9"/>
    <w:rsid w:val="00D665D1"/>
    <w:rsid w:val="00E212F7"/>
    <w:rsid w:val="00E2475C"/>
    <w:rsid w:val="00EA4B16"/>
    <w:rsid w:val="00EC4425"/>
    <w:rsid w:val="00F576D4"/>
    <w:rsid w:val="00FF69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D774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34840"/>
    <w:rPr>
      <w:sz w:val="16"/>
      <w:szCs w:val="16"/>
    </w:rPr>
  </w:style>
  <w:style w:type="paragraph" w:styleId="CommentText">
    <w:name w:val="annotation text"/>
    <w:basedOn w:val="Normal"/>
    <w:link w:val="CommentTextChar"/>
    <w:uiPriority w:val="99"/>
    <w:semiHidden/>
    <w:unhideWhenUsed/>
    <w:rsid w:val="00334840"/>
    <w:pPr>
      <w:spacing w:line="240" w:lineRule="auto"/>
    </w:pPr>
    <w:rPr>
      <w:sz w:val="20"/>
      <w:szCs w:val="20"/>
    </w:rPr>
  </w:style>
  <w:style w:type="character" w:customStyle="1" w:styleId="CommentTextChar">
    <w:name w:val="Comment Text Char"/>
    <w:basedOn w:val="DefaultParagraphFont"/>
    <w:link w:val="CommentText"/>
    <w:uiPriority w:val="99"/>
    <w:semiHidden/>
    <w:rsid w:val="00334840"/>
    <w:rPr>
      <w:sz w:val="20"/>
      <w:szCs w:val="20"/>
    </w:rPr>
  </w:style>
  <w:style w:type="paragraph" w:styleId="CommentSubject">
    <w:name w:val="annotation subject"/>
    <w:basedOn w:val="CommentText"/>
    <w:next w:val="CommentText"/>
    <w:link w:val="CommentSubjectChar"/>
    <w:uiPriority w:val="99"/>
    <w:semiHidden/>
    <w:unhideWhenUsed/>
    <w:rsid w:val="00334840"/>
    <w:rPr>
      <w:b/>
      <w:bCs/>
    </w:rPr>
  </w:style>
  <w:style w:type="character" w:customStyle="1" w:styleId="CommentSubjectChar">
    <w:name w:val="Comment Subject Char"/>
    <w:basedOn w:val="CommentTextChar"/>
    <w:link w:val="CommentSubject"/>
    <w:uiPriority w:val="99"/>
    <w:semiHidden/>
    <w:rsid w:val="00334840"/>
    <w:rPr>
      <w:b/>
      <w:bCs/>
      <w:sz w:val="20"/>
      <w:szCs w:val="20"/>
    </w:rPr>
  </w:style>
  <w:style w:type="paragraph" w:styleId="BalloonText">
    <w:name w:val="Balloon Text"/>
    <w:basedOn w:val="Normal"/>
    <w:link w:val="BalloonTextChar"/>
    <w:uiPriority w:val="99"/>
    <w:semiHidden/>
    <w:unhideWhenUsed/>
    <w:rsid w:val="003348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840"/>
    <w:rPr>
      <w:rFonts w:ascii="Segoe UI" w:hAnsi="Segoe UI" w:cs="Segoe UI"/>
      <w:sz w:val="18"/>
      <w:szCs w:val="18"/>
    </w:rPr>
  </w:style>
  <w:style w:type="paragraph" w:styleId="Header">
    <w:name w:val="header"/>
    <w:basedOn w:val="Normal"/>
    <w:link w:val="HeaderChar"/>
    <w:uiPriority w:val="99"/>
    <w:unhideWhenUsed/>
    <w:rsid w:val="007A44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49D"/>
  </w:style>
  <w:style w:type="paragraph" w:styleId="Footer">
    <w:name w:val="footer"/>
    <w:basedOn w:val="Normal"/>
    <w:link w:val="FooterChar"/>
    <w:uiPriority w:val="99"/>
    <w:unhideWhenUsed/>
    <w:rsid w:val="007A44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49D"/>
  </w:style>
  <w:style w:type="character" w:styleId="Hyperlink">
    <w:name w:val="Hyperlink"/>
    <w:basedOn w:val="DefaultParagraphFont"/>
    <w:uiPriority w:val="99"/>
    <w:unhideWhenUsed/>
    <w:rsid w:val="00C10B93"/>
    <w:rPr>
      <w:color w:val="0563C1" w:themeColor="hyperlink"/>
      <w:u w:val="single"/>
    </w:rPr>
  </w:style>
  <w:style w:type="character" w:styleId="UnresolvedMention">
    <w:name w:val="Unresolved Mention"/>
    <w:basedOn w:val="DefaultParagraphFont"/>
    <w:uiPriority w:val="99"/>
    <w:semiHidden/>
    <w:unhideWhenUsed/>
    <w:rsid w:val="00C10B93"/>
    <w:rPr>
      <w:color w:val="605E5C"/>
      <w:shd w:val="clear" w:color="auto" w:fill="E1DFDD"/>
    </w:rPr>
  </w:style>
  <w:style w:type="character" w:styleId="FollowedHyperlink">
    <w:name w:val="FollowedHyperlink"/>
    <w:basedOn w:val="DefaultParagraphFont"/>
    <w:uiPriority w:val="99"/>
    <w:semiHidden/>
    <w:unhideWhenUsed/>
    <w:rsid w:val="00C10B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17405">
      <w:bodyDiv w:val="1"/>
      <w:marLeft w:val="0"/>
      <w:marRight w:val="0"/>
      <w:marTop w:val="0"/>
      <w:marBottom w:val="0"/>
      <w:divBdr>
        <w:top w:val="none" w:sz="0" w:space="0" w:color="auto"/>
        <w:left w:val="none" w:sz="0" w:space="0" w:color="auto"/>
        <w:bottom w:val="none" w:sz="0" w:space="0" w:color="auto"/>
        <w:right w:val="none" w:sz="0" w:space="0" w:color="auto"/>
      </w:divBdr>
    </w:div>
    <w:div w:id="360325251">
      <w:bodyDiv w:val="1"/>
      <w:marLeft w:val="0"/>
      <w:marRight w:val="0"/>
      <w:marTop w:val="0"/>
      <w:marBottom w:val="0"/>
      <w:divBdr>
        <w:top w:val="none" w:sz="0" w:space="0" w:color="auto"/>
        <w:left w:val="none" w:sz="0" w:space="0" w:color="auto"/>
        <w:bottom w:val="none" w:sz="0" w:space="0" w:color="auto"/>
        <w:right w:val="none" w:sz="0" w:space="0" w:color="auto"/>
      </w:divBdr>
    </w:div>
    <w:div w:id="422186734">
      <w:bodyDiv w:val="1"/>
      <w:marLeft w:val="0"/>
      <w:marRight w:val="0"/>
      <w:marTop w:val="0"/>
      <w:marBottom w:val="0"/>
      <w:divBdr>
        <w:top w:val="none" w:sz="0" w:space="0" w:color="auto"/>
        <w:left w:val="none" w:sz="0" w:space="0" w:color="auto"/>
        <w:bottom w:val="none" w:sz="0" w:space="0" w:color="auto"/>
        <w:right w:val="none" w:sz="0" w:space="0" w:color="auto"/>
      </w:divBdr>
    </w:div>
    <w:div w:id="548348871">
      <w:bodyDiv w:val="1"/>
      <w:marLeft w:val="0"/>
      <w:marRight w:val="0"/>
      <w:marTop w:val="0"/>
      <w:marBottom w:val="0"/>
      <w:divBdr>
        <w:top w:val="none" w:sz="0" w:space="0" w:color="auto"/>
        <w:left w:val="none" w:sz="0" w:space="0" w:color="auto"/>
        <w:bottom w:val="none" w:sz="0" w:space="0" w:color="auto"/>
        <w:right w:val="none" w:sz="0" w:space="0" w:color="auto"/>
      </w:divBdr>
    </w:div>
    <w:div w:id="581646358">
      <w:bodyDiv w:val="1"/>
      <w:marLeft w:val="0"/>
      <w:marRight w:val="0"/>
      <w:marTop w:val="0"/>
      <w:marBottom w:val="0"/>
      <w:divBdr>
        <w:top w:val="none" w:sz="0" w:space="0" w:color="auto"/>
        <w:left w:val="none" w:sz="0" w:space="0" w:color="auto"/>
        <w:bottom w:val="none" w:sz="0" w:space="0" w:color="auto"/>
        <w:right w:val="none" w:sz="0" w:space="0" w:color="auto"/>
      </w:divBdr>
    </w:div>
    <w:div w:id="866216546">
      <w:bodyDiv w:val="1"/>
      <w:marLeft w:val="0"/>
      <w:marRight w:val="0"/>
      <w:marTop w:val="0"/>
      <w:marBottom w:val="0"/>
      <w:divBdr>
        <w:top w:val="none" w:sz="0" w:space="0" w:color="auto"/>
        <w:left w:val="none" w:sz="0" w:space="0" w:color="auto"/>
        <w:bottom w:val="none" w:sz="0" w:space="0" w:color="auto"/>
        <w:right w:val="none" w:sz="0" w:space="0" w:color="auto"/>
      </w:divBdr>
    </w:div>
    <w:div w:id="941836349">
      <w:bodyDiv w:val="1"/>
      <w:marLeft w:val="0"/>
      <w:marRight w:val="0"/>
      <w:marTop w:val="0"/>
      <w:marBottom w:val="0"/>
      <w:divBdr>
        <w:top w:val="none" w:sz="0" w:space="0" w:color="auto"/>
        <w:left w:val="none" w:sz="0" w:space="0" w:color="auto"/>
        <w:bottom w:val="none" w:sz="0" w:space="0" w:color="auto"/>
        <w:right w:val="none" w:sz="0" w:space="0" w:color="auto"/>
      </w:divBdr>
    </w:div>
    <w:div w:id="956372252">
      <w:bodyDiv w:val="1"/>
      <w:marLeft w:val="0"/>
      <w:marRight w:val="0"/>
      <w:marTop w:val="0"/>
      <w:marBottom w:val="0"/>
      <w:divBdr>
        <w:top w:val="none" w:sz="0" w:space="0" w:color="auto"/>
        <w:left w:val="none" w:sz="0" w:space="0" w:color="auto"/>
        <w:bottom w:val="none" w:sz="0" w:space="0" w:color="auto"/>
        <w:right w:val="none" w:sz="0" w:space="0" w:color="auto"/>
      </w:divBdr>
    </w:div>
    <w:div w:id="1238785137">
      <w:bodyDiv w:val="1"/>
      <w:marLeft w:val="0"/>
      <w:marRight w:val="0"/>
      <w:marTop w:val="0"/>
      <w:marBottom w:val="0"/>
      <w:divBdr>
        <w:top w:val="none" w:sz="0" w:space="0" w:color="auto"/>
        <w:left w:val="none" w:sz="0" w:space="0" w:color="auto"/>
        <w:bottom w:val="none" w:sz="0" w:space="0" w:color="auto"/>
        <w:right w:val="none" w:sz="0" w:space="0" w:color="auto"/>
      </w:divBdr>
    </w:div>
    <w:div w:id="1492912677">
      <w:bodyDiv w:val="1"/>
      <w:marLeft w:val="0"/>
      <w:marRight w:val="0"/>
      <w:marTop w:val="0"/>
      <w:marBottom w:val="0"/>
      <w:divBdr>
        <w:top w:val="none" w:sz="0" w:space="0" w:color="auto"/>
        <w:left w:val="none" w:sz="0" w:space="0" w:color="auto"/>
        <w:bottom w:val="none" w:sz="0" w:space="0" w:color="auto"/>
        <w:right w:val="none" w:sz="0" w:space="0" w:color="auto"/>
      </w:divBdr>
    </w:div>
    <w:div w:id="1620258130">
      <w:bodyDiv w:val="1"/>
      <w:marLeft w:val="0"/>
      <w:marRight w:val="0"/>
      <w:marTop w:val="0"/>
      <w:marBottom w:val="0"/>
      <w:divBdr>
        <w:top w:val="none" w:sz="0" w:space="0" w:color="auto"/>
        <w:left w:val="none" w:sz="0" w:space="0" w:color="auto"/>
        <w:bottom w:val="none" w:sz="0" w:space="0" w:color="auto"/>
        <w:right w:val="none" w:sz="0" w:space="0" w:color="auto"/>
      </w:divBdr>
    </w:div>
    <w:div w:id="1643003130">
      <w:bodyDiv w:val="1"/>
      <w:marLeft w:val="0"/>
      <w:marRight w:val="0"/>
      <w:marTop w:val="0"/>
      <w:marBottom w:val="0"/>
      <w:divBdr>
        <w:top w:val="none" w:sz="0" w:space="0" w:color="auto"/>
        <w:left w:val="none" w:sz="0" w:space="0" w:color="auto"/>
        <w:bottom w:val="none" w:sz="0" w:space="0" w:color="auto"/>
        <w:right w:val="none" w:sz="0" w:space="0" w:color="auto"/>
      </w:divBdr>
    </w:div>
    <w:div w:id="1722827765">
      <w:bodyDiv w:val="1"/>
      <w:marLeft w:val="0"/>
      <w:marRight w:val="0"/>
      <w:marTop w:val="0"/>
      <w:marBottom w:val="0"/>
      <w:divBdr>
        <w:top w:val="none" w:sz="0" w:space="0" w:color="auto"/>
        <w:left w:val="none" w:sz="0" w:space="0" w:color="auto"/>
        <w:bottom w:val="none" w:sz="0" w:space="0" w:color="auto"/>
        <w:right w:val="none" w:sz="0" w:space="0" w:color="auto"/>
      </w:divBdr>
    </w:div>
    <w:div w:id="2014330465">
      <w:bodyDiv w:val="1"/>
      <w:marLeft w:val="0"/>
      <w:marRight w:val="0"/>
      <w:marTop w:val="0"/>
      <w:marBottom w:val="0"/>
      <w:divBdr>
        <w:top w:val="none" w:sz="0" w:space="0" w:color="auto"/>
        <w:left w:val="none" w:sz="0" w:space="0" w:color="auto"/>
        <w:bottom w:val="none" w:sz="0" w:space="0" w:color="auto"/>
        <w:right w:val="none" w:sz="0" w:space="0" w:color="auto"/>
      </w:divBdr>
    </w:div>
    <w:div w:id="203221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1623</Words>
  <Characters>9255</Characters>
  <Application>Microsoft Office Word</Application>
  <DocSecurity>0</DocSecurity>
  <Lines>77</Lines>
  <Paragraphs>21</Paragraphs>
  <ScaleCrop>false</ScaleCrop>
  <Company/>
  <LinksUpToDate>false</LinksUpToDate>
  <CharactersWithSpaces>10857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2019-08-30T04:49:00Z</dcterms:created>
  <dcterms:modified xsi:type="dcterms:W3CDTF">2019-08-30T04:49:00Z</dcterms:modified>
</cp:coreProperties>
</file>