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28C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640E342" wp14:editId="425B2F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B829" w14:textId="77777777" w:rsidR="00715914" w:rsidRPr="00E500D4" w:rsidRDefault="00715914" w:rsidP="00715914">
      <w:pPr>
        <w:rPr>
          <w:sz w:val="19"/>
        </w:rPr>
      </w:pPr>
    </w:p>
    <w:p w14:paraId="1606AA27" w14:textId="77777777" w:rsidR="00554826" w:rsidRPr="00E500D4" w:rsidRDefault="008D0360" w:rsidP="00554826">
      <w:pPr>
        <w:pStyle w:val="ShortT"/>
      </w:pPr>
      <w:r>
        <w:t>Air Navigation</w:t>
      </w:r>
      <w:r w:rsidR="00554826" w:rsidRPr="00DA182D">
        <w:t xml:space="preserve"> </w:t>
      </w:r>
      <w:r w:rsidR="00554826">
        <w:t>(</w:t>
      </w:r>
      <w:r w:rsidR="001B27A2">
        <w:t>Exemption for Commercial Non-Scheduled Flights</w:t>
      </w:r>
      <w:r w:rsidR="00554826">
        <w:t xml:space="preserve">) </w:t>
      </w:r>
      <w:r w:rsidR="008C1E16" w:rsidRPr="001B27A2">
        <w:t>Determination</w:t>
      </w:r>
      <w:r w:rsidR="001B27A2">
        <w:t> </w:t>
      </w:r>
      <w:r w:rsidR="008C1E16">
        <w:t>2019</w:t>
      </w:r>
    </w:p>
    <w:p w14:paraId="18BA68EC" w14:textId="77777777" w:rsidR="008C1E16" w:rsidRPr="00DA182D" w:rsidRDefault="008C1E16" w:rsidP="008C1E1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Stephen </w:t>
      </w:r>
      <w:proofErr w:type="spellStart"/>
      <w:r>
        <w:rPr>
          <w:szCs w:val="22"/>
        </w:rPr>
        <w:t>Borthwick</w:t>
      </w:r>
      <w:proofErr w:type="spellEnd"/>
      <w:r w:rsidRPr="00DA182D">
        <w:rPr>
          <w:szCs w:val="22"/>
        </w:rPr>
        <w:t xml:space="preserve">, </w:t>
      </w:r>
      <w:r w:rsidR="001B27A2">
        <w:rPr>
          <w:szCs w:val="22"/>
        </w:rPr>
        <w:t>delegate of the Secretary</w:t>
      </w:r>
      <w:r w:rsidR="00777072">
        <w:rPr>
          <w:szCs w:val="22"/>
        </w:rPr>
        <w:t xml:space="preserve"> of the</w:t>
      </w:r>
      <w:r w:rsidR="001B27A2">
        <w:rPr>
          <w:szCs w:val="22"/>
        </w:rPr>
        <w:t xml:space="preserve"> Department of Infrastructure, Regional Development and Cities</w:t>
      </w:r>
      <w:r>
        <w:rPr>
          <w:szCs w:val="22"/>
        </w:rPr>
        <w:t>, make the following determination</w:t>
      </w:r>
      <w:r w:rsidRPr="00DA182D">
        <w:rPr>
          <w:szCs w:val="22"/>
        </w:rPr>
        <w:t>.</w:t>
      </w:r>
    </w:p>
    <w:p w14:paraId="4257D58A" w14:textId="600C205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84678">
        <w:rPr>
          <w:szCs w:val="22"/>
        </w:rPr>
        <w:t xml:space="preserve">22 </w:t>
      </w:r>
      <w:bookmarkStart w:id="0" w:name="_GoBack"/>
      <w:bookmarkEnd w:id="0"/>
      <w:r w:rsidR="008C1E16">
        <w:rPr>
          <w:szCs w:val="22"/>
        </w:rPr>
        <w:t>March 2019</w:t>
      </w:r>
    </w:p>
    <w:p w14:paraId="3EA7E4A0" w14:textId="757113F4" w:rsidR="00554826" w:rsidRDefault="008C1E1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Stephen </w:t>
      </w:r>
      <w:proofErr w:type="spellStart"/>
      <w:r>
        <w:rPr>
          <w:szCs w:val="22"/>
        </w:rPr>
        <w:t>Borthwick</w:t>
      </w:r>
      <w:proofErr w:type="spellEnd"/>
    </w:p>
    <w:p w14:paraId="49FAB1A1" w14:textId="77777777" w:rsidR="00554826" w:rsidRDefault="001B27A2" w:rsidP="00554826">
      <w:pPr>
        <w:pStyle w:val="SignCoverPageEnd"/>
        <w:ind w:right="91"/>
        <w:rPr>
          <w:sz w:val="22"/>
        </w:rPr>
      </w:pPr>
      <w:r>
        <w:rPr>
          <w:sz w:val="22"/>
        </w:rPr>
        <w:t>General Manager, Aviation Industry Policy Branch</w:t>
      </w:r>
      <w:r>
        <w:rPr>
          <w:sz w:val="22"/>
        </w:rPr>
        <w:br/>
        <w:t>Department of Infrastructure, Regional Development and Cities</w:t>
      </w:r>
    </w:p>
    <w:p w14:paraId="317D4FB8" w14:textId="77777777" w:rsidR="00554826" w:rsidRDefault="00554826" w:rsidP="00554826"/>
    <w:p w14:paraId="2F6824B4" w14:textId="77777777" w:rsidR="00554826" w:rsidRPr="00ED79B6" w:rsidRDefault="00554826" w:rsidP="00554826"/>
    <w:p w14:paraId="4954E595" w14:textId="77777777" w:rsidR="00F6696E" w:rsidRDefault="00F6696E" w:rsidP="00F6696E"/>
    <w:p w14:paraId="58F856F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A2C8F9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DFA3A99" w14:textId="7A51A08C" w:rsidR="00602C11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02C11">
        <w:rPr>
          <w:noProof/>
        </w:rPr>
        <w:t>Part 1—Preliminary</w:t>
      </w:r>
      <w:r w:rsidR="00602C11">
        <w:rPr>
          <w:noProof/>
        </w:rPr>
        <w:tab/>
      </w:r>
      <w:r w:rsidR="00602C11">
        <w:rPr>
          <w:noProof/>
        </w:rPr>
        <w:fldChar w:fldCharType="begin"/>
      </w:r>
      <w:r w:rsidR="00602C11">
        <w:rPr>
          <w:noProof/>
        </w:rPr>
        <w:instrText xml:space="preserve"> PAGEREF _Toc3984153 \h </w:instrText>
      </w:r>
      <w:r w:rsidR="00602C11">
        <w:rPr>
          <w:noProof/>
        </w:rPr>
      </w:r>
      <w:r w:rsidR="00602C11">
        <w:rPr>
          <w:noProof/>
        </w:rPr>
        <w:fldChar w:fldCharType="separate"/>
      </w:r>
      <w:r w:rsidR="00602C11">
        <w:rPr>
          <w:noProof/>
        </w:rPr>
        <w:t>1</w:t>
      </w:r>
      <w:r w:rsidR="00602C11">
        <w:rPr>
          <w:noProof/>
        </w:rPr>
        <w:fldChar w:fldCharType="end"/>
      </w:r>
    </w:p>
    <w:p w14:paraId="13A6E351" w14:textId="18D658B9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6B44D7" w14:textId="792AAEFF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3C983E" w14:textId="618C0009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A9357A" w14:textId="47951E6B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755094" w14:textId="29955BC4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A10DA4" w14:textId="5B9B04B1" w:rsidR="00602C11" w:rsidRDefault="00602C1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2—Permission not required for certain flights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95182F" w14:textId="6B380D08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Categories of flights in respect of which permission not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CD811E" w14:textId="5CD06122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Single charter flight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DF1EA9" w14:textId="41F2325B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Programs of passenger charter flights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A80D2A" w14:textId="39FECF68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Own-use charter flight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0DE0F2" w14:textId="76BA236C" w:rsidR="00602C11" w:rsidRDefault="00602C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Charter flight for carriage of homogenous cargo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7B71D6" w14:textId="688AF516" w:rsidR="00602C11" w:rsidRDefault="00602C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CB1B59" w14:textId="54F402D9" w:rsidR="00602C11" w:rsidRDefault="00602C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044E">
        <w:rPr>
          <w:i w:val="0"/>
          <w:noProof/>
        </w:rPr>
        <w:t xml:space="preserve">Determination under subsection 15A(3) of the </w:t>
      </w:r>
      <w:r>
        <w:rPr>
          <w:noProof/>
        </w:rPr>
        <w:t>Air Navigation Act 1920</w:t>
      </w:r>
      <w:r w:rsidRPr="00E4044E">
        <w:rPr>
          <w:i w:val="0"/>
          <w:noProof/>
        </w:rPr>
        <w:t xml:space="preserve"> made on 21 April 1997 (F2008B00763)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_Toc3984166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BCA0D55" w14:textId="34B2E4A4" w:rsidR="00F6696E" w:rsidRDefault="00B418CB" w:rsidP="00F6696E">
      <w:pPr>
        <w:outlineLvl w:val="0"/>
      </w:pPr>
      <w:r>
        <w:fldChar w:fldCharType="end"/>
      </w:r>
    </w:p>
    <w:p w14:paraId="316E2ED3" w14:textId="77777777" w:rsidR="00F6696E" w:rsidRPr="00A802BC" w:rsidRDefault="00F6696E" w:rsidP="00F6696E">
      <w:pPr>
        <w:outlineLvl w:val="0"/>
        <w:rPr>
          <w:sz w:val="20"/>
        </w:rPr>
      </w:pPr>
    </w:p>
    <w:p w14:paraId="6B07304A" w14:textId="77777777" w:rsidR="00F6696E" w:rsidRDefault="00F6696E" w:rsidP="00F6696E">
      <w:pPr>
        <w:sectPr w:rsidR="00F6696E" w:rsidSect="00641E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D46658" w14:textId="77777777" w:rsidR="00301BD5" w:rsidRDefault="00301BD5" w:rsidP="0056134B">
      <w:pPr>
        <w:pStyle w:val="ActHead2"/>
      </w:pPr>
      <w:bookmarkStart w:id="1" w:name="_Toc3984153"/>
      <w:r>
        <w:lastRenderedPageBreak/>
        <w:t>Part 1—Preliminary</w:t>
      </w:r>
      <w:bookmarkEnd w:id="1"/>
    </w:p>
    <w:p w14:paraId="28670155" w14:textId="77777777" w:rsidR="00554826" w:rsidRPr="00554826" w:rsidRDefault="00554826" w:rsidP="00554826">
      <w:pPr>
        <w:pStyle w:val="ActHead5"/>
      </w:pPr>
      <w:bookmarkStart w:id="2" w:name="_Toc3984154"/>
      <w:proofErr w:type="gramStart"/>
      <w:r w:rsidRPr="00554826">
        <w:t>1  Name</w:t>
      </w:r>
      <w:bookmarkEnd w:id="2"/>
      <w:proofErr w:type="gramEnd"/>
    </w:p>
    <w:p w14:paraId="12AAD8A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B27A2" w:rsidRPr="001B27A2">
        <w:rPr>
          <w:i/>
        </w:rPr>
        <w:t>Air Navigation (</w:t>
      </w:r>
      <w:r w:rsidR="001B27A2">
        <w:rPr>
          <w:i/>
        </w:rPr>
        <w:t xml:space="preserve">Exemption for </w:t>
      </w:r>
      <w:r w:rsidR="001B27A2" w:rsidRPr="001B27A2">
        <w:rPr>
          <w:i/>
        </w:rPr>
        <w:t>Commercial Non-Scheduled Flight</w:t>
      </w:r>
      <w:r w:rsidR="001B27A2">
        <w:rPr>
          <w:i/>
        </w:rPr>
        <w:t>s</w:t>
      </w:r>
      <w:r w:rsidR="001B27A2" w:rsidRPr="001B27A2">
        <w:rPr>
          <w:i/>
        </w:rPr>
        <w:t>) Determination 2019</w:t>
      </w:r>
      <w:r w:rsidRPr="009C2562">
        <w:t>.</w:t>
      </w:r>
    </w:p>
    <w:p w14:paraId="3F46FA34" w14:textId="77777777" w:rsidR="00554826" w:rsidRPr="00554826" w:rsidRDefault="00554826" w:rsidP="00554826">
      <w:pPr>
        <w:pStyle w:val="ActHead5"/>
      </w:pPr>
      <w:bookmarkStart w:id="4" w:name="_Toc3984155"/>
      <w:proofErr w:type="gramStart"/>
      <w:r w:rsidRPr="00554826">
        <w:t>2  Commencement</w:t>
      </w:r>
      <w:bookmarkEnd w:id="4"/>
      <w:proofErr w:type="gramEnd"/>
    </w:p>
    <w:p w14:paraId="20F96DD1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5E5F6C">
        <w:t>on the day after it is registered</w:t>
      </w:r>
      <w:r>
        <w:t>.</w:t>
      </w:r>
    </w:p>
    <w:p w14:paraId="1BF6A4FF" w14:textId="77777777" w:rsidR="00554826" w:rsidRPr="00554826" w:rsidRDefault="00554826" w:rsidP="00554826">
      <w:pPr>
        <w:pStyle w:val="ActHead5"/>
      </w:pPr>
      <w:bookmarkStart w:id="5" w:name="_Toc3984156"/>
      <w:proofErr w:type="gramStart"/>
      <w:r w:rsidRPr="00554826">
        <w:t>3  Authority</w:t>
      </w:r>
      <w:bookmarkEnd w:id="5"/>
      <w:proofErr w:type="gramEnd"/>
    </w:p>
    <w:p w14:paraId="60249BB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E5F6C">
        <w:t xml:space="preserve">subsection </w:t>
      </w:r>
      <w:proofErr w:type="gramStart"/>
      <w:r w:rsidR="005E5F6C">
        <w:t>15A(</w:t>
      </w:r>
      <w:proofErr w:type="gramEnd"/>
      <w:r w:rsidR="005E5F6C">
        <w:t xml:space="preserve">3) of the </w:t>
      </w:r>
      <w:r w:rsidR="005E5F6C" w:rsidRPr="005E5F6C">
        <w:rPr>
          <w:i/>
        </w:rPr>
        <w:t>Air Navigation</w:t>
      </w:r>
      <w:r w:rsidR="005E5F6C">
        <w:rPr>
          <w:i/>
        </w:rPr>
        <w:t xml:space="preserve"> Act 1920</w:t>
      </w:r>
      <w:r w:rsidRPr="009C2562">
        <w:t>.</w:t>
      </w:r>
    </w:p>
    <w:p w14:paraId="77765D1F" w14:textId="77777777" w:rsidR="00554826" w:rsidRPr="00554826" w:rsidRDefault="00554826" w:rsidP="00554826">
      <w:pPr>
        <w:pStyle w:val="ActHead5"/>
      </w:pPr>
      <w:bookmarkStart w:id="6" w:name="_Toc3984157"/>
      <w:proofErr w:type="gramStart"/>
      <w:r w:rsidRPr="00554826">
        <w:t>4  Definitions</w:t>
      </w:r>
      <w:bookmarkEnd w:id="6"/>
      <w:proofErr w:type="gramEnd"/>
    </w:p>
    <w:p w14:paraId="12DF5D75" w14:textId="77777777" w:rsidR="00554826" w:rsidRPr="009C2562" w:rsidRDefault="00554826" w:rsidP="00554826">
      <w:pPr>
        <w:pStyle w:val="notetext"/>
      </w:pPr>
      <w:r w:rsidRPr="009C2562">
        <w:t>Note</w:t>
      </w:r>
      <w:r w:rsidR="00777072"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 w:rsidR="0085616B">
        <w:t>subsection 3(1)</w:t>
      </w:r>
      <w:r>
        <w:t xml:space="preserve"> of the Act</w:t>
      </w:r>
      <w:r w:rsidRPr="009C2562">
        <w:t>, including the following:</w:t>
      </w:r>
    </w:p>
    <w:p w14:paraId="1E111A43" w14:textId="77777777" w:rsidR="00D46BE1" w:rsidRDefault="00D46BE1" w:rsidP="00554826">
      <w:pPr>
        <w:pStyle w:val="notepara"/>
      </w:pPr>
      <w:r>
        <w:t>(</w:t>
      </w:r>
      <w:r w:rsidR="008C4197">
        <w:t>a</w:t>
      </w:r>
      <w:r>
        <w:t>)</w:t>
      </w:r>
      <w:r>
        <w:tab/>
      </w:r>
      <w:proofErr w:type="gramStart"/>
      <w:r>
        <w:t>aircraft</w:t>
      </w:r>
      <w:proofErr w:type="gramEnd"/>
      <w:r>
        <w:t>;</w:t>
      </w:r>
    </w:p>
    <w:p w14:paraId="11293E21" w14:textId="77777777" w:rsidR="0085616B" w:rsidRDefault="0085616B" w:rsidP="00554826">
      <w:pPr>
        <w:pStyle w:val="notepara"/>
      </w:pPr>
      <w:r>
        <w:t>(</w:t>
      </w:r>
      <w:r w:rsidR="008C4197">
        <w:t>b)</w:t>
      </w:r>
      <w:r w:rsidR="008C4197">
        <w:tab/>
      </w:r>
      <w:proofErr w:type="gramStart"/>
      <w:r w:rsidR="008C4197">
        <w:t>non-scheduled</w:t>
      </w:r>
      <w:proofErr w:type="gramEnd"/>
      <w:r w:rsidR="008C4197">
        <w:t xml:space="preserve"> flight.</w:t>
      </w:r>
    </w:p>
    <w:p w14:paraId="76413DE5" w14:textId="77777777" w:rsidR="0085616B" w:rsidRDefault="00777072" w:rsidP="0056134B">
      <w:pPr>
        <w:pStyle w:val="notetext"/>
      </w:pPr>
      <w:r>
        <w:t>Note 2:</w:t>
      </w:r>
      <w:r>
        <w:tab/>
      </w:r>
      <w:r w:rsidR="0085616B">
        <w:t>In addition, the following expressions are defined in s</w:t>
      </w:r>
      <w:r w:rsidR="00D46BE1">
        <w:t>ection</w:t>
      </w:r>
      <w:r w:rsidR="0085616B">
        <w:t xml:space="preserve"> 15 of the Act</w:t>
      </w:r>
      <w:r w:rsidR="00D46BE1">
        <w:t xml:space="preserve"> in relation to sections 15A to 15F</w:t>
      </w:r>
      <w:r w:rsidR="0085616B">
        <w:t>:</w:t>
      </w:r>
    </w:p>
    <w:p w14:paraId="3FF06617" w14:textId="77777777" w:rsidR="0085616B" w:rsidRDefault="0085616B" w:rsidP="00554826">
      <w:pPr>
        <w:pStyle w:val="notepara"/>
      </w:pPr>
      <w:r>
        <w:t>(</w:t>
      </w:r>
      <w:r w:rsidR="00777072">
        <w:t>a</w:t>
      </w:r>
      <w:r>
        <w:t>)</w:t>
      </w:r>
      <w:r>
        <w:tab/>
      </w:r>
      <w:proofErr w:type="gramStart"/>
      <w:r>
        <w:t>charterer</w:t>
      </w:r>
      <w:proofErr w:type="gramEnd"/>
      <w:r>
        <w:t>;</w:t>
      </w:r>
    </w:p>
    <w:p w14:paraId="0489496A" w14:textId="77777777" w:rsidR="0085616B" w:rsidRPr="009C2562" w:rsidRDefault="0085616B" w:rsidP="00554826">
      <w:pPr>
        <w:pStyle w:val="notepara"/>
      </w:pPr>
      <w:r>
        <w:t>(</w:t>
      </w:r>
      <w:r w:rsidR="00777072">
        <w:t>b</w:t>
      </w:r>
      <w:r>
        <w:t>)</w:t>
      </w:r>
      <w:r>
        <w:tab/>
      </w:r>
      <w:proofErr w:type="gramStart"/>
      <w:r>
        <w:t>charter</w:t>
      </w:r>
      <w:proofErr w:type="gramEnd"/>
      <w:r>
        <w:t xml:space="preserve"> operator.</w:t>
      </w:r>
    </w:p>
    <w:p w14:paraId="21D21EC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4F4A0A0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5E5F6C">
        <w:rPr>
          <w:i/>
        </w:rPr>
        <w:t>Air Navigation Act 1920</w:t>
      </w:r>
      <w:r>
        <w:t>.</w:t>
      </w:r>
    </w:p>
    <w:p w14:paraId="07C2E129" w14:textId="77777777" w:rsidR="00A3343B" w:rsidRDefault="00A3343B" w:rsidP="00554826">
      <w:pPr>
        <w:pStyle w:val="Definition"/>
      </w:pPr>
      <w:proofErr w:type="gramStart"/>
      <w:r>
        <w:rPr>
          <w:b/>
          <w:i/>
        </w:rPr>
        <w:t>associate</w:t>
      </w:r>
      <w:proofErr w:type="gramEnd"/>
      <w:r>
        <w:rPr>
          <w:b/>
          <w:i/>
        </w:rPr>
        <w:t xml:space="preserve"> </w:t>
      </w:r>
      <w:r w:rsidR="006C62D0">
        <w:t>means a person who, in relation to another person, is:</w:t>
      </w:r>
    </w:p>
    <w:p w14:paraId="5A449CDD" w14:textId="77777777" w:rsidR="006C62D0" w:rsidRDefault="006C62D0" w:rsidP="006C62D0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member of the same unincorporated association; or</w:t>
      </w:r>
    </w:p>
    <w:p w14:paraId="1542A241" w14:textId="77777777" w:rsidR="006C62D0" w:rsidRPr="008D2FC8" w:rsidRDefault="006C62D0" w:rsidP="006C62D0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partner under a partnership agreement.</w:t>
      </w:r>
    </w:p>
    <w:p w14:paraId="38575488" w14:textId="77777777" w:rsidR="00576DE5" w:rsidRPr="00301BD5" w:rsidRDefault="00514F40" w:rsidP="00301BD5">
      <w:pPr>
        <w:pStyle w:val="Definition"/>
      </w:pPr>
      <w:proofErr w:type="gramStart"/>
      <w:r>
        <w:rPr>
          <w:b/>
          <w:i/>
        </w:rPr>
        <w:t>charter</w:t>
      </w:r>
      <w:proofErr w:type="gramEnd"/>
      <w:r>
        <w:rPr>
          <w:b/>
          <w:i/>
        </w:rPr>
        <w:t xml:space="preserve"> flight</w:t>
      </w:r>
      <w:r>
        <w:rPr>
          <w:b/>
        </w:rPr>
        <w:t xml:space="preserve"> </w:t>
      </w:r>
      <w:r w:rsidR="00295E7D">
        <w:t xml:space="preserve">means a non-scheduled flight </w:t>
      </w:r>
      <w:r w:rsidR="00576DE5">
        <w:t xml:space="preserve">by an aircraft </w:t>
      </w:r>
      <w:r w:rsidR="003C3CEC">
        <w:t>which takes on or discharges passengers</w:t>
      </w:r>
      <w:r w:rsidR="00942ECA">
        <w:t>,</w:t>
      </w:r>
      <w:r w:rsidR="003C3CEC">
        <w:t xml:space="preserve"> cargo </w:t>
      </w:r>
      <w:r w:rsidR="00942ECA">
        <w:t xml:space="preserve">or mail </w:t>
      </w:r>
      <w:r w:rsidR="003C3CEC">
        <w:t>for carriage for reward in Australian territory</w:t>
      </w:r>
      <w:r w:rsidR="001424A8">
        <w:t>.</w:t>
      </w:r>
    </w:p>
    <w:p w14:paraId="449F9B28" w14:textId="77777777" w:rsidR="00E8015E" w:rsidRPr="00E8015E" w:rsidRDefault="00D46BE1" w:rsidP="00000138">
      <w:pPr>
        <w:pStyle w:val="Definition"/>
      </w:pPr>
      <w:proofErr w:type="gramStart"/>
      <w:r>
        <w:rPr>
          <w:b/>
          <w:i/>
        </w:rPr>
        <w:t>program</w:t>
      </w:r>
      <w:proofErr w:type="gramEnd"/>
      <w:r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a program of </w:t>
      </w:r>
      <w:r w:rsidR="001424A8">
        <w:t>charter</w:t>
      </w:r>
      <w:r>
        <w:t xml:space="preserve"> flights of one or more aircraft conducted pursuant to an </w:t>
      </w:r>
      <w:r w:rsidR="002E6A76">
        <w:t xml:space="preserve">arrangement </w:t>
      </w:r>
      <w:r>
        <w:t>between a charterer and charter operator</w:t>
      </w:r>
      <w:r w:rsidR="00554826">
        <w:t>.</w:t>
      </w:r>
    </w:p>
    <w:p w14:paraId="3A102499" w14:textId="77777777" w:rsidR="00771214" w:rsidRDefault="00771214" w:rsidP="00771214">
      <w:pPr>
        <w:pStyle w:val="notetext"/>
      </w:pPr>
      <w:r>
        <w:t>Note:</w:t>
      </w:r>
      <w:r>
        <w:tab/>
        <w:t xml:space="preserve">A program may </w:t>
      </w:r>
      <w:r w:rsidR="0023107D">
        <w:t>consist of</w:t>
      </w:r>
      <w:r>
        <w:t xml:space="preserve"> flights with different origins and destinations.</w:t>
      </w:r>
    </w:p>
    <w:p w14:paraId="1858DDF9" w14:textId="77777777" w:rsidR="00554826" w:rsidRPr="00554826" w:rsidRDefault="00554826" w:rsidP="00554826">
      <w:pPr>
        <w:pStyle w:val="ActHead5"/>
      </w:pPr>
      <w:bookmarkStart w:id="7" w:name="_Toc454781205"/>
      <w:bookmarkStart w:id="8" w:name="_Toc3984158"/>
      <w:proofErr w:type="gramStart"/>
      <w:r w:rsidRPr="00554826">
        <w:t>5  Schedules</w:t>
      </w:r>
      <w:bookmarkEnd w:id="7"/>
      <w:bookmarkEnd w:id="8"/>
      <w:proofErr w:type="gramEnd"/>
    </w:p>
    <w:p w14:paraId="24484B83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85A0F5" w14:textId="77777777" w:rsidR="00E9538B" w:rsidRPr="00000138" w:rsidRDefault="00301BD5" w:rsidP="0056134B">
      <w:pPr>
        <w:pStyle w:val="ActHead2"/>
      </w:pPr>
      <w:bookmarkStart w:id="9" w:name="_Toc3984159"/>
      <w:r>
        <w:lastRenderedPageBreak/>
        <w:t>Part 2—</w:t>
      </w:r>
      <w:r w:rsidR="00000138">
        <w:t>Permission not required for certain flights</w:t>
      </w:r>
      <w:bookmarkEnd w:id="9"/>
    </w:p>
    <w:p w14:paraId="157C8B9B" w14:textId="77777777" w:rsidR="008144EC" w:rsidRDefault="008144EC" w:rsidP="008C4197">
      <w:pPr>
        <w:pStyle w:val="ActHead5"/>
      </w:pPr>
      <w:bookmarkStart w:id="10" w:name="_Toc3984160"/>
      <w:proofErr w:type="gramStart"/>
      <w:r>
        <w:t xml:space="preserve">6  </w:t>
      </w:r>
      <w:r w:rsidR="00514F40">
        <w:t>Categories</w:t>
      </w:r>
      <w:proofErr w:type="gramEnd"/>
      <w:r w:rsidR="00514F40">
        <w:t xml:space="preserve"> of </w:t>
      </w:r>
      <w:r w:rsidR="00511F59">
        <w:t>flights</w:t>
      </w:r>
      <w:r w:rsidR="00514F40">
        <w:t xml:space="preserve"> in respect of which permission not required</w:t>
      </w:r>
      <w:bookmarkEnd w:id="10"/>
    </w:p>
    <w:p w14:paraId="6604806A" w14:textId="77777777" w:rsidR="008144EC" w:rsidRDefault="008C4197" w:rsidP="008C4197">
      <w:pPr>
        <w:pStyle w:val="subsection"/>
      </w:pPr>
      <w:r>
        <w:tab/>
      </w:r>
      <w:r>
        <w:tab/>
      </w:r>
      <w:r w:rsidR="00777072">
        <w:t>For the purposes of subsection 15A(3) of the Act, a p</w:t>
      </w:r>
      <w:r w:rsidR="008144EC">
        <w:t xml:space="preserve">ermission is not required in relation to </w:t>
      </w:r>
      <w:r w:rsidR="00777072">
        <w:t xml:space="preserve">a </w:t>
      </w:r>
      <w:r w:rsidR="00576DE5">
        <w:t>flight</w:t>
      </w:r>
      <w:r w:rsidR="00514F40">
        <w:t xml:space="preserve"> </w:t>
      </w:r>
      <w:r w:rsidR="00777072">
        <w:t>if</w:t>
      </w:r>
      <w:r w:rsidR="00000138">
        <w:t xml:space="preserve"> any </w:t>
      </w:r>
      <w:r w:rsidR="00171671">
        <w:t>of sections 7 to 10</w:t>
      </w:r>
      <w:r w:rsidR="008144EC">
        <w:t xml:space="preserve"> appl</w:t>
      </w:r>
      <w:r w:rsidR="00171671">
        <w:t>y</w:t>
      </w:r>
      <w:r w:rsidR="00777072">
        <w:t xml:space="preserve"> to it</w:t>
      </w:r>
      <w:r w:rsidR="008144EC">
        <w:t>.</w:t>
      </w:r>
    </w:p>
    <w:p w14:paraId="55BF4ACF" w14:textId="77777777" w:rsidR="001B27A2" w:rsidRDefault="008144EC" w:rsidP="008C4197">
      <w:pPr>
        <w:pStyle w:val="ActHead5"/>
      </w:pPr>
      <w:bookmarkStart w:id="11" w:name="_Toc3984161"/>
      <w:proofErr w:type="gramStart"/>
      <w:r>
        <w:t>7</w:t>
      </w:r>
      <w:r w:rsidR="002E6A76">
        <w:t xml:space="preserve">  </w:t>
      </w:r>
      <w:r w:rsidR="00576DE5">
        <w:t>Single</w:t>
      </w:r>
      <w:proofErr w:type="gramEnd"/>
      <w:r w:rsidR="00576DE5">
        <w:t xml:space="preserve"> charter flight</w:t>
      </w:r>
      <w:bookmarkEnd w:id="11"/>
    </w:p>
    <w:p w14:paraId="26A5BB0C" w14:textId="3AB4A801" w:rsidR="001B27A2" w:rsidRDefault="003D7CA6" w:rsidP="003D7CA6">
      <w:pPr>
        <w:pStyle w:val="subsection"/>
      </w:pPr>
      <w:r>
        <w:tab/>
      </w:r>
      <w:r>
        <w:tab/>
      </w:r>
      <w:r w:rsidR="008144EC">
        <w:t xml:space="preserve">This </w:t>
      </w:r>
      <w:r w:rsidR="00000138" w:rsidRPr="003D7CA6">
        <w:t>section</w:t>
      </w:r>
      <w:r w:rsidR="00000138">
        <w:t xml:space="preserve"> </w:t>
      </w:r>
      <w:r w:rsidR="008144EC">
        <w:t>applies to a</w:t>
      </w:r>
      <w:r w:rsidR="00576DE5">
        <w:t xml:space="preserve"> charter flight </w:t>
      </w:r>
      <w:r w:rsidR="00576DE5" w:rsidRPr="003D7CA6">
        <w:t>which</w:t>
      </w:r>
      <w:r w:rsidR="00576DE5">
        <w:t xml:space="preserve"> does not form part of a program</w:t>
      </w:r>
      <w:r w:rsidR="00EE3E2C">
        <w:t>.</w:t>
      </w:r>
    </w:p>
    <w:p w14:paraId="4FF26879" w14:textId="655A6962" w:rsidR="003F00F1" w:rsidRDefault="003F00F1" w:rsidP="008C4197">
      <w:pPr>
        <w:pStyle w:val="ActHead5"/>
      </w:pPr>
      <w:bookmarkStart w:id="12" w:name="_Toc3984162"/>
      <w:proofErr w:type="gramStart"/>
      <w:r>
        <w:t xml:space="preserve">8  </w:t>
      </w:r>
      <w:r w:rsidR="00DF2F48">
        <w:t>P</w:t>
      </w:r>
      <w:r>
        <w:t>rogram</w:t>
      </w:r>
      <w:r w:rsidR="00DF2F48">
        <w:t>s</w:t>
      </w:r>
      <w:proofErr w:type="gramEnd"/>
      <w:r w:rsidR="00514F40">
        <w:t xml:space="preserve"> of passenger charter flights</w:t>
      </w:r>
      <w:bookmarkEnd w:id="12"/>
    </w:p>
    <w:p w14:paraId="219EC094" w14:textId="3E9617C5" w:rsidR="00EE3E2C" w:rsidRDefault="008C4197" w:rsidP="008C4197">
      <w:pPr>
        <w:pStyle w:val="subsection"/>
      </w:pPr>
      <w:r>
        <w:rPr>
          <w:rStyle w:val="subsectionChar"/>
        </w:rPr>
        <w:tab/>
      </w:r>
      <w:r w:rsidR="00EE3E2C" w:rsidRPr="008C4197">
        <w:rPr>
          <w:rStyle w:val="subsectionChar"/>
        </w:rPr>
        <w:tab/>
        <w:t xml:space="preserve">This section applies to a </w:t>
      </w:r>
      <w:r w:rsidR="003E2289">
        <w:rPr>
          <w:rStyle w:val="subsectionChar"/>
        </w:rPr>
        <w:t xml:space="preserve">charter </w:t>
      </w:r>
      <w:r w:rsidR="00EE3E2C" w:rsidRPr="008C4197">
        <w:rPr>
          <w:rStyle w:val="subsectionChar"/>
        </w:rPr>
        <w:t xml:space="preserve">flight </w:t>
      </w:r>
      <w:r w:rsidR="00723EAF">
        <w:rPr>
          <w:rStyle w:val="subsectionChar"/>
        </w:rPr>
        <w:t>forming part of</w:t>
      </w:r>
      <w:r w:rsidR="003C6E53">
        <w:rPr>
          <w:rStyle w:val="subsectionChar"/>
        </w:rPr>
        <w:t xml:space="preserve"> a program </w:t>
      </w:r>
      <w:r w:rsidR="00EE3E2C" w:rsidRPr="008C4197">
        <w:rPr>
          <w:rStyle w:val="subsectionChar"/>
        </w:rPr>
        <w:t>conducted for the purpose of transporting passengers</w:t>
      </w:r>
      <w:r w:rsidR="003C6E53">
        <w:t xml:space="preserve"> </w:t>
      </w:r>
      <w:r w:rsidR="00007235">
        <w:t xml:space="preserve">if </w:t>
      </w:r>
      <w:r w:rsidR="00D43A3B">
        <w:t xml:space="preserve">all </w:t>
      </w:r>
      <w:r w:rsidR="00EE3E2C">
        <w:t>of the following apply:</w:t>
      </w:r>
    </w:p>
    <w:p w14:paraId="624EA057" w14:textId="77777777" w:rsidR="00EE3E2C" w:rsidRDefault="008C4197" w:rsidP="008C4197">
      <w:pPr>
        <w:pStyle w:val="paragraph"/>
      </w:pPr>
      <w:r>
        <w:tab/>
      </w:r>
      <w:r w:rsidR="00EE3E2C">
        <w:t>(a)</w:t>
      </w:r>
      <w:r w:rsidR="00EE3E2C">
        <w:tab/>
      </w:r>
      <w:proofErr w:type="gramStart"/>
      <w:r w:rsidR="00F56B87">
        <w:t>all</w:t>
      </w:r>
      <w:proofErr w:type="gramEnd"/>
      <w:r w:rsidR="00F56B87">
        <w:t xml:space="preserve"> of </w:t>
      </w:r>
      <w:r w:rsidR="00637BEB">
        <w:t xml:space="preserve">the </w:t>
      </w:r>
      <w:r w:rsidR="00F56B87">
        <w:t xml:space="preserve">flights constituting the </w:t>
      </w:r>
      <w:r w:rsidR="00637BEB">
        <w:t xml:space="preserve">program </w:t>
      </w:r>
      <w:r w:rsidR="00F56B87">
        <w:t>are conducted by aircraft with a seating capacity not exceeding an item in column 2</w:t>
      </w:r>
      <w:r w:rsidR="003F00F1">
        <w:t xml:space="preserve"> of Table A</w:t>
      </w:r>
      <w:r w:rsidR="00F56B87">
        <w:t>;</w:t>
      </w:r>
    </w:p>
    <w:p w14:paraId="7D6A1ABE" w14:textId="77777777" w:rsidR="00D43A3B" w:rsidRDefault="008C4197" w:rsidP="008C4197">
      <w:pPr>
        <w:pStyle w:val="paragraph"/>
      </w:pPr>
      <w:r>
        <w:tab/>
      </w:r>
      <w:r w:rsidR="00F56B87">
        <w:t>(b)</w:t>
      </w:r>
      <w:r w:rsidR="00F56B87">
        <w:tab/>
      </w:r>
      <w:proofErr w:type="gramStart"/>
      <w:r w:rsidR="00F56B87">
        <w:t>the</w:t>
      </w:r>
      <w:proofErr w:type="gramEnd"/>
      <w:r w:rsidR="00F56B87">
        <w:t xml:space="preserve"> number of flights constituting the program does not exceed the corresponding item in column 3</w:t>
      </w:r>
      <w:r w:rsidR="00C3129D">
        <w:t xml:space="preserve"> of </w:t>
      </w:r>
      <w:r w:rsidR="003F00F1">
        <w:t>Table A</w:t>
      </w:r>
      <w:r w:rsidR="00D43A3B">
        <w:t>;</w:t>
      </w:r>
    </w:p>
    <w:p w14:paraId="6A90F5DD" w14:textId="77777777" w:rsidR="00F56B87" w:rsidRDefault="00D43A3B" w:rsidP="008C4197">
      <w:pPr>
        <w:pStyle w:val="paragraph"/>
      </w:pPr>
      <w:r>
        <w:tab/>
      </w:r>
      <w:r w:rsidRPr="00D43A3B">
        <w:t>(c)</w:t>
      </w:r>
      <w:r w:rsidRPr="00D43A3B">
        <w:tab/>
        <w:t xml:space="preserve">within 14 days after the end of the first flight constituting the program, the charter operator gives a written notice to the Secretary setting out the information referred to in </w:t>
      </w:r>
      <w:r w:rsidR="002D3750">
        <w:t>paragraphs (a) to (g) of subsection</w:t>
      </w:r>
      <w:r w:rsidR="00DF2F48">
        <w:t xml:space="preserve"> </w:t>
      </w:r>
      <w:r w:rsidRPr="00D43A3B">
        <w:t>15C</w:t>
      </w:r>
      <w:r w:rsidR="002D3750">
        <w:t>(1)</w:t>
      </w:r>
      <w:r w:rsidRPr="00D43A3B">
        <w:t xml:space="preserve"> of the Act</w:t>
      </w:r>
      <w:r w:rsidR="003C6E53">
        <w:t>.</w:t>
      </w:r>
    </w:p>
    <w:p w14:paraId="56350F74" w14:textId="77777777" w:rsidR="00C3129D" w:rsidRDefault="00C3129D" w:rsidP="00554826">
      <w:pPr>
        <w:spacing w:line="240" w:lineRule="auto"/>
      </w:pPr>
      <w:r>
        <w:t xml:space="preserve"> </w:t>
      </w:r>
    </w:p>
    <w:tbl>
      <w:tblPr>
        <w:tblW w:w="0" w:type="auto"/>
        <w:tblInd w:w="85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1"/>
        <w:gridCol w:w="2693"/>
        <w:gridCol w:w="3107"/>
      </w:tblGrid>
      <w:tr w:rsidR="006B32E6" w14:paraId="7E300A6A" w14:textId="77777777" w:rsidTr="003F00F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9EABC2" w14:textId="77777777" w:rsidR="006B32E6" w:rsidRDefault="006B32E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Table A</w:t>
            </w:r>
          </w:p>
        </w:tc>
      </w:tr>
      <w:tr w:rsidR="006B32E6" w14:paraId="31BDDE2E" w14:textId="77777777" w:rsidTr="003F00F1">
        <w:trPr>
          <w:tblHeader/>
        </w:trPr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0C75A7" w14:textId="77777777" w:rsidR="006B32E6" w:rsidRDefault="006B32E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0A45EF" w14:textId="77777777" w:rsidR="006B32E6" w:rsidRDefault="006B32E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31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29B97D" w14:textId="77777777" w:rsidR="006B32E6" w:rsidRDefault="006B32E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6B32E6" w14:paraId="63C5F519" w14:textId="77777777" w:rsidTr="003F00F1">
        <w:trPr>
          <w:tblHeader/>
        </w:trPr>
        <w:tc>
          <w:tcPr>
            <w:tcW w:w="13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016885" w14:textId="77777777" w:rsidR="006B32E6" w:rsidRDefault="006B32E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13A00A" w14:textId="77777777" w:rsidR="006B32E6" w:rsidRDefault="00B31B0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Maximum s</w:t>
            </w:r>
            <w:r w:rsidR="006B32E6">
              <w:rPr>
                <w:lang w:eastAsia="en-US"/>
              </w:rPr>
              <w:t>eating capacity</w:t>
            </w:r>
          </w:p>
        </w:tc>
        <w:tc>
          <w:tcPr>
            <w:tcW w:w="31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EF84C9" w14:textId="77777777" w:rsidR="006B32E6" w:rsidRDefault="003F00F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Maximum </w:t>
            </w:r>
            <w:r w:rsidR="008C4197">
              <w:rPr>
                <w:lang w:eastAsia="en-US"/>
              </w:rPr>
              <w:t xml:space="preserve">number of </w:t>
            </w:r>
            <w:r>
              <w:rPr>
                <w:lang w:eastAsia="en-US"/>
              </w:rPr>
              <w:t>f</w:t>
            </w:r>
            <w:r w:rsidR="006B32E6">
              <w:rPr>
                <w:lang w:eastAsia="en-US"/>
              </w:rPr>
              <w:t>lights</w:t>
            </w:r>
            <w:r w:rsidR="00B31B06">
              <w:rPr>
                <w:lang w:eastAsia="en-US"/>
              </w:rPr>
              <w:t xml:space="preserve"> in program</w:t>
            </w:r>
          </w:p>
        </w:tc>
      </w:tr>
      <w:tr w:rsidR="006B32E6" w14:paraId="39D3BCE6" w14:textId="77777777" w:rsidTr="003F00F1">
        <w:tc>
          <w:tcPr>
            <w:tcW w:w="131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58B75E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7F7195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0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353233" w14:textId="77777777" w:rsidR="006B32E6" w:rsidRDefault="00B31B0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No limit.</w:t>
            </w:r>
          </w:p>
        </w:tc>
      </w:tr>
      <w:tr w:rsidR="006B32E6" w14:paraId="21C518B2" w14:textId="77777777" w:rsidTr="003F00F1">
        <w:tc>
          <w:tcPr>
            <w:tcW w:w="13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028C63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D07AB8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00CCFF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32E6" w14:paraId="6D949AE2" w14:textId="77777777" w:rsidTr="003F00F1">
        <w:tc>
          <w:tcPr>
            <w:tcW w:w="13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513823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E35787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1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A1B475" w14:textId="77777777" w:rsidR="006B32E6" w:rsidRDefault="00636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7906BAA5" w14:textId="77777777" w:rsidR="001B27A2" w:rsidRDefault="00435631" w:rsidP="008C4197">
      <w:pPr>
        <w:pStyle w:val="ActHead5"/>
      </w:pPr>
      <w:bookmarkStart w:id="13" w:name="_Toc3984163"/>
      <w:proofErr w:type="gramStart"/>
      <w:r>
        <w:t>9</w:t>
      </w:r>
      <w:r w:rsidR="00C429F2">
        <w:t xml:space="preserve">  </w:t>
      </w:r>
      <w:r w:rsidR="0023107D">
        <w:t>O</w:t>
      </w:r>
      <w:r w:rsidR="00C429F2">
        <w:t>wn</w:t>
      </w:r>
      <w:proofErr w:type="gramEnd"/>
      <w:r w:rsidR="00C429F2">
        <w:t>-use charter flight</w:t>
      </w:r>
      <w:bookmarkEnd w:id="13"/>
    </w:p>
    <w:p w14:paraId="12335789" w14:textId="77777777" w:rsidR="00C429F2" w:rsidRDefault="00771214" w:rsidP="00771214">
      <w:pPr>
        <w:pStyle w:val="subsection"/>
      </w:pPr>
      <w:r>
        <w:tab/>
      </w:r>
      <w:r w:rsidR="00246A89">
        <w:t>(1)</w:t>
      </w:r>
      <w:r>
        <w:tab/>
      </w:r>
      <w:r w:rsidR="004843F3">
        <w:t>This section applies to a charter flight</w:t>
      </w:r>
      <w:r w:rsidR="003C6E53">
        <w:t>, whether or not forming part of a program,</w:t>
      </w:r>
      <w:r w:rsidR="004843F3">
        <w:t xml:space="preserve"> if all of the following apply:</w:t>
      </w:r>
    </w:p>
    <w:p w14:paraId="56B1E588" w14:textId="77777777" w:rsidR="002D233E" w:rsidRDefault="002D233E" w:rsidP="00771214">
      <w:pPr>
        <w:pStyle w:val="paragraph"/>
      </w:pPr>
      <w:r>
        <w:tab/>
        <w:t>(a)</w:t>
      </w:r>
      <w:r>
        <w:tab/>
      </w:r>
      <w:proofErr w:type="gramStart"/>
      <w:r>
        <w:t>there</w:t>
      </w:r>
      <w:proofErr w:type="gramEnd"/>
      <w:r>
        <w:t xml:space="preserve"> is a single charterer;</w:t>
      </w:r>
    </w:p>
    <w:p w14:paraId="01BF662E" w14:textId="0703D593" w:rsidR="004843F3" w:rsidRDefault="00771214" w:rsidP="00771214">
      <w:pPr>
        <w:pStyle w:val="paragraph"/>
      </w:pPr>
      <w:r>
        <w:tab/>
      </w:r>
      <w:r w:rsidR="004843F3">
        <w:t>(</w:t>
      </w:r>
      <w:r w:rsidR="002D233E">
        <w:t>b</w:t>
      </w:r>
      <w:r w:rsidR="004843F3">
        <w:t>)</w:t>
      </w:r>
      <w:r w:rsidR="004843F3">
        <w:tab/>
      </w:r>
      <w:proofErr w:type="gramStart"/>
      <w:r w:rsidR="002D3750">
        <w:t>subsection</w:t>
      </w:r>
      <w:proofErr w:type="gramEnd"/>
      <w:r w:rsidR="002D3750">
        <w:t xml:space="preserve"> (2) applies to </w:t>
      </w:r>
      <w:r w:rsidR="00246A89">
        <w:t>each</w:t>
      </w:r>
      <w:r w:rsidR="00F764D5">
        <w:t xml:space="preserve"> </w:t>
      </w:r>
      <w:r w:rsidR="004843F3">
        <w:t>passenger carried</w:t>
      </w:r>
      <w:r w:rsidR="00495BC0">
        <w:t xml:space="preserve"> on the flight</w:t>
      </w:r>
      <w:r w:rsidR="004843F3">
        <w:t xml:space="preserve"> (if any)</w:t>
      </w:r>
      <w:r w:rsidR="00C438CD">
        <w:t>;</w:t>
      </w:r>
    </w:p>
    <w:p w14:paraId="26BFA909" w14:textId="77777777" w:rsidR="0028293B" w:rsidRDefault="00771214">
      <w:pPr>
        <w:pStyle w:val="paragraph"/>
      </w:pPr>
      <w:r>
        <w:tab/>
      </w:r>
      <w:r w:rsidR="004843F3">
        <w:t>(</w:t>
      </w:r>
      <w:r w:rsidR="00C438CD">
        <w:t>c</w:t>
      </w:r>
      <w:r w:rsidR="004843F3">
        <w:t>)</w:t>
      </w:r>
      <w:r w:rsidR="004843F3">
        <w:tab/>
      </w:r>
      <w:proofErr w:type="gramStart"/>
      <w:r w:rsidR="0028293B">
        <w:t>the</w:t>
      </w:r>
      <w:proofErr w:type="gramEnd"/>
      <w:r w:rsidR="0028293B">
        <w:t xml:space="preserve"> charterer is the owner </w:t>
      </w:r>
      <w:r w:rsidR="00DF2F48">
        <w:t xml:space="preserve">or lessor </w:t>
      </w:r>
      <w:r w:rsidR="0028293B">
        <w:t xml:space="preserve">of </w:t>
      </w:r>
      <w:r w:rsidR="00F764D5">
        <w:t xml:space="preserve">all </w:t>
      </w:r>
      <w:r w:rsidR="004843F3">
        <w:t xml:space="preserve">the cargo carried </w:t>
      </w:r>
      <w:r w:rsidR="00495BC0">
        <w:t xml:space="preserve">on the flight </w:t>
      </w:r>
      <w:r w:rsidR="004843F3">
        <w:t xml:space="preserve">(if any) </w:t>
      </w:r>
      <w:r w:rsidR="0028293B">
        <w:t xml:space="preserve">and </w:t>
      </w:r>
      <w:r w:rsidR="00D21475">
        <w:t xml:space="preserve">the purpose </w:t>
      </w:r>
      <w:r w:rsidR="003E2AC9">
        <w:t>of that carriage</w:t>
      </w:r>
      <w:r w:rsidR="0028293B">
        <w:t xml:space="preserve"> is for the use</w:t>
      </w:r>
      <w:r w:rsidR="00D21475">
        <w:t xml:space="preserve"> or benefit</w:t>
      </w:r>
      <w:r w:rsidR="00BA73DE">
        <w:t xml:space="preserve"> of the charter</w:t>
      </w:r>
      <w:r w:rsidR="00B410D8">
        <w:t>er</w:t>
      </w:r>
      <w:r w:rsidR="00F764D5">
        <w:t>.</w:t>
      </w:r>
    </w:p>
    <w:p w14:paraId="21C48C33" w14:textId="39252FBC" w:rsidR="005E012B" w:rsidRDefault="005E012B" w:rsidP="0056134B">
      <w:pPr>
        <w:pStyle w:val="notetext"/>
      </w:pPr>
      <w:r>
        <w:t>Note:</w:t>
      </w:r>
      <w:r w:rsidR="00D43A3B">
        <w:tab/>
        <w:t>F</w:t>
      </w:r>
      <w:r>
        <w:t>or the avoidance of doubt, cargo does not include passenger baggage.</w:t>
      </w:r>
    </w:p>
    <w:p w14:paraId="0C43476A" w14:textId="62A51623" w:rsidR="00246A89" w:rsidRDefault="00246A89" w:rsidP="0056134B">
      <w:pPr>
        <w:pStyle w:val="subsection"/>
      </w:pPr>
      <w:r>
        <w:tab/>
        <w:t>(2)</w:t>
      </w:r>
      <w:r>
        <w:tab/>
        <w:t>For the purposes of paragraph (1</w:t>
      </w:r>
      <w:proofErr w:type="gramStart"/>
      <w:r>
        <w:t>)(</w:t>
      </w:r>
      <w:proofErr w:type="gramEnd"/>
      <w:r>
        <w:t xml:space="preserve">b), </w:t>
      </w:r>
      <w:r w:rsidR="002D3750">
        <w:t>this subsection applies to the following</w:t>
      </w:r>
      <w:r>
        <w:t>:</w:t>
      </w:r>
    </w:p>
    <w:p w14:paraId="0C175A8B" w14:textId="77777777" w:rsidR="00246A89" w:rsidRDefault="00246A89">
      <w:pPr>
        <w:pStyle w:val="paragraph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employee of the charterer;</w:t>
      </w:r>
    </w:p>
    <w:p w14:paraId="76F94056" w14:textId="77777777" w:rsidR="00246A89" w:rsidRDefault="00246A89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member </w:t>
      </w:r>
      <w:r w:rsidR="0042705B">
        <w:t xml:space="preserve">(including a shareholder) </w:t>
      </w:r>
      <w:r>
        <w:t>of the charterer</w:t>
      </w:r>
      <w:r w:rsidR="0042705B">
        <w:t>;</w:t>
      </w:r>
      <w:r>
        <w:t xml:space="preserve"> </w:t>
      </w:r>
    </w:p>
    <w:p w14:paraId="53262C23" w14:textId="77777777" w:rsidR="00246A89" w:rsidRDefault="00246A89">
      <w:pPr>
        <w:pStyle w:val="paragraph"/>
      </w:pPr>
      <w:r>
        <w:lastRenderedPageBreak/>
        <w:tab/>
        <w:t>(c)</w:t>
      </w:r>
      <w:r>
        <w:tab/>
      </w:r>
      <w:proofErr w:type="gramStart"/>
      <w:r>
        <w:t>a</w:t>
      </w:r>
      <w:proofErr w:type="gramEnd"/>
      <w:r>
        <w:t xml:space="preserve"> director of the charterer;</w:t>
      </w:r>
    </w:p>
    <w:p w14:paraId="7A780F28" w14:textId="77777777" w:rsidR="00246A89" w:rsidRDefault="00246A89">
      <w:pPr>
        <w:pStyle w:val="paragraph"/>
      </w:pPr>
      <w:r>
        <w:tab/>
        <w:t>(d)</w:t>
      </w:r>
      <w:r>
        <w:tab/>
      </w:r>
      <w:proofErr w:type="gramStart"/>
      <w:r>
        <w:t>an</w:t>
      </w:r>
      <w:proofErr w:type="gramEnd"/>
      <w:r>
        <w:t xml:space="preserve"> associate of the charterer;</w:t>
      </w:r>
    </w:p>
    <w:p w14:paraId="6AEA6691" w14:textId="77777777" w:rsidR="0042705B" w:rsidRDefault="0042705B">
      <w:pPr>
        <w:pStyle w:val="paragraph"/>
      </w:pPr>
      <w:r>
        <w:tab/>
        <w:t>(e)</w:t>
      </w:r>
      <w:r>
        <w:tab/>
      </w:r>
      <w:proofErr w:type="gramStart"/>
      <w:r>
        <w:t>an</w:t>
      </w:r>
      <w:proofErr w:type="gramEnd"/>
      <w:r>
        <w:t xml:space="preserve"> individual contracted to provide services to the charterer;</w:t>
      </w:r>
    </w:p>
    <w:p w14:paraId="3D6DBE63" w14:textId="77777777" w:rsidR="0042705B" w:rsidRDefault="0042705B">
      <w:pPr>
        <w:pStyle w:val="paragraph"/>
      </w:pPr>
      <w:r>
        <w:tab/>
        <w:t>(f)</w:t>
      </w:r>
      <w:r>
        <w:tab/>
      </w:r>
      <w:proofErr w:type="gramStart"/>
      <w:r>
        <w:t>an</w:t>
      </w:r>
      <w:proofErr w:type="gramEnd"/>
      <w:r>
        <w:t xml:space="preserve"> agent of the charterer;</w:t>
      </w:r>
    </w:p>
    <w:p w14:paraId="362DC397" w14:textId="0AFC2263" w:rsidR="0042705B" w:rsidRDefault="0042705B">
      <w:pPr>
        <w:pStyle w:val="paragraph"/>
      </w:pPr>
      <w:r>
        <w:tab/>
        <w:t>(g)</w:t>
      </w:r>
      <w:r>
        <w:tab/>
      </w:r>
      <w:proofErr w:type="gramStart"/>
      <w:r>
        <w:t>an</w:t>
      </w:r>
      <w:proofErr w:type="gramEnd"/>
      <w:r>
        <w:t xml:space="preserve"> individual </w:t>
      </w:r>
      <w:r w:rsidR="0023107D">
        <w:t>entitled to passage</w:t>
      </w:r>
      <w:r>
        <w:t xml:space="preserve"> on a transport service operated by the charterer</w:t>
      </w:r>
      <w:r w:rsidR="00C438CD">
        <w:t>.</w:t>
      </w:r>
    </w:p>
    <w:p w14:paraId="0C3F7D80" w14:textId="77777777" w:rsidR="001B27A2" w:rsidRDefault="006F6908" w:rsidP="008C4197">
      <w:pPr>
        <w:pStyle w:val="ActHead5"/>
      </w:pPr>
      <w:bookmarkStart w:id="14" w:name="_Toc3984164"/>
      <w:proofErr w:type="gramStart"/>
      <w:r>
        <w:t>1</w:t>
      </w:r>
      <w:r w:rsidR="00435631">
        <w:t>0</w:t>
      </w:r>
      <w:r>
        <w:t xml:space="preserve">  </w:t>
      </w:r>
      <w:r w:rsidR="0023107D">
        <w:t>C</w:t>
      </w:r>
      <w:r>
        <w:t>harter</w:t>
      </w:r>
      <w:proofErr w:type="gramEnd"/>
      <w:r>
        <w:t xml:space="preserve"> flight for carriage of </w:t>
      </w:r>
      <w:r w:rsidR="00D21475">
        <w:t xml:space="preserve">homogenous </w:t>
      </w:r>
      <w:r>
        <w:t>cargo</w:t>
      </w:r>
      <w:bookmarkEnd w:id="14"/>
    </w:p>
    <w:p w14:paraId="7ABE5DEE" w14:textId="77777777" w:rsidR="006F6908" w:rsidRDefault="00771214" w:rsidP="00771214">
      <w:pPr>
        <w:pStyle w:val="subsection"/>
      </w:pPr>
      <w:r>
        <w:tab/>
      </w:r>
      <w:r w:rsidR="00D21475" w:rsidRPr="00771214">
        <w:rPr>
          <w:rStyle w:val="subsectionChar"/>
        </w:rPr>
        <w:tab/>
      </w:r>
      <w:r w:rsidR="006F6908" w:rsidRPr="00771214">
        <w:rPr>
          <w:rStyle w:val="subsectionChar"/>
        </w:rPr>
        <w:t>This section</w:t>
      </w:r>
      <w:r w:rsidR="006F6908">
        <w:t xml:space="preserve"> applies to a </w:t>
      </w:r>
      <w:r w:rsidR="00495BC0">
        <w:t>charter flight</w:t>
      </w:r>
      <w:r w:rsidR="003C6E53">
        <w:t>, whether or not forming part of a program,</w:t>
      </w:r>
      <w:r w:rsidR="006F6908">
        <w:t xml:space="preserve"> if all of the following apply:</w:t>
      </w:r>
    </w:p>
    <w:p w14:paraId="742669C5" w14:textId="77777777" w:rsidR="0077723A" w:rsidRDefault="00771214" w:rsidP="00771214">
      <w:pPr>
        <w:pStyle w:val="paragraph"/>
      </w:pPr>
      <w:r>
        <w:tab/>
      </w:r>
      <w:r w:rsidR="006F6908">
        <w:t>(a)</w:t>
      </w:r>
      <w:r w:rsidR="006F6908">
        <w:tab/>
      </w:r>
      <w:proofErr w:type="gramStart"/>
      <w:r w:rsidR="00495BC0">
        <w:t>the</w:t>
      </w:r>
      <w:r w:rsidR="002D233E">
        <w:t>re</w:t>
      </w:r>
      <w:proofErr w:type="gramEnd"/>
      <w:r w:rsidR="002D233E">
        <w:t xml:space="preserve"> is a single charterer</w:t>
      </w:r>
      <w:r w:rsidR="00495BC0">
        <w:t>;</w:t>
      </w:r>
    </w:p>
    <w:p w14:paraId="00B4A394" w14:textId="77777777" w:rsidR="001B27A2" w:rsidRDefault="0077723A" w:rsidP="00771214">
      <w:pPr>
        <w:pStyle w:val="paragraph"/>
      </w:pPr>
      <w:r>
        <w:tab/>
        <w:t>(b)</w:t>
      </w:r>
      <w:r>
        <w:tab/>
      </w:r>
      <w:proofErr w:type="gramStart"/>
      <w:r w:rsidR="006F6908">
        <w:t>the</w:t>
      </w:r>
      <w:proofErr w:type="gramEnd"/>
      <w:r w:rsidR="006F6908">
        <w:t xml:space="preserve"> dominant purpose of the flight is the transport of cargo;</w:t>
      </w:r>
    </w:p>
    <w:p w14:paraId="2CF425BB" w14:textId="77777777" w:rsidR="00D21475" w:rsidRDefault="00771214" w:rsidP="00771214">
      <w:pPr>
        <w:pStyle w:val="paragraph"/>
      </w:pPr>
      <w:r>
        <w:tab/>
      </w:r>
      <w:r w:rsidR="00E51E0D">
        <w:t>(</w:t>
      </w:r>
      <w:r w:rsidR="0077723A">
        <w:t>c</w:t>
      </w:r>
      <w:r w:rsidR="00D21475">
        <w:t>)</w:t>
      </w:r>
      <w:r w:rsidR="00D21475">
        <w:tab/>
      </w:r>
      <w:proofErr w:type="gramStart"/>
      <w:r w:rsidR="00D21475">
        <w:t>the</w:t>
      </w:r>
      <w:proofErr w:type="gramEnd"/>
      <w:r w:rsidR="00D21475">
        <w:t xml:space="preserve"> cargo is homogenous;</w:t>
      </w:r>
    </w:p>
    <w:p w14:paraId="2D583CEB" w14:textId="77777777" w:rsidR="00D21475" w:rsidRDefault="00771214" w:rsidP="00771214">
      <w:pPr>
        <w:pStyle w:val="paragraph"/>
      </w:pPr>
      <w:r>
        <w:tab/>
      </w:r>
      <w:r w:rsidR="00E51E0D">
        <w:t>(</w:t>
      </w:r>
      <w:r w:rsidR="0077723A">
        <w:t>d</w:t>
      </w:r>
      <w:r w:rsidR="00D21475">
        <w:t>)</w:t>
      </w:r>
      <w:r w:rsidR="00D21475">
        <w:tab/>
      </w:r>
      <w:proofErr w:type="gramStart"/>
      <w:r w:rsidR="00D21475">
        <w:t>the</w:t>
      </w:r>
      <w:proofErr w:type="gramEnd"/>
      <w:r w:rsidR="00D21475">
        <w:t xml:space="preserve"> </w:t>
      </w:r>
      <w:r w:rsidR="00E51E0D">
        <w:t>c</w:t>
      </w:r>
      <w:r w:rsidR="00435631">
        <w:t xml:space="preserve">argo </w:t>
      </w:r>
      <w:r w:rsidR="00097E9F">
        <w:t xml:space="preserve">does not </w:t>
      </w:r>
      <w:r w:rsidR="002D233E">
        <w:t xml:space="preserve">consist of or </w:t>
      </w:r>
      <w:r w:rsidR="00CF79FB">
        <w:t>include</w:t>
      </w:r>
      <w:r w:rsidR="00097E9F">
        <w:t xml:space="preserve"> </w:t>
      </w:r>
      <w:r w:rsidR="002D233E">
        <w:t>a consignment</w:t>
      </w:r>
      <w:r w:rsidR="00097E9F">
        <w:t xml:space="preserve"> </w:t>
      </w:r>
      <w:r w:rsidR="00435631">
        <w:t>consolidated by a person who carries on business as a freight forwarder</w:t>
      </w:r>
      <w:r w:rsidR="00D21475">
        <w:t>.</w:t>
      </w:r>
    </w:p>
    <w:p w14:paraId="2D25DB60" w14:textId="77777777" w:rsidR="002D233E" w:rsidRDefault="002D233E" w:rsidP="0056134B">
      <w:pPr>
        <w:pStyle w:val="notetext"/>
      </w:pPr>
      <w:r>
        <w:t>Note:</w:t>
      </w:r>
      <w:r>
        <w:tab/>
        <w:t>Each of the following is an example of homogenous cargo for the purposes of paragraph (1</w:t>
      </w:r>
      <w:proofErr w:type="gramStart"/>
      <w:r>
        <w:t>)(</w:t>
      </w:r>
      <w:proofErr w:type="gramEnd"/>
      <w:r>
        <w:t>c):</w:t>
      </w:r>
    </w:p>
    <w:p w14:paraId="205DC576" w14:textId="77777777" w:rsidR="002D233E" w:rsidRDefault="002D233E" w:rsidP="0056134B">
      <w:pPr>
        <w:pStyle w:val="notepara"/>
      </w:pPr>
      <w:r>
        <w:t>(a)</w:t>
      </w:r>
      <w:r>
        <w:tab/>
      </w:r>
      <w:proofErr w:type="gramStart"/>
      <w:r>
        <w:t>cargo</w:t>
      </w:r>
      <w:proofErr w:type="gramEnd"/>
      <w:r>
        <w:t xml:space="preserve"> consisting of electronics and computer equipment;</w:t>
      </w:r>
    </w:p>
    <w:p w14:paraId="486CF7F3" w14:textId="77777777" w:rsidR="002D233E" w:rsidRDefault="002D233E" w:rsidP="0056134B">
      <w:pPr>
        <w:pStyle w:val="notepara"/>
      </w:pPr>
      <w:r>
        <w:t>(b)</w:t>
      </w:r>
      <w:r>
        <w:tab/>
      </w:r>
      <w:proofErr w:type="gramStart"/>
      <w:r>
        <w:t>cargo</w:t>
      </w:r>
      <w:proofErr w:type="gramEnd"/>
      <w:r>
        <w:t xml:space="preserve"> consisting of meat of any number of kinds;</w:t>
      </w:r>
    </w:p>
    <w:p w14:paraId="177110B1" w14:textId="77777777" w:rsidR="002D233E" w:rsidRDefault="002D233E" w:rsidP="0056134B">
      <w:pPr>
        <w:pStyle w:val="notepara"/>
      </w:pPr>
      <w:r>
        <w:t>(c)</w:t>
      </w:r>
      <w:r>
        <w:tab/>
      </w:r>
      <w:proofErr w:type="gramStart"/>
      <w:r>
        <w:t>cargo</w:t>
      </w:r>
      <w:proofErr w:type="gramEnd"/>
      <w:r>
        <w:t xml:space="preserve"> consisting of animals (including livestock) of any number of species.</w:t>
      </w:r>
    </w:p>
    <w:p w14:paraId="679A0534" w14:textId="77777777" w:rsidR="00554826" w:rsidRDefault="00554826" w:rsidP="00771214">
      <w:pPr>
        <w:pStyle w:val="paragraph"/>
      </w:pPr>
      <w:r>
        <w:br w:type="page"/>
      </w:r>
    </w:p>
    <w:p w14:paraId="1AC690DB" w14:textId="77777777" w:rsidR="00D6537E" w:rsidRPr="004E1307" w:rsidRDefault="004E1307" w:rsidP="00D6537E">
      <w:pPr>
        <w:pStyle w:val="ActHead6"/>
      </w:pPr>
      <w:bookmarkStart w:id="15" w:name="_Toc3984165"/>
      <w:r>
        <w:lastRenderedPageBreak/>
        <w:t xml:space="preserve">Schedule </w:t>
      </w:r>
      <w:r w:rsidR="00D6537E" w:rsidRPr="004E1307">
        <w:t>1—Repeals</w:t>
      </w:r>
      <w:bookmarkEnd w:id="15"/>
    </w:p>
    <w:p w14:paraId="4EAFE9CA" w14:textId="77777777" w:rsidR="00D6537E" w:rsidRPr="0085616B" w:rsidRDefault="0085616B" w:rsidP="00D6537E">
      <w:pPr>
        <w:pStyle w:val="ActHead9"/>
        <w:rPr>
          <w:i w:val="0"/>
        </w:rPr>
      </w:pPr>
      <w:bookmarkStart w:id="16" w:name="_Toc3984166"/>
      <w:r w:rsidRPr="0085616B">
        <w:rPr>
          <w:i w:val="0"/>
        </w:rPr>
        <w:t xml:space="preserve">Determination under subsection </w:t>
      </w:r>
      <w:proofErr w:type="gramStart"/>
      <w:r w:rsidRPr="0085616B">
        <w:rPr>
          <w:i w:val="0"/>
        </w:rPr>
        <w:t>15A(</w:t>
      </w:r>
      <w:proofErr w:type="gramEnd"/>
      <w:r w:rsidRPr="0085616B">
        <w:rPr>
          <w:i w:val="0"/>
        </w:rPr>
        <w:t xml:space="preserve">3) of the </w:t>
      </w:r>
      <w:r>
        <w:t>Air Navigation Act 1920</w:t>
      </w:r>
      <w:r>
        <w:rPr>
          <w:i w:val="0"/>
        </w:rPr>
        <w:t xml:space="preserve"> made on 21 April 1997 (</w:t>
      </w:r>
      <w:r w:rsidRPr="0085616B">
        <w:rPr>
          <w:i w:val="0"/>
        </w:rPr>
        <w:t>F2008B00763</w:t>
      </w:r>
      <w:r>
        <w:rPr>
          <w:i w:val="0"/>
        </w:rPr>
        <w:t>)</w:t>
      </w:r>
      <w:bookmarkEnd w:id="16"/>
    </w:p>
    <w:p w14:paraId="4DA8C81E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F1209A7" w14:textId="77777777" w:rsidR="00554826" w:rsidRPr="00554826" w:rsidRDefault="00D6537E" w:rsidP="0056134B">
      <w:pPr>
        <w:pStyle w:val="Item"/>
      </w:pPr>
      <w:r>
        <w:t>Repeal the instrument</w:t>
      </w:r>
    </w:p>
    <w:p w14:paraId="520934F1" w14:textId="77777777" w:rsidR="00A75FE9" w:rsidRDefault="00A75FE9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F27F" w14:textId="77777777" w:rsidR="00461C5D" w:rsidRDefault="00461C5D" w:rsidP="00715914">
      <w:pPr>
        <w:spacing w:line="240" w:lineRule="auto"/>
      </w:pPr>
      <w:r>
        <w:separator/>
      </w:r>
    </w:p>
  </w:endnote>
  <w:endnote w:type="continuationSeparator" w:id="0">
    <w:p w14:paraId="1200B06B" w14:textId="77777777" w:rsidR="00461C5D" w:rsidRDefault="00461C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1AE3" w14:textId="77777777" w:rsidR="00246A89" w:rsidRPr="00E33C1C" w:rsidRDefault="00246A8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6A89" w14:paraId="72E01F2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C4B23" w14:textId="77777777" w:rsidR="00246A89" w:rsidRDefault="00246A8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B3AEF" w14:textId="77777777" w:rsidR="00246A89" w:rsidRPr="004E1307" w:rsidRDefault="00246A8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8CD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00A5A9" w14:textId="77777777" w:rsidR="00246A89" w:rsidRDefault="00246A8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46A89" w14:paraId="642F8CD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1733EB" w14:textId="77777777" w:rsidR="00246A89" w:rsidRDefault="00246A89" w:rsidP="00A369E3">
          <w:pPr>
            <w:jc w:val="right"/>
            <w:rPr>
              <w:sz w:val="18"/>
            </w:rPr>
          </w:pPr>
        </w:p>
      </w:tc>
    </w:tr>
  </w:tbl>
  <w:p w14:paraId="0F3A34F3" w14:textId="77777777" w:rsidR="00246A89" w:rsidRPr="00ED79B6" w:rsidRDefault="00246A8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C5D7" w14:textId="77777777" w:rsidR="00246A89" w:rsidRPr="00E33C1C" w:rsidRDefault="00246A8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6A89" w14:paraId="733973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D6CB2" w14:textId="77777777" w:rsidR="00246A89" w:rsidRDefault="00246A8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FCD38" w14:textId="77777777" w:rsidR="00246A89" w:rsidRDefault="00246A8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8CD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0B982" w14:textId="77777777" w:rsidR="00246A89" w:rsidRDefault="00246A8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14:paraId="42A83DC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19E662" w14:textId="77777777" w:rsidR="00246A89" w:rsidRDefault="00246A89" w:rsidP="00A369E3">
          <w:pPr>
            <w:rPr>
              <w:sz w:val="18"/>
            </w:rPr>
          </w:pPr>
        </w:p>
      </w:tc>
    </w:tr>
  </w:tbl>
  <w:p w14:paraId="4B57D995" w14:textId="77777777" w:rsidR="00246A89" w:rsidRPr="00ED79B6" w:rsidRDefault="00246A8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CA84" w14:textId="77777777" w:rsidR="00246A89" w:rsidRPr="00E33C1C" w:rsidRDefault="00246A8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46A89" w14:paraId="1CE4919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98F615" w14:textId="77777777" w:rsidR="00246A89" w:rsidRDefault="00246A8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54C15" w14:textId="77777777" w:rsidR="00246A89" w:rsidRDefault="00246A8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E4B444" w14:textId="77777777" w:rsidR="00246A89" w:rsidRDefault="00246A8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7B2DFB9" w14:textId="77777777" w:rsidR="00246A89" w:rsidRPr="00ED79B6" w:rsidRDefault="00246A8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BE11" w14:textId="77777777"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46A89" w14:paraId="0946D985" w14:textId="77777777" w:rsidTr="00641E7C">
      <w:tc>
        <w:tcPr>
          <w:tcW w:w="365" w:type="pct"/>
        </w:tcPr>
        <w:p w14:paraId="791D7FB8" w14:textId="77777777" w:rsidR="00246A89" w:rsidRDefault="00246A89" w:rsidP="00641E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B9BC1D" w14:textId="77777777"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38CD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72918F" w14:textId="77777777" w:rsidR="00246A89" w:rsidRDefault="00246A89" w:rsidP="00641E7C">
          <w:pPr>
            <w:spacing w:line="0" w:lineRule="atLeast"/>
            <w:jc w:val="right"/>
            <w:rPr>
              <w:sz w:val="18"/>
            </w:rPr>
          </w:pPr>
        </w:p>
      </w:tc>
    </w:tr>
    <w:tr w:rsidR="00246A89" w14:paraId="49DB5146" w14:textId="77777777" w:rsidTr="00641E7C">
      <w:tc>
        <w:tcPr>
          <w:tcW w:w="5000" w:type="pct"/>
          <w:gridSpan w:val="3"/>
        </w:tcPr>
        <w:p w14:paraId="7E136A20" w14:textId="77777777" w:rsidR="00246A89" w:rsidRDefault="00246A89" w:rsidP="00641E7C">
          <w:pPr>
            <w:jc w:val="right"/>
            <w:rPr>
              <w:sz w:val="18"/>
            </w:rPr>
          </w:pPr>
        </w:p>
      </w:tc>
    </w:tr>
  </w:tbl>
  <w:p w14:paraId="7DC9C9CF" w14:textId="77777777" w:rsidR="00246A89" w:rsidRPr="00ED79B6" w:rsidRDefault="00246A89" w:rsidP="00641E7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33F6" w14:textId="77777777"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46A89" w14:paraId="6BD7CE69" w14:textId="77777777" w:rsidTr="00641E7C">
      <w:tc>
        <w:tcPr>
          <w:tcW w:w="947" w:type="pct"/>
        </w:tcPr>
        <w:p w14:paraId="616227F3" w14:textId="77777777" w:rsidR="00246A89" w:rsidRDefault="00246A89" w:rsidP="00641E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A38F57" w14:textId="1AC5178D"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6BEABF6" w14:textId="2B47BBD7" w:rsidR="00246A89" w:rsidRDefault="00246A89" w:rsidP="00641E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14:paraId="6960D901" w14:textId="77777777" w:rsidTr="00641E7C">
      <w:tc>
        <w:tcPr>
          <w:tcW w:w="5000" w:type="pct"/>
          <w:gridSpan w:val="3"/>
        </w:tcPr>
        <w:p w14:paraId="51168E60" w14:textId="77777777" w:rsidR="00246A89" w:rsidRDefault="00246A89" w:rsidP="00641E7C">
          <w:pPr>
            <w:rPr>
              <w:sz w:val="18"/>
            </w:rPr>
          </w:pPr>
        </w:p>
      </w:tc>
    </w:tr>
  </w:tbl>
  <w:p w14:paraId="4371FD4A" w14:textId="77777777" w:rsidR="00246A89" w:rsidRPr="00ED79B6" w:rsidRDefault="00246A89" w:rsidP="00641E7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CD50" w14:textId="77777777"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46A89" w14:paraId="36C86E1E" w14:textId="77777777" w:rsidTr="00641E7C">
      <w:tc>
        <w:tcPr>
          <w:tcW w:w="365" w:type="pct"/>
        </w:tcPr>
        <w:p w14:paraId="423565B5" w14:textId="16B8A57B" w:rsidR="00246A89" w:rsidRDefault="00246A89" w:rsidP="00641E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8B9CF5" w14:textId="5AD97F4E"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11326E" w14:textId="77777777" w:rsidR="00246A89" w:rsidRDefault="00246A89" w:rsidP="00641E7C">
          <w:pPr>
            <w:spacing w:line="0" w:lineRule="atLeast"/>
            <w:jc w:val="right"/>
            <w:rPr>
              <w:sz w:val="18"/>
            </w:rPr>
          </w:pPr>
        </w:p>
      </w:tc>
    </w:tr>
    <w:tr w:rsidR="00246A89" w14:paraId="11A49FA3" w14:textId="77777777" w:rsidTr="00641E7C">
      <w:tc>
        <w:tcPr>
          <w:tcW w:w="5000" w:type="pct"/>
          <w:gridSpan w:val="3"/>
        </w:tcPr>
        <w:p w14:paraId="42354BAA" w14:textId="77777777" w:rsidR="00246A89" w:rsidRDefault="00246A89" w:rsidP="00641E7C">
          <w:pPr>
            <w:jc w:val="right"/>
            <w:rPr>
              <w:sz w:val="18"/>
            </w:rPr>
          </w:pPr>
        </w:p>
      </w:tc>
    </w:tr>
  </w:tbl>
  <w:p w14:paraId="738CF2C0" w14:textId="77777777" w:rsidR="00246A89" w:rsidRPr="00ED79B6" w:rsidRDefault="00246A89" w:rsidP="00641E7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23F1" w14:textId="77777777"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46A89" w14:paraId="44D17E1C" w14:textId="77777777" w:rsidTr="00641E7C">
      <w:tc>
        <w:tcPr>
          <w:tcW w:w="947" w:type="pct"/>
        </w:tcPr>
        <w:p w14:paraId="37A0CEB0" w14:textId="77777777" w:rsidR="00246A89" w:rsidRDefault="00246A89" w:rsidP="00641E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25F7CD" w14:textId="5DD2485F"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Air Navigation (Exemption for Commercial Non-Scheduled Flights)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EA04059" w14:textId="1F03FFFE" w:rsidR="00246A89" w:rsidRDefault="00246A89" w:rsidP="00641E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467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14:paraId="2A130B16" w14:textId="77777777" w:rsidTr="00641E7C">
      <w:tc>
        <w:tcPr>
          <w:tcW w:w="5000" w:type="pct"/>
          <w:gridSpan w:val="3"/>
        </w:tcPr>
        <w:p w14:paraId="33DFC19A" w14:textId="77777777" w:rsidR="00246A89" w:rsidRDefault="00246A89" w:rsidP="00641E7C">
          <w:pPr>
            <w:rPr>
              <w:sz w:val="18"/>
            </w:rPr>
          </w:pPr>
        </w:p>
      </w:tc>
    </w:tr>
  </w:tbl>
  <w:p w14:paraId="379D122D" w14:textId="77777777" w:rsidR="00246A89" w:rsidRPr="00ED79B6" w:rsidRDefault="00246A89" w:rsidP="00641E7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FA671" w14:textId="77777777" w:rsidR="00461C5D" w:rsidRDefault="00461C5D" w:rsidP="00715914">
      <w:pPr>
        <w:spacing w:line="240" w:lineRule="auto"/>
      </w:pPr>
      <w:r>
        <w:separator/>
      </w:r>
    </w:p>
  </w:footnote>
  <w:footnote w:type="continuationSeparator" w:id="0">
    <w:p w14:paraId="74D421DE" w14:textId="77777777" w:rsidR="00461C5D" w:rsidRDefault="00461C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0596" w14:textId="77777777" w:rsidR="00246A89" w:rsidRPr="005F1388" w:rsidRDefault="00246A8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6922" w14:textId="77777777" w:rsidR="00246A89" w:rsidRPr="005F1388" w:rsidRDefault="00246A8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0519" w14:textId="77777777" w:rsidR="00246A89" w:rsidRPr="00ED79B6" w:rsidRDefault="00246A89" w:rsidP="00641E7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6738" w14:textId="77777777" w:rsidR="00246A89" w:rsidRPr="00ED79B6" w:rsidRDefault="00246A89" w:rsidP="00641E7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A235" w14:textId="77777777" w:rsidR="00246A89" w:rsidRPr="00ED79B6" w:rsidRDefault="00246A8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6090" w14:textId="77777777" w:rsidR="00246A89" w:rsidRDefault="00246A89" w:rsidP="00715914">
    <w:pPr>
      <w:rPr>
        <w:sz w:val="20"/>
      </w:rPr>
    </w:pPr>
  </w:p>
  <w:p w14:paraId="515E5917" w14:textId="77777777" w:rsidR="00246A89" w:rsidRDefault="00246A89" w:rsidP="00715914">
    <w:pPr>
      <w:rPr>
        <w:sz w:val="20"/>
      </w:rPr>
    </w:pPr>
  </w:p>
  <w:p w14:paraId="2B8CAD09" w14:textId="77777777" w:rsidR="00246A89" w:rsidRPr="007A1328" w:rsidRDefault="00246A89" w:rsidP="00715914">
    <w:pPr>
      <w:rPr>
        <w:sz w:val="20"/>
      </w:rPr>
    </w:pPr>
  </w:p>
  <w:p w14:paraId="4ED6F867" w14:textId="77777777" w:rsidR="00246A89" w:rsidRPr="007A1328" w:rsidRDefault="00246A89" w:rsidP="00715914">
    <w:pPr>
      <w:rPr>
        <w:b/>
        <w:sz w:val="24"/>
      </w:rPr>
    </w:pPr>
  </w:p>
  <w:p w14:paraId="280461DC" w14:textId="77777777" w:rsidR="00246A89" w:rsidRPr="007A1328" w:rsidRDefault="00246A8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F2D2" w14:textId="77777777" w:rsidR="00246A89" w:rsidRPr="007A1328" w:rsidRDefault="00246A89" w:rsidP="00715914">
    <w:pPr>
      <w:jc w:val="right"/>
      <w:rPr>
        <w:sz w:val="20"/>
      </w:rPr>
    </w:pPr>
  </w:p>
  <w:p w14:paraId="66073382" w14:textId="77777777" w:rsidR="00246A89" w:rsidRPr="007A1328" w:rsidRDefault="00246A89" w:rsidP="00715914">
    <w:pPr>
      <w:jc w:val="right"/>
      <w:rPr>
        <w:sz w:val="20"/>
      </w:rPr>
    </w:pPr>
  </w:p>
  <w:p w14:paraId="3D4FFE88" w14:textId="77777777" w:rsidR="00246A89" w:rsidRPr="007A1328" w:rsidRDefault="00246A89" w:rsidP="00715914">
    <w:pPr>
      <w:jc w:val="right"/>
      <w:rPr>
        <w:sz w:val="20"/>
      </w:rPr>
    </w:pPr>
  </w:p>
  <w:p w14:paraId="40E48E5C" w14:textId="77777777" w:rsidR="00246A89" w:rsidRPr="007A1328" w:rsidRDefault="00246A89" w:rsidP="00715914">
    <w:pPr>
      <w:jc w:val="right"/>
      <w:rPr>
        <w:b/>
        <w:sz w:val="24"/>
      </w:rPr>
    </w:pPr>
  </w:p>
  <w:p w14:paraId="1B3628EE" w14:textId="77777777" w:rsidR="00246A89" w:rsidRPr="007A1328" w:rsidRDefault="00246A8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037049"/>
    <w:multiLevelType w:val="hybridMultilevel"/>
    <w:tmpl w:val="AEC2BCA2"/>
    <w:lvl w:ilvl="0" w:tplc="40CC63A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6C60546"/>
    <w:multiLevelType w:val="hybridMultilevel"/>
    <w:tmpl w:val="C7EA15FE"/>
    <w:lvl w:ilvl="0" w:tplc="1F7E7FD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0"/>
    <w:rsid w:val="00000138"/>
    <w:rsid w:val="00004174"/>
    <w:rsid w:val="00004470"/>
    <w:rsid w:val="00007235"/>
    <w:rsid w:val="000136AF"/>
    <w:rsid w:val="000258B1"/>
    <w:rsid w:val="00040A89"/>
    <w:rsid w:val="000437C1"/>
    <w:rsid w:val="0004455A"/>
    <w:rsid w:val="00045683"/>
    <w:rsid w:val="0005365D"/>
    <w:rsid w:val="000614BF"/>
    <w:rsid w:val="0006709C"/>
    <w:rsid w:val="00074376"/>
    <w:rsid w:val="000978F5"/>
    <w:rsid w:val="00097E9F"/>
    <w:rsid w:val="000B15CD"/>
    <w:rsid w:val="000B35EB"/>
    <w:rsid w:val="000D05EF"/>
    <w:rsid w:val="000E2261"/>
    <w:rsid w:val="000E3A6F"/>
    <w:rsid w:val="000E78B7"/>
    <w:rsid w:val="000F21C1"/>
    <w:rsid w:val="0010745C"/>
    <w:rsid w:val="00132CEB"/>
    <w:rsid w:val="001339B0"/>
    <w:rsid w:val="001424A8"/>
    <w:rsid w:val="00142B62"/>
    <w:rsid w:val="001441B7"/>
    <w:rsid w:val="001516CB"/>
    <w:rsid w:val="00152336"/>
    <w:rsid w:val="00157B8B"/>
    <w:rsid w:val="00166C2F"/>
    <w:rsid w:val="00170791"/>
    <w:rsid w:val="00171671"/>
    <w:rsid w:val="001809D7"/>
    <w:rsid w:val="001939E1"/>
    <w:rsid w:val="00194C3E"/>
    <w:rsid w:val="00195382"/>
    <w:rsid w:val="001A0FA1"/>
    <w:rsid w:val="001B27A2"/>
    <w:rsid w:val="001B2CB6"/>
    <w:rsid w:val="001C61C5"/>
    <w:rsid w:val="001C69C4"/>
    <w:rsid w:val="001D37EF"/>
    <w:rsid w:val="001E3590"/>
    <w:rsid w:val="001E7407"/>
    <w:rsid w:val="001F59BE"/>
    <w:rsid w:val="001F5D5E"/>
    <w:rsid w:val="001F6219"/>
    <w:rsid w:val="001F6CD4"/>
    <w:rsid w:val="00202B0B"/>
    <w:rsid w:val="00206C4D"/>
    <w:rsid w:val="00215AF1"/>
    <w:rsid w:val="002174AB"/>
    <w:rsid w:val="00226086"/>
    <w:rsid w:val="0023107D"/>
    <w:rsid w:val="002321E8"/>
    <w:rsid w:val="00232984"/>
    <w:rsid w:val="0024010F"/>
    <w:rsid w:val="00240749"/>
    <w:rsid w:val="00243018"/>
    <w:rsid w:val="00246A89"/>
    <w:rsid w:val="002564A4"/>
    <w:rsid w:val="0026736C"/>
    <w:rsid w:val="00281308"/>
    <w:rsid w:val="0028293B"/>
    <w:rsid w:val="00284719"/>
    <w:rsid w:val="00295E7D"/>
    <w:rsid w:val="00297ECB"/>
    <w:rsid w:val="002A7BCF"/>
    <w:rsid w:val="002C3FD1"/>
    <w:rsid w:val="002C659F"/>
    <w:rsid w:val="002D043A"/>
    <w:rsid w:val="002D233E"/>
    <w:rsid w:val="002D266B"/>
    <w:rsid w:val="002D3750"/>
    <w:rsid w:val="002D6224"/>
    <w:rsid w:val="002E266A"/>
    <w:rsid w:val="002E6A76"/>
    <w:rsid w:val="00301BD5"/>
    <w:rsid w:val="00304F8B"/>
    <w:rsid w:val="00335BC6"/>
    <w:rsid w:val="003415D3"/>
    <w:rsid w:val="00344338"/>
    <w:rsid w:val="00344701"/>
    <w:rsid w:val="00352B0F"/>
    <w:rsid w:val="00360459"/>
    <w:rsid w:val="0038049F"/>
    <w:rsid w:val="00384678"/>
    <w:rsid w:val="003C3CEC"/>
    <w:rsid w:val="003C6231"/>
    <w:rsid w:val="003C6E53"/>
    <w:rsid w:val="003D0BFE"/>
    <w:rsid w:val="003D5700"/>
    <w:rsid w:val="003D7CA6"/>
    <w:rsid w:val="003E2289"/>
    <w:rsid w:val="003E2AC9"/>
    <w:rsid w:val="003E341B"/>
    <w:rsid w:val="003E4D00"/>
    <w:rsid w:val="003E7097"/>
    <w:rsid w:val="003F00F1"/>
    <w:rsid w:val="003F1A4B"/>
    <w:rsid w:val="004116CD"/>
    <w:rsid w:val="00417EB9"/>
    <w:rsid w:val="00424CA9"/>
    <w:rsid w:val="00426EDD"/>
    <w:rsid w:val="0042705B"/>
    <w:rsid w:val="004276DF"/>
    <w:rsid w:val="00431E9B"/>
    <w:rsid w:val="00435631"/>
    <w:rsid w:val="004379E3"/>
    <w:rsid w:val="0044015E"/>
    <w:rsid w:val="0044291A"/>
    <w:rsid w:val="00461C5D"/>
    <w:rsid w:val="00467661"/>
    <w:rsid w:val="00472DBE"/>
    <w:rsid w:val="00474A19"/>
    <w:rsid w:val="00477830"/>
    <w:rsid w:val="004843F3"/>
    <w:rsid w:val="00487764"/>
    <w:rsid w:val="00495BC0"/>
    <w:rsid w:val="00496F97"/>
    <w:rsid w:val="004A14C2"/>
    <w:rsid w:val="004B6C48"/>
    <w:rsid w:val="004C4E59"/>
    <w:rsid w:val="004C6809"/>
    <w:rsid w:val="004E063A"/>
    <w:rsid w:val="004E1307"/>
    <w:rsid w:val="004E7BEC"/>
    <w:rsid w:val="00505D3D"/>
    <w:rsid w:val="00506AF6"/>
    <w:rsid w:val="00511F59"/>
    <w:rsid w:val="00514F40"/>
    <w:rsid w:val="00516B8D"/>
    <w:rsid w:val="005303C8"/>
    <w:rsid w:val="00537FBC"/>
    <w:rsid w:val="00554826"/>
    <w:rsid w:val="0056134B"/>
    <w:rsid w:val="00562877"/>
    <w:rsid w:val="00576DE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4191"/>
    <w:rsid w:val="005E012B"/>
    <w:rsid w:val="005E5F6C"/>
    <w:rsid w:val="00600219"/>
    <w:rsid w:val="00602C11"/>
    <w:rsid w:val="00604F2A"/>
    <w:rsid w:val="00620076"/>
    <w:rsid w:val="0062153A"/>
    <w:rsid w:val="00627E0A"/>
    <w:rsid w:val="0063651F"/>
    <w:rsid w:val="00636E51"/>
    <w:rsid w:val="00637BEB"/>
    <w:rsid w:val="00641E7C"/>
    <w:rsid w:val="0065488B"/>
    <w:rsid w:val="00670EA1"/>
    <w:rsid w:val="00677CC2"/>
    <w:rsid w:val="0068744B"/>
    <w:rsid w:val="0069053E"/>
    <w:rsid w:val="006905DE"/>
    <w:rsid w:val="0069207B"/>
    <w:rsid w:val="006A154F"/>
    <w:rsid w:val="006A437B"/>
    <w:rsid w:val="006B32E6"/>
    <w:rsid w:val="006B5789"/>
    <w:rsid w:val="006C30C5"/>
    <w:rsid w:val="006C62D0"/>
    <w:rsid w:val="006C7F8C"/>
    <w:rsid w:val="006E2E1C"/>
    <w:rsid w:val="006E594F"/>
    <w:rsid w:val="006E6246"/>
    <w:rsid w:val="006E69C2"/>
    <w:rsid w:val="006E6DCC"/>
    <w:rsid w:val="006F318F"/>
    <w:rsid w:val="006F611E"/>
    <w:rsid w:val="006F6908"/>
    <w:rsid w:val="0070017E"/>
    <w:rsid w:val="00700B2C"/>
    <w:rsid w:val="007050A2"/>
    <w:rsid w:val="00711B12"/>
    <w:rsid w:val="00712FA3"/>
    <w:rsid w:val="00713084"/>
    <w:rsid w:val="00714F20"/>
    <w:rsid w:val="0071590F"/>
    <w:rsid w:val="00715914"/>
    <w:rsid w:val="0072147A"/>
    <w:rsid w:val="00723791"/>
    <w:rsid w:val="00723EAF"/>
    <w:rsid w:val="00731E00"/>
    <w:rsid w:val="007440B7"/>
    <w:rsid w:val="007500C8"/>
    <w:rsid w:val="00756272"/>
    <w:rsid w:val="00762D38"/>
    <w:rsid w:val="00771214"/>
    <w:rsid w:val="007715C9"/>
    <w:rsid w:val="00771613"/>
    <w:rsid w:val="00774EDD"/>
    <w:rsid w:val="007757EC"/>
    <w:rsid w:val="00777072"/>
    <w:rsid w:val="0077723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144EC"/>
    <w:rsid w:val="00824498"/>
    <w:rsid w:val="00826BD1"/>
    <w:rsid w:val="00854D0B"/>
    <w:rsid w:val="0085616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52B"/>
    <w:rsid w:val="008B2706"/>
    <w:rsid w:val="008C0CBD"/>
    <w:rsid w:val="008C1E16"/>
    <w:rsid w:val="008C2EAC"/>
    <w:rsid w:val="008C4197"/>
    <w:rsid w:val="008C68D2"/>
    <w:rsid w:val="008D0360"/>
    <w:rsid w:val="008D0EE0"/>
    <w:rsid w:val="008D2FC8"/>
    <w:rsid w:val="008E0027"/>
    <w:rsid w:val="008E6067"/>
    <w:rsid w:val="008F54E7"/>
    <w:rsid w:val="00903422"/>
    <w:rsid w:val="009254C3"/>
    <w:rsid w:val="00932377"/>
    <w:rsid w:val="00941236"/>
    <w:rsid w:val="00942ECA"/>
    <w:rsid w:val="00943FD5"/>
    <w:rsid w:val="00947D5A"/>
    <w:rsid w:val="009532A5"/>
    <w:rsid w:val="009545BD"/>
    <w:rsid w:val="00964CF0"/>
    <w:rsid w:val="00977806"/>
    <w:rsid w:val="00982242"/>
    <w:rsid w:val="009868E9"/>
    <w:rsid w:val="00986AB5"/>
    <w:rsid w:val="009900A3"/>
    <w:rsid w:val="00997702"/>
    <w:rsid w:val="009B141F"/>
    <w:rsid w:val="009C3413"/>
    <w:rsid w:val="00A0441E"/>
    <w:rsid w:val="00A06F8E"/>
    <w:rsid w:val="00A12128"/>
    <w:rsid w:val="00A22C98"/>
    <w:rsid w:val="00A231E2"/>
    <w:rsid w:val="00A3343B"/>
    <w:rsid w:val="00A369E3"/>
    <w:rsid w:val="00A57600"/>
    <w:rsid w:val="00A64912"/>
    <w:rsid w:val="00A70A74"/>
    <w:rsid w:val="00A75FE9"/>
    <w:rsid w:val="00AD4367"/>
    <w:rsid w:val="00AD53CC"/>
    <w:rsid w:val="00AD5641"/>
    <w:rsid w:val="00AE75A5"/>
    <w:rsid w:val="00AF06CF"/>
    <w:rsid w:val="00B07CDB"/>
    <w:rsid w:val="00B16A31"/>
    <w:rsid w:val="00B17DFD"/>
    <w:rsid w:val="00B25306"/>
    <w:rsid w:val="00B27831"/>
    <w:rsid w:val="00B308FE"/>
    <w:rsid w:val="00B31B06"/>
    <w:rsid w:val="00B33709"/>
    <w:rsid w:val="00B33B3C"/>
    <w:rsid w:val="00B36392"/>
    <w:rsid w:val="00B410D8"/>
    <w:rsid w:val="00B418CB"/>
    <w:rsid w:val="00B47444"/>
    <w:rsid w:val="00B50ADC"/>
    <w:rsid w:val="00B566B1"/>
    <w:rsid w:val="00B63834"/>
    <w:rsid w:val="00B77ACE"/>
    <w:rsid w:val="00B80199"/>
    <w:rsid w:val="00B83204"/>
    <w:rsid w:val="00B856E7"/>
    <w:rsid w:val="00BA220B"/>
    <w:rsid w:val="00BA3A57"/>
    <w:rsid w:val="00BA73DE"/>
    <w:rsid w:val="00BB1533"/>
    <w:rsid w:val="00BB4E1A"/>
    <w:rsid w:val="00BC015E"/>
    <w:rsid w:val="00BC7410"/>
    <w:rsid w:val="00BC76AC"/>
    <w:rsid w:val="00BC7E6D"/>
    <w:rsid w:val="00BD0ECB"/>
    <w:rsid w:val="00BE2155"/>
    <w:rsid w:val="00BE719A"/>
    <w:rsid w:val="00BE720A"/>
    <w:rsid w:val="00BF0D73"/>
    <w:rsid w:val="00BF2465"/>
    <w:rsid w:val="00BF65C6"/>
    <w:rsid w:val="00C16619"/>
    <w:rsid w:val="00C25E7F"/>
    <w:rsid w:val="00C2746F"/>
    <w:rsid w:val="00C3129D"/>
    <w:rsid w:val="00C323D6"/>
    <w:rsid w:val="00C324A0"/>
    <w:rsid w:val="00C429F2"/>
    <w:rsid w:val="00C42BF8"/>
    <w:rsid w:val="00C438CD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9FB"/>
    <w:rsid w:val="00D13441"/>
    <w:rsid w:val="00D150E7"/>
    <w:rsid w:val="00D21475"/>
    <w:rsid w:val="00D43A3B"/>
    <w:rsid w:val="00D46BE1"/>
    <w:rsid w:val="00D52DC2"/>
    <w:rsid w:val="00D53BCC"/>
    <w:rsid w:val="00D54C9E"/>
    <w:rsid w:val="00D644DC"/>
    <w:rsid w:val="00D6537E"/>
    <w:rsid w:val="00D70DFB"/>
    <w:rsid w:val="00D766DF"/>
    <w:rsid w:val="00D8206C"/>
    <w:rsid w:val="00D91F10"/>
    <w:rsid w:val="00D92160"/>
    <w:rsid w:val="00DA186E"/>
    <w:rsid w:val="00DA4116"/>
    <w:rsid w:val="00DB251C"/>
    <w:rsid w:val="00DB4630"/>
    <w:rsid w:val="00DC4F88"/>
    <w:rsid w:val="00DE107C"/>
    <w:rsid w:val="00DF2388"/>
    <w:rsid w:val="00DF2F48"/>
    <w:rsid w:val="00E002AA"/>
    <w:rsid w:val="00E05704"/>
    <w:rsid w:val="00E338EF"/>
    <w:rsid w:val="00E51E0D"/>
    <w:rsid w:val="00E544BB"/>
    <w:rsid w:val="00E74DC7"/>
    <w:rsid w:val="00E8015E"/>
    <w:rsid w:val="00E8075A"/>
    <w:rsid w:val="00E940D8"/>
    <w:rsid w:val="00E94D5E"/>
    <w:rsid w:val="00E9538B"/>
    <w:rsid w:val="00EA7100"/>
    <w:rsid w:val="00EA7F9F"/>
    <w:rsid w:val="00EB1274"/>
    <w:rsid w:val="00ED2BB6"/>
    <w:rsid w:val="00ED34E1"/>
    <w:rsid w:val="00ED3B8D"/>
    <w:rsid w:val="00EE3E2C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282E"/>
    <w:rsid w:val="00F567F7"/>
    <w:rsid w:val="00F56B87"/>
    <w:rsid w:val="00F6696E"/>
    <w:rsid w:val="00F73BD6"/>
    <w:rsid w:val="00F764D5"/>
    <w:rsid w:val="00F8313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1F98B6"/>
  <w15:docId w15:val="{7DEFE88A-1BC1-44B9-BFDF-F30BBED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ianikas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CB6A-E105-4593-804E-1ABB8511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1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Jonathon Tsianikas</dc:creator>
  <cp:lastModifiedBy>CLARK Brenton</cp:lastModifiedBy>
  <cp:revision>3</cp:revision>
  <dcterms:created xsi:type="dcterms:W3CDTF">2019-03-22T02:24:00Z</dcterms:created>
  <dcterms:modified xsi:type="dcterms:W3CDTF">2019-03-22T02:25:00Z</dcterms:modified>
</cp:coreProperties>
</file>