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EF8B3" w14:textId="77777777" w:rsidR="00F109D4" w:rsidRPr="009E026A" w:rsidRDefault="00F109D4" w:rsidP="00647BB7">
      <w:pPr>
        <w:pStyle w:val="Heading1"/>
        <w:spacing w:after="360"/>
        <w:rPr>
          <w:rFonts w:ascii="Times New Roman" w:hAnsi="Times New Roman"/>
          <w:sz w:val="24"/>
          <w:szCs w:val="24"/>
        </w:rPr>
      </w:pPr>
      <w:bookmarkStart w:id="0" w:name="_GoBack"/>
      <w:bookmarkEnd w:id="0"/>
      <w:r w:rsidRPr="009E026A">
        <w:rPr>
          <w:rFonts w:ascii="Times New Roman" w:hAnsi="Times New Roman"/>
          <w:sz w:val="24"/>
          <w:szCs w:val="24"/>
        </w:rPr>
        <w:t>EXPLANATORY STATEMENT</w:t>
      </w:r>
    </w:p>
    <w:p w14:paraId="7257A94A" w14:textId="7C387221" w:rsidR="007662C7" w:rsidRPr="003E1CE3" w:rsidRDefault="00F109D4" w:rsidP="003E1CE3">
      <w:pPr>
        <w:pStyle w:val="Heading2"/>
        <w:jc w:val="center"/>
      </w:pPr>
      <w:r w:rsidRPr="00503E44">
        <w:t xml:space="preserve">Issued by authority of the </w:t>
      </w:r>
      <w:r w:rsidR="00232454">
        <w:t>Assistant Treasurer</w:t>
      </w:r>
    </w:p>
    <w:p w14:paraId="280679EA" w14:textId="4C8755D2" w:rsidR="00F109D4" w:rsidRPr="00503E44" w:rsidRDefault="00F001D4" w:rsidP="009E026A">
      <w:pPr>
        <w:spacing w:after="240"/>
        <w:jc w:val="center"/>
        <w:rPr>
          <w:i/>
        </w:rPr>
      </w:pPr>
      <w:r w:rsidRPr="004C32DD">
        <w:rPr>
          <w:i/>
        </w:rPr>
        <w:t>Superannuation Contributions Tax (Members of Constitutionally Protected Superannuation Funds) Assessment and Collection Act 1997</w:t>
      </w:r>
    </w:p>
    <w:p w14:paraId="1B7FCD6B" w14:textId="2D6112A4" w:rsidR="00F109D4" w:rsidRPr="00503E44" w:rsidRDefault="00F001D4" w:rsidP="00AA1689">
      <w:pPr>
        <w:tabs>
          <w:tab w:val="left" w:pos="1418"/>
        </w:tabs>
        <w:spacing w:before="0" w:after="240"/>
        <w:jc w:val="center"/>
        <w:rPr>
          <w:i/>
        </w:rPr>
      </w:pPr>
      <w:r w:rsidRPr="004C32DD">
        <w:rPr>
          <w:i/>
        </w:rPr>
        <w:t xml:space="preserve">Superannuation Contributions Tax (Members of Constitutionally Protected Superannuation Funds) Assessment and Collection </w:t>
      </w:r>
      <w:r>
        <w:rPr>
          <w:i/>
        </w:rPr>
        <w:t>Regulations 2019</w:t>
      </w:r>
    </w:p>
    <w:p w14:paraId="10F83952" w14:textId="79691FC9" w:rsidR="004C32DD" w:rsidRPr="004C32DD" w:rsidRDefault="004C32DD" w:rsidP="00647BB7">
      <w:pPr>
        <w:spacing w:before="240"/>
      </w:pPr>
      <w:r>
        <w:t xml:space="preserve">The </w:t>
      </w:r>
      <w:r w:rsidRPr="004C32DD" w:rsidDel="008E4850">
        <w:rPr>
          <w:i/>
        </w:rPr>
        <w:t>Superannuation Contributions Tax (</w:t>
      </w:r>
      <w:r w:rsidRPr="004C32DD">
        <w:rPr>
          <w:i/>
        </w:rPr>
        <w:t>Members of Constitutionally Protected Superannuation Funds) Assessment and Collection Act 1997</w:t>
      </w:r>
      <w:r>
        <w:t xml:space="preserve"> (SCT CPSF Act) provide</w:t>
      </w:r>
      <w:r w:rsidR="00361137">
        <w:t>s</w:t>
      </w:r>
      <w:r>
        <w:t xml:space="preserve"> for the assessment and collection of superannuation contributions surcharge </w:t>
      </w:r>
      <w:r w:rsidR="00527B76">
        <w:t xml:space="preserve">tax </w:t>
      </w:r>
      <w:r>
        <w:t>(SCT)</w:t>
      </w:r>
      <w:r w:rsidR="00713952">
        <w:t>, also referred to as superannuation contributions surcharge</w:t>
      </w:r>
      <w:r w:rsidR="000824A6">
        <w:t>, from members of constitutionally protected superannuation funds</w:t>
      </w:r>
      <w:r>
        <w:t xml:space="preserve">. SCT is </w:t>
      </w:r>
      <w:r w:rsidRPr="0097010D">
        <w:rPr>
          <w:shd w:val="clear" w:color="auto" w:fill="FFFFFF"/>
        </w:rPr>
        <w:t xml:space="preserve">an additional tax </w:t>
      </w:r>
      <w:r>
        <w:rPr>
          <w:shd w:val="clear" w:color="auto" w:fill="FFFFFF"/>
        </w:rPr>
        <w:t xml:space="preserve">on </w:t>
      </w:r>
      <w:r w:rsidRPr="0097010D">
        <w:rPr>
          <w:shd w:val="clear" w:color="auto" w:fill="FFFFFF"/>
        </w:rPr>
        <w:t xml:space="preserve">certain superannuation contributions </w:t>
      </w:r>
      <w:r w:rsidR="00D50259">
        <w:rPr>
          <w:shd w:val="clear" w:color="auto" w:fill="FFFFFF"/>
        </w:rPr>
        <w:t>for</w:t>
      </w:r>
      <w:r w:rsidR="00D50259" w:rsidRPr="0097010D">
        <w:rPr>
          <w:shd w:val="clear" w:color="auto" w:fill="FFFFFF"/>
        </w:rPr>
        <w:t xml:space="preserve"> </w:t>
      </w:r>
      <w:r w:rsidRPr="0097010D">
        <w:rPr>
          <w:shd w:val="clear" w:color="auto" w:fill="FFFFFF"/>
        </w:rPr>
        <w:t>superannuation benefits accrued by high income earners</w:t>
      </w:r>
      <w:r>
        <w:rPr>
          <w:shd w:val="clear" w:color="auto" w:fill="FFFFFF"/>
        </w:rPr>
        <w:t xml:space="preserve"> that </w:t>
      </w:r>
      <w:r w:rsidR="00346ACC">
        <w:rPr>
          <w:shd w:val="clear" w:color="auto" w:fill="FFFFFF"/>
        </w:rPr>
        <w:t xml:space="preserve">applied </w:t>
      </w:r>
      <w:r w:rsidR="007708D3">
        <w:rPr>
          <w:shd w:val="clear" w:color="auto" w:fill="FFFFFF"/>
        </w:rPr>
        <w:t xml:space="preserve">to </w:t>
      </w:r>
      <w:r w:rsidR="005C20BA">
        <w:rPr>
          <w:shd w:val="clear" w:color="auto" w:fill="FFFFFF"/>
        </w:rPr>
        <w:t xml:space="preserve">contributions accrued </w:t>
      </w:r>
      <w:r w:rsidR="00346ACC">
        <w:rPr>
          <w:shd w:val="clear" w:color="auto" w:fill="FFFFFF"/>
        </w:rPr>
        <w:t xml:space="preserve">between 1 July 1996 and 30 June </w:t>
      </w:r>
      <w:r>
        <w:rPr>
          <w:shd w:val="clear" w:color="auto" w:fill="FFFFFF"/>
        </w:rPr>
        <w:t>2005</w:t>
      </w:r>
      <w:r w:rsidRPr="0097010D">
        <w:rPr>
          <w:shd w:val="clear" w:color="auto" w:fill="FFFFFF"/>
        </w:rPr>
        <w:t>.</w:t>
      </w:r>
      <w:r w:rsidR="0089461E">
        <w:rPr>
          <w:shd w:val="clear" w:color="auto" w:fill="FFFFFF"/>
        </w:rPr>
        <w:t xml:space="preserve"> </w:t>
      </w:r>
    </w:p>
    <w:p w14:paraId="1DBBC227" w14:textId="163C8E97" w:rsidR="00F109D4" w:rsidRDefault="00C55D29" w:rsidP="00647BB7">
      <w:pPr>
        <w:spacing w:before="240"/>
      </w:pPr>
      <w:r w:rsidRPr="00503E44">
        <w:t>S</w:t>
      </w:r>
      <w:r w:rsidRPr="00503E44" w:rsidDel="008E4850">
        <w:t xml:space="preserve">ection </w:t>
      </w:r>
      <w:r w:rsidR="00D50259">
        <w:t>37</w:t>
      </w:r>
      <w:r w:rsidR="004C32DD">
        <w:t xml:space="preserve"> of the SCT CPSF Act </w:t>
      </w:r>
      <w:r w:rsidR="0089461E">
        <w:t>provide</w:t>
      </w:r>
      <w:r w:rsidR="000824A6">
        <w:t>s</w:t>
      </w:r>
      <w:r w:rsidR="00F109D4" w:rsidRPr="00503E44">
        <w:t xml:space="preserve"> that the Governor-General may make regulations prescribing matters required or permitted by th</w:t>
      </w:r>
      <w:r w:rsidR="003A6F93">
        <w:t>at</w:t>
      </w:r>
      <w:r w:rsidR="00F109D4" w:rsidRPr="00503E44">
        <w:t xml:space="preserve"> Act to be prescribed, or necessary or convenient to be prescribed for carrying out or giving effect to th</w:t>
      </w:r>
      <w:r w:rsidR="003A6F93">
        <w:t>at</w:t>
      </w:r>
      <w:r w:rsidR="004C32DD">
        <w:t xml:space="preserve"> A</w:t>
      </w:r>
      <w:r w:rsidR="00F109D4" w:rsidRPr="00503E44">
        <w:t>ct.</w:t>
      </w:r>
    </w:p>
    <w:p w14:paraId="471410F5" w14:textId="69F2D3E9" w:rsidR="0089461E" w:rsidRDefault="004C32DD" w:rsidP="00647BB7">
      <w:pPr>
        <w:spacing w:before="240"/>
      </w:pPr>
      <w:r>
        <w:t xml:space="preserve">The purpose of the </w:t>
      </w:r>
      <w:r w:rsidR="00D50259" w:rsidRPr="00E74ECA" w:rsidDel="00E62BFD">
        <w:rPr>
          <w:i/>
        </w:rPr>
        <w:t>Superannuation Contributions Tax (</w:t>
      </w:r>
      <w:r w:rsidR="00D50259" w:rsidRPr="00E74ECA">
        <w:rPr>
          <w:i/>
        </w:rPr>
        <w:t>Members of Constitutionally Protected Superannuation Funds) Assessment and Collection Regulations 2019</w:t>
      </w:r>
      <w:r>
        <w:t xml:space="preserve"> </w:t>
      </w:r>
      <w:r w:rsidR="0089461E">
        <w:t>(the</w:t>
      </w:r>
      <w:r w:rsidR="003E1976">
        <w:t> </w:t>
      </w:r>
      <w:r w:rsidR="0089461E">
        <w:t xml:space="preserve">Regulations) </w:t>
      </w:r>
      <w:r>
        <w:t xml:space="preserve">is to remake and </w:t>
      </w:r>
      <w:r w:rsidR="003A6F93">
        <w:t xml:space="preserve">repeal redundant regulations in </w:t>
      </w:r>
      <w:r>
        <w:t xml:space="preserve">the </w:t>
      </w:r>
      <w:r w:rsidR="0089461E" w:rsidRPr="004C32DD" w:rsidDel="00E62BFD">
        <w:rPr>
          <w:i/>
        </w:rPr>
        <w:t>Superannuation Contributions Tax (</w:t>
      </w:r>
      <w:r w:rsidR="0089461E" w:rsidRPr="004C32DD">
        <w:rPr>
          <w:i/>
        </w:rPr>
        <w:t xml:space="preserve">Members of Constitutionally Protected Superannuation Funds) Assessment and Collection </w:t>
      </w:r>
      <w:r w:rsidR="0089461E">
        <w:rPr>
          <w:i/>
        </w:rPr>
        <w:t>Regulations </w:t>
      </w:r>
      <w:r w:rsidR="0089461E" w:rsidRPr="004C32DD">
        <w:rPr>
          <w:i/>
        </w:rPr>
        <w:t>1997</w:t>
      </w:r>
      <w:r w:rsidR="0089461E">
        <w:t xml:space="preserve"> (the prior Regulations) before they ‘sunset’. While</w:t>
      </w:r>
      <w:r w:rsidR="009E6248">
        <w:t xml:space="preserve"> t</w:t>
      </w:r>
      <w:r w:rsidR="00D50259">
        <w:t>he</w:t>
      </w:r>
      <w:r w:rsidR="0089461E">
        <w:t xml:space="preserve"> SCT </w:t>
      </w:r>
      <w:r w:rsidR="00042366">
        <w:t>does not</w:t>
      </w:r>
      <w:r w:rsidR="003731E2">
        <w:t xml:space="preserve"> apply to superannuation contribution</w:t>
      </w:r>
      <w:r w:rsidR="007708D3">
        <w:t>s</w:t>
      </w:r>
      <w:r w:rsidR="003731E2">
        <w:t xml:space="preserve"> accrued after 30 June 2005</w:t>
      </w:r>
      <w:r w:rsidR="0089461E">
        <w:t>, t</w:t>
      </w:r>
      <w:r w:rsidR="00304FA1">
        <w:t xml:space="preserve">he </w:t>
      </w:r>
      <w:r w:rsidR="005F4AD5" w:rsidRPr="005F4AD5" w:rsidDel="00E62BFD">
        <w:t xml:space="preserve">SCT </w:t>
      </w:r>
      <w:r w:rsidR="005F4AD5" w:rsidRPr="005F4AD5">
        <w:t xml:space="preserve">CPSF </w:t>
      </w:r>
      <w:r w:rsidR="00304FA1">
        <w:t xml:space="preserve">Act and </w:t>
      </w:r>
      <w:r w:rsidR="00546E47">
        <w:t xml:space="preserve">the </w:t>
      </w:r>
      <w:r w:rsidR="00304FA1">
        <w:t xml:space="preserve">prior </w:t>
      </w:r>
      <w:r w:rsidR="00546E47">
        <w:t>R</w:t>
      </w:r>
      <w:r w:rsidR="00304FA1">
        <w:t>egulations are</w:t>
      </w:r>
      <w:r w:rsidR="0089461E">
        <w:t xml:space="preserve"> still required as </w:t>
      </w:r>
      <w:r w:rsidR="007708D3">
        <w:t xml:space="preserve">payment of </w:t>
      </w:r>
      <w:r w:rsidR="00304FA1" w:rsidDel="00AF78BD">
        <w:t xml:space="preserve">the accrued </w:t>
      </w:r>
      <w:r w:rsidR="003A6F93">
        <w:t xml:space="preserve">SCT </w:t>
      </w:r>
      <w:r w:rsidR="00304FA1">
        <w:t xml:space="preserve">liabilities </w:t>
      </w:r>
      <w:r w:rsidR="007708D3">
        <w:t>relating to some</w:t>
      </w:r>
      <w:r w:rsidR="00404E28">
        <w:t xml:space="preserve"> </w:t>
      </w:r>
      <w:r w:rsidR="007708D3">
        <w:t xml:space="preserve">members for superannuation contributions accrued </w:t>
      </w:r>
      <w:r w:rsidR="00D46212">
        <w:t xml:space="preserve">on or </w:t>
      </w:r>
      <w:r w:rsidR="007708D3">
        <w:t xml:space="preserve">before </w:t>
      </w:r>
      <w:r w:rsidR="00404E28">
        <w:t>30 June 2005</w:t>
      </w:r>
      <w:r w:rsidR="00304FA1">
        <w:t xml:space="preserve"> </w:t>
      </w:r>
      <w:r w:rsidR="00D50259">
        <w:t>ha</w:t>
      </w:r>
      <w:r w:rsidR="00E62BFD">
        <w:t>s</w:t>
      </w:r>
      <w:r w:rsidR="00D50259">
        <w:t xml:space="preserve"> been</w:t>
      </w:r>
      <w:r w:rsidR="00304FA1">
        <w:t xml:space="preserve"> deferred until, generally, the </w:t>
      </w:r>
      <w:r w:rsidR="007708D3">
        <w:t>relevant member</w:t>
      </w:r>
      <w:r w:rsidR="00AF78BD">
        <w:t>s</w:t>
      </w:r>
      <w:r w:rsidR="007708D3">
        <w:t xml:space="preserve"> </w:t>
      </w:r>
      <w:r w:rsidR="00304FA1">
        <w:t>receive a superannuation benefit.</w:t>
      </w:r>
    </w:p>
    <w:p w14:paraId="67DB6915" w14:textId="772DC717" w:rsidR="00F109D4" w:rsidRDefault="0089461E" w:rsidP="00647BB7">
      <w:pPr>
        <w:spacing w:before="240"/>
      </w:pPr>
      <w:r w:rsidRPr="00A26EC1">
        <w:t xml:space="preserve">The </w:t>
      </w:r>
      <w:r w:rsidRPr="00A26EC1">
        <w:rPr>
          <w:i/>
        </w:rPr>
        <w:t>Legislation Act 2003</w:t>
      </w:r>
      <w:r w:rsidRPr="00A26EC1">
        <w:t xml:space="preserve"> provides that all legislative instruments, other than exempt instruments, </w:t>
      </w:r>
      <w:r>
        <w:t xml:space="preserve">are </w:t>
      </w:r>
      <w:r w:rsidRPr="00A26EC1">
        <w:t xml:space="preserve">progressively </w:t>
      </w:r>
      <w:r>
        <w:t>repealed – ‘</w:t>
      </w:r>
      <w:r w:rsidRPr="00A26EC1">
        <w:t>sunset</w:t>
      </w:r>
      <w:r>
        <w:t>’</w:t>
      </w:r>
      <w:r w:rsidRPr="00A26EC1">
        <w:t xml:space="preserve">. </w:t>
      </w:r>
      <w:r w:rsidR="003A6F93">
        <w:t>Accordingly</w:t>
      </w:r>
      <w:r>
        <w:t>,</w:t>
      </w:r>
      <w:r w:rsidRPr="00A26EC1">
        <w:t xml:space="preserve"> the </w:t>
      </w:r>
      <w:r w:rsidRPr="0089461E">
        <w:t xml:space="preserve">prior </w:t>
      </w:r>
      <w:r w:rsidR="009E026A">
        <w:t>R</w:t>
      </w:r>
      <w:r w:rsidRPr="0089461E">
        <w:t>egulation</w:t>
      </w:r>
      <w:r>
        <w:t xml:space="preserve">s </w:t>
      </w:r>
      <w:r w:rsidR="00404E28">
        <w:t>are</w:t>
      </w:r>
      <w:r w:rsidRPr="00A26EC1">
        <w:t xml:space="preserve"> automatically repealed on 1 </w:t>
      </w:r>
      <w:r>
        <w:t>April 2019</w:t>
      </w:r>
      <w:r w:rsidRPr="00A26EC1">
        <w:t xml:space="preserve">. </w:t>
      </w:r>
    </w:p>
    <w:p w14:paraId="675B41EA" w14:textId="06984BE3" w:rsidR="0089461E" w:rsidRDefault="0089461E" w:rsidP="00647BB7">
      <w:pPr>
        <w:spacing w:before="240"/>
      </w:pPr>
      <w:r>
        <w:t xml:space="preserve">The Regulations </w:t>
      </w:r>
      <w:r w:rsidR="006C021A">
        <w:t>remake the prior Regulations</w:t>
      </w:r>
      <w:r w:rsidR="00162A7A">
        <w:t xml:space="preserve">, omitting </w:t>
      </w:r>
      <w:r w:rsidR="006C021A">
        <w:t>redundant provisions, simplifying language and restructur</w:t>
      </w:r>
      <w:r w:rsidR="00361137">
        <w:t>ing</w:t>
      </w:r>
      <w:r w:rsidR="006C021A">
        <w:t xml:space="preserve"> provisions for ease of navigation. The key changes are:</w:t>
      </w:r>
    </w:p>
    <w:p w14:paraId="32FC8E71" w14:textId="7EEEFD30" w:rsidR="006C021A" w:rsidRDefault="006C021A" w:rsidP="00695673">
      <w:pPr>
        <w:pStyle w:val="Bullet"/>
      </w:pPr>
      <w:r>
        <w:t xml:space="preserve">the removal of provisions that are inoperative </w:t>
      </w:r>
      <w:r w:rsidR="00213FD7">
        <w:t>for</w:t>
      </w:r>
      <w:r>
        <w:t xml:space="preserve"> financial years </w:t>
      </w:r>
      <w:r w:rsidR="00695673">
        <w:t xml:space="preserve">commencing on or </w:t>
      </w:r>
      <w:r>
        <w:t>after 1 July 2005;</w:t>
      </w:r>
      <w:r w:rsidR="00695673">
        <w:t xml:space="preserve"> and</w:t>
      </w:r>
    </w:p>
    <w:p w14:paraId="1DF15620" w14:textId="3A77E8D4" w:rsidR="006C021A" w:rsidRPr="0089461E" w:rsidRDefault="00695673" w:rsidP="006C021A">
      <w:pPr>
        <w:pStyle w:val="Bullet"/>
      </w:pPr>
      <w:r>
        <w:t xml:space="preserve">the replacement of provisions </w:t>
      </w:r>
      <w:r w:rsidR="00213FD7">
        <w:t xml:space="preserve">in the </w:t>
      </w:r>
      <w:r w:rsidR="009D7D8F">
        <w:t>prior</w:t>
      </w:r>
      <w:r w:rsidR="00213FD7">
        <w:t xml:space="preserve"> Regulations </w:t>
      </w:r>
      <w:r>
        <w:t xml:space="preserve">setting out in detail the manner and form in which information </w:t>
      </w:r>
      <w:r w:rsidR="00213FD7">
        <w:t xml:space="preserve">is </w:t>
      </w:r>
      <w:r>
        <w:t xml:space="preserve">required with provisions requiring </w:t>
      </w:r>
      <w:r w:rsidR="00213FD7">
        <w:t xml:space="preserve">that </w:t>
      </w:r>
      <w:r>
        <w:t xml:space="preserve">the information must be provided in the approved form within the meaning of section 388-50 in Schedule 1 to the </w:t>
      </w:r>
      <w:r w:rsidRPr="00695673">
        <w:rPr>
          <w:i/>
        </w:rPr>
        <w:t>Taxation Administration Act 1953</w:t>
      </w:r>
      <w:r>
        <w:t xml:space="preserve">. </w:t>
      </w:r>
    </w:p>
    <w:p w14:paraId="4E81D1A1" w14:textId="67AE030E" w:rsidR="00F109D4" w:rsidRDefault="00213FD7" w:rsidP="00647BB7">
      <w:pPr>
        <w:spacing w:before="240"/>
      </w:pPr>
      <w:r>
        <w:lastRenderedPageBreak/>
        <w:t>Other than</w:t>
      </w:r>
      <w:r w:rsidR="00F001D4">
        <w:t xml:space="preserve"> procedural changes </w:t>
      </w:r>
      <w:r>
        <w:t xml:space="preserve">to </w:t>
      </w:r>
      <w:r w:rsidR="00F001D4">
        <w:t>how information is provided</w:t>
      </w:r>
      <w:r w:rsidR="00404E28">
        <w:t xml:space="preserve"> and the removal of redundant provisions</w:t>
      </w:r>
      <w:r w:rsidR="00F001D4">
        <w:t>, t</w:t>
      </w:r>
      <w:r w:rsidR="00695673" w:rsidRPr="00695673">
        <w:t>he</w:t>
      </w:r>
      <w:r>
        <w:t xml:space="preserve"> remaking of the Regulations is</w:t>
      </w:r>
      <w:r w:rsidR="00695673" w:rsidRPr="00695673">
        <w:t xml:space="preserve"> not intended to affect the substantive meaning or operation of the </w:t>
      </w:r>
      <w:r w:rsidR="00F001D4">
        <w:t xml:space="preserve">remade </w:t>
      </w:r>
      <w:r w:rsidR="00695673" w:rsidRPr="00695673">
        <w:t>provisions.</w:t>
      </w:r>
      <w:r w:rsidR="00F001D4">
        <w:t xml:space="preserve"> </w:t>
      </w:r>
      <w:r w:rsidR="00042366">
        <w:t>Transitional</w:t>
      </w:r>
      <w:r w:rsidR="00F001D4">
        <w:t xml:space="preserve"> provision</w:t>
      </w:r>
      <w:r w:rsidR="00042366">
        <w:t>s</w:t>
      </w:r>
      <w:r w:rsidR="00F001D4">
        <w:t xml:space="preserve"> </w:t>
      </w:r>
      <w:r w:rsidR="00742AA7">
        <w:t>preserve</w:t>
      </w:r>
      <w:r w:rsidR="00F001D4">
        <w:t xml:space="preserve"> the operation of the prior Regulations in respect of financial years commencing prior to 1 July 2005.</w:t>
      </w:r>
    </w:p>
    <w:p w14:paraId="6553FCAE" w14:textId="11A43813" w:rsidR="00C37E05" w:rsidRDefault="00695673" w:rsidP="00647BB7">
      <w:pPr>
        <w:spacing w:before="240"/>
      </w:pPr>
      <w:r w:rsidRPr="00695673">
        <w:t xml:space="preserve">Further details of the Regulations are set out in </w:t>
      </w:r>
      <w:r w:rsidRPr="00F001D4">
        <w:rPr>
          <w:u w:val="single"/>
        </w:rPr>
        <w:t>Attachment A</w:t>
      </w:r>
      <w:r w:rsidRPr="00695673">
        <w:t>.</w:t>
      </w:r>
    </w:p>
    <w:p w14:paraId="62118E54" w14:textId="4C9BEF3F" w:rsidR="00C37E05" w:rsidRDefault="005A4545" w:rsidP="00647BB7">
      <w:pPr>
        <w:spacing w:before="240"/>
      </w:pPr>
      <w:r>
        <w:t>The</w:t>
      </w:r>
      <w:r w:rsidR="005F4AD5" w:rsidRPr="005F4AD5" w:rsidDel="00E62BFD">
        <w:t xml:space="preserve"> </w:t>
      </w:r>
      <w:r w:rsidR="005F4AD5" w:rsidRPr="005F4AD5">
        <w:t>SCT CPSF Act</w:t>
      </w:r>
      <w:r>
        <w:t xml:space="preserve"> </w:t>
      </w:r>
      <w:r>
        <w:rPr>
          <w:color w:val="000000"/>
          <w:shd w:val="clear" w:color="auto" w:fill="FFFFFF"/>
        </w:rPr>
        <w:t>do</w:t>
      </w:r>
      <w:r w:rsidR="00E62BFD">
        <w:rPr>
          <w:color w:val="000000"/>
          <w:shd w:val="clear" w:color="auto" w:fill="FFFFFF"/>
        </w:rPr>
        <w:t>es</w:t>
      </w:r>
      <w:r>
        <w:rPr>
          <w:color w:val="000000"/>
          <w:shd w:val="clear" w:color="auto" w:fill="FFFFFF"/>
        </w:rPr>
        <w:t xml:space="preserve"> not specify any conditions that need to be met before the power to make the Regulations may be exercised.</w:t>
      </w:r>
    </w:p>
    <w:p w14:paraId="7176BA70" w14:textId="2ED58C33" w:rsidR="0088467C" w:rsidRDefault="00695673" w:rsidP="00647BB7">
      <w:pPr>
        <w:spacing w:before="240"/>
      </w:pPr>
      <w:r w:rsidRPr="00E74ECA">
        <w:t>An Exposure Draft of the Regulations and accompanying Explanatory Materials were released for public consultation from</w:t>
      </w:r>
      <w:r w:rsidR="00C37B21">
        <w:t xml:space="preserve"> 5 February 2019 to 15 February 2019. No submissions were received.</w:t>
      </w:r>
      <w:r w:rsidR="00C37B21" w:rsidRPr="00E74ECA" w:rsidDel="00C37B21">
        <w:t xml:space="preserve"> </w:t>
      </w:r>
    </w:p>
    <w:p w14:paraId="72DB4A1A" w14:textId="74146A74" w:rsidR="00F001D4" w:rsidRDefault="00F001D4" w:rsidP="00647BB7">
      <w:pPr>
        <w:spacing w:before="240"/>
      </w:pPr>
      <w:r w:rsidRPr="00A26EC1">
        <w:t xml:space="preserve">The Regulations are a legislative instrument for the purposes of the </w:t>
      </w:r>
      <w:r w:rsidRPr="00A26EC1">
        <w:rPr>
          <w:i/>
        </w:rPr>
        <w:t xml:space="preserve">Legislation </w:t>
      </w:r>
      <w:r w:rsidRPr="00A26EC1" w:rsidDel="00B7552D">
        <w:rPr>
          <w:i/>
        </w:rPr>
        <w:t>Act</w:t>
      </w:r>
      <w:r w:rsidR="00B7552D">
        <w:rPr>
          <w:i/>
        </w:rPr>
        <w:t> </w:t>
      </w:r>
      <w:r w:rsidRPr="00A26EC1">
        <w:rPr>
          <w:i/>
        </w:rPr>
        <w:t>2003</w:t>
      </w:r>
      <w:r w:rsidRPr="000F3113">
        <w:t>.</w:t>
      </w:r>
    </w:p>
    <w:p w14:paraId="61B6CB8B" w14:textId="0E36C77B" w:rsidR="009143A0" w:rsidRDefault="00F109D4" w:rsidP="00647BB7">
      <w:pPr>
        <w:spacing w:before="240"/>
      </w:pPr>
      <w:r w:rsidRPr="00503E44">
        <w:t xml:space="preserve">The Regulations commence on </w:t>
      </w:r>
      <w:r w:rsidR="00695673">
        <w:t>1 April 2019.</w:t>
      </w:r>
    </w:p>
    <w:p w14:paraId="62144B2C" w14:textId="77777777" w:rsidR="003E1976" w:rsidRPr="009D7D8F" w:rsidRDefault="003E1976" w:rsidP="003E1976">
      <w:pPr>
        <w:spacing w:before="240"/>
      </w:pPr>
      <w:r w:rsidRPr="00B92111">
        <w:t xml:space="preserve">Prior to the making of the Regulations and in accordance with the Office of Best Practice Regulation’s (OBPR) Guidance Note on sunsetting instruments, the Department of the Treasury self-assessed that the </w:t>
      </w:r>
      <w:r>
        <w:t>1997</w:t>
      </w:r>
      <w:r w:rsidRPr="00B92111">
        <w:t xml:space="preserve"> Regulations were operating effectively and efficiently, and therefore a Regulation Impact Statement was not required. This assessment was informed by the public consultation on the exposure draft Regulations.</w:t>
      </w:r>
      <w:r w:rsidRPr="009D7D8F">
        <w:t xml:space="preserve"> </w:t>
      </w:r>
    </w:p>
    <w:p w14:paraId="73CD7FC7" w14:textId="604DAFAA" w:rsidR="002D1861" w:rsidRPr="009E026A" w:rsidRDefault="003E1976" w:rsidP="00785AC5">
      <w:pPr>
        <w:shd w:val="clear" w:color="auto" w:fill="FFFFFF"/>
        <w:rPr>
          <w:color w:val="000000"/>
          <w:szCs w:val="24"/>
        </w:rPr>
      </w:pPr>
      <w:r w:rsidRPr="009E026A">
        <w:rPr>
          <w:color w:val="000000"/>
          <w:szCs w:val="24"/>
        </w:rPr>
        <w:t xml:space="preserve">A Statement of Compatibility with Human Rights </w:t>
      </w:r>
      <w:r>
        <w:rPr>
          <w:color w:val="000000"/>
          <w:szCs w:val="24"/>
        </w:rPr>
        <w:t xml:space="preserve">is at </w:t>
      </w:r>
      <w:r w:rsidRPr="009E026A">
        <w:rPr>
          <w:color w:val="000000"/>
          <w:szCs w:val="24"/>
          <w:u w:val="single"/>
        </w:rPr>
        <w:t>Attachment C</w:t>
      </w:r>
      <w:r>
        <w:rPr>
          <w:color w:val="000000"/>
          <w:szCs w:val="24"/>
        </w:rPr>
        <w:t>.</w:t>
      </w:r>
    </w:p>
    <w:p w14:paraId="31F0D8D1" w14:textId="6356289B" w:rsidR="00916599" w:rsidRPr="00A26EC1" w:rsidRDefault="00916599" w:rsidP="00916599">
      <w:pPr>
        <w:pageBreakBefore/>
        <w:shd w:val="clear" w:color="auto" w:fill="FFFFFF"/>
        <w:spacing w:before="100" w:beforeAutospacing="1" w:after="100" w:afterAutospacing="1"/>
        <w:jc w:val="right"/>
        <w:rPr>
          <w:b/>
          <w:bCs/>
          <w:szCs w:val="24"/>
          <w:u w:val="single"/>
        </w:rPr>
      </w:pPr>
      <w:r>
        <w:rPr>
          <w:b/>
          <w:bCs/>
          <w:szCs w:val="24"/>
          <w:u w:val="single"/>
        </w:rPr>
        <w:lastRenderedPageBreak/>
        <w:t xml:space="preserve">ATTACHMENT </w:t>
      </w:r>
      <w:r w:rsidR="00C37B21">
        <w:rPr>
          <w:b/>
          <w:bCs/>
          <w:szCs w:val="24"/>
          <w:u w:val="single"/>
        </w:rPr>
        <w:t>A</w:t>
      </w:r>
    </w:p>
    <w:p w14:paraId="7FBAA722" w14:textId="6F9FBB0C" w:rsidR="00916599" w:rsidRPr="00785AC5" w:rsidRDefault="00916599" w:rsidP="00916599">
      <w:pPr>
        <w:shd w:val="clear" w:color="auto" w:fill="FFFFFF"/>
        <w:rPr>
          <w:b/>
        </w:rPr>
      </w:pPr>
      <w:r w:rsidRPr="00785AC5">
        <w:rPr>
          <w:b/>
          <w:bCs/>
          <w:szCs w:val="24"/>
        </w:rPr>
        <w:t xml:space="preserve">Details of the </w:t>
      </w:r>
      <w:r w:rsidRPr="00E74ECA">
        <w:rPr>
          <w:b/>
          <w:i/>
        </w:rPr>
        <w:t xml:space="preserve">Superannuation Contributions Tax </w:t>
      </w:r>
      <w:r w:rsidR="007853BD" w:rsidRPr="004365AD">
        <w:rPr>
          <w:b/>
          <w:i/>
        </w:rPr>
        <w:t>(</w:t>
      </w:r>
      <w:r w:rsidR="007853BD">
        <w:rPr>
          <w:b/>
          <w:i/>
        </w:rPr>
        <w:t xml:space="preserve">Members of Constitutionally Protected Superannuation Funds) </w:t>
      </w:r>
      <w:r w:rsidRPr="00E74ECA">
        <w:rPr>
          <w:b/>
          <w:i/>
        </w:rPr>
        <w:t>Assessment and Collection Regulations 2019</w:t>
      </w:r>
    </w:p>
    <w:p w14:paraId="36AAC20E" w14:textId="0F2F4538" w:rsidR="00916599" w:rsidRPr="00A26EC1" w:rsidRDefault="00916599" w:rsidP="00916599">
      <w:pPr>
        <w:shd w:val="clear" w:color="auto" w:fill="FFFFFF"/>
        <w:rPr>
          <w:szCs w:val="24"/>
          <w:lang w:val="en-US"/>
        </w:rPr>
      </w:pPr>
      <w:r w:rsidRPr="00A26EC1">
        <w:rPr>
          <w:szCs w:val="24"/>
          <w:lang w:val="en-US"/>
        </w:rPr>
        <w:t xml:space="preserve">This </w:t>
      </w:r>
      <w:r w:rsidR="00700D11">
        <w:rPr>
          <w:szCs w:val="24"/>
          <w:lang w:val="en-US"/>
        </w:rPr>
        <w:t>A</w:t>
      </w:r>
      <w:r w:rsidRPr="00A26EC1">
        <w:rPr>
          <w:szCs w:val="24"/>
          <w:lang w:val="en-US"/>
        </w:rPr>
        <w:t xml:space="preserve">ttachment sets out further details of the </w:t>
      </w:r>
      <w:r w:rsidRPr="004C32DD">
        <w:rPr>
          <w:i/>
        </w:rPr>
        <w:t>Superannuation Contributions Tax (Members of Constitutionally Protected Superannuation Funds)</w:t>
      </w:r>
      <w:r w:rsidR="00087B75">
        <w:rPr>
          <w:i/>
        </w:rPr>
        <w:t xml:space="preserve"> </w:t>
      </w:r>
      <w:r w:rsidRPr="004C32DD">
        <w:rPr>
          <w:i/>
        </w:rPr>
        <w:t xml:space="preserve">Assessment and Collection </w:t>
      </w:r>
      <w:r>
        <w:rPr>
          <w:i/>
        </w:rPr>
        <w:t>Regulations 2019</w:t>
      </w:r>
      <w:r>
        <w:t xml:space="preserve"> (</w:t>
      </w:r>
      <w:r w:rsidR="00E80C25">
        <w:rPr>
          <w:szCs w:val="24"/>
          <w:lang w:val="en-US"/>
        </w:rPr>
        <w:t>the</w:t>
      </w:r>
      <w:r w:rsidRPr="00A26EC1">
        <w:rPr>
          <w:szCs w:val="24"/>
          <w:lang w:val="en-US"/>
        </w:rPr>
        <w:t xml:space="preserve"> Regulations). References to a ‘corresponding provision’ are to the corresponding provision in the </w:t>
      </w:r>
      <w:r w:rsidRPr="004C32DD">
        <w:rPr>
          <w:i/>
        </w:rPr>
        <w:t xml:space="preserve">Superannuation Contributions Tax (Members of Constitutionally Protected Superannuation Funds) Assessment and Collection </w:t>
      </w:r>
      <w:r>
        <w:rPr>
          <w:i/>
        </w:rPr>
        <w:t xml:space="preserve">Regulations </w:t>
      </w:r>
      <w:r w:rsidRPr="004C32DD">
        <w:rPr>
          <w:i/>
        </w:rPr>
        <w:t>1997</w:t>
      </w:r>
      <w:r w:rsidR="00E80C25">
        <w:t xml:space="preserve"> (prior Regulations)</w:t>
      </w:r>
      <w:r w:rsidRPr="00A26EC1">
        <w:rPr>
          <w:szCs w:val="24"/>
          <w:lang w:val="en-US"/>
        </w:rPr>
        <w:t xml:space="preserve">, as identified by the finding table </w:t>
      </w:r>
      <w:r>
        <w:rPr>
          <w:szCs w:val="24"/>
          <w:lang w:val="en-US"/>
        </w:rPr>
        <w:t>in</w:t>
      </w:r>
      <w:r w:rsidRPr="00A26EC1">
        <w:rPr>
          <w:szCs w:val="24"/>
          <w:lang w:val="en-US"/>
        </w:rPr>
        <w:t xml:space="preserve"> </w:t>
      </w:r>
      <w:r w:rsidRPr="007853BD">
        <w:rPr>
          <w:szCs w:val="24"/>
          <w:u w:val="single"/>
          <w:lang w:val="en-US"/>
        </w:rPr>
        <w:t>Attachment </w:t>
      </w:r>
      <w:r w:rsidR="003D0C18">
        <w:rPr>
          <w:szCs w:val="24"/>
          <w:u w:val="single"/>
          <w:lang w:val="en-US"/>
        </w:rPr>
        <w:t>B</w:t>
      </w:r>
      <w:r w:rsidRPr="007853BD">
        <w:rPr>
          <w:szCs w:val="24"/>
          <w:lang w:val="en-US"/>
        </w:rPr>
        <w:t>.</w:t>
      </w:r>
    </w:p>
    <w:p w14:paraId="4FE372EB" w14:textId="0D1CF932" w:rsidR="00916599" w:rsidRPr="00A26EC1" w:rsidRDefault="00916599" w:rsidP="00916599">
      <w:pPr>
        <w:shd w:val="clear" w:color="auto" w:fill="FFFFFF"/>
        <w:rPr>
          <w:szCs w:val="24"/>
          <w:lang w:val="en-US"/>
        </w:rPr>
      </w:pPr>
      <w:r w:rsidRPr="00A26EC1">
        <w:rPr>
          <w:szCs w:val="24"/>
          <w:lang w:val="en-US"/>
        </w:rPr>
        <w:t>Changes of a minor or machinery nature</w:t>
      </w:r>
      <w:r w:rsidR="005875AE">
        <w:rPr>
          <w:szCs w:val="24"/>
          <w:lang w:val="en-US"/>
        </w:rPr>
        <w:t xml:space="preserve"> are generally not specifically identified in this Attachment. These changes include</w:t>
      </w:r>
      <w:r w:rsidRPr="00A26EC1">
        <w:rPr>
          <w:szCs w:val="24"/>
          <w:lang w:val="en-US"/>
        </w:rPr>
        <w:t xml:space="preserve"> the increased use of headings and </w:t>
      </w:r>
      <w:r>
        <w:rPr>
          <w:szCs w:val="24"/>
          <w:lang w:val="en-US"/>
        </w:rPr>
        <w:t xml:space="preserve">also </w:t>
      </w:r>
      <w:r w:rsidRPr="00A26EC1">
        <w:rPr>
          <w:szCs w:val="24"/>
          <w:lang w:val="en-US"/>
        </w:rPr>
        <w:t xml:space="preserve">references to ‘section’ rather than ‘regulation’ in accordance with </w:t>
      </w:r>
      <w:r w:rsidR="005A32B8">
        <w:rPr>
          <w:szCs w:val="24"/>
          <w:lang w:val="en-US"/>
        </w:rPr>
        <w:t>modern</w:t>
      </w:r>
      <w:r w:rsidRPr="00A26EC1">
        <w:rPr>
          <w:szCs w:val="24"/>
          <w:lang w:val="en-US"/>
        </w:rPr>
        <w:t xml:space="preserve"> drafting practice. Where changes are made that are intended to apply in a different way</w:t>
      </w:r>
      <w:r>
        <w:rPr>
          <w:szCs w:val="24"/>
          <w:lang w:val="en-US"/>
        </w:rPr>
        <w:t xml:space="preserve"> or </w:t>
      </w:r>
      <w:r w:rsidRPr="00A26EC1">
        <w:rPr>
          <w:szCs w:val="24"/>
          <w:lang w:val="en-US"/>
        </w:rPr>
        <w:t>require further explanation, the</w:t>
      </w:r>
      <w:r w:rsidR="005875AE">
        <w:rPr>
          <w:szCs w:val="24"/>
          <w:lang w:val="en-US"/>
        </w:rPr>
        <w:t>y</w:t>
      </w:r>
      <w:r w:rsidRPr="00A26EC1">
        <w:rPr>
          <w:szCs w:val="24"/>
          <w:lang w:val="en-US"/>
        </w:rPr>
        <w:t xml:space="preserve"> are identified and explained in this Attachment.</w:t>
      </w:r>
    </w:p>
    <w:p w14:paraId="63BC876C" w14:textId="77777777" w:rsidR="00916599" w:rsidRPr="00785AC5" w:rsidRDefault="00916599" w:rsidP="00916599">
      <w:pPr>
        <w:shd w:val="clear" w:color="auto" w:fill="FFFFFF"/>
        <w:rPr>
          <w:b/>
          <w:color w:val="000000"/>
          <w:szCs w:val="24"/>
        </w:rPr>
      </w:pPr>
      <w:r w:rsidRPr="00785AC5">
        <w:rPr>
          <w:b/>
          <w:color w:val="000000"/>
          <w:szCs w:val="24"/>
        </w:rPr>
        <w:t>Preliminary provisions</w:t>
      </w:r>
    </w:p>
    <w:p w14:paraId="52A42335" w14:textId="77777777" w:rsidR="00916599" w:rsidRPr="00785AC5" w:rsidRDefault="00916599" w:rsidP="00916599">
      <w:pPr>
        <w:shd w:val="clear" w:color="auto" w:fill="FFFFFF"/>
        <w:rPr>
          <w:color w:val="000000"/>
          <w:szCs w:val="24"/>
          <w:u w:val="single"/>
        </w:rPr>
      </w:pPr>
      <w:r w:rsidRPr="00785AC5">
        <w:rPr>
          <w:color w:val="000000"/>
          <w:szCs w:val="24"/>
          <w:u w:val="single"/>
        </w:rPr>
        <w:t>Section 1 – Name of Regulations</w:t>
      </w:r>
    </w:p>
    <w:p w14:paraId="7DE79472" w14:textId="32057D4B" w:rsidR="00916599" w:rsidRPr="00507E7A" w:rsidRDefault="00916599" w:rsidP="00916599">
      <w:pPr>
        <w:shd w:val="clear" w:color="auto" w:fill="FFFFFF"/>
        <w:rPr>
          <w:color w:val="000000"/>
          <w:szCs w:val="24"/>
        </w:rPr>
      </w:pPr>
      <w:r w:rsidRPr="00507E7A">
        <w:rPr>
          <w:color w:val="000000"/>
          <w:szCs w:val="24"/>
        </w:rPr>
        <w:t xml:space="preserve">This </w:t>
      </w:r>
      <w:r>
        <w:rPr>
          <w:color w:val="000000"/>
          <w:szCs w:val="24"/>
        </w:rPr>
        <w:t>section</w:t>
      </w:r>
      <w:r w:rsidRPr="00507E7A">
        <w:rPr>
          <w:color w:val="000000"/>
          <w:szCs w:val="24"/>
        </w:rPr>
        <w:t xml:space="preserve"> </w:t>
      </w:r>
      <w:r>
        <w:rPr>
          <w:color w:val="000000"/>
          <w:szCs w:val="24"/>
        </w:rPr>
        <w:t>provides</w:t>
      </w:r>
      <w:r w:rsidRPr="00507E7A">
        <w:rPr>
          <w:color w:val="000000"/>
          <w:szCs w:val="24"/>
        </w:rPr>
        <w:t xml:space="preserve"> that the title of the Regulations is the </w:t>
      </w:r>
      <w:r w:rsidR="00675014" w:rsidRPr="004C32DD">
        <w:rPr>
          <w:i/>
        </w:rPr>
        <w:t xml:space="preserve">Superannuation Contributions Tax (Members of Constitutionally Protected Superannuation Funds) Assessment and Collection </w:t>
      </w:r>
      <w:r w:rsidR="00675014">
        <w:rPr>
          <w:i/>
        </w:rPr>
        <w:t xml:space="preserve">Regulations </w:t>
      </w:r>
      <w:r w:rsidR="00E75472">
        <w:rPr>
          <w:i/>
        </w:rPr>
        <w:t>2019</w:t>
      </w:r>
      <w:r w:rsidRPr="00507E7A">
        <w:rPr>
          <w:color w:val="000000"/>
          <w:szCs w:val="24"/>
        </w:rPr>
        <w:t>.</w:t>
      </w:r>
    </w:p>
    <w:p w14:paraId="3836E4B5" w14:textId="77777777" w:rsidR="00916599" w:rsidRPr="00785AC5" w:rsidRDefault="00916599" w:rsidP="00916599">
      <w:pPr>
        <w:shd w:val="clear" w:color="auto" w:fill="FFFFFF"/>
        <w:rPr>
          <w:color w:val="000000"/>
          <w:szCs w:val="24"/>
          <w:u w:val="single"/>
        </w:rPr>
      </w:pPr>
      <w:r w:rsidRPr="00785AC5">
        <w:rPr>
          <w:color w:val="000000"/>
          <w:szCs w:val="24"/>
          <w:u w:val="single"/>
        </w:rPr>
        <w:t>Section 2 – Commencement</w:t>
      </w:r>
    </w:p>
    <w:p w14:paraId="2CF0C102" w14:textId="77777777" w:rsidR="00916599" w:rsidRDefault="00916599" w:rsidP="00916599">
      <w:pPr>
        <w:shd w:val="clear" w:color="auto" w:fill="FFFFFF"/>
        <w:rPr>
          <w:color w:val="000000"/>
          <w:szCs w:val="24"/>
        </w:rPr>
      </w:pPr>
      <w:r w:rsidRPr="00507E7A">
        <w:rPr>
          <w:color w:val="000000"/>
          <w:szCs w:val="24"/>
        </w:rPr>
        <w:t xml:space="preserve">This </w:t>
      </w:r>
      <w:r>
        <w:rPr>
          <w:color w:val="000000"/>
          <w:szCs w:val="24"/>
        </w:rPr>
        <w:t>section</w:t>
      </w:r>
      <w:r w:rsidRPr="00507E7A">
        <w:rPr>
          <w:color w:val="000000"/>
          <w:szCs w:val="24"/>
        </w:rPr>
        <w:t xml:space="preserve"> </w:t>
      </w:r>
      <w:r>
        <w:rPr>
          <w:color w:val="000000"/>
          <w:szCs w:val="24"/>
        </w:rPr>
        <w:t>provides</w:t>
      </w:r>
      <w:r w:rsidRPr="00507E7A">
        <w:rPr>
          <w:color w:val="000000"/>
          <w:szCs w:val="24"/>
        </w:rPr>
        <w:t xml:space="preserve"> that </w:t>
      </w:r>
      <w:r>
        <w:rPr>
          <w:color w:val="000000"/>
          <w:szCs w:val="24"/>
        </w:rPr>
        <w:t>the Regulations commence on 1 April 2019.</w:t>
      </w:r>
    </w:p>
    <w:p w14:paraId="2B29279E" w14:textId="77777777" w:rsidR="00916599" w:rsidRPr="00785AC5" w:rsidRDefault="00916599" w:rsidP="00916599">
      <w:pPr>
        <w:shd w:val="clear" w:color="auto" w:fill="FFFFFF"/>
        <w:rPr>
          <w:color w:val="000000"/>
          <w:szCs w:val="24"/>
          <w:u w:val="single"/>
        </w:rPr>
      </w:pPr>
      <w:r w:rsidRPr="00785AC5">
        <w:rPr>
          <w:color w:val="000000"/>
          <w:szCs w:val="24"/>
          <w:u w:val="single"/>
        </w:rPr>
        <w:t>Section 3 – Authority</w:t>
      </w:r>
    </w:p>
    <w:p w14:paraId="64E1B396" w14:textId="4C350836" w:rsidR="00916599" w:rsidRDefault="00916599" w:rsidP="00916599">
      <w:pPr>
        <w:shd w:val="clear" w:color="auto" w:fill="FFFFFF"/>
        <w:rPr>
          <w:color w:val="000000"/>
          <w:szCs w:val="24"/>
        </w:rPr>
      </w:pPr>
      <w:r w:rsidRPr="00507E7A">
        <w:rPr>
          <w:color w:val="000000"/>
          <w:szCs w:val="24"/>
        </w:rPr>
        <w:t xml:space="preserve">This </w:t>
      </w:r>
      <w:r>
        <w:rPr>
          <w:color w:val="000000"/>
          <w:szCs w:val="24"/>
        </w:rPr>
        <w:t>section provides</w:t>
      </w:r>
      <w:r w:rsidRPr="00507E7A">
        <w:rPr>
          <w:color w:val="000000"/>
          <w:szCs w:val="24"/>
        </w:rPr>
        <w:t xml:space="preserve"> that the Regulations are made under</w:t>
      </w:r>
      <w:r>
        <w:rPr>
          <w:color w:val="000000"/>
          <w:szCs w:val="24"/>
        </w:rPr>
        <w:t xml:space="preserve"> the</w:t>
      </w:r>
      <w:r w:rsidRPr="00507E7A">
        <w:rPr>
          <w:color w:val="000000"/>
          <w:szCs w:val="24"/>
        </w:rPr>
        <w:t xml:space="preserve"> </w:t>
      </w:r>
      <w:r w:rsidRPr="00785AC5">
        <w:rPr>
          <w:i/>
          <w:color w:val="000000"/>
          <w:szCs w:val="24"/>
        </w:rPr>
        <w:t xml:space="preserve">Superannuation Contributions Tax </w:t>
      </w:r>
      <w:r w:rsidR="00C525FA" w:rsidRPr="00C525FA">
        <w:rPr>
          <w:i/>
          <w:color w:val="000000"/>
          <w:szCs w:val="24"/>
        </w:rPr>
        <w:t xml:space="preserve">(Members of Constitutionally Protected Superannuation Funds) </w:t>
      </w:r>
      <w:r w:rsidRPr="00785AC5">
        <w:rPr>
          <w:i/>
          <w:color w:val="000000"/>
          <w:szCs w:val="24"/>
        </w:rPr>
        <w:t>Assessment and Collection Act 1997</w:t>
      </w:r>
      <w:r w:rsidR="002C3F50">
        <w:rPr>
          <w:i/>
          <w:color w:val="000000"/>
          <w:szCs w:val="24"/>
        </w:rPr>
        <w:t xml:space="preserve"> </w:t>
      </w:r>
      <w:r w:rsidR="002C3F50" w:rsidRPr="00E74ECA">
        <w:rPr>
          <w:color w:val="000000"/>
          <w:szCs w:val="24"/>
        </w:rPr>
        <w:t>(</w:t>
      </w:r>
      <w:r w:rsidR="002C3F50">
        <w:rPr>
          <w:color w:val="000000"/>
          <w:szCs w:val="24"/>
        </w:rPr>
        <w:t xml:space="preserve">the </w:t>
      </w:r>
      <w:r w:rsidR="00F93918">
        <w:rPr>
          <w:color w:val="000000"/>
          <w:szCs w:val="24"/>
        </w:rPr>
        <w:t>SCT CPSF</w:t>
      </w:r>
      <w:r w:rsidR="002C3F50">
        <w:rPr>
          <w:color w:val="000000"/>
          <w:szCs w:val="24"/>
        </w:rPr>
        <w:t xml:space="preserve"> Act)</w:t>
      </w:r>
      <w:r w:rsidRPr="00785AC5">
        <w:rPr>
          <w:color w:val="000000"/>
          <w:szCs w:val="24"/>
        </w:rPr>
        <w:t>.</w:t>
      </w:r>
    </w:p>
    <w:p w14:paraId="55A1333A" w14:textId="77777777" w:rsidR="007E6739" w:rsidRPr="00785AC5" w:rsidRDefault="007E6739" w:rsidP="007E6739">
      <w:pPr>
        <w:shd w:val="clear" w:color="auto" w:fill="FFFFFF"/>
        <w:rPr>
          <w:color w:val="000000"/>
          <w:szCs w:val="24"/>
          <w:u w:val="single"/>
        </w:rPr>
      </w:pPr>
      <w:r w:rsidRPr="00785AC5">
        <w:rPr>
          <w:color w:val="000000"/>
          <w:szCs w:val="24"/>
          <w:u w:val="single"/>
        </w:rPr>
        <w:t xml:space="preserve">Section </w:t>
      </w:r>
      <w:r>
        <w:rPr>
          <w:color w:val="000000"/>
          <w:szCs w:val="24"/>
          <w:u w:val="single"/>
        </w:rPr>
        <w:t>4</w:t>
      </w:r>
      <w:r w:rsidRPr="00785AC5">
        <w:rPr>
          <w:color w:val="000000"/>
          <w:szCs w:val="24"/>
          <w:u w:val="single"/>
        </w:rPr>
        <w:t xml:space="preserve"> – </w:t>
      </w:r>
      <w:r>
        <w:rPr>
          <w:color w:val="000000"/>
          <w:szCs w:val="24"/>
          <w:u w:val="single"/>
        </w:rPr>
        <w:t>Schedules</w:t>
      </w:r>
    </w:p>
    <w:p w14:paraId="24371715" w14:textId="57750EDA" w:rsidR="007E6739" w:rsidRDefault="007E6739" w:rsidP="007E6739">
      <w:pPr>
        <w:shd w:val="clear" w:color="auto" w:fill="FFFFFF"/>
        <w:rPr>
          <w:color w:val="000000"/>
          <w:szCs w:val="24"/>
        </w:rPr>
      </w:pPr>
      <w:r w:rsidRPr="00507E7A">
        <w:rPr>
          <w:color w:val="000000"/>
          <w:szCs w:val="24"/>
        </w:rPr>
        <w:t xml:space="preserve">This </w:t>
      </w:r>
      <w:r>
        <w:rPr>
          <w:color w:val="000000"/>
          <w:szCs w:val="24"/>
        </w:rPr>
        <w:t>section provides</w:t>
      </w:r>
      <w:r w:rsidRPr="00507E7A">
        <w:rPr>
          <w:color w:val="000000"/>
          <w:szCs w:val="24"/>
        </w:rPr>
        <w:t xml:space="preserve"> that the </w:t>
      </w:r>
      <w:r>
        <w:rPr>
          <w:color w:val="000000"/>
          <w:szCs w:val="24"/>
        </w:rPr>
        <w:t xml:space="preserve">instrument specified in a Schedule to the Regulations is amended or repealed as set out in the relevant Schedule and the other items in the Schedule apply accordingly to </w:t>
      </w:r>
      <w:r w:rsidR="00361137">
        <w:rPr>
          <w:color w:val="000000"/>
          <w:szCs w:val="24"/>
        </w:rPr>
        <w:t>their</w:t>
      </w:r>
      <w:r>
        <w:rPr>
          <w:color w:val="000000"/>
          <w:szCs w:val="24"/>
        </w:rPr>
        <w:t xml:space="preserve"> terms</w:t>
      </w:r>
      <w:r w:rsidRPr="00785AC5">
        <w:rPr>
          <w:color w:val="000000"/>
          <w:szCs w:val="24"/>
        </w:rPr>
        <w:t>.</w:t>
      </w:r>
    </w:p>
    <w:p w14:paraId="217A0272" w14:textId="77777777" w:rsidR="00916599" w:rsidRDefault="00916599" w:rsidP="00916599">
      <w:pPr>
        <w:shd w:val="clear" w:color="auto" w:fill="FFFFFF"/>
        <w:rPr>
          <w:b/>
          <w:color w:val="000000"/>
          <w:szCs w:val="24"/>
        </w:rPr>
      </w:pPr>
      <w:r w:rsidRPr="001B4235">
        <w:rPr>
          <w:b/>
          <w:color w:val="000000"/>
          <w:szCs w:val="24"/>
        </w:rPr>
        <w:t>Definitions</w:t>
      </w:r>
    </w:p>
    <w:p w14:paraId="3B66F178" w14:textId="037471BC" w:rsidR="00883DC0" w:rsidRDefault="00883DC0" w:rsidP="00883DC0">
      <w:pPr>
        <w:shd w:val="clear" w:color="auto" w:fill="FFFFFF"/>
        <w:rPr>
          <w:color w:val="000000"/>
          <w:szCs w:val="24"/>
        </w:rPr>
      </w:pPr>
      <w:r w:rsidRPr="004A1C0D">
        <w:rPr>
          <w:color w:val="000000"/>
          <w:szCs w:val="24"/>
        </w:rPr>
        <w:t xml:space="preserve">The </w:t>
      </w:r>
      <w:r>
        <w:rPr>
          <w:color w:val="000000"/>
          <w:szCs w:val="24"/>
        </w:rPr>
        <w:t xml:space="preserve">definitions section in section </w:t>
      </w:r>
      <w:r w:rsidR="007E6739">
        <w:rPr>
          <w:color w:val="000000"/>
          <w:szCs w:val="24"/>
        </w:rPr>
        <w:t>5</w:t>
      </w:r>
      <w:r>
        <w:rPr>
          <w:color w:val="000000"/>
          <w:szCs w:val="24"/>
        </w:rPr>
        <w:t xml:space="preserve"> of the Regulations replicates the corresponding provisions in the prior Regulations, but has been updated in accordance with </w:t>
      </w:r>
      <w:r w:rsidR="003144DF">
        <w:rPr>
          <w:color w:val="000000"/>
          <w:szCs w:val="24"/>
        </w:rPr>
        <w:t xml:space="preserve">modern </w:t>
      </w:r>
      <w:r>
        <w:rPr>
          <w:color w:val="000000"/>
          <w:szCs w:val="24"/>
        </w:rPr>
        <w:t xml:space="preserve">drafting practice and </w:t>
      </w:r>
      <w:r w:rsidR="005875AE">
        <w:rPr>
          <w:color w:val="000000"/>
          <w:szCs w:val="24"/>
        </w:rPr>
        <w:t xml:space="preserve">also </w:t>
      </w:r>
      <w:r>
        <w:rPr>
          <w:color w:val="000000"/>
          <w:szCs w:val="24"/>
        </w:rPr>
        <w:t xml:space="preserve">to remove definitions that </w:t>
      </w:r>
      <w:r w:rsidR="005875AE">
        <w:rPr>
          <w:color w:val="000000"/>
          <w:szCs w:val="24"/>
        </w:rPr>
        <w:t>are now redundant. It also</w:t>
      </w:r>
      <w:r>
        <w:rPr>
          <w:color w:val="000000"/>
          <w:szCs w:val="24"/>
        </w:rPr>
        <w:t xml:space="preserve"> includes a reference to the term ‘approved form’ that is used in the Regulations.</w:t>
      </w:r>
      <w:r w:rsidDel="002D03C4">
        <w:rPr>
          <w:color w:val="000000"/>
          <w:szCs w:val="24"/>
        </w:rPr>
        <w:t xml:space="preserve"> </w:t>
      </w:r>
    </w:p>
    <w:p w14:paraId="774A6B1F" w14:textId="77777777" w:rsidR="00883DC0" w:rsidRDefault="00883DC0" w:rsidP="00883DC0">
      <w:pPr>
        <w:shd w:val="clear" w:color="auto" w:fill="FFFFFF"/>
      </w:pPr>
      <w:r>
        <w:rPr>
          <w:color w:val="000000"/>
          <w:szCs w:val="24"/>
        </w:rPr>
        <w:t>The Regulations include a definition of ‘</w:t>
      </w:r>
      <w:r>
        <w:t xml:space="preserve">ABN’ as having the same meaning as in section 41 of the </w:t>
      </w:r>
      <w:r>
        <w:rPr>
          <w:i/>
        </w:rPr>
        <w:t>A New Tax System (Australian Business Number) Act 1999</w:t>
      </w:r>
      <w:r>
        <w:t>. This replaces the previous defined term ‘Australian Business Number’ to be consistent with terminology used elsewhere in the taxation law.</w:t>
      </w:r>
    </w:p>
    <w:p w14:paraId="7CFC7EFE" w14:textId="77777777" w:rsidR="00883DC0" w:rsidRPr="002C3F50" w:rsidRDefault="00883DC0" w:rsidP="00883DC0">
      <w:pPr>
        <w:pStyle w:val="Heading3"/>
      </w:pPr>
      <w:r w:rsidRPr="002C3F50">
        <w:lastRenderedPageBreak/>
        <w:t>Contributed amounts and surchargeable contributions</w:t>
      </w:r>
    </w:p>
    <w:p w14:paraId="7DA0C457" w14:textId="36299373" w:rsidR="00883DC0" w:rsidRDefault="00883DC0" w:rsidP="002C3F50">
      <w:pPr>
        <w:shd w:val="clear" w:color="auto" w:fill="FFFFFF"/>
      </w:pPr>
      <w:r>
        <w:t xml:space="preserve">The provisions in the prior Regulations dealing with contributed amounts and surchargeable contributions have </w:t>
      </w:r>
      <w:r w:rsidR="00D54538">
        <w:t xml:space="preserve">generally </w:t>
      </w:r>
      <w:r>
        <w:t xml:space="preserve">been omitted as they are no longer relevant for financial years commencing on or after 1 July 2005. </w:t>
      </w:r>
      <w:r w:rsidR="00D54538">
        <w:t>O</w:t>
      </w:r>
      <w:r w:rsidRPr="00845776">
        <w:t xml:space="preserve">utstanding </w:t>
      </w:r>
      <w:r w:rsidR="00D54538">
        <w:t xml:space="preserve">obligations in relation to financial years </w:t>
      </w:r>
      <w:r w:rsidR="00C345F2">
        <w:t xml:space="preserve">ending </w:t>
      </w:r>
      <w:r w:rsidR="00D54538">
        <w:t xml:space="preserve">before 1 July 2005 are addressed by the </w:t>
      </w:r>
      <w:r>
        <w:t xml:space="preserve">transitional provisions (see below). </w:t>
      </w:r>
    </w:p>
    <w:p w14:paraId="22F2042A" w14:textId="77777777" w:rsidR="00883DC0" w:rsidRDefault="00883DC0" w:rsidP="00883DC0">
      <w:pPr>
        <w:pStyle w:val="Heading3"/>
      </w:pPr>
      <w:r>
        <w:t>Statements by superannuation providers – additional information</w:t>
      </w:r>
    </w:p>
    <w:p w14:paraId="39968F0F" w14:textId="5F890806" w:rsidR="00883DC0" w:rsidRDefault="00883DC0" w:rsidP="00883DC0">
      <w:pPr>
        <w:pStyle w:val="base-text-paragraph"/>
        <w:ind w:left="0"/>
      </w:pPr>
      <w:r>
        <w:t xml:space="preserve">The Regulations prescribe information </w:t>
      </w:r>
      <w:r w:rsidR="00C525FA">
        <w:t>in</w:t>
      </w:r>
      <w:r w:rsidR="00D13809">
        <w:t xml:space="preserve"> section 6</w:t>
      </w:r>
      <w:r w:rsidR="00C525FA" w:rsidDel="00D13809">
        <w:t xml:space="preserve"> </w:t>
      </w:r>
      <w:r>
        <w:t>that must be included in statements by super</w:t>
      </w:r>
      <w:r w:rsidR="008C374B">
        <w:t xml:space="preserve">annuation providers that </w:t>
      </w:r>
      <w:r w:rsidR="00E75472">
        <w:t>pay contributed amounts to a member o</w:t>
      </w:r>
      <w:r w:rsidR="009F34BB">
        <w:t>r</w:t>
      </w:r>
      <w:r w:rsidR="00E75472">
        <w:t xml:space="preserve"> a person other than a member as a result of a payment </w:t>
      </w:r>
      <w:r w:rsidR="009F34BB">
        <w:t xml:space="preserve">(relationship breakdown) </w:t>
      </w:r>
      <w:r w:rsidR="00E75472">
        <w:t>split</w:t>
      </w:r>
      <w:r>
        <w:t xml:space="preserve">. </w:t>
      </w:r>
    </w:p>
    <w:p w14:paraId="18295197" w14:textId="329035B7" w:rsidR="00552741" w:rsidRDefault="00552741" w:rsidP="00552741">
      <w:pPr>
        <w:pStyle w:val="base-text-paragraph"/>
        <w:ind w:left="0"/>
      </w:pPr>
      <w:r>
        <w:t xml:space="preserve">In particular, in the prior </w:t>
      </w:r>
      <w:r w:rsidR="00006357">
        <w:t>R</w:t>
      </w:r>
      <w:r>
        <w:t xml:space="preserve">egulations superannuation providers were required to include information on a large number of matters listed in Schedules to the </w:t>
      </w:r>
      <w:r w:rsidR="00006357">
        <w:t xml:space="preserve">prior </w:t>
      </w:r>
      <w:r>
        <w:t xml:space="preserve">Regulations. The list of required matters has been reduced and integrated into the body of the </w:t>
      </w:r>
      <w:r w:rsidR="00006357">
        <w:t>R</w:t>
      </w:r>
      <w:r>
        <w:t xml:space="preserve">egulations. Consistent with modern drafting practice, this avoids prescriptive requirements about information that is required for administration, instead allowing such details to be addressed through the ability </w:t>
      </w:r>
      <w:r w:rsidR="004B1954">
        <w:t>of the Commissioner</w:t>
      </w:r>
      <w:r w:rsidR="003D0C18">
        <w:t xml:space="preserve"> of Taxation (Commissioner)</w:t>
      </w:r>
      <w:r w:rsidR="004B1954">
        <w:t xml:space="preserve"> </w:t>
      </w:r>
      <w:r>
        <w:t xml:space="preserve">to require additional information in the relevant forms. </w:t>
      </w:r>
    </w:p>
    <w:p w14:paraId="6E255228" w14:textId="241AC7F5" w:rsidR="009C3907" w:rsidRDefault="009C3907" w:rsidP="009C3907">
      <w:pPr>
        <w:pStyle w:val="base-text-paragraph"/>
        <w:ind w:left="0"/>
      </w:pPr>
      <w:r>
        <w:t xml:space="preserve">These provisions also remove some requirements included in the corresponding provisions in the prior Regulations as they are already required to be provided under the </w:t>
      </w:r>
      <w:r w:rsidRPr="00B64B55">
        <w:t>SCT CPSF Act</w:t>
      </w:r>
      <w:r>
        <w:t xml:space="preserve">. The language has been simplified consistent with </w:t>
      </w:r>
      <w:r w:rsidR="005A32B8">
        <w:t>modern</w:t>
      </w:r>
      <w:r>
        <w:t xml:space="preserve"> drafting practice.</w:t>
      </w:r>
    </w:p>
    <w:p w14:paraId="042BD617" w14:textId="5C3EF8A3" w:rsidR="00552741" w:rsidRDefault="009C3907" w:rsidP="00552741">
      <w:pPr>
        <w:pStyle w:val="base-text-paragraph"/>
        <w:ind w:left="0"/>
      </w:pPr>
      <w:r>
        <w:t>T</w:t>
      </w:r>
      <w:r w:rsidR="004B1954">
        <w:t xml:space="preserve">hese changes </w:t>
      </w:r>
      <w:r>
        <w:t xml:space="preserve">do not require </w:t>
      </w:r>
      <w:r w:rsidR="00552741">
        <w:t xml:space="preserve">any </w:t>
      </w:r>
      <w:r w:rsidR="007522CD">
        <w:t>revision of</w:t>
      </w:r>
      <w:r w:rsidR="00552741">
        <w:t xml:space="preserve"> existing forms</w:t>
      </w:r>
      <w:r w:rsidR="004B1954">
        <w:t xml:space="preserve"> or reporting, but instead merely provide administrative flexibility</w:t>
      </w:r>
      <w:r w:rsidR="00552741">
        <w:t>.</w:t>
      </w:r>
    </w:p>
    <w:p w14:paraId="3F62C5EB" w14:textId="17D74A23" w:rsidR="00883DC0" w:rsidRDefault="00883DC0" w:rsidP="00883DC0">
      <w:pPr>
        <w:pStyle w:val="base-text-paragraph"/>
        <w:ind w:left="0"/>
      </w:pPr>
      <w:r w:rsidRPr="00006357">
        <w:t xml:space="preserve">There were </w:t>
      </w:r>
      <w:r w:rsidR="00573A71" w:rsidRPr="00006357">
        <w:t>a number of</w:t>
      </w:r>
      <w:r w:rsidRPr="00006357">
        <w:t xml:space="preserve"> provisio</w:t>
      </w:r>
      <w:r w:rsidRPr="00C169A5">
        <w:t>ns in the prior Regulations that dealt with statements</w:t>
      </w:r>
      <w:r>
        <w:t xml:space="preserve"> that are no longer relevant for income years commencing on or after 1 July 2005. These provisions have not been remade.</w:t>
      </w:r>
    </w:p>
    <w:p w14:paraId="4FD4EFC3" w14:textId="77777777" w:rsidR="00883DC0" w:rsidRDefault="00883DC0" w:rsidP="00883DC0">
      <w:pPr>
        <w:pStyle w:val="Heading3"/>
      </w:pPr>
      <w:r>
        <w:t>Information generally</w:t>
      </w:r>
    </w:p>
    <w:p w14:paraId="36FEDC3D" w14:textId="5FA23ECF" w:rsidR="00883DC0" w:rsidRDefault="00883DC0" w:rsidP="00883DC0">
      <w:pPr>
        <w:pStyle w:val="base-text-paragraph"/>
        <w:ind w:left="0"/>
      </w:pPr>
      <w:r>
        <w:t xml:space="preserve">The Regulations provide that a statement or other document that must be given to the Commissioner under the </w:t>
      </w:r>
      <w:r w:rsidR="00F93918">
        <w:t>SCT CPSF</w:t>
      </w:r>
      <w:r w:rsidR="00C525FA" w:rsidRPr="00C525FA">
        <w:t xml:space="preserve"> Act </w:t>
      </w:r>
      <w:r>
        <w:t>or the Regulations, other than s</w:t>
      </w:r>
      <w:r w:rsidR="002C3F50">
        <w:t>tatements under section 12</w:t>
      </w:r>
      <w:r>
        <w:t xml:space="preserve"> of the </w:t>
      </w:r>
      <w:r w:rsidR="00F93918" w:rsidRPr="00F93918">
        <w:t>SCT CPSF</w:t>
      </w:r>
      <w:r>
        <w:t xml:space="preserve"> Act, must be in the approved form. </w:t>
      </w:r>
    </w:p>
    <w:p w14:paraId="6A53E62D" w14:textId="697AE692" w:rsidR="00883DC0" w:rsidRDefault="00883DC0" w:rsidP="00883DC0">
      <w:pPr>
        <w:pStyle w:val="base-text-paragraph"/>
        <w:ind w:left="0"/>
      </w:pPr>
      <w:r>
        <w:t xml:space="preserve">This provision replaces several provisions in the prior Regulations that gave the Commissioner specific powers to specify the manner and form in which information needed to be reported. Replacing these provisions with the use of the general approved form rules gives the Commissioner the same powers in a way that is simpler and more consistent with practice elsewhere in the tax law. </w:t>
      </w:r>
    </w:p>
    <w:p w14:paraId="2FB23A45" w14:textId="3FAAE90B" w:rsidR="00883DC0" w:rsidRDefault="00883DC0" w:rsidP="00883DC0">
      <w:pPr>
        <w:pStyle w:val="base-text-paragraph"/>
        <w:ind w:left="0"/>
      </w:pPr>
      <w:r>
        <w:t>The Regulations also impose requirements where a superannuation provider becomes aware of a change</w:t>
      </w:r>
      <w:r w:rsidR="0032426D">
        <w:t xml:space="preserve"> in</w:t>
      </w:r>
      <w:r>
        <w:t xml:space="preserve"> or omission </w:t>
      </w:r>
      <w:r w:rsidR="0032426D">
        <w:t>from</w:t>
      </w:r>
      <w:r>
        <w:t xml:space="preserve"> information previously provided to the Commissioner or is advised by a member of the member’s tax file number after providing </w:t>
      </w:r>
      <w:r w:rsidR="00BD4787">
        <w:t xml:space="preserve">member </w:t>
      </w:r>
      <w:r>
        <w:t xml:space="preserve">information to the </w:t>
      </w:r>
      <w:r w:rsidRPr="003731E2">
        <w:t>Commissioner.</w:t>
      </w:r>
    </w:p>
    <w:p w14:paraId="63722E73" w14:textId="6BF60E17" w:rsidR="00883DC0" w:rsidRDefault="00883DC0" w:rsidP="00883DC0">
      <w:pPr>
        <w:pStyle w:val="base-text-paragraph"/>
        <w:ind w:left="0"/>
        <w:rPr>
          <w:color w:val="000000"/>
          <w:szCs w:val="24"/>
        </w:rPr>
      </w:pPr>
      <w:r>
        <w:rPr>
          <w:color w:val="000000"/>
          <w:szCs w:val="24"/>
        </w:rPr>
        <w:t xml:space="preserve">These provisions replicate the corresponding provisions in the prior Regulations, but have been updated in accordance with </w:t>
      </w:r>
      <w:r w:rsidR="005A32B8">
        <w:rPr>
          <w:color w:val="000000"/>
          <w:szCs w:val="24"/>
        </w:rPr>
        <w:t xml:space="preserve">modern </w:t>
      </w:r>
      <w:r>
        <w:rPr>
          <w:color w:val="000000"/>
          <w:szCs w:val="24"/>
        </w:rPr>
        <w:t>drafting practice.</w:t>
      </w:r>
    </w:p>
    <w:p w14:paraId="2E6CD343" w14:textId="54FA7DEE" w:rsidR="00883DC0" w:rsidRPr="004F791E" w:rsidRDefault="00883DC0" w:rsidP="00883DC0">
      <w:pPr>
        <w:pStyle w:val="base-text-paragraph"/>
        <w:ind w:left="0"/>
      </w:pPr>
      <w:r>
        <w:t xml:space="preserve">The Regulations also update the corresponding provisions in the prior Regulations concerning the giving of a tax file number statement to the Commissioner. </w:t>
      </w:r>
      <w:r w:rsidRPr="00AC16A1">
        <w:t xml:space="preserve">These </w:t>
      </w:r>
      <w:r w:rsidRPr="00AC16A1">
        <w:lastRenderedPageBreak/>
        <w:t>provisions replicate the corresponding provisions in the prior Regulations</w:t>
      </w:r>
      <w:r>
        <w:t xml:space="preserve"> but are updated in accordance with </w:t>
      </w:r>
      <w:r w:rsidR="005A32B8">
        <w:t>modern</w:t>
      </w:r>
      <w:r>
        <w:t xml:space="preserve"> drafting practice. </w:t>
      </w:r>
    </w:p>
    <w:p w14:paraId="1FF170E2" w14:textId="77777777" w:rsidR="00883DC0" w:rsidRDefault="00883DC0" w:rsidP="00883DC0">
      <w:pPr>
        <w:pStyle w:val="Heading3"/>
      </w:pPr>
      <w:r>
        <w:t>Rounding rules</w:t>
      </w:r>
    </w:p>
    <w:p w14:paraId="0C8442C8" w14:textId="09112E6E" w:rsidR="00883DC0" w:rsidRDefault="00883DC0" w:rsidP="00883DC0">
      <w:pPr>
        <w:pStyle w:val="base-text-paragraph"/>
        <w:ind w:left="0"/>
      </w:pPr>
      <w:r>
        <w:t xml:space="preserve">The Regulations remake the rounding rules for interest calculated on </w:t>
      </w:r>
      <w:r w:rsidR="00675014">
        <w:t>surcharge debt accounts</w:t>
      </w:r>
      <w:r>
        <w:t xml:space="preserve"> and amounts of superannuation contributions surcharge, advance instalment, general interest charge or a late payment penalty to be refunded or remitted. Broadly, amounts of interest </w:t>
      </w:r>
      <w:r w:rsidR="00675014">
        <w:t xml:space="preserve">on surcharge debt accounts </w:t>
      </w:r>
      <w:r w:rsidR="0032426D">
        <w:t xml:space="preserve">are </w:t>
      </w:r>
      <w:r>
        <w:t>rounded down to the nearest whole dollar, and amounts to be remitted or refunded are rounded up to the nearest multiple of 5 cents.</w:t>
      </w:r>
    </w:p>
    <w:p w14:paraId="49029A5E" w14:textId="06FB8CEE" w:rsidR="00883DC0" w:rsidRDefault="00883DC0" w:rsidP="00883DC0">
      <w:pPr>
        <w:pStyle w:val="base-text-paragraph"/>
        <w:ind w:left="0"/>
        <w:rPr>
          <w:color w:val="000000"/>
          <w:szCs w:val="24"/>
        </w:rPr>
      </w:pPr>
      <w:r>
        <w:rPr>
          <w:color w:val="000000"/>
          <w:szCs w:val="24"/>
        </w:rPr>
        <w:t xml:space="preserve">These provisions replicate the corresponding provisions in the prior Regulations, but have been updated in accordance with </w:t>
      </w:r>
      <w:r w:rsidR="005A32B8">
        <w:rPr>
          <w:color w:val="000000"/>
          <w:szCs w:val="24"/>
        </w:rPr>
        <w:t>modern</w:t>
      </w:r>
      <w:r>
        <w:rPr>
          <w:color w:val="000000"/>
          <w:szCs w:val="24"/>
        </w:rPr>
        <w:t xml:space="preserve"> drafting practice. Consistent with the corresponding provisions of the prior regulations, these provisions are made in reliance upon the power to prescribe matters that are necessary and convenient to give effect to the SCT </w:t>
      </w:r>
      <w:r w:rsidR="00E75472">
        <w:rPr>
          <w:color w:val="000000"/>
          <w:szCs w:val="24"/>
        </w:rPr>
        <w:t xml:space="preserve">CPSF </w:t>
      </w:r>
      <w:r>
        <w:rPr>
          <w:color w:val="000000"/>
          <w:szCs w:val="24"/>
        </w:rPr>
        <w:t xml:space="preserve">Act </w:t>
      </w:r>
      <w:r w:rsidR="002A47D8">
        <w:rPr>
          <w:color w:val="000000"/>
          <w:szCs w:val="24"/>
        </w:rPr>
        <w:t>rather than a particular power.</w:t>
      </w:r>
    </w:p>
    <w:p w14:paraId="03E8EC55" w14:textId="77777777" w:rsidR="00883DC0" w:rsidRPr="004F791E" w:rsidRDefault="00883DC0" w:rsidP="00883DC0">
      <w:pPr>
        <w:pStyle w:val="Heading3"/>
      </w:pPr>
      <w:r>
        <w:t>Transitional rules</w:t>
      </w:r>
    </w:p>
    <w:p w14:paraId="19BF26BD" w14:textId="0B93EB44" w:rsidR="00883DC0" w:rsidRDefault="00883DC0" w:rsidP="00883DC0">
      <w:pPr>
        <w:pStyle w:val="base-text-paragraph"/>
        <w:ind w:left="0"/>
        <w:rPr>
          <w:color w:val="000000"/>
          <w:szCs w:val="24"/>
        </w:rPr>
      </w:pPr>
      <w:r>
        <w:rPr>
          <w:color w:val="000000"/>
          <w:szCs w:val="24"/>
        </w:rPr>
        <w:t>The Regulations contain a transitional provision that provides that d</w:t>
      </w:r>
      <w:r w:rsidR="0032426D">
        <w:rPr>
          <w:color w:val="000000"/>
          <w:szCs w:val="24"/>
        </w:rPr>
        <w:t>espite the repeal of the prior R</w:t>
      </w:r>
      <w:r>
        <w:rPr>
          <w:color w:val="000000"/>
          <w:szCs w:val="24"/>
        </w:rPr>
        <w:t xml:space="preserve">egulations they </w:t>
      </w:r>
      <w:r w:rsidR="00EF3246">
        <w:rPr>
          <w:color w:val="000000"/>
          <w:szCs w:val="24"/>
        </w:rPr>
        <w:t xml:space="preserve">generally </w:t>
      </w:r>
      <w:r>
        <w:rPr>
          <w:color w:val="000000"/>
          <w:szCs w:val="24"/>
        </w:rPr>
        <w:t xml:space="preserve">continue to apply to: </w:t>
      </w:r>
    </w:p>
    <w:p w14:paraId="553DDA6E" w14:textId="2308E20E" w:rsidR="00883DC0" w:rsidRPr="005B4D35" w:rsidRDefault="00883DC0" w:rsidP="00883DC0">
      <w:pPr>
        <w:pStyle w:val="Bullet"/>
      </w:pPr>
      <w:r>
        <w:t xml:space="preserve">determining the amount of contributed amounts, surchargeable contributions and surcharge for financial </w:t>
      </w:r>
      <w:r w:rsidR="00946121">
        <w:t>years ending prior to 1 July 200</w:t>
      </w:r>
      <w:r>
        <w:t>5; and</w:t>
      </w:r>
    </w:p>
    <w:p w14:paraId="36BAB5DD" w14:textId="13B73DEA" w:rsidR="00D54538" w:rsidRDefault="00D54538" w:rsidP="00D54538">
      <w:pPr>
        <w:pStyle w:val="Bullet"/>
      </w:pPr>
      <w:r>
        <w:t xml:space="preserve">the contents of </w:t>
      </w:r>
      <w:r w:rsidR="00ED7792">
        <w:t>s</w:t>
      </w:r>
      <w:r w:rsidR="00883DC0">
        <w:t>tatements</w:t>
      </w:r>
      <w:r w:rsidR="00946121">
        <w:t xml:space="preserve"> that were required to be</w:t>
      </w:r>
      <w:r w:rsidR="00883DC0">
        <w:t xml:space="preserve"> given by superannuation providers to the Commissioner </w:t>
      </w:r>
      <w:r w:rsidR="00E75472">
        <w:t xml:space="preserve">under section 12 of the SCT CPSF Act </w:t>
      </w:r>
      <w:r w:rsidR="00946121">
        <w:t xml:space="preserve">for financial years that ended prior to 1 July 2005 concerning </w:t>
      </w:r>
      <w:r w:rsidR="00883DC0">
        <w:t>members</w:t>
      </w:r>
      <w:r w:rsidR="00E75472">
        <w:t>’</w:t>
      </w:r>
      <w:r w:rsidR="00883DC0">
        <w:t xml:space="preserve"> details</w:t>
      </w:r>
      <w:r w:rsidR="00E75472">
        <w:t>,</w:t>
      </w:r>
      <w:r w:rsidR="00883DC0">
        <w:t xml:space="preserve"> contributed amounts and surchargeable contributions</w:t>
      </w:r>
      <w:r>
        <w:t>.</w:t>
      </w:r>
    </w:p>
    <w:p w14:paraId="68F6F2F7" w14:textId="4DE9D7B7" w:rsidR="00A945B5" w:rsidRDefault="00A945B5" w:rsidP="00E74ECA">
      <w:pPr>
        <w:pStyle w:val="Bullet"/>
        <w:numPr>
          <w:ilvl w:val="0"/>
          <w:numId w:val="0"/>
        </w:numPr>
      </w:pPr>
      <w:r>
        <w:t>However, the parts of the prior Regulations with ongoing effect have been remade. The transitional rules specify that</w:t>
      </w:r>
      <w:r w:rsidR="00336503">
        <w:t xml:space="preserve"> </w:t>
      </w:r>
      <w:r>
        <w:t>where a remade provision applies, the equivalent provision</w:t>
      </w:r>
      <w:r w:rsidR="000901D5">
        <w:t>s</w:t>
      </w:r>
      <w:r>
        <w:t xml:space="preserve"> in the prior Regulations do not apply.</w:t>
      </w:r>
    </w:p>
    <w:p w14:paraId="5EF1BD4A" w14:textId="1F1F6DA4" w:rsidR="00D54538" w:rsidRDefault="00D54538" w:rsidP="00E74ECA">
      <w:pPr>
        <w:pStyle w:val="Bullet"/>
        <w:numPr>
          <w:ilvl w:val="0"/>
          <w:numId w:val="0"/>
        </w:numPr>
      </w:pPr>
      <w:r>
        <w:t>The transitional rules also provide that a form in which information was able to be provided to the Commissioner under the prior Regulations immediately prior to their repeal is taken to satisfy the requirements to be a</w:t>
      </w:r>
      <w:r w:rsidR="003670E3">
        <w:t>n</w:t>
      </w:r>
      <w:r>
        <w:t xml:space="preserve"> approved form for the purposes of the new provisions.</w:t>
      </w:r>
    </w:p>
    <w:p w14:paraId="14B217A4" w14:textId="72C2BBB9" w:rsidR="00D54538" w:rsidRDefault="00D54538" w:rsidP="00E74ECA">
      <w:pPr>
        <w:pStyle w:val="Bullet"/>
        <w:numPr>
          <w:ilvl w:val="0"/>
          <w:numId w:val="0"/>
        </w:numPr>
      </w:pPr>
      <w:r>
        <w:t>This ensures that there is no need to make changes or undertake administrative process</w:t>
      </w:r>
      <w:r w:rsidR="003670E3">
        <w:t>es</w:t>
      </w:r>
      <w:r>
        <w:t xml:space="preserve"> to </w:t>
      </w:r>
      <w:r w:rsidR="003670E3">
        <w:t>maintain the</w:t>
      </w:r>
      <w:r>
        <w:t xml:space="preserve"> existing arrangements.</w:t>
      </w:r>
    </w:p>
    <w:p w14:paraId="45099BB6" w14:textId="77777777" w:rsidR="00946121" w:rsidRDefault="00946121">
      <w:pPr>
        <w:spacing w:before="0" w:after="0"/>
        <w:rPr>
          <w:szCs w:val="23"/>
        </w:rPr>
      </w:pPr>
      <w:r>
        <w:br w:type="page"/>
      </w:r>
    </w:p>
    <w:p w14:paraId="4D21B7E9" w14:textId="20303050" w:rsidR="00D70629" w:rsidRDefault="00D70629" w:rsidP="00D70629">
      <w:pPr>
        <w:spacing w:before="240"/>
        <w:jc w:val="right"/>
        <w:rPr>
          <w:b/>
          <w:u w:val="single"/>
        </w:rPr>
      </w:pPr>
      <w:r>
        <w:rPr>
          <w:b/>
          <w:u w:val="single"/>
        </w:rPr>
        <w:lastRenderedPageBreak/>
        <w:t xml:space="preserve">ATTACHMENT </w:t>
      </w:r>
      <w:r w:rsidR="007F412F">
        <w:rPr>
          <w:b/>
          <w:u w:val="single"/>
        </w:rPr>
        <w:t>B</w:t>
      </w:r>
    </w:p>
    <w:p w14:paraId="21994A5A" w14:textId="0609A5C3" w:rsidR="00D70629" w:rsidRDefault="00D70629" w:rsidP="00D70629">
      <w:pPr>
        <w:spacing w:before="240"/>
        <w:rPr>
          <w:b/>
        </w:rPr>
      </w:pPr>
      <w:r>
        <w:rPr>
          <w:b/>
        </w:rPr>
        <w:t>FINDING TABLES</w:t>
      </w:r>
      <w:r w:rsidR="002D1861">
        <w:rPr>
          <w:b/>
        </w:rPr>
        <w:t xml:space="preserve"> - </w:t>
      </w:r>
      <w:r w:rsidR="002D1861" w:rsidRPr="00E74ECA">
        <w:rPr>
          <w:b/>
          <w:i/>
        </w:rPr>
        <w:t>Superannuation Contributions Tax (Members of Constitutionally Protected Superannuation Funds) Assessment and Collection Regulations 2019</w:t>
      </w:r>
    </w:p>
    <w:p w14:paraId="10C616F8" w14:textId="148B88B2" w:rsidR="00D70629" w:rsidRPr="002C4903" w:rsidRDefault="00D70629" w:rsidP="00D70629">
      <w:pPr>
        <w:shd w:val="clear" w:color="auto" w:fill="FFFFFF"/>
        <w:rPr>
          <w:color w:val="000000"/>
          <w:szCs w:val="24"/>
        </w:rPr>
      </w:pPr>
      <w:r w:rsidRPr="002C4903">
        <w:rPr>
          <w:color w:val="000000"/>
          <w:szCs w:val="24"/>
        </w:rPr>
        <w:t xml:space="preserve">As a result of some of the changes outlined in </w:t>
      </w:r>
      <w:r w:rsidR="00D92E4F">
        <w:rPr>
          <w:color w:val="000000"/>
          <w:szCs w:val="24"/>
          <w:u w:val="single"/>
        </w:rPr>
        <w:t xml:space="preserve">Attachment </w:t>
      </w:r>
      <w:r w:rsidR="007F412F">
        <w:rPr>
          <w:color w:val="000000"/>
          <w:szCs w:val="24"/>
          <w:u w:val="single"/>
        </w:rPr>
        <w:t>A</w:t>
      </w:r>
      <w:r w:rsidRPr="002C4903">
        <w:rPr>
          <w:color w:val="000000"/>
          <w:szCs w:val="24"/>
        </w:rPr>
        <w:t>, it was necessary to renumber the pro</w:t>
      </w:r>
      <w:r w:rsidR="00253A2A">
        <w:rPr>
          <w:color w:val="000000"/>
          <w:szCs w:val="24"/>
        </w:rPr>
        <w:t>visions in the Regulations. The</w:t>
      </w:r>
      <w:r w:rsidRPr="002C4903">
        <w:rPr>
          <w:color w:val="000000"/>
          <w:szCs w:val="24"/>
        </w:rPr>
        <w:t xml:space="preserve"> explanatory statement includes finding tables to assist in identifying </w:t>
      </w:r>
      <w:r w:rsidR="00AE1C7D">
        <w:rPr>
          <w:color w:val="000000"/>
          <w:szCs w:val="24"/>
        </w:rPr>
        <w:t>the</w:t>
      </w:r>
      <w:r w:rsidRPr="002C4903">
        <w:rPr>
          <w:color w:val="000000"/>
          <w:szCs w:val="24"/>
        </w:rPr>
        <w:t xml:space="preserve"> provision</w:t>
      </w:r>
      <w:r w:rsidR="00AE1C7D">
        <w:rPr>
          <w:color w:val="000000"/>
          <w:szCs w:val="24"/>
        </w:rPr>
        <w:t>s</w:t>
      </w:r>
      <w:r w:rsidRPr="002C4903">
        <w:rPr>
          <w:color w:val="000000"/>
          <w:szCs w:val="24"/>
        </w:rPr>
        <w:t xml:space="preserve"> in the Regulations </w:t>
      </w:r>
      <w:r w:rsidR="00AE1C7D">
        <w:rPr>
          <w:color w:val="000000"/>
          <w:szCs w:val="24"/>
        </w:rPr>
        <w:t xml:space="preserve">that correspond to </w:t>
      </w:r>
      <w:r w:rsidRPr="002C4903">
        <w:rPr>
          <w:color w:val="000000"/>
          <w:szCs w:val="24"/>
        </w:rPr>
        <w:t>provision</w:t>
      </w:r>
      <w:r w:rsidR="00AE1C7D">
        <w:rPr>
          <w:color w:val="000000"/>
          <w:szCs w:val="24"/>
        </w:rPr>
        <w:t>s</w:t>
      </w:r>
      <w:r w:rsidRPr="002C4903">
        <w:rPr>
          <w:color w:val="000000"/>
          <w:szCs w:val="24"/>
        </w:rPr>
        <w:t xml:space="preserve"> in the </w:t>
      </w:r>
      <w:r w:rsidR="00AE1C7D">
        <w:rPr>
          <w:color w:val="000000"/>
          <w:szCs w:val="24"/>
        </w:rPr>
        <w:t>prior Regulations</w:t>
      </w:r>
      <w:r w:rsidRPr="002C4903">
        <w:rPr>
          <w:color w:val="000000"/>
          <w:szCs w:val="24"/>
        </w:rPr>
        <w:t xml:space="preserve"> that has been rewritten or consolidated, and vice versa.</w:t>
      </w:r>
    </w:p>
    <w:p w14:paraId="1A6BEB62" w14:textId="5DC83CF4" w:rsidR="00D70629" w:rsidRDefault="00D70629" w:rsidP="00D70629">
      <w:pPr>
        <w:shd w:val="clear" w:color="auto" w:fill="FFFFFF"/>
        <w:rPr>
          <w:color w:val="000000"/>
          <w:szCs w:val="24"/>
        </w:rPr>
      </w:pPr>
      <w:r w:rsidRPr="002C4903">
        <w:rPr>
          <w:color w:val="000000"/>
          <w:szCs w:val="24"/>
        </w:rPr>
        <w:t xml:space="preserve">References to the old law </w:t>
      </w:r>
      <w:r w:rsidR="00253A2A">
        <w:rPr>
          <w:color w:val="000000"/>
          <w:szCs w:val="24"/>
        </w:rPr>
        <w:t xml:space="preserve">in the table below </w:t>
      </w:r>
      <w:r w:rsidRPr="002C4903">
        <w:rPr>
          <w:color w:val="000000"/>
          <w:szCs w:val="24"/>
        </w:rPr>
        <w:t>are to the </w:t>
      </w:r>
      <w:r w:rsidR="007853BD" w:rsidRPr="007853BD">
        <w:rPr>
          <w:i/>
          <w:iCs/>
          <w:color w:val="000000"/>
          <w:szCs w:val="24"/>
        </w:rPr>
        <w:t>Superannuation Contributions Tax (Members of Constitutionally Protected Superannuation Funds) Assessment and Collection Regulations 1997</w:t>
      </w:r>
      <w:r w:rsidR="007853BD">
        <w:rPr>
          <w:i/>
          <w:iCs/>
          <w:color w:val="000000"/>
          <w:szCs w:val="24"/>
        </w:rPr>
        <w:t xml:space="preserve"> </w:t>
      </w:r>
      <w:r w:rsidRPr="002C4903">
        <w:rPr>
          <w:color w:val="000000"/>
          <w:szCs w:val="24"/>
        </w:rPr>
        <w:t xml:space="preserve">unless otherwise specified. References to the new law </w:t>
      </w:r>
      <w:r w:rsidR="00253A2A">
        <w:rPr>
          <w:color w:val="000000"/>
          <w:szCs w:val="24"/>
        </w:rPr>
        <w:t xml:space="preserve">in the table below </w:t>
      </w:r>
      <w:r w:rsidRPr="002C4903">
        <w:rPr>
          <w:color w:val="000000"/>
          <w:szCs w:val="24"/>
        </w:rPr>
        <w:t>are to the </w:t>
      </w:r>
      <w:r w:rsidR="007853BD" w:rsidRPr="007853BD">
        <w:rPr>
          <w:i/>
          <w:iCs/>
          <w:color w:val="000000"/>
          <w:szCs w:val="24"/>
        </w:rPr>
        <w:t>Superannuation Contributions Tax (Members of Constitutionally Protected Superannuation Funds) Assessment and Collection Regulations 2019</w:t>
      </w:r>
      <w:r w:rsidR="007853BD">
        <w:rPr>
          <w:i/>
          <w:iCs/>
          <w:color w:val="000000"/>
          <w:szCs w:val="24"/>
        </w:rPr>
        <w:t xml:space="preserve"> </w:t>
      </w:r>
      <w:r w:rsidRPr="002C4903">
        <w:rPr>
          <w:color w:val="000000"/>
          <w:szCs w:val="24"/>
        </w:rPr>
        <w:t>unless otherwise specified. In the finding table, in the Old Law column, ‘no equivalent’ means that this is a new provision that has no equivalent in the old law. In the ‘New Law’ column, ‘omitted’ means that the section from the old law has not been remade.</w:t>
      </w:r>
    </w:p>
    <w:p w14:paraId="3931C66D" w14:textId="77777777" w:rsidR="00D70629" w:rsidRPr="005E0EE0" w:rsidRDefault="00D70629" w:rsidP="00D70629">
      <w:pPr>
        <w:shd w:val="clear" w:color="auto" w:fill="FFFFFF"/>
        <w:rPr>
          <w:b/>
          <w:color w:val="000000"/>
          <w:szCs w:val="24"/>
        </w:rPr>
      </w:pPr>
      <w:r w:rsidRPr="005E0EE0">
        <w:rPr>
          <w:b/>
          <w:color w:val="000000"/>
          <w:szCs w:val="24"/>
        </w:rPr>
        <w:t>Finding Table – Old to New Law</w:t>
      </w:r>
    </w:p>
    <w:tbl>
      <w:tblPr>
        <w:tblStyle w:val="TableGrid"/>
        <w:tblW w:w="0" w:type="auto"/>
        <w:tblLook w:val="04A0" w:firstRow="1" w:lastRow="0" w:firstColumn="1" w:lastColumn="0" w:noHBand="0" w:noVBand="1"/>
      </w:tblPr>
      <w:tblGrid>
        <w:gridCol w:w="4261"/>
        <w:gridCol w:w="4261"/>
      </w:tblGrid>
      <w:tr w:rsidR="00D70629" w14:paraId="798BD1BF" w14:textId="77777777" w:rsidTr="00D70629">
        <w:trPr>
          <w:tblHeader/>
        </w:trPr>
        <w:tc>
          <w:tcPr>
            <w:tcW w:w="4261" w:type="dxa"/>
          </w:tcPr>
          <w:p w14:paraId="45960370" w14:textId="77777777" w:rsidR="00D70629" w:rsidRPr="005E0EE0" w:rsidRDefault="00D70629" w:rsidP="00D70629">
            <w:pPr>
              <w:jc w:val="center"/>
              <w:rPr>
                <w:b/>
                <w:i/>
                <w:color w:val="000000"/>
                <w:szCs w:val="24"/>
              </w:rPr>
            </w:pPr>
            <w:r w:rsidRPr="005E0EE0">
              <w:rPr>
                <w:b/>
                <w:i/>
                <w:color w:val="000000"/>
                <w:szCs w:val="24"/>
              </w:rPr>
              <w:t>Old Law</w:t>
            </w:r>
          </w:p>
        </w:tc>
        <w:tc>
          <w:tcPr>
            <w:tcW w:w="4261" w:type="dxa"/>
          </w:tcPr>
          <w:p w14:paraId="270EB03D" w14:textId="77777777" w:rsidR="00D70629" w:rsidRPr="005E0EE0" w:rsidRDefault="00D70629" w:rsidP="00D70629">
            <w:pPr>
              <w:jc w:val="center"/>
              <w:rPr>
                <w:b/>
                <w:i/>
                <w:color w:val="000000"/>
                <w:szCs w:val="24"/>
              </w:rPr>
            </w:pPr>
            <w:r w:rsidRPr="005E0EE0">
              <w:rPr>
                <w:b/>
                <w:i/>
                <w:color w:val="000000"/>
                <w:szCs w:val="24"/>
              </w:rPr>
              <w:t>New Law</w:t>
            </w:r>
          </w:p>
        </w:tc>
      </w:tr>
      <w:tr w:rsidR="00D70629" w14:paraId="5679A507" w14:textId="77777777" w:rsidTr="00D70629">
        <w:trPr>
          <w:tblHeader/>
        </w:trPr>
        <w:tc>
          <w:tcPr>
            <w:tcW w:w="4261" w:type="dxa"/>
          </w:tcPr>
          <w:p w14:paraId="03FA986F" w14:textId="73979B40" w:rsidR="00D70629" w:rsidRDefault="007853BD" w:rsidP="00D70629">
            <w:pPr>
              <w:rPr>
                <w:color w:val="000000"/>
                <w:szCs w:val="24"/>
              </w:rPr>
            </w:pPr>
            <w:r w:rsidRPr="007853BD">
              <w:rPr>
                <w:i/>
                <w:color w:val="000000"/>
                <w:szCs w:val="24"/>
              </w:rPr>
              <w:t>Superannuation Contributions Tax (Members of Constitutionally Protected Superannuation Funds) Assessment and Collection Regulations 1997</w:t>
            </w:r>
          </w:p>
        </w:tc>
        <w:tc>
          <w:tcPr>
            <w:tcW w:w="4261" w:type="dxa"/>
          </w:tcPr>
          <w:p w14:paraId="3FB67A2B" w14:textId="7AC758A1" w:rsidR="00D70629" w:rsidRPr="005E0EE0" w:rsidRDefault="007853BD" w:rsidP="00D70629">
            <w:pPr>
              <w:rPr>
                <w:i/>
                <w:color w:val="000000"/>
                <w:szCs w:val="24"/>
              </w:rPr>
            </w:pPr>
            <w:r w:rsidRPr="007853BD">
              <w:rPr>
                <w:i/>
                <w:color w:val="000000"/>
                <w:szCs w:val="24"/>
              </w:rPr>
              <w:t>Superannuation Contributions Tax (Members of Constitutionally Protected Superannuation Funds) Assessment and Collection Regulations 2019</w:t>
            </w:r>
          </w:p>
        </w:tc>
      </w:tr>
      <w:tr w:rsidR="00D70629" w14:paraId="26EF2363" w14:textId="77777777" w:rsidTr="00D70629">
        <w:tc>
          <w:tcPr>
            <w:tcW w:w="4261" w:type="dxa"/>
          </w:tcPr>
          <w:p w14:paraId="13BCDC7B" w14:textId="77777777" w:rsidR="00D70629" w:rsidRDefault="00D70629" w:rsidP="00D70629">
            <w:pPr>
              <w:rPr>
                <w:color w:val="000000"/>
                <w:szCs w:val="24"/>
              </w:rPr>
            </w:pPr>
            <w:r>
              <w:rPr>
                <w:color w:val="000000"/>
                <w:szCs w:val="24"/>
              </w:rPr>
              <w:t>1</w:t>
            </w:r>
          </w:p>
        </w:tc>
        <w:tc>
          <w:tcPr>
            <w:tcW w:w="4261" w:type="dxa"/>
          </w:tcPr>
          <w:p w14:paraId="4F63137B" w14:textId="77777777" w:rsidR="00D70629" w:rsidRDefault="00D70629" w:rsidP="00D70629">
            <w:pPr>
              <w:rPr>
                <w:color w:val="000000"/>
                <w:szCs w:val="24"/>
              </w:rPr>
            </w:pPr>
            <w:r>
              <w:rPr>
                <w:color w:val="000000"/>
                <w:szCs w:val="24"/>
              </w:rPr>
              <w:t>1</w:t>
            </w:r>
          </w:p>
        </w:tc>
      </w:tr>
      <w:tr w:rsidR="00D70629" w14:paraId="5321185E" w14:textId="77777777" w:rsidTr="00D70629">
        <w:tc>
          <w:tcPr>
            <w:tcW w:w="4261" w:type="dxa"/>
          </w:tcPr>
          <w:p w14:paraId="3F2D4E4D" w14:textId="666E1C65" w:rsidR="00D70629" w:rsidRDefault="00845991" w:rsidP="00D70629">
            <w:pPr>
              <w:rPr>
                <w:color w:val="000000"/>
                <w:szCs w:val="24"/>
              </w:rPr>
            </w:pPr>
            <w:r>
              <w:rPr>
                <w:color w:val="000000"/>
                <w:szCs w:val="24"/>
              </w:rPr>
              <w:t>2</w:t>
            </w:r>
          </w:p>
        </w:tc>
        <w:tc>
          <w:tcPr>
            <w:tcW w:w="4261" w:type="dxa"/>
          </w:tcPr>
          <w:p w14:paraId="4821C8CC" w14:textId="4D5E0CDE" w:rsidR="00D70629" w:rsidRDefault="00E1553F" w:rsidP="00D70629">
            <w:pPr>
              <w:rPr>
                <w:color w:val="000000"/>
                <w:szCs w:val="24"/>
              </w:rPr>
            </w:pPr>
            <w:r>
              <w:rPr>
                <w:color w:val="000000"/>
                <w:szCs w:val="24"/>
              </w:rPr>
              <w:t>5</w:t>
            </w:r>
          </w:p>
        </w:tc>
      </w:tr>
      <w:tr w:rsidR="00D70629" w14:paraId="6547F34F" w14:textId="77777777" w:rsidTr="00D70629">
        <w:tc>
          <w:tcPr>
            <w:tcW w:w="4261" w:type="dxa"/>
            <w:hideMark/>
          </w:tcPr>
          <w:p w14:paraId="37B0BB52" w14:textId="79F428F0" w:rsidR="00D70629" w:rsidRPr="00CA6BC9" w:rsidRDefault="00845991" w:rsidP="00D70629">
            <w:pPr>
              <w:rPr>
                <w:color w:val="000000"/>
                <w:szCs w:val="24"/>
              </w:rPr>
            </w:pPr>
            <w:r>
              <w:rPr>
                <w:color w:val="000000"/>
                <w:szCs w:val="24"/>
              </w:rPr>
              <w:t>2E</w:t>
            </w:r>
          </w:p>
        </w:tc>
        <w:tc>
          <w:tcPr>
            <w:tcW w:w="4261" w:type="dxa"/>
            <w:hideMark/>
          </w:tcPr>
          <w:p w14:paraId="120F0538" w14:textId="22FD4C56" w:rsidR="00D70629" w:rsidRPr="00CA6BC9" w:rsidRDefault="00A945B5" w:rsidP="00D70629">
            <w:pPr>
              <w:rPr>
                <w:color w:val="000000"/>
                <w:szCs w:val="24"/>
              </w:rPr>
            </w:pPr>
            <w:r>
              <w:rPr>
                <w:color w:val="000000"/>
                <w:szCs w:val="24"/>
              </w:rPr>
              <w:t>omitted</w:t>
            </w:r>
          </w:p>
        </w:tc>
      </w:tr>
      <w:tr w:rsidR="00D70629" w14:paraId="094AB418" w14:textId="77777777" w:rsidTr="00D70629">
        <w:tc>
          <w:tcPr>
            <w:tcW w:w="4261" w:type="dxa"/>
            <w:hideMark/>
          </w:tcPr>
          <w:p w14:paraId="144DFFDC" w14:textId="37AB6B2E" w:rsidR="00D70629" w:rsidRPr="00CA6BC9" w:rsidRDefault="00845991" w:rsidP="00D70629">
            <w:pPr>
              <w:rPr>
                <w:color w:val="000000"/>
                <w:szCs w:val="24"/>
              </w:rPr>
            </w:pPr>
            <w:r>
              <w:rPr>
                <w:color w:val="000000"/>
                <w:szCs w:val="24"/>
              </w:rPr>
              <w:t>2F</w:t>
            </w:r>
          </w:p>
        </w:tc>
        <w:tc>
          <w:tcPr>
            <w:tcW w:w="4261" w:type="dxa"/>
            <w:hideMark/>
          </w:tcPr>
          <w:p w14:paraId="0F5D4C74" w14:textId="1AD0945B" w:rsidR="00D70629" w:rsidRPr="00CA6BC9" w:rsidRDefault="00A945B5" w:rsidP="00D70629">
            <w:pPr>
              <w:rPr>
                <w:color w:val="000000"/>
                <w:szCs w:val="24"/>
              </w:rPr>
            </w:pPr>
            <w:r>
              <w:rPr>
                <w:color w:val="000000"/>
                <w:szCs w:val="24"/>
              </w:rPr>
              <w:t>omitted</w:t>
            </w:r>
          </w:p>
        </w:tc>
      </w:tr>
      <w:tr w:rsidR="00845991" w14:paraId="76BFDEAF" w14:textId="77777777" w:rsidTr="00D70629">
        <w:tc>
          <w:tcPr>
            <w:tcW w:w="4261" w:type="dxa"/>
          </w:tcPr>
          <w:p w14:paraId="1C0C9AC5" w14:textId="2B830277" w:rsidR="00845991" w:rsidRDefault="00845991" w:rsidP="00D70629">
            <w:pPr>
              <w:rPr>
                <w:color w:val="000000"/>
                <w:szCs w:val="24"/>
              </w:rPr>
            </w:pPr>
            <w:r>
              <w:rPr>
                <w:color w:val="000000"/>
                <w:szCs w:val="24"/>
              </w:rPr>
              <w:t>2G</w:t>
            </w:r>
          </w:p>
        </w:tc>
        <w:tc>
          <w:tcPr>
            <w:tcW w:w="4261" w:type="dxa"/>
          </w:tcPr>
          <w:p w14:paraId="2A9A2666" w14:textId="76B27CB1" w:rsidR="00845991" w:rsidRPr="00CA6BC9" w:rsidRDefault="00A945B5" w:rsidP="00D70629">
            <w:pPr>
              <w:rPr>
                <w:color w:val="000000"/>
                <w:szCs w:val="24"/>
              </w:rPr>
            </w:pPr>
            <w:r>
              <w:rPr>
                <w:color w:val="000000"/>
                <w:szCs w:val="24"/>
              </w:rPr>
              <w:t>omitted</w:t>
            </w:r>
          </w:p>
        </w:tc>
      </w:tr>
      <w:tr w:rsidR="00845991" w14:paraId="7B0AB9DB" w14:textId="77777777" w:rsidTr="00D70629">
        <w:tc>
          <w:tcPr>
            <w:tcW w:w="4261" w:type="dxa"/>
          </w:tcPr>
          <w:p w14:paraId="6CD6F2F2" w14:textId="5C025656" w:rsidR="00845991" w:rsidRDefault="00845991" w:rsidP="00D70629">
            <w:pPr>
              <w:rPr>
                <w:color w:val="000000"/>
                <w:szCs w:val="24"/>
              </w:rPr>
            </w:pPr>
            <w:r>
              <w:rPr>
                <w:color w:val="000000"/>
                <w:szCs w:val="24"/>
              </w:rPr>
              <w:t>2H</w:t>
            </w:r>
          </w:p>
        </w:tc>
        <w:tc>
          <w:tcPr>
            <w:tcW w:w="4261" w:type="dxa"/>
          </w:tcPr>
          <w:p w14:paraId="0D331073" w14:textId="37AE7DD7" w:rsidR="00845991" w:rsidRDefault="00A945B5" w:rsidP="00D70629">
            <w:pPr>
              <w:rPr>
                <w:color w:val="000000"/>
                <w:szCs w:val="24"/>
              </w:rPr>
            </w:pPr>
            <w:r>
              <w:rPr>
                <w:color w:val="000000"/>
                <w:szCs w:val="24"/>
              </w:rPr>
              <w:t>omitted</w:t>
            </w:r>
          </w:p>
        </w:tc>
      </w:tr>
      <w:tr w:rsidR="00845991" w14:paraId="1FABE3F4" w14:textId="77777777" w:rsidTr="00D70629">
        <w:tc>
          <w:tcPr>
            <w:tcW w:w="4261" w:type="dxa"/>
          </w:tcPr>
          <w:p w14:paraId="40BB96CB" w14:textId="60B7098A" w:rsidR="00845991" w:rsidRDefault="00845991" w:rsidP="00D70629">
            <w:pPr>
              <w:rPr>
                <w:color w:val="000000"/>
                <w:szCs w:val="24"/>
              </w:rPr>
            </w:pPr>
            <w:r>
              <w:rPr>
                <w:color w:val="000000"/>
                <w:szCs w:val="24"/>
              </w:rPr>
              <w:t>2L</w:t>
            </w:r>
          </w:p>
        </w:tc>
        <w:tc>
          <w:tcPr>
            <w:tcW w:w="4261" w:type="dxa"/>
          </w:tcPr>
          <w:p w14:paraId="7794B9E1" w14:textId="51A3A9EA" w:rsidR="00845991" w:rsidRDefault="00A945B5" w:rsidP="00D70629">
            <w:pPr>
              <w:rPr>
                <w:color w:val="000000"/>
                <w:szCs w:val="24"/>
              </w:rPr>
            </w:pPr>
            <w:r>
              <w:rPr>
                <w:color w:val="000000"/>
                <w:szCs w:val="24"/>
              </w:rPr>
              <w:t>omitted</w:t>
            </w:r>
          </w:p>
        </w:tc>
      </w:tr>
      <w:tr w:rsidR="00845991" w14:paraId="3EC8F5DE" w14:textId="77777777" w:rsidTr="00D70629">
        <w:tc>
          <w:tcPr>
            <w:tcW w:w="4261" w:type="dxa"/>
          </w:tcPr>
          <w:p w14:paraId="2054BAD2" w14:textId="68F5ED57" w:rsidR="00845991" w:rsidRDefault="00845991" w:rsidP="00D70629">
            <w:pPr>
              <w:rPr>
                <w:color w:val="000000"/>
                <w:szCs w:val="24"/>
              </w:rPr>
            </w:pPr>
            <w:r>
              <w:rPr>
                <w:color w:val="000000"/>
                <w:szCs w:val="24"/>
              </w:rPr>
              <w:t>2M</w:t>
            </w:r>
          </w:p>
        </w:tc>
        <w:tc>
          <w:tcPr>
            <w:tcW w:w="4261" w:type="dxa"/>
          </w:tcPr>
          <w:p w14:paraId="6D8FC016" w14:textId="09615744" w:rsidR="00845991" w:rsidRDefault="00A945B5" w:rsidP="00D70629">
            <w:pPr>
              <w:rPr>
                <w:color w:val="000000"/>
                <w:szCs w:val="24"/>
              </w:rPr>
            </w:pPr>
            <w:r>
              <w:rPr>
                <w:color w:val="000000"/>
                <w:szCs w:val="24"/>
              </w:rPr>
              <w:t>omitted</w:t>
            </w:r>
          </w:p>
        </w:tc>
      </w:tr>
      <w:tr w:rsidR="00845991" w14:paraId="5DADD937" w14:textId="77777777" w:rsidTr="00D70629">
        <w:tc>
          <w:tcPr>
            <w:tcW w:w="4261" w:type="dxa"/>
          </w:tcPr>
          <w:p w14:paraId="41071094" w14:textId="3D9F0643" w:rsidR="00845991" w:rsidRDefault="00845991" w:rsidP="00D70629">
            <w:pPr>
              <w:rPr>
                <w:color w:val="000000"/>
                <w:szCs w:val="24"/>
              </w:rPr>
            </w:pPr>
            <w:r>
              <w:rPr>
                <w:color w:val="000000"/>
                <w:szCs w:val="24"/>
              </w:rPr>
              <w:t>2N</w:t>
            </w:r>
          </w:p>
        </w:tc>
        <w:tc>
          <w:tcPr>
            <w:tcW w:w="4261" w:type="dxa"/>
          </w:tcPr>
          <w:p w14:paraId="4713CD0A" w14:textId="173C2507" w:rsidR="00845991" w:rsidRDefault="00A945B5" w:rsidP="00D70629">
            <w:pPr>
              <w:rPr>
                <w:color w:val="000000"/>
                <w:szCs w:val="24"/>
              </w:rPr>
            </w:pPr>
            <w:r>
              <w:rPr>
                <w:color w:val="000000"/>
                <w:szCs w:val="24"/>
              </w:rPr>
              <w:t>omitted</w:t>
            </w:r>
          </w:p>
        </w:tc>
      </w:tr>
      <w:tr w:rsidR="00845991" w14:paraId="4590124A" w14:textId="77777777" w:rsidTr="00D70629">
        <w:tc>
          <w:tcPr>
            <w:tcW w:w="4261" w:type="dxa"/>
          </w:tcPr>
          <w:p w14:paraId="7172F1FD" w14:textId="18C00226" w:rsidR="00845991" w:rsidRDefault="00845991" w:rsidP="00D70629">
            <w:pPr>
              <w:rPr>
                <w:color w:val="000000"/>
                <w:szCs w:val="24"/>
              </w:rPr>
            </w:pPr>
            <w:r>
              <w:rPr>
                <w:color w:val="000000"/>
                <w:szCs w:val="24"/>
              </w:rPr>
              <w:t>3</w:t>
            </w:r>
          </w:p>
        </w:tc>
        <w:tc>
          <w:tcPr>
            <w:tcW w:w="4261" w:type="dxa"/>
          </w:tcPr>
          <w:p w14:paraId="61BA5D09" w14:textId="43086E88" w:rsidR="00845991" w:rsidRDefault="006F051A" w:rsidP="00D70629">
            <w:pPr>
              <w:rPr>
                <w:color w:val="000000"/>
                <w:szCs w:val="24"/>
              </w:rPr>
            </w:pPr>
            <w:r>
              <w:rPr>
                <w:color w:val="000000"/>
                <w:szCs w:val="24"/>
              </w:rPr>
              <w:t>omitted</w:t>
            </w:r>
          </w:p>
        </w:tc>
      </w:tr>
      <w:tr w:rsidR="00845991" w14:paraId="1A43C42B" w14:textId="77777777" w:rsidTr="00D70629">
        <w:tc>
          <w:tcPr>
            <w:tcW w:w="4261" w:type="dxa"/>
          </w:tcPr>
          <w:p w14:paraId="431A6990" w14:textId="191F1C10" w:rsidR="00845991" w:rsidRDefault="00845991" w:rsidP="00D70629">
            <w:pPr>
              <w:rPr>
                <w:color w:val="000000"/>
                <w:szCs w:val="24"/>
              </w:rPr>
            </w:pPr>
            <w:r>
              <w:rPr>
                <w:color w:val="000000"/>
                <w:szCs w:val="24"/>
              </w:rPr>
              <w:t>4</w:t>
            </w:r>
          </w:p>
        </w:tc>
        <w:tc>
          <w:tcPr>
            <w:tcW w:w="4261" w:type="dxa"/>
          </w:tcPr>
          <w:p w14:paraId="67509A7E" w14:textId="3AA3EA29" w:rsidR="00845991" w:rsidRDefault="006F051A" w:rsidP="00D70629">
            <w:pPr>
              <w:rPr>
                <w:color w:val="000000"/>
                <w:szCs w:val="24"/>
              </w:rPr>
            </w:pPr>
            <w:r>
              <w:rPr>
                <w:color w:val="000000"/>
                <w:szCs w:val="24"/>
              </w:rPr>
              <w:t>omitted</w:t>
            </w:r>
          </w:p>
        </w:tc>
      </w:tr>
      <w:tr w:rsidR="00845991" w14:paraId="0E4394B4" w14:textId="77777777" w:rsidTr="00D70629">
        <w:tc>
          <w:tcPr>
            <w:tcW w:w="4261" w:type="dxa"/>
          </w:tcPr>
          <w:p w14:paraId="34C96AC8" w14:textId="59844463" w:rsidR="00845991" w:rsidRDefault="00845991" w:rsidP="00D70629">
            <w:pPr>
              <w:rPr>
                <w:color w:val="000000"/>
                <w:szCs w:val="24"/>
              </w:rPr>
            </w:pPr>
            <w:r>
              <w:rPr>
                <w:color w:val="000000"/>
                <w:szCs w:val="24"/>
              </w:rPr>
              <w:lastRenderedPageBreak/>
              <w:t>5</w:t>
            </w:r>
          </w:p>
        </w:tc>
        <w:tc>
          <w:tcPr>
            <w:tcW w:w="4261" w:type="dxa"/>
          </w:tcPr>
          <w:p w14:paraId="2E12473C" w14:textId="0D37622C" w:rsidR="00845991" w:rsidRDefault="00A945B5" w:rsidP="00D70629">
            <w:pPr>
              <w:rPr>
                <w:color w:val="000000"/>
                <w:szCs w:val="24"/>
              </w:rPr>
            </w:pPr>
            <w:r>
              <w:rPr>
                <w:color w:val="000000"/>
                <w:szCs w:val="24"/>
              </w:rPr>
              <w:t>6</w:t>
            </w:r>
          </w:p>
        </w:tc>
      </w:tr>
      <w:tr w:rsidR="00845991" w14:paraId="47CE0603" w14:textId="77777777" w:rsidTr="00D70629">
        <w:tc>
          <w:tcPr>
            <w:tcW w:w="4261" w:type="dxa"/>
          </w:tcPr>
          <w:p w14:paraId="0C8D2E45" w14:textId="42407B1B" w:rsidR="00845991" w:rsidRDefault="00845991" w:rsidP="00D70629">
            <w:pPr>
              <w:rPr>
                <w:color w:val="000000"/>
                <w:szCs w:val="24"/>
              </w:rPr>
            </w:pPr>
            <w:r>
              <w:rPr>
                <w:color w:val="000000"/>
                <w:szCs w:val="24"/>
              </w:rPr>
              <w:t>6</w:t>
            </w:r>
          </w:p>
        </w:tc>
        <w:tc>
          <w:tcPr>
            <w:tcW w:w="4261" w:type="dxa"/>
          </w:tcPr>
          <w:p w14:paraId="1F34CDF5" w14:textId="1EBA706F" w:rsidR="00845991" w:rsidRDefault="00A945B5" w:rsidP="00D70629">
            <w:pPr>
              <w:rPr>
                <w:color w:val="000000"/>
                <w:szCs w:val="24"/>
              </w:rPr>
            </w:pPr>
            <w:r>
              <w:rPr>
                <w:color w:val="000000"/>
                <w:szCs w:val="24"/>
              </w:rPr>
              <w:t>7</w:t>
            </w:r>
          </w:p>
        </w:tc>
      </w:tr>
      <w:tr w:rsidR="00845991" w14:paraId="0718E5A1" w14:textId="77777777" w:rsidTr="00D70629">
        <w:tc>
          <w:tcPr>
            <w:tcW w:w="4261" w:type="dxa"/>
          </w:tcPr>
          <w:p w14:paraId="45C97FC3" w14:textId="3EBF9F4A" w:rsidR="00845991" w:rsidRDefault="00845991" w:rsidP="00D70629">
            <w:pPr>
              <w:rPr>
                <w:color w:val="000000"/>
                <w:szCs w:val="24"/>
              </w:rPr>
            </w:pPr>
            <w:r>
              <w:rPr>
                <w:color w:val="000000"/>
                <w:szCs w:val="24"/>
              </w:rPr>
              <w:t>7</w:t>
            </w:r>
          </w:p>
        </w:tc>
        <w:tc>
          <w:tcPr>
            <w:tcW w:w="4261" w:type="dxa"/>
          </w:tcPr>
          <w:p w14:paraId="5E3735D4" w14:textId="7B6F6265" w:rsidR="00845991" w:rsidRDefault="00A945B5" w:rsidP="00D70629">
            <w:pPr>
              <w:rPr>
                <w:color w:val="000000"/>
                <w:szCs w:val="24"/>
              </w:rPr>
            </w:pPr>
            <w:r>
              <w:rPr>
                <w:color w:val="000000"/>
                <w:szCs w:val="24"/>
              </w:rPr>
              <w:t>7</w:t>
            </w:r>
          </w:p>
        </w:tc>
      </w:tr>
      <w:tr w:rsidR="00845991" w14:paraId="2C01D27E" w14:textId="77777777" w:rsidTr="00D70629">
        <w:tc>
          <w:tcPr>
            <w:tcW w:w="4261" w:type="dxa"/>
          </w:tcPr>
          <w:p w14:paraId="612DFC45" w14:textId="584EA39C" w:rsidR="00845991" w:rsidRDefault="00845991" w:rsidP="00D70629">
            <w:pPr>
              <w:rPr>
                <w:color w:val="000000"/>
                <w:szCs w:val="24"/>
              </w:rPr>
            </w:pPr>
            <w:r>
              <w:rPr>
                <w:color w:val="000000"/>
                <w:szCs w:val="24"/>
              </w:rPr>
              <w:t>10</w:t>
            </w:r>
          </w:p>
        </w:tc>
        <w:tc>
          <w:tcPr>
            <w:tcW w:w="4261" w:type="dxa"/>
          </w:tcPr>
          <w:p w14:paraId="3C33D868" w14:textId="5D4060F3" w:rsidR="00845991" w:rsidRDefault="00A945B5" w:rsidP="00D70629">
            <w:pPr>
              <w:rPr>
                <w:color w:val="000000"/>
                <w:szCs w:val="24"/>
              </w:rPr>
            </w:pPr>
            <w:r>
              <w:rPr>
                <w:color w:val="000000"/>
                <w:szCs w:val="24"/>
              </w:rPr>
              <w:t>8</w:t>
            </w:r>
          </w:p>
        </w:tc>
      </w:tr>
      <w:tr w:rsidR="00845991" w14:paraId="6927A086" w14:textId="77777777" w:rsidTr="00D70629">
        <w:tc>
          <w:tcPr>
            <w:tcW w:w="4261" w:type="dxa"/>
          </w:tcPr>
          <w:p w14:paraId="5CF4F4E7" w14:textId="5BE78DAF" w:rsidR="00845991" w:rsidRDefault="00845991" w:rsidP="00D70629">
            <w:pPr>
              <w:rPr>
                <w:color w:val="000000"/>
                <w:szCs w:val="24"/>
              </w:rPr>
            </w:pPr>
            <w:r>
              <w:rPr>
                <w:color w:val="000000"/>
                <w:szCs w:val="24"/>
              </w:rPr>
              <w:t>11</w:t>
            </w:r>
          </w:p>
        </w:tc>
        <w:tc>
          <w:tcPr>
            <w:tcW w:w="4261" w:type="dxa"/>
          </w:tcPr>
          <w:p w14:paraId="3C64268C" w14:textId="5B16713D" w:rsidR="00845991" w:rsidRDefault="00A945B5" w:rsidP="00D70629">
            <w:pPr>
              <w:rPr>
                <w:color w:val="000000"/>
                <w:szCs w:val="24"/>
              </w:rPr>
            </w:pPr>
            <w:r>
              <w:rPr>
                <w:color w:val="000000"/>
                <w:szCs w:val="24"/>
              </w:rPr>
              <w:t>9</w:t>
            </w:r>
          </w:p>
        </w:tc>
      </w:tr>
      <w:tr w:rsidR="00845991" w14:paraId="78F32B36" w14:textId="77777777" w:rsidTr="00D70629">
        <w:tc>
          <w:tcPr>
            <w:tcW w:w="4261" w:type="dxa"/>
          </w:tcPr>
          <w:p w14:paraId="30462273" w14:textId="5D334FA2" w:rsidR="00845991" w:rsidRDefault="00845991" w:rsidP="00D70629">
            <w:pPr>
              <w:rPr>
                <w:color w:val="000000"/>
                <w:szCs w:val="24"/>
              </w:rPr>
            </w:pPr>
            <w:r>
              <w:rPr>
                <w:color w:val="000000"/>
                <w:szCs w:val="24"/>
              </w:rPr>
              <w:t>13</w:t>
            </w:r>
          </w:p>
        </w:tc>
        <w:tc>
          <w:tcPr>
            <w:tcW w:w="4261" w:type="dxa"/>
          </w:tcPr>
          <w:p w14:paraId="0DA47397" w14:textId="2174A8D3" w:rsidR="00845991" w:rsidRDefault="00A945B5" w:rsidP="00D70629">
            <w:pPr>
              <w:rPr>
                <w:color w:val="000000"/>
                <w:szCs w:val="24"/>
              </w:rPr>
            </w:pPr>
            <w:r>
              <w:rPr>
                <w:color w:val="000000"/>
                <w:szCs w:val="24"/>
              </w:rPr>
              <w:t>7</w:t>
            </w:r>
          </w:p>
        </w:tc>
      </w:tr>
      <w:tr w:rsidR="00845991" w14:paraId="5E88973F" w14:textId="77777777" w:rsidTr="00D70629">
        <w:tc>
          <w:tcPr>
            <w:tcW w:w="4261" w:type="dxa"/>
          </w:tcPr>
          <w:p w14:paraId="23CDC223" w14:textId="1482EA9F" w:rsidR="00845991" w:rsidRDefault="00845991" w:rsidP="00D70629">
            <w:pPr>
              <w:rPr>
                <w:color w:val="000000"/>
                <w:szCs w:val="24"/>
              </w:rPr>
            </w:pPr>
            <w:r>
              <w:rPr>
                <w:color w:val="000000"/>
                <w:szCs w:val="24"/>
              </w:rPr>
              <w:t>17</w:t>
            </w:r>
          </w:p>
        </w:tc>
        <w:tc>
          <w:tcPr>
            <w:tcW w:w="4261" w:type="dxa"/>
          </w:tcPr>
          <w:p w14:paraId="279D746F" w14:textId="424B9E02" w:rsidR="00845991" w:rsidRDefault="00A945B5" w:rsidP="00D70629">
            <w:pPr>
              <w:rPr>
                <w:color w:val="000000"/>
                <w:szCs w:val="24"/>
              </w:rPr>
            </w:pPr>
            <w:r>
              <w:rPr>
                <w:color w:val="000000"/>
                <w:szCs w:val="24"/>
              </w:rPr>
              <w:t>10</w:t>
            </w:r>
          </w:p>
        </w:tc>
      </w:tr>
      <w:tr w:rsidR="00845991" w14:paraId="5E1DE44A" w14:textId="77777777" w:rsidTr="00D70629">
        <w:tc>
          <w:tcPr>
            <w:tcW w:w="4261" w:type="dxa"/>
          </w:tcPr>
          <w:p w14:paraId="391F2C52" w14:textId="7D6F9765" w:rsidR="00845991" w:rsidRDefault="00845991" w:rsidP="00D70629">
            <w:pPr>
              <w:rPr>
                <w:color w:val="000000"/>
                <w:szCs w:val="24"/>
              </w:rPr>
            </w:pPr>
            <w:r>
              <w:rPr>
                <w:color w:val="000000"/>
                <w:szCs w:val="24"/>
              </w:rPr>
              <w:t>18</w:t>
            </w:r>
          </w:p>
        </w:tc>
        <w:tc>
          <w:tcPr>
            <w:tcW w:w="4261" w:type="dxa"/>
          </w:tcPr>
          <w:p w14:paraId="7BF416DC" w14:textId="32ED6D5D" w:rsidR="00845991" w:rsidRDefault="00A945B5" w:rsidP="00D70629">
            <w:pPr>
              <w:rPr>
                <w:color w:val="000000"/>
                <w:szCs w:val="24"/>
              </w:rPr>
            </w:pPr>
            <w:r>
              <w:rPr>
                <w:color w:val="000000"/>
                <w:szCs w:val="24"/>
              </w:rPr>
              <w:t>11</w:t>
            </w:r>
          </w:p>
        </w:tc>
      </w:tr>
      <w:tr w:rsidR="00845991" w14:paraId="4EBFE3DB" w14:textId="77777777" w:rsidTr="00D70629">
        <w:tc>
          <w:tcPr>
            <w:tcW w:w="4261" w:type="dxa"/>
          </w:tcPr>
          <w:p w14:paraId="3BCBDA27" w14:textId="3D100264" w:rsidR="00845991" w:rsidRDefault="00845991" w:rsidP="00D70629">
            <w:pPr>
              <w:rPr>
                <w:color w:val="000000"/>
                <w:szCs w:val="24"/>
              </w:rPr>
            </w:pPr>
            <w:r>
              <w:rPr>
                <w:color w:val="000000"/>
                <w:szCs w:val="24"/>
              </w:rPr>
              <w:t>Schedule 1</w:t>
            </w:r>
          </w:p>
        </w:tc>
        <w:tc>
          <w:tcPr>
            <w:tcW w:w="4261" w:type="dxa"/>
          </w:tcPr>
          <w:p w14:paraId="167CD9E5" w14:textId="59895FDA" w:rsidR="00845991" w:rsidRDefault="00A945B5" w:rsidP="00D70629">
            <w:pPr>
              <w:rPr>
                <w:color w:val="000000"/>
                <w:szCs w:val="24"/>
              </w:rPr>
            </w:pPr>
            <w:r>
              <w:rPr>
                <w:color w:val="000000"/>
                <w:szCs w:val="24"/>
              </w:rPr>
              <w:t>omitted</w:t>
            </w:r>
          </w:p>
        </w:tc>
      </w:tr>
      <w:tr w:rsidR="00845991" w14:paraId="4BF31414" w14:textId="77777777" w:rsidTr="00D70629">
        <w:tc>
          <w:tcPr>
            <w:tcW w:w="4261" w:type="dxa"/>
          </w:tcPr>
          <w:p w14:paraId="0566BE1C" w14:textId="2A38842E" w:rsidR="00845991" w:rsidRDefault="00845991" w:rsidP="00D70629">
            <w:pPr>
              <w:rPr>
                <w:color w:val="000000"/>
                <w:szCs w:val="24"/>
              </w:rPr>
            </w:pPr>
            <w:r>
              <w:rPr>
                <w:color w:val="000000"/>
                <w:szCs w:val="24"/>
              </w:rPr>
              <w:t>Schedule 2</w:t>
            </w:r>
          </w:p>
        </w:tc>
        <w:tc>
          <w:tcPr>
            <w:tcW w:w="4261" w:type="dxa"/>
          </w:tcPr>
          <w:p w14:paraId="5197E9D9" w14:textId="3AC19139" w:rsidR="00845991" w:rsidRDefault="00A945B5" w:rsidP="00D70629">
            <w:pPr>
              <w:rPr>
                <w:color w:val="000000"/>
                <w:szCs w:val="24"/>
              </w:rPr>
            </w:pPr>
            <w:r>
              <w:rPr>
                <w:color w:val="000000"/>
                <w:szCs w:val="24"/>
              </w:rPr>
              <w:t>omitted</w:t>
            </w:r>
          </w:p>
        </w:tc>
      </w:tr>
      <w:tr w:rsidR="00845991" w14:paraId="15D74A5E" w14:textId="77777777" w:rsidTr="00D70629">
        <w:tc>
          <w:tcPr>
            <w:tcW w:w="4261" w:type="dxa"/>
          </w:tcPr>
          <w:p w14:paraId="475632D5" w14:textId="5533A7FC" w:rsidR="00845991" w:rsidRDefault="00845991" w:rsidP="00D70629">
            <w:pPr>
              <w:rPr>
                <w:color w:val="000000"/>
                <w:szCs w:val="24"/>
              </w:rPr>
            </w:pPr>
            <w:r>
              <w:rPr>
                <w:color w:val="000000"/>
                <w:szCs w:val="24"/>
              </w:rPr>
              <w:t>Schedule 3</w:t>
            </w:r>
          </w:p>
        </w:tc>
        <w:tc>
          <w:tcPr>
            <w:tcW w:w="4261" w:type="dxa"/>
          </w:tcPr>
          <w:p w14:paraId="50E900FA" w14:textId="1015F7A8" w:rsidR="00845991" w:rsidRDefault="00A945B5" w:rsidP="00D70629">
            <w:pPr>
              <w:rPr>
                <w:color w:val="000000"/>
                <w:szCs w:val="24"/>
              </w:rPr>
            </w:pPr>
            <w:r>
              <w:rPr>
                <w:color w:val="000000"/>
                <w:szCs w:val="24"/>
              </w:rPr>
              <w:t>6</w:t>
            </w:r>
            <w:r w:rsidR="00A3200D">
              <w:rPr>
                <w:color w:val="000000"/>
                <w:szCs w:val="24"/>
              </w:rPr>
              <w:t xml:space="preserve"> and 7</w:t>
            </w:r>
          </w:p>
        </w:tc>
      </w:tr>
      <w:tr w:rsidR="00845991" w14:paraId="4CA685F1" w14:textId="77777777" w:rsidTr="00D70629">
        <w:tc>
          <w:tcPr>
            <w:tcW w:w="4261" w:type="dxa"/>
          </w:tcPr>
          <w:p w14:paraId="7F4CBFED" w14:textId="39C04F21" w:rsidR="00845991" w:rsidRDefault="00845991" w:rsidP="00D70629">
            <w:pPr>
              <w:rPr>
                <w:color w:val="000000"/>
                <w:szCs w:val="24"/>
              </w:rPr>
            </w:pPr>
            <w:r>
              <w:rPr>
                <w:color w:val="000000"/>
                <w:szCs w:val="24"/>
              </w:rPr>
              <w:t>Schedule 4</w:t>
            </w:r>
          </w:p>
        </w:tc>
        <w:tc>
          <w:tcPr>
            <w:tcW w:w="4261" w:type="dxa"/>
          </w:tcPr>
          <w:p w14:paraId="3E6BE7C0" w14:textId="1EE0CF15" w:rsidR="00845991" w:rsidRDefault="00A945B5" w:rsidP="00D70629">
            <w:pPr>
              <w:rPr>
                <w:color w:val="000000"/>
                <w:szCs w:val="24"/>
              </w:rPr>
            </w:pPr>
            <w:r>
              <w:rPr>
                <w:color w:val="000000"/>
                <w:szCs w:val="24"/>
              </w:rPr>
              <w:t>9</w:t>
            </w:r>
          </w:p>
        </w:tc>
      </w:tr>
    </w:tbl>
    <w:p w14:paraId="18914E53" w14:textId="767BCB13" w:rsidR="00D70629" w:rsidRDefault="00D70629" w:rsidP="00D70629">
      <w:pPr>
        <w:shd w:val="clear" w:color="auto" w:fill="FFFFFF"/>
        <w:rPr>
          <w:color w:val="000000"/>
          <w:szCs w:val="24"/>
        </w:rPr>
      </w:pPr>
    </w:p>
    <w:p w14:paraId="19767A61" w14:textId="77777777" w:rsidR="00D70629" w:rsidRPr="005E0EE0" w:rsidRDefault="00D70629" w:rsidP="00D70629">
      <w:pPr>
        <w:shd w:val="clear" w:color="auto" w:fill="FFFFFF"/>
        <w:rPr>
          <w:b/>
          <w:color w:val="000000"/>
          <w:szCs w:val="24"/>
        </w:rPr>
      </w:pPr>
      <w:r w:rsidRPr="005E0EE0">
        <w:rPr>
          <w:b/>
          <w:color w:val="000000"/>
          <w:szCs w:val="24"/>
        </w:rPr>
        <w:t>Finding Table –</w:t>
      </w:r>
      <w:r>
        <w:rPr>
          <w:b/>
          <w:color w:val="000000"/>
          <w:szCs w:val="24"/>
        </w:rPr>
        <w:t xml:space="preserve"> New</w:t>
      </w:r>
      <w:r w:rsidRPr="005E0EE0">
        <w:rPr>
          <w:b/>
          <w:color w:val="000000"/>
          <w:szCs w:val="24"/>
        </w:rPr>
        <w:t xml:space="preserve"> to </w:t>
      </w:r>
      <w:r>
        <w:rPr>
          <w:b/>
          <w:color w:val="000000"/>
          <w:szCs w:val="24"/>
        </w:rPr>
        <w:t>Old</w:t>
      </w:r>
      <w:r w:rsidRPr="005E0EE0">
        <w:rPr>
          <w:b/>
          <w:color w:val="000000"/>
          <w:szCs w:val="24"/>
        </w:rPr>
        <w:t xml:space="preserve"> Law</w:t>
      </w:r>
    </w:p>
    <w:tbl>
      <w:tblPr>
        <w:tblStyle w:val="TableGrid"/>
        <w:tblW w:w="8522" w:type="dxa"/>
        <w:tblLook w:val="04A0" w:firstRow="1" w:lastRow="0" w:firstColumn="1" w:lastColumn="0" w:noHBand="0" w:noVBand="1"/>
      </w:tblPr>
      <w:tblGrid>
        <w:gridCol w:w="4261"/>
        <w:gridCol w:w="4261"/>
      </w:tblGrid>
      <w:tr w:rsidR="00D70629" w14:paraId="513185D9" w14:textId="77777777" w:rsidTr="00917493">
        <w:trPr>
          <w:tblHeader/>
        </w:trPr>
        <w:tc>
          <w:tcPr>
            <w:tcW w:w="4261" w:type="dxa"/>
          </w:tcPr>
          <w:p w14:paraId="7141A5DD" w14:textId="77777777" w:rsidR="00D70629" w:rsidRPr="005E0EE0" w:rsidRDefault="00D70629" w:rsidP="00D70629">
            <w:pPr>
              <w:jc w:val="center"/>
              <w:rPr>
                <w:b/>
                <w:i/>
                <w:color w:val="000000"/>
                <w:szCs w:val="24"/>
              </w:rPr>
            </w:pPr>
            <w:r>
              <w:rPr>
                <w:b/>
                <w:i/>
                <w:color w:val="000000"/>
                <w:szCs w:val="24"/>
              </w:rPr>
              <w:t>New</w:t>
            </w:r>
            <w:r w:rsidRPr="005E0EE0">
              <w:rPr>
                <w:b/>
                <w:i/>
                <w:color w:val="000000"/>
                <w:szCs w:val="24"/>
              </w:rPr>
              <w:t xml:space="preserve"> Law</w:t>
            </w:r>
          </w:p>
        </w:tc>
        <w:tc>
          <w:tcPr>
            <w:tcW w:w="4261" w:type="dxa"/>
          </w:tcPr>
          <w:p w14:paraId="7E850C30" w14:textId="77777777" w:rsidR="00D70629" w:rsidRPr="005E0EE0" w:rsidRDefault="00D70629" w:rsidP="00D70629">
            <w:pPr>
              <w:jc w:val="center"/>
              <w:rPr>
                <w:b/>
                <w:i/>
                <w:color w:val="000000"/>
                <w:szCs w:val="24"/>
              </w:rPr>
            </w:pPr>
            <w:r>
              <w:rPr>
                <w:b/>
                <w:i/>
                <w:color w:val="000000"/>
                <w:szCs w:val="24"/>
              </w:rPr>
              <w:t>Old</w:t>
            </w:r>
            <w:r w:rsidRPr="005E0EE0">
              <w:rPr>
                <w:b/>
                <w:i/>
                <w:color w:val="000000"/>
                <w:szCs w:val="24"/>
              </w:rPr>
              <w:t xml:space="preserve"> Law</w:t>
            </w:r>
          </w:p>
        </w:tc>
      </w:tr>
      <w:tr w:rsidR="00076A12" w14:paraId="3B51ED7C" w14:textId="77777777" w:rsidTr="00917493">
        <w:trPr>
          <w:tblHeader/>
        </w:trPr>
        <w:tc>
          <w:tcPr>
            <w:tcW w:w="4261" w:type="dxa"/>
          </w:tcPr>
          <w:p w14:paraId="5D39088B" w14:textId="5A027081" w:rsidR="00076A12" w:rsidRDefault="00076A12" w:rsidP="00076A12">
            <w:pPr>
              <w:rPr>
                <w:color w:val="000000"/>
                <w:szCs w:val="24"/>
              </w:rPr>
            </w:pPr>
            <w:r w:rsidRPr="007853BD">
              <w:rPr>
                <w:i/>
                <w:color w:val="000000"/>
                <w:szCs w:val="24"/>
              </w:rPr>
              <w:t xml:space="preserve">Superannuation Contributions Tax (Members of Constitutionally Protected Superannuation Funds) Assessment and Collection Regulations </w:t>
            </w:r>
            <w:r>
              <w:rPr>
                <w:i/>
                <w:color w:val="000000"/>
                <w:szCs w:val="24"/>
              </w:rPr>
              <w:t>20</w:t>
            </w:r>
            <w:r w:rsidRPr="007853BD">
              <w:rPr>
                <w:i/>
                <w:color w:val="000000"/>
                <w:szCs w:val="24"/>
              </w:rPr>
              <w:t>19</w:t>
            </w:r>
          </w:p>
        </w:tc>
        <w:tc>
          <w:tcPr>
            <w:tcW w:w="4261" w:type="dxa"/>
          </w:tcPr>
          <w:p w14:paraId="7009997B" w14:textId="6AE20CBD" w:rsidR="00076A12" w:rsidRDefault="00076A12" w:rsidP="00D70629">
            <w:pPr>
              <w:rPr>
                <w:color w:val="000000"/>
                <w:szCs w:val="24"/>
              </w:rPr>
            </w:pPr>
            <w:r w:rsidRPr="007853BD">
              <w:rPr>
                <w:i/>
                <w:color w:val="000000"/>
                <w:szCs w:val="24"/>
              </w:rPr>
              <w:t xml:space="preserve">Superannuation Contributions Tax (Members of Constitutionally Protected Superannuation Funds) Assessment and Collection Regulations </w:t>
            </w:r>
            <w:r>
              <w:rPr>
                <w:i/>
                <w:color w:val="000000"/>
                <w:szCs w:val="24"/>
              </w:rPr>
              <w:t>1997</w:t>
            </w:r>
          </w:p>
        </w:tc>
      </w:tr>
      <w:tr w:rsidR="00076A12" w14:paraId="6AEB501A" w14:textId="77777777" w:rsidTr="00D70629">
        <w:tc>
          <w:tcPr>
            <w:tcW w:w="4261" w:type="dxa"/>
          </w:tcPr>
          <w:p w14:paraId="123ABF6B" w14:textId="7F12EED6" w:rsidR="00076A12" w:rsidRDefault="00845991" w:rsidP="00D70629">
            <w:pPr>
              <w:rPr>
                <w:color w:val="000000"/>
                <w:szCs w:val="24"/>
              </w:rPr>
            </w:pPr>
            <w:r>
              <w:rPr>
                <w:color w:val="000000"/>
                <w:szCs w:val="24"/>
              </w:rPr>
              <w:t>1</w:t>
            </w:r>
          </w:p>
        </w:tc>
        <w:tc>
          <w:tcPr>
            <w:tcW w:w="4261" w:type="dxa"/>
          </w:tcPr>
          <w:p w14:paraId="72CE2EEE" w14:textId="79AF3BCE" w:rsidR="00076A12" w:rsidRDefault="00A945B5" w:rsidP="00D70629">
            <w:pPr>
              <w:rPr>
                <w:color w:val="000000"/>
                <w:szCs w:val="24"/>
              </w:rPr>
            </w:pPr>
            <w:r>
              <w:rPr>
                <w:color w:val="000000"/>
                <w:szCs w:val="24"/>
              </w:rPr>
              <w:t>1</w:t>
            </w:r>
          </w:p>
        </w:tc>
      </w:tr>
      <w:tr w:rsidR="00076A12" w14:paraId="1B8A91FB" w14:textId="77777777" w:rsidTr="00D70629">
        <w:tc>
          <w:tcPr>
            <w:tcW w:w="4261" w:type="dxa"/>
            <w:hideMark/>
          </w:tcPr>
          <w:p w14:paraId="606CE802" w14:textId="146171EB" w:rsidR="00076A12" w:rsidRPr="00CA6BC9" w:rsidRDefault="00845991" w:rsidP="00D70629">
            <w:pPr>
              <w:rPr>
                <w:color w:val="000000"/>
                <w:szCs w:val="24"/>
              </w:rPr>
            </w:pPr>
            <w:r>
              <w:rPr>
                <w:color w:val="000000"/>
                <w:szCs w:val="24"/>
              </w:rPr>
              <w:t>2</w:t>
            </w:r>
          </w:p>
        </w:tc>
        <w:tc>
          <w:tcPr>
            <w:tcW w:w="4261" w:type="dxa"/>
          </w:tcPr>
          <w:p w14:paraId="4D0D8A97" w14:textId="51AEB29A" w:rsidR="00076A12" w:rsidRPr="00CA6BC9" w:rsidRDefault="00A945B5" w:rsidP="00D70629">
            <w:pPr>
              <w:rPr>
                <w:color w:val="000000"/>
                <w:szCs w:val="24"/>
              </w:rPr>
            </w:pPr>
            <w:r>
              <w:rPr>
                <w:color w:val="000000"/>
                <w:szCs w:val="24"/>
              </w:rPr>
              <w:t>no equivalent</w:t>
            </w:r>
          </w:p>
        </w:tc>
      </w:tr>
      <w:tr w:rsidR="00076A12" w14:paraId="51628E15" w14:textId="77777777" w:rsidTr="00D70629">
        <w:tc>
          <w:tcPr>
            <w:tcW w:w="4261" w:type="dxa"/>
            <w:hideMark/>
          </w:tcPr>
          <w:p w14:paraId="2E0F1CD5" w14:textId="795C06AE" w:rsidR="00076A12" w:rsidRPr="00CA6BC9" w:rsidRDefault="00845991" w:rsidP="00D70629">
            <w:pPr>
              <w:rPr>
                <w:color w:val="000000"/>
                <w:szCs w:val="24"/>
              </w:rPr>
            </w:pPr>
            <w:r>
              <w:rPr>
                <w:color w:val="000000"/>
                <w:szCs w:val="24"/>
              </w:rPr>
              <w:t>3</w:t>
            </w:r>
          </w:p>
        </w:tc>
        <w:tc>
          <w:tcPr>
            <w:tcW w:w="4261" w:type="dxa"/>
          </w:tcPr>
          <w:p w14:paraId="14D1D845" w14:textId="139720FB" w:rsidR="00076A12" w:rsidRPr="00CA6BC9" w:rsidRDefault="00A945B5" w:rsidP="00D70629">
            <w:pPr>
              <w:rPr>
                <w:color w:val="000000"/>
                <w:szCs w:val="24"/>
              </w:rPr>
            </w:pPr>
            <w:r>
              <w:rPr>
                <w:color w:val="000000"/>
                <w:szCs w:val="24"/>
              </w:rPr>
              <w:t>no equivalent</w:t>
            </w:r>
          </w:p>
        </w:tc>
      </w:tr>
      <w:tr w:rsidR="00845991" w14:paraId="786797D1" w14:textId="77777777" w:rsidTr="00D70629">
        <w:tc>
          <w:tcPr>
            <w:tcW w:w="4261" w:type="dxa"/>
          </w:tcPr>
          <w:p w14:paraId="069D7C08" w14:textId="5A7937E5" w:rsidR="00845991" w:rsidRDefault="00845991" w:rsidP="00D70629">
            <w:pPr>
              <w:rPr>
                <w:color w:val="000000"/>
                <w:szCs w:val="24"/>
              </w:rPr>
            </w:pPr>
            <w:r>
              <w:rPr>
                <w:color w:val="000000"/>
                <w:szCs w:val="24"/>
              </w:rPr>
              <w:t>4</w:t>
            </w:r>
          </w:p>
        </w:tc>
        <w:tc>
          <w:tcPr>
            <w:tcW w:w="4261" w:type="dxa"/>
          </w:tcPr>
          <w:p w14:paraId="62ABEB1D" w14:textId="3D426CEE" w:rsidR="00845991" w:rsidRDefault="00A945B5" w:rsidP="00D70629">
            <w:pPr>
              <w:rPr>
                <w:color w:val="000000"/>
                <w:szCs w:val="24"/>
              </w:rPr>
            </w:pPr>
            <w:r>
              <w:rPr>
                <w:color w:val="000000"/>
                <w:szCs w:val="24"/>
              </w:rPr>
              <w:t>no equivalent</w:t>
            </w:r>
          </w:p>
        </w:tc>
      </w:tr>
      <w:tr w:rsidR="00845991" w14:paraId="078903EB" w14:textId="77777777" w:rsidTr="00D70629">
        <w:tc>
          <w:tcPr>
            <w:tcW w:w="4261" w:type="dxa"/>
          </w:tcPr>
          <w:p w14:paraId="3938166D" w14:textId="7762419A" w:rsidR="00845991" w:rsidRDefault="00845991" w:rsidP="00D70629">
            <w:pPr>
              <w:rPr>
                <w:color w:val="000000"/>
                <w:szCs w:val="24"/>
              </w:rPr>
            </w:pPr>
            <w:r>
              <w:rPr>
                <w:color w:val="000000"/>
                <w:szCs w:val="24"/>
              </w:rPr>
              <w:t>5</w:t>
            </w:r>
          </w:p>
        </w:tc>
        <w:tc>
          <w:tcPr>
            <w:tcW w:w="4261" w:type="dxa"/>
          </w:tcPr>
          <w:p w14:paraId="37C123D9" w14:textId="7EEC3D14" w:rsidR="00845991" w:rsidRDefault="00A945B5" w:rsidP="00D70629">
            <w:pPr>
              <w:rPr>
                <w:color w:val="000000"/>
                <w:szCs w:val="24"/>
              </w:rPr>
            </w:pPr>
            <w:r>
              <w:rPr>
                <w:color w:val="000000"/>
                <w:szCs w:val="24"/>
              </w:rPr>
              <w:t>2</w:t>
            </w:r>
          </w:p>
        </w:tc>
      </w:tr>
      <w:tr w:rsidR="00845991" w14:paraId="101400D0" w14:textId="77777777" w:rsidTr="00D70629">
        <w:tc>
          <w:tcPr>
            <w:tcW w:w="4261" w:type="dxa"/>
          </w:tcPr>
          <w:p w14:paraId="0D865744" w14:textId="0F7BA2FD" w:rsidR="00845991" w:rsidRDefault="00845991" w:rsidP="00D70629">
            <w:pPr>
              <w:rPr>
                <w:color w:val="000000"/>
                <w:szCs w:val="24"/>
              </w:rPr>
            </w:pPr>
            <w:r>
              <w:rPr>
                <w:color w:val="000000"/>
                <w:szCs w:val="24"/>
              </w:rPr>
              <w:lastRenderedPageBreak/>
              <w:t>6</w:t>
            </w:r>
          </w:p>
        </w:tc>
        <w:tc>
          <w:tcPr>
            <w:tcW w:w="4261" w:type="dxa"/>
          </w:tcPr>
          <w:p w14:paraId="75CE8D6A" w14:textId="6CC790BC" w:rsidR="00845991" w:rsidRDefault="00A945B5" w:rsidP="00D70629">
            <w:pPr>
              <w:rPr>
                <w:color w:val="000000"/>
                <w:szCs w:val="24"/>
              </w:rPr>
            </w:pPr>
            <w:r>
              <w:rPr>
                <w:color w:val="000000"/>
                <w:szCs w:val="24"/>
              </w:rPr>
              <w:t>5 and Schedule 3</w:t>
            </w:r>
          </w:p>
        </w:tc>
      </w:tr>
      <w:tr w:rsidR="00845991" w14:paraId="1B357D5D" w14:textId="77777777" w:rsidTr="00D70629">
        <w:tc>
          <w:tcPr>
            <w:tcW w:w="4261" w:type="dxa"/>
          </w:tcPr>
          <w:p w14:paraId="6A6FF537" w14:textId="152888EC" w:rsidR="00845991" w:rsidRDefault="00845991" w:rsidP="00D70629">
            <w:pPr>
              <w:rPr>
                <w:color w:val="000000"/>
                <w:szCs w:val="24"/>
              </w:rPr>
            </w:pPr>
            <w:r>
              <w:rPr>
                <w:color w:val="000000"/>
                <w:szCs w:val="24"/>
              </w:rPr>
              <w:t>7</w:t>
            </w:r>
          </w:p>
        </w:tc>
        <w:tc>
          <w:tcPr>
            <w:tcW w:w="4261" w:type="dxa"/>
          </w:tcPr>
          <w:p w14:paraId="641F2E06" w14:textId="6AAF68DD" w:rsidR="00845991" w:rsidRDefault="00A945B5" w:rsidP="00D70629">
            <w:pPr>
              <w:rPr>
                <w:color w:val="000000"/>
                <w:szCs w:val="24"/>
              </w:rPr>
            </w:pPr>
            <w:r>
              <w:rPr>
                <w:color w:val="000000"/>
                <w:szCs w:val="24"/>
              </w:rPr>
              <w:t>6, 7</w:t>
            </w:r>
            <w:r w:rsidR="00A3200D">
              <w:rPr>
                <w:color w:val="000000"/>
                <w:szCs w:val="24"/>
              </w:rPr>
              <w:t xml:space="preserve">, </w:t>
            </w:r>
            <w:r>
              <w:rPr>
                <w:color w:val="000000"/>
                <w:szCs w:val="24"/>
              </w:rPr>
              <w:t>13</w:t>
            </w:r>
            <w:r w:rsidR="00A3200D">
              <w:rPr>
                <w:color w:val="000000"/>
                <w:szCs w:val="24"/>
              </w:rPr>
              <w:t xml:space="preserve"> and Schedule 3</w:t>
            </w:r>
          </w:p>
        </w:tc>
      </w:tr>
      <w:tr w:rsidR="00845991" w14:paraId="67C225A4" w14:textId="77777777" w:rsidTr="00D70629">
        <w:tc>
          <w:tcPr>
            <w:tcW w:w="4261" w:type="dxa"/>
          </w:tcPr>
          <w:p w14:paraId="6E1722D0" w14:textId="4F198460" w:rsidR="00845991" w:rsidRDefault="00845991" w:rsidP="00D70629">
            <w:pPr>
              <w:rPr>
                <w:color w:val="000000"/>
                <w:szCs w:val="24"/>
              </w:rPr>
            </w:pPr>
            <w:r>
              <w:rPr>
                <w:color w:val="000000"/>
                <w:szCs w:val="24"/>
              </w:rPr>
              <w:t>8</w:t>
            </w:r>
          </w:p>
        </w:tc>
        <w:tc>
          <w:tcPr>
            <w:tcW w:w="4261" w:type="dxa"/>
          </w:tcPr>
          <w:p w14:paraId="089F7117" w14:textId="41CC340E" w:rsidR="00845991" w:rsidRDefault="00557E41" w:rsidP="00D70629">
            <w:pPr>
              <w:rPr>
                <w:color w:val="000000"/>
                <w:szCs w:val="24"/>
              </w:rPr>
            </w:pPr>
            <w:r>
              <w:rPr>
                <w:color w:val="000000"/>
                <w:szCs w:val="24"/>
              </w:rPr>
              <w:t>10</w:t>
            </w:r>
          </w:p>
        </w:tc>
      </w:tr>
      <w:tr w:rsidR="00845991" w14:paraId="31C67E13" w14:textId="77777777" w:rsidTr="00D70629">
        <w:tc>
          <w:tcPr>
            <w:tcW w:w="4261" w:type="dxa"/>
          </w:tcPr>
          <w:p w14:paraId="1E2AFDD1" w14:textId="20F82B06" w:rsidR="00845991" w:rsidRDefault="00845991" w:rsidP="00D70629">
            <w:pPr>
              <w:rPr>
                <w:color w:val="000000"/>
                <w:szCs w:val="24"/>
              </w:rPr>
            </w:pPr>
            <w:r>
              <w:rPr>
                <w:color w:val="000000"/>
                <w:szCs w:val="24"/>
              </w:rPr>
              <w:t>9</w:t>
            </w:r>
          </w:p>
        </w:tc>
        <w:tc>
          <w:tcPr>
            <w:tcW w:w="4261" w:type="dxa"/>
          </w:tcPr>
          <w:p w14:paraId="7257EA5A" w14:textId="50A2F017" w:rsidR="00845991" w:rsidRDefault="00557E41" w:rsidP="00D70629">
            <w:pPr>
              <w:rPr>
                <w:color w:val="000000"/>
                <w:szCs w:val="24"/>
              </w:rPr>
            </w:pPr>
            <w:r>
              <w:rPr>
                <w:color w:val="000000"/>
                <w:szCs w:val="24"/>
              </w:rPr>
              <w:t>11</w:t>
            </w:r>
          </w:p>
        </w:tc>
      </w:tr>
      <w:tr w:rsidR="00845991" w14:paraId="1D7BF3DD" w14:textId="77777777" w:rsidTr="00D70629">
        <w:tc>
          <w:tcPr>
            <w:tcW w:w="4261" w:type="dxa"/>
          </w:tcPr>
          <w:p w14:paraId="26DF70A7" w14:textId="6B9737FB" w:rsidR="00845991" w:rsidRDefault="00845991" w:rsidP="00D70629">
            <w:pPr>
              <w:rPr>
                <w:color w:val="000000"/>
                <w:szCs w:val="24"/>
              </w:rPr>
            </w:pPr>
            <w:r>
              <w:rPr>
                <w:color w:val="000000"/>
                <w:szCs w:val="24"/>
              </w:rPr>
              <w:t>10</w:t>
            </w:r>
          </w:p>
        </w:tc>
        <w:tc>
          <w:tcPr>
            <w:tcW w:w="4261" w:type="dxa"/>
          </w:tcPr>
          <w:p w14:paraId="64F170A9" w14:textId="12949762" w:rsidR="00845991" w:rsidRDefault="00557E41" w:rsidP="00D70629">
            <w:pPr>
              <w:rPr>
                <w:color w:val="000000"/>
                <w:szCs w:val="24"/>
              </w:rPr>
            </w:pPr>
            <w:r>
              <w:rPr>
                <w:color w:val="000000"/>
                <w:szCs w:val="24"/>
              </w:rPr>
              <w:t>17</w:t>
            </w:r>
          </w:p>
        </w:tc>
      </w:tr>
      <w:tr w:rsidR="00845991" w14:paraId="3EEF686D" w14:textId="77777777" w:rsidTr="00D70629">
        <w:tc>
          <w:tcPr>
            <w:tcW w:w="4261" w:type="dxa"/>
          </w:tcPr>
          <w:p w14:paraId="0A85525C" w14:textId="234B77DE" w:rsidR="00845991" w:rsidRDefault="00845991" w:rsidP="00D70629">
            <w:pPr>
              <w:rPr>
                <w:color w:val="000000"/>
                <w:szCs w:val="24"/>
              </w:rPr>
            </w:pPr>
            <w:r>
              <w:rPr>
                <w:color w:val="000000"/>
                <w:szCs w:val="24"/>
              </w:rPr>
              <w:t>11</w:t>
            </w:r>
          </w:p>
        </w:tc>
        <w:tc>
          <w:tcPr>
            <w:tcW w:w="4261" w:type="dxa"/>
          </w:tcPr>
          <w:p w14:paraId="37B53CEF" w14:textId="3D3B1AE5" w:rsidR="00845991" w:rsidRDefault="00557E41" w:rsidP="00D70629">
            <w:pPr>
              <w:rPr>
                <w:color w:val="000000"/>
                <w:szCs w:val="24"/>
              </w:rPr>
            </w:pPr>
            <w:r>
              <w:rPr>
                <w:color w:val="000000"/>
                <w:szCs w:val="24"/>
              </w:rPr>
              <w:t>18</w:t>
            </w:r>
          </w:p>
        </w:tc>
      </w:tr>
      <w:tr w:rsidR="00845991" w14:paraId="7909D665" w14:textId="77777777" w:rsidTr="00D70629">
        <w:tc>
          <w:tcPr>
            <w:tcW w:w="4261" w:type="dxa"/>
          </w:tcPr>
          <w:p w14:paraId="01860201" w14:textId="214257D7" w:rsidR="00845991" w:rsidRDefault="00845991" w:rsidP="00D70629">
            <w:pPr>
              <w:rPr>
                <w:color w:val="000000"/>
                <w:szCs w:val="24"/>
              </w:rPr>
            </w:pPr>
            <w:r>
              <w:rPr>
                <w:color w:val="000000"/>
                <w:szCs w:val="24"/>
              </w:rPr>
              <w:t>12</w:t>
            </w:r>
          </w:p>
        </w:tc>
        <w:tc>
          <w:tcPr>
            <w:tcW w:w="4261" w:type="dxa"/>
          </w:tcPr>
          <w:p w14:paraId="0D07A321" w14:textId="1F839730" w:rsidR="00845991" w:rsidRDefault="00557E41" w:rsidP="00D70629">
            <w:pPr>
              <w:rPr>
                <w:color w:val="000000"/>
                <w:szCs w:val="24"/>
              </w:rPr>
            </w:pPr>
            <w:r>
              <w:rPr>
                <w:color w:val="000000"/>
                <w:szCs w:val="24"/>
              </w:rPr>
              <w:t>no equivalent</w:t>
            </w:r>
          </w:p>
        </w:tc>
      </w:tr>
      <w:tr w:rsidR="00845991" w14:paraId="45C22FC8" w14:textId="77777777" w:rsidTr="00D70629">
        <w:tc>
          <w:tcPr>
            <w:tcW w:w="4261" w:type="dxa"/>
          </w:tcPr>
          <w:p w14:paraId="0972C8E2" w14:textId="586A9BCA" w:rsidR="00845991" w:rsidRDefault="00845991" w:rsidP="00D70629">
            <w:pPr>
              <w:rPr>
                <w:color w:val="000000"/>
                <w:szCs w:val="24"/>
              </w:rPr>
            </w:pPr>
            <w:r>
              <w:rPr>
                <w:color w:val="000000"/>
                <w:szCs w:val="24"/>
              </w:rPr>
              <w:t xml:space="preserve">Schedule </w:t>
            </w:r>
            <w:r w:rsidR="00557E41">
              <w:rPr>
                <w:color w:val="000000"/>
                <w:szCs w:val="24"/>
              </w:rPr>
              <w:t>1</w:t>
            </w:r>
          </w:p>
        </w:tc>
        <w:tc>
          <w:tcPr>
            <w:tcW w:w="4261" w:type="dxa"/>
          </w:tcPr>
          <w:p w14:paraId="13913C47" w14:textId="4316BED2" w:rsidR="00845991" w:rsidRDefault="00557E41" w:rsidP="00D70629">
            <w:pPr>
              <w:rPr>
                <w:color w:val="000000"/>
                <w:szCs w:val="24"/>
              </w:rPr>
            </w:pPr>
            <w:r>
              <w:rPr>
                <w:color w:val="000000"/>
                <w:szCs w:val="24"/>
              </w:rPr>
              <w:t>no equivalent</w:t>
            </w:r>
          </w:p>
        </w:tc>
      </w:tr>
      <w:tr w:rsidR="009F34BB" w14:paraId="36A106DA" w14:textId="77777777" w:rsidTr="00D70629">
        <w:tc>
          <w:tcPr>
            <w:tcW w:w="4261" w:type="dxa"/>
          </w:tcPr>
          <w:p w14:paraId="06436326" w14:textId="348512A2" w:rsidR="009F34BB" w:rsidRDefault="009F34BB" w:rsidP="00D70629">
            <w:pPr>
              <w:rPr>
                <w:color w:val="000000"/>
                <w:szCs w:val="24"/>
              </w:rPr>
            </w:pPr>
            <w:r w:rsidRPr="009F34BB">
              <w:rPr>
                <w:color w:val="000000"/>
                <w:szCs w:val="24"/>
              </w:rPr>
              <w:t xml:space="preserve">Schedule </w:t>
            </w:r>
            <w:r>
              <w:rPr>
                <w:color w:val="000000"/>
                <w:szCs w:val="24"/>
              </w:rPr>
              <w:t>2</w:t>
            </w:r>
          </w:p>
        </w:tc>
        <w:tc>
          <w:tcPr>
            <w:tcW w:w="4261" w:type="dxa"/>
          </w:tcPr>
          <w:p w14:paraId="623F6F63" w14:textId="2351F6FD" w:rsidR="009F34BB" w:rsidRDefault="004440FC" w:rsidP="00D70629">
            <w:pPr>
              <w:rPr>
                <w:color w:val="000000"/>
                <w:szCs w:val="24"/>
              </w:rPr>
            </w:pPr>
            <w:r>
              <w:rPr>
                <w:color w:val="000000"/>
                <w:szCs w:val="24"/>
              </w:rPr>
              <w:t>no equivalent</w:t>
            </w:r>
          </w:p>
        </w:tc>
      </w:tr>
      <w:tr w:rsidR="009F34BB" w14:paraId="3F517427" w14:textId="77777777" w:rsidTr="00D70629">
        <w:tc>
          <w:tcPr>
            <w:tcW w:w="4261" w:type="dxa"/>
          </w:tcPr>
          <w:p w14:paraId="2A10F2AA" w14:textId="5FE77F7A" w:rsidR="009F34BB" w:rsidRDefault="009F34BB" w:rsidP="00D70629">
            <w:pPr>
              <w:rPr>
                <w:color w:val="000000"/>
                <w:szCs w:val="24"/>
              </w:rPr>
            </w:pPr>
            <w:r w:rsidRPr="009F34BB">
              <w:rPr>
                <w:color w:val="000000"/>
                <w:szCs w:val="24"/>
              </w:rPr>
              <w:t xml:space="preserve">Schedule </w:t>
            </w:r>
            <w:r>
              <w:rPr>
                <w:color w:val="000000"/>
                <w:szCs w:val="24"/>
              </w:rPr>
              <w:t>3</w:t>
            </w:r>
          </w:p>
        </w:tc>
        <w:tc>
          <w:tcPr>
            <w:tcW w:w="4261" w:type="dxa"/>
          </w:tcPr>
          <w:p w14:paraId="673A36B4" w14:textId="7E9B939C" w:rsidR="009F34BB" w:rsidRDefault="009F34BB" w:rsidP="00D70629">
            <w:pPr>
              <w:rPr>
                <w:color w:val="000000"/>
                <w:szCs w:val="24"/>
              </w:rPr>
            </w:pPr>
            <w:r>
              <w:rPr>
                <w:color w:val="000000"/>
                <w:szCs w:val="24"/>
              </w:rPr>
              <w:t>6</w:t>
            </w:r>
            <w:r w:rsidR="00A3200D">
              <w:rPr>
                <w:color w:val="000000"/>
                <w:szCs w:val="24"/>
              </w:rPr>
              <w:t xml:space="preserve"> and 7</w:t>
            </w:r>
          </w:p>
        </w:tc>
      </w:tr>
      <w:tr w:rsidR="009F34BB" w14:paraId="2D730440" w14:textId="77777777" w:rsidTr="00D70629">
        <w:tc>
          <w:tcPr>
            <w:tcW w:w="4261" w:type="dxa"/>
          </w:tcPr>
          <w:p w14:paraId="43974DFA" w14:textId="0BC2FE42" w:rsidR="009F34BB" w:rsidRDefault="009F34BB" w:rsidP="00D70629">
            <w:pPr>
              <w:rPr>
                <w:color w:val="000000"/>
                <w:szCs w:val="24"/>
              </w:rPr>
            </w:pPr>
            <w:r w:rsidRPr="009F34BB">
              <w:rPr>
                <w:color w:val="000000"/>
                <w:szCs w:val="24"/>
              </w:rPr>
              <w:t xml:space="preserve">Schedule </w:t>
            </w:r>
            <w:r>
              <w:rPr>
                <w:color w:val="000000"/>
                <w:szCs w:val="24"/>
              </w:rPr>
              <w:t>4</w:t>
            </w:r>
          </w:p>
        </w:tc>
        <w:tc>
          <w:tcPr>
            <w:tcW w:w="4261" w:type="dxa"/>
          </w:tcPr>
          <w:p w14:paraId="1E974D09" w14:textId="01D22C01" w:rsidR="009F34BB" w:rsidRDefault="009F34BB" w:rsidP="00D70629">
            <w:pPr>
              <w:rPr>
                <w:color w:val="000000"/>
                <w:szCs w:val="24"/>
              </w:rPr>
            </w:pPr>
            <w:r>
              <w:rPr>
                <w:color w:val="000000"/>
                <w:szCs w:val="24"/>
              </w:rPr>
              <w:t>9</w:t>
            </w:r>
          </w:p>
        </w:tc>
      </w:tr>
    </w:tbl>
    <w:p w14:paraId="4CF18C40" w14:textId="77777777" w:rsidR="00D70629" w:rsidRDefault="00D70629" w:rsidP="00D70629">
      <w:pPr>
        <w:shd w:val="clear" w:color="auto" w:fill="FFFFFF"/>
        <w:rPr>
          <w:color w:val="000000"/>
          <w:szCs w:val="24"/>
        </w:rPr>
      </w:pPr>
    </w:p>
    <w:p w14:paraId="14A03F96" w14:textId="77777777" w:rsidR="00D70629" w:rsidRPr="001B4235" w:rsidRDefault="00D70629" w:rsidP="00785AC5">
      <w:pPr>
        <w:shd w:val="clear" w:color="auto" w:fill="FFFFFF"/>
        <w:rPr>
          <w:color w:val="000000"/>
          <w:szCs w:val="24"/>
        </w:rPr>
      </w:pPr>
    </w:p>
    <w:p w14:paraId="0724D32E" w14:textId="26AABB30" w:rsidR="002D1861" w:rsidRPr="00785AC5" w:rsidRDefault="00F001D4" w:rsidP="002D1861">
      <w:pPr>
        <w:pStyle w:val="Heading3"/>
        <w:pageBreakBefore/>
        <w:jc w:val="right"/>
        <w:rPr>
          <w:u w:val="single"/>
        </w:rPr>
      </w:pPr>
      <w:r w:rsidRPr="00785AC5" w:rsidDel="007F412F">
        <w:rPr>
          <w:u w:val="single"/>
        </w:rPr>
        <w:lastRenderedPageBreak/>
        <w:t xml:space="preserve">ATTACHMENT </w:t>
      </w:r>
      <w:r w:rsidR="007F412F">
        <w:rPr>
          <w:u w:val="single"/>
        </w:rPr>
        <w:t>C</w:t>
      </w:r>
    </w:p>
    <w:p w14:paraId="2AC62F4E" w14:textId="77777777" w:rsidR="002D1861" w:rsidRPr="00462095" w:rsidRDefault="002D1861" w:rsidP="002D1861">
      <w:pPr>
        <w:pStyle w:val="Heading3"/>
        <w:jc w:val="center"/>
      </w:pPr>
      <w:r w:rsidRPr="00462095">
        <w:t>Statement of Compatibility with Human Rights</w:t>
      </w:r>
    </w:p>
    <w:p w14:paraId="10118188" w14:textId="77777777" w:rsidR="002D1861" w:rsidRPr="00647BB7" w:rsidRDefault="002D1861" w:rsidP="002D1861">
      <w:pPr>
        <w:spacing w:before="240"/>
        <w:jc w:val="center"/>
        <w:rPr>
          <w:i/>
        </w:rPr>
      </w:pPr>
      <w:r w:rsidRPr="00647BB7">
        <w:rPr>
          <w:i/>
        </w:rPr>
        <w:t>Prepared in accordance with Part 3 of the Human Rights (Parliamentary Scrutiny) Act 2011</w:t>
      </w:r>
    </w:p>
    <w:p w14:paraId="0AA2E8BF" w14:textId="77777777" w:rsidR="002D1861" w:rsidRPr="00E74ECA" w:rsidRDefault="002D1861" w:rsidP="002D1861">
      <w:pPr>
        <w:pStyle w:val="Heading3"/>
        <w:jc w:val="center"/>
        <w:rPr>
          <w:i/>
        </w:rPr>
      </w:pPr>
      <w:r w:rsidRPr="00E74ECA">
        <w:rPr>
          <w:i/>
        </w:rPr>
        <w:t>Superannuation Contributions Tax (Members of Constitutionally Protected Superannuation Funds) Assessment and Collection Regulations 2019</w:t>
      </w:r>
    </w:p>
    <w:p w14:paraId="26C78C8E" w14:textId="77777777" w:rsidR="002D1861" w:rsidRPr="00647BB7" w:rsidRDefault="002D1861" w:rsidP="002D1861">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5067DAA8" w14:textId="77777777" w:rsidR="002D1861" w:rsidRPr="00647BB7" w:rsidRDefault="002D1861" w:rsidP="002D1861">
      <w:pPr>
        <w:pStyle w:val="Heading3"/>
      </w:pPr>
      <w:r w:rsidRPr="00647BB7">
        <w:t>Overview of the Legislative Instrument</w:t>
      </w:r>
    </w:p>
    <w:p w14:paraId="627C86D8" w14:textId="3186BBB9" w:rsidR="00C80479" w:rsidRDefault="00C80479" w:rsidP="00C80479">
      <w:pPr>
        <w:spacing w:before="240"/>
      </w:pPr>
      <w:r>
        <w:t xml:space="preserve">The Legislative Instrument remakes the </w:t>
      </w:r>
      <w:r w:rsidRPr="00C80479">
        <w:rPr>
          <w:i/>
        </w:rPr>
        <w:t xml:space="preserve">Superannuation Contributions Tax (Members of Constitutionally Protected Superannuation Funds) Assessment </w:t>
      </w:r>
      <w:r>
        <w:rPr>
          <w:i/>
        </w:rPr>
        <w:t xml:space="preserve">and Collection Regulations 1997 </w:t>
      </w:r>
      <w:r>
        <w:t>which sunset on 1 April 2019. The Regulations support the operation of the</w:t>
      </w:r>
      <w:r w:rsidRPr="00C80479">
        <w:t xml:space="preserve"> </w:t>
      </w:r>
      <w:r w:rsidRPr="00A60187">
        <w:rPr>
          <w:i/>
        </w:rPr>
        <w:t xml:space="preserve">Superannuation Contributions Tax </w:t>
      </w:r>
      <w:r w:rsidRPr="00C80479">
        <w:rPr>
          <w:i/>
        </w:rPr>
        <w:t xml:space="preserve">(Members of Constitutionally Protected Superannuation Funds) Assessment and Collection </w:t>
      </w:r>
      <w:r>
        <w:rPr>
          <w:i/>
        </w:rPr>
        <w:t>Act 1997</w:t>
      </w:r>
      <w:r w:rsidR="00A35034">
        <w:rPr>
          <w:i/>
        </w:rPr>
        <w:t>.</w:t>
      </w:r>
      <w:r>
        <w:rPr>
          <w:i/>
        </w:rPr>
        <w:t xml:space="preserve"> </w:t>
      </w:r>
      <w:r w:rsidR="00A35034">
        <w:t xml:space="preserve">They </w:t>
      </w:r>
      <w:r>
        <w:t xml:space="preserve">ensure that superannuation contributions surcharge payable in respect of </w:t>
      </w:r>
      <w:r w:rsidR="00A35034">
        <w:t xml:space="preserve">surchargeable contributions for certain members of </w:t>
      </w:r>
      <w:r>
        <w:t>constitutional</w:t>
      </w:r>
      <w:r w:rsidR="00A35034">
        <w:t>ly</w:t>
      </w:r>
      <w:r>
        <w:t xml:space="preserve"> protected superannuation funds for financial years ending prior to 1 July 2005 can be collected when the amounts are due for payment.</w:t>
      </w:r>
    </w:p>
    <w:p w14:paraId="5E4DEFF9" w14:textId="4C73908B" w:rsidR="00C80479" w:rsidRDefault="00C80479" w:rsidP="00C80479">
      <w:pPr>
        <w:spacing w:before="240"/>
      </w:pPr>
      <w:r>
        <w:t>The Regulations prescribe a number of information requirements</w:t>
      </w:r>
      <w:r w:rsidR="003046BA">
        <w:t xml:space="preserve"> and a rounding rule for remissions</w:t>
      </w:r>
      <w:r>
        <w:t xml:space="preserve"> as well as </w:t>
      </w:r>
      <w:r w:rsidR="003046BA">
        <w:t>providing transitional rules</w:t>
      </w:r>
      <w:r w:rsidR="00F8684D">
        <w:t xml:space="preserve"> </w:t>
      </w:r>
      <w:r w:rsidR="00F8684D" w:rsidRPr="00F8684D">
        <w:t>to ensure that redundant provisions that have been removed continue to have effect for relevant prior financial years</w:t>
      </w:r>
      <w:r w:rsidR="003046BA">
        <w:t>.</w:t>
      </w:r>
    </w:p>
    <w:p w14:paraId="13471331" w14:textId="77777777" w:rsidR="002D1861" w:rsidRPr="00647BB7" w:rsidRDefault="002D1861" w:rsidP="002D1861">
      <w:pPr>
        <w:pStyle w:val="Heading3"/>
      </w:pPr>
      <w:r w:rsidRPr="00647BB7">
        <w:t>Human rights implications</w:t>
      </w:r>
    </w:p>
    <w:p w14:paraId="21149600" w14:textId="77777777" w:rsidR="00E46C60" w:rsidRPr="00E46C60" w:rsidRDefault="00E46C60" w:rsidP="00E46C60">
      <w:pPr>
        <w:pStyle w:val="Heading3"/>
        <w:rPr>
          <w:b w:val="0"/>
          <w:kern w:val="0"/>
        </w:rPr>
      </w:pPr>
      <w:r w:rsidRPr="00E46C60">
        <w:rPr>
          <w:b w:val="0"/>
          <w:kern w:val="0"/>
        </w:rPr>
        <w:t>The amendments made by this Schedule engage the prohibition on arbitrary or unlawful interference with privacy contained in Article 17 of the International Covenant on Civil and Political Rights (ICCPR).</w:t>
      </w:r>
    </w:p>
    <w:p w14:paraId="5B6D308D" w14:textId="7798DE7B" w:rsidR="00C925E4" w:rsidRDefault="00C925E4" w:rsidP="00C925E4">
      <w:pPr>
        <w:spacing w:before="240"/>
      </w:pPr>
      <w:r>
        <w:t>Part of t</w:t>
      </w:r>
      <w:r w:rsidRPr="004F3F5A">
        <w:t xml:space="preserve">he </w:t>
      </w:r>
      <w:r>
        <w:t xml:space="preserve">Regulations set out the form and content of certain information that superannuation providers must give to the Commissioner of Taxation (Commissioner), including information about individual members of superannuation funds. This information enables the Commissioner to identify members with an outstanding liability to superannuation contributions tax. </w:t>
      </w:r>
    </w:p>
    <w:p w14:paraId="684F9A51" w14:textId="33A3744A" w:rsidR="00E46C60" w:rsidRDefault="00E46C60" w:rsidP="00E46C60">
      <w:pPr>
        <w:pStyle w:val="Heading3"/>
        <w:rPr>
          <w:b w:val="0"/>
          <w:kern w:val="0"/>
        </w:rPr>
      </w:pPr>
      <w:r w:rsidRPr="00E46C60">
        <w:rPr>
          <w:b w:val="0"/>
          <w:kern w:val="0"/>
        </w:rPr>
        <w:t xml:space="preserve">This part of the Regulations engages the prohibition on arbitrary or unlawful interference with privacy to the extent that the amendments authorise the form of the disclosure of personal information relating to an individual. The requirement to provide the information is a longstanding feature of the current law contained in the </w:t>
      </w:r>
      <w:r w:rsidRPr="00E74ECA">
        <w:rPr>
          <w:b w:val="0"/>
          <w:i/>
          <w:kern w:val="0"/>
        </w:rPr>
        <w:t>Superannuation Contributions Tax (Members of Constitutionally Protected Superannuation Funds) Assessment and Collection Act 1997</w:t>
      </w:r>
      <w:r w:rsidRPr="00E46C60">
        <w:rPr>
          <w:b w:val="0"/>
          <w:kern w:val="0"/>
        </w:rPr>
        <w:t xml:space="preserve">. </w:t>
      </w:r>
    </w:p>
    <w:p w14:paraId="5936C9B5" w14:textId="77777777" w:rsidR="003E1976" w:rsidRPr="003E1976" w:rsidRDefault="003E1976" w:rsidP="009E026A">
      <w:pPr>
        <w:pStyle w:val="base-text-paragraph"/>
      </w:pPr>
    </w:p>
    <w:p w14:paraId="798DCA56" w14:textId="109E16F8" w:rsidR="00E46C60" w:rsidRPr="00E46C60" w:rsidRDefault="00E46C60" w:rsidP="00E46C60">
      <w:pPr>
        <w:pStyle w:val="base-text-paragraph"/>
        <w:ind w:left="0"/>
      </w:pPr>
      <w:r w:rsidRPr="00E46C60">
        <w:lastRenderedPageBreak/>
        <w:t>The Regulations are compatible with Article 17 of the ICCPR, as their engagement with the prohibition on interference with privacy will neither be unlawful nor arbitrary. The Regulations are not arbitrary as they achieve a legitimate objective of ensuring that liabilities that are due for superannuation contributions tax can be collected. The Regulations constitute an effective and proportionate means of achieving that objective.  The secrecy provisions in the taxation law ensure that information that is provided to the Commissioner must not be subject to unauthorised disclosure and criminal penalties apply to taxation officers that bre</w:t>
      </w:r>
      <w:r w:rsidR="00E12ECF">
        <w:t>a</w:t>
      </w:r>
      <w:r w:rsidRPr="00E46C60">
        <w:t>ch these safeguards.</w:t>
      </w:r>
    </w:p>
    <w:p w14:paraId="34CAB479" w14:textId="77777777" w:rsidR="002D1861" w:rsidRPr="00647BB7" w:rsidRDefault="002D1861" w:rsidP="002D1861">
      <w:pPr>
        <w:pStyle w:val="Heading3"/>
      </w:pPr>
      <w:r w:rsidRPr="00647BB7">
        <w:t>Conclusion</w:t>
      </w:r>
    </w:p>
    <w:p w14:paraId="5F7A5A53" w14:textId="46CB400C" w:rsidR="002D1861" w:rsidRPr="00647BB7" w:rsidRDefault="00E46C60" w:rsidP="002D1861">
      <w:pPr>
        <w:spacing w:before="240"/>
      </w:pPr>
      <w:r w:rsidRPr="00E46C60">
        <w:t xml:space="preserve">This Schedule is consistent with Article 17 of the ICCPR on the basis that its engagement of the prohibition on interference with privacy </w:t>
      </w:r>
      <w:r w:rsidR="00E12ECF">
        <w:t>is</w:t>
      </w:r>
      <w:r w:rsidRPr="00E46C60">
        <w:t xml:space="preserve"> neither unlawful nor arbitrary. To this extent, the Schedule complies with the provisions, aims and objectives of the ICCPR.</w:t>
      </w:r>
    </w:p>
    <w:p w14:paraId="73E81038" w14:textId="77777777" w:rsidR="002D1861" w:rsidRDefault="002D1861" w:rsidP="002D1861">
      <w:pPr>
        <w:spacing w:before="240"/>
      </w:pPr>
    </w:p>
    <w:p w14:paraId="6D87E26E" w14:textId="77777777" w:rsidR="002D1861" w:rsidRDefault="002D1861" w:rsidP="00647BB7">
      <w:pPr>
        <w:spacing w:before="240"/>
      </w:pPr>
    </w:p>
    <w:sectPr w:rsidR="002D1861"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28D70" w14:textId="77777777" w:rsidR="00F82840" w:rsidRDefault="00F82840" w:rsidP="00954679">
      <w:pPr>
        <w:spacing w:before="0" w:after="0"/>
      </w:pPr>
      <w:r>
        <w:separator/>
      </w:r>
    </w:p>
  </w:endnote>
  <w:endnote w:type="continuationSeparator" w:id="0">
    <w:p w14:paraId="1E0CD3B3" w14:textId="77777777" w:rsidR="00F82840" w:rsidRDefault="00F82840" w:rsidP="00954679">
      <w:pPr>
        <w:spacing w:before="0" w:after="0"/>
      </w:pPr>
      <w:r>
        <w:continuationSeparator/>
      </w:r>
    </w:p>
  </w:endnote>
  <w:endnote w:type="continuationNotice" w:id="1">
    <w:p w14:paraId="551B754F" w14:textId="77777777" w:rsidR="00F82840" w:rsidRDefault="00F8284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7456880F" w14:textId="0686E614" w:rsidR="00F82840" w:rsidRDefault="00F82840"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525298">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525298">
              <w:rPr>
                <w:bCs/>
                <w:noProof/>
              </w:rPr>
              <w:t>10</w:t>
            </w:r>
            <w:r w:rsidRPr="00954679">
              <w:rPr>
                <w:bCs/>
                <w:szCs w:val="24"/>
              </w:rPr>
              <w:fldChar w:fldCharType="end"/>
            </w:r>
          </w:p>
        </w:sdtContent>
      </w:sdt>
    </w:sdtContent>
  </w:sdt>
  <w:p w14:paraId="36AEA7CD" w14:textId="77777777" w:rsidR="00F82840" w:rsidRDefault="00F82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BF535" w14:textId="77777777" w:rsidR="00F82840" w:rsidRDefault="00F82840" w:rsidP="00954679">
      <w:pPr>
        <w:spacing w:before="0" w:after="0"/>
      </w:pPr>
      <w:r>
        <w:separator/>
      </w:r>
    </w:p>
  </w:footnote>
  <w:footnote w:type="continuationSeparator" w:id="0">
    <w:p w14:paraId="1A70CDEC" w14:textId="77777777" w:rsidR="00F82840" w:rsidRDefault="00F82840" w:rsidP="00954679">
      <w:pPr>
        <w:spacing w:before="0" w:after="0"/>
      </w:pPr>
      <w:r>
        <w:continuationSeparator/>
      </w:r>
    </w:p>
  </w:footnote>
  <w:footnote w:type="continuationNotice" w:id="1">
    <w:p w14:paraId="1D95ED4A" w14:textId="77777777" w:rsidR="00F82840" w:rsidRDefault="00F82840">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F950960"/>
    <w:multiLevelType w:val="multilevel"/>
    <w:tmpl w:val="AD1C7528"/>
    <w:name w:val="DotPointList"/>
    <w:lvl w:ilvl="0">
      <w:start w:val="1"/>
      <w:numFmt w:val="bullet"/>
      <w:lvlRestart w:val="0"/>
      <w:pStyle w:val="dotpoint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 w15:restartNumberingAfterBreak="0">
    <w:nsid w:val="65DF6494"/>
    <w:multiLevelType w:val="multilevel"/>
    <w:tmpl w:val="A316FE50"/>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7A43C0B"/>
    <w:multiLevelType w:val="multilevel"/>
    <w:tmpl w:val="4456F39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0"/>
  </w:num>
  <w:num w:numId="4">
    <w:abstractNumId w:val="4"/>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abstractNumId w:val="2"/>
  </w:num>
  <w:num w:numId="6">
    <w:abstractNumId w:val="3"/>
  </w:num>
  <w:num w:numId="7">
    <w:abstractNumId w:val="4"/>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4"/>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b w:val="0"/>
          <w:i w:val="0"/>
          <w:sz w:val="22"/>
          <w:szCs w:val="22"/>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2DD"/>
    <w:rsid w:val="00005157"/>
    <w:rsid w:val="00006357"/>
    <w:rsid w:val="00016EA2"/>
    <w:rsid w:val="00021B15"/>
    <w:rsid w:val="00032931"/>
    <w:rsid w:val="00042366"/>
    <w:rsid w:val="00057C10"/>
    <w:rsid w:val="00076A12"/>
    <w:rsid w:val="000824A6"/>
    <w:rsid w:val="0008619A"/>
    <w:rsid w:val="00087B75"/>
    <w:rsid w:val="000901D5"/>
    <w:rsid w:val="00092E10"/>
    <w:rsid w:val="000941EC"/>
    <w:rsid w:val="00095211"/>
    <w:rsid w:val="000A6CA9"/>
    <w:rsid w:val="000B7A9D"/>
    <w:rsid w:val="000C10DF"/>
    <w:rsid w:val="000C2E92"/>
    <w:rsid w:val="000C3A42"/>
    <w:rsid w:val="000D2D48"/>
    <w:rsid w:val="000E02DF"/>
    <w:rsid w:val="000F39D3"/>
    <w:rsid w:val="0011067E"/>
    <w:rsid w:val="00113B45"/>
    <w:rsid w:val="00121FF7"/>
    <w:rsid w:val="00125000"/>
    <w:rsid w:val="001549BD"/>
    <w:rsid w:val="00162A7A"/>
    <w:rsid w:val="001A2D2B"/>
    <w:rsid w:val="001B3C65"/>
    <w:rsid w:val="001B4235"/>
    <w:rsid w:val="001C6C4B"/>
    <w:rsid w:val="001D7775"/>
    <w:rsid w:val="001D7BC2"/>
    <w:rsid w:val="001E500B"/>
    <w:rsid w:val="001E6A74"/>
    <w:rsid w:val="001F41D0"/>
    <w:rsid w:val="00200112"/>
    <w:rsid w:val="002026B4"/>
    <w:rsid w:val="002047F2"/>
    <w:rsid w:val="002053A8"/>
    <w:rsid w:val="002105DF"/>
    <w:rsid w:val="00213FD7"/>
    <w:rsid w:val="00220F16"/>
    <w:rsid w:val="002269B3"/>
    <w:rsid w:val="00232454"/>
    <w:rsid w:val="002325C6"/>
    <w:rsid w:val="00243648"/>
    <w:rsid w:val="002464B0"/>
    <w:rsid w:val="0025053C"/>
    <w:rsid w:val="00253A2A"/>
    <w:rsid w:val="0025425B"/>
    <w:rsid w:val="00254C5B"/>
    <w:rsid w:val="0025765F"/>
    <w:rsid w:val="0026092A"/>
    <w:rsid w:val="00267445"/>
    <w:rsid w:val="00275ED7"/>
    <w:rsid w:val="002811E3"/>
    <w:rsid w:val="00296055"/>
    <w:rsid w:val="002962CF"/>
    <w:rsid w:val="002A2A98"/>
    <w:rsid w:val="002A47D8"/>
    <w:rsid w:val="002A7B88"/>
    <w:rsid w:val="002B68A7"/>
    <w:rsid w:val="002C3F50"/>
    <w:rsid w:val="002C7301"/>
    <w:rsid w:val="002D03C4"/>
    <w:rsid w:val="002D1861"/>
    <w:rsid w:val="002D63C1"/>
    <w:rsid w:val="002D6772"/>
    <w:rsid w:val="002D693A"/>
    <w:rsid w:val="002E44A6"/>
    <w:rsid w:val="002E4A73"/>
    <w:rsid w:val="002F6E3D"/>
    <w:rsid w:val="00302A18"/>
    <w:rsid w:val="00302B68"/>
    <w:rsid w:val="003046BA"/>
    <w:rsid w:val="00304FA1"/>
    <w:rsid w:val="003144DF"/>
    <w:rsid w:val="00314A4F"/>
    <w:rsid w:val="0032426D"/>
    <w:rsid w:val="00325D9B"/>
    <w:rsid w:val="003342CD"/>
    <w:rsid w:val="00335042"/>
    <w:rsid w:val="003350AD"/>
    <w:rsid w:val="00336503"/>
    <w:rsid w:val="00346ACC"/>
    <w:rsid w:val="00351ABD"/>
    <w:rsid w:val="00356168"/>
    <w:rsid w:val="00361137"/>
    <w:rsid w:val="00362B70"/>
    <w:rsid w:val="00363153"/>
    <w:rsid w:val="003670E3"/>
    <w:rsid w:val="003731E2"/>
    <w:rsid w:val="00383C4E"/>
    <w:rsid w:val="00392BBA"/>
    <w:rsid w:val="003954FD"/>
    <w:rsid w:val="003A2A65"/>
    <w:rsid w:val="003A6F93"/>
    <w:rsid w:val="003B7478"/>
    <w:rsid w:val="003C308E"/>
    <w:rsid w:val="003D0C18"/>
    <w:rsid w:val="003D2336"/>
    <w:rsid w:val="003D691E"/>
    <w:rsid w:val="003E0C2F"/>
    <w:rsid w:val="003E1976"/>
    <w:rsid w:val="003E1CE3"/>
    <w:rsid w:val="00404E28"/>
    <w:rsid w:val="00407599"/>
    <w:rsid w:val="00411ACA"/>
    <w:rsid w:val="00415365"/>
    <w:rsid w:val="004255CB"/>
    <w:rsid w:val="004365AD"/>
    <w:rsid w:val="00440419"/>
    <w:rsid w:val="00443257"/>
    <w:rsid w:val="004440FC"/>
    <w:rsid w:val="00444C5D"/>
    <w:rsid w:val="00445DB9"/>
    <w:rsid w:val="0045382B"/>
    <w:rsid w:val="00453CEF"/>
    <w:rsid w:val="0045430D"/>
    <w:rsid w:val="00454776"/>
    <w:rsid w:val="00462095"/>
    <w:rsid w:val="00477064"/>
    <w:rsid w:val="00493396"/>
    <w:rsid w:val="0049748E"/>
    <w:rsid w:val="004A1C0D"/>
    <w:rsid w:val="004B1954"/>
    <w:rsid w:val="004B1F1F"/>
    <w:rsid w:val="004B3C0F"/>
    <w:rsid w:val="004C05E4"/>
    <w:rsid w:val="004C32DD"/>
    <w:rsid w:val="004C6791"/>
    <w:rsid w:val="004D4CC7"/>
    <w:rsid w:val="004D6FD3"/>
    <w:rsid w:val="004D7842"/>
    <w:rsid w:val="004E39E1"/>
    <w:rsid w:val="004E55F5"/>
    <w:rsid w:val="004F20BB"/>
    <w:rsid w:val="004F5A93"/>
    <w:rsid w:val="004F791E"/>
    <w:rsid w:val="00503E44"/>
    <w:rsid w:val="00515283"/>
    <w:rsid w:val="00525298"/>
    <w:rsid w:val="00527B76"/>
    <w:rsid w:val="00531340"/>
    <w:rsid w:val="00533926"/>
    <w:rsid w:val="00546E47"/>
    <w:rsid w:val="00552741"/>
    <w:rsid w:val="0055675D"/>
    <w:rsid w:val="00557E41"/>
    <w:rsid w:val="00566E8F"/>
    <w:rsid w:val="00573A71"/>
    <w:rsid w:val="005833BE"/>
    <w:rsid w:val="005875AE"/>
    <w:rsid w:val="005935DC"/>
    <w:rsid w:val="005940DB"/>
    <w:rsid w:val="005A32B8"/>
    <w:rsid w:val="005A4545"/>
    <w:rsid w:val="005A51B1"/>
    <w:rsid w:val="005B4D35"/>
    <w:rsid w:val="005B626E"/>
    <w:rsid w:val="005C20BA"/>
    <w:rsid w:val="005D7D5A"/>
    <w:rsid w:val="005E0287"/>
    <w:rsid w:val="005E4BAC"/>
    <w:rsid w:val="005F1A60"/>
    <w:rsid w:val="005F4AD5"/>
    <w:rsid w:val="005F57AB"/>
    <w:rsid w:val="0060130D"/>
    <w:rsid w:val="00602254"/>
    <w:rsid w:val="00602A39"/>
    <w:rsid w:val="00604EC1"/>
    <w:rsid w:val="0064129F"/>
    <w:rsid w:val="00647BB7"/>
    <w:rsid w:val="00662DBA"/>
    <w:rsid w:val="00663CF3"/>
    <w:rsid w:val="00666819"/>
    <w:rsid w:val="00670795"/>
    <w:rsid w:val="006721EB"/>
    <w:rsid w:val="00675014"/>
    <w:rsid w:val="00680297"/>
    <w:rsid w:val="006815D3"/>
    <w:rsid w:val="0068446E"/>
    <w:rsid w:val="00692F11"/>
    <w:rsid w:val="00695673"/>
    <w:rsid w:val="00697198"/>
    <w:rsid w:val="006A0786"/>
    <w:rsid w:val="006A188E"/>
    <w:rsid w:val="006B010C"/>
    <w:rsid w:val="006B127C"/>
    <w:rsid w:val="006C021A"/>
    <w:rsid w:val="006C5ED3"/>
    <w:rsid w:val="006E3C82"/>
    <w:rsid w:val="006E69F9"/>
    <w:rsid w:val="006F051A"/>
    <w:rsid w:val="00700D11"/>
    <w:rsid w:val="00701077"/>
    <w:rsid w:val="00712F8C"/>
    <w:rsid w:val="00713952"/>
    <w:rsid w:val="00736F61"/>
    <w:rsid w:val="00742AA7"/>
    <w:rsid w:val="007522CD"/>
    <w:rsid w:val="007662C7"/>
    <w:rsid w:val="00767220"/>
    <w:rsid w:val="00767F11"/>
    <w:rsid w:val="0077053F"/>
    <w:rsid w:val="007706AB"/>
    <w:rsid w:val="007708D3"/>
    <w:rsid w:val="007734B0"/>
    <w:rsid w:val="00776306"/>
    <w:rsid w:val="007853BD"/>
    <w:rsid w:val="00785AC5"/>
    <w:rsid w:val="007964EC"/>
    <w:rsid w:val="007A2063"/>
    <w:rsid w:val="007B1D97"/>
    <w:rsid w:val="007B1F10"/>
    <w:rsid w:val="007B2D0A"/>
    <w:rsid w:val="007B3241"/>
    <w:rsid w:val="007C1C60"/>
    <w:rsid w:val="007D2196"/>
    <w:rsid w:val="007E018D"/>
    <w:rsid w:val="007E0351"/>
    <w:rsid w:val="007E085E"/>
    <w:rsid w:val="007E5329"/>
    <w:rsid w:val="007E6739"/>
    <w:rsid w:val="007F1B71"/>
    <w:rsid w:val="007F412F"/>
    <w:rsid w:val="0080637B"/>
    <w:rsid w:val="00807E7D"/>
    <w:rsid w:val="00811C83"/>
    <w:rsid w:val="0083143D"/>
    <w:rsid w:val="00831675"/>
    <w:rsid w:val="008435DD"/>
    <w:rsid w:val="00844129"/>
    <w:rsid w:val="00845776"/>
    <w:rsid w:val="00845991"/>
    <w:rsid w:val="008476B4"/>
    <w:rsid w:val="00850424"/>
    <w:rsid w:val="00853997"/>
    <w:rsid w:val="0085426E"/>
    <w:rsid w:val="00861140"/>
    <w:rsid w:val="00866321"/>
    <w:rsid w:val="008678A6"/>
    <w:rsid w:val="00870DFB"/>
    <w:rsid w:val="008715D9"/>
    <w:rsid w:val="00882535"/>
    <w:rsid w:val="00883DC0"/>
    <w:rsid w:val="0088467C"/>
    <w:rsid w:val="00893EB9"/>
    <w:rsid w:val="00894579"/>
    <w:rsid w:val="0089461E"/>
    <w:rsid w:val="00896D96"/>
    <w:rsid w:val="008A5B67"/>
    <w:rsid w:val="008C374B"/>
    <w:rsid w:val="008C5E50"/>
    <w:rsid w:val="008D16F7"/>
    <w:rsid w:val="008D189A"/>
    <w:rsid w:val="008D7CC0"/>
    <w:rsid w:val="008E1427"/>
    <w:rsid w:val="008E4850"/>
    <w:rsid w:val="00900744"/>
    <w:rsid w:val="009143A0"/>
    <w:rsid w:val="00916599"/>
    <w:rsid w:val="00917493"/>
    <w:rsid w:val="00933F84"/>
    <w:rsid w:val="00935576"/>
    <w:rsid w:val="00946121"/>
    <w:rsid w:val="00953F48"/>
    <w:rsid w:val="00954679"/>
    <w:rsid w:val="009644F8"/>
    <w:rsid w:val="0097280A"/>
    <w:rsid w:val="0098241A"/>
    <w:rsid w:val="009A0F3D"/>
    <w:rsid w:val="009B2D3D"/>
    <w:rsid w:val="009C129A"/>
    <w:rsid w:val="009C268B"/>
    <w:rsid w:val="009C3907"/>
    <w:rsid w:val="009D1C22"/>
    <w:rsid w:val="009D1F4A"/>
    <w:rsid w:val="009D79CC"/>
    <w:rsid w:val="009D7C18"/>
    <w:rsid w:val="009D7D8F"/>
    <w:rsid w:val="009E026A"/>
    <w:rsid w:val="009E2F86"/>
    <w:rsid w:val="009E6248"/>
    <w:rsid w:val="009F34BB"/>
    <w:rsid w:val="00A016DF"/>
    <w:rsid w:val="00A046FF"/>
    <w:rsid w:val="00A06069"/>
    <w:rsid w:val="00A07D8A"/>
    <w:rsid w:val="00A12209"/>
    <w:rsid w:val="00A150C1"/>
    <w:rsid w:val="00A21BBE"/>
    <w:rsid w:val="00A258C4"/>
    <w:rsid w:val="00A2690C"/>
    <w:rsid w:val="00A26B7B"/>
    <w:rsid w:val="00A31E2B"/>
    <w:rsid w:val="00A3200D"/>
    <w:rsid w:val="00A35034"/>
    <w:rsid w:val="00A36DF3"/>
    <w:rsid w:val="00A42E23"/>
    <w:rsid w:val="00A47772"/>
    <w:rsid w:val="00A532DD"/>
    <w:rsid w:val="00A63DEC"/>
    <w:rsid w:val="00A65BD5"/>
    <w:rsid w:val="00A77E1C"/>
    <w:rsid w:val="00A80BCF"/>
    <w:rsid w:val="00A8369C"/>
    <w:rsid w:val="00A840A2"/>
    <w:rsid w:val="00A86E1C"/>
    <w:rsid w:val="00A945B5"/>
    <w:rsid w:val="00AA1689"/>
    <w:rsid w:val="00AA1A5B"/>
    <w:rsid w:val="00AC16A1"/>
    <w:rsid w:val="00AC1D15"/>
    <w:rsid w:val="00AD19BA"/>
    <w:rsid w:val="00AD2F3A"/>
    <w:rsid w:val="00AD4385"/>
    <w:rsid w:val="00AD5E8F"/>
    <w:rsid w:val="00AE1C7D"/>
    <w:rsid w:val="00AE3BAD"/>
    <w:rsid w:val="00AF0AC9"/>
    <w:rsid w:val="00AF78BD"/>
    <w:rsid w:val="00B06508"/>
    <w:rsid w:val="00B071BB"/>
    <w:rsid w:val="00B0792E"/>
    <w:rsid w:val="00B07B0C"/>
    <w:rsid w:val="00B12755"/>
    <w:rsid w:val="00B21711"/>
    <w:rsid w:val="00B22D23"/>
    <w:rsid w:val="00B25563"/>
    <w:rsid w:val="00B26D48"/>
    <w:rsid w:val="00B3266A"/>
    <w:rsid w:val="00B35AEC"/>
    <w:rsid w:val="00B35DE1"/>
    <w:rsid w:val="00B42EE1"/>
    <w:rsid w:val="00B509C1"/>
    <w:rsid w:val="00B64B55"/>
    <w:rsid w:val="00B66C00"/>
    <w:rsid w:val="00B7552D"/>
    <w:rsid w:val="00B92111"/>
    <w:rsid w:val="00B92478"/>
    <w:rsid w:val="00BA082D"/>
    <w:rsid w:val="00BA101A"/>
    <w:rsid w:val="00BB210A"/>
    <w:rsid w:val="00BB3B68"/>
    <w:rsid w:val="00BB7ADD"/>
    <w:rsid w:val="00BD4787"/>
    <w:rsid w:val="00BD61A2"/>
    <w:rsid w:val="00BE2EC3"/>
    <w:rsid w:val="00BE484D"/>
    <w:rsid w:val="00BF3B78"/>
    <w:rsid w:val="00BF47A7"/>
    <w:rsid w:val="00BF506D"/>
    <w:rsid w:val="00C015F1"/>
    <w:rsid w:val="00C13CB1"/>
    <w:rsid w:val="00C169A5"/>
    <w:rsid w:val="00C30653"/>
    <w:rsid w:val="00C345F2"/>
    <w:rsid w:val="00C36390"/>
    <w:rsid w:val="00C36879"/>
    <w:rsid w:val="00C37B21"/>
    <w:rsid w:val="00C37E05"/>
    <w:rsid w:val="00C525FA"/>
    <w:rsid w:val="00C5541B"/>
    <w:rsid w:val="00C55D29"/>
    <w:rsid w:val="00C61B5E"/>
    <w:rsid w:val="00C626CD"/>
    <w:rsid w:val="00C72557"/>
    <w:rsid w:val="00C80479"/>
    <w:rsid w:val="00C804AA"/>
    <w:rsid w:val="00C86AFF"/>
    <w:rsid w:val="00C925E4"/>
    <w:rsid w:val="00C9327B"/>
    <w:rsid w:val="00CA0BE9"/>
    <w:rsid w:val="00CA138D"/>
    <w:rsid w:val="00CC0CF0"/>
    <w:rsid w:val="00CC1127"/>
    <w:rsid w:val="00CC7641"/>
    <w:rsid w:val="00CD27F4"/>
    <w:rsid w:val="00CE31DE"/>
    <w:rsid w:val="00CE7739"/>
    <w:rsid w:val="00D00847"/>
    <w:rsid w:val="00D13794"/>
    <w:rsid w:val="00D13809"/>
    <w:rsid w:val="00D16BEB"/>
    <w:rsid w:val="00D24052"/>
    <w:rsid w:val="00D24386"/>
    <w:rsid w:val="00D31575"/>
    <w:rsid w:val="00D34626"/>
    <w:rsid w:val="00D36C3D"/>
    <w:rsid w:val="00D3753A"/>
    <w:rsid w:val="00D4257A"/>
    <w:rsid w:val="00D46212"/>
    <w:rsid w:val="00D50259"/>
    <w:rsid w:val="00D54538"/>
    <w:rsid w:val="00D56536"/>
    <w:rsid w:val="00D62665"/>
    <w:rsid w:val="00D66A76"/>
    <w:rsid w:val="00D70629"/>
    <w:rsid w:val="00D731A5"/>
    <w:rsid w:val="00D82CF2"/>
    <w:rsid w:val="00D848FD"/>
    <w:rsid w:val="00D91293"/>
    <w:rsid w:val="00D9239A"/>
    <w:rsid w:val="00D92E4F"/>
    <w:rsid w:val="00D93F39"/>
    <w:rsid w:val="00DA3B5D"/>
    <w:rsid w:val="00DA4538"/>
    <w:rsid w:val="00DB3D8C"/>
    <w:rsid w:val="00DB4FEE"/>
    <w:rsid w:val="00DC0CDE"/>
    <w:rsid w:val="00DC4D72"/>
    <w:rsid w:val="00DD2F2E"/>
    <w:rsid w:val="00DD3673"/>
    <w:rsid w:val="00DD65F6"/>
    <w:rsid w:val="00DF11E1"/>
    <w:rsid w:val="00E022CF"/>
    <w:rsid w:val="00E0372B"/>
    <w:rsid w:val="00E0624D"/>
    <w:rsid w:val="00E12ECF"/>
    <w:rsid w:val="00E1553F"/>
    <w:rsid w:val="00E17A8D"/>
    <w:rsid w:val="00E2225B"/>
    <w:rsid w:val="00E265BE"/>
    <w:rsid w:val="00E26C02"/>
    <w:rsid w:val="00E36920"/>
    <w:rsid w:val="00E37826"/>
    <w:rsid w:val="00E4438C"/>
    <w:rsid w:val="00E457F3"/>
    <w:rsid w:val="00E46C60"/>
    <w:rsid w:val="00E52E5D"/>
    <w:rsid w:val="00E55426"/>
    <w:rsid w:val="00E61304"/>
    <w:rsid w:val="00E6184D"/>
    <w:rsid w:val="00E62BFD"/>
    <w:rsid w:val="00E74B26"/>
    <w:rsid w:val="00E74ECA"/>
    <w:rsid w:val="00E75472"/>
    <w:rsid w:val="00E80C25"/>
    <w:rsid w:val="00E90492"/>
    <w:rsid w:val="00EB475E"/>
    <w:rsid w:val="00EB7E71"/>
    <w:rsid w:val="00EC0D36"/>
    <w:rsid w:val="00ED25ED"/>
    <w:rsid w:val="00ED6936"/>
    <w:rsid w:val="00ED7792"/>
    <w:rsid w:val="00EE54E0"/>
    <w:rsid w:val="00EE58F2"/>
    <w:rsid w:val="00EE61BF"/>
    <w:rsid w:val="00EF057C"/>
    <w:rsid w:val="00EF3246"/>
    <w:rsid w:val="00EF6B86"/>
    <w:rsid w:val="00EF79B7"/>
    <w:rsid w:val="00F001D4"/>
    <w:rsid w:val="00F0260B"/>
    <w:rsid w:val="00F07F89"/>
    <w:rsid w:val="00F109D4"/>
    <w:rsid w:val="00F25999"/>
    <w:rsid w:val="00F3343C"/>
    <w:rsid w:val="00F3655E"/>
    <w:rsid w:val="00F47585"/>
    <w:rsid w:val="00F712B7"/>
    <w:rsid w:val="00F738D1"/>
    <w:rsid w:val="00F75209"/>
    <w:rsid w:val="00F756FC"/>
    <w:rsid w:val="00F76CB1"/>
    <w:rsid w:val="00F80A81"/>
    <w:rsid w:val="00F82840"/>
    <w:rsid w:val="00F85C40"/>
    <w:rsid w:val="00F85E6F"/>
    <w:rsid w:val="00F8684D"/>
    <w:rsid w:val="00F93918"/>
    <w:rsid w:val="00F95BFA"/>
    <w:rsid w:val="00F97125"/>
    <w:rsid w:val="00FA0251"/>
    <w:rsid w:val="00FA03D8"/>
    <w:rsid w:val="00FA158F"/>
    <w:rsid w:val="00FD0CB4"/>
    <w:rsid w:val="00FD3B4A"/>
    <w:rsid w:val="00FD5528"/>
    <w:rsid w:val="00FE04E4"/>
    <w:rsid w:val="00FE73F9"/>
    <w:rsid w:val="00FF1057"/>
    <w:rsid w:val="00FF2448"/>
    <w:rsid w:val="00FF3E25"/>
    <w:rsid w:val="00FF4FBF"/>
    <w:rsid w:val="00FF59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D5E0F"/>
  <w15:docId w15:val="{A979D811-F553-4A07-B939-6FF48A64E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paragraph" w:styleId="Heading5">
    <w:name w:val="heading 5"/>
    <w:basedOn w:val="Normal"/>
    <w:next w:val="Normal"/>
    <w:link w:val="Heading5Char"/>
    <w:uiPriority w:val="9"/>
    <w:unhideWhenUsed/>
    <w:qFormat/>
    <w:rsid w:val="0088253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qFormat/>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table" w:styleId="TableGrid">
    <w:name w:val="Table Grid"/>
    <w:basedOn w:val="TableNormal"/>
    <w:uiPriority w:val="59"/>
    <w:rsid w:val="009D7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882535"/>
    <w:rPr>
      <w:rFonts w:asciiTheme="majorHAnsi" w:eastAsiaTheme="majorEastAsia" w:hAnsiTheme="majorHAnsi" w:cstheme="majorBidi"/>
      <w:color w:val="243F60" w:themeColor="accent1" w:themeShade="7F"/>
      <w:sz w:val="24"/>
    </w:rPr>
  </w:style>
  <w:style w:type="character" w:customStyle="1" w:styleId="base-text-paragraphChar">
    <w:name w:val="base-text-paragraph Char"/>
    <w:basedOn w:val="DefaultParagraphFont"/>
    <w:link w:val="base-text-paragraph"/>
    <w:rsid w:val="00F3655E"/>
    <w:rPr>
      <w:sz w:val="24"/>
    </w:rPr>
  </w:style>
  <w:style w:type="paragraph" w:customStyle="1" w:styleId="ChapterHeading">
    <w:name w:val="Chapter Heading"/>
    <w:next w:val="Heading2"/>
    <w:rsid w:val="00F3655E"/>
    <w:pPr>
      <w:numPr>
        <w:numId w:val="5"/>
      </w:num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F3655E"/>
    <w:pPr>
      <w:numPr>
        <w:numId w:val="5"/>
      </w:numPr>
    </w:pPr>
  </w:style>
  <w:style w:type="paragraph" w:customStyle="1" w:styleId="Diagram">
    <w:name w:val="Diagram"/>
    <w:basedOn w:val="Normal"/>
    <w:next w:val="Normal"/>
    <w:rsid w:val="00F3655E"/>
    <w:pPr>
      <w:keepNext/>
      <w:numPr>
        <w:ilvl w:val="2"/>
        <w:numId w:val="5"/>
      </w:numPr>
      <w:spacing w:before="0" w:after="0"/>
    </w:pPr>
    <w:rPr>
      <w:b/>
      <w:sz w:val="22"/>
    </w:rPr>
  </w:style>
  <w:style w:type="paragraph" w:customStyle="1" w:styleId="dotpoint0">
    <w:name w:val="dot point"/>
    <w:basedOn w:val="Normal"/>
    <w:qFormat/>
    <w:rsid w:val="00F3655E"/>
    <w:pPr>
      <w:numPr>
        <w:numId w:val="6"/>
      </w:numPr>
    </w:pPr>
    <w:rPr>
      <w:sz w:val="22"/>
    </w:rPr>
  </w:style>
  <w:style w:type="paragraph" w:customStyle="1" w:styleId="ExampleHeading">
    <w:name w:val="Example Heading"/>
    <w:basedOn w:val="Normal"/>
    <w:next w:val="Normal"/>
    <w:rsid w:val="00F3655E"/>
    <w:pPr>
      <w:keepNext/>
      <w:numPr>
        <w:ilvl w:val="3"/>
        <w:numId w:val="5"/>
      </w:numPr>
    </w:pPr>
    <w:rPr>
      <w:b/>
      <w:sz w:val="22"/>
    </w:rPr>
  </w:style>
  <w:style w:type="paragraph" w:customStyle="1" w:styleId="TableHeadingoutsidetable">
    <w:name w:val="Table Heading (outside table)"/>
    <w:basedOn w:val="Heading4"/>
    <w:rsid w:val="00F3655E"/>
    <w:pPr>
      <w:numPr>
        <w:ilvl w:val="4"/>
        <w:numId w:val="5"/>
      </w:numPr>
      <w:tabs>
        <w:tab w:val="clear" w:pos="1987"/>
        <w:tab w:val="num" w:pos="360"/>
      </w:tabs>
      <w:spacing w:after="200"/>
    </w:pPr>
    <w:rPr>
      <w:kern w:val="0"/>
      <w:sz w:val="22"/>
    </w:rPr>
  </w:style>
  <w:style w:type="paragraph" w:styleId="Revision">
    <w:name w:val="Revision"/>
    <w:hidden/>
    <w:uiPriority w:val="99"/>
    <w:semiHidden/>
    <w:rsid w:val="00C169A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7</Value>
    </TaxCatchAll>
    <_dlc_DocId xmlns="0f563589-9cf9-4143-b1eb-fb0534803d38">2019RG-111-11071</_dlc_DocId>
    <_dlc_DocIdUrl xmlns="0f563589-9cf9-4143-b1eb-fb0534803d38">
      <Url>http://tweb/sites/rg/ldp/lmu/_layouts/15/DocIdRedir.aspx?ID=2019RG-111-11071</Url>
      <Description>2019RG-111-11071</Description>
    </_dlc_DocIdUrl>
  </documentManagement>
</p:properti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8502" ma:contentTypeDescription=" " ma:contentTypeScope="" ma:versionID="e6e3ae7771231d68a6db8d07b8c63813">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46278533-3486-40E5-9013-DD26FD164D39}">
  <ds:schemaRefs>
    <ds:schemaRef ds:uri="http://purl.org/dc/terms/"/>
    <ds:schemaRef ds:uri="http://schemas.openxmlformats.org/package/2006/metadata/core-properties"/>
    <ds:schemaRef ds:uri="http://www.w3.org/XML/1998/namespace"/>
    <ds:schemaRef ds:uri="http://purl.org/dc/elements/1.1/"/>
    <ds:schemaRef ds:uri="687b78b0-2ddd-4441-8a8b-c9638c2a1939"/>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microsoft.com/sharepoint/v3"/>
    <ds:schemaRef ds:uri="http://schemas.microsoft.com/sharepoint/v4"/>
    <ds:schemaRef ds:uri="9f7bc583-7cbe-45b9-a2bd-8bbb6543b37e"/>
    <ds:schemaRef ds:uri="0f563589-9cf9-4143-b1eb-fb0534803d38"/>
  </ds:schemaRefs>
</ds:datastoreItem>
</file>

<file path=customXml/itemProps3.xml><?xml version="1.0" encoding="utf-8"?>
<ds:datastoreItem xmlns:ds="http://schemas.openxmlformats.org/officeDocument/2006/customXml" ds:itemID="{8C9C95AF-DC3D-454D-876B-A90DFB6AC3F1}">
  <ds:schemaRefs>
    <ds:schemaRef ds:uri="office.server.policy"/>
  </ds:schemaRefs>
</ds:datastoreItem>
</file>

<file path=customXml/itemProps4.xml><?xml version="1.0" encoding="utf-8"?>
<ds:datastoreItem xmlns:ds="http://schemas.openxmlformats.org/officeDocument/2006/customXml" ds:itemID="{2F169593-731E-4381-95ED-8F5C86A854B9}"/>
</file>

<file path=customXml/itemProps5.xml><?xml version="1.0" encoding="utf-8"?>
<ds:datastoreItem xmlns:ds="http://schemas.openxmlformats.org/officeDocument/2006/customXml" ds:itemID="{27F7AA81-0E60-450C-BBEC-DCE5D600F2EA}"/>
</file>

<file path=customXml/itemProps6.xml><?xml version="1.0" encoding="utf-8"?>
<ds:datastoreItem xmlns:ds="http://schemas.openxmlformats.org/officeDocument/2006/customXml" ds:itemID="{5284BF86-7B72-4D86-8435-3CA150E70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10</Pages>
  <Words>2644</Words>
  <Characters>15074</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17683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Boyd, Patrick</dc:creator>
  <cp:lastModifiedBy>Boyd, Patrick</cp:lastModifiedBy>
  <cp:revision>2</cp:revision>
  <cp:lastPrinted>2016-06-15T23:01:00Z</cp:lastPrinted>
  <dcterms:created xsi:type="dcterms:W3CDTF">2019-02-26T03:04:00Z</dcterms:created>
  <dcterms:modified xsi:type="dcterms:W3CDTF">2019-02-26T03:04:00Z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0x01010036BB8DE7EC542E42A8B2E98CC20CB69700D5C18F41BA18FB44827A222ACD6776F5</vt:lpwstr>
  </property>
  <property fmtid="{D5CDD505-2E9C-101B-9397-08002B2CF9AE}" pid="3" name="TSYRecordClass">
    <vt:lpwstr>11</vt:lpwstr>
  </property>
  <property fmtid="{D5CDD505-2E9C-101B-9397-08002B2CF9AE}" pid="4" name="_dlc_DocIdItemGuid">
    <vt:lpwstr>e7907b5e-e7b8-4931-8988-943ccb5cb064</vt:lpwstr>
  </property>
  <property fmtid="{D5CDD505-2E9C-101B-9397-08002B2CF9AE}" pid="5" name="RecordPoint_WorkflowType">
    <vt:lpwstr>ActiveSubmitStub</vt:lpwstr>
  </property>
  <property fmtid="{D5CDD505-2E9C-101B-9397-08002B2CF9AE}" pid="6" name="RecordPoint_ActiveItemUniqueId">
    <vt:lpwstr>{e7907b5e-e7b8-4931-8988-943ccb5cb064}</vt:lpwstr>
  </property>
  <property fmtid="{D5CDD505-2E9C-101B-9397-08002B2CF9AE}" pid="7" name="RecordPoint_ActiveItemWebId">
    <vt:lpwstr>{2602612e-a30f-4de0-b9eb-e01e73dc8005}</vt:lpwstr>
  </property>
  <property fmtid="{D5CDD505-2E9C-101B-9397-08002B2CF9AE}" pid="8" name="RecordPoint_ActiveItemSiteId">
    <vt:lpwstr>{5b52b9a5-e5b2-4521-8814-a1e24ca2869d}</vt:lpwstr>
  </property>
  <property fmtid="{D5CDD505-2E9C-101B-9397-08002B2CF9AE}" pid="9" name="RecordPoint_ActiveItemListId">
    <vt:lpwstr>{1a010be9-83b3-4740-abb7-452f2d1120fe}</vt:lpwstr>
  </property>
  <property fmtid="{D5CDD505-2E9C-101B-9397-08002B2CF9AE}" pid="10" name="RecordPoint_RecordNumberSubmitted">
    <vt:lpwstr>R0002010546</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SubmissionCompleted">
    <vt:lpwstr>2019-02-27T08:31:30.0190058+11:00</vt:lpwstr>
  </property>
  <property fmtid="{D5CDD505-2E9C-101B-9397-08002B2CF9AE}" pid="15" name="_AdHocReviewCycleID">
    <vt:i4>802735094</vt:i4>
  </property>
  <property fmtid="{D5CDD505-2E9C-101B-9397-08002B2CF9AE}" pid="16" name="_NewReviewCycle">
    <vt:lpwstr/>
  </property>
  <property fmtid="{D5CDD505-2E9C-101B-9397-08002B2CF9AE}" pid="17" name="_EmailSubject">
    <vt:lpwstr>FOR CLEARANCE - Superannuation Contributions Tax (Members of Constitutionally Protected Superannuation Funds) Assessment and Collection Regulations 201 [SEC=PROTECTED, DLM=Sensitive:Legal]</vt:lpwstr>
  </property>
  <property fmtid="{D5CDD505-2E9C-101B-9397-08002B2CF9AE}" pid="18" name="_AuthorEmail">
    <vt:lpwstr>Patrick.Boyd@TREASURY.GOV.AU</vt:lpwstr>
  </property>
  <property fmtid="{D5CDD505-2E9C-101B-9397-08002B2CF9AE}" pid="19" name="_AuthorEmailDisplayName">
    <vt:lpwstr>Boyd, Patrick</vt:lpwstr>
  </property>
  <property fmtid="{D5CDD505-2E9C-101B-9397-08002B2CF9AE}" pid="20" name="_PreviousAdHocReviewCycleID">
    <vt:i4>1471799237</vt:i4>
  </property>
</Properties>
</file>