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2D" w:rsidRPr="008B512D" w:rsidRDefault="008B512D" w:rsidP="008B512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bookmarkStart w:id="0" w:name="_GoBack"/>
      <w:bookmarkEnd w:id="0"/>
      <w:r w:rsidRPr="008B512D">
        <w:rPr>
          <w:rFonts w:ascii="Times New Roman" w:eastAsia="Times New Roman" w:hAnsi="Times New Roman" w:cs="Times New Roman"/>
          <w:b/>
          <w:bCs/>
          <w:sz w:val="24"/>
          <w:szCs w:val="24"/>
          <w:u w:val="single"/>
          <w:lang w:eastAsia="en-AU"/>
        </w:rPr>
        <w:t>EXPLANATORY STATEMENT</w:t>
      </w:r>
    </w:p>
    <w:p w:rsidR="008B512D" w:rsidRPr="00013610" w:rsidRDefault="008B512D" w:rsidP="008B512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50632B">
        <w:rPr>
          <w:rFonts w:ascii="Times New Roman" w:eastAsia="Times New Roman" w:hAnsi="Times New Roman" w:cs="Times New Roman"/>
          <w:bCs/>
          <w:i/>
          <w:iCs/>
          <w:sz w:val="24"/>
          <w:szCs w:val="24"/>
          <w:lang w:eastAsia="en-AU"/>
        </w:rPr>
        <w:t>Therapeutic Goods Act 1989</w:t>
      </w:r>
    </w:p>
    <w:p w:rsidR="008B512D" w:rsidRPr="00013610" w:rsidRDefault="009330D5" w:rsidP="008B512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50632B">
        <w:rPr>
          <w:rFonts w:ascii="Times New Roman" w:eastAsia="Times New Roman" w:hAnsi="Times New Roman" w:cs="Times New Roman"/>
          <w:bCs/>
          <w:i/>
          <w:iCs/>
          <w:sz w:val="24"/>
          <w:szCs w:val="24"/>
          <w:lang w:eastAsia="en-AU"/>
        </w:rPr>
        <w:t>Therapeutic Goods (Standard for Blood and Blood Components) (</w:t>
      </w:r>
      <w:r w:rsidR="00610435" w:rsidRPr="0050632B">
        <w:rPr>
          <w:rFonts w:ascii="Times New Roman" w:eastAsia="Times New Roman" w:hAnsi="Times New Roman" w:cs="Times New Roman"/>
          <w:bCs/>
          <w:i/>
          <w:iCs/>
          <w:sz w:val="24"/>
          <w:szCs w:val="24"/>
          <w:lang w:eastAsia="en-AU"/>
        </w:rPr>
        <w:t>TGO 102</w:t>
      </w:r>
      <w:r w:rsidRPr="0050632B">
        <w:rPr>
          <w:rFonts w:ascii="Times New Roman" w:eastAsia="Times New Roman" w:hAnsi="Times New Roman" w:cs="Times New Roman"/>
          <w:bCs/>
          <w:i/>
          <w:iCs/>
          <w:sz w:val="24"/>
          <w:szCs w:val="24"/>
          <w:lang w:eastAsia="en-AU"/>
        </w:rPr>
        <w:t>) Order 2019</w:t>
      </w:r>
    </w:p>
    <w:p w:rsidR="008B512D" w:rsidRDefault="008B512D" w:rsidP="008B512D">
      <w:pPr>
        <w:shd w:val="clear" w:color="auto" w:fill="FFFFFF"/>
        <w:spacing w:before="100" w:beforeAutospacing="1" w:after="240" w:line="240" w:lineRule="auto"/>
        <w:rPr>
          <w:rFonts w:ascii="Times New Roman" w:eastAsia="Times New Roman" w:hAnsi="Times New Roman" w:cs="Times New Roman"/>
          <w:sz w:val="24"/>
          <w:szCs w:val="24"/>
          <w:lang w:eastAsia="en-AU"/>
        </w:rPr>
      </w:pPr>
      <w:r w:rsidRPr="008B512D">
        <w:rPr>
          <w:rFonts w:ascii="Times New Roman" w:eastAsia="Times New Roman" w:hAnsi="Times New Roman" w:cs="Times New Roman"/>
          <w:sz w:val="24"/>
          <w:szCs w:val="24"/>
          <w:lang w:eastAsia="en-AU"/>
        </w:rPr>
        <w:t xml:space="preserve">The </w:t>
      </w:r>
      <w:r w:rsidRPr="008B512D">
        <w:rPr>
          <w:rFonts w:ascii="Times New Roman" w:eastAsia="Times New Roman" w:hAnsi="Times New Roman" w:cs="Times New Roman"/>
          <w:i/>
          <w:iCs/>
          <w:sz w:val="24"/>
          <w:szCs w:val="24"/>
          <w:lang w:eastAsia="en-AU"/>
        </w:rPr>
        <w:t>Therapeutic Goods Act 1989</w:t>
      </w:r>
      <w:r w:rsidRPr="008B512D">
        <w:rPr>
          <w:rFonts w:ascii="Times New Roman" w:eastAsia="Times New Roman" w:hAnsi="Times New Roman" w:cs="Times New Roman"/>
          <w:sz w:val="24"/>
          <w:szCs w:val="24"/>
          <w:lang w:eastAsia="en-AU"/>
        </w:rPr>
        <w:t xml:space="preserve"> (</w:t>
      </w:r>
      <w:r w:rsidR="003F33CB">
        <w:rPr>
          <w:rFonts w:ascii="Times New Roman" w:eastAsia="Times New Roman" w:hAnsi="Times New Roman" w:cs="Times New Roman"/>
          <w:sz w:val="24"/>
          <w:szCs w:val="24"/>
          <w:lang w:eastAsia="en-AU"/>
        </w:rPr>
        <w:t>“</w:t>
      </w:r>
      <w:r w:rsidRPr="008B512D">
        <w:rPr>
          <w:rFonts w:ascii="Times New Roman" w:eastAsia="Times New Roman" w:hAnsi="Times New Roman" w:cs="Times New Roman"/>
          <w:sz w:val="24"/>
          <w:szCs w:val="24"/>
          <w:lang w:eastAsia="en-AU"/>
        </w:rPr>
        <w:t>the Act</w:t>
      </w:r>
      <w:r w:rsidR="003F33CB">
        <w:rPr>
          <w:rFonts w:ascii="Times New Roman" w:eastAsia="Times New Roman" w:hAnsi="Times New Roman" w:cs="Times New Roman"/>
          <w:sz w:val="24"/>
          <w:szCs w:val="24"/>
          <w:lang w:eastAsia="en-AU"/>
        </w:rPr>
        <w:t>”</w:t>
      </w:r>
      <w:r w:rsidRPr="008B512D">
        <w:rPr>
          <w:rFonts w:ascii="Times New Roman" w:eastAsia="Times New Roman" w:hAnsi="Times New Roman" w:cs="Times New Roman"/>
          <w:sz w:val="24"/>
          <w:szCs w:val="24"/>
          <w:lang w:eastAsia="en-AU"/>
        </w:rPr>
        <w:t>) provides for the establishment and maintenance of a national system of controls for the quality, safety, efficacy and timely availability of therapeutic goods that are used</w:t>
      </w:r>
      <w:r w:rsidR="00013610">
        <w:rPr>
          <w:rFonts w:ascii="Times New Roman" w:eastAsia="Times New Roman" w:hAnsi="Times New Roman" w:cs="Times New Roman"/>
          <w:sz w:val="24"/>
          <w:szCs w:val="24"/>
          <w:lang w:eastAsia="en-AU"/>
        </w:rPr>
        <w:t xml:space="preserve"> in</w:t>
      </w:r>
      <w:r w:rsidRPr="008B512D">
        <w:rPr>
          <w:rFonts w:ascii="Times New Roman" w:eastAsia="Times New Roman" w:hAnsi="Times New Roman" w:cs="Times New Roman"/>
          <w:sz w:val="24"/>
          <w:szCs w:val="24"/>
          <w:lang w:eastAsia="en-AU"/>
        </w:rPr>
        <w:t>, or exported from, Australia.</w:t>
      </w:r>
      <w:r w:rsidR="00253C92">
        <w:rPr>
          <w:rFonts w:ascii="Times New Roman" w:eastAsia="Times New Roman" w:hAnsi="Times New Roman" w:cs="Times New Roman"/>
          <w:sz w:val="24"/>
          <w:szCs w:val="24"/>
          <w:lang w:eastAsia="en-AU"/>
        </w:rPr>
        <w:t xml:space="preserve"> The Therapeutic Goods Administration (</w:t>
      </w:r>
      <w:r w:rsidR="003F33CB">
        <w:rPr>
          <w:rFonts w:ascii="Times New Roman" w:eastAsia="Times New Roman" w:hAnsi="Times New Roman" w:cs="Times New Roman"/>
          <w:sz w:val="24"/>
          <w:szCs w:val="24"/>
          <w:lang w:eastAsia="en-AU"/>
        </w:rPr>
        <w:t xml:space="preserve">“the </w:t>
      </w:r>
      <w:r w:rsidR="00253C92">
        <w:rPr>
          <w:rFonts w:ascii="Times New Roman" w:eastAsia="Times New Roman" w:hAnsi="Times New Roman" w:cs="Times New Roman"/>
          <w:sz w:val="24"/>
          <w:szCs w:val="24"/>
          <w:lang w:eastAsia="en-AU"/>
        </w:rPr>
        <w:t>TGA</w:t>
      </w:r>
      <w:r w:rsidR="003F33CB">
        <w:rPr>
          <w:rFonts w:ascii="Times New Roman" w:eastAsia="Times New Roman" w:hAnsi="Times New Roman" w:cs="Times New Roman"/>
          <w:sz w:val="24"/>
          <w:szCs w:val="24"/>
          <w:lang w:eastAsia="en-AU"/>
        </w:rPr>
        <w:t>”</w:t>
      </w:r>
      <w:r w:rsidR="00253C92">
        <w:rPr>
          <w:rFonts w:ascii="Times New Roman" w:eastAsia="Times New Roman" w:hAnsi="Times New Roman" w:cs="Times New Roman"/>
          <w:sz w:val="24"/>
          <w:szCs w:val="24"/>
          <w:lang w:eastAsia="en-AU"/>
        </w:rPr>
        <w:t>), which is part of the Department of Health, is responsible for administering the Act.</w:t>
      </w:r>
    </w:p>
    <w:p w:rsidR="003F33CB" w:rsidRPr="008B512D" w:rsidRDefault="003F33CB" w:rsidP="003F33CB">
      <w:pPr>
        <w:shd w:val="clear" w:color="auto" w:fill="FFFFFF"/>
        <w:spacing w:before="100" w:beforeAutospacing="1" w:after="240" w:line="240" w:lineRule="auto"/>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sz w:val="24"/>
          <w:szCs w:val="24"/>
          <w:lang w:eastAsia="en-AU"/>
        </w:rPr>
        <w:t xml:space="preserve">Subsection 10(1) of the Act relevantly provides that the Minister may, by legislative instrument, make an order determining that matters specified in the order constitute a standard for therapeutic goods or a class of therapeutic goods identified in the order. Offence and civil penalties may apply if therapeutic goods (other than medical devices) that do not comply with an applicable standard are imported, exported or supplied. The Secretary may, however, consent in writing to the import, supply or export of such goods notwithstanding their non-compliance (sections 14 and 14A of the Act refer). </w:t>
      </w:r>
    </w:p>
    <w:p w:rsidR="003F33CB" w:rsidRPr="008B512D" w:rsidRDefault="003F33CB" w:rsidP="008B512D">
      <w:pPr>
        <w:shd w:val="clear" w:color="auto" w:fill="FFFFFF"/>
        <w:spacing w:before="100" w:beforeAutospacing="1" w:after="240" w:line="240" w:lineRule="auto"/>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sz w:val="24"/>
          <w:szCs w:val="24"/>
          <w:lang w:eastAsia="en-AU"/>
        </w:rPr>
        <w:t>Without limiting the generality of subsection 10(1), subsection 10(2) relevantly provides that an order establishing a standard for therapeutic goods may be specified by reference to a variety of matters including the quality of the goods, the procedures to be undertaken in their manufacture</w:t>
      </w:r>
      <w:r>
        <w:rPr>
          <w:rFonts w:ascii="Times New Roman" w:eastAsia="Times New Roman" w:hAnsi="Times New Roman" w:cs="Times New Roman"/>
          <w:sz w:val="24"/>
          <w:szCs w:val="24"/>
          <w:lang w:eastAsia="en-AU"/>
        </w:rPr>
        <w:t xml:space="preserve"> or a monograph in the British or European Pharmacopoeia or in the United States Pharmacopeia-National Formulary</w:t>
      </w:r>
      <w:r w:rsidRPr="008B512D">
        <w:rPr>
          <w:rFonts w:ascii="Times New Roman" w:eastAsia="Times New Roman" w:hAnsi="Times New Roman" w:cs="Times New Roman"/>
          <w:sz w:val="24"/>
          <w:szCs w:val="24"/>
          <w:lang w:eastAsia="en-AU"/>
        </w:rPr>
        <w:t>. In addition, an order may require matters relating to the standard to be determined in accordance with particular tests.</w:t>
      </w:r>
    </w:p>
    <w:p w:rsidR="008B512D" w:rsidRPr="008B512D" w:rsidRDefault="003F33CB" w:rsidP="008B512D">
      <w:pPr>
        <w:shd w:val="clear" w:color="auto" w:fill="FFFFFF"/>
        <w:spacing w:before="100" w:beforeAutospacing="1" w:after="24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iCs/>
          <w:sz w:val="24"/>
          <w:szCs w:val="24"/>
          <w:lang w:eastAsia="en-AU"/>
        </w:rPr>
        <w:t xml:space="preserve">The </w:t>
      </w:r>
      <w:r w:rsidR="009330D5" w:rsidRPr="009330D5">
        <w:rPr>
          <w:rFonts w:ascii="Times New Roman" w:eastAsia="Times New Roman" w:hAnsi="Times New Roman" w:cs="Times New Roman"/>
          <w:i/>
          <w:iCs/>
          <w:sz w:val="24"/>
          <w:szCs w:val="24"/>
          <w:lang w:eastAsia="en-AU"/>
        </w:rPr>
        <w:t>Therapeutic Goods (Standard for Blood and Blood C</w:t>
      </w:r>
      <w:r w:rsidR="009330D5">
        <w:rPr>
          <w:rFonts w:ascii="Times New Roman" w:eastAsia="Times New Roman" w:hAnsi="Times New Roman" w:cs="Times New Roman"/>
          <w:i/>
          <w:iCs/>
          <w:sz w:val="24"/>
          <w:szCs w:val="24"/>
          <w:lang w:eastAsia="en-AU"/>
        </w:rPr>
        <w:t>omponents) (</w:t>
      </w:r>
      <w:r>
        <w:rPr>
          <w:rFonts w:ascii="Times New Roman" w:eastAsia="Times New Roman" w:hAnsi="Times New Roman" w:cs="Times New Roman"/>
          <w:i/>
          <w:iCs/>
          <w:sz w:val="24"/>
          <w:szCs w:val="24"/>
          <w:lang w:eastAsia="en-AU"/>
        </w:rPr>
        <w:t>TGO 102</w:t>
      </w:r>
      <w:r w:rsidR="009330D5">
        <w:rPr>
          <w:rFonts w:ascii="Times New Roman" w:eastAsia="Times New Roman" w:hAnsi="Times New Roman" w:cs="Times New Roman"/>
          <w:i/>
          <w:iCs/>
          <w:sz w:val="24"/>
          <w:szCs w:val="24"/>
          <w:lang w:eastAsia="en-AU"/>
        </w:rPr>
        <w:t>) Order 2019</w:t>
      </w:r>
      <w:r w:rsidR="008B512D" w:rsidRPr="008B512D">
        <w:rPr>
          <w:rFonts w:ascii="Times New Roman" w:eastAsia="Times New Roman" w:hAnsi="Times New Roman" w:cs="Times New Roman"/>
          <w:sz w:val="24"/>
          <w:szCs w:val="24"/>
          <w:lang w:eastAsia="en-AU"/>
        </w:rPr>
        <w:t xml:space="preserve"> </w:t>
      </w:r>
      <w:r w:rsidR="00253C92">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“the</w:t>
      </w:r>
      <w:r w:rsidR="00253C92">
        <w:rPr>
          <w:rFonts w:ascii="Times New Roman" w:eastAsia="Times New Roman" w:hAnsi="Times New Roman" w:cs="Times New Roman"/>
          <w:sz w:val="24"/>
          <w:szCs w:val="24"/>
          <w:lang w:eastAsia="en-AU"/>
        </w:rPr>
        <w:t xml:space="preserve"> Order</w:t>
      </w:r>
      <w:r>
        <w:rPr>
          <w:rFonts w:ascii="Times New Roman" w:eastAsia="Times New Roman" w:hAnsi="Times New Roman" w:cs="Times New Roman"/>
          <w:sz w:val="24"/>
          <w:szCs w:val="24"/>
          <w:lang w:eastAsia="en-AU"/>
        </w:rPr>
        <w:t>”</w:t>
      </w:r>
      <w:r w:rsidR="00253C92">
        <w:rPr>
          <w:rFonts w:ascii="Times New Roman" w:eastAsia="Times New Roman" w:hAnsi="Times New Roman" w:cs="Times New Roman"/>
          <w:sz w:val="24"/>
          <w:szCs w:val="24"/>
          <w:lang w:eastAsia="en-AU"/>
        </w:rPr>
        <w:t xml:space="preserve">) </w:t>
      </w:r>
      <w:r w:rsidR="008B512D" w:rsidRPr="008B512D">
        <w:rPr>
          <w:rFonts w:ascii="Times New Roman" w:eastAsia="Times New Roman" w:hAnsi="Times New Roman" w:cs="Times New Roman"/>
          <w:sz w:val="24"/>
          <w:szCs w:val="24"/>
          <w:lang w:eastAsia="en-AU"/>
        </w:rPr>
        <w:t xml:space="preserve">is made by </w:t>
      </w:r>
      <w:r w:rsidR="00253C92">
        <w:rPr>
          <w:rFonts w:ascii="Times New Roman" w:eastAsia="Times New Roman" w:hAnsi="Times New Roman" w:cs="Times New Roman"/>
          <w:sz w:val="24"/>
          <w:szCs w:val="24"/>
          <w:lang w:eastAsia="en-AU"/>
        </w:rPr>
        <w:t>a</w:t>
      </w:r>
      <w:r w:rsidR="008B512D" w:rsidRPr="008B512D">
        <w:rPr>
          <w:rFonts w:ascii="Times New Roman" w:eastAsia="Times New Roman" w:hAnsi="Times New Roman" w:cs="Times New Roman"/>
          <w:sz w:val="24"/>
          <w:szCs w:val="24"/>
          <w:lang w:eastAsia="en-AU"/>
        </w:rPr>
        <w:t xml:space="preserve"> delegate of the Minister for Health under section 10 of the Act. </w:t>
      </w:r>
    </w:p>
    <w:p w:rsidR="00253C92" w:rsidRDefault="008B512D" w:rsidP="008B512D">
      <w:pPr>
        <w:shd w:val="clear" w:color="auto" w:fill="FFFFFF"/>
        <w:spacing w:before="100" w:beforeAutospacing="1" w:after="240" w:line="240" w:lineRule="auto"/>
        <w:rPr>
          <w:rFonts w:ascii="Times New Roman" w:eastAsia="Times New Roman" w:hAnsi="Times New Roman" w:cs="Times New Roman"/>
          <w:sz w:val="24"/>
          <w:szCs w:val="24"/>
          <w:lang w:eastAsia="en-AU"/>
        </w:rPr>
      </w:pPr>
      <w:r w:rsidRPr="008B512D">
        <w:rPr>
          <w:rFonts w:ascii="Times New Roman" w:eastAsia="Times New Roman" w:hAnsi="Times New Roman" w:cs="Times New Roman"/>
          <w:sz w:val="24"/>
          <w:szCs w:val="24"/>
          <w:lang w:eastAsia="en-AU"/>
        </w:rPr>
        <w:t>The</w:t>
      </w:r>
      <w:r w:rsidR="009330D5">
        <w:rPr>
          <w:rFonts w:ascii="Times New Roman" w:eastAsia="Times New Roman" w:hAnsi="Times New Roman" w:cs="Times New Roman"/>
          <w:sz w:val="24"/>
          <w:szCs w:val="24"/>
          <w:lang w:eastAsia="en-AU"/>
        </w:rPr>
        <w:t xml:space="preserve"> purpose of </w:t>
      </w:r>
      <w:r w:rsidR="003F33CB">
        <w:rPr>
          <w:rFonts w:ascii="Times New Roman" w:eastAsia="Times New Roman" w:hAnsi="Times New Roman" w:cs="Times New Roman"/>
          <w:sz w:val="24"/>
          <w:szCs w:val="24"/>
          <w:lang w:eastAsia="en-AU"/>
        </w:rPr>
        <w:t>the Order</w:t>
      </w:r>
      <w:r w:rsidRPr="008B512D">
        <w:rPr>
          <w:rFonts w:ascii="Times New Roman" w:eastAsia="Times New Roman" w:hAnsi="Times New Roman" w:cs="Times New Roman"/>
          <w:sz w:val="24"/>
          <w:szCs w:val="24"/>
          <w:lang w:eastAsia="en-AU"/>
        </w:rPr>
        <w:t xml:space="preserve"> is to </w:t>
      </w:r>
      <w:r w:rsidR="00B659EA">
        <w:rPr>
          <w:rFonts w:ascii="Times New Roman" w:eastAsia="Times New Roman" w:hAnsi="Times New Roman" w:cs="Times New Roman"/>
          <w:sz w:val="24"/>
          <w:szCs w:val="24"/>
          <w:lang w:eastAsia="en-AU"/>
        </w:rPr>
        <w:t xml:space="preserve">establish a ministerial standard for therapeutic goods that are blood and blood components. The Order </w:t>
      </w:r>
      <w:r w:rsidR="00253C92">
        <w:rPr>
          <w:rFonts w:ascii="Times New Roman" w:eastAsia="Times New Roman" w:hAnsi="Times New Roman" w:cs="Times New Roman"/>
          <w:sz w:val="24"/>
          <w:szCs w:val="24"/>
          <w:lang w:eastAsia="en-AU"/>
        </w:rPr>
        <w:t>specif</w:t>
      </w:r>
      <w:r w:rsidR="00B659EA">
        <w:rPr>
          <w:rFonts w:ascii="Times New Roman" w:eastAsia="Times New Roman" w:hAnsi="Times New Roman" w:cs="Times New Roman"/>
          <w:sz w:val="24"/>
          <w:szCs w:val="24"/>
          <w:lang w:eastAsia="en-AU"/>
        </w:rPr>
        <w:t>ies</w:t>
      </w:r>
      <w:r w:rsidR="00253C92">
        <w:rPr>
          <w:rFonts w:ascii="Times New Roman" w:eastAsia="Times New Roman" w:hAnsi="Times New Roman" w:cs="Times New Roman"/>
          <w:sz w:val="24"/>
          <w:szCs w:val="24"/>
          <w:lang w:eastAsia="en-AU"/>
        </w:rPr>
        <w:t xml:space="preserve"> the minimum requirements for the safety and quality of blood and blood components, other than those that are collected or manufactured in a small number of specified circumstances.</w:t>
      </w:r>
    </w:p>
    <w:p w:rsidR="003F76C4" w:rsidRDefault="003F33CB" w:rsidP="008B512D">
      <w:pPr>
        <w:shd w:val="clear" w:color="auto" w:fill="FFFFFF"/>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Order</w:t>
      </w:r>
      <w:r w:rsidR="00F506E1">
        <w:rPr>
          <w:rFonts w:ascii="Times New Roman" w:eastAsia="Times New Roman" w:hAnsi="Times New Roman" w:cs="Times New Roman"/>
          <w:sz w:val="24"/>
          <w:szCs w:val="24"/>
          <w:lang w:eastAsia="en-AU"/>
        </w:rPr>
        <w:t xml:space="preserve"> </w:t>
      </w:r>
      <w:r w:rsidR="00253C92">
        <w:rPr>
          <w:rFonts w:ascii="Times New Roman" w:eastAsia="Times New Roman" w:hAnsi="Times New Roman" w:cs="Times New Roman"/>
          <w:sz w:val="24"/>
          <w:szCs w:val="24"/>
          <w:lang w:eastAsia="en-AU"/>
        </w:rPr>
        <w:t xml:space="preserve">repeals and </w:t>
      </w:r>
      <w:r w:rsidR="00B659EA">
        <w:rPr>
          <w:rFonts w:ascii="Times New Roman" w:eastAsia="Times New Roman" w:hAnsi="Times New Roman" w:cs="Times New Roman"/>
          <w:sz w:val="24"/>
          <w:szCs w:val="24"/>
          <w:lang w:eastAsia="en-AU"/>
        </w:rPr>
        <w:t>replaces the</w:t>
      </w:r>
      <w:r w:rsidR="008B512D" w:rsidRPr="008B512D">
        <w:rPr>
          <w:rFonts w:ascii="Times New Roman" w:eastAsia="Times New Roman" w:hAnsi="Times New Roman" w:cs="Times New Roman"/>
          <w:sz w:val="24"/>
          <w:szCs w:val="24"/>
          <w:lang w:eastAsia="en-AU"/>
        </w:rPr>
        <w:t xml:space="preserve"> </w:t>
      </w:r>
      <w:r w:rsidR="00B659EA">
        <w:rPr>
          <w:rFonts w:ascii="Times New Roman" w:eastAsia="Times New Roman" w:hAnsi="Times New Roman" w:cs="Times New Roman"/>
          <w:sz w:val="24"/>
          <w:szCs w:val="24"/>
          <w:lang w:eastAsia="en-AU"/>
        </w:rPr>
        <w:t xml:space="preserve">existing </w:t>
      </w:r>
      <w:r w:rsidR="009330D5" w:rsidRPr="0050632B">
        <w:rPr>
          <w:rFonts w:ascii="Times New Roman" w:eastAsia="Times New Roman" w:hAnsi="Times New Roman" w:cs="Times New Roman"/>
          <w:iCs/>
          <w:sz w:val="24"/>
          <w:szCs w:val="24"/>
          <w:lang w:eastAsia="en-AU"/>
        </w:rPr>
        <w:t>Therapeutic Goods Order No</w:t>
      </w:r>
      <w:r w:rsidR="00AD63A1">
        <w:rPr>
          <w:rFonts w:ascii="Times New Roman" w:eastAsia="Times New Roman" w:hAnsi="Times New Roman" w:cs="Times New Roman"/>
          <w:iCs/>
          <w:sz w:val="24"/>
          <w:szCs w:val="24"/>
          <w:lang w:eastAsia="en-AU"/>
        </w:rPr>
        <w:t xml:space="preserve"> </w:t>
      </w:r>
      <w:r w:rsidR="009330D5" w:rsidRPr="0050632B">
        <w:rPr>
          <w:rFonts w:ascii="Times New Roman" w:eastAsia="Times New Roman" w:hAnsi="Times New Roman" w:cs="Times New Roman"/>
          <w:iCs/>
          <w:sz w:val="24"/>
          <w:szCs w:val="24"/>
          <w:lang w:eastAsia="en-AU"/>
        </w:rPr>
        <w:t>81</w:t>
      </w:r>
      <w:r w:rsidR="008B512D" w:rsidRPr="0050632B">
        <w:rPr>
          <w:rFonts w:ascii="Times New Roman" w:eastAsia="Times New Roman" w:hAnsi="Times New Roman" w:cs="Times New Roman"/>
          <w:iCs/>
          <w:sz w:val="24"/>
          <w:szCs w:val="24"/>
          <w:lang w:eastAsia="en-AU"/>
        </w:rPr>
        <w:t xml:space="preserve"> </w:t>
      </w:r>
      <w:r w:rsidR="009330D5" w:rsidRPr="0050632B">
        <w:rPr>
          <w:rFonts w:ascii="Times New Roman" w:eastAsia="Times New Roman" w:hAnsi="Times New Roman" w:cs="Times New Roman"/>
          <w:iCs/>
          <w:sz w:val="24"/>
          <w:szCs w:val="24"/>
          <w:lang w:eastAsia="en-AU"/>
        </w:rPr>
        <w:t xml:space="preserve">Standard for Blood and Blood Components </w:t>
      </w:r>
      <w:r w:rsidR="00B23805">
        <w:rPr>
          <w:rFonts w:ascii="Times New Roman" w:eastAsia="Times New Roman" w:hAnsi="Times New Roman" w:cs="Times New Roman"/>
          <w:iCs/>
          <w:sz w:val="24"/>
          <w:szCs w:val="24"/>
          <w:lang w:eastAsia="en-AU"/>
        </w:rPr>
        <w:t>(</w:t>
      </w:r>
      <w:r w:rsidR="00B659EA">
        <w:rPr>
          <w:rFonts w:ascii="Times New Roman" w:eastAsia="Times New Roman" w:hAnsi="Times New Roman" w:cs="Times New Roman"/>
          <w:iCs/>
          <w:sz w:val="24"/>
          <w:szCs w:val="24"/>
          <w:lang w:eastAsia="en-AU"/>
        </w:rPr>
        <w:t>“the former Order”</w:t>
      </w:r>
      <w:r w:rsidR="00B23805">
        <w:rPr>
          <w:rFonts w:ascii="Times New Roman" w:eastAsia="Times New Roman" w:hAnsi="Times New Roman" w:cs="Times New Roman"/>
          <w:iCs/>
          <w:sz w:val="24"/>
          <w:szCs w:val="24"/>
          <w:lang w:eastAsia="en-AU"/>
        </w:rPr>
        <w:t>)</w:t>
      </w:r>
      <w:r w:rsidR="008B512D" w:rsidRPr="008B512D">
        <w:rPr>
          <w:rFonts w:ascii="Times New Roman" w:eastAsia="Times New Roman" w:hAnsi="Times New Roman" w:cs="Times New Roman"/>
          <w:sz w:val="24"/>
          <w:szCs w:val="24"/>
          <w:lang w:eastAsia="en-AU"/>
        </w:rPr>
        <w:t xml:space="preserve">, which was </w:t>
      </w:r>
      <w:r w:rsidR="00013610">
        <w:rPr>
          <w:rFonts w:ascii="Times New Roman" w:eastAsia="Times New Roman" w:hAnsi="Times New Roman" w:cs="Times New Roman"/>
          <w:sz w:val="24"/>
          <w:szCs w:val="24"/>
          <w:lang w:eastAsia="en-AU"/>
        </w:rPr>
        <w:t xml:space="preserve">made in 2008 and </w:t>
      </w:r>
      <w:r w:rsidR="00253C92">
        <w:rPr>
          <w:rFonts w:ascii="Times New Roman" w:eastAsia="Times New Roman" w:hAnsi="Times New Roman" w:cs="Times New Roman"/>
          <w:sz w:val="24"/>
          <w:szCs w:val="24"/>
          <w:lang w:eastAsia="en-AU"/>
        </w:rPr>
        <w:t xml:space="preserve">due to </w:t>
      </w:r>
      <w:r w:rsidR="003F76C4" w:rsidRPr="003F76C4">
        <w:rPr>
          <w:rFonts w:ascii="Times New Roman" w:eastAsia="Times New Roman" w:hAnsi="Times New Roman" w:cs="Times New Roman"/>
          <w:sz w:val="24"/>
          <w:szCs w:val="24"/>
          <w:lang w:eastAsia="en-AU"/>
        </w:rPr>
        <w:t xml:space="preserve">sunset on </w:t>
      </w:r>
      <w:r w:rsidR="00F843D8">
        <w:rPr>
          <w:rFonts w:ascii="Times New Roman" w:eastAsia="Times New Roman" w:hAnsi="Times New Roman" w:cs="Times New Roman"/>
          <w:sz w:val="24"/>
          <w:szCs w:val="24"/>
          <w:lang w:eastAsia="en-AU"/>
        </w:rPr>
        <w:t>1 April</w:t>
      </w:r>
      <w:r w:rsidR="003F76C4">
        <w:rPr>
          <w:rFonts w:ascii="Times New Roman" w:eastAsia="Times New Roman" w:hAnsi="Times New Roman" w:cs="Times New Roman"/>
          <w:sz w:val="24"/>
          <w:szCs w:val="24"/>
          <w:lang w:eastAsia="en-AU"/>
        </w:rPr>
        <w:t xml:space="preserve"> 2019</w:t>
      </w:r>
      <w:r w:rsidR="003F76C4" w:rsidRPr="003F76C4">
        <w:rPr>
          <w:rFonts w:ascii="Times New Roman" w:eastAsia="Times New Roman" w:hAnsi="Times New Roman" w:cs="Times New Roman"/>
          <w:sz w:val="24"/>
          <w:szCs w:val="24"/>
          <w:lang w:eastAsia="en-AU"/>
        </w:rPr>
        <w:t xml:space="preserve"> under the </w:t>
      </w:r>
      <w:r w:rsidR="00253C92">
        <w:rPr>
          <w:rFonts w:ascii="Times New Roman" w:eastAsia="Times New Roman" w:hAnsi="Times New Roman" w:cs="Times New Roman"/>
          <w:sz w:val="24"/>
          <w:szCs w:val="24"/>
          <w:lang w:eastAsia="en-AU"/>
        </w:rPr>
        <w:t xml:space="preserve">sunsetting </w:t>
      </w:r>
      <w:r w:rsidR="003F76C4" w:rsidRPr="003F76C4">
        <w:rPr>
          <w:rFonts w:ascii="Times New Roman" w:eastAsia="Times New Roman" w:hAnsi="Times New Roman" w:cs="Times New Roman"/>
          <w:sz w:val="24"/>
          <w:szCs w:val="24"/>
          <w:lang w:eastAsia="en-AU"/>
        </w:rPr>
        <w:t xml:space="preserve">provisions of </w:t>
      </w:r>
      <w:r w:rsidR="003F76C4">
        <w:rPr>
          <w:rFonts w:ascii="Times New Roman" w:eastAsia="Times New Roman" w:hAnsi="Times New Roman" w:cs="Times New Roman"/>
          <w:sz w:val="24"/>
          <w:szCs w:val="24"/>
          <w:lang w:eastAsia="en-AU"/>
        </w:rPr>
        <w:t xml:space="preserve">the </w:t>
      </w:r>
      <w:r w:rsidR="003F76C4" w:rsidRPr="00253C92">
        <w:rPr>
          <w:rFonts w:ascii="Times New Roman" w:eastAsia="Times New Roman" w:hAnsi="Times New Roman" w:cs="Times New Roman"/>
          <w:i/>
          <w:sz w:val="24"/>
          <w:szCs w:val="24"/>
          <w:lang w:eastAsia="en-AU"/>
        </w:rPr>
        <w:t>Legislation Act 2003</w:t>
      </w:r>
      <w:r w:rsidR="003F76C4">
        <w:rPr>
          <w:rFonts w:ascii="Times New Roman" w:eastAsia="Times New Roman" w:hAnsi="Times New Roman" w:cs="Times New Roman"/>
          <w:sz w:val="24"/>
          <w:szCs w:val="24"/>
          <w:lang w:eastAsia="en-AU"/>
        </w:rPr>
        <w:t>.</w:t>
      </w:r>
    </w:p>
    <w:p w:rsidR="00F506E1" w:rsidRPr="0050632B" w:rsidRDefault="003F33CB" w:rsidP="0050632B">
      <w:pPr>
        <w:shd w:val="clear" w:color="auto" w:fill="FFFFFF"/>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Order</w:t>
      </w:r>
      <w:r w:rsidR="00F506E1" w:rsidRPr="00A502C0">
        <w:rPr>
          <w:rFonts w:ascii="Times New Roman" w:eastAsia="Times New Roman" w:hAnsi="Times New Roman" w:cs="Times New Roman"/>
          <w:sz w:val="24"/>
          <w:szCs w:val="24"/>
          <w:lang w:eastAsia="en-AU"/>
        </w:rPr>
        <w:t xml:space="preserve"> also makes a minor, </w:t>
      </w:r>
      <w:r w:rsidR="00F506E1" w:rsidRPr="0050632B">
        <w:rPr>
          <w:rFonts w:ascii="Times New Roman" w:eastAsia="Times New Roman" w:hAnsi="Times New Roman" w:cs="Times New Roman"/>
          <w:sz w:val="24"/>
          <w:szCs w:val="24"/>
          <w:lang w:eastAsia="en-AU"/>
        </w:rPr>
        <w:t>consequential amendment to the Therapeutic Goods (Manufacturing Principles) Determination 2018 (</w:t>
      </w:r>
      <w:r w:rsidR="00AD63A1" w:rsidRPr="0050632B">
        <w:rPr>
          <w:rFonts w:ascii="Times New Roman" w:eastAsia="Times New Roman" w:hAnsi="Times New Roman" w:cs="Times New Roman"/>
          <w:sz w:val="24"/>
          <w:szCs w:val="24"/>
          <w:lang w:eastAsia="en-AU"/>
        </w:rPr>
        <w:t>“</w:t>
      </w:r>
      <w:r w:rsidR="00F506E1" w:rsidRPr="0050632B">
        <w:rPr>
          <w:rFonts w:ascii="Times New Roman" w:eastAsia="Times New Roman" w:hAnsi="Times New Roman" w:cs="Times New Roman"/>
          <w:sz w:val="24"/>
          <w:szCs w:val="24"/>
          <w:lang w:eastAsia="en-AU"/>
        </w:rPr>
        <w:t>the Manufacturing Principles</w:t>
      </w:r>
      <w:r w:rsidR="00AD63A1" w:rsidRPr="0050632B">
        <w:rPr>
          <w:rFonts w:ascii="Times New Roman" w:eastAsia="Times New Roman" w:hAnsi="Times New Roman" w:cs="Times New Roman"/>
          <w:sz w:val="24"/>
          <w:szCs w:val="24"/>
          <w:lang w:eastAsia="en-AU"/>
        </w:rPr>
        <w:t>”</w:t>
      </w:r>
      <w:r w:rsidR="00F506E1" w:rsidRPr="0050632B">
        <w:rPr>
          <w:rFonts w:ascii="Times New Roman" w:eastAsia="Times New Roman" w:hAnsi="Times New Roman" w:cs="Times New Roman"/>
          <w:sz w:val="24"/>
          <w:szCs w:val="24"/>
          <w:lang w:eastAsia="en-AU"/>
        </w:rPr>
        <w:t>)</w:t>
      </w:r>
      <w:r w:rsidR="00AD14CD" w:rsidRPr="0050632B">
        <w:rPr>
          <w:rFonts w:ascii="Times New Roman" w:eastAsia="Times New Roman" w:hAnsi="Times New Roman" w:cs="Times New Roman"/>
          <w:sz w:val="24"/>
          <w:szCs w:val="24"/>
          <w:lang w:eastAsia="en-AU"/>
        </w:rPr>
        <w:t>, under section 36 of the Act,</w:t>
      </w:r>
      <w:r w:rsidR="00F506E1" w:rsidRPr="0050632B">
        <w:rPr>
          <w:rFonts w:ascii="Times New Roman" w:eastAsia="Times New Roman" w:hAnsi="Times New Roman" w:cs="Times New Roman"/>
          <w:sz w:val="24"/>
          <w:szCs w:val="24"/>
          <w:lang w:eastAsia="en-AU"/>
        </w:rPr>
        <w:t xml:space="preserve"> to replace a reference to </w:t>
      </w:r>
      <w:r w:rsidR="00B659EA" w:rsidRPr="0050632B">
        <w:rPr>
          <w:rFonts w:ascii="Times New Roman" w:eastAsia="Times New Roman" w:hAnsi="Times New Roman" w:cs="Times New Roman"/>
          <w:sz w:val="24"/>
          <w:szCs w:val="24"/>
          <w:lang w:eastAsia="en-AU"/>
        </w:rPr>
        <w:t>the former Order</w:t>
      </w:r>
      <w:r w:rsidR="00F506E1" w:rsidRPr="0050632B">
        <w:rPr>
          <w:rFonts w:ascii="Times New Roman" w:eastAsia="Times New Roman" w:hAnsi="Times New Roman" w:cs="Times New Roman"/>
          <w:sz w:val="24"/>
          <w:szCs w:val="24"/>
          <w:lang w:eastAsia="en-AU"/>
        </w:rPr>
        <w:t xml:space="preserve"> in that instrument with a reference to </w:t>
      </w:r>
      <w:r w:rsidRPr="0050632B">
        <w:rPr>
          <w:rFonts w:ascii="Times New Roman" w:eastAsia="Times New Roman" w:hAnsi="Times New Roman" w:cs="Times New Roman"/>
          <w:sz w:val="24"/>
          <w:szCs w:val="24"/>
          <w:lang w:eastAsia="en-AU"/>
        </w:rPr>
        <w:t>the Order</w:t>
      </w:r>
      <w:r w:rsidR="00F506E1" w:rsidRPr="0050632B">
        <w:rPr>
          <w:rFonts w:ascii="Times New Roman" w:eastAsia="Times New Roman" w:hAnsi="Times New Roman" w:cs="Times New Roman"/>
          <w:sz w:val="24"/>
          <w:szCs w:val="24"/>
          <w:lang w:eastAsia="en-AU"/>
        </w:rPr>
        <w:t>.</w:t>
      </w:r>
    </w:p>
    <w:p w:rsidR="008B512D" w:rsidRPr="008B512D" w:rsidRDefault="003F33CB" w:rsidP="008B512D">
      <w:pPr>
        <w:shd w:val="clear" w:color="auto" w:fill="FFFFFF"/>
        <w:spacing w:before="100" w:beforeAutospacing="1" w:after="24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The Order</w:t>
      </w:r>
      <w:r w:rsidR="008B512D" w:rsidRPr="008B512D">
        <w:rPr>
          <w:rFonts w:ascii="Times New Roman" w:eastAsia="Times New Roman" w:hAnsi="Times New Roman" w:cs="Times New Roman"/>
          <w:sz w:val="24"/>
          <w:szCs w:val="24"/>
          <w:lang w:eastAsia="en-AU"/>
        </w:rPr>
        <w:t xml:space="preserve"> commences </w:t>
      </w:r>
      <w:r w:rsidR="00D2145C">
        <w:rPr>
          <w:rFonts w:ascii="Times New Roman" w:eastAsia="Times New Roman" w:hAnsi="Times New Roman" w:cs="Times New Roman"/>
          <w:sz w:val="24"/>
          <w:szCs w:val="24"/>
          <w:lang w:eastAsia="en-AU"/>
        </w:rPr>
        <w:t>on 31 March 2019</w:t>
      </w:r>
      <w:r w:rsidR="008B512D" w:rsidRPr="008B512D">
        <w:rPr>
          <w:rFonts w:ascii="Times New Roman" w:eastAsia="Times New Roman" w:hAnsi="Times New Roman" w:cs="Times New Roman"/>
          <w:sz w:val="24"/>
          <w:szCs w:val="24"/>
          <w:lang w:eastAsia="en-AU"/>
        </w:rPr>
        <w:t>.</w:t>
      </w:r>
    </w:p>
    <w:p w:rsidR="008B512D" w:rsidRPr="008B512D" w:rsidRDefault="008B512D" w:rsidP="0050632B">
      <w:pPr>
        <w:keepNext/>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b/>
          <w:bCs/>
          <w:sz w:val="24"/>
          <w:szCs w:val="24"/>
          <w:lang w:eastAsia="en-AU"/>
        </w:rPr>
        <w:t>B</w:t>
      </w:r>
      <w:r w:rsidR="00E268C7" w:rsidRPr="008B512D">
        <w:rPr>
          <w:rFonts w:ascii="Times New Roman" w:eastAsia="Times New Roman" w:hAnsi="Times New Roman" w:cs="Times New Roman"/>
          <w:b/>
          <w:bCs/>
          <w:sz w:val="24"/>
          <w:szCs w:val="24"/>
          <w:lang w:eastAsia="en-AU"/>
        </w:rPr>
        <w:t>ackground</w:t>
      </w:r>
    </w:p>
    <w:p w:rsidR="006624C9" w:rsidRDefault="006624C9" w:rsidP="00F843D8">
      <w:pPr>
        <w:shd w:val="clear" w:color="auto" w:fill="FFFFFF"/>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Australian Government is responsible for regulating the quality, safety and efficacy of therapeutic goods.  This is principally achieved by specifying ministerial standards for the </w:t>
      </w:r>
      <w:r>
        <w:rPr>
          <w:rFonts w:ascii="Times New Roman" w:eastAsia="Times New Roman" w:hAnsi="Times New Roman" w:cs="Times New Roman"/>
          <w:sz w:val="24"/>
          <w:szCs w:val="24"/>
          <w:lang w:eastAsia="en-AU"/>
        </w:rPr>
        <w:lastRenderedPageBreak/>
        <w:t>manufacture of those products, and otherwise applying default standards specified in international pharmacopoeias.</w:t>
      </w:r>
    </w:p>
    <w:p w:rsidR="00F843D8" w:rsidRPr="00F843D8" w:rsidRDefault="003F33CB" w:rsidP="00F843D8">
      <w:pPr>
        <w:shd w:val="clear" w:color="auto" w:fill="FFFFFF"/>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Order</w:t>
      </w:r>
      <w:r w:rsidR="00F843D8">
        <w:rPr>
          <w:rFonts w:ascii="Times New Roman" w:eastAsia="Times New Roman" w:hAnsi="Times New Roman" w:cs="Times New Roman"/>
          <w:sz w:val="24"/>
          <w:szCs w:val="24"/>
          <w:lang w:eastAsia="en-AU"/>
        </w:rPr>
        <w:t xml:space="preserve"> </w:t>
      </w:r>
      <w:r w:rsidR="005E78A7">
        <w:rPr>
          <w:rFonts w:ascii="Times New Roman" w:eastAsia="Times New Roman" w:hAnsi="Times New Roman" w:cs="Times New Roman"/>
          <w:sz w:val="24"/>
          <w:szCs w:val="24"/>
          <w:lang w:eastAsia="en-AU"/>
        </w:rPr>
        <w:t>specifies</w:t>
      </w:r>
      <w:r w:rsidR="009E6126">
        <w:rPr>
          <w:rFonts w:ascii="Times New Roman" w:eastAsia="Times New Roman" w:hAnsi="Times New Roman" w:cs="Times New Roman"/>
          <w:sz w:val="24"/>
          <w:szCs w:val="24"/>
          <w:lang w:eastAsia="en-AU"/>
        </w:rPr>
        <w:t xml:space="preserve"> critical </w:t>
      </w:r>
      <w:r w:rsidR="005E78A7">
        <w:rPr>
          <w:rFonts w:ascii="Times New Roman" w:eastAsia="Times New Roman" w:hAnsi="Times New Roman" w:cs="Times New Roman"/>
          <w:sz w:val="24"/>
          <w:szCs w:val="24"/>
          <w:lang w:eastAsia="en-AU"/>
        </w:rPr>
        <w:t xml:space="preserve">minimum benchmark requirements in relation to safety and quality for </w:t>
      </w:r>
      <w:r w:rsidR="00F843D8" w:rsidRPr="00F843D8">
        <w:rPr>
          <w:rFonts w:ascii="Times New Roman" w:eastAsia="Times New Roman" w:hAnsi="Times New Roman" w:cs="Times New Roman"/>
          <w:sz w:val="24"/>
          <w:szCs w:val="24"/>
          <w:lang w:eastAsia="en-AU"/>
        </w:rPr>
        <w:t>therapeutic goods that are blood and blood components</w:t>
      </w:r>
      <w:r w:rsidR="005E78A7">
        <w:rPr>
          <w:rFonts w:ascii="Times New Roman" w:eastAsia="Times New Roman" w:hAnsi="Times New Roman" w:cs="Times New Roman"/>
          <w:sz w:val="24"/>
          <w:szCs w:val="24"/>
          <w:lang w:eastAsia="en-AU"/>
        </w:rPr>
        <w:t xml:space="preserve">. Blood is defined in </w:t>
      </w:r>
      <w:r>
        <w:rPr>
          <w:rFonts w:ascii="Times New Roman" w:eastAsia="Times New Roman" w:hAnsi="Times New Roman" w:cs="Times New Roman"/>
          <w:sz w:val="24"/>
          <w:szCs w:val="24"/>
          <w:lang w:eastAsia="en-AU"/>
        </w:rPr>
        <w:t>the Order</w:t>
      </w:r>
      <w:r w:rsidR="005E78A7">
        <w:rPr>
          <w:rFonts w:ascii="Times New Roman" w:eastAsia="Times New Roman" w:hAnsi="Times New Roman" w:cs="Times New Roman"/>
          <w:sz w:val="24"/>
          <w:szCs w:val="24"/>
          <w:lang w:eastAsia="en-AU"/>
        </w:rPr>
        <w:t xml:space="preserve"> as whole blood collected from a single human donor that is processed either for transfusion or further manufacturing. Blood components are defined in </w:t>
      </w:r>
      <w:r>
        <w:rPr>
          <w:rFonts w:ascii="Times New Roman" w:eastAsia="Times New Roman" w:hAnsi="Times New Roman" w:cs="Times New Roman"/>
          <w:sz w:val="24"/>
          <w:szCs w:val="24"/>
          <w:lang w:eastAsia="en-AU"/>
        </w:rPr>
        <w:t>the Order</w:t>
      </w:r>
      <w:r w:rsidR="005E78A7">
        <w:rPr>
          <w:rFonts w:ascii="Times New Roman" w:eastAsia="Times New Roman" w:hAnsi="Times New Roman" w:cs="Times New Roman"/>
          <w:sz w:val="24"/>
          <w:szCs w:val="24"/>
          <w:lang w:eastAsia="en-AU"/>
        </w:rPr>
        <w:t xml:space="preserve"> as specified components of blood (red cells, white cells, platelets or plasma) that can be prepared by centrifugation, filtration or freezing using conventional methodologies in blood establishment. </w:t>
      </w:r>
      <w:r w:rsidR="00F843D8">
        <w:rPr>
          <w:rFonts w:ascii="Times New Roman" w:eastAsia="Times New Roman" w:hAnsi="Times New Roman" w:cs="Times New Roman"/>
          <w:sz w:val="24"/>
          <w:szCs w:val="24"/>
          <w:lang w:eastAsia="en-AU"/>
        </w:rPr>
        <w:t xml:space="preserve"> </w:t>
      </w:r>
      <w:r w:rsidR="0069318D">
        <w:rPr>
          <w:rFonts w:ascii="Times New Roman" w:eastAsia="Times New Roman" w:hAnsi="Times New Roman" w:cs="Times New Roman"/>
          <w:sz w:val="24"/>
          <w:szCs w:val="24"/>
          <w:lang w:eastAsia="en-AU"/>
        </w:rPr>
        <w:t xml:space="preserve">However, </w:t>
      </w:r>
      <w:r>
        <w:rPr>
          <w:rFonts w:ascii="Times New Roman" w:eastAsia="Times New Roman" w:hAnsi="Times New Roman" w:cs="Times New Roman"/>
          <w:sz w:val="24"/>
          <w:szCs w:val="24"/>
          <w:lang w:eastAsia="en-AU"/>
        </w:rPr>
        <w:t>the Order</w:t>
      </w:r>
      <w:r w:rsidR="0069318D">
        <w:rPr>
          <w:rFonts w:ascii="Times New Roman" w:eastAsia="Times New Roman" w:hAnsi="Times New Roman" w:cs="Times New Roman"/>
          <w:sz w:val="24"/>
          <w:szCs w:val="24"/>
          <w:lang w:eastAsia="en-AU"/>
        </w:rPr>
        <w:t xml:space="preserve"> makes it clear that the term </w:t>
      </w:r>
      <w:r w:rsidR="00A502C0">
        <w:rPr>
          <w:rFonts w:ascii="Times New Roman" w:eastAsia="Times New Roman" w:hAnsi="Times New Roman" w:cs="Times New Roman"/>
          <w:sz w:val="24"/>
          <w:szCs w:val="24"/>
          <w:lang w:eastAsia="en-AU"/>
        </w:rPr>
        <w:t>‘</w:t>
      </w:r>
      <w:r w:rsidR="0069318D">
        <w:rPr>
          <w:rFonts w:ascii="Times New Roman" w:eastAsia="Times New Roman" w:hAnsi="Times New Roman" w:cs="Times New Roman"/>
          <w:sz w:val="24"/>
          <w:szCs w:val="24"/>
          <w:lang w:eastAsia="en-AU"/>
        </w:rPr>
        <w:t>blood components</w:t>
      </w:r>
      <w:r w:rsidR="00A502C0">
        <w:rPr>
          <w:rFonts w:ascii="Times New Roman" w:eastAsia="Times New Roman" w:hAnsi="Times New Roman" w:cs="Times New Roman"/>
          <w:sz w:val="24"/>
          <w:szCs w:val="24"/>
          <w:lang w:eastAsia="en-AU"/>
        </w:rPr>
        <w:t>’</w:t>
      </w:r>
      <w:r w:rsidR="00F843D8">
        <w:rPr>
          <w:rFonts w:ascii="Times New Roman" w:eastAsia="Times New Roman" w:hAnsi="Times New Roman" w:cs="Times New Roman"/>
          <w:sz w:val="24"/>
          <w:szCs w:val="24"/>
          <w:lang w:eastAsia="en-AU"/>
        </w:rPr>
        <w:t xml:space="preserve"> does not </w:t>
      </w:r>
      <w:r w:rsidR="0069318D">
        <w:rPr>
          <w:rFonts w:ascii="Times New Roman" w:eastAsia="Times New Roman" w:hAnsi="Times New Roman" w:cs="Times New Roman"/>
          <w:sz w:val="24"/>
          <w:szCs w:val="24"/>
          <w:lang w:eastAsia="en-AU"/>
        </w:rPr>
        <w:t>include</w:t>
      </w:r>
      <w:r w:rsidR="00F843D8">
        <w:rPr>
          <w:rFonts w:ascii="Times New Roman" w:eastAsia="Times New Roman" w:hAnsi="Times New Roman" w:cs="Times New Roman"/>
          <w:sz w:val="24"/>
          <w:szCs w:val="24"/>
          <w:lang w:eastAsia="en-AU"/>
        </w:rPr>
        <w:t xml:space="preserve"> haematopo</w:t>
      </w:r>
      <w:r w:rsidR="0069318D">
        <w:rPr>
          <w:rFonts w:ascii="Times New Roman" w:eastAsia="Times New Roman" w:hAnsi="Times New Roman" w:cs="Times New Roman"/>
          <w:sz w:val="24"/>
          <w:szCs w:val="24"/>
          <w:lang w:eastAsia="en-AU"/>
        </w:rPr>
        <w:t>i</w:t>
      </w:r>
      <w:r w:rsidR="00F843D8">
        <w:rPr>
          <w:rFonts w:ascii="Times New Roman" w:eastAsia="Times New Roman" w:hAnsi="Times New Roman" w:cs="Times New Roman"/>
          <w:sz w:val="24"/>
          <w:szCs w:val="24"/>
          <w:lang w:eastAsia="en-AU"/>
        </w:rPr>
        <w:t xml:space="preserve">etic progenitor cells. </w:t>
      </w:r>
    </w:p>
    <w:p w:rsidR="008B512D" w:rsidRDefault="00F843D8" w:rsidP="008B512D">
      <w:pPr>
        <w:shd w:val="clear" w:color="auto" w:fill="FFFFFF"/>
        <w:spacing w:before="100" w:beforeAutospacing="1" w:after="240" w:line="240" w:lineRule="auto"/>
        <w:rPr>
          <w:sz w:val="18"/>
          <w:szCs w:val="18"/>
          <w:lang w:val="en"/>
        </w:rPr>
      </w:pPr>
      <w:r>
        <w:rPr>
          <w:rFonts w:ascii="Times New Roman" w:eastAsia="Times New Roman" w:hAnsi="Times New Roman" w:cs="Times New Roman"/>
          <w:sz w:val="24"/>
          <w:szCs w:val="24"/>
          <w:lang w:eastAsia="en-AU"/>
        </w:rPr>
        <w:t>T</w:t>
      </w:r>
      <w:r w:rsidR="003F33CB">
        <w:rPr>
          <w:rFonts w:ascii="Times New Roman" w:eastAsia="Times New Roman" w:hAnsi="Times New Roman" w:cs="Times New Roman"/>
          <w:sz w:val="24"/>
          <w:szCs w:val="24"/>
          <w:lang w:eastAsia="en-AU"/>
        </w:rPr>
        <w:t>he Order</w:t>
      </w:r>
      <w:r>
        <w:rPr>
          <w:rFonts w:ascii="Times New Roman" w:eastAsia="Times New Roman" w:hAnsi="Times New Roman" w:cs="Times New Roman"/>
          <w:sz w:val="24"/>
          <w:szCs w:val="24"/>
          <w:lang w:eastAsia="en-AU"/>
        </w:rPr>
        <w:t xml:space="preserve"> </w:t>
      </w:r>
      <w:r w:rsidR="0069318D">
        <w:rPr>
          <w:rFonts w:ascii="Times New Roman" w:eastAsia="Times New Roman" w:hAnsi="Times New Roman" w:cs="Times New Roman"/>
          <w:sz w:val="24"/>
          <w:szCs w:val="24"/>
          <w:lang w:eastAsia="en-AU"/>
        </w:rPr>
        <w:t>principally requir</w:t>
      </w:r>
      <w:r w:rsidR="00013610">
        <w:rPr>
          <w:rFonts w:ascii="Times New Roman" w:eastAsia="Times New Roman" w:hAnsi="Times New Roman" w:cs="Times New Roman"/>
          <w:sz w:val="24"/>
          <w:szCs w:val="24"/>
          <w:lang w:eastAsia="en-AU"/>
        </w:rPr>
        <w:t>es</w:t>
      </w:r>
      <w:r w:rsidR="0069318D">
        <w:rPr>
          <w:rFonts w:ascii="Times New Roman" w:eastAsia="Times New Roman" w:hAnsi="Times New Roman" w:cs="Times New Roman"/>
          <w:sz w:val="24"/>
          <w:szCs w:val="24"/>
          <w:lang w:eastAsia="en-AU"/>
        </w:rPr>
        <w:t xml:space="preserve"> that blood and blood components to which it applies comply with </w:t>
      </w:r>
      <w:r>
        <w:rPr>
          <w:rFonts w:ascii="Times New Roman" w:eastAsia="Times New Roman" w:hAnsi="Times New Roman" w:cs="Times New Roman"/>
          <w:sz w:val="24"/>
          <w:szCs w:val="24"/>
          <w:lang w:eastAsia="en-AU"/>
        </w:rPr>
        <w:t xml:space="preserve">the requirements specified </w:t>
      </w:r>
      <w:r w:rsidR="00ED0419">
        <w:rPr>
          <w:rFonts w:ascii="Times New Roman" w:eastAsia="Times New Roman" w:hAnsi="Times New Roman" w:cs="Times New Roman"/>
          <w:sz w:val="24"/>
          <w:szCs w:val="24"/>
          <w:lang w:eastAsia="en-AU"/>
        </w:rPr>
        <w:t xml:space="preserve">for such products </w:t>
      </w:r>
      <w:r>
        <w:rPr>
          <w:rFonts w:ascii="Times New Roman" w:eastAsia="Times New Roman" w:hAnsi="Times New Roman" w:cs="Times New Roman"/>
          <w:sz w:val="24"/>
          <w:szCs w:val="24"/>
          <w:lang w:eastAsia="en-AU"/>
        </w:rPr>
        <w:t xml:space="preserve">in the </w:t>
      </w:r>
      <w:r w:rsidRPr="00F843D8">
        <w:rPr>
          <w:rFonts w:ascii="Times New Roman" w:eastAsia="Times New Roman" w:hAnsi="Times New Roman" w:cs="Times New Roman"/>
          <w:i/>
          <w:sz w:val="24"/>
          <w:szCs w:val="24"/>
          <w:lang w:val="en" w:eastAsia="en-AU"/>
        </w:rPr>
        <w:t>Guide to the preparation, use and quality assurance of blood components</w:t>
      </w:r>
      <w:r w:rsidRPr="00F843D8">
        <w:rPr>
          <w:rFonts w:ascii="Times New Roman" w:eastAsia="Times New Roman" w:hAnsi="Times New Roman" w:cs="Times New Roman"/>
          <w:sz w:val="24"/>
          <w:szCs w:val="24"/>
          <w:lang w:val="en" w:eastAsia="en-AU"/>
        </w:rPr>
        <w:t>, 19</w:t>
      </w:r>
      <w:r w:rsidRPr="00F843D8">
        <w:rPr>
          <w:rFonts w:ascii="Times New Roman" w:eastAsia="Times New Roman" w:hAnsi="Times New Roman" w:cs="Times New Roman"/>
          <w:sz w:val="24"/>
          <w:szCs w:val="24"/>
          <w:vertAlign w:val="superscript"/>
          <w:lang w:val="en" w:eastAsia="en-AU"/>
        </w:rPr>
        <w:t>th</w:t>
      </w:r>
      <w:r w:rsidRPr="00F843D8">
        <w:rPr>
          <w:rFonts w:ascii="Times New Roman" w:eastAsia="Times New Roman" w:hAnsi="Times New Roman" w:cs="Times New Roman"/>
          <w:sz w:val="24"/>
          <w:szCs w:val="24"/>
          <w:lang w:val="en" w:eastAsia="en-AU"/>
        </w:rPr>
        <w:t xml:space="preserve"> edition, 2017, published by the Council of Europe and as </w:t>
      </w:r>
      <w:r w:rsidR="00013610">
        <w:rPr>
          <w:rFonts w:ascii="Times New Roman" w:eastAsia="Times New Roman" w:hAnsi="Times New Roman" w:cs="Times New Roman"/>
          <w:sz w:val="24"/>
          <w:szCs w:val="24"/>
          <w:lang w:val="en" w:eastAsia="en-AU"/>
        </w:rPr>
        <w:t xml:space="preserve">in force or </w:t>
      </w:r>
      <w:r w:rsidRPr="00F843D8">
        <w:rPr>
          <w:rFonts w:ascii="Times New Roman" w:eastAsia="Times New Roman" w:hAnsi="Times New Roman" w:cs="Times New Roman"/>
          <w:sz w:val="24"/>
          <w:szCs w:val="24"/>
          <w:lang w:val="en" w:eastAsia="en-AU"/>
        </w:rPr>
        <w:t xml:space="preserve">existing </w:t>
      </w:r>
      <w:r w:rsidR="00013610">
        <w:rPr>
          <w:rFonts w:ascii="Times New Roman" w:eastAsia="Times New Roman" w:hAnsi="Times New Roman" w:cs="Times New Roman"/>
          <w:sz w:val="24"/>
          <w:szCs w:val="24"/>
          <w:lang w:val="en" w:eastAsia="en-AU"/>
        </w:rPr>
        <w:t>immediately before the commencement of the Order</w:t>
      </w:r>
      <w:r w:rsidR="00520CE4">
        <w:rPr>
          <w:rFonts w:ascii="Times New Roman" w:eastAsia="Times New Roman" w:hAnsi="Times New Roman" w:cs="Times New Roman"/>
          <w:sz w:val="24"/>
          <w:szCs w:val="24"/>
          <w:lang w:val="en" w:eastAsia="en-AU"/>
        </w:rPr>
        <w:t xml:space="preserve"> (</w:t>
      </w:r>
      <w:r w:rsidR="00EF1E6A">
        <w:rPr>
          <w:rFonts w:ascii="Times New Roman" w:eastAsia="Times New Roman" w:hAnsi="Times New Roman" w:cs="Times New Roman"/>
          <w:sz w:val="24"/>
          <w:szCs w:val="24"/>
          <w:lang w:val="en" w:eastAsia="en-AU"/>
        </w:rPr>
        <w:t>“</w:t>
      </w:r>
      <w:r w:rsidR="00520CE4">
        <w:rPr>
          <w:rFonts w:ascii="Times New Roman" w:eastAsia="Times New Roman" w:hAnsi="Times New Roman" w:cs="Times New Roman"/>
          <w:sz w:val="24"/>
          <w:szCs w:val="24"/>
          <w:lang w:val="en" w:eastAsia="en-AU"/>
        </w:rPr>
        <w:t>the Guide</w:t>
      </w:r>
      <w:r w:rsidR="00EF1E6A">
        <w:rPr>
          <w:rFonts w:ascii="Times New Roman" w:eastAsia="Times New Roman" w:hAnsi="Times New Roman" w:cs="Times New Roman"/>
          <w:sz w:val="24"/>
          <w:szCs w:val="24"/>
          <w:lang w:val="en" w:eastAsia="en-AU"/>
        </w:rPr>
        <w:t>”</w:t>
      </w:r>
      <w:r w:rsidR="00520CE4">
        <w:rPr>
          <w:rFonts w:ascii="Times New Roman" w:eastAsia="Times New Roman" w:hAnsi="Times New Roman" w:cs="Times New Roman"/>
          <w:sz w:val="24"/>
          <w:szCs w:val="24"/>
          <w:lang w:val="en" w:eastAsia="en-AU"/>
        </w:rPr>
        <w:t>)</w:t>
      </w:r>
      <w:r w:rsidR="00084F0C">
        <w:rPr>
          <w:rFonts w:ascii="Times New Roman" w:eastAsia="Times New Roman" w:hAnsi="Times New Roman" w:cs="Times New Roman"/>
          <w:sz w:val="24"/>
          <w:szCs w:val="24"/>
          <w:lang w:val="en" w:eastAsia="en-AU"/>
        </w:rPr>
        <w:t>,</w:t>
      </w:r>
      <w:r w:rsidR="0071260C">
        <w:rPr>
          <w:rFonts w:ascii="Times New Roman" w:eastAsia="Times New Roman" w:hAnsi="Times New Roman" w:cs="Times New Roman"/>
          <w:sz w:val="24"/>
          <w:szCs w:val="24"/>
          <w:lang w:val="en" w:eastAsia="en-AU"/>
        </w:rPr>
        <w:t xml:space="preserve"> with the proviso, noted in subsection </w:t>
      </w:r>
      <w:r w:rsidR="00AD63A1">
        <w:rPr>
          <w:rFonts w:ascii="Times New Roman" w:eastAsia="Times New Roman" w:hAnsi="Times New Roman" w:cs="Times New Roman"/>
          <w:sz w:val="24"/>
          <w:szCs w:val="24"/>
          <w:lang w:val="en" w:eastAsia="en-AU"/>
        </w:rPr>
        <w:t>7</w:t>
      </w:r>
      <w:r w:rsidR="0071260C">
        <w:rPr>
          <w:rFonts w:ascii="Times New Roman" w:eastAsia="Times New Roman" w:hAnsi="Times New Roman" w:cs="Times New Roman"/>
          <w:sz w:val="24"/>
          <w:szCs w:val="24"/>
          <w:lang w:val="en" w:eastAsia="en-AU"/>
        </w:rPr>
        <w:t>(2), that</w:t>
      </w:r>
      <w:r w:rsidR="00AD14CD">
        <w:rPr>
          <w:rFonts w:ascii="Times New Roman" w:eastAsia="Times New Roman" w:hAnsi="Times New Roman" w:cs="Times New Roman"/>
          <w:sz w:val="24"/>
          <w:szCs w:val="24"/>
          <w:lang w:val="en" w:eastAsia="en-AU"/>
        </w:rPr>
        <w:t xml:space="preserve"> the</w:t>
      </w:r>
      <w:r w:rsidR="0071260C">
        <w:rPr>
          <w:rFonts w:ascii="Times New Roman" w:eastAsia="Times New Roman" w:hAnsi="Times New Roman" w:cs="Times New Roman"/>
          <w:sz w:val="24"/>
          <w:szCs w:val="24"/>
          <w:lang w:val="en" w:eastAsia="en-AU"/>
        </w:rPr>
        <w:t xml:space="preserve"> reference to ‘tropical areas’ in the Guide </w:t>
      </w:r>
      <w:r w:rsidR="00AD14CD">
        <w:rPr>
          <w:rFonts w:ascii="Times New Roman" w:eastAsia="Times New Roman" w:hAnsi="Times New Roman" w:cs="Times New Roman"/>
          <w:sz w:val="24"/>
          <w:szCs w:val="24"/>
          <w:lang w:val="en" w:eastAsia="en-AU"/>
        </w:rPr>
        <w:t xml:space="preserve">that relates to the deferral period for the condition </w:t>
      </w:r>
      <w:r w:rsidR="00AD14CD" w:rsidRPr="00AD14CD">
        <w:rPr>
          <w:rFonts w:ascii="Times New Roman" w:eastAsia="Times New Roman" w:hAnsi="Times New Roman" w:cs="Times New Roman"/>
          <w:i/>
          <w:sz w:val="24"/>
          <w:szCs w:val="24"/>
          <w:lang w:val="en" w:eastAsia="en-AU"/>
        </w:rPr>
        <w:t>Tropical infections</w:t>
      </w:r>
      <w:r w:rsidR="00AD14CD">
        <w:rPr>
          <w:rFonts w:ascii="Times New Roman" w:eastAsia="Times New Roman" w:hAnsi="Times New Roman" w:cs="Times New Roman"/>
          <w:sz w:val="24"/>
          <w:szCs w:val="24"/>
          <w:lang w:val="en" w:eastAsia="en-AU"/>
        </w:rPr>
        <w:t xml:space="preserve"> in Table 2.2 </w:t>
      </w:r>
      <w:r w:rsidR="00AD14CD" w:rsidRPr="00AD14CD">
        <w:rPr>
          <w:rFonts w:ascii="Times New Roman" w:eastAsia="Times New Roman" w:hAnsi="Times New Roman" w:cs="Times New Roman"/>
          <w:i/>
          <w:sz w:val="24"/>
          <w:szCs w:val="24"/>
          <w:lang w:val="en" w:eastAsia="en-AU"/>
        </w:rPr>
        <w:t>Conditions leading to temporary deferral (suspension)</w:t>
      </w:r>
      <w:r w:rsidR="00AD14CD">
        <w:rPr>
          <w:rFonts w:ascii="Times New Roman" w:eastAsia="Times New Roman" w:hAnsi="Times New Roman" w:cs="Times New Roman"/>
          <w:sz w:val="24"/>
          <w:szCs w:val="24"/>
          <w:lang w:val="en" w:eastAsia="en-AU"/>
        </w:rPr>
        <w:t xml:space="preserve"> </w:t>
      </w:r>
      <w:r w:rsidR="00084F0C">
        <w:rPr>
          <w:rFonts w:ascii="Times New Roman" w:eastAsia="Times New Roman" w:hAnsi="Times New Roman" w:cs="Times New Roman"/>
          <w:sz w:val="24"/>
          <w:szCs w:val="24"/>
          <w:lang w:val="en" w:eastAsia="en-AU"/>
        </w:rPr>
        <w:t xml:space="preserve">on page 253 of the Guide </w:t>
      </w:r>
      <w:r w:rsidR="0071260C">
        <w:rPr>
          <w:rFonts w:ascii="Times New Roman" w:eastAsia="Times New Roman" w:hAnsi="Times New Roman" w:cs="Times New Roman"/>
          <w:sz w:val="24"/>
          <w:szCs w:val="24"/>
          <w:lang w:val="en" w:eastAsia="en-AU"/>
        </w:rPr>
        <w:t xml:space="preserve">are to be taken to </w:t>
      </w:r>
      <w:r w:rsidR="00084F0C">
        <w:rPr>
          <w:rFonts w:ascii="Times New Roman" w:eastAsia="Times New Roman" w:hAnsi="Times New Roman" w:cs="Times New Roman"/>
          <w:sz w:val="24"/>
          <w:szCs w:val="24"/>
          <w:lang w:val="en" w:eastAsia="en-AU"/>
        </w:rPr>
        <w:t xml:space="preserve">not </w:t>
      </w:r>
      <w:r w:rsidR="0071260C">
        <w:rPr>
          <w:rFonts w:ascii="Times New Roman" w:eastAsia="Times New Roman" w:hAnsi="Times New Roman" w:cs="Times New Roman"/>
          <w:sz w:val="24"/>
          <w:szCs w:val="24"/>
          <w:lang w:val="en" w:eastAsia="en-AU"/>
        </w:rPr>
        <w:t>include areas within Australia</w:t>
      </w:r>
      <w:r w:rsidR="008B512D" w:rsidRPr="008B512D">
        <w:rPr>
          <w:rFonts w:ascii="Times New Roman" w:eastAsia="Times New Roman" w:hAnsi="Times New Roman" w:cs="Times New Roman"/>
          <w:sz w:val="24"/>
          <w:szCs w:val="24"/>
          <w:lang w:eastAsia="en-AU"/>
        </w:rPr>
        <w:t xml:space="preserve">. </w:t>
      </w:r>
      <w:r w:rsidR="00ED0419">
        <w:rPr>
          <w:rFonts w:ascii="Times New Roman" w:eastAsia="Times New Roman" w:hAnsi="Times New Roman" w:cs="Times New Roman"/>
          <w:sz w:val="24"/>
          <w:szCs w:val="24"/>
          <w:lang w:eastAsia="en-AU"/>
        </w:rPr>
        <w:t xml:space="preserve">The Guide can be found (and is freely available) on the internet at </w:t>
      </w:r>
      <w:hyperlink r:id="rId9" w:history="1">
        <w:r w:rsidR="00ED0419" w:rsidRPr="00ED0419">
          <w:rPr>
            <w:rStyle w:val="Hyperlink"/>
            <w:rFonts w:ascii="Times New Roman" w:hAnsi="Times New Roman" w:cs="Times New Roman"/>
            <w:sz w:val="24"/>
            <w:szCs w:val="24"/>
            <w:lang w:val="en"/>
          </w:rPr>
          <w:t>https://www.edqm.eu/en/blood-transfusion-guide</w:t>
        </w:r>
      </w:hyperlink>
      <w:r w:rsidR="00ED0419">
        <w:rPr>
          <w:rFonts w:ascii="Times New Roman" w:hAnsi="Times New Roman" w:cs="Times New Roman"/>
          <w:sz w:val="24"/>
          <w:szCs w:val="24"/>
          <w:lang w:val="en"/>
        </w:rPr>
        <w:t>.</w:t>
      </w:r>
      <w:r w:rsidR="00ED0419">
        <w:rPr>
          <w:sz w:val="18"/>
          <w:szCs w:val="18"/>
          <w:lang w:val="en"/>
        </w:rPr>
        <w:t xml:space="preserve"> </w:t>
      </w:r>
    </w:p>
    <w:p w:rsidR="00B40AC9" w:rsidRDefault="00ED0419" w:rsidP="008B512D">
      <w:pPr>
        <w:shd w:val="clear" w:color="auto" w:fill="FFFFFF"/>
        <w:spacing w:before="100" w:beforeAutospacing="1" w:after="240" w:line="240" w:lineRule="auto"/>
        <w:rPr>
          <w:rFonts w:ascii="Times New Roman" w:hAnsi="Times New Roman" w:cs="Times New Roman"/>
          <w:sz w:val="24"/>
          <w:szCs w:val="24"/>
          <w:lang w:val="en"/>
        </w:rPr>
      </w:pPr>
      <w:r w:rsidRPr="00501389">
        <w:rPr>
          <w:rFonts w:ascii="Times New Roman" w:hAnsi="Times New Roman" w:cs="Times New Roman"/>
          <w:sz w:val="24"/>
          <w:szCs w:val="24"/>
          <w:lang w:val="en"/>
        </w:rPr>
        <w:t>The Guide</w:t>
      </w:r>
      <w:r w:rsidR="00B40AC9">
        <w:rPr>
          <w:rFonts w:ascii="Times New Roman" w:hAnsi="Times New Roman" w:cs="Times New Roman"/>
          <w:sz w:val="24"/>
          <w:szCs w:val="24"/>
          <w:lang w:val="en"/>
        </w:rPr>
        <w:t xml:space="preserve"> represents a compendium of requirements that are</w:t>
      </w:r>
      <w:r w:rsidR="00B40AC9" w:rsidRPr="00B40AC9">
        <w:rPr>
          <w:rFonts w:ascii="Times New Roman" w:hAnsi="Times New Roman" w:cs="Times New Roman"/>
          <w:sz w:val="24"/>
          <w:szCs w:val="24"/>
        </w:rPr>
        <w:t xml:space="preserve"> harmonised</w:t>
      </w:r>
      <w:r w:rsidR="00B40AC9">
        <w:rPr>
          <w:rFonts w:ascii="Times New Roman" w:hAnsi="Times New Roman" w:cs="Times New Roman"/>
          <w:sz w:val="24"/>
          <w:szCs w:val="24"/>
          <w:lang w:val="en"/>
        </w:rPr>
        <w:t xml:space="preserve"> across the Council of Europe member states and that are designed to ensure the quality of blood components used in transfusion. It contains standards and recommendations on blood collection, preparation and use of blood and its components, and elements of quality management for blood establishments and hospital blood banks. It represents the basis for the establishment of national regulations for such states, and certain European Directives.</w:t>
      </w:r>
    </w:p>
    <w:p w:rsidR="004727E5" w:rsidRDefault="004727E5" w:rsidP="008B512D">
      <w:pPr>
        <w:shd w:val="clear" w:color="auto" w:fill="FFFFFF"/>
        <w:spacing w:before="100" w:beforeAutospacing="1" w:after="24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The principal difference between the </w:t>
      </w:r>
      <w:r w:rsidR="00996CBD">
        <w:rPr>
          <w:rFonts w:ascii="Times New Roman" w:hAnsi="Times New Roman" w:cs="Times New Roman"/>
          <w:sz w:val="24"/>
          <w:szCs w:val="24"/>
          <w:lang w:val="en"/>
        </w:rPr>
        <w:t>Order</w:t>
      </w:r>
      <w:r>
        <w:rPr>
          <w:rFonts w:ascii="Times New Roman" w:hAnsi="Times New Roman" w:cs="Times New Roman"/>
          <w:sz w:val="24"/>
          <w:szCs w:val="24"/>
          <w:lang w:val="en"/>
        </w:rPr>
        <w:t xml:space="preserve"> and </w:t>
      </w:r>
      <w:r w:rsidR="003F33CB">
        <w:rPr>
          <w:rFonts w:ascii="Times New Roman" w:hAnsi="Times New Roman" w:cs="Times New Roman"/>
          <w:sz w:val="24"/>
          <w:szCs w:val="24"/>
          <w:lang w:val="en"/>
        </w:rPr>
        <w:t xml:space="preserve">the </w:t>
      </w:r>
      <w:r w:rsidR="00996CBD">
        <w:rPr>
          <w:rFonts w:ascii="Times New Roman" w:hAnsi="Times New Roman" w:cs="Times New Roman"/>
          <w:sz w:val="24"/>
          <w:szCs w:val="24"/>
          <w:lang w:val="en"/>
        </w:rPr>
        <w:t xml:space="preserve">former </w:t>
      </w:r>
      <w:r w:rsidR="003F33CB">
        <w:rPr>
          <w:rFonts w:ascii="Times New Roman" w:hAnsi="Times New Roman" w:cs="Times New Roman"/>
          <w:sz w:val="24"/>
          <w:szCs w:val="24"/>
          <w:lang w:val="en"/>
        </w:rPr>
        <w:t>Order</w:t>
      </w:r>
      <w:r>
        <w:rPr>
          <w:rFonts w:ascii="Times New Roman" w:hAnsi="Times New Roman" w:cs="Times New Roman"/>
          <w:sz w:val="24"/>
          <w:szCs w:val="24"/>
          <w:lang w:val="en"/>
        </w:rPr>
        <w:t xml:space="preserve"> is the update from the 14</w:t>
      </w:r>
      <w:r w:rsidRPr="004727E5">
        <w:rPr>
          <w:rFonts w:ascii="Times New Roman" w:hAnsi="Times New Roman" w:cs="Times New Roman"/>
          <w:sz w:val="24"/>
          <w:szCs w:val="24"/>
          <w:vertAlign w:val="superscript"/>
          <w:lang w:val="en"/>
        </w:rPr>
        <w:t>th</w:t>
      </w:r>
      <w:r>
        <w:rPr>
          <w:rFonts w:ascii="Times New Roman" w:hAnsi="Times New Roman" w:cs="Times New Roman"/>
          <w:sz w:val="24"/>
          <w:szCs w:val="24"/>
          <w:lang w:val="en"/>
        </w:rPr>
        <w:t xml:space="preserve"> edition of the Guide to the 19</w:t>
      </w:r>
      <w:r w:rsidRPr="004727E5">
        <w:rPr>
          <w:rFonts w:ascii="Times New Roman" w:hAnsi="Times New Roman" w:cs="Times New Roman"/>
          <w:sz w:val="24"/>
          <w:szCs w:val="24"/>
          <w:vertAlign w:val="superscript"/>
          <w:lang w:val="en"/>
        </w:rPr>
        <w:t>th</w:t>
      </w:r>
      <w:r>
        <w:rPr>
          <w:rFonts w:ascii="Times New Roman" w:hAnsi="Times New Roman" w:cs="Times New Roman"/>
          <w:sz w:val="24"/>
          <w:szCs w:val="24"/>
          <w:lang w:val="en"/>
        </w:rPr>
        <w:t xml:space="preserve"> edition.</w:t>
      </w:r>
    </w:p>
    <w:p w:rsidR="00923489" w:rsidRDefault="00923489" w:rsidP="00923489">
      <w:pPr>
        <w:shd w:val="clear" w:color="auto" w:fill="FFFFFF"/>
        <w:spacing w:before="100" w:beforeAutospacing="1" w:after="240" w:line="240" w:lineRule="auto"/>
        <w:rPr>
          <w:rFonts w:ascii="Times New Roman" w:hAnsi="Times New Roman" w:cs="Times New Roman"/>
          <w:sz w:val="24"/>
          <w:szCs w:val="24"/>
        </w:rPr>
      </w:pPr>
      <w:r w:rsidRPr="00E06275">
        <w:rPr>
          <w:rFonts w:ascii="Times New Roman" w:hAnsi="Times New Roman" w:cs="Times New Roman"/>
          <w:sz w:val="24"/>
          <w:szCs w:val="24"/>
          <w:lang w:val="en"/>
        </w:rPr>
        <w:t>The adoption of the 19</w:t>
      </w:r>
      <w:r w:rsidRPr="00E06275">
        <w:rPr>
          <w:rFonts w:ascii="Times New Roman" w:hAnsi="Times New Roman" w:cs="Times New Roman"/>
          <w:sz w:val="24"/>
          <w:szCs w:val="24"/>
          <w:vertAlign w:val="superscript"/>
          <w:lang w:val="en"/>
        </w:rPr>
        <w:t>th</w:t>
      </w:r>
      <w:r w:rsidRPr="00E06275">
        <w:rPr>
          <w:rFonts w:ascii="Times New Roman" w:hAnsi="Times New Roman" w:cs="Times New Roman"/>
          <w:sz w:val="24"/>
          <w:szCs w:val="24"/>
          <w:lang w:val="en"/>
        </w:rPr>
        <w:t xml:space="preserve"> edition of the Guide by </w:t>
      </w:r>
      <w:r w:rsidR="003F33CB">
        <w:rPr>
          <w:rFonts w:ascii="Times New Roman" w:hAnsi="Times New Roman" w:cs="Times New Roman"/>
          <w:sz w:val="24"/>
          <w:szCs w:val="24"/>
          <w:lang w:val="en"/>
        </w:rPr>
        <w:t>the Order</w:t>
      </w:r>
      <w:r w:rsidRPr="00E06275">
        <w:rPr>
          <w:rFonts w:ascii="Times New Roman" w:hAnsi="Times New Roman" w:cs="Times New Roman"/>
          <w:sz w:val="24"/>
          <w:szCs w:val="24"/>
          <w:lang w:val="en"/>
        </w:rPr>
        <w:t xml:space="preserve"> includes a number of enhancements to the regulation of blood and blood components that have been </w:t>
      </w:r>
      <w:r w:rsidRPr="00E06275">
        <w:rPr>
          <w:rFonts w:ascii="Times New Roman" w:hAnsi="Times New Roman" w:cs="Times New Roman"/>
          <w:sz w:val="24"/>
          <w:szCs w:val="24"/>
        </w:rPr>
        <w:t>introduced in Europe to improve the safety and efficacy of blood and blood components since the adoption of the 14</w:t>
      </w:r>
      <w:r w:rsidRPr="00E06275">
        <w:rPr>
          <w:rFonts w:ascii="Times New Roman" w:hAnsi="Times New Roman" w:cs="Times New Roman"/>
          <w:sz w:val="24"/>
          <w:szCs w:val="24"/>
          <w:vertAlign w:val="superscript"/>
        </w:rPr>
        <w:t>th</w:t>
      </w:r>
      <w:r w:rsidRPr="00E06275">
        <w:rPr>
          <w:rFonts w:ascii="Times New Roman" w:hAnsi="Times New Roman" w:cs="Times New Roman"/>
          <w:sz w:val="24"/>
          <w:szCs w:val="24"/>
        </w:rPr>
        <w:t xml:space="preserve"> edition of the Guide by </w:t>
      </w:r>
      <w:r w:rsidR="00B659EA">
        <w:rPr>
          <w:rFonts w:ascii="Times New Roman" w:hAnsi="Times New Roman" w:cs="Times New Roman"/>
          <w:sz w:val="24"/>
          <w:szCs w:val="24"/>
        </w:rPr>
        <w:t>the former Order</w:t>
      </w:r>
      <w:r w:rsidRPr="00E06275">
        <w:rPr>
          <w:rFonts w:ascii="Times New Roman" w:hAnsi="Times New Roman" w:cs="Times New Roman"/>
          <w:sz w:val="24"/>
          <w:szCs w:val="24"/>
        </w:rPr>
        <w:t xml:space="preserve"> in 2008. These changes include</w:t>
      </w:r>
      <w:r>
        <w:rPr>
          <w:rFonts w:ascii="Times New Roman" w:hAnsi="Times New Roman" w:cs="Times New Roman"/>
          <w:sz w:val="24"/>
          <w:szCs w:val="24"/>
        </w:rPr>
        <w:t xml:space="preserve"> a</w:t>
      </w:r>
      <w:r w:rsidRPr="00E06275">
        <w:rPr>
          <w:rFonts w:ascii="Times New Roman" w:hAnsi="Times New Roman" w:cs="Times New Roman"/>
          <w:sz w:val="24"/>
          <w:szCs w:val="24"/>
        </w:rPr>
        <w:t xml:space="preserve"> requirement for donor suitability records and final assessment</w:t>
      </w:r>
      <w:r>
        <w:rPr>
          <w:rFonts w:ascii="Times New Roman" w:hAnsi="Times New Roman" w:cs="Times New Roman"/>
          <w:sz w:val="24"/>
          <w:szCs w:val="24"/>
        </w:rPr>
        <w:t>s</w:t>
      </w:r>
      <w:r w:rsidRPr="00E06275">
        <w:rPr>
          <w:rFonts w:ascii="Times New Roman" w:hAnsi="Times New Roman" w:cs="Times New Roman"/>
          <w:sz w:val="24"/>
          <w:szCs w:val="24"/>
        </w:rPr>
        <w:t xml:space="preserve"> to be signed by a qualified health professional; reduction</w:t>
      </w:r>
      <w:r>
        <w:rPr>
          <w:rFonts w:ascii="Times New Roman" w:hAnsi="Times New Roman" w:cs="Times New Roman"/>
          <w:sz w:val="24"/>
          <w:szCs w:val="24"/>
        </w:rPr>
        <w:t>s</w:t>
      </w:r>
      <w:r w:rsidRPr="00E06275">
        <w:rPr>
          <w:rFonts w:ascii="Times New Roman" w:hAnsi="Times New Roman" w:cs="Times New Roman"/>
          <w:sz w:val="24"/>
          <w:szCs w:val="24"/>
        </w:rPr>
        <w:t xml:space="preserve"> in some donor deferral periods to improve supply; and changes to irradiation timeframes for red cells for neonatal and infant small volume transfusion</w:t>
      </w:r>
      <w:r>
        <w:rPr>
          <w:rFonts w:ascii="Times New Roman" w:hAnsi="Times New Roman" w:cs="Times New Roman"/>
          <w:sz w:val="24"/>
          <w:szCs w:val="24"/>
        </w:rPr>
        <w:t>s</w:t>
      </w:r>
      <w:r w:rsidRPr="00E06275">
        <w:rPr>
          <w:rFonts w:ascii="Times New Roman" w:hAnsi="Times New Roman" w:cs="Times New Roman"/>
          <w:sz w:val="24"/>
          <w:szCs w:val="24"/>
        </w:rPr>
        <w:t>. In so doing, the adoption of the 19</w:t>
      </w:r>
      <w:r w:rsidRPr="00E06275">
        <w:rPr>
          <w:rFonts w:ascii="Times New Roman" w:hAnsi="Times New Roman" w:cs="Times New Roman"/>
          <w:sz w:val="24"/>
          <w:szCs w:val="24"/>
          <w:vertAlign w:val="superscript"/>
        </w:rPr>
        <w:t>th</w:t>
      </w:r>
      <w:r w:rsidRPr="00E06275">
        <w:rPr>
          <w:rFonts w:ascii="Times New Roman" w:hAnsi="Times New Roman" w:cs="Times New Roman"/>
          <w:sz w:val="24"/>
          <w:szCs w:val="24"/>
        </w:rPr>
        <w:t xml:space="preserve"> edition of the Guide will help ensure the international consistency and quality of blood and blood components in Australia.</w:t>
      </w:r>
    </w:p>
    <w:p w:rsidR="00E11A27" w:rsidRDefault="00520CE4" w:rsidP="008B512D">
      <w:pPr>
        <w:shd w:val="clear" w:color="auto" w:fill="FFFFFF"/>
        <w:spacing w:before="120" w:after="240" w:line="240" w:lineRule="auto"/>
        <w:outlineLvl w:val="2"/>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w:t>
      </w:r>
      <w:r w:rsidR="004727E5">
        <w:rPr>
          <w:rFonts w:ascii="Times New Roman" w:eastAsia="Times New Roman" w:hAnsi="Times New Roman" w:cs="Times New Roman"/>
          <w:sz w:val="24"/>
          <w:szCs w:val="24"/>
          <w:lang w:eastAsia="en-AU"/>
        </w:rPr>
        <w:t>ther than the update of the edition of the Guide as outlined above, o</w:t>
      </w:r>
      <w:r>
        <w:rPr>
          <w:rFonts w:ascii="Times New Roman" w:eastAsia="Times New Roman" w:hAnsi="Times New Roman" w:cs="Times New Roman"/>
          <w:sz w:val="24"/>
          <w:szCs w:val="24"/>
          <w:lang w:eastAsia="en-AU"/>
        </w:rPr>
        <w:t xml:space="preserve">nly a </w:t>
      </w:r>
      <w:r w:rsidR="008B512D" w:rsidRPr="008B512D">
        <w:rPr>
          <w:rFonts w:ascii="Times New Roman" w:eastAsia="Times New Roman" w:hAnsi="Times New Roman" w:cs="Times New Roman"/>
          <w:sz w:val="24"/>
          <w:szCs w:val="24"/>
          <w:lang w:eastAsia="en-AU"/>
        </w:rPr>
        <w:t>small number of minor, draft</w:t>
      </w:r>
      <w:r>
        <w:rPr>
          <w:rFonts w:ascii="Times New Roman" w:eastAsia="Times New Roman" w:hAnsi="Times New Roman" w:cs="Times New Roman"/>
          <w:sz w:val="24"/>
          <w:szCs w:val="24"/>
          <w:lang w:eastAsia="en-AU"/>
        </w:rPr>
        <w:t xml:space="preserve">ing changes have been made </w:t>
      </w:r>
      <w:r w:rsidR="004727E5">
        <w:rPr>
          <w:rFonts w:ascii="Times New Roman" w:eastAsia="Times New Roman" w:hAnsi="Times New Roman" w:cs="Times New Roman"/>
          <w:sz w:val="24"/>
          <w:szCs w:val="24"/>
          <w:lang w:eastAsia="en-AU"/>
        </w:rPr>
        <w:t>in</w:t>
      </w:r>
      <w:r>
        <w:rPr>
          <w:rFonts w:ascii="Times New Roman" w:eastAsia="Times New Roman" w:hAnsi="Times New Roman" w:cs="Times New Roman"/>
          <w:sz w:val="24"/>
          <w:szCs w:val="24"/>
          <w:lang w:eastAsia="en-AU"/>
        </w:rPr>
        <w:t xml:space="preserve"> </w:t>
      </w:r>
      <w:r w:rsidR="003F33CB">
        <w:rPr>
          <w:rFonts w:ascii="Times New Roman" w:eastAsia="Times New Roman" w:hAnsi="Times New Roman" w:cs="Times New Roman"/>
          <w:sz w:val="24"/>
          <w:szCs w:val="24"/>
          <w:lang w:eastAsia="en-AU"/>
        </w:rPr>
        <w:t>the Order</w:t>
      </w:r>
      <w:r>
        <w:rPr>
          <w:rFonts w:ascii="Times New Roman" w:eastAsia="Times New Roman" w:hAnsi="Times New Roman" w:cs="Times New Roman"/>
          <w:sz w:val="24"/>
          <w:szCs w:val="24"/>
          <w:lang w:eastAsia="en-AU"/>
        </w:rPr>
        <w:t xml:space="preserve"> compared to </w:t>
      </w:r>
      <w:r w:rsidR="00B659EA">
        <w:rPr>
          <w:rFonts w:ascii="Times New Roman" w:eastAsia="Times New Roman" w:hAnsi="Times New Roman" w:cs="Times New Roman"/>
          <w:sz w:val="24"/>
          <w:szCs w:val="24"/>
          <w:lang w:eastAsia="en-AU"/>
        </w:rPr>
        <w:t>the former Order</w:t>
      </w:r>
      <w:r w:rsidR="008B512D" w:rsidRPr="008B512D">
        <w:rPr>
          <w:rFonts w:ascii="Times New Roman" w:eastAsia="Times New Roman" w:hAnsi="Times New Roman" w:cs="Times New Roman"/>
          <w:sz w:val="24"/>
          <w:szCs w:val="24"/>
          <w:lang w:eastAsia="en-AU"/>
        </w:rPr>
        <w:t xml:space="preserve">.  </w:t>
      </w:r>
    </w:p>
    <w:p w:rsidR="00916C6A" w:rsidRDefault="00916C6A" w:rsidP="008B512D">
      <w:pPr>
        <w:shd w:val="clear" w:color="auto" w:fill="FFFFFF"/>
        <w:spacing w:before="120" w:after="240" w:line="240" w:lineRule="auto"/>
        <w:outlineLvl w:val="2"/>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However, to assist industry to transition</w:t>
      </w:r>
      <w:r w:rsidR="00AD63A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3F33CB">
        <w:rPr>
          <w:rFonts w:ascii="Times New Roman" w:eastAsia="Times New Roman" w:hAnsi="Times New Roman" w:cs="Times New Roman"/>
          <w:sz w:val="24"/>
          <w:szCs w:val="24"/>
          <w:lang w:eastAsia="en-AU"/>
        </w:rPr>
        <w:t>the Order</w:t>
      </w:r>
      <w:r>
        <w:rPr>
          <w:rFonts w:ascii="Times New Roman" w:eastAsia="Times New Roman" w:hAnsi="Times New Roman" w:cs="Times New Roman"/>
          <w:sz w:val="24"/>
          <w:szCs w:val="24"/>
          <w:lang w:eastAsia="en-AU"/>
        </w:rPr>
        <w:t xml:space="preserve"> provides a transition period of 12 months (from 31 March 2019 to 30 March 2020) in which </w:t>
      </w:r>
      <w:r w:rsidR="00B659EA">
        <w:rPr>
          <w:rFonts w:ascii="Times New Roman" w:eastAsia="Times New Roman" w:hAnsi="Times New Roman" w:cs="Times New Roman"/>
          <w:sz w:val="24"/>
          <w:szCs w:val="24"/>
          <w:lang w:eastAsia="en-AU"/>
        </w:rPr>
        <w:t>the former Order</w:t>
      </w:r>
      <w:r>
        <w:rPr>
          <w:rFonts w:ascii="Times New Roman" w:eastAsia="Times New Roman" w:hAnsi="Times New Roman" w:cs="Times New Roman"/>
          <w:sz w:val="24"/>
          <w:szCs w:val="24"/>
          <w:lang w:eastAsia="en-AU"/>
        </w:rPr>
        <w:t xml:space="preserve"> </w:t>
      </w:r>
      <w:r w:rsidR="00AD63A1">
        <w:rPr>
          <w:rFonts w:ascii="Times New Roman" w:eastAsia="Times New Roman" w:hAnsi="Times New Roman" w:cs="Times New Roman"/>
          <w:sz w:val="24"/>
          <w:szCs w:val="24"/>
          <w:lang w:eastAsia="en-AU"/>
        </w:rPr>
        <w:t xml:space="preserve">may be conformed with </w:t>
      </w:r>
      <w:r>
        <w:rPr>
          <w:rFonts w:ascii="Times New Roman" w:eastAsia="Times New Roman" w:hAnsi="Times New Roman" w:cs="Times New Roman"/>
          <w:sz w:val="24"/>
          <w:szCs w:val="24"/>
          <w:lang w:eastAsia="en-AU"/>
        </w:rPr>
        <w:t xml:space="preserve">(despite its repeal by section 9 of </w:t>
      </w:r>
      <w:r w:rsidR="003F33CB">
        <w:rPr>
          <w:rFonts w:ascii="Times New Roman" w:eastAsia="Times New Roman" w:hAnsi="Times New Roman" w:cs="Times New Roman"/>
          <w:sz w:val="24"/>
          <w:szCs w:val="24"/>
          <w:lang w:eastAsia="en-AU"/>
        </w:rPr>
        <w:t>the Order</w:t>
      </w:r>
      <w:r>
        <w:rPr>
          <w:rFonts w:ascii="Times New Roman" w:eastAsia="Times New Roman" w:hAnsi="Times New Roman" w:cs="Times New Roman"/>
          <w:sz w:val="24"/>
          <w:szCs w:val="24"/>
          <w:lang w:eastAsia="en-AU"/>
        </w:rPr>
        <w:t xml:space="preserve">) as an alternative to the standard for blood and blood components constituted by </w:t>
      </w:r>
      <w:r w:rsidR="003F33CB">
        <w:rPr>
          <w:rFonts w:ascii="Times New Roman" w:eastAsia="Times New Roman" w:hAnsi="Times New Roman" w:cs="Times New Roman"/>
          <w:sz w:val="24"/>
          <w:szCs w:val="24"/>
          <w:lang w:eastAsia="en-AU"/>
        </w:rPr>
        <w:t>the Order</w:t>
      </w:r>
      <w:r>
        <w:rPr>
          <w:rFonts w:ascii="Times New Roman" w:eastAsia="Times New Roman" w:hAnsi="Times New Roman" w:cs="Times New Roman"/>
          <w:sz w:val="24"/>
          <w:szCs w:val="24"/>
          <w:lang w:eastAsia="en-AU"/>
        </w:rPr>
        <w:t xml:space="preserve">. </w:t>
      </w:r>
    </w:p>
    <w:p w:rsidR="00144218" w:rsidRPr="008B512D" w:rsidRDefault="00144218" w:rsidP="00144218">
      <w:pPr>
        <w:shd w:val="clear" w:color="auto" w:fill="FFFFFF"/>
        <w:spacing w:after="0" w:line="240" w:lineRule="auto"/>
        <w:rPr>
          <w:rFonts w:ascii="Times New Roman" w:eastAsia="Times New Roman" w:hAnsi="Times New Roman" w:cs="Times New Roman"/>
          <w:sz w:val="24"/>
          <w:szCs w:val="24"/>
          <w:lang w:val="en-US" w:eastAsia="en-AU"/>
        </w:rPr>
      </w:pPr>
      <w:r>
        <w:rPr>
          <w:rFonts w:ascii="Times New Roman" w:hAnsi="Times New Roman" w:cs="Times New Roman"/>
          <w:sz w:val="24"/>
          <w:szCs w:val="24"/>
          <w:lang w:val="en"/>
        </w:rPr>
        <w:lastRenderedPageBreak/>
        <w:t xml:space="preserve">It should also be noted that </w:t>
      </w:r>
      <w:r w:rsidR="003F33CB">
        <w:rPr>
          <w:rFonts w:ascii="Times New Roman" w:hAnsi="Times New Roman" w:cs="Times New Roman"/>
          <w:sz w:val="24"/>
          <w:szCs w:val="24"/>
          <w:lang w:val="en"/>
        </w:rPr>
        <w:t>the Order</w:t>
      </w:r>
      <w:r>
        <w:rPr>
          <w:rFonts w:ascii="Times New Roman" w:hAnsi="Times New Roman" w:cs="Times New Roman"/>
          <w:sz w:val="24"/>
          <w:szCs w:val="24"/>
          <w:lang w:val="en"/>
        </w:rPr>
        <w:t xml:space="preserve"> does not apply to therapeutic goods that are blood or blood components that are:</w:t>
      </w:r>
    </w:p>
    <w:p w:rsidR="00144218" w:rsidRPr="00F843D8" w:rsidRDefault="00144218" w:rsidP="00144218">
      <w:pPr>
        <w:shd w:val="clear" w:color="auto" w:fill="FFFFFF"/>
        <w:spacing w:before="120" w:after="0" w:line="240" w:lineRule="auto"/>
        <w:ind w:left="720" w:hanging="720"/>
        <w:rPr>
          <w:rFonts w:ascii="Times New Roman" w:eastAsia="Times New Roman" w:hAnsi="Times New Roman" w:cs="Times New Roman"/>
          <w:sz w:val="24"/>
          <w:szCs w:val="24"/>
          <w:lang w:eastAsia="en-AU"/>
        </w:rPr>
      </w:pPr>
      <w:r w:rsidRPr="00F843D8">
        <w:rPr>
          <w:rFonts w:ascii="Times New Roman" w:eastAsia="Times New Roman" w:hAnsi="Times New Roman" w:cs="Times New Roman"/>
          <w:sz w:val="24"/>
          <w:szCs w:val="24"/>
          <w:lang w:eastAsia="en-AU"/>
        </w:rPr>
        <w:t>(a)</w:t>
      </w:r>
      <w:r w:rsidRPr="00F843D8">
        <w:rPr>
          <w:rFonts w:ascii="Times New Roman" w:eastAsia="Times New Roman" w:hAnsi="Times New Roman" w:cs="Times New Roman"/>
          <w:sz w:val="24"/>
          <w:szCs w:val="24"/>
          <w:lang w:eastAsia="en-AU"/>
        </w:rPr>
        <w:tab/>
      </w:r>
      <w:r w:rsidRPr="00F843D8">
        <w:rPr>
          <w:rFonts w:ascii="Times New Roman" w:eastAsia="Times New Roman" w:hAnsi="Times New Roman" w:cs="Times New Roman"/>
          <w:sz w:val="24"/>
          <w:szCs w:val="24"/>
          <w:lang w:val="en" w:eastAsia="en-AU"/>
        </w:rPr>
        <w:t>collected by a medical practitioner, registered under a law of a State or Territory, or a person under the professional supervision of such a practitioner, in the course of medical treatment and for the purposes of diagnosis of, and testing for, a medical condition;</w:t>
      </w:r>
    </w:p>
    <w:p w:rsidR="00144218" w:rsidRPr="00F843D8" w:rsidRDefault="00144218" w:rsidP="00144218">
      <w:pPr>
        <w:shd w:val="clear" w:color="auto" w:fill="FFFFFF"/>
        <w:spacing w:before="120" w:after="0" w:line="240" w:lineRule="auto"/>
        <w:ind w:left="720" w:hanging="720"/>
        <w:rPr>
          <w:rFonts w:ascii="Times New Roman" w:eastAsia="Times New Roman" w:hAnsi="Times New Roman" w:cs="Times New Roman"/>
          <w:sz w:val="24"/>
          <w:szCs w:val="24"/>
          <w:lang w:eastAsia="en-AU"/>
        </w:rPr>
      </w:pPr>
      <w:r w:rsidRPr="00F843D8">
        <w:rPr>
          <w:rFonts w:ascii="Times New Roman" w:eastAsia="Times New Roman" w:hAnsi="Times New Roman" w:cs="Times New Roman"/>
          <w:sz w:val="24"/>
          <w:szCs w:val="24"/>
          <w:lang w:eastAsia="en-AU"/>
        </w:rPr>
        <w:t>(b)</w:t>
      </w:r>
      <w:r w:rsidRPr="00F843D8">
        <w:rPr>
          <w:rFonts w:ascii="Times New Roman" w:eastAsia="Times New Roman" w:hAnsi="Times New Roman" w:cs="Times New Roman"/>
          <w:sz w:val="24"/>
          <w:szCs w:val="24"/>
          <w:lang w:eastAsia="en-AU"/>
        </w:rPr>
        <w:tab/>
      </w:r>
      <w:r w:rsidRPr="00F843D8">
        <w:rPr>
          <w:rFonts w:ascii="Times New Roman" w:eastAsia="Times New Roman" w:hAnsi="Times New Roman" w:cs="Times New Roman"/>
          <w:sz w:val="24"/>
          <w:szCs w:val="24"/>
          <w:lang w:val="en" w:eastAsia="en-AU"/>
        </w:rPr>
        <w:t>manufactured by a medical practitioner, registered under a law of a State or Territory, or a person under the professional supervision of such a practitioner, for therapeutic application to a patient under the practitioner’s care</w:t>
      </w:r>
      <w:r w:rsidRPr="00F843D8">
        <w:rPr>
          <w:rFonts w:ascii="Times New Roman" w:eastAsia="Times New Roman" w:hAnsi="Times New Roman" w:cs="Times New Roman"/>
          <w:sz w:val="24"/>
          <w:szCs w:val="24"/>
          <w:lang w:eastAsia="en-AU"/>
        </w:rPr>
        <w:t>; or</w:t>
      </w:r>
    </w:p>
    <w:p w:rsidR="00144218" w:rsidRPr="00F843D8" w:rsidRDefault="00144218" w:rsidP="00144218">
      <w:pPr>
        <w:shd w:val="clear" w:color="auto" w:fill="FFFFFF"/>
        <w:spacing w:before="120" w:after="240" w:line="240" w:lineRule="auto"/>
        <w:ind w:left="720" w:hanging="720"/>
        <w:rPr>
          <w:rFonts w:ascii="Times New Roman" w:eastAsia="Times New Roman" w:hAnsi="Times New Roman" w:cs="Times New Roman"/>
          <w:sz w:val="24"/>
          <w:szCs w:val="24"/>
          <w:lang w:eastAsia="en-AU"/>
        </w:rPr>
      </w:pPr>
      <w:r w:rsidRPr="00F843D8">
        <w:rPr>
          <w:rFonts w:ascii="Times New Roman" w:eastAsia="Times New Roman" w:hAnsi="Times New Roman" w:cs="Times New Roman"/>
          <w:sz w:val="24"/>
          <w:szCs w:val="24"/>
          <w:lang w:eastAsia="en-AU"/>
        </w:rPr>
        <w:t>(c)</w:t>
      </w:r>
      <w:r w:rsidRPr="00F843D8">
        <w:rPr>
          <w:rFonts w:ascii="Times New Roman" w:eastAsia="Times New Roman" w:hAnsi="Times New Roman" w:cs="Times New Roman"/>
          <w:sz w:val="24"/>
          <w:szCs w:val="24"/>
          <w:lang w:eastAsia="en-AU"/>
        </w:rPr>
        <w:tab/>
      </w:r>
      <w:r w:rsidRPr="00F843D8">
        <w:rPr>
          <w:rFonts w:ascii="Times New Roman" w:eastAsia="Times New Roman" w:hAnsi="Times New Roman" w:cs="Times New Roman"/>
          <w:sz w:val="24"/>
          <w:szCs w:val="24"/>
          <w:lang w:val="en" w:eastAsia="en-AU"/>
        </w:rPr>
        <w:t>manufactured by a blood donation</w:t>
      </w:r>
      <w:r w:rsidRPr="00F843D8">
        <w:rPr>
          <w:rFonts w:ascii="Times New Roman" w:eastAsia="Times New Roman" w:hAnsi="Times New Roman" w:cs="Times New Roman"/>
          <w:sz w:val="24"/>
          <w:szCs w:val="24"/>
          <w:lang w:eastAsia="en-AU"/>
        </w:rPr>
        <w:t xml:space="preserve"> centre</w:t>
      </w:r>
      <w:r w:rsidRPr="00F843D8">
        <w:rPr>
          <w:rFonts w:ascii="Times New Roman" w:eastAsia="Times New Roman" w:hAnsi="Times New Roman" w:cs="Times New Roman"/>
          <w:sz w:val="24"/>
          <w:szCs w:val="24"/>
          <w:lang w:val="en" w:eastAsia="en-AU"/>
        </w:rPr>
        <w:t xml:space="preserve"> for a medical practitioner, registered under a law of a State or Territory, for therapeutic application to a particular patient under the practitioner’s care.</w:t>
      </w:r>
    </w:p>
    <w:p w:rsidR="00144218" w:rsidRPr="00144218" w:rsidRDefault="00144218" w:rsidP="00144218">
      <w:pPr>
        <w:shd w:val="clear" w:color="auto" w:fill="FFFFFF"/>
        <w:spacing w:before="100" w:beforeAutospacing="1" w:after="240" w:line="240" w:lineRule="auto"/>
        <w:rPr>
          <w:rFonts w:ascii="Times New Roman" w:eastAsia="Times New Roman" w:hAnsi="Times New Roman" w:cs="Times New Roman"/>
          <w:sz w:val="24"/>
          <w:szCs w:val="24"/>
          <w:lang w:val="en" w:eastAsia="en-AU"/>
        </w:rPr>
      </w:pPr>
      <w:r w:rsidRPr="00E06275">
        <w:rPr>
          <w:rFonts w:ascii="Times New Roman" w:eastAsia="Times New Roman" w:hAnsi="Times New Roman" w:cs="Times New Roman"/>
          <w:sz w:val="24"/>
          <w:szCs w:val="24"/>
          <w:lang w:eastAsia="en-AU"/>
        </w:rPr>
        <w:t>In these instances a treating medical practitioner is taking professional responsibility for the manufacture and use of the product for a patient in their care.</w:t>
      </w:r>
    </w:p>
    <w:p w:rsidR="00F506E1" w:rsidRDefault="00F506E1" w:rsidP="008B512D">
      <w:pPr>
        <w:shd w:val="clear" w:color="auto" w:fill="FFFFFF"/>
        <w:spacing w:before="120" w:after="240" w:line="240" w:lineRule="auto"/>
        <w:outlineLvl w:val="2"/>
        <w:rPr>
          <w:rFonts w:ascii="Times New Roman" w:eastAsia="Times New Roman" w:hAnsi="Times New Roman" w:cs="Times New Roman"/>
          <w:b/>
          <w:sz w:val="24"/>
          <w:szCs w:val="24"/>
          <w:lang w:eastAsia="en-AU"/>
        </w:rPr>
      </w:pPr>
      <w:r w:rsidRPr="00A502C0">
        <w:rPr>
          <w:rFonts w:ascii="Times New Roman" w:eastAsia="Times New Roman" w:hAnsi="Times New Roman" w:cs="Times New Roman"/>
          <w:b/>
          <w:sz w:val="24"/>
          <w:szCs w:val="24"/>
          <w:lang w:eastAsia="en-AU"/>
        </w:rPr>
        <w:t>Consequential amendment to the Manufacturing Principles</w:t>
      </w:r>
    </w:p>
    <w:p w:rsidR="00F506E1" w:rsidRPr="0050632B" w:rsidRDefault="00F506E1" w:rsidP="0050632B">
      <w:pPr>
        <w:shd w:val="clear" w:color="auto" w:fill="FFFFFF"/>
        <w:spacing w:before="100" w:beforeAutospacing="1" w:after="240" w:line="240" w:lineRule="auto"/>
        <w:rPr>
          <w:szCs w:val="24"/>
          <w:lang w:eastAsia="en-AU"/>
        </w:rPr>
      </w:pPr>
      <w:r w:rsidRPr="008C63A3">
        <w:rPr>
          <w:rFonts w:ascii="Times New Roman" w:eastAsia="Times New Roman" w:hAnsi="Times New Roman" w:cs="Times New Roman"/>
          <w:sz w:val="24"/>
          <w:szCs w:val="24"/>
          <w:lang w:eastAsia="en-AU"/>
        </w:rPr>
        <w:t>The Manufacturing Principles are made under section 36 of the Act, and are designed to set out the minimum requirements to be observed in the manufacture of therapeutic goods other than medical devices, to ensure that therapeutic goods are produced to a high quality.</w:t>
      </w:r>
    </w:p>
    <w:p w:rsidR="00F506E1" w:rsidRPr="0050632B" w:rsidRDefault="00F506E1" w:rsidP="0050632B">
      <w:pPr>
        <w:shd w:val="clear" w:color="auto" w:fill="FFFFFF"/>
        <w:spacing w:before="100" w:beforeAutospacing="1" w:after="240" w:line="240" w:lineRule="auto"/>
        <w:rPr>
          <w:szCs w:val="24"/>
          <w:lang w:eastAsia="en-AU"/>
        </w:rPr>
      </w:pPr>
      <w:r w:rsidRPr="0050632B">
        <w:rPr>
          <w:rFonts w:ascii="Times New Roman" w:eastAsia="Times New Roman" w:hAnsi="Times New Roman" w:cs="Times New Roman"/>
          <w:sz w:val="24"/>
          <w:szCs w:val="24"/>
          <w:lang w:eastAsia="en-AU"/>
        </w:rPr>
        <w:t>It is a condition of each manufacturing licence that manufacturers of therapeutic goods comply with the manufacturing principles (see subparagraph 40(4)(a)(ii) of the Act).  If the holder of a manufacturing licence breaches this (or any other) condition the Secretary can suspend or revoke the licence (see subparagraph 41(1)(a)(viii) of the Act). The Secretary can also refuse to grant a manufacturing licence if satisfied that the applicant for the licence will be unable to comply with the manufacturing principles (see paragraph 38(1)(e) of the Act).</w:t>
      </w:r>
    </w:p>
    <w:p w:rsidR="00206B13" w:rsidRPr="0050632B" w:rsidRDefault="00206B13" w:rsidP="0050632B">
      <w:pPr>
        <w:shd w:val="clear" w:color="auto" w:fill="FFFFFF"/>
        <w:spacing w:before="100" w:beforeAutospacing="1" w:after="240" w:line="240" w:lineRule="auto"/>
        <w:rPr>
          <w:rFonts w:ascii="Times New Roman" w:eastAsia="Times New Roman" w:hAnsi="Times New Roman" w:cs="Times New Roman"/>
          <w:sz w:val="24"/>
          <w:szCs w:val="24"/>
          <w:lang w:eastAsia="en-AU"/>
        </w:rPr>
      </w:pPr>
      <w:r w:rsidRPr="0050632B">
        <w:rPr>
          <w:rFonts w:ascii="Times New Roman" w:eastAsia="Times New Roman" w:hAnsi="Times New Roman" w:cs="Times New Roman"/>
          <w:sz w:val="24"/>
          <w:szCs w:val="24"/>
          <w:lang w:eastAsia="en-AU"/>
        </w:rPr>
        <w:t>The requirements in relation to blood and blood components are set out in Division 2 of the Manufacturing Principles. These include (relevantly)</w:t>
      </w:r>
      <w:r w:rsidR="00AF3DE2" w:rsidRPr="0050632B">
        <w:rPr>
          <w:rFonts w:ascii="Times New Roman" w:eastAsia="Times New Roman" w:hAnsi="Times New Roman" w:cs="Times New Roman"/>
          <w:sz w:val="24"/>
          <w:szCs w:val="24"/>
          <w:lang w:eastAsia="en-AU"/>
        </w:rPr>
        <w:t xml:space="preserve"> that</w:t>
      </w:r>
      <w:r w:rsidRPr="0050632B">
        <w:rPr>
          <w:rFonts w:ascii="Times New Roman" w:eastAsia="Times New Roman" w:hAnsi="Times New Roman" w:cs="Times New Roman"/>
          <w:sz w:val="24"/>
          <w:szCs w:val="24"/>
          <w:lang w:eastAsia="en-AU"/>
        </w:rPr>
        <w:t>:</w:t>
      </w:r>
    </w:p>
    <w:p w:rsidR="00206B13" w:rsidRDefault="00206B13" w:rsidP="00206B13">
      <w:pPr>
        <w:pStyle w:val="ListParagraph"/>
        <w:numPr>
          <w:ilvl w:val="0"/>
          <w:numId w:val="1"/>
        </w:numPr>
        <w:spacing w:after="240"/>
        <w:ind w:left="567" w:hanging="567"/>
      </w:pPr>
      <w:r>
        <w:t>a manufacturer of blood and blood components, plasma or haematopoietic progenitor cells must lodge a Technical Master File with an application for a manufacturing licence under Part 3-3 of the Act (section 6 refers); and</w:t>
      </w:r>
    </w:p>
    <w:p w:rsidR="00206B13" w:rsidRPr="00024078" w:rsidRDefault="00206B13" w:rsidP="00206B13">
      <w:pPr>
        <w:pStyle w:val="ListParagraph"/>
        <w:numPr>
          <w:ilvl w:val="0"/>
          <w:numId w:val="1"/>
        </w:numPr>
        <w:spacing w:after="240"/>
        <w:ind w:left="567" w:hanging="567"/>
      </w:pPr>
      <w:r>
        <w:t xml:space="preserve">blood, blood components, plasma and haematopoietic progenitor cells must be manufactured in a manner consistent with the relevant Technical Master File lodged for the goods by the manufacturer (section 7 refers).  </w:t>
      </w:r>
    </w:p>
    <w:p w:rsidR="008C63A3" w:rsidRDefault="00206B13" w:rsidP="0050632B">
      <w:pPr>
        <w:shd w:val="clear" w:color="auto" w:fill="FFFFFF"/>
        <w:spacing w:before="100" w:beforeAutospacing="1" w:after="240" w:line="240" w:lineRule="auto"/>
        <w:rPr>
          <w:rFonts w:ascii="Times New Roman" w:hAnsi="Times New Roman" w:cs="Times New Roman"/>
          <w:sz w:val="24"/>
          <w:szCs w:val="24"/>
        </w:rPr>
      </w:pPr>
      <w:r w:rsidRPr="00A502C0">
        <w:rPr>
          <w:rFonts w:ascii="Times New Roman" w:hAnsi="Times New Roman" w:cs="Times New Roman"/>
          <w:sz w:val="24"/>
          <w:szCs w:val="24"/>
        </w:rPr>
        <w:t>‘Technical Master File’ is defined in section 4 of the Manufacturing Principles and this definition includes</w:t>
      </w:r>
      <w:r w:rsidR="008C63A3">
        <w:rPr>
          <w:rFonts w:ascii="Times New Roman" w:hAnsi="Times New Roman" w:cs="Times New Roman"/>
          <w:sz w:val="24"/>
          <w:szCs w:val="24"/>
        </w:rPr>
        <w:t xml:space="preserve"> the following</w:t>
      </w:r>
      <w:r w:rsidRPr="00A502C0">
        <w:rPr>
          <w:rFonts w:ascii="Times New Roman" w:hAnsi="Times New Roman" w:cs="Times New Roman"/>
          <w:sz w:val="24"/>
          <w:szCs w:val="24"/>
        </w:rPr>
        <w:t xml:space="preserve"> in paragraph b</w:t>
      </w:r>
      <w:r w:rsidR="008C63A3">
        <w:rPr>
          <w:rFonts w:ascii="Times New Roman" w:hAnsi="Times New Roman" w:cs="Times New Roman"/>
          <w:sz w:val="24"/>
          <w:szCs w:val="24"/>
        </w:rPr>
        <w:t xml:space="preserve"> of the definition:</w:t>
      </w:r>
    </w:p>
    <w:p w:rsidR="008C63A3" w:rsidRDefault="008C63A3" w:rsidP="0050632B">
      <w:pPr>
        <w:shd w:val="clear" w:color="auto" w:fill="FFFFFF"/>
        <w:spacing w:before="100" w:beforeAutospacing="1" w:after="240" w:line="240" w:lineRule="auto"/>
        <w:ind w:left="1134"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06B13" w:rsidRPr="0050632B">
        <w:rPr>
          <w:rFonts w:ascii="Times New Roman" w:hAnsi="Times New Roman" w:cs="Times New Roman"/>
        </w:rPr>
        <w:t>detailed scientific and technical data or information that must satisfy the Secretary that</w:t>
      </w:r>
      <w:r>
        <w:rPr>
          <w:rFonts w:ascii="Times New Roman" w:hAnsi="Times New Roman" w:cs="Times New Roman"/>
        </w:rPr>
        <w:t>:</w:t>
      </w:r>
    </w:p>
    <w:p w:rsidR="008C63A3" w:rsidRDefault="008C63A3" w:rsidP="0050632B">
      <w:pPr>
        <w:shd w:val="clear" w:color="auto" w:fill="FFFFFF"/>
        <w:spacing w:before="100" w:beforeAutospacing="1" w:after="240" w:line="240" w:lineRule="auto"/>
        <w:ind w:left="1560" w:hanging="426"/>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206B13" w:rsidRPr="0050632B">
        <w:rPr>
          <w:rFonts w:ascii="Times New Roman" w:hAnsi="Times New Roman" w:cs="Times New Roman"/>
        </w:rPr>
        <w:t>the blood or blood components, manufactured using the steps of manufacture mentioned in paragraph (a), will meet Therapeutic Goods Order No.81 – Standards for Blood and Blood Components</w:t>
      </w:r>
      <w:r>
        <w:rPr>
          <w:rFonts w:ascii="Times New Roman" w:hAnsi="Times New Roman" w:cs="Times New Roman"/>
        </w:rPr>
        <w:t xml:space="preserve">; </w:t>
      </w:r>
    </w:p>
    <w:p w:rsidR="00F506E1" w:rsidRDefault="00AF3DE2" w:rsidP="0050632B">
      <w:pPr>
        <w:shd w:val="clear" w:color="auto" w:fill="FFFFFF"/>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As </w:t>
      </w:r>
      <w:r w:rsidR="003F33CB">
        <w:rPr>
          <w:rFonts w:ascii="Times New Roman" w:eastAsia="Times New Roman" w:hAnsi="Times New Roman" w:cs="Times New Roman"/>
          <w:sz w:val="24"/>
          <w:szCs w:val="24"/>
          <w:lang w:eastAsia="en-AU"/>
        </w:rPr>
        <w:t>the Order</w:t>
      </w:r>
      <w:r>
        <w:rPr>
          <w:rFonts w:ascii="Times New Roman" w:eastAsia="Times New Roman" w:hAnsi="Times New Roman" w:cs="Times New Roman"/>
          <w:sz w:val="24"/>
          <w:szCs w:val="24"/>
          <w:lang w:eastAsia="en-AU"/>
        </w:rPr>
        <w:t xml:space="preserve"> repeals </w:t>
      </w:r>
      <w:r w:rsidR="00B659EA">
        <w:rPr>
          <w:rFonts w:ascii="Times New Roman" w:eastAsia="Times New Roman" w:hAnsi="Times New Roman" w:cs="Times New Roman"/>
          <w:sz w:val="24"/>
          <w:szCs w:val="24"/>
          <w:lang w:eastAsia="en-AU"/>
        </w:rPr>
        <w:t>the former Order</w:t>
      </w:r>
      <w:r>
        <w:rPr>
          <w:rFonts w:ascii="Times New Roman" w:eastAsia="Times New Roman" w:hAnsi="Times New Roman" w:cs="Times New Roman"/>
          <w:sz w:val="24"/>
          <w:szCs w:val="24"/>
          <w:lang w:eastAsia="en-AU"/>
        </w:rPr>
        <w:t xml:space="preserve">, there is therefore a need to update the definition of ‘Technical Master File’ in section 4 of the Manufacturing Principles to replace the reference to the repealed instrument with an updated reference to the </w:t>
      </w:r>
      <w:r w:rsidR="003F33CB">
        <w:rPr>
          <w:rFonts w:ascii="Times New Roman" w:eastAsia="Times New Roman" w:hAnsi="Times New Roman" w:cs="Times New Roman"/>
          <w:sz w:val="24"/>
          <w:szCs w:val="24"/>
          <w:lang w:eastAsia="en-AU"/>
        </w:rPr>
        <w:t>Order</w:t>
      </w:r>
      <w:r>
        <w:rPr>
          <w:rFonts w:ascii="Times New Roman" w:eastAsia="Times New Roman" w:hAnsi="Times New Roman" w:cs="Times New Roman"/>
          <w:sz w:val="24"/>
          <w:szCs w:val="24"/>
          <w:lang w:eastAsia="en-AU"/>
        </w:rPr>
        <w:t>.</w:t>
      </w:r>
    </w:p>
    <w:p w:rsidR="00AF3DE2" w:rsidRPr="0050632B" w:rsidRDefault="00AF3DE2" w:rsidP="0050632B">
      <w:pPr>
        <w:shd w:val="clear" w:color="auto" w:fill="FFFFFF"/>
        <w:spacing w:before="100" w:beforeAutospacing="1" w:after="240" w:line="240" w:lineRule="auto"/>
        <w:rPr>
          <w:rFonts w:ascii="Times New Roman" w:eastAsia="Times New Roman" w:hAnsi="Times New Roman" w:cs="Times New Roman"/>
          <w:sz w:val="24"/>
          <w:szCs w:val="24"/>
          <w:lang w:eastAsia="en-AU"/>
        </w:rPr>
      </w:pPr>
      <w:r w:rsidRPr="00A502C0">
        <w:rPr>
          <w:rFonts w:ascii="Times New Roman" w:hAnsi="Times New Roman" w:cs="Times New Roman"/>
          <w:sz w:val="24"/>
        </w:rPr>
        <w:t>Th</w:t>
      </w:r>
      <w:r>
        <w:rPr>
          <w:rFonts w:ascii="Times New Roman" w:hAnsi="Times New Roman" w:cs="Times New Roman"/>
          <w:sz w:val="24"/>
        </w:rPr>
        <w:t xml:space="preserve">is </w:t>
      </w:r>
      <w:r w:rsidRPr="00A502C0">
        <w:rPr>
          <w:rFonts w:ascii="Times New Roman" w:hAnsi="Times New Roman" w:cs="Times New Roman"/>
          <w:sz w:val="24"/>
        </w:rPr>
        <w:t xml:space="preserve">change to the Manufacturing Principles is a minor, consequential measure designed to ensure the consistency of the Manufacturing Principles with the </w:t>
      </w:r>
      <w:r w:rsidR="003F33CB">
        <w:rPr>
          <w:rFonts w:ascii="Times New Roman" w:hAnsi="Times New Roman" w:cs="Times New Roman"/>
          <w:sz w:val="24"/>
        </w:rPr>
        <w:t>Order</w:t>
      </w:r>
      <w:r w:rsidRPr="00A502C0">
        <w:rPr>
          <w:rFonts w:ascii="Times New Roman" w:hAnsi="Times New Roman" w:cs="Times New Roman"/>
          <w:sz w:val="24"/>
        </w:rPr>
        <w:t>.</w:t>
      </w:r>
    </w:p>
    <w:p w:rsidR="00372BB3" w:rsidRPr="008B512D" w:rsidRDefault="00372BB3" w:rsidP="00372BB3">
      <w:pPr>
        <w:shd w:val="clear" w:color="auto" w:fill="FFFFFF"/>
        <w:spacing w:before="120" w:after="240" w:line="240" w:lineRule="auto"/>
        <w:outlineLvl w:val="2"/>
        <w:rPr>
          <w:rFonts w:ascii="Helvetica Neue" w:eastAsia="Times New Roman" w:hAnsi="Helvetica Neue" w:cs="Times New Roman"/>
          <w:b/>
          <w:bCs/>
          <w:sz w:val="27"/>
          <w:szCs w:val="27"/>
          <w:lang w:val="en-US" w:eastAsia="en-AU"/>
        </w:rPr>
      </w:pPr>
      <w:r w:rsidRPr="008B512D">
        <w:rPr>
          <w:rFonts w:ascii="Times New Roman" w:eastAsia="Times New Roman" w:hAnsi="Times New Roman" w:cs="Times New Roman"/>
          <w:b/>
          <w:bCs/>
          <w:sz w:val="24"/>
          <w:szCs w:val="24"/>
          <w:lang w:eastAsia="en-AU"/>
        </w:rPr>
        <w:t>Consultation</w:t>
      </w:r>
    </w:p>
    <w:p w:rsidR="00372BB3" w:rsidRDefault="00372BB3" w:rsidP="00372BB3">
      <w:pPr>
        <w:shd w:val="clear" w:color="auto" w:fill="FFFFFF"/>
        <w:spacing w:before="100" w:beforeAutospacing="1" w:after="240" w:line="240" w:lineRule="auto"/>
        <w:rPr>
          <w:rFonts w:ascii="Times New Roman" w:eastAsia="Times New Roman" w:hAnsi="Times New Roman" w:cs="Times New Roman"/>
          <w:sz w:val="24"/>
          <w:szCs w:val="24"/>
          <w:lang w:eastAsia="en-AU"/>
        </w:rPr>
      </w:pPr>
      <w:r w:rsidRPr="008B512D">
        <w:rPr>
          <w:rFonts w:ascii="Times New Roman" w:eastAsia="Times New Roman" w:hAnsi="Times New Roman" w:cs="Times New Roman"/>
          <w:sz w:val="24"/>
          <w:szCs w:val="24"/>
          <w:lang w:eastAsia="en-AU"/>
        </w:rPr>
        <w:t>The TGA consult</w:t>
      </w:r>
      <w:r>
        <w:rPr>
          <w:rFonts w:ascii="Times New Roman" w:eastAsia="Times New Roman" w:hAnsi="Times New Roman" w:cs="Times New Roman"/>
          <w:sz w:val="24"/>
          <w:szCs w:val="24"/>
          <w:lang w:eastAsia="en-AU"/>
        </w:rPr>
        <w:t>ed</w:t>
      </w:r>
      <w:r w:rsidRPr="008B512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main industry sponsor of blood and blood components in Australia, the Australian Red Cross Blood Service (the Blood Service), on the proposal to remake the former Order</w:t>
      </w:r>
      <w:r w:rsidRPr="008B512D">
        <w:rPr>
          <w:rFonts w:ascii="Times New Roman" w:eastAsia="Times New Roman" w:hAnsi="Times New Roman" w:cs="Times New Roman"/>
          <w:sz w:val="24"/>
          <w:szCs w:val="24"/>
          <w:lang w:eastAsia="en-AU"/>
        </w:rPr>
        <w:t xml:space="preserve"> without substantial</w:t>
      </w:r>
      <w:r>
        <w:rPr>
          <w:rFonts w:ascii="Times New Roman" w:eastAsia="Times New Roman" w:hAnsi="Times New Roman" w:cs="Times New Roman"/>
          <w:sz w:val="24"/>
          <w:szCs w:val="24"/>
          <w:lang w:eastAsia="en-AU"/>
        </w:rPr>
        <w:t xml:space="preserve"> change other than to update the Guide to the 19</w:t>
      </w:r>
      <w:r w:rsidRPr="00B01326">
        <w:rPr>
          <w:rFonts w:ascii="Times New Roman" w:eastAsia="Times New Roman" w:hAnsi="Times New Roman" w:cs="Times New Roman"/>
          <w:sz w:val="24"/>
          <w:szCs w:val="24"/>
          <w:vertAlign w:val="superscript"/>
          <w:lang w:eastAsia="en-AU"/>
        </w:rPr>
        <w:t>th</w:t>
      </w:r>
      <w:r>
        <w:rPr>
          <w:rFonts w:ascii="Times New Roman" w:eastAsia="Times New Roman" w:hAnsi="Times New Roman" w:cs="Times New Roman"/>
          <w:sz w:val="24"/>
          <w:szCs w:val="24"/>
          <w:lang w:eastAsia="en-AU"/>
        </w:rPr>
        <w:t xml:space="preserve"> edition</w:t>
      </w:r>
      <w:r w:rsidRPr="008B512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The Blood Service is currently the sole industry organisation involved in the collection and manufacture of blood and blood products for therapeutic use in Australia.</w:t>
      </w:r>
    </w:p>
    <w:p w:rsidR="00372BB3" w:rsidRDefault="00372BB3" w:rsidP="00372BB3">
      <w:pPr>
        <w:shd w:val="clear" w:color="auto" w:fill="FFFFFF"/>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Blood Service indicated that they were fully supportive of the proposal to prepare the Order, and to update the requirements in the Order to align with the 19</w:t>
      </w:r>
      <w:r w:rsidRPr="00833825">
        <w:rPr>
          <w:rFonts w:ascii="Times New Roman" w:eastAsia="Times New Roman" w:hAnsi="Times New Roman" w:cs="Times New Roman"/>
          <w:sz w:val="24"/>
          <w:szCs w:val="24"/>
          <w:vertAlign w:val="superscript"/>
          <w:lang w:eastAsia="en-AU"/>
        </w:rPr>
        <w:t>th</w:t>
      </w:r>
      <w:r>
        <w:rPr>
          <w:rFonts w:ascii="Times New Roman" w:eastAsia="Times New Roman" w:hAnsi="Times New Roman" w:cs="Times New Roman"/>
          <w:sz w:val="24"/>
          <w:szCs w:val="24"/>
          <w:lang w:eastAsia="en-AU"/>
        </w:rPr>
        <w:t xml:space="preserve"> edition of the Guide, particularly as ten years have passed since the former Order adopted the 14</w:t>
      </w:r>
      <w:r w:rsidRPr="00833825">
        <w:rPr>
          <w:rFonts w:ascii="Times New Roman" w:eastAsia="Times New Roman" w:hAnsi="Times New Roman" w:cs="Times New Roman"/>
          <w:sz w:val="24"/>
          <w:szCs w:val="24"/>
          <w:vertAlign w:val="superscript"/>
          <w:lang w:eastAsia="en-AU"/>
        </w:rPr>
        <w:t>th</w:t>
      </w:r>
      <w:r>
        <w:rPr>
          <w:rFonts w:ascii="Times New Roman" w:eastAsia="Times New Roman" w:hAnsi="Times New Roman" w:cs="Times New Roman"/>
          <w:sz w:val="24"/>
          <w:szCs w:val="24"/>
          <w:lang w:eastAsia="en-AU"/>
        </w:rPr>
        <w:t xml:space="preserve"> edition of the Guide. </w:t>
      </w:r>
    </w:p>
    <w:p w:rsidR="00372BB3" w:rsidRDefault="00372BB3" w:rsidP="00372BB3">
      <w:pPr>
        <w:shd w:val="clear" w:color="auto" w:fill="FFFFFF"/>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As part of this consultation, the Blood Service undertook a full comparison and gap analysis between the 14</w:t>
      </w:r>
      <w:r w:rsidRPr="004B0F2D">
        <w:rPr>
          <w:rFonts w:ascii="Times New Roman" w:eastAsia="Times New Roman" w:hAnsi="Times New Roman" w:cs="Times New Roman"/>
          <w:sz w:val="24"/>
          <w:szCs w:val="24"/>
          <w:vertAlign w:val="superscript"/>
          <w:lang w:eastAsia="en-AU"/>
        </w:rPr>
        <w:t>th</w:t>
      </w:r>
      <w:r>
        <w:rPr>
          <w:rFonts w:ascii="Times New Roman" w:eastAsia="Times New Roman" w:hAnsi="Times New Roman" w:cs="Times New Roman"/>
          <w:sz w:val="24"/>
          <w:szCs w:val="24"/>
          <w:lang w:eastAsia="en-AU"/>
        </w:rPr>
        <w:t xml:space="preserve"> and 19</w:t>
      </w:r>
      <w:r w:rsidRPr="004B0F2D">
        <w:rPr>
          <w:rFonts w:ascii="Times New Roman" w:eastAsia="Times New Roman" w:hAnsi="Times New Roman" w:cs="Times New Roman"/>
          <w:sz w:val="24"/>
          <w:szCs w:val="24"/>
          <w:vertAlign w:val="superscript"/>
          <w:lang w:eastAsia="en-AU"/>
        </w:rPr>
        <w:t>th</w:t>
      </w:r>
      <w:r>
        <w:rPr>
          <w:rFonts w:ascii="Times New Roman" w:eastAsia="Times New Roman" w:hAnsi="Times New Roman" w:cs="Times New Roman"/>
          <w:sz w:val="24"/>
          <w:szCs w:val="24"/>
          <w:lang w:eastAsia="en-AU"/>
        </w:rPr>
        <w:t xml:space="preserve"> editions of the Guide to identify all of the differences between the two documents and to assess the impact of moving to the later edition.  Following this analysis, which was shared with the TGA, the Blood Service confirmed </w:t>
      </w:r>
      <w:r w:rsidR="008C63A3">
        <w:rPr>
          <w:rFonts w:ascii="Times New Roman" w:eastAsia="Times New Roman" w:hAnsi="Times New Roman" w:cs="Times New Roman"/>
          <w:sz w:val="24"/>
          <w:szCs w:val="24"/>
          <w:lang w:eastAsia="en-AU"/>
        </w:rPr>
        <w:t xml:space="preserve">its </w:t>
      </w:r>
      <w:r>
        <w:rPr>
          <w:rFonts w:ascii="Times New Roman" w:eastAsia="Times New Roman" w:hAnsi="Times New Roman" w:cs="Times New Roman"/>
          <w:sz w:val="24"/>
          <w:szCs w:val="24"/>
          <w:lang w:eastAsia="en-AU"/>
        </w:rPr>
        <w:t>position that the impact of the proposed changes would be outweighed by the benefits of adopting the 19</w:t>
      </w:r>
      <w:r w:rsidRPr="00474F2A">
        <w:rPr>
          <w:rFonts w:ascii="Times New Roman" w:eastAsia="Times New Roman" w:hAnsi="Times New Roman" w:cs="Times New Roman"/>
          <w:sz w:val="24"/>
          <w:szCs w:val="24"/>
          <w:vertAlign w:val="superscript"/>
          <w:lang w:eastAsia="en-AU"/>
        </w:rPr>
        <w:t>th</w:t>
      </w:r>
      <w:r>
        <w:rPr>
          <w:rFonts w:ascii="Times New Roman" w:eastAsia="Times New Roman" w:hAnsi="Times New Roman" w:cs="Times New Roman"/>
          <w:sz w:val="24"/>
          <w:szCs w:val="24"/>
          <w:lang w:eastAsia="en-AU"/>
        </w:rPr>
        <w:t xml:space="preserve"> edition. The Blood Service also requested a 12</w:t>
      </w:r>
      <w:r w:rsidR="008C63A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month transition period for full compliance with the Order to minimise any regulatory impact of the changes. The Order reflects this in the transitional arrangements in section 8 of the Order by providing that despite its repeal by section 9 of the Order, the former Order continues to apply between 31 March 2019 and 30 March 2020 as an alternative to the standard for blood and blood components constituted by the Order.</w:t>
      </w:r>
    </w:p>
    <w:p w:rsidR="00372BB3" w:rsidRDefault="00372BB3" w:rsidP="00372BB3">
      <w:pPr>
        <w:shd w:val="clear" w:color="auto" w:fill="FFFFFF"/>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Office of Best Practice Regulation (OBPR) ha</w:t>
      </w:r>
      <w:r w:rsidR="008C63A3">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advised that a regulation impact statement is not required in relation to the re-making of the former Order (OBPR reference: 24015).</w:t>
      </w:r>
    </w:p>
    <w:p w:rsidR="001B3AC9" w:rsidRPr="00501389" w:rsidRDefault="001B3AC9" w:rsidP="008B512D">
      <w:pPr>
        <w:shd w:val="clear" w:color="auto" w:fill="FFFFFF"/>
        <w:spacing w:before="120" w:after="240" w:line="240" w:lineRule="auto"/>
        <w:outlineLvl w:val="2"/>
        <w:rPr>
          <w:rFonts w:ascii="Times New Roman" w:eastAsia="Times New Roman" w:hAnsi="Times New Roman" w:cs="Times New Roman"/>
          <w:b/>
          <w:sz w:val="24"/>
          <w:szCs w:val="24"/>
          <w:lang w:eastAsia="en-AU"/>
        </w:rPr>
      </w:pPr>
      <w:r w:rsidRPr="00501389">
        <w:rPr>
          <w:rFonts w:ascii="Times New Roman" w:eastAsia="Times New Roman" w:hAnsi="Times New Roman" w:cs="Times New Roman"/>
          <w:b/>
          <w:sz w:val="24"/>
          <w:szCs w:val="24"/>
          <w:lang w:eastAsia="en-AU"/>
        </w:rPr>
        <w:t>I</w:t>
      </w:r>
      <w:r w:rsidR="00E268C7" w:rsidRPr="00501389">
        <w:rPr>
          <w:rFonts w:ascii="Times New Roman" w:eastAsia="Times New Roman" w:hAnsi="Times New Roman" w:cs="Times New Roman"/>
          <w:b/>
          <w:sz w:val="24"/>
          <w:szCs w:val="24"/>
          <w:lang w:eastAsia="en-AU"/>
        </w:rPr>
        <w:t>ncorporation</w:t>
      </w:r>
      <w:r w:rsidR="009E6126">
        <w:rPr>
          <w:rFonts w:ascii="Times New Roman" w:eastAsia="Times New Roman" w:hAnsi="Times New Roman" w:cs="Times New Roman"/>
          <w:b/>
          <w:sz w:val="24"/>
          <w:szCs w:val="24"/>
          <w:lang w:eastAsia="en-AU"/>
        </w:rPr>
        <w:t xml:space="preserve"> by reference</w:t>
      </w:r>
    </w:p>
    <w:p w:rsidR="002148C7" w:rsidRPr="002148C7" w:rsidRDefault="002148C7" w:rsidP="002148C7">
      <w:pPr>
        <w:pStyle w:val="Definition"/>
        <w:ind w:left="0"/>
        <w:rPr>
          <w:sz w:val="24"/>
          <w:szCs w:val="24"/>
          <w:lang w:val="en"/>
        </w:rPr>
      </w:pPr>
      <w:r>
        <w:rPr>
          <w:sz w:val="24"/>
          <w:szCs w:val="24"/>
          <w:lang w:val="en"/>
        </w:rPr>
        <w:t xml:space="preserve">Paragraph </w:t>
      </w:r>
      <w:r w:rsidR="003F33CB">
        <w:rPr>
          <w:sz w:val="24"/>
          <w:szCs w:val="24"/>
          <w:lang w:val="en"/>
        </w:rPr>
        <w:t>7</w:t>
      </w:r>
      <w:r>
        <w:rPr>
          <w:sz w:val="24"/>
          <w:szCs w:val="24"/>
          <w:lang w:val="en"/>
        </w:rPr>
        <w:t xml:space="preserve">(1)(a) of </w:t>
      </w:r>
      <w:r w:rsidR="003F33CB">
        <w:rPr>
          <w:sz w:val="24"/>
          <w:szCs w:val="24"/>
          <w:lang w:val="en"/>
        </w:rPr>
        <w:t>the Order</w:t>
      </w:r>
      <w:r>
        <w:rPr>
          <w:sz w:val="24"/>
          <w:szCs w:val="24"/>
          <w:lang w:val="en"/>
        </w:rPr>
        <w:t xml:space="preserve"> has the effect that the applicable requirements for blood and blood components under </w:t>
      </w:r>
      <w:r w:rsidR="003F33CB">
        <w:rPr>
          <w:sz w:val="24"/>
          <w:szCs w:val="24"/>
          <w:lang w:val="en"/>
        </w:rPr>
        <w:t>the Order</w:t>
      </w:r>
      <w:r>
        <w:rPr>
          <w:sz w:val="24"/>
          <w:szCs w:val="24"/>
          <w:lang w:val="en"/>
        </w:rPr>
        <w:t xml:space="preserve"> include compliance with </w:t>
      </w:r>
      <w:r w:rsidRPr="002148C7">
        <w:rPr>
          <w:sz w:val="24"/>
          <w:szCs w:val="24"/>
          <w:lang w:val="en"/>
        </w:rPr>
        <w:t xml:space="preserve">the </w:t>
      </w:r>
      <w:r w:rsidRPr="002148C7">
        <w:rPr>
          <w:i/>
          <w:sz w:val="24"/>
          <w:szCs w:val="24"/>
          <w:lang w:val="en"/>
        </w:rPr>
        <w:t>Guide to the preparation, use and quality assurance of blood components</w:t>
      </w:r>
      <w:r>
        <w:rPr>
          <w:sz w:val="24"/>
          <w:szCs w:val="24"/>
          <w:lang w:val="en"/>
        </w:rPr>
        <w:t xml:space="preserve"> (</w:t>
      </w:r>
      <w:r w:rsidR="00152DC0">
        <w:rPr>
          <w:sz w:val="24"/>
          <w:szCs w:val="24"/>
          <w:lang w:val="en"/>
        </w:rPr>
        <w:t>“</w:t>
      </w:r>
      <w:r>
        <w:rPr>
          <w:sz w:val="24"/>
          <w:szCs w:val="24"/>
          <w:lang w:val="en"/>
        </w:rPr>
        <w:t>the Guide</w:t>
      </w:r>
      <w:r w:rsidR="00152DC0">
        <w:rPr>
          <w:sz w:val="24"/>
          <w:szCs w:val="24"/>
          <w:lang w:val="en"/>
        </w:rPr>
        <w:t>”</w:t>
      </w:r>
      <w:r>
        <w:rPr>
          <w:sz w:val="24"/>
          <w:szCs w:val="24"/>
          <w:lang w:val="en"/>
        </w:rPr>
        <w:t>).  The</w:t>
      </w:r>
      <w:r w:rsidRPr="002148C7">
        <w:rPr>
          <w:sz w:val="24"/>
          <w:szCs w:val="24"/>
          <w:lang w:val="en"/>
        </w:rPr>
        <w:t xml:space="preserve"> </w:t>
      </w:r>
      <w:r>
        <w:rPr>
          <w:sz w:val="24"/>
          <w:szCs w:val="24"/>
          <w:lang w:val="en"/>
        </w:rPr>
        <w:t xml:space="preserve">Guide is defined in section 4 of </w:t>
      </w:r>
      <w:r w:rsidR="003F33CB">
        <w:rPr>
          <w:sz w:val="24"/>
          <w:szCs w:val="24"/>
          <w:lang w:val="en"/>
        </w:rPr>
        <w:t>the Order</w:t>
      </w:r>
      <w:r>
        <w:rPr>
          <w:sz w:val="24"/>
          <w:szCs w:val="24"/>
          <w:lang w:val="en"/>
        </w:rPr>
        <w:t xml:space="preserve"> by reference to the </w:t>
      </w:r>
      <w:r w:rsidRPr="002148C7">
        <w:rPr>
          <w:sz w:val="24"/>
          <w:szCs w:val="24"/>
          <w:lang w:val="en"/>
        </w:rPr>
        <w:t>19</w:t>
      </w:r>
      <w:r w:rsidRPr="002148C7">
        <w:rPr>
          <w:sz w:val="24"/>
          <w:szCs w:val="24"/>
          <w:vertAlign w:val="superscript"/>
          <w:lang w:val="en"/>
        </w:rPr>
        <w:t>th</w:t>
      </w:r>
      <w:r>
        <w:rPr>
          <w:sz w:val="24"/>
          <w:szCs w:val="24"/>
          <w:lang w:val="en"/>
        </w:rPr>
        <w:t xml:space="preserve"> edition of that document, </w:t>
      </w:r>
      <w:r w:rsidRPr="002148C7">
        <w:rPr>
          <w:sz w:val="24"/>
          <w:szCs w:val="24"/>
          <w:lang w:val="en"/>
        </w:rPr>
        <w:t xml:space="preserve">published </w:t>
      </w:r>
      <w:r>
        <w:rPr>
          <w:sz w:val="24"/>
          <w:szCs w:val="24"/>
          <w:lang w:val="en"/>
        </w:rPr>
        <w:t xml:space="preserve">in 2017 </w:t>
      </w:r>
      <w:r w:rsidRPr="002148C7">
        <w:rPr>
          <w:sz w:val="24"/>
          <w:szCs w:val="24"/>
          <w:lang w:val="en"/>
        </w:rPr>
        <w:t>by the Council of Europe, as in force or existing immediately before the commencement of this instrument.</w:t>
      </w:r>
    </w:p>
    <w:p w:rsidR="002148C7" w:rsidRPr="002148C7" w:rsidRDefault="002148C7" w:rsidP="00DE7E6B">
      <w:pPr>
        <w:pStyle w:val="Definition"/>
        <w:spacing w:after="240"/>
        <w:ind w:left="0"/>
        <w:rPr>
          <w:sz w:val="24"/>
          <w:szCs w:val="24"/>
          <w:lang w:val="en"/>
        </w:rPr>
      </w:pPr>
      <w:r w:rsidRPr="002148C7">
        <w:rPr>
          <w:sz w:val="24"/>
          <w:szCs w:val="24"/>
          <w:lang w:val="en"/>
        </w:rPr>
        <w:t xml:space="preserve">The Guide can be found (and is freely available) on the internet at: </w:t>
      </w:r>
      <w:hyperlink r:id="rId10" w:history="1">
        <w:r w:rsidRPr="002148C7">
          <w:rPr>
            <w:rStyle w:val="Hyperlink"/>
            <w:sz w:val="24"/>
            <w:szCs w:val="24"/>
            <w:lang w:val="en"/>
          </w:rPr>
          <w:t>https://www.edqm.eu/en/blood-transfusion-guide</w:t>
        </w:r>
      </w:hyperlink>
      <w:r w:rsidRPr="002148C7">
        <w:rPr>
          <w:sz w:val="24"/>
          <w:szCs w:val="24"/>
          <w:lang w:val="en"/>
        </w:rPr>
        <w:t>.</w:t>
      </w:r>
    </w:p>
    <w:p w:rsidR="008B512D" w:rsidRPr="008B512D" w:rsidRDefault="00C913BE" w:rsidP="008B512D">
      <w:pPr>
        <w:shd w:val="clear" w:color="auto" w:fill="FFFFFF"/>
        <w:spacing w:before="100" w:beforeAutospacing="1" w:after="24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xml:space="preserve">Details of </w:t>
      </w:r>
      <w:r w:rsidR="003F33CB">
        <w:rPr>
          <w:rFonts w:ascii="Times New Roman" w:eastAsia="Times New Roman" w:hAnsi="Times New Roman" w:cs="Times New Roman"/>
          <w:sz w:val="24"/>
          <w:szCs w:val="24"/>
          <w:lang w:eastAsia="en-AU"/>
        </w:rPr>
        <w:t>the Order</w:t>
      </w:r>
      <w:r w:rsidR="008B512D" w:rsidRPr="008B512D">
        <w:rPr>
          <w:rFonts w:ascii="Times New Roman" w:eastAsia="Times New Roman" w:hAnsi="Times New Roman" w:cs="Times New Roman"/>
          <w:sz w:val="24"/>
          <w:szCs w:val="24"/>
          <w:lang w:eastAsia="en-AU"/>
        </w:rPr>
        <w:t xml:space="preserve"> are set out in </w:t>
      </w:r>
      <w:r w:rsidR="008B512D" w:rsidRPr="0050632B">
        <w:rPr>
          <w:rFonts w:ascii="Times New Roman" w:eastAsia="Times New Roman" w:hAnsi="Times New Roman" w:cs="Times New Roman"/>
          <w:b/>
          <w:sz w:val="24"/>
          <w:szCs w:val="24"/>
          <w:lang w:eastAsia="en-AU"/>
        </w:rPr>
        <w:t>Attachment A</w:t>
      </w:r>
      <w:r w:rsidR="008B512D" w:rsidRPr="008B512D">
        <w:rPr>
          <w:rFonts w:ascii="Times New Roman" w:eastAsia="Times New Roman" w:hAnsi="Times New Roman" w:cs="Times New Roman"/>
          <w:sz w:val="24"/>
          <w:szCs w:val="24"/>
          <w:lang w:eastAsia="en-AU"/>
        </w:rPr>
        <w:t>.</w:t>
      </w:r>
    </w:p>
    <w:p w:rsidR="008B512D" w:rsidRPr="008B512D" w:rsidRDefault="003F33CB" w:rsidP="008B512D">
      <w:pPr>
        <w:shd w:val="clear" w:color="auto" w:fill="FFFFFF"/>
        <w:spacing w:before="100" w:beforeAutospacing="1" w:after="24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lastRenderedPageBreak/>
        <w:t>The Order</w:t>
      </w:r>
      <w:r w:rsidR="008B512D" w:rsidRPr="008B512D">
        <w:rPr>
          <w:rFonts w:ascii="Times New Roman" w:eastAsia="Times New Roman" w:hAnsi="Times New Roman" w:cs="Times New Roman"/>
          <w:sz w:val="24"/>
          <w:szCs w:val="24"/>
          <w:lang w:eastAsia="en-AU"/>
        </w:rPr>
        <w:t xml:space="preserve"> is compatible with the human rights and freedoms recognised or declared under section 3 of the </w:t>
      </w:r>
      <w:r w:rsidR="008B512D" w:rsidRPr="008B512D">
        <w:rPr>
          <w:rFonts w:ascii="Times New Roman" w:eastAsia="Times New Roman" w:hAnsi="Times New Roman" w:cs="Times New Roman"/>
          <w:i/>
          <w:iCs/>
          <w:sz w:val="24"/>
          <w:szCs w:val="24"/>
          <w:lang w:eastAsia="en-AU"/>
        </w:rPr>
        <w:t>Human Rights (Parliamentary Scrutiny) Act 2011</w:t>
      </w:r>
      <w:r w:rsidR="008B512D" w:rsidRPr="008B512D">
        <w:rPr>
          <w:rFonts w:ascii="Times New Roman" w:eastAsia="Times New Roman" w:hAnsi="Times New Roman" w:cs="Times New Roman"/>
          <w:sz w:val="24"/>
          <w:szCs w:val="24"/>
          <w:lang w:eastAsia="en-AU"/>
        </w:rPr>
        <w:t xml:space="preserve">. A full statement of compatibility is set out in </w:t>
      </w:r>
      <w:r w:rsidR="008B512D" w:rsidRPr="0050632B">
        <w:rPr>
          <w:rFonts w:ascii="Times New Roman" w:eastAsia="Times New Roman" w:hAnsi="Times New Roman" w:cs="Times New Roman"/>
          <w:b/>
          <w:sz w:val="24"/>
          <w:szCs w:val="24"/>
          <w:lang w:eastAsia="en-AU"/>
        </w:rPr>
        <w:t>Attachment B</w:t>
      </w:r>
      <w:r w:rsidR="008B512D" w:rsidRPr="006A1D91">
        <w:rPr>
          <w:rFonts w:ascii="Times New Roman" w:eastAsia="Times New Roman" w:hAnsi="Times New Roman" w:cs="Times New Roman"/>
          <w:sz w:val="24"/>
          <w:szCs w:val="24"/>
          <w:lang w:eastAsia="en-AU"/>
        </w:rPr>
        <w:t>.</w:t>
      </w:r>
    </w:p>
    <w:p w:rsidR="008B512D" w:rsidRPr="008B512D" w:rsidRDefault="008B512D" w:rsidP="008B512D">
      <w:pPr>
        <w:shd w:val="clear" w:color="auto" w:fill="FFFFFF"/>
        <w:spacing w:before="100" w:beforeAutospacing="1" w:after="240" w:line="240" w:lineRule="auto"/>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sz w:val="24"/>
          <w:szCs w:val="24"/>
          <w:lang w:eastAsia="en-AU"/>
        </w:rPr>
        <w:t>Th</w:t>
      </w:r>
      <w:r w:rsidR="003F33CB">
        <w:rPr>
          <w:rFonts w:ascii="Times New Roman" w:eastAsia="Times New Roman" w:hAnsi="Times New Roman" w:cs="Times New Roman"/>
          <w:sz w:val="24"/>
          <w:szCs w:val="24"/>
          <w:lang w:eastAsia="en-AU"/>
        </w:rPr>
        <w:t>e</w:t>
      </w:r>
      <w:r w:rsidRPr="008B512D">
        <w:rPr>
          <w:rFonts w:ascii="Times New Roman" w:eastAsia="Times New Roman" w:hAnsi="Times New Roman" w:cs="Times New Roman"/>
          <w:sz w:val="24"/>
          <w:szCs w:val="24"/>
          <w:lang w:eastAsia="en-AU"/>
        </w:rPr>
        <w:t xml:space="preserve"> Order is a disallowable legislative instrument, and commences </w:t>
      </w:r>
      <w:r w:rsidR="00DA0620">
        <w:rPr>
          <w:rFonts w:ascii="Times New Roman" w:eastAsia="Times New Roman" w:hAnsi="Times New Roman" w:cs="Times New Roman"/>
          <w:sz w:val="24"/>
          <w:szCs w:val="24"/>
          <w:lang w:eastAsia="en-AU"/>
        </w:rPr>
        <w:t>on 31 March 2019</w:t>
      </w:r>
      <w:r w:rsidRPr="008B512D">
        <w:rPr>
          <w:rFonts w:ascii="Times New Roman" w:eastAsia="Times New Roman" w:hAnsi="Times New Roman" w:cs="Times New Roman"/>
          <w:sz w:val="24"/>
          <w:szCs w:val="24"/>
          <w:lang w:eastAsia="en-AU"/>
        </w:rPr>
        <w:t>.</w:t>
      </w:r>
    </w:p>
    <w:p w:rsidR="008B512D" w:rsidRPr="008B512D" w:rsidRDefault="008B512D" w:rsidP="008B512D">
      <w:pPr>
        <w:shd w:val="clear" w:color="auto" w:fill="FFFFFF"/>
        <w:spacing w:before="100" w:beforeAutospacing="1" w:after="240" w:line="240" w:lineRule="auto"/>
        <w:jc w:val="right"/>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sz w:val="24"/>
          <w:szCs w:val="24"/>
          <w:lang w:eastAsia="en-AU"/>
        </w:rPr>
        <w:br w:type="page"/>
      </w:r>
      <w:r w:rsidRPr="008B512D">
        <w:rPr>
          <w:rFonts w:ascii="Times New Roman" w:eastAsia="Times New Roman" w:hAnsi="Times New Roman" w:cs="Times New Roman"/>
          <w:b/>
          <w:bCs/>
          <w:sz w:val="24"/>
          <w:szCs w:val="24"/>
          <w:lang w:eastAsia="en-AU"/>
        </w:rPr>
        <w:lastRenderedPageBreak/>
        <w:t>A</w:t>
      </w:r>
      <w:r w:rsidR="00372BB3" w:rsidRPr="008B512D">
        <w:rPr>
          <w:rFonts w:ascii="Times New Roman" w:eastAsia="Times New Roman" w:hAnsi="Times New Roman" w:cs="Times New Roman"/>
          <w:b/>
          <w:bCs/>
          <w:sz w:val="24"/>
          <w:szCs w:val="24"/>
          <w:lang w:eastAsia="en-AU"/>
        </w:rPr>
        <w:t>ttachment</w:t>
      </w:r>
      <w:r w:rsidRPr="008B512D">
        <w:rPr>
          <w:rFonts w:ascii="Times New Roman" w:eastAsia="Times New Roman" w:hAnsi="Times New Roman" w:cs="Times New Roman"/>
          <w:b/>
          <w:bCs/>
          <w:sz w:val="24"/>
          <w:szCs w:val="24"/>
          <w:lang w:eastAsia="en-AU"/>
        </w:rPr>
        <w:t xml:space="preserve"> A</w:t>
      </w:r>
    </w:p>
    <w:p w:rsidR="008B512D" w:rsidRPr="008B512D" w:rsidRDefault="008B512D" w:rsidP="008B512D">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bookmarkStart w:id="1" w:name="_Toc199566624"/>
      <w:r w:rsidRPr="008B512D">
        <w:rPr>
          <w:rFonts w:ascii="Times New Roman" w:eastAsia="Times New Roman" w:hAnsi="Times New Roman" w:cs="Times New Roman"/>
          <w:b/>
          <w:bCs/>
          <w:sz w:val="24"/>
          <w:szCs w:val="24"/>
          <w:lang w:eastAsia="en-AU"/>
        </w:rPr>
        <w:t xml:space="preserve">Details of </w:t>
      </w:r>
      <w:r w:rsidR="00372BB3">
        <w:rPr>
          <w:rFonts w:ascii="Times New Roman" w:eastAsia="Times New Roman" w:hAnsi="Times New Roman" w:cs="Times New Roman"/>
          <w:b/>
          <w:bCs/>
          <w:sz w:val="24"/>
          <w:szCs w:val="24"/>
          <w:lang w:eastAsia="en-AU"/>
        </w:rPr>
        <w:t xml:space="preserve">the </w:t>
      </w:r>
      <w:r w:rsidR="00C913BE" w:rsidRPr="00C913BE">
        <w:rPr>
          <w:rFonts w:ascii="Times New Roman" w:eastAsia="Times New Roman" w:hAnsi="Times New Roman" w:cs="Times New Roman"/>
          <w:b/>
          <w:bCs/>
          <w:i/>
          <w:iCs/>
          <w:sz w:val="24"/>
          <w:szCs w:val="24"/>
          <w:lang w:eastAsia="en-AU"/>
        </w:rPr>
        <w:t>Therapeutic Goods (Standard for Blood and Blood C</w:t>
      </w:r>
      <w:r w:rsidR="00C913BE">
        <w:rPr>
          <w:rFonts w:ascii="Times New Roman" w:eastAsia="Times New Roman" w:hAnsi="Times New Roman" w:cs="Times New Roman"/>
          <w:b/>
          <w:bCs/>
          <w:i/>
          <w:iCs/>
          <w:sz w:val="24"/>
          <w:szCs w:val="24"/>
          <w:lang w:eastAsia="en-AU"/>
        </w:rPr>
        <w:t>omponents)</w:t>
      </w:r>
      <w:r w:rsidR="00C913BE" w:rsidRPr="00C913BE">
        <w:rPr>
          <w:rFonts w:ascii="Times New Roman" w:eastAsia="Times New Roman" w:hAnsi="Times New Roman" w:cs="Times New Roman"/>
          <w:b/>
          <w:bCs/>
          <w:i/>
          <w:iCs/>
          <w:sz w:val="24"/>
          <w:szCs w:val="24"/>
          <w:lang w:eastAsia="en-AU"/>
        </w:rPr>
        <w:t xml:space="preserve"> </w:t>
      </w:r>
      <w:r w:rsidR="00F506E1">
        <w:rPr>
          <w:rFonts w:ascii="Times New Roman" w:eastAsia="Times New Roman" w:hAnsi="Times New Roman" w:cs="Times New Roman"/>
          <w:b/>
          <w:bCs/>
          <w:i/>
          <w:iCs/>
          <w:sz w:val="24"/>
          <w:szCs w:val="24"/>
          <w:lang w:eastAsia="en-AU"/>
        </w:rPr>
        <w:t>(</w:t>
      </w:r>
      <w:r w:rsidR="00B659EA">
        <w:rPr>
          <w:rFonts w:ascii="Times New Roman" w:eastAsia="Times New Roman" w:hAnsi="Times New Roman" w:cs="Times New Roman"/>
          <w:b/>
          <w:bCs/>
          <w:i/>
          <w:iCs/>
          <w:sz w:val="24"/>
          <w:szCs w:val="24"/>
          <w:lang w:eastAsia="en-AU"/>
        </w:rPr>
        <w:t>TGO 102</w:t>
      </w:r>
      <w:r w:rsidR="00F506E1">
        <w:rPr>
          <w:rFonts w:ascii="Times New Roman" w:eastAsia="Times New Roman" w:hAnsi="Times New Roman" w:cs="Times New Roman"/>
          <w:b/>
          <w:bCs/>
          <w:i/>
          <w:iCs/>
          <w:sz w:val="24"/>
          <w:szCs w:val="24"/>
          <w:lang w:eastAsia="en-AU"/>
        </w:rPr>
        <w:t xml:space="preserve">) </w:t>
      </w:r>
      <w:r w:rsidR="00C913BE" w:rsidRPr="00C913BE">
        <w:rPr>
          <w:rFonts w:ascii="Times New Roman" w:eastAsia="Times New Roman" w:hAnsi="Times New Roman" w:cs="Times New Roman"/>
          <w:b/>
          <w:bCs/>
          <w:i/>
          <w:iCs/>
          <w:sz w:val="24"/>
          <w:szCs w:val="24"/>
          <w:lang w:eastAsia="en-AU"/>
        </w:rPr>
        <w:t>Order 2019</w:t>
      </w:r>
      <w:bookmarkEnd w:id="1"/>
    </w:p>
    <w:p w:rsidR="008B512D" w:rsidRPr="008B512D" w:rsidRDefault="008B512D" w:rsidP="00C913BE">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b/>
          <w:bCs/>
          <w:sz w:val="24"/>
          <w:szCs w:val="24"/>
          <w:lang w:eastAsia="en-AU"/>
        </w:rPr>
        <w:t> Section 1</w:t>
      </w:r>
      <w:r w:rsidRPr="008B512D">
        <w:rPr>
          <w:rFonts w:ascii="Times New Roman" w:eastAsia="Times New Roman" w:hAnsi="Times New Roman" w:cs="Times New Roman"/>
          <w:sz w:val="24"/>
          <w:szCs w:val="24"/>
          <w:lang w:eastAsia="en-AU"/>
        </w:rPr>
        <w:t xml:space="preserve"> </w:t>
      </w:r>
      <w:r w:rsidRPr="008B512D">
        <w:rPr>
          <w:rFonts w:ascii="Times New Roman" w:eastAsia="Times New Roman" w:hAnsi="Times New Roman" w:cs="Times New Roman"/>
          <w:b/>
          <w:bCs/>
          <w:sz w:val="24"/>
          <w:szCs w:val="24"/>
          <w:lang w:eastAsia="en-AU"/>
        </w:rPr>
        <w:t>Name</w:t>
      </w:r>
    </w:p>
    <w:p w:rsidR="008B512D" w:rsidRPr="008B512D" w:rsidRDefault="008B512D" w:rsidP="008B512D">
      <w:pPr>
        <w:shd w:val="clear" w:color="auto" w:fill="FFFFFF"/>
        <w:spacing w:before="100" w:beforeAutospacing="1" w:after="240" w:line="240" w:lineRule="auto"/>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sz w:val="24"/>
          <w:szCs w:val="24"/>
          <w:lang w:eastAsia="en-AU"/>
        </w:rPr>
        <w:t>This section provides that the name of th</w:t>
      </w:r>
      <w:r w:rsidR="00B46783">
        <w:rPr>
          <w:rFonts w:ascii="Times New Roman" w:eastAsia="Times New Roman" w:hAnsi="Times New Roman" w:cs="Times New Roman"/>
          <w:sz w:val="24"/>
          <w:szCs w:val="24"/>
          <w:lang w:eastAsia="en-AU"/>
        </w:rPr>
        <w:t>e</w:t>
      </w:r>
      <w:r w:rsidRPr="008B512D">
        <w:rPr>
          <w:rFonts w:ascii="Times New Roman" w:eastAsia="Times New Roman" w:hAnsi="Times New Roman" w:cs="Times New Roman"/>
          <w:sz w:val="24"/>
          <w:szCs w:val="24"/>
          <w:lang w:eastAsia="en-AU"/>
        </w:rPr>
        <w:t xml:space="preserve"> Order is </w:t>
      </w:r>
      <w:r w:rsidR="00372BB3">
        <w:rPr>
          <w:rFonts w:ascii="Times New Roman" w:eastAsia="Times New Roman" w:hAnsi="Times New Roman" w:cs="Times New Roman"/>
          <w:sz w:val="24"/>
          <w:szCs w:val="24"/>
          <w:lang w:eastAsia="en-AU"/>
        </w:rPr>
        <w:t xml:space="preserve">the </w:t>
      </w:r>
      <w:r w:rsidR="00C913BE" w:rsidRPr="00C913BE">
        <w:rPr>
          <w:rFonts w:ascii="Times New Roman" w:eastAsia="Times New Roman" w:hAnsi="Times New Roman" w:cs="Times New Roman"/>
          <w:i/>
          <w:iCs/>
          <w:sz w:val="24"/>
          <w:szCs w:val="24"/>
          <w:lang w:eastAsia="en-AU"/>
        </w:rPr>
        <w:t>Therapeutic Goods (Standard for Blood and Blood Components) (</w:t>
      </w:r>
      <w:r w:rsidR="003F33CB">
        <w:rPr>
          <w:rFonts w:ascii="Times New Roman" w:eastAsia="Times New Roman" w:hAnsi="Times New Roman" w:cs="Times New Roman"/>
          <w:i/>
          <w:iCs/>
          <w:sz w:val="24"/>
          <w:szCs w:val="24"/>
          <w:lang w:eastAsia="en-AU"/>
        </w:rPr>
        <w:t>TGO 102</w:t>
      </w:r>
      <w:r w:rsidR="00C913BE" w:rsidRPr="00C913BE">
        <w:rPr>
          <w:rFonts w:ascii="Times New Roman" w:eastAsia="Times New Roman" w:hAnsi="Times New Roman" w:cs="Times New Roman"/>
          <w:i/>
          <w:iCs/>
          <w:sz w:val="24"/>
          <w:szCs w:val="24"/>
          <w:lang w:eastAsia="en-AU"/>
        </w:rPr>
        <w:t>) Order 2019</w:t>
      </w:r>
      <w:r w:rsidR="00372BB3">
        <w:rPr>
          <w:rFonts w:ascii="Times New Roman" w:eastAsia="Times New Roman" w:hAnsi="Times New Roman" w:cs="Times New Roman"/>
          <w:sz w:val="24"/>
          <w:szCs w:val="24"/>
          <w:lang w:eastAsia="en-AU"/>
        </w:rPr>
        <w:t>.  I</w:t>
      </w:r>
      <w:r w:rsidRPr="008B512D">
        <w:rPr>
          <w:rFonts w:ascii="Times New Roman" w:eastAsia="Times New Roman" w:hAnsi="Times New Roman" w:cs="Times New Roman"/>
          <w:sz w:val="24"/>
          <w:szCs w:val="24"/>
          <w:lang w:eastAsia="en-AU"/>
        </w:rPr>
        <w:t>t may also be cite</w:t>
      </w:r>
      <w:r w:rsidR="00C913BE">
        <w:rPr>
          <w:rFonts w:ascii="Times New Roman" w:eastAsia="Times New Roman" w:hAnsi="Times New Roman" w:cs="Times New Roman"/>
          <w:sz w:val="24"/>
          <w:szCs w:val="24"/>
          <w:lang w:eastAsia="en-AU"/>
        </w:rPr>
        <w:t xml:space="preserve">d as </w:t>
      </w:r>
      <w:r w:rsidR="00152DC0">
        <w:rPr>
          <w:rFonts w:ascii="Times New Roman" w:eastAsia="Times New Roman" w:hAnsi="Times New Roman" w:cs="Times New Roman"/>
          <w:sz w:val="24"/>
          <w:szCs w:val="24"/>
          <w:lang w:eastAsia="en-AU"/>
        </w:rPr>
        <w:t>TGO 102</w:t>
      </w:r>
      <w:r w:rsidRPr="008B512D">
        <w:rPr>
          <w:rFonts w:ascii="Times New Roman" w:eastAsia="Times New Roman" w:hAnsi="Times New Roman" w:cs="Times New Roman"/>
          <w:sz w:val="24"/>
          <w:szCs w:val="24"/>
          <w:lang w:eastAsia="en-AU"/>
        </w:rPr>
        <w:t>.</w:t>
      </w:r>
    </w:p>
    <w:p w:rsidR="008B512D" w:rsidRPr="008B512D" w:rsidRDefault="008B512D" w:rsidP="008B512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bookmarkStart w:id="2" w:name="_Toc199566625"/>
      <w:r w:rsidRPr="008B512D">
        <w:rPr>
          <w:rFonts w:ascii="Times New Roman" w:eastAsia="Times New Roman" w:hAnsi="Times New Roman" w:cs="Times New Roman"/>
          <w:b/>
          <w:bCs/>
          <w:sz w:val="24"/>
          <w:szCs w:val="24"/>
          <w:lang w:eastAsia="en-AU"/>
        </w:rPr>
        <w:t>Section 2 Commencement</w:t>
      </w:r>
      <w:bookmarkEnd w:id="2"/>
    </w:p>
    <w:p w:rsidR="008B512D" w:rsidRPr="008B512D" w:rsidRDefault="008B512D" w:rsidP="008B512D">
      <w:pPr>
        <w:shd w:val="clear" w:color="auto" w:fill="FFFFFF"/>
        <w:spacing w:before="100" w:beforeAutospacing="1" w:after="240" w:line="240" w:lineRule="auto"/>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sz w:val="24"/>
          <w:szCs w:val="24"/>
          <w:lang w:eastAsia="en-AU"/>
        </w:rPr>
        <w:t>This section provides that th</w:t>
      </w:r>
      <w:r w:rsidR="00B46783">
        <w:rPr>
          <w:rFonts w:ascii="Times New Roman" w:eastAsia="Times New Roman" w:hAnsi="Times New Roman" w:cs="Times New Roman"/>
          <w:sz w:val="24"/>
          <w:szCs w:val="24"/>
          <w:lang w:eastAsia="en-AU"/>
        </w:rPr>
        <w:t>e</w:t>
      </w:r>
      <w:r w:rsidRPr="008B512D">
        <w:rPr>
          <w:rFonts w:ascii="Times New Roman" w:eastAsia="Times New Roman" w:hAnsi="Times New Roman" w:cs="Times New Roman"/>
          <w:sz w:val="24"/>
          <w:szCs w:val="24"/>
          <w:lang w:eastAsia="en-AU"/>
        </w:rPr>
        <w:t xml:space="preserve"> Order commences on </w:t>
      </w:r>
      <w:r w:rsidR="00A25B56">
        <w:rPr>
          <w:rFonts w:ascii="Times New Roman" w:eastAsia="Times New Roman" w:hAnsi="Times New Roman" w:cs="Times New Roman"/>
          <w:sz w:val="24"/>
          <w:szCs w:val="24"/>
          <w:lang w:eastAsia="en-AU"/>
        </w:rPr>
        <w:t>31 March 2019</w:t>
      </w:r>
      <w:r w:rsidRPr="008B512D">
        <w:rPr>
          <w:rFonts w:ascii="Times New Roman" w:eastAsia="Times New Roman" w:hAnsi="Times New Roman" w:cs="Times New Roman"/>
          <w:sz w:val="24"/>
          <w:szCs w:val="24"/>
          <w:lang w:eastAsia="en-AU"/>
        </w:rPr>
        <w:t>.</w:t>
      </w:r>
    </w:p>
    <w:p w:rsidR="008B512D" w:rsidRPr="008B512D" w:rsidRDefault="008B512D" w:rsidP="008B512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bookmarkStart w:id="3" w:name="_Toc199566627"/>
      <w:r w:rsidRPr="008B512D">
        <w:rPr>
          <w:rFonts w:ascii="Times New Roman" w:eastAsia="Times New Roman" w:hAnsi="Times New Roman" w:cs="Times New Roman"/>
          <w:b/>
          <w:bCs/>
          <w:sz w:val="24"/>
          <w:szCs w:val="24"/>
          <w:lang w:eastAsia="en-AU"/>
        </w:rPr>
        <w:t>Section 3</w:t>
      </w:r>
      <w:bookmarkEnd w:id="3"/>
      <w:r w:rsidRPr="008B512D">
        <w:rPr>
          <w:rFonts w:ascii="Times New Roman" w:eastAsia="Times New Roman" w:hAnsi="Times New Roman" w:cs="Times New Roman"/>
          <w:sz w:val="24"/>
          <w:szCs w:val="24"/>
          <w:lang w:eastAsia="en-AU"/>
        </w:rPr>
        <w:t xml:space="preserve"> </w:t>
      </w:r>
      <w:r w:rsidRPr="008B512D">
        <w:rPr>
          <w:rFonts w:ascii="Times New Roman" w:eastAsia="Times New Roman" w:hAnsi="Times New Roman" w:cs="Times New Roman"/>
          <w:b/>
          <w:bCs/>
          <w:sz w:val="24"/>
          <w:szCs w:val="24"/>
          <w:lang w:eastAsia="en-AU"/>
        </w:rPr>
        <w:t>Authority</w:t>
      </w:r>
    </w:p>
    <w:p w:rsidR="008B512D" w:rsidRPr="008B512D" w:rsidRDefault="008B512D" w:rsidP="008B512D">
      <w:pPr>
        <w:shd w:val="clear" w:color="auto" w:fill="FFFFFF"/>
        <w:spacing w:before="100" w:beforeAutospacing="1" w:after="240" w:line="240" w:lineRule="auto"/>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sz w:val="24"/>
          <w:szCs w:val="24"/>
          <w:lang w:eastAsia="en-AU"/>
        </w:rPr>
        <w:t>This section provides that the legislative authority for maki</w:t>
      </w:r>
      <w:r w:rsidR="00C913BE">
        <w:rPr>
          <w:rFonts w:ascii="Times New Roman" w:eastAsia="Times New Roman" w:hAnsi="Times New Roman" w:cs="Times New Roman"/>
          <w:sz w:val="24"/>
          <w:szCs w:val="24"/>
          <w:lang w:eastAsia="en-AU"/>
        </w:rPr>
        <w:t>ng the Order is section</w:t>
      </w:r>
      <w:r w:rsidR="00B46783">
        <w:rPr>
          <w:rFonts w:ascii="Times New Roman" w:eastAsia="Times New Roman" w:hAnsi="Times New Roman" w:cs="Times New Roman"/>
          <w:sz w:val="24"/>
          <w:szCs w:val="24"/>
          <w:lang w:eastAsia="en-AU"/>
        </w:rPr>
        <w:t>s</w:t>
      </w:r>
      <w:r w:rsidR="00C913BE">
        <w:rPr>
          <w:rFonts w:ascii="Times New Roman" w:eastAsia="Times New Roman" w:hAnsi="Times New Roman" w:cs="Times New Roman"/>
          <w:sz w:val="24"/>
          <w:szCs w:val="24"/>
          <w:lang w:eastAsia="en-AU"/>
        </w:rPr>
        <w:t xml:space="preserve"> 10</w:t>
      </w:r>
      <w:r w:rsidRPr="008B512D">
        <w:rPr>
          <w:rFonts w:ascii="Times New Roman" w:eastAsia="Times New Roman" w:hAnsi="Times New Roman" w:cs="Times New Roman"/>
          <w:sz w:val="24"/>
          <w:szCs w:val="24"/>
          <w:lang w:eastAsia="en-AU"/>
        </w:rPr>
        <w:t xml:space="preserve"> </w:t>
      </w:r>
      <w:r w:rsidR="00B46783">
        <w:rPr>
          <w:rFonts w:ascii="Times New Roman" w:eastAsia="Times New Roman" w:hAnsi="Times New Roman" w:cs="Times New Roman"/>
          <w:sz w:val="24"/>
          <w:szCs w:val="24"/>
          <w:lang w:eastAsia="en-AU"/>
        </w:rPr>
        <w:t xml:space="preserve">and 36 </w:t>
      </w:r>
      <w:r w:rsidRPr="008B512D">
        <w:rPr>
          <w:rFonts w:ascii="Times New Roman" w:eastAsia="Times New Roman" w:hAnsi="Times New Roman" w:cs="Times New Roman"/>
          <w:sz w:val="24"/>
          <w:szCs w:val="24"/>
          <w:lang w:eastAsia="en-AU"/>
        </w:rPr>
        <w:t xml:space="preserve">of the </w:t>
      </w:r>
      <w:r w:rsidRPr="008B512D">
        <w:rPr>
          <w:rFonts w:ascii="Times New Roman" w:eastAsia="Times New Roman" w:hAnsi="Times New Roman" w:cs="Times New Roman"/>
          <w:i/>
          <w:iCs/>
          <w:sz w:val="24"/>
          <w:szCs w:val="24"/>
          <w:lang w:eastAsia="en-AU"/>
        </w:rPr>
        <w:t>Therapeutic Goods Act 1989</w:t>
      </w:r>
      <w:r w:rsidRPr="008B512D">
        <w:rPr>
          <w:rFonts w:ascii="Times New Roman" w:eastAsia="Times New Roman" w:hAnsi="Times New Roman" w:cs="Times New Roman"/>
          <w:sz w:val="24"/>
          <w:szCs w:val="24"/>
          <w:lang w:eastAsia="en-AU"/>
        </w:rPr>
        <w:t xml:space="preserve"> (</w:t>
      </w:r>
      <w:r w:rsidR="00996CBD">
        <w:rPr>
          <w:rFonts w:ascii="Times New Roman" w:eastAsia="Times New Roman" w:hAnsi="Times New Roman" w:cs="Times New Roman"/>
          <w:sz w:val="24"/>
          <w:szCs w:val="24"/>
          <w:lang w:eastAsia="en-AU"/>
        </w:rPr>
        <w:t>“</w:t>
      </w:r>
      <w:r w:rsidRPr="008B512D">
        <w:rPr>
          <w:rFonts w:ascii="Times New Roman" w:eastAsia="Times New Roman" w:hAnsi="Times New Roman" w:cs="Times New Roman"/>
          <w:sz w:val="24"/>
          <w:szCs w:val="24"/>
          <w:lang w:eastAsia="en-AU"/>
        </w:rPr>
        <w:t>the Act</w:t>
      </w:r>
      <w:r w:rsidR="00996CBD">
        <w:rPr>
          <w:rFonts w:ascii="Times New Roman" w:eastAsia="Times New Roman" w:hAnsi="Times New Roman" w:cs="Times New Roman"/>
          <w:sz w:val="24"/>
          <w:szCs w:val="24"/>
          <w:lang w:eastAsia="en-AU"/>
        </w:rPr>
        <w:t>”</w:t>
      </w:r>
      <w:r w:rsidRPr="008B512D">
        <w:rPr>
          <w:rFonts w:ascii="Times New Roman" w:eastAsia="Times New Roman" w:hAnsi="Times New Roman" w:cs="Times New Roman"/>
          <w:sz w:val="24"/>
          <w:szCs w:val="24"/>
          <w:lang w:eastAsia="en-AU"/>
        </w:rPr>
        <w:t>).</w:t>
      </w:r>
    </w:p>
    <w:p w:rsidR="008B512D" w:rsidRPr="008B512D" w:rsidRDefault="008B512D" w:rsidP="008B512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bookmarkStart w:id="4" w:name="_Toc199566628"/>
      <w:r w:rsidRPr="008B512D">
        <w:rPr>
          <w:rFonts w:ascii="Times New Roman" w:eastAsia="Times New Roman" w:hAnsi="Times New Roman" w:cs="Times New Roman"/>
          <w:b/>
          <w:bCs/>
          <w:sz w:val="24"/>
          <w:szCs w:val="24"/>
          <w:lang w:eastAsia="en-AU"/>
        </w:rPr>
        <w:t>Section 4</w:t>
      </w:r>
      <w:r w:rsidRPr="008B512D">
        <w:rPr>
          <w:rFonts w:ascii="Times New Roman" w:eastAsia="Times New Roman" w:hAnsi="Times New Roman" w:cs="Times New Roman"/>
          <w:sz w:val="24"/>
          <w:szCs w:val="24"/>
          <w:lang w:eastAsia="en-AU"/>
        </w:rPr>
        <w:t xml:space="preserve"> </w:t>
      </w:r>
      <w:r w:rsidRPr="008B512D">
        <w:rPr>
          <w:rFonts w:ascii="Times New Roman" w:eastAsia="Times New Roman" w:hAnsi="Times New Roman" w:cs="Times New Roman"/>
          <w:b/>
          <w:bCs/>
          <w:sz w:val="24"/>
          <w:szCs w:val="24"/>
          <w:lang w:eastAsia="en-AU"/>
        </w:rPr>
        <w:t>Definitions</w:t>
      </w:r>
      <w:bookmarkEnd w:id="4"/>
    </w:p>
    <w:p w:rsidR="00152DC0" w:rsidRPr="0050632B" w:rsidRDefault="008B512D" w:rsidP="008B512D">
      <w:pPr>
        <w:shd w:val="clear" w:color="auto" w:fill="FFFFFF"/>
        <w:spacing w:before="100" w:beforeAutospacing="1" w:after="240" w:line="240" w:lineRule="auto"/>
        <w:rPr>
          <w:rFonts w:ascii="Times New Roman" w:eastAsia="Times New Roman" w:hAnsi="Times New Roman" w:cs="Times New Roman"/>
          <w:sz w:val="24"/>
          <w:szCs w:val="24"/>
          <w:lang w:eastAsia="en-AU"/>
        </w:rPr>
      </w:pPr>
      <w:r w:rsidRPr="008B512D">
        <w:rPr>
          <w:rFonts w:ascii="Times New Roman" w:eastAsia="Times New Roman" w:hAnsi="Times New Roman" w:cs="Times New Roman"/>
          <w:sz w:val="24"/>
          <w:szCs w:val="24"/>
          <w:lang w:eastAsia="en-AU"/>
        </w:rPr>
        <w:t xml:space="preserve">This section </w:t>
      </w:r>
      <w:r w:rsidR="00372BB3">
        <w:rPr>
          <w:rFonts w:ascii="Times New Roman" w:eastAsia="Times New Roman" w:hAnsi="Times New Roman" w:cs="Times New Roman"/>
          <w:sz w:val="24"/>
          <w:szCs w:val="24"/>
          <w:lang w:eastAsia="en-AU"/>
        </w:rPr>
        <w:t>sets out</w:t>
      </w:r>
      <w:r w:rsidRPr="008B512D">
        <w:rPr>
          <w:rFonts w:ascii="Times New Roman" w:eastAsia="Times New Roman" w:hAnsi="Times New Roman" w:cs="Times New Roman"/>
          <w:sz w:val="24"/>
          <w:szCs w:val="24"/>
          <w:lang w:eastAsia="en-AU"/>
        </w:rPr>
        <w:t xml:space="preserve"> </w:t>
      </w:r>
      <w:r w:rsidR="00372BB3">
        <w:rPr>
          <w:rFonts w:ascii="Times New Roman" w:eastAsia="Times New Roman" w:hAnsi="Times New Roman" w:cs="Times New Roman"/>
          <w:sz w:val="24"/>
          <w:szCs w:val="24"/>
          <w:lang w:eastAsia="en-AU"/>
        </w:rPr>
        <w:t xml:space="preserve">definitions for </w:t>
      </w:r>
      <w:r w:rsidRPr="008B512D">
        <w:rPr>
          <w:rFonts w:ascii="Times New Roman" w:eastAsia="Times New Roman" w:hAnsi="Times New Roman" w:cs="Times New Roman"/>
          <w:sz w:val="24"/>
          <w:szCs w:val="24"/>
          <w:lang w:eastAsia="en-AU"/>
        </w:rPr>
        <w:t>a number of terms used in th</w:t>
      </w:r>
      <w:r w:rsidR="00B46783">
        <w:rPr>
          <w:rFonts w:ascii="Times New Roman" w:eastAsia="Times New Roman" w:hAnsi="Times New Roman" w:cs="Times New Roman"/>
          <w:sz w:val="24"/>
          <w:szCs w:val="24"/>
          <w:lang w:eastAsia="en-AU"/>
        </w:rPr>
        <w:t>e</w:t>
      </w:r>
      <w:r w:rsidRPr="008B512D">
        <w:rPr>
          <w:rFonts w:ascii="Times New Roman" w:eastAsia="Times New Roman" w:hAnsi="Times New Roman" w:cs="Times New Roman"/>
          <w:sz w:val="24"/>
          <w:szCs w:val="24"/>
          <w:lang w:eastAsia="en-AU"/>
        </w:rPr>
        <w:t xml:space="preserve"> Order</w:t>
      </w:r>
      <w:r w:rsidR="00372BB3">
        <w:rPr>
          <w:rFonts w:ascii="Times New Roman" w:eastAsia="Times New Roman" w:hAnsi="Times New Roman" w:cs="Times New Roman"/>
          <w:sz w:val="24"/>
          <w:szCs w:val="24"/>
          <w:lang w:eastAsia="en-AU"/>
        </w:rPr>
        <w:t>.  I</w:t>
      </w:r>
      <w:r w:rsidRPr="008B512D">
        <w:rPr>
          <w:rFonts w:ascii="Times New Roman" w:eastAsia="Times New Roman" w:hAnsi="Times New Roman" w:cs="Times New Roman"/>
          <w:sz w:val="24"/>
          <w:szCs w:val="24"/>
          <w:lang w:eastAsia="en-AU"/>
        </w:rPr>
        <w:t xml:space="preserve">n particular </w:t>
      </w:r>
      <w:r w:rsidR="00372BB3">
        <w:rPr>
          <w:rFonts w:ascii="Times New Roman" w:eastAsia="Times New Roman" w:hAnsi="Times New Roman" w:cs="Times New Roman"/>
          <w:sz w:val="24"/>
          <w:szCs w:val="24"/>
          <w:lang w:eastAsia="en-AU"/>
        </w:rPr>
        <w:t>these include</w:t>
      </w:r>
      <w:r w:rsidRPr="008B512D">
        <w:rPr>
          <w:rFonts w:ascii="Times New Roman" w:eastAsia="Times New Roman" w:hAnsi="Times New Roman" w:cs="Times New Roman"/>
          <w:sz w:val="24"/>
          <w:szCs w:val="24"/>
          <w:lang w:eastAsia="en-AU"/>
        </w:rPr>
        <w:t xml:space="preserve"> </w:t>
      </w:r>
      <w:r w:rsidR="00372BB3">
        <w:rPr>
          <w:rFonts w:ascii="Times New Roman" w:eastAsia="Times New Roman" w:hAnsi="Times New Roman" w:cs="Times New Roman"/>
          <w:sz w:val="24"/>
          <w:szCs w:val="24"/>
          <w:lang w:eastAsia="en-AU"/>
        </w:rPr>
        <w:t>‘</w:t>
      </w:r>
      <w:r w:rsidR="00C913BE">
        <w:rPr>
          <w:rFonts w:ascii="Times New Roman" w:eastAsia="Times New Roman" w:hAnsi="Times New Roman" w:cs="Times New Roman"/>
          <w:sz w:val="24"/>
          <w:szCs w:val="24"/>
          <w:lang w:eastAsia="en-AU"/>
        </w:rPr>
        <w:t>blood</w:t>
      </w:r>
      <w:r w:rsidR="00372BB3">
        <w:rPr>
          <w:rFonts w:ascii="Times New Roman" w:eastAsia="Times New Roman" w:hAnsi="Times New Roman" w:cs="Times New Roman"/>
          <w:sz w:val="24"/>
          <w:szCs w:val="24"/>
          <w:lang w:eastAsia="en-AU"/>
        </w:rPr>
        <w:t>’</w:t>
      </w:r>
      <w:r w:rsidR="00C913BE">
        <w:rPr>
          <w:rFonts w:ascii="Times New Roman" w:eastAsia="Times New Roman" w:hAnsi="Times New Roman" w:cs="Times New Roman"/>
          <w:sz w:val="24"/>
          <w:szCs w:val="24"/>
          <w:lang w:eastAsia="en-AU"/>
        </w:rPr>
        <w:t xml:space="preserve">, </w:t>
      </w:r>
      <w:r w:rsidR="00372BB3">
        <w:rPr>
          <w:rFonts w:ascii="Times New Roman" w:eastAsia="Times New Roman" w:hAnsi="Times New Roman" w:cs="Times New Roman"/>
          <w:sz w:val="24"/>
          <w:szCs w:val="24"/>
          <w:lang w:eastAsia="en-AU"/>
        </w:rPr>
        <w:t>‘</w:t>
      </w:r>
      <w:r w:rsidR="00C913BE">
        <w:rPr>
          <w:rFonts w:ascii="Times New Roman" w:eastAsia="Times New Roman" w:hAnsi="Times New Roman" w:cs="Times New Roman"/>
          <w:sz w:val="24"/>
          <w:szCs w:val="24"/>
          <w:lang w:eastAsia="en-AU"/>
        </w:rPr>
        <w:t>blood components</w:t>
      </w:r>
      <w:r w:rsidR="00372BB3">
        <w:rPr>
          <w:rFonts w:ascii="Times New Roman" w:eastAsia="Times New Roman" w:hAnsi="Times New Roman" w:cs="Times New Roman"/>
          <w:sz w:val="24"/>
          <w:szCs w:val="24"/>
          <w:lang w:eastAsia="en-AU"/>
        </w:rPr>
        <w:t>’</w:t>
      </w:r>
      <w:r w:rsidR="00C913BE">
        <w:rPr>
          <w:rFonts w:ascii="Times New Roman" w:eastAsia="Times New Roman" w:hAnsi="Times New Roman" w:cs="Times New Roman"/>
          <w:sz w:val="24"/>
          <w:szCs w:val="24"/>
          <w:lang w:eastAsia="en-AU"/>
        </w:rPr>
        <w:t xml:space="preserve"> and </w:t>
      </w:r>
      <w:r w:rsidR="00372BB3">
        <w:rPr>
          <w:rFonts w:ascii="Times New Roman" w:eastAsia="Times New Roman" w:hAnsi="Times New Roman" w:cs="Times New Roman"/>
          <w:sz w:val="24"/>
          <w:szCs w:val="24"/>
          <w:lang w:eastAsia="en-AU"/>
        </w:rPr>
        <w:t>‘</w:t>
      </w:r>
      <w:r w:rsidR="00A25B56">
        <w:rPr>
          <w:rFonts w:ascii="Times New Roman" w:eastAsia="Times New Roman" w:hAnsi="Times New Roman" w:cs="Times New Roman"/>
          <w:sz w:val="24"/>
          <w:szCs w:val="24"/>
          <w:lang w:eastAsia="en-AU"/>
        </w:rPr>
        <w:t xml:space="preserve">the </w:t>
      </w:r>
      <w:r w:rsidR="00C913BE">
        <w:rPr>
          <w:rFonts w:ascii="Times New Roman" w:eastAsia="Times New Roman" w:hAnsi="Times New Roman" w:cs="Times New Roman"/>
          <w:sz w:val="24"/>
          <w:szCs w:val="24"/>
          <w:lang w:eastAsia="en-AU"/>
        </w:rPr>
        <w:t>Guide</w:t>
      </w:r>
      <w:r w:rsidR="00372BB3">
        <w:rPr>
          <w:rFonts w:ascii="Times New Roman" w:eastAsia="Times New Roman" w:hAnsi="Times New Roman" w:cs="Times New Roman"/>
          <w:sz w:val="24"/>
          <w:szCs w:val="24"/>
          <w:lang w:eastAsia="en-AU"/>
        </w:rPr>
        <w:t>’</w:t>
      </w:r>
      <w:r w:rsidRPr="008B512D">
        <w:rPr>
          <w:rFonts w:ascii="Times New Roman" w:eastAsia="Times New Roman" w:hAnsi="Times New Roman" w:cs="Times New Roman"/>
          <w:sz w:val="24"/>
          <w:szCs w:val="24"/>
          <w:lang w:eastAsia="en-AU"/>
        </w:rPr>
        <w:t>.</w:t>
      </w:r>
      <w:r w:rsidR="00152DC0">
        <w:rPr>
          <w:rFonts w:ascii="Times New Roman" w:eastAsia="Times New Roman" w:hAnsi="Times New Roman" w:cs="Times New Roman"/>
          <w:sz w:val="24"/>
          <w:szCs w:val="24"/>
          <w:lang w:eastAsia="en-AU"/>
        </w:rPr>
        <w:t xml:space="preserve"> </w:t>
      </w:r>
      <w:r w:rsidR="00152DC0" w:rsidRPr="0050632B">
        <w:rPr>
          <w:rFonts w:ascii="Times New Roman" w:eastAsia="Times New Roman" w:hAnsi="Times New Roman" w:cs="Times New Roman"/>
          <w:sz w:val="24"/>
          <w:szCs w:val="24"/>
          <w:lang w:eastAsia="en-AU"/>
        </w:rPr>
        <w:t>The section</w:t>
      </w:r>
      <w:r w:rsidR="00152DC0">
        <w:rPr>
          <w:rFonts w:ascii="Times New Roman" w:eastAsia="Times New Roman" w:hAnsi="Times New Roman" w:cs="Times New Roman"/>
          <w:sz w:val="24"/>
          <w:szCs w:val="24"/>
          <w:lang w:eastAsia="en-AU"/>
        </w:rPr>
        <w:t xml:space="preserve"> also</w:t>
      </w:r>
      <w:r w:rsidR="00152DC0" w:rsidRPr="0050632B">
        <w:rPr>
          <w:rFonts w:ascii="Times New Roman" w:eastAsia="Times New Roman" w:hAnsi="Times New Roman" w:cs="Times New Roman"/>
          <w:sz w:val="24"/>
          <w:szCs w:val="24"/>
          <w:lang w:eastAsia="en-AU"/>
        </w:rPr>
        <w:t xml:space="preserve"> notes that a number of terms have the same meaning as in the Act, including </w:t>
      </w:r>
      <w:r w:rsidR="00152DC0">
        <w:rPr>
          <w:rFonts w:ascii="Times New Roman" w:eastAsia="Times New Roman" w:hAnsi="Times New Roman" w:cs="Times New Roman"/>
          <w:sz w:val="24"/>
          <w:szCs w:val="24"/>
          <w:lang w:eastAsia="en-AU"/>
        </w:rPr>
        <w:t>‘manufacture’</w:t>
      </w:r>
      <w:r w:rsidR="00152DC0" w:rsidRPr="0050632B">
        <w:rPr>
          <w:rFonts w:ascii="Times New Roman" w:eastAsia="Times New Roman" w:hAnsi="Times New Roman" w:cs="Times New Roman"/>
          <w:sz w:val="24"/>
          <w:szCs w:val="24"/>
          <w:lang w:eastAsia="en-AU"/>
        </w:rPr>
        <w:t xml:space="preserve"> and </w:t>
      </w:r>
      <w:r w:rsidR="00152DC0">
        <w:rPr>
          <w:rFonts w:ascii="Times New Roman" w:eastAsia="Times New Roman" w:hAnsi="Times New Roman" w:cs="Times New Roman"/>
          <w:sz w:val="24"/>
          <w:szCs w:val="24"/>
          <w:lang w:eastAsia="en-AU"/>
        </w:rPr>
        <w:t>‘therapeutic goods’</w:t>
      </w:r>
      <w:r w:rsidR="00152DC0" w:rsidRPr="006A1D91">
        <w:rPr>
          <w:rFonts w:ascii="Times New Roman" w:eastAsia="Times New Roman" w:hAnsi="Times New Roman" w:cs="Times New Roman"/>
          <w:sz w:val="24"/>
          <w:szCs w:val="24"/>
          <w:lang w:eastAsia="en-AU"/>
        </w:rPr>
        <w:t>.</w:t>
      </w:r>
    </w:p>
    <w:p w:rsidR="00B46783" w:rsidRDefault="00B46783" w:rsidP="008B512D">
      <w:pPr>
        <w:shd w:val="clear" w:color="auto" w:fill="FFFFFF"/>
        <w:spacing w:before="100" w:beforeAutospacing="1" w:after="12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Section 5 Standard</w:t>
      </w:r>
    </w:p>
    <w:p w:rsidR="00B46783" w:rsidRPr="00DE7E6B" w:rsidRDefault="00B46783" w:rsidP="008B512D">
      <w:pPr>
        <w:shd w:val="clear" w:color="auto" w:fill="FFFFFF"/>
        <w:spacing w:before="100" w:beforeAutospacing="1" w:after="12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This section provides that the Order constitutes a standard for blood and blood components.</w:t>
      </w:r>
    </w:p>
    <w:p w:rsidR="008B512D" w:rsidRPr="008B512D" w:rsidRDefault="00E708A7" w:rsidP="008B512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w:t>
      </w:r>
      <w:r w:rsidR="00B46783">
        <w:rPr>
          <w:rFonts w:ascii="Times New Roman" w:eastAsia="Times New Roman" w:hAnsi="Times New Roman" w:cs="Times New Roman"/>
          <w:b/>
          <w:bCs/>
          <w:sz w:val="24"/>
          <w:szCs w:val="24"/>
          <w:lang w:eastAsia="en-AU"/>
        </w:rPr>
        <w:t>6</w:t>
      </w:r>
      <w:r w:rsidR="008B512D" w:rsidRPr="008B512D">
        <w:rPr>
          <w:rFonts w:ascii="Times New Roman" w:eastAsia="Times New Roman" w:hAnsi="Times New Roman" w:cs="Times New Roman"/>
          <w:b/>
          <w:bCs/>
          <w:sz w:val="24"/>
          <w:szCs w:val="24"/>
          <w:lang w:eastAsia="en-AU"/>
        </w:rPr>
        <w:t xml:space="preserve"> Application</w:t>
      </w:r>
    </w:p>
    <w:p w:rsidR="008B512D" w:rsidRPr="0050632B" w:rsidRDefault="008B512D" w:rsidP="0050632B">
      <w:pPr>
        <w:shd w:val="clear" w:color="auto" w:fill="FFFFFF"/>
        <w:spacing w:before="100" w:beforeAutospacing="1" w:after="240" w:line="240" w:lineRule="auto"/>
        <w:rPr>
          <w:rFonts w:ascii="Times New Roman" w:eastAsia="Times New Roman" w:hAnsi="Times New Roman" w:cs="Times New Roman"/>
          <w:sz w:val="24"/>
          <w:szCs w:val="24"/>
          <w:lang w:eastAsia="en-AU"/>
        </w:rPr>
      </w:pPr>
      <w:r w:rsidRPr="008B512D">
        <w:rPr>
          <w:rFonts w:ascii="Times New Roman" w:eastAsia="Times New Roman" w:hAnsi="Times New Roman" w:cs="Times New Roman"/>
          <w:sz w:val="24"/>
          <w:szCs w:val="24"/>
          <w:lang w:eastAsia="en-AU"/>
        </w:rPr>
        <w:t xml:space="preserve">This section </w:t>
      </w:r>
      <w:r w:rsidR="00B425FC">
        <w:rPr>
          <w:rFonts w:ascii="Times New Roman" w:eastAsia="Times New Roman" w:hAnsi="Times New Roman" w:cs="Times New Roman"/>
          <w:sz w:val="24"/>
          <w:szCs w:val="24"/>
          <w:lang w:eastAsia="en-AU"/>
        </w:rPr>
        <w:t xml:space="preserve">provides that this Order applies to therapeutic goods that are blood and blood components, other than those identified in subsection </w:t>
      </w:r>
      <w:r w:rsidR="00152DC0">
        <w:rPr>
          <w:rFonts w:ascii="Times New Roman" w:eastAsia="Times New Roman" w:hAnsi="Times New Roman" w:cs="Times New Roman"/>
          <w:sz w:val="24"/>
          <w:szCs w:val="24"/>
          <w:lang w:eastAsia="en-AU"/>
        </w:rPr>
        <w:t>6</w:t>
      </w:r>
      <w:r w:rsidR="00B425FC">
        <w:rPr>
          <w:rFonts w:ascii="Times New Roman" w:eastAsia="Times New Roman" w:hAnsi="Times New Roman" w:cs="Times New Roman"/>
          <w:sz w:val="24"/>
          <w:szCs w:val="24"/>
          <w:lang w:eastAsia="en-AU"/>
        </w:rPr>
        <w:t>(2) (principally, these are blood and blood components that are collected or manufactured by a registered medical practitioner or someone under their professional supervision, for specified purposes such as for therapeutic application to a patient)</w:t>
      </w:r>
      <w:r w:rsidRPr="008B512D">
        <w:rPr>
          <w:rFonts w:ascii="Times New Roman" w:eastAsia="Times New Roman" w:hAnsi="Times New Roman" w:cs="Times New Roman"/>
          <w:sz w:val="24"/>
          <w:szCs w:val="24"/>
          <w:lang w:eastAsia="en-AU"/>
        </w:rPr>
        <w:t>.</w:t>
      </w:r>
    </w:p>
    <w:p w:rsidR="008B512D" w:rsidRPr="008B512D" w:rsidRDefault="00E708A7" w:rsidP="008B512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bookmarkStart w:id="5" w:name="_Toc199566630"/>
      <w:r>
        <w:rPr>
          <w:rFonts w:ascii="Times New Roman" w:eastAsia="Times New Roman" w:hAnsi="Times New Roman" w:cs="Times New Roman"/>
          <w:b/>
          <w:bCs/>
          <w:sz w:val="24"/>
          <w:szCs w:val="24"/>
          <w:lang w:eastAsia="en-AU"/>
        </w:rPr>
        <w:t xml:space="preserve">Section </w:t>
      </w:r>
      <w:r w:rsidR="00D237D0">
        <w:rPr>
          <w:rFonts w:ascii="Times New Roman" w:eastAsia="Times New Roman" w:hAnsi="Times New Roman" w:cs="Times New Roman"/>
          <w:b/>
          <w:bCs/>
          <w:sz w:val="24"/>
          <w:szCs w:val="24"/>
          <w:lang w:eastAsia="en-AU"/>
        </w:rPr>
        <w:t>7</w:t>
      </w:r>
      <w:r w:rsidR="008B512D" w:rsidRPr="008B512D">
        <w:rPr>
          <w:rFonts w:ascii="Times New Roman" w:eastAsia="Times New Roman" w:hAnsi="Times New Roman" w:cs="Times New Roman"/>
          <w:sz w:val="24"/>
          <w:szCs w:val="24"/>
          <w:lang w:eastAsia="en-AU"/>
        </w:rPr>
        <w:t xml:space="preserve"> </w:t>
      </w:r>
      <w:bookmarkEnd w:id="5"/>
      <w:r>
        <w:rPr>
          <w:rFonts w:ascii="Times New Roman" w:eastAsia="Times New Roman" w:hAnsi="Times New Roman" w:cs="Times New Roman"/>
          <w:b/>
          <w:bCs/>
          <w:sz w:val="24"/>
          <w:szCs w:val="24"/>
          <w:lang w:eastAsia="en-AU"/>
        </w:rPr>
        <w:t>Requirements</w:t>
      </w:r>
    </w:p>
    <w:p w:rsidR="004923C6" w:rsidRDefault="008B512D" w:rsidP="0050632B">
      <w:pPr>
        <w:shd w:val="clear" w:color="auto" w:fill="FFFFFF"/>
        <w:spacing w:before="100" w:beforeAutospacing="1" w:after="240" w:line="240" w:lineRule="auto"/>
        <w:rPr>
          <w:rFonts w:ascii="Times New Roman" w:eastAsia="Times New Roman" w:hAnsi="Times New Roman" w:cs="Times New Roman"/>
          <w:sz w:val="24"/>
          <w:szCs w:val="24"/>
          <w:lang w:eastAsia="en-AU"/>
        </w:rPr>
      </w:pPr>
      <w:r w:rsidRPr="008B512D">
        <w:rPr>
          <w:rFonts w:ascii="Times New Roman" w:eastAsia="Times New Roman" w:hAnsi="Times New Roman" w:cs="Times New Roman"/>
          <w:sz w:val="24"/>
          <w:szCs w:val="24"/>
          <w:lang w:eastAsia="en-AU"/>
        </w:rPr>
        <w:t xml:space="preserve">This </w:t>
      </w:r>
      <w:r w:rsidR="00E708A7">
        <w:rPr>
          <w:rFonts w:ascii="Times New Roman" w:eastAsia="Times New Roman" w:hAnsi="Times New Roman" w:cs="Times New Roman"/>
          <w:sz w:val="24"/>
          <w:szCs w:val="24"/>
          <w:lang w:eastAsia="en-AU"/>
        </w:rPr>
        <w:t xml:space="preserve">section </w:t>
      </w:r>
      <w:r w:rsidR="00372BB3">
        <w:rPr>
          <w:rFonts w:ascii="Times New Roman" w:eastAsia="Times New Roman" w:hAnsi="Times New Roman" w:cs="Times New Roman"/>
          <w:sz w:val="24"/>
          <w:szCs w:val="24"/>
          <w:lang w:eastAsia="en-AU"/>
        </w:rPr>
        <w:t>has the effect</w:t>
      </w:r>
      <w:r w:rsidR="00DB36C3">
        <w:rPr>
          <w:rFonts w:ascii="Times New Roman" w:eastAsia="Times New Roman" w:hAnsi="Times New Roman" w:cs="Times New Roman"/>
          <w:sz w:val="24"/>
          <w:szCs w:val="24"/>
          <w:lang w:eastAsia="en-AU"/>
        </w:rPr>
        <w:t xml:space="preserve"> </w:t>
      </w:r>
      <w:r w:rsidR="00E708A7">
        <w:rPr>
          <w:rFonts w:ascii="Times New Roman" w:eastAsia="Times New Roman" w:hAnsi="Times New Roman" w:cs="Times New Roman"/>
          <w:sz w:val="24"/>
          <w:szCs w:val="24"/>
          <w:lang w:eastAsia="en-AU"/>
        </w:rPr>
        <w:t xml:space="preserve">that the requirements in relation to blood and blood components are </w:t>
      </w:r>
      <w:r w:rsidR="004923C6">
        <w:rPr>
          <w:rFonts w:ascii="Times New Roman" w:eastAsia="Times New Roman" w:hAnsi="Times New Roman" w:cs="Times New Roman"/>
          <w:sz w:val="24"/>
          <w:szCs w:val="24"/>
          <w:lang w:eastAsia="en-AU"/>
        </w:rPr>
        <w:t xml:space="preserve">principally </w:t>
      </w:r>
      <w:r w:rsidR="00E708A7">
        <w:rPr>
          <w:rFonts w:ascii="Times New Roman" w:eastAsia="Times New Roman" w:hAnsi="Times New Roman" w:cs="Times New Roman"/>
          <w:sz w:val="24"/>
          <w:szCs w:val="24"/>
          <w:lang w:eastAsia="en-AU"/>
        </w:rPr>
        <w:t xml:space="preserve">those </w:t>
      </w:r>
      <w:r w:rsidR="00DB36C3">
        <w:rPr>
          <w:rFonts w:ascii="Times New Roman" w:eastAsia="Times New Roman" w:hAnsi="Times New Roman" w:cs="Times New Roman"/>
          <w:sz w:val="24"/>
          <w:szCs w:val="24"/>
          <w:lang w:eastAsia="en-AU"/>
        </w:rPr>
        <w:t xml:space="preserve">set out </w:t>
      </w:r>
      <w:r w:rsidR="00E708A7">
        <w:rPr>
          <w:rFonts w:ascii="Times New Roman" w:eastAsia="Times New Roman" w:hAnsi="Times New Roman" w:cs="Times New Roman"/>
          <w:sz w:val="24"/>
          <w:szCs w:val="24"/>
          <w:lang w:eastAsia="en-AU"/>
        </w:rPr>
        <w:t>in the</w:t>
      </w:r>
      <w:r w:rsidR="00DB36C3">
        <w:rPr>
          <w:rFonts w:ascii="Times New Roman" w:eastAsia="Times New Roman" w:hAnsi="Times New Roman" w:cs="Times New Roman"/>
          <w:sz w:val="24"/>
          <w:szCs w:val="24"/>
          <w:lang w:eastAsia="en-AU"/>
        </w:rPr>
        <w:t xml:space="preserve"> Guide</w:t>
      </w:r>
      <w:r w:rsidR="004923C6">
        <w:rPr>
          <w:rFonts w:ascii="Times New Roman" w:eastAsia="Times New Roman" w:hAnsi="Times New Roman" w:cs="Times New Roman"/>
          <w:sz w:val="24"/>
          <w:szCs w:val="24"/>
          <w:lang w:eastAsia="en-AU"/>
        </w:rPr>
        <w:t xml:space="preserve">, </w:t>
      </w:r>
      <w:r w:rsidR="00DB36C3">
        <w:rPr>
          <w:rFonts w:ascii="Times New Roman" w:eastAsia="Times New Roman" w:hAnsi="Times New Roman" w:cs="Times New Roman"/>
          <w:sz w:val="24"/>
          <w:szCs w:val="24"/>
          <w:lang w:eastAsia="en-AU"/>
        </w:rPr>
        <w:t xml:space="preserve">with the </w:t>
      </w:r>
      <w:r w:rsidR="004923C6">
        <w:rPr>
          <w:rFonts w:ascii="Times New Roman" w:eastAsia="Times New Roman" w:hAnsi="Times New Roman" w:cs="Times New Roman"/>
          <w:sz w:val="24"/>
          <w:szCs w:val="24"/>
          <w:lang w:eastAsia="en-AU"/>
        </w:rPr>
        <w:t>qualification</w:t>
      </w:r>
      <w:r w:rsidR="00DB36C3">
        <w:rPr>
          <w:rFonts w:ascii="Times New Roman" w:eastAsia="Times New Roman" w:hAnsi="Times New Roman" w:cs="Times New Roman"/>
          <w:sz w:val="24"/>
          <w:szCs w:val="24"/>
          <w:lang w:eastAsia="en-AU"/>
        </w:rPr>
        <w:t xml:space="preserve"> that </w:t>
      </w:r>
      <w:r w:rsidR="004923C6">
        <w:rPr>
          <w:rFonts w:ascii="Times New Roman" w:eastAsia="Times New Roman" w:hAnsi="Times New Roman" w:cs="Times New Roman"/>
          <w:sz w:val="24"/>
          <w:szCs w:val="24"/>
          <w:lang w:val="en" w:eastAsia="en-AU"/>
        </w:rPr>
        <w:t xml:space="preserve">the reference to ‘tropical areas’ in the Guide that relates to the deferral period for the condition </w:t>
      </w:r>
      <w:r w:rsidR="004923C6" w:rsidRPr="00AD14CD">
        <w:rPr>
          <w:rFonts w:ascii="Times New Roman" w:eastAsia="Times New Roman" w:hAnsi="Times New Roman" w:cs="Times New Roman"/>
          <w:i/>
          <w:sz w:val="24"/>
          <w:szCs w:val="24"/>
          <w:lang w:val="en" w:eastAsia="en-AU"/>
        </w:rPr>
        <w:t>Tropical infections</w:t>
      </w:r>
      <w:r w:rsidR="004923C6">
        <w:rPr>
          <w:rFonts w:ascii="Times New Roman" w:eastAsia="Times New Roman" w:hAnsi="Times New Roman" w:cs="Times New Roman"/>
          <w:sz w:val="24"/>
          <w:szCs w:val="24"/>
          <w:lang w:val="en" w:eastAsia="en-AU"/>
        </w:rPr>
        <w:t xml:space="preserve"> in Table 2.2 </w:t>
      </w:r>
      <w:r w:rsidR="004923C6" w:rsidRPr="00AD14CD">
        <w:rPr>
          <w:rFonts w:ascii="Times New Roman" w:eastAsia="Times New Roman" w:hAnsi="Times New Roman" w:cs="Times New Roman"/>
          <w:i/>
          <w:sz w:val="24"/>
          <w:szCs w:val="24"/>
          <w:lang w:val="en" w:eastAsia="en-AU"/>
        </w:rPr>
        <w:t>Conditions leading to temporary deferral (suspension)</w:t>
      </w:r>
      <w:r w:rsidR="004923C6">
        <w:rPr>
          <w:rFonts w:ascii="Times New Roman" w:eastAsia="Times New Roman" w:hAnsi="Times New Roman" w:cs="Times New Roman"/>
          <w:sz w:val="24"/>
          <w:szCs w:val="24"/>
          <w:lang w:val="en" w:eastAsia="en-AU"/>
        </w:rPr>
        <w:t xml:space="preserve"> on page 253 of the Guide are to be taken to not include areas within Australia.</w:t>
      </w:r>
    </w:p>
    <w:p w:rsidR="00E708A7" w:rsidRDefault="004923C6" w:rsidP="0050632B">
      <w:pPr>
        <w:shd w:val="clear" w:color="auto" w:fill="FFFFFF"/>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w:t>
      </w:r>
      <w:r w:rsidR="00372BB3">
        <w:rPr>
          <w:rFonts w:ascii="Times New Roman" w:eastAsia="Times New Roman" w:hAnsi="Times New Roman" w:cs="Times New Roman"/>
          <w:sz w:val="24"/>
          <w:szCs w:val="24"/>
          <w:lang w:eastAsia="en-AU"/>
        </w:rPr>
        <w:t xml:space="preserve">also </w:t>
      </w:r>
      <w:r>
        <w:rPr>
          <w:rFonts w:ascii="Times New Roman" w:eastAsia="Times New Roman" w:hAnsi="Times New Roman" w:cs="Times New Roman"/>
          <w:sz w:val="24"/>
          <w:szCs w:val="24"/>
          <w:lang w:eastAsia="en-AU"/>
        </w:rPr>
        <w:t xml:space="preserve">provides that blood and blood components must only be manufactured from blood where samples of that blood test negative for </w:t>
      </w:r>
      <w:r w:rsidRPr="0050632B">
        <w:rPr>
          <w:rFonts w:ascii="Times New Roman" w:eastAsia="Times New Roman" w:hAnsi="Times New Roman" w:cs="Times New Roman"/>
          <w:sz w:val="24"/>
          <w:szCs w:val="24"/>
          <w:lang w:eastAsia="en-AU"/>
        </w:rPr>
        <w:t xml:space="preserve">hepatitis B virus (HBV), </w:t>
      </w:r>
      <w:r w:rsidR="00152DC0">
        <w:rPr>
          <w:rFonts w:ascii="Times New Roman" w:eastAsia="Times New Roman" w:hAnsi="Times New Roman" w:cs="Times New Roman"/>
          <w:sz w:val="24"/>
          <w:szCs w:val="24"/>
          <w:lang w:eastAsia="en-AU"/>
        </w:rPr>
        <w:t>h</w:t>
      </w:r>
      <w:r w:rsidRPr="0050632B">
        <w:rPr>
          <w:rFonts w:ascii="Times New Roman" w:eastAsia="Times New Roman" w:hAnsi="Times New Roman" w:cs="Times New Roman"/>
          <w:sz w:val="24"/>
          <w:szCs w:val="24"/>
          <w:lang w:eastAsia="en-AU"/>
        </w:rPr>
        <w:t>epatitis C virus (HCV) and human immunodeficiency virus (HIV-1) using nucleic acid amplification technology</w:t>
      </w:r>
      <w:r w:rsidR="00372BB3" w:rsidRPr="0050632B">
        <w:rPr>
          <w:rFonts w:ascii="Times New Roman" w:eastAsia="Times New Roman" w:hAnsi="Times New Roman" w:cs="Times New Roman"/>
          <w:sz w:val="24"/>
          <w:szCs w:val="24"/>
          <w:lang w:eastAsia="en-AU"/>
        </w:rPr>
        <w:t xml:space="preserve">, and that </w:t>
      </w:r>
      <w:r w:rsidR="00E708A7">
        <w:rPr>
          <w:rFonts w:ascii="Times New Roman" w:eastAsia="Times New Roman" w:hAnsi="Times New Roman" w:cs="Times New Roman"/>
          <w:sz w:val="24"/>
          <w:szCs w:val="24"/>
          <w:lang w:eastAsia="en-AU"/>
        </w:rPr>
        <w:t>blood and blood components must not be manufactured from donors:</w:t>
      </w:r>
    </w:p>
    <w:p w:rsidR="00E708A7" w:rsidRPr="00E708A7" w:rsidRDefault="00E708A7" w:rsidP="00152DC0">
      <w:pPr>
        <w:shd w:val="clear" w:color="auto" w:fill="FFFFFF"/>
        <w:spacing w:after="120" w:line="240" w:lineRule="auto"/>
        <w:ind w:left="1134" w:hanging="708"/>
        <w:rPr>
          <w:rFonts w:ascii="Times New Roman" w:eastAsia="Times New Roman" w:hAnsi="Times New Roman" w:cs="Times New Roman"/>
          <w:sz w:val="24"/>
          <w:szCs w:val="24"/>
          <w:lang w:eastAsia="en-AU"/>
        </w:rPr>
      </w:pPr>
      <w:r w:rsidRPr="00E708A7">
        <w:rPr>
          <w:rFonts w:ascii="Times New Roman" w:eastAsia="Times New Roman" w:hAnsi="Times New Roman" w:cs="Times New Roman"/>
          <w:sz w:val="24"/>
          <w:szCs w:val="24"/>
          <w:lang w:eastAsia="en-AU"/>
        </w:rPr>
        <w:lastRenderedPageBreak/>
        <w:t>(a)</w:t>
      </w:r>
      <w:r w:rsidRPr="00E708A7">
        <w:rPr>
          <w:rFonts w:ascii="Times New Roman" w:eastAsia="Times New Roman" w:hAnsi="Times New Roman" w:cs="Times New Roman"/>
          <w:sz w:val="24"/>
          <w:szCs w:val="24"/>
          <w:lang w:eastAsia="en-AU"/>
        </w:rPr>
        <w:tab/>
        <w:t>who lived in or visited England, Scotland, Wales, Northern Ireland or the Isle of Man for a cumulative period of 6 months or more, at any time on or between 1 January 1980 and 31 December 1996; or</w:t>
      </w:r>
    </w:p>
    <w:p w:rsidR="00E708A7" w:rsidRPr="00E708A7" w:rsidRDefault="00E708A7" w:rsidP="00152DC0">
      <w:pPr>
        <w:shd w:val="clear" w:color="auto" w:fill="FFFFFF"/>
        <w:spacing w:after="120" w:line="240" w:lineRule="auto"/>
        <w:ind w:left="1134" w:hanging="708"/>
        <w:rPr>
          <w:rFonts w:ascii="Times New Roman" w:eastAsia="Times New Roman" w:hAnsi="Times New Roman" w:cs="Times New Roman"/>
          <w:sz w:val="24"/>
          <w:szCs w:val="24"/>
          <w:lang w:eastAsia="en-AU"/>
        </w:rPr>
      </w:pPr>
      <w:r w:rsidRPr="00E708A7">
        <w:rPr>
          <w:rFonts w:ascii="Times New Roman" w:eastAsia="Times New Roman" w:hAnsi="Times New Roman" w:cs="Times New Roman"/>
          <w:sz w:val="24"/>
          <w:szCs w:val="24"/>
          <w:lang w:eastAsia="en-AU"/>
        </w:rPr>
        <w:t>(b)</w:t>
      </w:r>
      <w:r w:rsidRPr="00E708A7">
        <w:rPr>
          <w:rFonts w:ascii="Times New Roman" w:eastAsia="Times New Roman" w:hAnsi="Times New Roman" w:cs="Times New Roman"/>
          <w:sz w:val="24"/>
          <w:szCs w:val="24"/>
          <w:lang w:eastAsia="en-AU"/>
        </w:rPr>
        <w:tab/>
        <w:t>who received a transfusion or injection of blood or blood products while in England, Scotland, Wales, Northern Island or the Isle of Man, at any time on or after 1 January 1980.</w:t>
      </w:r>
    </w:p>
    <w:p w:rsidR="00373769" w:rsidRDefault="00F506E1" w:rsidP="008B512D">
      <w:pPr>
        <w:shd w:val="clear" w:color="auto" w:fill="FFFFFF"/>
        <w:spacing w:before="100" w:beforeAutospacing="1" w:after="120" w:line="240" w:lineRule="auto"/>
        <w:rPr>
          <w:rFonts w:ascii="Times New Roman" w:eastAsia="Times New Roman" w:hAnsi="Times New Roman" w:cs="Times New Roman"/>
          <w:b/>
          <w:bCs/>
          <w:sz w:val="24"/>
          <w:szCs w:val="24"/>
          <w:lang w:eastAsia="en-AU"/>
        </w:rPr>
      </w:pPr>
      <w:bookmarkStart w:id="6" w:name="_Toc199566631"/>
      <w:r>
        <w:rPr>
          <w:rFonts w:ascii="Times New Roman" w:eastAsia="Times New Roman" w:hAnsi="Times New Roman" w:cs="Times New Roman"/>
          <w:b/>
          <w:bCs/>
          <w:sz w:val="24"/>
          <w:szCs w:val="24"/>
          <w:lang w:eastAsia="en-AU"/>
        </w:rPr>
        <w:t xml:space="preserve">Section </w:t>
      </w:r>
      <w:r w:rsidR="004923C6">
        <w:rPr>
          <w:rFonts w:ascii="Times New Roman" w:eastAsia="Times New Roman" w:hAnsi="Times New Roman" w:cs="Times New Roman"/>
          <w:b/>
          <w:bCs/>
          <w:sz w:val="24"/>
          <w:szCs w:val="24"/>
          <w:lang w:eastAsia="en-AU"/>
        </w:rPr>
        <w:t>8</w:t>
      </w:r>
      <w:r>
        <w:rPr>
          <w:rFonts w:ascii="Times New Roman" w:eastAsia="Times New Roman" w:hAnsi="Times New Roman" w:cs="Times New Roman"/>
          <w:b/>
          <w:bCs/>
          <w:sz w:val="24"/>
          <w:szCs w:val="24"/>
          <w:lang w:eastAsia="en-AU"/>
        </w:rPr>
        <w:t xml:space="preserve"> </w:t>
      </w:r>
      <w:r w:rsidR="00373769">
        <w:rPr>
          <w:rFonts w:ascii="Times New Roman" w:eastAsia="Times New Roman" w:hAnsi="Times New Roman" w:cs="Times New Roman"/>
          <w:b/>
          <w:bCs/>
          <w:sz w:val="24"/>
          <w:szCs w:val="24"/>
          <w:lang w:eastAsia="en-AU"/>
        </w:rPr>
        <w:t>Transitional arrangements</w:t>
      </w:r>
    </w:p>
    <w:p w:rsidR="00373769" w:rsidRPr="00501389" w:rsidRDefault="00373769" w:rsidP="008B512D">
      <w:pPr>
        <w:shd w:val="clear" w:color="auto" w:fill="FFFFFF"/>
        <w:spacing w:before="100" w:beforeAutospacing="1" w:after="12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This section </w:t>
      </w:r>
      <w:r w:rsidR="004923C6">
        <w:rPr>
          <w:rFonts w:ascii="Times New Roman" w:eastAsia="Times New Roman" w:hAnsi="Times New Roman" w:cs="Times New Roman"/>
          <w:bCs/>
          <w:sz w:val="24"/>
          <w:szCs w:val="24"/>
          <w:lang w:eastAsia="en-AU"/>
        </w:rPr>
        <w:t>has the effect</w:t>
      </w:r>
      <w:r>
        <w:rPr>
          <w:rFonts w:ascii="Times New Roman" w:eastAsia="Times New Roman" w:hAnsi="Times New Roman" w:cs="Times New Roman"/>
          <w:bCs/>
          <w:sz w:val="24"/>
          <w:szCs w:val="24"/>
          <w:lang w:eastAsia="en-AU"/>
        </w:rPr>
        <w:t xml:space="preserve"> that, despite its repeal by section </w:t>
      </w:r>
      <w:r w:rsidR="004923C6">
        <w:rPr>
          <w:rFonts w:ascii="Times New Roman" w:eastAsia="Times New Roman" w:hAnsi="Times New Roman" w:cs="Times New Roman"/>
          <w:bCs/>
          <w:sz w:val="24"/>
          <w:szCs w:val="24"/>
          <w:lang w:eastAsia="en-AU"/>
        </w:rPr>
        <w:t>9</w:t>
      </w:r>
      <w:r>
        <w:rPr>
          <w:rFonts w:ascii="Times New Roman" w:eastAsia="Times New Roman" w:hAnsi="Times New Roman" w:cs="Times New Roman"/>
          <w:bCs/>
          <w:sz w:val="24"/>
          <w:szCs w:val="24"/>
          <w:lang w:eastAsia="en-AU"/>
        </w:rPr>
        <w:t xml:space="preserve">, </w:t>
      </w:r>
      <w:r w:rsidR="00B659EA">
        <w:rPr>
          <w:rFonts w:ascii="Times New Roman" w:eastAsia="Times New Roman" w:hAnsi="Times New Roman" w:cs="Times New Roman"/>
          <w:bCs/>
          <w:sz w:val="24"/>
          <w:szCs w:val="24"/>
          <w:lang w:eastAsia="en-AU"/>
        </w:rPr>
        <w:t>the former Order</w:t>
      </w:r>
      <w:r>
        <w:rPr>
          <w:rFonts w:ascii="Times New Roman" w:eastAsia="Times New Roman" w:hAnsi="Times New Roman" w:cs="Times New Roman"/>
          <w:bCs/>
          <w:sz w:val="24"/>
          <w:szCs w:val="24"/>
          <w:lang w:eastAsia="en-AU"/>
        </w:rPr>
        <w:t xml:space="preserve"> continues to apply </w:t>
      </w:r>
      <w:r w:rsidR="004923C6">
        <w:rPr>
          <w:rFonts w:ascii="Times New Roman" w:eastAsia="Times New Roman" w:hAnsi="Times New Roman" w:cs="Times New Roman"/>
          <w:bCs/>
          <w:sz w:val="24"/>
          <w:szCs w:val="24"/>
          <w:lang w:eastAsia="en-AU"/>
        </w:rPr>
        <w:t xml:space="preserve">as an alternative to </w:t>
      </w:r>
      <w:r w:rsidR="003F33CB">
        <w:rPr>
          <w:rFonts w:ascii="Times New Roman" w:eastAsia="Times New Roman" w:hAnsi="Times New Roman" w:cs="Times New Roman"/>
          <w:bCs/>
          <w:sz w:val="24"/>
          <w:szCs w:val="24"/>
          <w:lang w:eastAsia="en-AU"/>
        </w:rPr>
        <w:t>the Order</w:t>
      </w:r>
      <w:r w:rsidR="004923C6">
        <w:rPr>
          <w:rFonts w:ascii="Times New Roman" w:eastAsia="Times New Roman" w:hAnsi="Times New Roman" w:cs="Times New Roman"/>
          <w:bCs/>
          <w:sz w:val="24"/>
          <w:szCs w:val="24"/>
          <w:lang w:eastAsia="en-AU"/>
        </w:rPr>
        <w:t xml:space="preserve"> as a standard for blood and blood components </w:t>
      </w:r>
      <w:r>
        <w:rPr>
          <w:rFonts w:ascii="Times New Roman" w:eastAsia="Times New Roman" w:hAnsi="Times New Roman" w:cs="Times New Roman"/>
          <w:bCs/>
          <w:sz w:val="24"/>
          <w:szCs w:val="24"/>
          <w:lang w:eastAsia="en-AU"/>
        </w:rPr>
        <w:t xml:space="preserve">for the period 31 March 2019 to 30 March 2020. This is designed to allow time for the Blood Service to make any adjustments and preparations necessary for its full compliance with </w:t>
      </w:r>
      <w:r w:rsidR="003F33CB">
        <w:rPr>
          <w:rFonts w:ascii="Times New Roman" w:eastAsia="Times New Roman" w:hAnsi="Times New Roman" w:cs="Times New Roman"/>
          <w:bCs/>
          <w:sz w:val="24"/>
          <w:szCs w:val="24"/>
          <w:lang w:eastAsia="en-AU"/>
        </w:rPr>
        <w:t>the Order</w:t>
      </w:r>
      <w:r w:rsidR="004923C6">
        <w:rPr>
          <w:rFonts w:ascii="Times New Roman" w:eastAsia="Times New Roman" w:hAnsi="Times New Roman" w:cs="Times New Roman"/>
          <w:bCs/>
          <w:sz w:val="24"/>
          <w:szCs w:val="24"/>
          <w:lang w:eastAsia="en-AU"/>
        </w:rPr>
        <w:t xml:space="preserve"> from 31 March 2020</w:t>
      </w:r>
      <w:r>
        <w:rPr>
          <w:rFonts w:ascii="Times New Roman" w:eastAsia="Times New Roman" w:hAnsi="Times New Roman" w:cs="Times New Roman"/>
          <w:bCs/>
          <w:sz w:val="24"/>
          <w:szCs w:val="24"/>
          <w:lang w:eastAsia="en-AU"/>
        </w:rPr>
        <w:t xml:space="preserve">. </w:t>
      </w:r>
    </w:p>
    <w:p w:rsidR="008B512D" w:rsidRPr="008B512D" w:rsidRDefault="00E708A7" w:rsidP="008B512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w:t>
      </w:r>
      <w:r w:rsidR="004923C6">
        <w:rPr>
          <w:rFonts w:ascii="Times New Roman" w:eastAsia="Times New Roman" w:hAnsi="Times New Roman" w:cs="Times New Roman"/>
          <w:b/>
          <w:bCs/>
          <w:sz w:val="24"/>
          <w:szCs w:val="24"/>
          <w:lang w:eastAsia="en-AU"/>
        </w:rPr>
        <w:t>9</w:t>
      </w:r>
      <w:r w:rsidR="008B512D" w:rsidRPr="008B512D">
        <w:rPr>
          <w:rFonts w:ascii="Times New Roman" w:eastAsia="Times New Roman" w:hAnsi="Times New Roman" w:cs="Times New Roman"/>
          <w:b/>
          <w:bCs/>
          <w:sz w:val="24"/>
          <w:szCs w:val="24"/>
          <w:lang w:eastAsia="en-AU"/>
        </w:rPr>
        <w:t xml:space="preserve"> </w:t>
      </w:r>
      <w:r w:rsidR="00E11A27">
        <w:rPr>
          <w:rFonts w:ascii="Times New Roman" w:eastAsia="Times New Roman" w:hAnsi="Times New Roman" w:cs="Times New Roman"/>
          <w:b/>
          <w:bCs/>
          <w:sz w:val="24"/>
          <w:szCs w:val="24"/>
          <w:lang w:eastAsia="en-AU"/>
        </w:rPr>
        <w:t>Repeals</w:t>
      </w:r>
      <w:bookmarkEnd w:id="6"/>
    </w:p>
    <w:p w:rsidR="008B512D" w:rsidRDefault="008B512D" w:rsidP="008B512D">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8B512D">
        <w:rPr>
          <w:rFonts w:ascii="Times New Roman" w:eastAsia="Times New Roman" w:hAnsi="Times New Roman" w:cs="Times New Roman"/>
          <w:sz w:val="24"/>
          <w:szCs w:val="24"/>
          <w:lang w:eastAsia="en-AU"/>
        </w:rPr>
        <w:t>This section provides that the ins</w:t>
      </w:r>
      <w:r w:rsidR="00E708A7">
        <w:rPr>
          <w:rFonts w:ascii="Times New Roman" w:eastAsia="Times New Roman" w:hAnsi="Times New Roman" w:cs="Times New Roman"/>
          <w:sz w:val="24"/>
          <w:szCs w:val="24"/>
          <w:lang w:eastAsia="en-AU"/>
        </w:rPr>
        <w:t>truments specified in Schedule 1</w:t>
      </w:r>
      <w:r w:rsidRPr="008B512D">
        <w:rPr>
          <w:rFonts w:ascii="Times New Roman" w:eastAsia="Times New Roman" w:hAnsi="Times New Roman" w:cs="Times New Roman"/>
          <w:sz w:val="24"/>
          <w:szCs w:val="24"/>
          <w:lang w:eastAsia="en-AU"/>
        </w:rPr>
        <w:t xml:space="preserve"> are repealed.</w:t>
      </w:r>
    </w:p>
    <w:p w:rsidR="00F506E1" w:rsidRPr="00A502C0" w:rsidRDefault="00F506E1" w:rsidP="008B512D">
      <w:pPr>
        <w:shd w:val="clear" w:color="auto" w:fill="FFFFFF"/>
        <w:spacing w:before="100" w:beforeAutospacing="1" w:after="120" w:line="240" w:lineRule="auto"/>
        <w:rPr>
          <w:rFonts w:ascii="Times New Roman" w:eastAsia="Times New Roman" w:hAnsi="Times New Roman" w:cs="Times New Roman"/>
          <w:b/>
          <w:sz w:val="24"/>
          <w:szCs w:val="24"/>
          <w:lang w:eastAsia="en-AU"/>
        </w:rPr>
      </w:pPr>
      <w:r w:rsidRPr="00A502C0">
        <w:rPr>
          <w:rFonts w:ascii="Times New Roman" w:eastAsia="Times New Roman" w:hAnsi="Times New Roman" w:cs="Times New Roman"/>
          <w:b/>
          <w:sz w:val="24"/>
          <w:szCs w:val="24"/>
          <w:lang w:eastAsia="en-AU"/>
        </w:rPr>
        <w:t xml:space="preserve">Section </w:t>
      </w:r>
      <w:r w:rsidR="004923C6">
        <w:rPr>
          <w:rFonts w:ascii="Times New Roman" w:eastAsia="Times New Roman" w:hAnsi="Times New Roman" w:cs="Times New Roman"/>
          <w:b/>
          <w:sz w:val="24"/>
          <w:szCs w:val="24"/>
          <w:lang w:eastAsia="en-AU"/>
        </w:rPr>
        <w:t>10</w:t>
      </w:r>
      <w:r w:rsidRPr="00A502C0">
        <w:rPr>
          <w:rFonts w:ascii="Times New Roman" w:eastAsia="Times New Roman" w:hAnsi="Times New Roman" w:cs="Times New Roman"/>
          <w:b/>
          <w:sz w:val="24"/>
          <w:szCs w:val="24"/>
          <w:lang w:eastAsia="en-AU"/>
        </w:rPr>
        <w:t xml:space="preserve"> </w:t>
      </w:r>
      <w:r w:rsidR="00152DC0">
        <w:rPr>
          <w:rFonts w:ascii="Times New Roman" w:eastAsia="Times New Roman" w:hAnsi="Times New Roman" w:cs="Times New Roman"/>
          <w:b/>
          <w:sz w:val="24"/>
          <w:szCs w:val="24"/>
          <w:lang w:eastAsia="en-AU"/>
        </w:rPr>
        <w:t>Consequential a</w:t>
      </w:r>
      <w:r w:rsidRPr="00A502C0">
        <w:rPr>
          <w:rFonts w:ascii="Times New Roman" w:eastAsia="Times New Roman" w:hAnsi="Times New Roman" w:cs="Times New Roman"/>
          <w:b/>
          <w:sz w:val="24"/>
          <w:szCs w:val="24"/>
          <w:lang w:eastAsia="en-AU"/>
        </w:rPr>
        <w:t>mendments</w:t>
      </w:r>
    </w:p>
    <w:p w:rsidR="00F506E1" w:rsidRPr="008B512D" w:rsidRDefault="00F506E1" w:rsidP="008B512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This section provides that the instruments specified in Schedule 2 are amended as set out in the applicable items in that Schedule.</w:t>
      </w:r>
    </w:p>
    <w:p w:rsidR="008B512D" w:rsidRPr="008B512D" w:rsidRDefault="00E708A7" w:rsidP="008B512D">
      <w:pPr>
        <w:shd w:val="clear" w:color="auto" w:fill="FFFFFF"/>
        <w:spacing w:after="240" w:line="240" w:lineRule="auto"/>
        <w:ind w:right="-46"/>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Schedule 1</w:t>
      </w:r>
      <w:r w:rsidR="00152DC0">
        <w:rPr>
          <w:rFonts w:ascii="Times New Roman" w:eastAsia="Times New Roman" w:hAnsi="Times New Roman" w:cs="Times New Roman"/>
          <w:b/>
          <w:bCs/>
          <w:sz w:val="24"/>
          <w:szCs w:val="24"/>
          <w:lang w:eastAsia="en-AU"/>
        </w:rPr>
        <w:sym w:font="Symbol" w:char="F0BE"/>
      </w:r>
      <w:r w:rsidR="00152DC0">
        <w:rPr>
          <w:rFonts w:ascii="Times New Roman" w:eastAsia="Times New Roman" w:hAnsi="Times New Roman" w:cs="Times New Roman"/>
          <w:b/>
          <w:bCs/>
          <w:sz w:val="24"/>
          <w:szCs w:val="24"/>
          <w:lang w:eastAsia="en-AU"/>
        </w:rPr>
        <w:t>Repeals</w:t>
      </w:r>
    </w:p>
    <w:p w:rsidR="008B512D" w:rsidRPr="006A1D91" w:rsidRDefault="008B512D" w:rsidP="008B512D">
      <w:pPr>
        <w:shd w:val="clear" w:color="auto" w:fill="FFFFFF"/>
        <w:spacing w:after="240" w:line="240" w:lineRule="auto"/>
        <w:ind w:right="-46"/>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sz w:val="24"/>
          <w:szCs w:val="24"/>
          <w:lang w:eastAsia="en-AU"/>
        </w:rPr>
        <w:t xml:space="preserve">This Schedule repeals </w:t>
      </w:r>
      <w:r w:rsidR="00372BB3">
        <w:rPr>
          <w:rFonts w:ascii="Times New Roman" w:eastAsia="Times New Roman" w:hAnsi="Times New Roman" w:cs="Times New Roman"/>
          <w:sz w:val="24"/>
          <w:szCs w:val="24"/>
          <w:lang w:eastAsia="en-AU"/>
        </w:rPr>
        <w:t xml:space="preserve">the </w:t>
      </w:r>
      <w:r w:rsidR="00E708A7" w:rsidRPr="0050632B">
        <w:rPr>
          <w:rFonts w:ascii="Times New Roman" w:eastAsia="Times New Roman" w:hAnsi="Times New Roman" w:cs="Times New Roman"/>
          <w:iCs/>
          <w:sz w:val="24"/>
          <w:szCs w:val="24"/>
          <w:lang w:eastAsia="en-AU"/>
        </w:rPr>
        <w:t>Therapeutic Goods Order No</w:t>
      </w:r>
      <w:r w:rsidR="00152DC0">
        <w:rPr>
          <w:rFonts w:ascii="Times New Roman" w:eastAsia="Times New Roman" w:hAnsi="Times New Roman" w:cs="Times New Roman"/>
          <w:iCs/>
          <w:sz w:val="24"/>
          <w:szCs w:val="24"/>
          <w:lang w:eastAsia="en-AU"/>
        </w:rPr>
        <w:t xml:space="preserve"> </w:t>
      </w:r>
      <w:r w:rsidR="00E708A7" w:rsidRPr="0050632B">
        <w:rPr>
          <w:rFonts w:ascii="Times New Roman" w:eastAsia="Times New Roman" w:hAnsi="Times New Roman" w:cs="Times New Roman"/>
          <w:iCs/>
          <w:sz w:val="24"/>
          <w:szCs w:val="24"/>
          <w:lang w:eastAsia="en-AU"/>
        </w:rPr>
        <w:t>81 Standard</w:t>
      </w:r>
      <w:r w:rsidR="00152DC0">
        <w:rPr>
          <w:rFonts w:ascii="Times New Roman" w:eastAsia="Times New Roman" w:hAnsi="Times New Roman" w:cs="Times New Roman"/>
          <w:iCs/>
          <w:sz w:val="24"/>
          <w:szCs w:val="24"/>
          <w:lang w:eastAsia="en-AU"/>
        </w:rPr>
        <w:t>s</w:t>
      </w:r>
      <w:r w:rsidR="00E708A7" w:rsidRPr="0050632B">
        <w:rPr>
          <w:rFonts w:ascii="Times New Roman" w:eastAsia="Times New Roman" w:hAnsi="Times New Roman" w:cs="Times New Roman"/>
          <w:iCs/>
          <w:sz w:val="24"/>
          <w:szCs w:val="24"/>
          <w:lang w:eastAsia="en-AU"/>
        </w:rPr>
        <w:t xml:space="preserve"> for Blood and Blood Components</w:t>
      </w:r>
      <w:r w:rsidRPr="006A1D91">
        <w:rPr>
          <w:rFonts w:ascii="Times New Roman" w:eastAsia="Times New Roman" w:hAnsi="Times New Roman" w:cs="Times New Roman"/>
          <w:sz w:val="24"/>
          <w:szCs w:val="24"/>
          <w:lang w:eastAsia="en-AU"/>
        </w:rPr>
        <w:t>.</w:t>
      </w:r>
      <w:r w:rsidR="00E708A7" w:rsidRPr="006A1D91">
        <w:rPr>
          <w:rFonts w:ascii="Times New Roman" w:eastAsia="Times New Roman" w:hAnsi="Times New Roman" w:cs="Times New Roman"/>
          <w:sz w:val="24"/>
          <w:szCs w:val="24"/>
          <w:lang w:eastAsia="en-AU"/>
        </w:rPr>
        <w:t xml:space="preserve"> </w:t>
      </w:r>
    </w:p>
    <w:p w:rsidR="00F506E1" w:rsidRDefault="00F506E1" w:rsidP="00A502C0">
      <w:pPr>
        <w:shd w:val="clear" w:color="auto" w:fill="FFFFFF"/>
        <w:spacing w:after="240" w:line="240" w:lineRule="auto"/>
        <w:rPr>
          <w:rFonts w:ascii="Times New Roman" w:eastAsia="Times New Roman" w:hAnsi="Times New Roman" w:cs="Times New Roman"/>
          <w:b/>
          <w:sz w:val="24"/>
          <w:szCs w:val="24"/>
          <w:lang w:eastAsia="en-AU"/>
        </w:rPr>
      </w:pPr>
      <w:r w:rsidRPr="00A502C0">
        <w:rPr>
          <w:rFonts w:ascii="Times New Roman" w:eastAsia="Times New Roman" w:hAnsi="Times New Roman" w:cs="Times New Roman"/>
          <w:b/>
          <w:sz w:val="24"/>
          <w:szCs w:val="24"/>
          <w:lang w:eastAsia="en-AU"/>
        </w:rPr>
        <w:t>Schedule 2</w:t>
      </w:r>
      <w:r w:rsidR="00152DC0">
        <w:rPr>
          <w:rFonts w:ascii="Times New Roman" w:eastAsia="Times New Roman" w:hAnsi="Times New Roman" w:cs="Times New Roman"/>
          <w:b/>
          <w:sz w:val="24"/>
          <w:szCs w:val="24"/>
          <w:lang w:eastAsia="en-AU"/>
        </w:rPr>
        <w:sym w:font="Symbol" w:char="F0BE"/>
      </w:r>
      <w:r w:rsidR="00152DC0">
        <w:rPr>
          <w:rFonts w:ascii="Times New Roman" w:eastAsia="Times New Roman" w:hAnsi="Times New Roman" w:cs="Times New Roman"/>
          <w:b/>
          <w:sz w:val="24"/>
          <w:szCs w:val="24"/>
          <w:lang w:eastAsia="en-AU"/>
        </w:rPr>
        <w:t>Consequential amendments</w:t>
      </w:r>
    </w:p>
    <w:p w:rsidR="00F506E1" w:rsidRPr="00B1728A" w:rsidRDefault="00F506E1" w:rsidP="00F506E1">
      <w:pPr>
        <w:pStyle w:val="Item"/>
        <w:ind w:left="0"/>
      </w:pPr>
      <w:r>
        <w:rPr>
          <w:sz w:val="24"/>
          <w:szCs w:val="24"/>
        </w:rPr>
        <w:t xml:space="preserve">This Schedule provides for the amendment of the </w:t>
      </w:r>
      <w:r w:rsidRPr="0050632B">
        <w:rPr>
          <w:sz w:val="24"/>
          <w:szCs w:val="24"/>
        </w:rPr>
        <w:t xml:space="preserve">Therapeutic Goods (Manufacturing Principles) </w:t>
      </w:r>
      <w:r w:rsidR="00152DC0">
        <w:rPr>
          <w:sz w:val="24"/>
          <w:szCs w:val="24"/>
        </w:rPr>
        <w:t xml:space="preserve">Determination </w:t>
      </w:r>
      <w:r w:rsidRPr="0050632B">
        <w:rPr>
          <w:sz w:val="24"/>
          <w:szCs w:val="24"/>
        </w:rPr>
        <w:t>2018</w:t>
      </w:r>
      <w:r>
        <w:rPr>
          <w:sz w:val="24"/>
          <w:szCs w:val="24"/>
        </w:rPr>
        <w:t xml:space="preserve"> by omitting, in paragraph (b) of the definition of </w:t>
      </w:r>
      <w:r w:rsidR="00923018">
        <w:rPr>
          <w:sz w:val="24"/>
          <w:szCs w:val="24"/>
        </w:rPr>
        <w:t>“</w:t>
      </w:r>
      <w:r w:rsidRPr="0050632B">
        <w:rPr>
          <w:sz w:val="24"/>
          <w:szCs w:val="24"/>
        </w:rPr>
        <w:t>Technical Master File</w:t>
      </w:r>
      <w:r w:rsidR="00923018">
        <w:rPr>
          <w:i/>
          <w:sz w:val="24"/>
          <w:szCs w:val="24"/>
        </w:rPr>
        <w:t>”</w:t>
      </w:r>
      <w:r>
        <w:rPr>
          <w:sz w:val="24"/>
          <w:szCs w:val="24"/>
        </w:rPr>
        <w:t xml:space="preserve"> in section 4, “Therapeutic Goods Order No.81 – Standards for Blood and Blood Components” and substituting </w:t>
      </w:r>
      <w:r>
        <w:t>“</w:t>
      </w:r>
      <w:r w:rsidRPr="00693735">
        <w:rPr>
          <w:i/>
        </w:rPr>
        <w:t>Therapeutic Goods (Standard for Blood and Blood Components) (</w:t>
      </w:r>
      <w:r w:rsidR="003F33CB">
        <w:rPr>
          <w:i/>
        </w:rPr>
        <w:t>TGO 102</w:t>
      </w:r>
      <w:r w:rsidRPr="00693735">
        <w:rPr>
          <w:i/>
        </w:rPr>
        <w:t>) Order 2019</w:t>
      </w:r>
      <w:r>
        <w:t>”.</w:t>
      </w:r>
    </w:p>
    <w:p w:rsidR="008B512D" w:rsidRPr="00A502C0" w:rsidRDefault="008B512D" w:rsidP="00A502C0">
      <w:pPr>
        <w:shd w:val="clear" w:color="auto" w:fill="FFFFFF"/>
        <w:spacing w:after="240" w:line="240" w:lineRule="auto"/>
        <w:jc w:val="right"/>
        <w:rPr>
          <w:rFonts w:ascii="Helvetica Neue" w:eastAsia="Times New Roman" w:hAnsi="Helvetica Neue" w:cs="Times New Roman"/>
          <w:sz w:val="24"/>
          <w:szCs w:val="24"/>
          <w:lang w:val="en-US" w:eastAsia="en-AU"/>
        </w:rPr>
      </w:pPr>
      <w:r w:rsidRPr="008B512D">
        <w:rPr>
          <w:rFonts w:ascii="Times New Roman" w:eastAsia="Times New Roman" w:hAnsi="Times New Roman" w:cs="Times New Roman"/>
          <w:sz w:val="24"/>
          <w:szCs w:val="24"/>
          <w:lang w:eastAsia="en-AU"/>
        </w:rPr>
        <w:br w:type="page"/>
      </w:r>
      <w:r w:rsidR="0030143E" w:rsidRPr="00A502C0">
        <w:rPr>
          <w:rFonts w:ascii="Times New Roman" w:eastAsia="Times New Roman" w:hAnsi="Times New Roman" w:cs="Times New Roman"/>
          <w:b/>
          <w:bCs/>
          <w:sz w:val="24"/>
          <w:szCs w:val="24"/>
          <w:lang w:eastAsia="en-AU"/>
        </w:rPr>
        <w:lastRenderedPageBreak/>
        <w:t>A</w:t>
      </w:r>
      <w:r w:rsidR="00372BB3" w:rsidRPr="00A502C0">
        <w:rPr>
          <w:rFonts w:ascii="Times New Roman" w:eastAsia="Times New Roman" w:hAnsi="Times New Roman" w:cs="Times New Roman"/>
          <w:b/>
          <w:bCs/>
          <w:sz w:val="24"/>
          <w:szCs w:val="24"/>
          <w:lang w:eastAsia="en-AU"/>
        </w:rPr>
        <w:t>ttachment</w:t>
      </w:r>
      <w:r w:rsidR="0030143E" w:rsidRPr="00A502C0">
        <w:rPr>
          <w:rFonts w:ascii="Times New Roman" w:eastAsia="Times New Roman" w:hAnsi="Times New Roman" w:cs="Times New Roman"/>
          <w:b/>
          <w:bCs/>
          <w:sz w:val="24"/>
          <w:szCs w:val="24"/>
          <w:lang w:eastAsia="en-AU"/>
        </w:rPr>
        <w:t xml:space="preserve"> B</w:t>
      </w:r>
    </w:p>
    <w:p w:rsidR="008B512D" w:rsidRPr="008B512D" w:rsidRDefault="008B512D" w:rsidP="00501389">
      <w:pPr>
        <w:shd w:val="clear" w:color="auto" w:fill="FFFFFF"/>
        <w:spacing w:before="100" w:beforeAutospacing="1" w:after="120" w:line="240" w:lineRule="auto"/>
        <w:jc w:val="center"/>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b/>
          <w:bCs/>
          <w:sz w:val="24"/>
          <w:szCs w:val="24"/>
          <w:lang w:eastAsia="en-AU"/>
        </w:rPr>
        <w:t>Statement of Compatibility with Human Rights</w:t>
      </w:r>
    </w:p>
    <w:p w:rsidR="008B512D" w:rsidRPr="008B512D" w:rsidRDefault="008B512D" w:rsidP="0050632B">
      <w:pPr>
        <w:shd w:val="clear" w:color="auto" w:fill="FFFFFF"/>
        <w:spacing w:before="100" w:beforeAutospacing="1" w:after="120" w:line="240" w:lineRule="auto"/>
        <w:jc w:val="center"/>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sz w:val="24"/>
          <w:szCs w:val="24"/>
          <w:lang w:eastAsia="en-AU"/>
        </w:rPr>
        <w:t>Prepared in accordance with Part 3 of the</w:t>
      </w:r>
      <w:r w:rsidRPr="008B512D">
        <w:rPr>
          <w:rFonts w:ascii="Times New Roman" w:eastAsia="Times New Roman" w:hAnsi="Times New Roman" w:cs="Times New Roman"/>
          <w:i/>
          <w:iCs/>
          <w:sz w:val="24"/>
          <w:szCs w:val="24"/>
          <w:lang w:eastAsia="en-AU"/>
        </w:rPr>
        <w:t xml:space="preserve"> Human Rights (Parliamentary Scrutiny) Act 2011</w:t>
      </w:r>
    </w:p>
    <w:p w:rsidR="008B512D" w:rsidRPr="008B512D" w:rsidRDefault="008B512D" w:rsidP="0050138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sz w:val="24"/>
          <w:szCs w:val="24"/>
          <w:lang w:eastAsia="en-AU"/>
        </w:rPr>
        <w:t xml:space="preserve">This </w:t>
      </w:r>
      <w:r w:rsidR="00996CBD">
        <w:rPr>
          <w:rFonts w:ascii="Times New Roman" w:eastAsia="Times New Roman" w:hAnsi="Times New Roman" w:cs="Times New Roman"/>
          <w:sz w:val="24"/>
          <w:szCs w:val="24"/>
          <w:lang w:eastAsia="en-AU"/>
        </w:rPr>
        <w:t xml:space="preserve">disallowable </w:t>
      </w:r>
      <w:r w:rsidRPr="008B512D">
        <w:rPr>
          <w:rFonts w:ascii="Times New Roman" w:eastAsia="Times New Roman" w:hAnsi="Times New Roman" w:cs="Times New Roman"/>
          <w:sz w:val="24"/>
          <w:szCs w:val="24"/>
          <w:lang w:eastAsia="en-AU"/>
        </w:rPr>
        <w:t xml:space="preserve">legislative instrument is compatible with the human rights and freedoms recognised or declared in the international instruments listed in section 3 of the </w:t>
      </w:r>
      <w:r w:rsidRPr="008B512D">
        <w:rPr>
          <w:rFonts w:ascii="Times New Roman" w:eastAsia="Times New Roman" w:hAnsi="Times New Roman" w:cs="Times New Roman"/>
          <w:i/>
          <w:iCs/>
          <w:sz w:val="24"/>
          <w:szCs w:val="24"/>
          <w:lang w:eastAsia="en-AU"/>
        </w:rPr>
        <w:t>Human Rights (Parliamentary Scrutiny) Act 2011</w:t>
      </w:r>
      <w:r w:rsidRPr="008B512D">
        <w:rPr>
          <w:rFonts w:ascii="Times New Roman" w:eastAsia="Times New Roman" w:hAnsi="Times New Roman" w:cs="Times New Roman"/>
          <w:sz w:val="24"/>
          <w:szCs w:val="24"/>
          <w:lang w:eastAsia="en-AU"/>
        </w:rPr>
        <w:t>.</w:t>
      </w:r>
    </w:p>
    <w:p w:rsidR="008B512D" w:rsidRPr="008B512D" w:rsidRDefault="008B512D" w:rsidP="008B512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b/>
          <w:bCs/>
          <w:sz w:val="24"/>
          <w:szCs w:val="24"/>
          <w:lang w:eastAsia="en-AU"/>
        </w:rPr>
        <w:t>Overview of the Legislative Instrument</w:t>
      </w:r>
    </w:p>
    <w:p w:rsidR="00E708A7" w:rsidRPr="00F843D8" w:rsidRDefault="00372BB3" w:rsidP="00E708A7">
      <w:pPr>
        <w:shd w:val="clear" w:color="auto" w:fill="FFFFFF"/>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iCs/>
          <w:sz w:val="24"/>
          <w:szCs w:val="24"/>
          <w:lang w:eastAsia="en-AU"/>
        </w:rPr>
        <w:t xml:space="preserve">The </w:t>
      </w:r>
      <w:r w:rsidR="00373769" w:rsidRPr="009330D5">
        <w:rPr>
          <w:rFonts w:ascii="Times New Roman" w:eastAsia="Times New Roman" w:hAnsi="Times New Roman" w:cs="Times New Roman"/>
          <w:i/>
          <w:iCs/>
          <w:sz w:val="24"/>
          <w:szCs w:val="24"/>
          <w:lang w:eastAsia="en-AU"/>
        </w:rPr>
        <w:t>Therapeutic Goods (Standard for Blood and Blood C</w:t>
      </w:r>
      <w:r w:rsidR="00373769">
        <w:rPr>
          <w:rFonts w:ascii="Times New Roman" w:eastAsia="Times New Roman" w:hAnsi="Times New Roman" w:cs="Times New Roman"/>
          <w:i/>
          <w:iCs/>
          <w:sz w:val="24"/>
          <w:szCs w:val="24"/>
          <w:lang w:eastAsia="en-AU"/>
        </w:rPr>
        <w:t>omponents) (</w:t>
      </w:r>
      <w:r w:rsidR="003F33CB">
        <w:rPr>
          <w:rFonts w:ascii="Times New Roman" w:eastAsia="Times New Roman" w:hAnsi="Times New Roman" w:cs="Times New Roman"/>
          <w:i/>
          <w:iCs/>
          <w:sz w:val="24"/>
          <w:szCs w:val="24"/>
          <w:lang w:eastAsia="en-AU"/>
        </w:rPr>
        <w:t>TGO 102</w:t>
      </w:r>
      <w:r w:rsidR="00373769">
        <w:rPr>
          <w:rFonts w:ascii="Times New Roman" w:eastAsia="Times New Roman" w:hAnsi="Times New Roman" w:cs="Times New Roman"/>
          <w:i/>
          <w:iCs/>
          <w:sz w:val="24"/>
          <w:szCs w:val="24"/>
          <w:lang w:eastAsia="en-AU"/>
        </w:rPr>
        <w:t>) Order 2019</w:t>
      </w:r>
      <w:r w:rsidR="00373769" w:rsidRPr="008B512D">
        <w:rPr>
          <w:rFonts w:ascii="Times New Roman" w:eastAsia="Times New Roman" w:hAnsi="Times New Roman" w:cs="Times New Roman"/>
          <w:sz w:val="24"/>
          <w:szCs w:val="24"/>
          <w:lang w:eastAsia="en-AU"/>
        </w:rPr>
        <w:t xml:space="preserve"> </w:t>
      </w:r>
      <w:r w:rsidR="0030143E">
        <w:rPr>
          <w:rFonts w:ascii="Times New Roman" w:eastAsia="Times New Roman" w:hAnsi="Times New Roman" w:cs="Times New Roman"/>
          <w:sz w:val="24"/>
          <w:szCs w:val="24"/>
          <w:lang w:eastAsia="en-AU"/>
        </w:rPr>
        <w:t>(</w:t>
      </w:r>
      <w:r w:rsidR="00B659EA">
        <w:rPr>
          <w:rFonts w:ascii="Times New Roman" w:eastAsia="Times New Roman" w:hAnsi="Times New Roman" w:cs="Times New Roman"/>
          <w:sz w:val="24"/>
          <w:szCs w:val="24"/>
          <w:lang w:eastAsia="en-AU"/>
        </w:rPr>
        <w:t>“</w:t>
      </w:r>
      <w:r w:rsidR="003F33CB">
        <w:rPr>
          <w:rFonts w:ascii="Times New Roman" w:eastAsia="Times New Roman" w:hAnsi="Times New Roman" w:cs="Times New Roman"/>
          <w:sz w:val="24"/>
          <w:szCs w:val="24"/>
          <w:lang w:eastAsia="en-AU"/>
        </w:rPr>
        <w:t xml:space="preserve">the </w:t>
      </w:r>
      <w:r w:rsidR="00923018">
        <w:rPr>
          <w:rFonts w:ascii="Times New Roman" w:eastAsia="Times New Roman" w:hAnsi="Times New Roman" w:cs="Times New Roman"/>
          <w:sz w:val="24"/>
          <w:szCs w:val="24"/>
          <w:lang w:eastAsia="en-AU"/>
        </w:rPr>
        <w:t>instrument</w:t>
      </w:r>
      <w:r w:rsidR="00B659EA">
        <w:rPr>
          <w:rFonts w:ascii="Times New Roman" w:eastAsia="Times New Roman" w:hAnsi="Times New Roman" w:cs="Times New Roman"/>
          <w:sz w:val="24"/>
          <w:szCs w:val="24"/>
          <w:lang w:eastAsia="en-AU"/>
        </w:rPr>
        <w:t>”</w:t>
      </w:r>
      <w:r w:rsidR="00373769">
        <w:rPr>
          <w:rFonts w:ascii="Times New Roman" w:eastAsia="Times New Roman" w:hAnsi="Times New Roman" w:cs="Times New Roman"/>
          <w:sz w:val="24"/>
          <w:szCs w:val="24"/>
          <w:lang w:eastAsia="en-AU"/>
        </w:rPr>
        <w:t xml:space="preserve">) is made by the Minister under section 10 of the </w:t>
      </w:r>
      <w:r w:rsidR="00373769" w:rsidRPr="00501389">
        <w:rPr>
          <w:rFonts w:ascii="Times New Roman" w:eastAsia="Times New Roman" w:hAnsi="Times New Roman" w:cs="Times New Roman"/>
          <w:i/>
          <w:sz w:val="24"/>
          <w:szCs w:val="24"/>
          <w:lang w:eastAsia="en-AU"/>
        </w:rPr>
        <w:t>Therapeutic Goods Act 1989</w:t>
      </w:r>
      <w:r w:rsidR="00373769">
        <w:rPr>
          <w:rFonts w:ascii="Times New Roman" w:eastAsia="Times New Roman" w:hAnsi="Times New Roman" w:cs="Times New Roman"/>
          <w:sz w:val="24"/>
          <w:szCs w:val="24"/>
          <w:lang w:eastAsia="en-AU"/>
        </w:rPr>
        <w:t xml:space="preserve"> (</w:t>
      </w:r>
      <w:r w:rsidR="00B659EA">
        <w:rPr>
          <w:rFonts w:ascii="Times New Roman" w:eastAsia="Times New Roman" w:hAnsi="Times New Roman" w:cs="Times New Roman"/>
          <w:sz w:val="24"/>
          <w:szCs w:val="24"/>
          <w:lang w:eastAsia="en-AU"/>
        </w:rPr>
        <w:t>“</w:t>
      </w:r>
      <w:r w:rsidR="00373769">
        <w:rPr>
          <w:rFonts w:ascii="Times New Roman" w:eastAsia="Times New Roman" w:hAnsi="Times New Roman" w:cs="Times New Roman"/>
          <w:sz w:val="24"/>
          <w:szCs w:val="24"/>
          <w:lang w:eastAsia="en-AU"/>
        </w:rPr>
        <w:t>the Act</w:t>
      </w:r>
      <w:r w:rsidR="00B659EA">
        <w:rPr>
          <w:rFonts w:ascii="Times New Roman" w:eastAsia="Times New Roman" w:hAnsi="Times New Roman" w:cs="Times New Roman"/>
          <w:sz w:val="24"/>
          <w:szCs w:val="24"/>
          <w:lang w:eastAsia="en-AU"/>
        </w:rPr>
        <w:t>”</w:t>
      </w:r>
      <w:r w:rsidR="00373769">
        <w:rPr>
          <w:rFonts w:ascii="Times New Roman" w:eastAsia="Times New Roman" w:hAnsi="Times New Roman" w:cs="Times New Roman"/>
          <w:sz w:val="24"/>
          <w:szCs w:val="24"/>
          <w:lang w:eastAsia="en-AU"/>
        </w:rPr>
        <w:t>)</w:t>
      </w:r>
      <w:r w:rsidR="00E708A7">
        <w:rPr>
          <w:rFonts w:ascii="Times New Roman" w:eastAsia="Times New Roman" w:hAnsi="Times New Roman" w:cs="Times New Roman"/>
          <w:sz w:val="24"/>
          <w:szCs w:val="24"/>
          <w:lang w:eastAsia="en-AU"/>
        </w:rPr>
        <w:t xml:space="preserve">. </w:t>
      </w:r>
    </w:p>
    <w:p w:rsidR="00E56E46" w:rsidRPr="008B512D" w:rsidRDefault="00996CBD" w:rsidP="00A502C0">
      <w:pPr>
        <w:shd w:val="clear" w:color="auto" w:fill="FFFFFF"/>
        <w:spacing w:before="100" w:beforeAutospacing="1" w:after="24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xml:space="preserve">The matters specified in the instrument constitute a standard for therapeutic goods that are blood and blood components.  </w:t>
      </w:r>
      <w:r w:rsidR="00373769" w:rsidRPr="008B512D">
        <w:rPr>
          <w:rFonts w:ascii="Times New Roman" w:eastAsia="Times New Roman" w:hAnsi="Times New Roman" w:cs="Times New Roman"/>
          <w:sz w:val="24"/>
          <w:szCs w:val="24"/>
          <w:lang w:eastAsia="en-AU"/>
        </w:rPr>
        <w:t>The</w:t>
      </w:r>
      <w:r w:rsidR="00373769">
        <w:rPr>
          <w:rFonts w:ascii="Times New Roman" w:eastAsia="Times New Roman" w:hAnsi="Times New Roman" w:cs="Times New Roman"/>
          <w:sz w:val="24"/>
          <w:szCs w:val="24"/>
          <w:lang w:eastAsia="en-AU"/>
        </w:rPr>
        <w:t xml:space="preserve"> purpose of </w:t>
      </w:r>
      <w:r w:rsidR="003F33CB">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instrument</w:t>
      </w:r>
      <w:r w:rsidR="00373769" w:rsidRPr="008B512D">
        <w:rPr>
          <w:rFonts w:ascii="Times New Roman" w:eastAsia="Times New Roman" w:hAnsi="Times New Roman" w:cs="Times New Roman"/>
          <w:sz w:val="24"/>
          <w:szCs w:val="24"/>
          <w:lang w:eastAsia="en-AU"/>
        </w:rPr>
        <w:t xml:space="preserve"> is to </w:t>
      </w:r>
      <w:r w:rsidR="00373769">
        <w:rPr>
          <w:rFonts w:ascii="Times New Roman" w:eastAsia="Times New Roman" w:hAnsi="Times New Roman" w:cs="Times New Roman"/>
          <w:sz w:val="24"/>
          <w:szCs w:val="24"/>
          <w:lang w:eastAsia="en-AU"/>
        </w:rPr>
        <w:t xml:space="preserve">specify </w:t>
      </w:r>
      <w:r>
        <w:rPr>
          <w:rFonts w:ascii="Times New Roman" w:eastAsia="Times New Roman" w:hAnsi="Times New Roman" w:cs="Times New Roman"/>
          <w:sz w:val="24"/>
          <w:szCs w:val="24"/>
          <w:lang w:eastAsia="en-AU"/>
        </w:rPr>
        <w:t>important</w:t>
      </w:r>
      <w:r w:rsidR="00373769">
        <w:rPr>
          <w:rFonts w:ascii="Times New Roman" w:eastAsia="Times New Roman" w:hAnsi="Times New Roman" w:cs="Times New Roman"/>
          <w:sz w:val="24"/>
          <w:szCs w:val="24"/>
          <w:lang w:eastAsia="en-AU"/>
        </w:rPr>
        <w:t xml:space="preserve"> minimum requirements for the safety and quality of blood and blood components, other than those that are</w:t>
      </w:r>
      <w:r>
        <w:rPr>
          <w:rFonts w:ascii="Times New Roman" w:eastAsia="Times New Roman" w:hAnsi="Times New Roman" w:cs="Times New Roman"/>
          <w:sz w:val="24"/>
          <w:szCs w:val="24"/>
          <w:lang w:eastAsia="en-AU"/>
        </w:rPr>
        <w:t xml:space="preserve"> collected or manufactured in a small number of specified circumstances (for example, where they are manufactured by a blood donation centre for a medical practitioner for therapeutic application to a particular patient under the practitioner’s care).</w:t>
      </w:r>
    </w:p>
    <w:p w:rsidR="00923018" w:rsidRDefault="003F33CB" w:rsidP="00373769">
      <w:pPr>
        <w:shd w:val="clear" w:color="auto" w:fill="FFFFFF"/>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996CBD">
        <w:rPr>
          <w:rFonts w:ascii="Times New Roman" w:eastAsia="Times New Roman" w:hAnsi="Times New Roman" w:cs="Times New Roman"/>
          <w:sz w:val="24"/>
          <w:szCs w:val="24"/>
          <w:lang w:eastAsia="en-AU"/>
        </w:rPr>
        <w:t>instrument</w:t>
      </w:r>
      <w:r w:rsidR="0030143E">
        <w:rPr>
          <w:rFonts w:ascii="Times New Roman" w:eastAsia="Times New Roman" w:hAnsi="Times New Roman" w:cs="Times New Roman"/>
          <w:sz w:val="24"/>
          <w:szCs w:val="24"/>
          <w:lang w:eastAsia="en-AU"/>
        </w:rPr>
        <w:t xml:space="preserve"> </w:t>
      </w:r>
      <w:r w:rsidR="00996CBD">
        <w:rPr>
          <w:rFonts w:ascii="Times New Roman" w:eastAsia="Times New Roman" w:hAnsi="Times New Roman" w:cs="Times New Roman"/>
          <w:sz w:val="24"/>
          <w:szCs w:val="24"/>
          <w:lang w:eastAsia="en-AU"/>
        </w:rPr>
        <w:t>also</w:t>
      </w:r>
      <w:r w:rsidR="00923018">
        <w:rPr>
          <w:rFonts w:ascii="Times New Roman" w:eastAsia="Times New Roman" w:hAnsi="Times New Roman" w:cs="Times New Roman"/>
          <w:sz w:val="24"/>
          <w:szCs w:val="24"/>
          <w:lang w:eastAsia="en-AU"/>
        </w:rPr>
        <w:t>:</w:t>
      </w:r>
    </w:p>
    <w:p w:rsidR="00923018" w:rsidRDefault="00373769" w:rsidP="0050632B">
      <w:pPr>
        <w:pStyle w:val="ListParagraph"/>
        <w:numPr>
          <w:ilvl w:val="0"/>
          <w:numId w:val="2"/>
        </w:numPr>
        <w:shd w:val="clear" w:color="auto" w:fill="FFFFFF"/>
        <w:spacing w:before="100" w:beforeAutospacing="1" w:after="240"/>
        <w:rPr>
          <w:szCs w:val="24"/>
          <w:lang w:eastAsia="en-AU"/>
        </w:rPr>
      </w:pPr>
      <w:r w:rsidRPr="006A1D91">
        <w:rPr>
          <w:szCs w:val="24"/>
          <w:lang w:eastAsia="en-AU"/>
        </w:rPr>
        <w:t xml:space="preserve">repeals and </w:t>
      </w:r>
      <w:r w:rsidR="00372BB3" w:rsidRPr="006A1D91">
        <w:rPr>
          <w:szCs w:val="24"/>
          <w:lang w:eastAsia="en-AU"/>
        </w:rPr>
        <w:t>replaces the</w:t>
      </w:r>
      <w:r w:rsidRPr="006A1D91">
        <w:rPr>
          <w:szCs w:val="24"/>
          <w:lang w:eastAsia="en-AU"/>
        </w:rPr>
        <w:t xml:space="preserve"> </w:t>
      </w:r>
      <w:r w:rsidR="00996CBD" w:rsidRPr="006A1D91">
        <w:rPr>
          <w:szCs w:val="24"/>
          <w:lang w:eastAsia="en-AU"/>
        </w:rPr>
        <w:t xml:space="preserve">existing </w:t>
      </w:r>
      <w:r w:rsidRPr="0050632B">
        <w:rPr>
          <w:iCs/>
          <w:szCs w:val="24"/>
          <w:lang w:eastAsia="en-AU"/>
        </w:rPr>
        <w:t>Therapeutic Goods Order No</w:t>
      </w:r>
      <w:r w:rsidR="00923018" w:rsidRPr="006A1D91">
        <w:rPr>
          <w:iCs/>
          <w:szCs w:val="24"/>
          <w:lang w:eastAsia="en-AU"/>
        </w:rPr>
        <w:t xml:space="preserve"> </w:t>
      </w:r>
      <w:r w:rsidRPr="0050632B">
        <w:rPr>
          <w:iCs/>
          <w:szCs w:val="24"/>
          <w:lang w:eastAsia="en-AU"/>
        </w:rPr>
        <w:t xml:space="preserve">81 Standard for Blood and Blood Components </w:t>
      </w:r>
      <w:r w:rsidRPr="006A1D91">
        <w:rPr>
          <w:iCs/>
          <w:szCs w:val="24"/>
          <w:lang w:eastAsia="en-AU"/>
        </w:rPr>
        <w:t>(</w:t>
      </w:r>
      <w:r w:rsidR="00B659EA" w:rsidRPr="006A1D91">
        <w:rPr>
          <w:iCs/>
          <w:szCs w:val="24"/>
          <w:lang w:eastAsia="en-AU"/>
        </w:rPr>
        <w:t xml:space="preserve">“the former </w:t>
      </w:r>
      <w:r w:rsidR="00923018" w:rsidRPr="006A1D91">
        <w:rPr>
          <w:iCs/>
          <w:szCs w:val="24"/>
          <w:lang w:eastAsia="en-AU"/>
        </w:rPr>
        <w:t>instrument</w:t>
      </w:r>
      <w:r w:rsidR="00B659EA" w:rsidRPr="006A1D91">
        <w:rPr>
          <w:iCs/>
          <w:szCs w:val="24"/>
          <w:lang w:eastAsia="en-AU"/>
        </w:rPr>
        <w:t>”</w:t>
      </w:r>
      <w:r w:rsidRPr="0050632B">
        <w:rPr>
          <w:iCs/>
          <w:szCs w:val="24"/>
          <w:lang w:eastAsia="en-AU"/>
        </w:rPr>
        <w:t>)</w:t>
      </w:r>
      <w:r w:rsidRPr="0050632B">
        <w:rPr>
          <w:szCs w:val="24"/>
          <w:lang w:eastAsia="en-AU"/>
        </w:rPr>
        <w:t xml:space="preserve">, which was </w:t>
      </w:r>
      <w:r w:rsidR="00923018" w:rsidRPr="0050632B">
        <w:rPr>
          <w:szCs w:val="24"/>
          <w:lang w:eastAsia="en-AU"/>
        </w:rPr>
        <w:t xml:space="preserve">made in 2018 and is </w:t>
      </w:r>
      <w:r w:rsidRPr="0050632B">
        <w:rPr>
          <w:szCs w:val="24"/>
          <w:lang w:eastAsia="en-AU"/>
        </w:rPr>
        <w:t xml:space="preserve">due to sunset on 1 April 2019 under the sunsetting provisions of the </w:t>
      </w:r>
      <w:r w:rsidRPr="0050632B">
        <w:rPr>
          <w:i/>
          <w:szCs w:val="24"/>
          <w:lang w:eastAsia="en-AU"/>
        </w:rPr>
        <w:t>Legislation Act 2003</w:t>
      </w:r>
      <w:r w:rsidR="00923018" w:rsidRPr="0050632B">
        <w:rPr>
          <w:szCs w:val="24"/>
          <w:lang w:eastAsia="en-AU"/>
        </w:rPr>
        <w:t>;</w:t>
      </w:r>
      <w:r w:rsidR="0030143E" w:rsidRPr="006A1D91">
        <w:rPr>
          <w:szCs w:val="24"/>
          <w:lang w:eastAsia="en-AU"/>
        </w:rPr>
        <w:t xml:space="preserve"> and</w:t>
      </w:r>
    </w:p>
    <w:p w:rsidR="00923018" w:rsidRDefault="0030143E" w:rsidP="0050632B">
      <w:pPr>
        <w:pStyle w:val="ListParagraph"/>
        <w:numPr>
          <w:ilvl w:val="0"/>
          <w:numId w:val="2"/>
        </w:numPr>
        <w:shd w:val="clear" w:color="auto" w:fill="FFFFFF"/>
        <w:spacing w:before="100" w:beforeAutospacing="1" w:after="240"/>
        <w:rPr>
          <w:szCs w:val="24"/>
          <w:lang w:eastAsia="en-AU"/>
        </w:rPr>
      </w:pPr>
      <w:r w:rsidRPr="006A1D91">
        <w:rPr>
          <w:szCs w:val="24"/>
          <w:lang w:eastAsia="en-AU"/>
        </w:rPr>
        <w:t xml:space="preserve">makes a minor, </w:t>
      </w:r>
      <w:r w:rsidRPr="006A1D91">
        <w:rPr>
          <w:szCs w:val="24"/>
        </w:rPr>
        <w:t xml:space="preserve">consequential amendment to the </w:t>
      </w:r>
      <w:r w:rsidRPr="0050632B">
        <w:rPr>
          <w:szCs w:val="24"/>
        </w:rPr>
        <w:t>Therapeutic Goods (Manufacturing Principles) Determination 2018</w:t>
      </w:r>
      <w:r w:rsidRPr="006A1D91">
        <w:rPr>
          <w:szCs w:val="24"/>
        </w:rPr>
        <w:t xml:space="preserve"> (</w:t>
      </w:r>
      <w:r w:rsidR="00923018">
        <w:rPr>
          <w:szCs w:val="24"/>
        </w:rPr>
        <w:t>“</w:t>
      </w:r>
      <w:r w:rsidRPr="006A1D91">
        <w:rPr>
          <w:szCs w:val="24"/>
        </w:rPr>
        <w:t>the Manufacturing Principles</w:t>
      </w:r>
      <w:r w:rsidR="00923018">
        <w:rPr>
          <w:szCs w:val="24"/>
        </w:rPr>
        <w:t>”</w:t>
      </w:r>
      <w:r w:rsidRPr="006A1D91">
        <w:rPr>
          <w:szCs w:val="24"/>
        </w:rPr>
        <w:t xml:space="preserve">) to replace a reference to </w:t>
      </w:r>
      <w:r w:rsidR="00B659EA" w:rsidRPr="006A1D91">
        <w:rPr>
          <w:szCs w:val="24"/>
        </w:rPr>
        <w:t xml:space="preserve">the former </w:t>
      </w:r>
      <w:r w:rsidR="00923018">
        <w:rPr>
          <w:szCs w:val="24"/>
        </w:rPr>
        <w:t>instrument</w:t>
      </w:r>
      <w:r w:rsidR="00923018" w:rsidRPr="006A1D91">
        <w:rPr>
          <w:szCs w:val="24"/>
        </w:rPr>
        <w:t xml:space="preserve"> </w:t>
      </w:r>
      <w:r w:rsidRPr="006A1D91">
        <w:rPr>
          <w:szCs w:val="24"/>
        </w:rPr>
        <w:t xml:space="preserve">with a reference to </w:t>
      </w:r>
      <w:r w:rsidR="003F33CB" w:rsidRPr="006A1D91">
        <w:rPr>
          <w:szCs w:val="24"/>
        </w:rPr>
        <w:t xml:space="preserve">the </w:t>
      </w:r>
      <w:r w:rsidR="00996CBD" w:rsidRPr="0050632B">
        <w:rPr>
          <w:szCs w:val="24"/>
        </w:rPr>
        <w:t>instrument</w:t>
      </w:r>
      <w:r w:rsidRPr="0050632B">
        <w:rPr>
          <w:szCs w:val="24"/>
        </w:rPr>
        <w:t xml:space="preserve"> to ensure the consistency of the Manufacturing Principles with </w:t>
      </w:r>
      <w:r w:rsidR="003F33CB" w:rsidRPr="0050632B">
        <w:rPr>
          <w:szCs w:val="24"/>
        </w:rPr>
        <w:t xml:space="preserve">the </w:t>
      </w:r>
      <w:r w:rsidR="00996CBD" w:rsidRPr="0050632B">
        <w:rPr>
          <w:szCs w:val="24"/>
        </w:rPr>
        <w:t>new instrument</w:t>
      </w:r>
      <w:r w:rsidR="00373769" w:rsidRPr="0050632B">
        <w:rPr>
          <w:szCs w:val="24"/>
          <w:lang w:eastAsia="en-AU"/>
        </w:rPr>
        <w:t xml:space="preserve">. </w:t>
      </w:r>
    </w:p>
    <w:p w:rsidR="00373769" w:rsidRPr="0050632B" w:rsidRDefault="003F33CB" w:rsidP="006A1D91">
      <w:pPr>
        <w:shd w:val="clear" w:color="auto" w:fill="FFFFFF"/>
        <w:spacing w:before="100" w:beforeAutospacing="1" w:after="240" w:line="240" w:lineRule="auto"/>
        <w:rPr>
          <w:rFonts w:ascii="Times New Roman" w:eastAsia="Times New Roman" w:hAnsi="Times New Roman" w:cs="Times New Roman"/>
          <w:sz w:val="24"/>
          <w:szCs w:val="24"/>
          <w:lang w:eastAsia="en-AU"/>
        </w:rPr>
      </w:pPr>
      <w:r w:rsidRPr="0050632B">
        <w:rPr>
          <w:rFonts w:ascii="Times New Roman" w:eastAsia="Times New Roman" w:hAnsi="Times New Roman" w:cs="Times New Roman"/>
          <w:sz w:val="24"/>
          <w:szCs w:val="24"/>
          <w:lang w:eastAsia="en-AU"/>
        </w:rPr>
        <w:t xml:space="preserve">The </w:t>
      </w:r>
      <w:r w:rsidR="00996CBD" w:rsidRPr="0050632B">
        <w:rPr>
          <w:rFonts w:ascii="Times New Roman" w:eastAsia="Times New Roman" w:hAnsi="Times New Roman" w:cs="Times New Roman"/>
          <w:sz w:val="24"/>
          <w:szCs w:val="24"/>
          <w:lang w:eastAsia="en-AU"/>
        </w:rPr>
        <w:t>instrument</w:t>
      </w:r>
      <w:r w:rsidR="00373769" w:rsidRPr="0050632B">
        <w:rPr>
          <w:rFonts w:ascii="Times New Roman" w:eastAsia="Times New Roman" w:hAnsi="Times New Roman" w:cs="Times New Roman"/>
          <w:sz w:val="24"/>
          <w:szCs w:val="24"/>
          <w:lang w:eastAsia="en-AU"/>
        </w:rPr>
        <w:t xml:space="preserve"> commences on 31 March 2019.</w:t>
      </w:r>
    </w:p>
    <w:p w:rsidR="00E56E46" w:rsidRPr="00F843D8" w:rsidRDefault="00923018" w:rsidP="00E56E46">
      <w:pPr>
        <w:shd w:val="clear" w:color="auto" w:fill="FFFFFF"/>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t>
      </w:r>
      <w:r w:rsidR="00E56E46">
        <w:rPr>
          <w:rFonts w:ascii="Times New Roman" w:eastAsia="Times New Roman" w:hAnsi="Times New Roman" w:cs="Times New Roman"/>
          <w:sz w:val="24"/>
          <w:szCs w:val="24"/>
          <w:lang w:eastAsia="en-AU"/>
        </w:rPr>
        <w:t>Blood</w:t>
      </w:r>
      <w:r>
        <w:rPr>
          <w:rFonts w:ascii="Times New Roman" w:eastAsia="Times New Roman" w:hAnsi="Times New Roman" w:cs="Times New Roman"/>
          <w:sz w:val="24"/>
          <w:szCs w:val="24"/>
          <w:lang w:eastAsia="en-AU"/>
        </w:rPr>
        <w:t>’</w:t>
      </w:r>
      <w:r w:rsidR="00E56E46">
        <w:rPr>
          <w:rFonts w:ascii="Times New Roman" w:eastAsia="Times New Roman" w:hAnsi="Times New Roman" w:cs="Times New Roman"/>
          <w:sz w:val="24"/>
          <w:szCs w:val="24"/>
          <w:lang w:eastAsia="en-AU"/>
        </w:rPr>
        <w:t xml:space="preserve"> is defined in </w:t>
      </w:r>
      <w:r w:rsidR="003F33CB">
        <w:rPr>
          <w:rFonts w:ascii="Times New Roman" w:eastAsia="Times New Roman" w:hAnsi="Times New Roman" w:cs="Times New Roman"/>
          <w:sz w:val="24"/>
          <w:szCs w:val="24"/>
          <w:lang w:eastAsia="en-AU"/>
        </w:rPr>
        <w:t xml:space="preserve">the </w:t>
      </w:r>
      <w:r w:rsidR="00996CBD">
        <w:rPr>
          <w:rFonts w:ascii="Times New Roman" w:eastAsia="Times New Roman" w:hAnsi="Times New Roman" w:cs="Times New Roman"/>
          <w:sz w:val="24"/>
          <w:szCs w:val="24"/>
          <w:lang w:eastAsia="en-AU"/>
        </w:rPr>
        <w:t>instrument</w:t>
      </w:r>
      <w:r w:rsidR="00E56E46">
        <w:rPr>
          <w:rFonts w:ascii="Times New Roman" w:eastAsia="Times New Roman" w:hAnsi="Times New Roman" w:cs="Times New Roman"/>
          <w:sz w:val="24"/>
          <w:szCs w:val="24"/>
          <w:lang w:eastAsia="en-AU"/>
        </w:rPr>
        <w:t xml:space="preserve"> as whole blood collected from a single human donor that is processed either for transfu</w:t>
      </w:r>
      <w:r w:rsidR="00923489">
        <w:rPr>
          <w:rFonts w:ascii="Times New Roman" w:eastAsia="Times New Roman" w:hAnsi="Times New Roman" w:cs="Times New Roman"/>
          <w:sz w:val="24"/>
          <w:szCs w:val="24"/>
          <w:lang w:eastAsia="en-AU"/>
        </w:rPr>
        <w:t xml:space="preserve">sion or further manufacturing, and </w:t>
      </w:r>
      <w:r>
        <w:rPr>
          <w:rFonts w:ascii="Times New Roman" w:eastAsia="Times New Roman" w:hAnsi="Times New Roman" w:cs="Times New Roman"/>
          <w:sz w:val="24"/>
          <w:szCs w:val="24"/>
          <w:lang w:eastAsia="en-AU"/>
        </w:rPr>
        <w:t>‘</w:t>
      </w:r>
      <w:r w:rsidR="00923489">
        <w:rPr>
          <w:rFonts w:ascii="Times New Roman" w:eastAsia="Times New Roman" w:hAnsi="Times New Roman" w:cs="Times New Roman"/>
          <w:sz w:val="24"/>
          <w:szCs w:val="24"/>
          <w:lang w:eastAsia="en-AU"/>
        </w:rPr>
        <w:t>b</w:t>
      </w:r>
      <w:r w:rsidR="00E56E46">
        <w:rPr>
          <w:rFonts w:ascii="Times New Roman" w:eastAsia="Times New Roman" w:hAnsi="Times New Roman" w:cs="Times New Roman"/>
          <w:sz w:val="24"/>
          <w:szCs w:val="24"/>
          <w:lang w:eastAsia="en-AU"/>
        </w:rPr>
        <w:t>lood components</w:t>
      </w:r>
      <w:r>
        <w:rPr>
          <w:rFonts w:ascii="Times New Roman" w:eastAsia="Times New Roman" w:hAnsi="Times New Roman" w:cs="Times New Roman"/>
          <w:sz w:val="24"/>
          <w:szCs w:val="24"/>
          <w:lang w:eastAsia="en-AU"/>
        </w:rPr>
        <w:t>’</w:t>
      </w:r>
      <w:r w:rsidR="00E56E46">
        <w:rPr>
          <w:rFonts w:ascii="Times New Roman" w:eastAsia="Times New Roman" w:hAnsi="Times New Roman" w:cs="Times New Roman"/>
          <w:sz w:val="24"/>
          <w:szCs w:val="24"/>
          <w:lang w:eastAsia="en-AU"/>
        </w:rPr>
        <w:t xml:space="preserve"> are defined as specified components of blood (red cells, white cells, platelets or plasma) that can be prepared by centrifugation, filtration or freezing using conventional methodologies in blood establishment.  However, </w:t>
      </w:r>
      <w:r w:rsidR="003F33CB">
        <w:rPr>
          <w:rFonts w:ascii="Times New Roman" w:eastAsia="Times New Roman" w:hAnsi="Times New Roman" w:cs="Times New Roman"/>
          <w:sz w:val="24"/>
          <w:szCs w:val="24"/>
          <w:lang w:eastAsia="en-AU"/>
        </w:rPr>
        <w:t xml:space="preserve">the </w:t>
      </w:r>
      <w:r w:rsidR="00996CBD">
        <w:rPr>
          <w:rFonts w:ascii="Times New Roman" w:eastAsia="Times New Roman" w:hAnsi="Times New Roman" w:cs="Times New Roman"/>
          <w:sz w:val="24"/>
          <w:szCs w:val="24"/>
          <w:lang w:eastAsia="en-AU"/>
        </w:rPr>
        <w:t>instrument</w:t>
      </w:r>
      <w:r w:rsidR="00E56E46">
        <w:rPr>
          <w:rFonts w:ascii="Times New Roman" w:eastAsia="Times New Roman" w:hAnsi="Times New Roman" w:cs="Times New Roman"/>
          <w:sz w:val="24"/>
          <w:szCs w:val="24"/>
          <w:lang w:eastAsia="en-AU"/>
        </w:rPr>
        <w:t xml:space="preserve"> makes it clear tha</w:t>
      </w:r>
      <w:r w:rsidR="00923489">
        <w:rPr>
          <w:rFonts w:ascii="Times New Roman" w:eastAsia="Times New Roman" w:hAnsi="Times New Roman" w:cs="Times New Roman"/>
          <w:sz w:val="24"/>
          <w:szCs w:val="24"/>
          <w:lang w:eastAsia="en-AU"/>
        </w:rPr>
        <w:t>t the term blood components do</w:t>
      </w:r>
      <w:r w:rsidR="00E56E46">
        <w:rPr>
          <w:rFonts w:ascii="Times New Roman" w:eastAsia="Times New Roman" w:hAnsi="Times New Roman" w:cs="Times New Roman"/>
          <w:sz w:val="24"/>
          <w:szCs w:val="24"/>
          <w:lang w:eastAsia="en-AU"/>
        </w:rPr>
        <w:t xml:space="preserve"> not include haematopoietic progenitor cells.</w:t>
      </w:r>
    </w:p>
    <w:p w:rsidR="004A291C" w:rsidRDefault="003F33CB" w:rsidP="004A291C">
      <w:pPr>
        <w:shd w:val="clear" w:color="auto" w:fill="FFFFFF"/>
        <w:spacing w:before="100" w:beforeAutospacing="1" w:after="240" w:line="240" w:lineRule="auto"/>
        <w:rPr>
          <w:sz w:val="18"/>
          <w:szCs w:val="18"/>
          <w:lang w:val="en"/>
        </w:rPr>
      </w:pPr>
      <w:r>
        <w:rPr>
          <w:rFonts w:ascii="Times New Roman" w:eastAsia="Times New Roman" w:hAnsi="Times New Roman" w:cs="Times New Roman"/>
          <w:sz w:val="24"/>
          <w:szCs w:val="24"/>
          <w:lang w:eastAsia="en-AU"/>
        </w:rPr>
        <w:t>T</w:t>
      </w:r>
      <w:r w:rsidR="00996CBD">
        <w:rPr>
          <w:rFonts w:ascii="Times New Roman" w:eastAsia="Times New Roman" w:hAnsi="Times New Roman" w:cs="Times New Roman"/>
          <w:sz w:val="24"/>
          <w:szCs w:val="24"/>
          <w:lang w:eastAsia="en-AU"/>
        </w:rPr>
        <w:t>he instrument principally requires</w:t>
      </w:r>
      <w:r w:rsidR="004A291C">
        <w:rPr>
          <w:rFonts w:ascii="Times New Roman" w:eastAsia="Times New Roman" w:hAnsi="Times New Roman" w:cs="Times New Roman"/>
          <w:sz w:val="24"/>
          <w:szCs w:val="24"/>
          <w:lang w:eastAsia="en-AU"/>
        </w:rPr>
        <w:t xml:space="preserve"> that blood and blood components to which it applies comply with the requirements specified for such products in the </w:t>
      </w:r>
      <w:r w:rsidR="004A291C" w:rsidRPr="00F843D8">
        <w:rPr>
          <w:rFonts w:ascii="Times New Roman" w:eastAsia="Times New Roman" w:hAnsi="Times New Roman" w:cs="Times New Roman"/>
          <w:i/>
          <w:sz w:val="24"/>
          <w:szCs w:val="24"/>
          <w:lang w:val="en" w:eastAsia="en-AU"/>
        </w:rPr>
        <w:t>Guide to the preparation, use and quality assurance of blood components</w:t>
      </w:r>
      <w:r w:rsidR="004A291C" w:rsidRPr="00F843D8">
        <w:rPr>
          <w:rFonts w:ascii="Times New Roman" w:eastAsia="Times New Roman" w:hAnsi="Times New Roman" w:cs="Times New Roman"/>
          <w:sz w:val="24"/>
          <w:szCs w:val="24"/>
          <w:lang w:val="en" w:eastAsia="en-AU"/>
        </w:rPr>
        <w:t>, 19</w:t>
      </w:r>
      <w:r w:rsidR="004A291C" w:rsidRPr="00F843D8">
        <w:rPr>
          <w:rFonts w:ascii="Times New Roman" w:eastAsia="Times New Roman" w:hAnsi="Times New Roman" w:cs="Times New Roman"/>
          <w:sz w:val="24"/>
          <w:szCs w:val="24"/>
          <w:vertAlign w:val="superscript"/>
          <w:lang w:val="en" w:eastAsia="en-AU"/>
        </w:rPr>
        <w:t>th</w:t>
      </w:r>
      <w:r w:rsidR="004A291C" w:rsidRPr="00F843D8">
        <w:rPr>
          <w:rFonts w:ascii="Times New Roman" w:eastAsia="Times New Roman" w:hAnsi="Times New Roman" w:cs="Times New Roman"/>
          <w:sz w:val="24"/>
          <w:szCs w:val="24"/>
          <w:lang w:val="en" w:eastAsia="en-AU"/>
        </w:rPr>
        <w:t xml:space="preserve"> edition, 2017, published by the Council of Europe and as </w:t>
      </w:r>
      <w:r w:rsidR="00923018">
        <w:rPr>
          <w:rFonts w:ascii="Times New Roman" w:eastAsia="Times New Roman" w:hAnsi="Times New Roman" w:cs="Times New Roman"/>
          <w:sz w:val="24"/>
          <w:szCs w:val="24"/>
          <w:lang w:val="en" w:eastAsia="en-AU"/>
        </w:rPr>
        <w:t xml:space="preserve">in force or </w:t>
      </w:r>
      <w:r w:rsidR="004A291C" w:rsidRPr="00F843D8">
        <w:rPr>
          <w:rFonts w:ascii="Times New Roman" w:eastAsia="Times New Roman" w:hAnsi="Times New Roman" w:cs="Times New Roman"/>
          <w:sz w:val="24"/>
          <w:szCs w:val="24"/>
          <w:lang w:val="en" w:eastAsia="en-AU"/>
        </w:rPr>
        <w:t xml:space="preserve">existing </w:t>
      </w:r>
      <w:r w:rsidR="00923018">
        <w:rPr>
          <w:rFonts w:ascii="Times New Roman" w:eastAsia="Times New Roman" w:hAnsi="Times New Roman" w:cs="Times New Roman"/>
          <w:sz w:val="24"/>
          <w:szCs w:val="24"/>
          <w:lang w:val="en" w:eastAsia="en-AU"/>
        </w:rPr>
        <w:t>immediately before the commencement of the instrument</w:t>
      </w:r>
      <w:r w:rsidR="004A291C">
        <w:rPr>
          <w:rFonts w:ascii="Times New Roman" w:eastAsia="Times New Roman" w:hAnsi="Times New Roman" w:cs="Times New Roman"/>
          <w:sz w:val="24"/>
          <w:szCs w:val="24"/>
          <w:lang w:val="en" w:eastAsia="en-AU"/>
        </w:rPr>
        <w:t xml:space="preserve"> (the Guide), with the proviso, noted in subsection </w:t>
      </w:r>
      <w:r w:rsidR="00923018">
        <w:rPr>
          <w:rFonts w:ascii="Times New Roman" w:eastAsia="Times New Roman" w:hAnsi="Times New Roman" w:cs="Times New Roman"/>
          <w:sz w:val="24"/>
          <w:szCs w:val="24"/>
          <w:lang w:val="en" w:eastAsia="en-AU"/>
        </w:rPr>
        <w:t>7</w:t>
      </w:r>
      <w:r w:rsidR="004A291C">
        <w:rPr>
          <w:rFonts w:ascii="Times New Roman" w:eastAsia="Times New Roman" w:hAnsi="Times New Roman" w:cs="Times New Roman"/>
          <w:sz w:val="24"/>
          <w:szCs w:val="24"/>
          <w:lang w:val="en" w:eastAsia="en-AU"/>
        </w:rPr>
        <w:t xml:space="preserve">(2), that the reference to ‘tropical areas’ in the Guide that relates to the deferral period for the condition </w:t>
      </w:r>
      <w:r w:rsidR="004A291C" w:rsidRPr="00AD14CD">
        <w:rPr>
          <w:rFonts w:ascii="Times New Roman" w:eastAsia="Times New Roman" w:hAnsi="Times New Roman" w:cs="Times New Roman"/>
          <w:i/>
          <w:sz w:val="24"/>
          <w:szCs w:val="24"/>
          <w:lang w:val="en" w:eastAsia="en-AU"/>
        </w:rPr>
        <w:t>Tropical infections</w:t>
      </w:r>
      <w:r w:rsidR="004A291C">
        <w:rPr>
          <w:rFonts w:ascii="Times New Roman" w:eastAsia="Times New Roman" w:hAnsi="Times New Roman" w:cs="Times New Roman"/>
          <w:sz w:val="24"/>
          <w:szCs w:val="24"/>
          <w:lang w:val="en" w:eastAsia="en-AU"/>
        </w:rPr>
        <w:t xml:space="preserve"> in Table 2.2 </w:t>
      </w:r>
      <w:r w:rsidR="004A291C" w:rsidRPr="00AD14CD">
        <w:rPr>
          <w:rFonts w:ascii="Times New Roman" w:eastAsia="Times New Roman" w:hAnsi="Times New Roman" w:cs="Times New Roman"/>
          <w:i/>
          <w:sz w:val="24"/>
          <w:szCs w:val="24"/>
          <w:lang w:val="en" w:eastAsia="en-AU"/>
        </w:rPr>
        <w:lastRenderedPageBreak/>
        <w:t>Conditions leading to temporary deferral (suspension)</w:t>
      </w:r>
      <w:r w:rsidR="004A291C">
        <w:rPr>
          <w:rFonts w:ascii="Times New Roman" w:eastAsia="Times New Roman" w:hAnsi="Times New Roman" w:cs="Times New Roman"/>
          <w:sz w:val="24"/>
          <w:szCs w:val="24"/>
          <w:lang w:val="en" w:eastAsia="en-AU"/>
        </w:rPr>
        <w:t xml:space="preserve"> on page 253 of the Guide are to be taken to not include areas within Australia</w:t>
      </w:r>
      <w:r w:rsidR="004A291C" w:rsidRPr="008B512D">
        <w:rPr>
          <w:rFonts w:ascii="Times New Roman" w:eastAsia="Times New Roman" w:hAnsi="Times New Roman" w:cs="Times New Roman"/>
          <w:sz w:val="24"/>
          <w:szCs w:val="24"/>
          <w:lang w:eastAsia="en-AU"/>
        </w:rPr>
        <w:t xml:space="preserve">. </w:t>
      </w:r>
      <w:r w:rsidR="004A291C">
        <w:rPr>
          <w:rFonts w:ascii="Times New Roman" w:eastAsia="Times New Roman" w:hAnsi="Times New Roman" w:cs="Times New Roman"/>
          <w:sz w:val="24"/>
          <w:szCs w:val="24"/>
          <w:lang w:eastAsia="en-AU"/>
        </w:rPr>
        <w:t xml:space="preserve">The Guide can be found (and is freely available) on the internet at </w:t>
      </w:r>
      <w:hyperlink r:id="rId11" w:history="1">
        <w:r w:rsidR="004A291C" w:rsidRPr="00ED0419">
          <w:rPr>
            <w:rStyle w:val="Hyperlink"/>
            <w:rFonts w:ascii="Times New Roman" w:hAnsi="Times New Roman" w:cs="Times New Roman"/>
            <w:sz w:val="24"/>
            <w:szCs w:val="24"/>
            <w:lang w:val="en"/>
          </w:rPr>
          <w:t>https://www.edqm.eu/en/blood-transfusion-guide</w:t>
        </w:r>
      </w:hyperlink>
      <w:r w:rsidR="004A291C">
        <w:rPr>
          <w:rFonts w:ascii="Times New Roman" w:hAnsi="Times New Roman" w:cs="Times New Roman"/>
          <w:sz w:val="24"/>
          <w:szCs w:val="24"/>
          <w:lang w:val="en"/>
        </w:rPr>
        <w:t>.</w:t>
      </w:r>
      <w:r w:rsidR="004A291C">
        <w:rPr>
          <w:sz w:val="18"/>
          <w:szCs w:val="18"/>
          <w:lang w:val="en"/>
        </w:rPr>
        <w:t xml:space="preserve"> </w:t>
      </w:r>
    </w:p>
    <w:p w:rsidR="004A291C" w:rsidRDefault="004A291C" w:rsidP="004A291C">
      <w:pPr>
        <w:shd w:val="clear" w:color="auto" w:fill="FFFFFF"/>
        <w:spacing w:before="100" w:beforeAutospacing="1" w:after="240" w:line="240" w:lineRule="auto"/>
        <w:rPr>
          <w:rFonts w:ascii="Times New Roman" w:hAnsi="Times New Roman" w:cs="Times New Roman"/>
          <w:sz w:val="24"/>
          <w:szCs w:val="24"/>
          <w:lang w:val="en"/>
        </w:rPr>
      </w:pPr>
      <w:r w:rsidRPr="00501389">
        <w:rPr>
          <w:rFonts w:ascii="Times New Roman" w:hAnsi="Times New Roman" w:cs="Times New Roman"/>
          <w:sz w:val="24"/>
          <w:szCs w:val="24"/>
          <w:lang w:val="en"/>
        </w:rPr>
        <w:t>The Guide</w:t>
      </w:r>
      <w:r>
        <w:rPr>
          <w:rFonts w:ascii="Times New Roman" w:hAnsi="Times New Roman" w:cs="Times New Roman"/>
          <w:sz w:val="24"/>
          <w:szCs w:val="24"/>
          <w:lang w:val="en"/>
        </w:rPr>
        <w:t xml:space="preserve"> represents a compendium of requirements that are</w:t>
      </w:r>
      <w:r w:rsidRPr="00B40AC9">
        <w:rPr>
          <w:rFonts w:ascii="Times New Roman" w:hAnsi="Times New Roman" w:cs="Times New Roman"/>
          <w:sz w:val="24"/>
          <w:szCs w:val="24"/>
        </w:rPr>
        <w:t xml:space="preserve"> harmonised</w:t>
      </w:r>
      <w:r>
        <w:rPr>
          <w:rFonts w:ascii="Times New Roman" w:hAnsi="Times New Roman" w:cs="Times New Roman"/>
          <w:sz w:val="24"/>
          <w:szCs w:val="24"/>
          <w:lang w:val="en"/>
        </w:rPr>
        <w:t xml:space="preserve"> across the Council of Europe member states and that are designed to ensure the quality of blood components used in transfusion. It contains standards and recommendations on blood collection, preparation and use of blood and its components, and elements of quality management for blood establishments and hospital blood banks. It represents the basis for the establishment of national regulations for such states, and certain European Directives.</w:t>
      </w:r>
    </w:p>
    <w:p w:rsidR="004A291C" w:rsidRDefault="004A291C" w:rsidP="004A291C">
      <w:pPr>
        <w:shd w:val="clear" w:color="auto" w:fill="FFFFFF"/>
        <w:spacing w:before="100" w:beforeAutospacing="1" w:after="24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The principal difference between the </w:t>
      </w:r>
      <w:r w:rsidR="00996CBD">
        <w:rPr>
          <w:rFonts w:ascii="Times New Roman" w:hAnsi="Times New Roman" w:cs="Times New Roman"/>
          <w:sz w:val="24"/>
          <w:szCs w:val="24"/>
          <w:lang w:val="en"/>
        </w:rPr>
        <w:t>instrument and the former</w:t>
      </w:r>
      <w:r>
        <w:rPr>
          <w:rFonts w:ascii="Times New Roman" w:hAnsi="Times New Roman" w:cs="Times New Roman"/>
          <w:sz w:val="24"/>
          <w:szCs w:val="24"/>
          <w:lang w:val="en"/>
        </w:rPr>
        <w:t xml:space="preserve"> order is the update from the 14</w:t>
      </w:r>
      <w:r w:rsidRPr="004727E5">
        <w:rPr>
          <w:rFonts w:ascii="Times New Roman" w:hAnsi="Times New Roman" w:cs="Times New Roman"/>
          <w:sz w:val="24"/>
          <w:szCs w:val="24"/>
          <w:vertAlign w:val="superscript"/>
          <w:lang w:val="en"/>
        </w:rPr>
        <w:t>th</w:t>
      </w:r>
      <w:r>
        <w:rPr>
          <w:rFonts w:ascii="Times New Roman" w:hAnsi="Times New Roman" w:cs="Times New Roman"/>
          <w:sz w:val="24"/>
          <w:szCs w:val="24"/>
          <w:lang w:val="en"/>
        </w:rPr>
        <w:t xml:space="preserve"> edition of the Guide to the 19</w:t>
      </w:r>
      <w:r w:rsidRPr="004727E5">
        <w:rPr>
          <w:rFonts w:ascii="Times New Roman" w:hAnsi="Times New Roman" w:cs="Times New Roman"/>
          <w:sz w:val="24"/>
          <w:szCs w:val="24"/>
          <w:vertAlign w:val="superscript"/>
          <w:lang w:val="en"/>
        </w:rPr>
        <w:t>th</w:t>
      </w:r>
      <w:r>
        <w:rPr>
          <w:rFonts w:ascii="Times New Roman" w:hAnsi="Times New Roman" w:cs="Times New Roman"/>
          <w:sz w:val="24"/>
          <w:szCs w:val="24"/>
          <w:lang w:val="en"/>
        </w:rPr>
        <w:t xml:space="preserve"> edition.</w:t>
      </w:r>
    </w:p>
    <w:p w:rsidR="004A291C" w:rsidRDefault="004A291C" w:rsidP="004A291C">
      <w:pPr>
        <w:shd w:val="clear" w:color="auto" w:fill="FFFFFF"/>
        <w:spacing w:before="100" w:beforeAutospacing="1" w:after="240" w:line="240" w:lineRule="auto"/>
        <w:rPr>
          <w:rFonts w:ascii="Times New Roman" w:hAnsi="Times New Roman" w:cs="Times New Roman"/>
          <w:sz w:val="24"/>
          <w:szCs w:val="24"/>
        </w:rPr>
      </w:pPr>
      <w:r w:rsidRPr="00E06275">
        <w:rPr>
          <w:rFonts w:ascii="Times New Roman" w:hAnsi="Times New Roman" w:cs="Times New Roman"/>
          <w:sz w:val="24"/>
          <w:szCs w:val="24"/>
          <w:lang w:val="en"/>
        </w:rPr>
        <w:t>The adoption of the 19</w:t>
      </w:r>
      <w:r w:rsidRPr="00E06275">
        <w:rPr>
          <w:rFonts w:ascii="Times New Roman" w:hAnsi="Times New Roman" w:cs="Times New Roman"/>
          <w:sz w:val="24"/>
          <w:szCs w:val="24"/>
          <w:vertAlign w:val="superscript"/>
          <w:lang w:val="en"/>
        </w:rPr>
        <w:t>th</w:t>
      </w:r>
      <w:r w:rsidRPr="00E06275">
        <w:rPr>
          <w:rFonts w:ascii="Times New Roman" w:hAnsi="Times New Roman" w:cs="Times New Roman"/>
          <w:sz w:val="24"/>
          <w:szCs w:val="24"/>
          <w:lang w:val="en"/>
        </w:rPr>
        <w:t xml:space="preserve"> edition of the Guide by </w:t>
      </w:r>
      <w:r w:rsidR="003F33CB">
        <w:rPr>
          <w:rFonts w:ascii="Times New Roman" w:hAnsi="Times New Roman" w:cs="Times New Roman"/>
          <w:sz w:val="24"/>
          <w:szCs w:val="24"/>
          <w:lang w:val="en"/>
        </w:rPr>
        <w:t>the</w:t>
      </w:r>
      <w:r w:rsidR="00996CBD">
        <w:rPr>
          <w:rFonts w:ascii="Times New Roman" w:hAnsi="Times New Roman" w:cs="Times New Roman"/>
          <w:sz w:val="24"/>
          <w:szCs w:val="24"/>
          <w:lang w:val="en"/>
        </w:rPr>
        <w:t xml:space="preserve"> instrument</w:t>
      </w:r>
      <w:r w:rsidRPr="00E06275">
        <w:rPr>
          <w:rFonts w:ascii="Times New Roman" w:hAnsi="Times New Roman" w:cs="Times New Roman"/>
          <w:sz w:val="24"/>
          <w:szCs w:val="24"/>
          <w:lang w:val="en"/>
        </w:rPr>
        <w:t xml:space="preserve"> includes a number of enhancements to the regulation of blood and blood components that have been </w:t>
      </w:r>
      <w:r w:rsidRPr="00E06275">
        <w:rPr>
          <w:rFonts w:ascii="Times New Roman" w:hAnsi="Times New Roman" w:cs="Times New Roman"/>
          <w:sz w:val="24"/>
          <w:szCs w:val="24"/>
        </w:rPr>
        <w:t>introduced in Europe to improve the safety and efficacy of blood and blood components since the adoption of the 14</w:t>
      </w:r>
      <w:r w:rsidRPr="00E06275">
        <w:rPr>
          <w:rFonts w:ascii="Times New Roman" w:hAnsi="Times New Roman" w:cs="Times New Roman"/>
          <w:sz w:val="24"/>
          <w:szCs w:val="24"/>
          <w:vertAlign w:val="superscript"/>
        </w:rPr>
        <w:t>th</w:t>
      </w:r>
      <w:r w:rsidRPr="00E06275">
        <w:rPr>
          <w:rFonts w:ascii="Times New Roman" w:hAnsi="Times New Roman" w:cs="Times New Roman"/>
          <w:sz w:val="24"/>
          <w:szCs w:val="24"/>
        </w:rPr>
        <w:t xml:space="preserve"> edition of the Guide by </w:t>
      </w:r>
      <w:r w:rsidR="00B659EA">
        <w:rPr>
          <w:rFonts w:ascii="Times New Roman" w:hAnsi="Times New Roman" w:cs="Times New Roman"/>
          <w:sz w:val="24"/>
          <w:szCs w:val="24"/>
        </w:rPr>
        <w:t xml:space="preserve">the former </w:t>
      </w:r>
      <w:r w:rsidR="00923018">
        <w:rPr>
          <w:rFonts w:ascii="Times New Roman" w:hAnsi="Times New Roman" w:cs="Times New Roman"/>
          <w:sz w:val="24"/>
          <w:szCs w:val="24"/>
        </w:rPr>
        <w:t>instrument</w:t>
      </w:r>
      <w:r w:rsidR="00923018" w:rsidRPr="00E06275">
        <w:rPr>
          <w:rFonts w:ascii="Times New Roman" w:hAnsi="Times New Roman" w:cs="Times New Roman"/>
          <w:sz w:val="24"/>
          <w:szCs w:val="24"/>
        </w:rPr>
        <w:t xml:space="preserve"> </w:t>
      </w:r>
      <w:r w:rsidRPr="00E06275">
        <w:rPr>
          <w:rFonts w:ascii="Times New Roman" w:hAnsi="Times New Roman" w:cs="Times New Roman"/>
          <w:sz w:val="24"/>
          <w:szCs w:val="24"/>
        </w:rPr>
        <w:t>in 2008. These changes include</w:t>
      </w:r>
      <w:r>
        <w:rPr>
          <w:rFonts w:ascii="Times New Roman" w:hAnsi="Times New Roman" w:cs="Times New Roman"/>
          <w:sz w:val="24"/>
          <w:szCs w:val="24"/>
        </w:rPr>
        <w:t xml:space="preserve"> a</w:t>
      </w:r>
      <w:r w:rsidRPr="00E06275">
        <w:rPr>
          <w:rFonts w:ascii="Times New Roman" w:hAnsi="Times New Roman" w:cs="Times New Roman"/>
          <w:sz w:val="24"/>
          <w:szCs w:val="24"/>
        </w:rPr>
        <w:t xml:space="preserve"> requirement for donor suitability records and final assessment</w:t>
      </w:r>
      <w:r>
        <w:rPr>
          <w:rFonts w:ascii="Times New Roman" w:hAnsi="Times New Roman" w:cs="Times New Roman"/>
          <w:sz w:val="24"/>
          <w:szCs w:val="24"/>
        </w:rPr>
        <w:t>s</w:t>
      </w:r>
      <w:r w:rsidRPr="00E06275">
        <w:rPr>
          <w:rFonts w:ascii="Times New Roman" w:hAnsi="Times New Roman" w:cs="Times New Roman"/>
          <w:sz w:val="24"/>
          <w:szCs w:val="24"/>
        </w:rPr>
        <w:t xml:space="preserve"> to be signed by a qualified health professional; reduction</w:t>
      </w:r>
      <w:r>
        <w:rPr>
          <w:rFonts w:ascii="Times New Roman" w:hAnsi="Times New Roman" w:cs="Times New Roman"/>
          <w:sz w:val="24"/>
          <w:szCs w:val="24"/>
        </w:rPr>
        <w:t>s</w:t>
      </w:r>
      <w:r w:rsidRPr="00E06275">
        <w:rPr>
          <w:rFonts w:ascii="Times New Roman" w:hAnsi="Times New Roman" w:cs="Times New Roman"/>
          <w:sz w:val="24"/>
          <w:szCs w:val="24"/>
        </w:rPr>
        <w:t xml:space="preserve"> in some donor deferral periods to improve supply; and changes to irradiation timeframes for red cells for neonatal and infant small volume transfusion</w:t>
      </w:r>
      <w:r>
        <w:rPr>
          <w:rFonts w:ascii="Times New Roman" w:hAnsi="Times New Roman" w:cs="Times New Roman"/>
          <w:sz w:val="24"/>
          <w:szCs w:val="24"/>
        </w:rPr>
        <w:t>s</w:t>
      </w:r>
      <w:r w:rsidRPr="00E06275">
        <w:rPr>
          <w:rFonts w:ascii="Times New Roman" w:hAnsi="Times New Roman" w:cs="Times New Roman"/>
          <w:sz w:val="24"/>
          <w:szCs w:val="24"/>
        </w:rPr>
        <w:t>. In so doing, the adoption of the 19</w:t>
      </w:r>
      <w:r w:rsidRPr="00E06275">
        <w:rPr>
          <w:rFonts w:ascii="Times New Roman" w:hAnsi="Times New Roman" w:cs="Times New Roman"/>
          <w:sz w:val="24"/>
          <w:szCs w:val="24"/>
          <w:vertAlign w:val="superscript"/>
        </w:rPr>
        <w:t>th</w:t>
      </w:r>
      <w:r w:rsidRPr="00E06275">
        <w:rPr>
          <w:rFonts w:ascii="Times New Roman" w:hAnsi="Times New Roman" w:cs="Times New Roman"/>
          <w:sz w:val="24"/>
          <w:szCs w:val="24"/>
        </w:rPr>
        <w:t xml:space="preserve"> edition of the Guide will help ensure the international consistency and quality of blood and blood components in Australia.</w:t>
      </w:r>
    </w:p>
    <w:p w:rsidR="004A291C" w:rsidRDefault="00996CBD" w:rsidP="004A291C">
      <w:pPr>
        <w:shd w:val="clear" w:color="auto" w:fill="FFFFFF"/>
        <w:spacing w:before="120" w:after="240" w:line="240" w:lineRule="auto"/>
        <w:outlineLvl w:val="2"/>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To assist industry to transition to the instrument, it</w:t>
      </w:r>
      <w:r w:rsidR="004A291C">
        <w:rPr>
          <w:rFonts w:ascii="Times New Roman" w:eastAsia="Times New Roman" w:hAnsi="Times New Roman" w:cs="Times New Roman"/>
          <w:sz w:val="24"/>
          <w:szCs w:val="24"/>
          <w:lang w:eastAsia="en-AU"/>
        </w:rPr>
        <w:t xml:space="preserve"> provides a transition period of 12 months (from 31 March 2019 to 30 March 2020) in w</w:t>
      </w:r>
      <w:r w:rsidR="00DE7E6B">
        <w:rPr>
          <w:rFonts w:ascii="Times New Roman" w:eastAsia="Times New Roman" w:hAnsi="Times New Roman" w:cs="Times New Roman"/>
          <w:sz w:val="24"/>
          <w:szCs w:val="24"/>
          <w:lang w:eastAsia="en-AU"/>
        </w:rPr>
        <w:t xml:space="preserve">hich </w:t>
      </w:r>
      <w:r w:rsidR="00B659EA">
        <w:rPr>
          <w:rFonts w:ascii="Times New Roman" w:eastAsia="Times New Roman" w:hAnsi="Times New Roman" w:cs="Times New Roman"/>
          <w:sz w:val="24"/>
          <w:szCs w:val="24"/>
          <w:lang w:eastAsia="en-AU"/>
        </w:rPr>
        <w:t xml:space="preserve">the former </w:t>
      </w:r>
      <w:r w:rsidR="00923018">
        <w:rPr>
          <w:rFonts w:ascii="Times New Roman" w:eastAsia="Times New Roman" w:hAnsi="Times New Roman" w:cs="Times New Roman"/>
          <w:sz w:val="24"/>
          <w:szCs w:val="24"/>
          <w:lang w:eastAsia="en-AU"/>
        </w:rPr>
        <w:t xml:space="preserve">instrument </w:t>
      </w:r>
      <w:r w:rsidR="00DE7E6B">
        <w:rPr>
          <w:rFonts w:ascii="Times New Roman" w:eastAsia="Times New Roman" w:hAnsi="Times New Roman" w:cs="Times New Roman"/>
          <w:sz w:val="24"/>
          <w:szCs w:val="24"/>
          <w:lang w:eastAsia="en-AU"/>
        </w:rPr>
        <w:t xml:space="preserve">may still be </w:t>
      </w:r>
      <w:r w:rsidR="00923018">
        <w:rPr>
          <w:rFonts w:ascii="Times New Roman" w:eastAsia="Times New Roman" w:hAnsi="Times New Roman" w:cs="Times New Roman"/>
          <w:sz w:val="24"/>
          <w:szCs w:val="24"/>
          <w:lang w:eastAsia="en-AU"/>
        </w:rPr>
        <w:t xml:space="preserve">conformed </w:t>
      </w:r>
      <w:r w:rsidR="00DE7E6B">
        <w:rPr>
          <w:rFonts w:ascii="Times New Roman" w:eastAsia="Times New Roman" w:hAnsi="Times New Roman" w:cs="Times New Roman"/>
          <w:sz w:val="24"/>
          <w:szCs w:val="24"/>
          <w:lang w:eastAsia="en-AU"/>
        </w:rPr>
        <w:t xml:space="preserve">with </w:t>
      </w:r>
      <w:r w:rsidR="004A291C">
        <w:rPr>
          <w:rFonts w:ascii="Times New Roman" w:eastAsia="Times New Roman" w:hAnsi="Times New Roman" w:cs="Times New Roman"/>
          <w:sz w:val="24"/>
          <w:szCs w:val="24"/>
          <w:lang w:eastAsia="en-AU"/>
        </w:rPr>
        <w:t xml:space="preserve">(despite its </w:t>
      </w:r>
      <w:r w:rsidR="003F33CB">
        <w:rPr>
          <w:rFonts w:ascii="Times New Roman" w:eastAsia="Times New Roman" w:hAnsi="Times New Roman" w:cs="Times New Roman"/>
          <w:sz w:val="24"/>
          <w:szCs w:val="24"/>
          <w:lang w:eastAsia="en-AU"/>
        </w:rPr>
        <w:t>repeal by section 9</w:t>
      </w:r>
      <w:r w:rsidR="004A291C">
        <w:rPr>
          <w:rFonts w:ascii="Times New Roman" w:eastAsia="Times New Roman" w:hAnsi="Times New Roman" w:cs="Times New Roman"/>
          <w:sz w:val="24"/>
          <w:szCs w:val="24"/>
          <w:lang w:eastAsia="en-AU"/>
        </w:rPr>
        <w:t xml:space="preserve"> of </w:t>
      </w:r>
      <w:r w:rsidR="003F33CB">
        <w:rPr>
          <w:rFonts w:ascii="Times New Roman" w:eastAsia="Times New Roman" w:hAnsi="Times New Roman" w:cs="Times New Roman"/>
          <w:sz w:val="24"/>
          <w:szCs w:val="24"/>
          <w:lang w:eastAsia="en-AU"/>
        </w:rPr>
        <w:t>the</w:t>
      </w:r>
      <w:r w:rsidR="00DE7E6B">
        <w:rPr>
          <w:rFonts w:ascii="Times New Roman" w:eastAsia="Times New Roman" w:hAnsi="Times New Roman" w:cs="Times New Roman"/>
          <w:sz w:val="24"/>
          <w:szCs w:val="24"/>
          <w:lang w:eastAsia="en-AU"/>
        </w:rPr>
        <w:t xml:space="preserve"> instrument</w:t>
      </w:r>
      <w:r w:rsidR="004A291C">
        <w:rPr>
          <w:rFonts w:ascii="Times New Roman" w:eastAsia="Times New Roman" w:hAnsi="Times New Roman" w:cs="Times New Roman"/>
          <w:sz w:val="24"/>
          <w:szCs w:val="24"/>
          <w:lang w:eastAsia="en-AU"/>
        </w:rPr>
        <w:t xml:space="preserve">) as an alternative to the standard for blood and blood components constituted by </w:t>
      </w:r>
      <w:r w:rsidR="003F33CB">
        <w:rPr>
          <w:rFonts w:ascii="Times New Roman" w:eastAsia="Times New Roman" w:hAnsi="Times New Roman" w:cs="Times New Roman"/>
          <w:sz w:val="24"/>
          <w:szCs w:val="24"/>
          <w:lang w:eastAsia="en-AU"/>
        </w:rPr>
        <w:t>the</w:t>
      </w:r>
      <w:r w:rsidR="00DE7E6B">
        <w:rPr>
          <w:rFonts w:ascii="Times New Roman" w:eastAsia="Times New Roman" w:hAnsi="Times New Roman" w:cs="Times New Roman"/>
          <w:sz w:val="24"/>
          <w:szCs w:val="24"/>
          <w:lang w:eastAsia="en-AU"/>
        </w:rPr>
        <w:t xml:space="preserve"> instrument</w:t>
      </w:r>
      <w:r w:rsidR="004A291C">
        <w:rPr>
          <w:rFonts w:ascii="Times New Roman" w:eastAsia="Times New Roman" w:hAnsi="Times New Roman" w:cs="Times New Roman"/>
          <w:sz w:val="24"/>
          <w:szCs w:val="24"/>
          <w:lang w:eastAsia="en-AU"/>
        </w:rPr>
        <w:t xml:space="preserve">. </w:t>
      </w:r>
    </w:p>
    <w:p w:rsidR="004A291C" w:rsidRDefault="003F33CB" w:rsidP="004A291C">
      <w:pPr>
        <w:shd w:val="clear" w:color="auto" w:fill="FFFFFF"/>
        <w:spacing w:before="120" w:after="240" w:line="240" w:lineRule="auto"/>
        <w:outlineLvl w:val="2"/>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00DE7E6B">
        <w:rPr>
          <w:rFonts w:ascii="Times New Roman" w:eastAsia="Times New Roman" w:hAnsi="Times New Roman" w:cs="Times New Roman"/>
          <w:sz w:val="24"/>
          <w:szCs w:val="24"/>
          <w:lang w:eastAsia="en-AU"/>
        </w:rPr>
        <w:t xml:space="preserve"> instrument</w:t>
      </w:r>
      <w:r w:rsidR="004A291C">
        <w:rPr>
          <w:rFonts w:ascii="Times New Roman" w:eastAsia="Times New Roman" w:hAnsi="Times New Roman" w:cs="Times New Roman"/>
          <w:sz w:val="24"/>
          <w:szCs w:val="24"/>
          <w:lang w:eastAsia="en-AU"/>
        </w:rPr>
        <w:t xml:space="preserve"> also makes a minor, consequential amendment to the Manufacturing Principles to replace a reference to </w:t>
      </w:r>
      <w:r w:rsidR="00B659EA">
        <w:rPr>
          <w:rFonts w:ascii="Times New Roman" w:eastAsia="Times New Roman" w:hAnsi="Times New Roman" w:cs="Times New Roman"/>
          <w:sz w:val="24"/>
          <w:szCs w:val="24"/>
          <w:lang w:eastAsia="en-AU"/>
        </w:rPr>
        <w:t xml:space="preserve">the former </w:t>
      </w:r>
      <w:r w:rsidR="006A1D91">
        <w:rPr>
          <w:rFonts w:ascii="Times New Roman" w:eastAsia="Times New Roman" w:hAnsi="Times New Roman" w:cs="Times New Roman"/>
          <w:sz w:val="24"/>
          <w:szCs w:val="24"/>
          <w:lang w:eastAsia="en-AU"/>
        </w:rPr>
        <w:t xml:space="preserve">instrument </w:t>
      </w:r>
      <w:r w:rsidR="004A291C">
        <w:rPr>
          <w:rFonts w:ascii="Times New Roman" w:eastAsia="Times New Roman" w:hAnsi="Times New Roman" w:cs="Times New Roman"/>
          <w:sz w:val="24"/>
          <w:szCs w:val="24"/>
          <w:lang w:eastAsia="en-AU"/>
        </w:rPr>
        <w:t xml:space="preserve">in the definition of ‘Technical Master File’ in section 4 of the Manufacturing Principles with an updated reference to the new </w:t>
      </w:r>
      <w:r w:rsidR="006A1D91">
        <w:rPr>
          <w:rFonts w:ascii="Times New Roman" w:eastAsia="Times New Roman" w:hAnsi="Times New Roman" w:cs="Times New Roman"/>
          <w:sz w:val="24"/>
          <w:szCs w:val="24"/>
          <w:lang w:eastAsia="en-AU"/>
        </w:rPr>
        <w:t>instrument</w:t>
      </w:r>
      <w:r w:rsidR="004A291C">
        <w:rPr>
          <w:rFonts w:ascii="Times New Roman" w:eastAsia="Times New Roman" w:hAnsi="Times New Roman" w:cs="Times New Roman"/>
          <w:sz w:val="24"/>
          <w:szCs w:val="24"/>
          <w:lang w:eastAsia="en-AU"/>
        </w:rPr>
        <w:t>.</w:t>
      </w:r>
    </w:p>
    <w:p w:rsidR="008B512D" w:rsidRPr="00E708A7" w:rsidRDefault="008B512D" w:rsidP="008B512D">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E708A7">
        <w:rPr>
          <w:rFonts w:ascii="Helvetica Neue" w:eastAsia="Times New Roman" w:hAnsi="Helvetica Neue" w:cs="Times New Roman"/>
          <w:b/>
          <w:bCs/>
          <w:sz w:val="24"/>
          <w:szCs w:val="24"/>
          <w:lang w:eastAsia="en-AU"/>
        </w:rPr>
        <w:t>Human rights implications</w:t>
      </w:r>
    </w:p>
    <w:p w:rsidR="00DE7E6B" w:rsidRPr="0050632B" w:rsidRDefault="003F33CB" w:rsidP="0050632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50632B">
        <w:rPr>
          <w:rFonts w:ascii="Times New Roman" w:eastAsia="Times New Roman" w:hAnsi="Times New Roman" w:cs="Times New Roman"/>
          <w:sz w:val="24"/>
          <w:szCs w:val="24"/>
          <w:lang w:eastAsia="en-AU"/>
        </w:rPr>
        <w:t xml:space="preserve">The </w:t>
      </w:r>
      <w:r w:rsidR="00DE7E6B" w:rsidRPr="0050632B">
        <w:rPr>
          <w:rFonts w:ascii="Times New Roman" w:eastAsia="Times New Roman" w:hAnsi="Times New Roman" w:cs="Times New Roman"/>
          <w:sz w:val="24"/>
          <w:szCs w:val="24"/>
          <w:lang w:eastAsia="en-AU"/>
        </w:rPr>
        <w:t>instrument</w:t>
      </w:r>
      <w:r w:rsidR="000636BA" w:rsidRPr="0050632B">
        <w:rPr>
          <w:rFonts w:ascii="Times New Roman" w:eastAsia="Times New Roman" w:hAnsi="Times New Roman" w:cs="Times New Roman"/>
          <w:sz w:val="24"/>
          <w:szCs w:val="24"/>
          <w:lang w:eastAsia="en-AU"/>
        </w:rPr>
        <w:t xml:space="preserve"> </w:t>
      </w:r>
      <w:r w:rsidR="00DE7E6B" w:rsidRPr="0050632B">
        <w:rPr>
          <w:rFonts w:ascii="Times New Roman" w:eastAsia="Times New Roman" w:hAnsi="Times New Roman" w:cs="Times New Roman"/>
          <w:sz w:val="24"/>
          <w:szCs w:val="24"/>
          <w:lang w:eastAsia="en-AU"/>
        </w:rPr>
        <w:t>engages</w:t>
      </w:r>
      <w:r w:rsidR="000636BA" w:rsidRPr="0050632B">
        <w:rPr>
          <w:rFonts w:ascii="Times New Roman" w:eastAsia="Times New Roman" w:hAnsi="Times New Roman" w:cs="Times New Roman"/>
          <w:sz w:val="24"/>
          <w:szCs w:val="24"/>
          <w:lang w:eastAsia="en-AU"/>
        </w:rPr>
        <w:t xml:space="preserve"> the right to health in </w:t>
      </w:r>
      <w:r w:rsidR="00DE7E6B" w:rsidRPr="0050632B">
        <w:rPr>
          <w:rFonts w:ascii="Times New Roman" w:eastAsia="Times New Roman" w:hAnsi="Times New Roman" w:cs="Times New Roman"/>
          <w:sz w:val="24"/>
          <w:szCs w:val="24"/>
          <w:lang w:eastAsia="en-AU"/>
        </w:rPr>
        <w:t>A</w:t>
      </w:r>
      <w:r w:rsidR="000636BA" w:rsidRPr="0050632B">
        <w:rPr>
          <w:rFonts w:ascii="Times New Roman" w:eastAsia="Times New Roman" w:hAnsi="Times New Roman" w:cs="Times New Roman"/>
          <w:sz w:val="24"/>
          <w:szCs w:val="24"/>
          <w:lang w:eastAsia="en-AU"/>
        </w:rPr>
        <w:t xml:space="preserve">rticle 12 of the </w:t>
      </w:r>
      <w:r w:rsidR="000636BA" w:rsidRPr="0050632B">
        <w:rPr>
          <w:rFonts w:ascii="Times New Roman" w:eastAsia="Times New Roman" w:hAnsi="Times New Roman" w:cs="Times New Roman"/>
          <w:i/>
          <w:sz w:val="24"/>
          <w:szCs w:val="24"/>
          <w:lang w:eastAsia="en-AU"/>
        </w:rPr>
        <w:t>International Covenant on Economic, Social and Cultural Rights</w:t>
      </w:r>
      <w:r w:rsidR="000636BA" w:rsidRPr="0050632B">
        <w:rPr>
          <w:rFonts w:ascii="Times New Roman" w:eastAsia="Times New Roman" w:hAnsi="Times New Roman" w:cs="Times New Roman"/>
          <w:sz w:val="24"/>
          <w:szCs w:val="24"/>
          <w:lang w:eastAsia="en-AU"/>
        </w:rPr>
        <w:t xml:space="preserve"> (</w:t>
      </w:r>
      <w:r w:rsidR="00DE7E6B" w:rsidRPr="0050632B">
        <w:rPr>
          <w:rFonts w:ascii="Times New Roman" w:eastAsia="Times New Roman" w:hAnsi="Times New Roman" w:cs="Times New Roman"/>
          <w:sz w:val="24"/>
          <w:szCs w:val="24"/>
          <w:lang w:eastAsia="en-AU"/>
        </w:rPr>
        <w:t>“</w:t>
      </w:r>
      <w:r w:rsidR="000636BA" w:rsidRPr="0050632B">
        <w:rPr>
          <w:rFonts w:ascii="Times New Roman" w:eastAsia="Times New Roman" w:hAnsi="Times New Roman" w:cs="Times New Roman"/>
          <w:sz w:val="24"/>
          <w:szCs w:val="24"/>
          <w:lang w:eastAsia="en-AU"/>
        </w:rPr>
        <w:t>the ICESCR</w:t>
      </w:r>
      <w:r w:rsidR="00DE7E6B" w:rsidRPr="0050632B">
        <w:rPr>
          <w:rFonts w:ascii="Times New Roman" w:eastAsia="Times New Roman" w:hAnsi="Times New Roman" w:cs="Times New Roman"/>
          <w:sz w:val="24"/>
          <w:szCs w:val="24"/>
          <w:lang w:eastAsia="en-AU"/>
        </w:rPr>
        <w:t>”</w:t>
      </w:r>
      <w:r w:rsidR="000636BA" w:rsidRPr="0050632B">
        <w:rPr>
          <w:rFonts w:ascii="Times New Roman" w:eastAsia="Times New Roman" w:hAnsi="Times New Roman" w:cs="Times New Roman"/>
          <w:sz w:val="24"/>
          <w:szCs w:val="24"/>
          <w:lang w:eastAsia="en-AU"/>
        </w:rPr>
        <w:t xml:space="preserve">). </w:t>
      </w:r>
    </w:p>
    <w:p w:rsidR="000636BA" w:rsidRPr="0050632B" w:rsidRDefault="00DE7E6B" w:rsidP="0050632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50632B">
        <w:rPr>
          <w:rFonts w:ascii="Times New Roman" w:eastAsia="Times New Roman" w:hAnsi="Times New Roman" w:cs="Times New Roman"/>
          <w:sz w:val="24"/>
          <w:szCs w:val="24"/>
          <w:lang w:eastAsia="en-AU"/>
        </w:rPr>
        <w:t xml:space="preserve">Article 12 of the ICESCR promotes the right of all individuals </w:t>
      </w:r>
      <w:r w:rsidR="000636BA" w:rsidRPr="0050632B">
        <w:rPr>
          <w:rFonts w:ascii="Times New Roman" w:eastAsia="Times New Roman" w:hAnsi="Times New Roman" w:cs="Times New Roman"/>
          <w:sz w:val="24"/>
          <w:szCs w:val="24"/>
          <w:lang w:eastAsia="en-AU"/>
        </w:rPr>
        <w:t xml:space="preserve">to enjoy the highest attainable standard of physical and mental health, and includes an obligation to take reasonable measures within available resources to progressively secure broader enjoyment of the right. In </w:t>
      </w:r>
      <w:r w:rsidR="000636BA" w:rsidRPr="0050632B">
        <w:rPr>
          <w:rFonts w:ascii="Times New Roman" w:eastAsia="Times New Roman" w:hAnsi="Times New Roman" w:cs="Times New Roman"/>
          <w:i/>
          <w:sz w:val="24"/>
          <w:szCs w:val="24"/>
          <w:lang w:eastAsia="en-AU"/>
        </w:rPr>
        <w:t>General Comment No. 14: The Right to the Highest Attainable Standard of Health (Art. 12)</w:t>
      </w:r>
      <w:r w:rsidR="000636BA" w:rsidRPr="006A1D91">
        <w:rPr>
          <w:rFonts w:ascii="Times New Roman" w:hAnsi="Times New Roman" w:cs="Times New Roman"/>
          <w:i/>
          <w:iCs/>
          <w:sz w:val="24"/>
          <w:szCs w:val="24"/>
        </w:rPr>
        <w:t xml:space="preserve"> </w:t>
      </w:r>
      <w:r w:rsidR="000636BA" w:rsidRPr="0050632B">
        <w:rPr>
          <w:rFonts w:ascii="Times New Roman" w:eastAsia="Times New Roman" w:hAnsi="Times New Roman" w:cs="Times New Roman"/>
          <w:sz w:val="24"/>
          <w:szCs w:val="24"/>
          <w:lang w:eastAsia="en-AU"/>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rsidR="00C06DDE" w:rsidRPr="0050632B" w:rsidRDefault="00DE7E6B" w:rsidP="0050632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50632B">
        <w:rPr>
          <w:rFonts w:ascii="Times New Roman" w:eastAsia="Times New Roman" w:hAnsi="Times New Roman" w:cs="Times New Roman"/>
          <w:sz w:val="24"/>
          <w:szCs w:val="24"/>
          <w:lang w:eastAsia="en-AU"/>
        </w:rPr>
        <w:lastRenderedPageBreak/>
        <w:t xml:space="preserve">The instrument takes positive steps to promote the right to health by ensuring the quality and safety of blood and blood components by requiring those products to be manufactured in accordance with the Guide.  </w:t>
      </w:r>
      <w:r w:rsidR="00C06DDE" w:rsidRPr="0050632B">
        <w:rPr>
          <w:rFonts w:ascii="Times New Roman" w:eastAsia="Times New Roman" w:hAnsi="Times New Roman" w:cs="Times New Roman"/>
          <w:sz w:val="24"/>
          <w:szCs w:val="24"/>
          <w:lang w:eastAsia="en-AU"/>
        </w:rPr>
        <w:t xml:space="preserve">By ensuring that important </w:t>
      </w:r>
      <w:r w:rsidR="000636BA" w:rsidRPr="0050632B">
        <w:rPr>
          <w:rFonts w:ascii="Times New Roman" w:eastAsia="Times New Roman" w:hAnsi="Times New Roman" w:cs="Times New Roman"/>
          <w:sz w:val="24"/>
          <w:szCs w:val="24"/>
          <w:lang w:eastAsia="en-AU"/>
        </w:rPr>
        <w:t xml:space="preserve">minimum standards are in place in relation to the safety and quality of blood and blood components in Australia (including in relation to very serious diseases such as </w:t>
      </w:r>
      <w:r w:rsidR="006A1D91" w:rsidRPr="0050632B">
        <w:rPr>
          <w:rFonts w:ascii="Times New Roman" w:eastAsia="Times New Roman" w:hAnsi="Times New Roman" w:cs="Times New Roman"/>
          <w:sz w:val="24"/>
          <w:szCs w:val="24"/>
          <w:lang w:eastAsia="en-AU"/>
        </w:rPr>
        <w:t>human immunodeficiency virus (HIV)</w:t>
      </w:r>
      <w:r w:rsidR="000636BA" w:rsidRPr="0050632B">
        <w:rPr>
          <w:rFonts w:ascii="Times New Roman" w:eastAsia="Times New Roman" w:hAnsi="Times New Roman" w:cs="Times New Roman"/>
          <w:sz w:val="24"/>
          <w:szCs w:val="24"/>
          <w:lang w:eastAsia="en-AU"/>
        </w:rPr>
        <w:t xml:space="preserve">), </w:t>
      </w:r>
      <w:r w:rsidR="003F33CB" w:rsidRPr="0050632B">
        <w:rPr>
          <w:rFonts w:ascii="Times New Roman" w:eastAsia="Times New Roman" w:hAnsi="Times New Roman" w:cs="Times New Roman"/>
          <w:sz w:val="24"/>
          <w:szCs w:val="24"/>
          <w:lang w:eastAsia="en-AU"/>
        </w:rPr>
        <w:t xml:space="preserve">the </w:t>
      </w:r>
      <w:r w:rsidRPr="0050632B">
        <w:rPr>
          <w:rFonts w:ascii="Times New Roman" w:eastAsia="Times New Roman" w:hAnsi="Times New Roman" w:cs="Times New Roman"/>
          <w:sz w:val="24"/>
          <w:szCs w:val="24"/>
          <w:lang w:eastAsia="en-AU"/>
        </w:rPr>
        <w:t>instrument</w:t>
      </w:r>
      <w:r w:rsidR="000636BA" w:rsidRPr="0050632B">
        <w:rPr>
          <w:rFonts w:ascii="Times New Roman" w:eastAsia="Times New Roman" w:hAnsi="Times New Roman" w:cs="Times New Roman"/>
          <w:sz w:val="24"/>
          <w:szCs w:val="24"/>
          <w:lang w:eastAsia="en-AU"/>
        </w:rPr>
        <w:t xml:space="preserve"> is designed to ensure that all such products that are supplied in Australia are safe for use, are scientifically and medically appropriate and are of good quality for consumers.</w:t>
      </w:r>
      <w:r w:rsidR="00C06DDE" w:rsidRPr="0050632B">
        <w:rPr>
          <w:rFonts w:ascii="Times New Roman" w:eastAsia="Times New Roman" w:hAnsi="Times New Roman" w:cs="Times New Roman"/>
          <w:sz w:val="24"/>
          <w:szCs w:val="24"/>
          <w:lang w:eastAsia="en-AU"/>
        </w:rPr>
        <w:t xml:space="preserve">  </w:t>
      </w:r>
    </w:p>
    <w:p w:rsidR="000636BA" w:rsidRPr="0050632B" w:rsidRDefault="00C06DDE" w:rsidP="0050632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50632B">
        <w:rPr>
          <w:rFonts w:ascii="Times New Roman" w:eastAsia="Times New Roman" w:hAnsi="Times New Roman" w:cs="Times New Roman"/>
          <w:sz w:val="24"/>
          <w:szCs w:val="24"/>
          <w:lang w:eastAsia="en-AU"/>
        </w:rPr>
        <w:t xml:space="preserve">In so doing, </w:t>
      </w:r>
      <w:r w:rsidR="003F33CB" w:rsidRPr="0050632B">
        <w:rPr>
          <w:rFonts w:ascii="Times New Roman" w:eastAsia="Times New Roman" w:hAnsi="Times New Roman" w:cs="Times New Roman"/>
          <w:sz w:val="24"/>
          <w:szCs w:val="24"/>
          <w:lang w:eastAsia="en-AU"/>
        </w:rPr>
        <w:t xml:space="preserve">the </w:t>
      </w:r>
      <w:r w:rsidR="00DE7E6B" w:rsidRPr="0050632B">
        <w:rPr>
          <w:rFonts w:ascii="Times New Roman" w:eastAsia="Times New Roman" w:hAnsi="Times New Roman" w:cs="Times New Roman"/>
          <w:sz w:val="24"/>
          <w:szCs w:val="24"/>
          <w:lang w:eastAsia="en-AU"/>
        </w:rPr>
        <w:t>instrument</w:t>
      </w:r>
      <w:r w:rsidRPr="0050632B">
        <w:rPr>
          <w:rFonts w:ascii="Times New Roman" w:eastAsia="Times New Roman" w:hAnsi="Times New Roman" w:cs="Times New Roman"/>
          <w:sz w:val="24"/>
          <w:szCs w:val="24"/>
          <w:lang w:eastAsia="en-AU"/>
        </w:rPr>
        <w:t xml:space="preserve"> addresses </w:t>
      </w:r>
      <w:r w:rsidR="00DE7E6B" w:rsidRPr="0050632B">
        <w:rPr>
          <w:rFonts w:ascii="Times New Roman" w:eastAsia="Times New Roman" w:hAnsi="Times New Roman" w:cs="Times New Roman"/>
          <w:sz w:val="24"/>
          <w:szCs w:val="24"/>
          <w:lang w:eastAsia="en-AU"/>
        </w:rPr>
        <w:t xml:space="preserve">the element of </w:t>
      </w:r>
      <w:r w:rsidRPr="0050632B">
        <w:rPr>
          <w:rFonts w:ascii="Times New Roman" w:eastAsia="Times New Roman" w:hAnsi="Times New Roman" w:cs="Times New Roman"/>
          <w:sz w:val="24"/>
          <w:szCs w:val="24"/>
          <w:lang w:eastAsia="en-AU"/>
        </w:rPr>
        <w:t xml:space="preserve">the right to </w:t>
      </w:r>
      <w:r w:rsidR="00DE7E6B" w:rsidRPr="0050632B">
        <w:rPr>
          <w:rFonts w:ascii="Times New Roman" w:eastAsia="Times New Roman" w:hAnsi="Times New Roman" w:cs="Times New Roman"/>
          <w:sz w:val="24"/>
          <w:szCs w:val="24"/>
          <w:lang w:eastAsia="en-AU"/>
        </w:rPr>
        <w:t xml:space="preserve">health that relates to </w:t>
      </w:r>
      <w:r w:rsidRPr="0050632B">
        <w:rPr>
          <w:rFonts w:ascii="Times New Roman" w:eastAsia="Times New Roman" w:hAnsi="Times New Roman" w:cs="Times New Roman"/>
          <w:sz w:val="24"/>
          <w:szCs w:val="24"/>
          <w:lang w:eastAsia="en-AU"/>
        </w:rPr>
        <w:t>the prevention, treatment and control of diseases (</w:t>
      </w:r>
      <w:r w:rsidR="00DE7E6B" w:rsidRPr="0050632B">
        <w:rPr>
          <w:rFonts w:ascii="Times New Roman" w:eastAsia="Times New Roman" w:hAnsi="Times New Roman" w:cs="Times New Roman"/>
          <w:sz w:val="24"/>
          <w:szCs w:val="24"/>
          <w:lang w:eastAsia="en-AU"/>
        </w:rPr>
        <w:t>A</w:t>
      </w:r>
      <w:r w:rsidRPr="0050632B">
        <w:rPr>
          <w:rFonts w:ascii="Times New Roman" w:eastAsia="Times New Roman" w:hAnsi="Times New Roman" w:cs="Times New Roman"/>
          <w:sz w:val="24"/>
          <w:szCs w:val="24"/>
          <w:lang w:eastAsia="en-AU"/>
        </w:rPr>
        <w:t xml:space="preserve">rticle 12.2(c)) through </w:t>
      </w:r>
      <w:r w:rsidR="00DE7E6B" w:rsidRPr="0050632B">
        <w:rPr>
          <w:rFonts w:ascii="Times New Roman" w:eastAsia="Times New Roman" w:hAnsi="Times New Roman" w:cs="Times New Roman"/>
          <w:sz w:val="24"/>
          <w:szCs w:val="24"/>
          <w:lang w:eastAsia="en-AU"/>
        </w:rPr>
        <w:t>the establishment of</w:t>
      </w:r>
      <w:r w:rsidRPr="0050632B">
        <w:rPr>
          <w:rFonts w:ascii="Times New Roman" w:eastAsia="Times New Roman" w:hAnsi="Times New Roman" w:cs="Times New Roman"/>
          <w:sz w:val="24"/>
          <w:szCs w:val="24"/>
          <w:lang w:eastAsia="en-AU"/>
        </w:rPr>
        <w:t xml:space="preserve"> requirements that are designed to avoid the contamination of blood and blood contaminants with serious diseases including HIV, and through supporting the quality of blood and blood components supplied for use in Australia. </w:t>
      </w:r>
    </w:p>
    <w:p w:rsidR="00DE7E6B" w:rsidRPr="0050632B" w:rsidRDefault="00DE7E6B" w:rsidP="0050632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50632B">
        <w:rPr>
          <w:rFonts w:ascii="Times New Roman" w:eastAsia="Times New Roman" w:hAnsi="Times New Roman" w:cs="Times New Roman"/>
          <w:sz w:val="24"/>
          <w:szCs w:val="24"/>
          <w:lang w:eastAsia="en-AU"/>
        </w:rPr>
        <w:t>The requirements of the instrument are further bolstered in this regard by the criminal, civil and regulatory sanctions that may apply under the Act for persons who import, supply or export therapeutic goods that do not comply with applicable standards.</w:t>
      </w:r>
    </w:p>
    <w:p w:rsidR="008B512D" w:rsidRPr="008B512D" w:rsidRDefault="008B512D" w:rsidP="008B512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b/>
          <w:bCs/>
          <w:sz w:val="24"/>
          <w:szCs w:val="24"/>
          <w:lang w:eastAsia="en-AU"/>
        </w:rPr>
        <w:t>Conclusion</w:t>
      </w:r>
    </w:p>
    <w:p w:rsidR="008B512D" w:rsidRPr="008B512D" w:rsidRDefault="008B512D" w:rsidP="008B512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sz w:val="24"/>
          <w:szCs w:val="24"/>
          <w:lang w:eastAsia="en-AU"/>
        </w:rPr>
        <w:t xml:space="preserve">This instrument is compatible with human rights </w:t>
      </w:r>
      <w:r w:rsidR="00DE7E6B">
        <w:rPr>
          <w:rFonts w:ascii="Times New Roman" w:eastAsia="Times New Roman" w:hAnsi="Times New Roman" w:cs="Times New Roman"/>
          <w:sz w:val="24"/>
          <w:szCs w:val="24"/>
          <w:lang w:eastAsia="en-AU"/>
        </w:rPr>
        <w:t>because</w:t>
      </w:r>
      <w:r w:rsidRPr="008B512D">
        <w:rPr>
          <w:rFonts w:ascii="Times New Roman" w:eastAsia="Times New Roman" w:hAnsi="Times New Roman" w:cs="Times New Roman"/>
          <w:sz w:val="24"/>
          <w:szCs w:val="24"/>
          <w:lang w:eastAsia="en-AU"/>
        </w:rPr>
        <w:t xml:space="preserve"> it </w:t>
      </w:r>
      <w:r w:rsidR="00DE7E6B">
        <w:rPr>
          <w:rFonts w:ascii="Times New Roman" w:eastAsia="Times New Roman" w:hAnsi="Times New Roman" w:cs="Times New Roman"/>
          <w:sz w:val="24"/>
          <w:szCs w:val="24"/>
          <w:lang w:eastAsia="en-AU"/>
        </w:rPr>
        <w:t>promotes</w:t>
      </w:r>
      <w:r w:rsidR="00A502C0">
        <w:rPr>
          <w:rFonts w:ascii="Times New Roman" w:eastAsia="Times New Roman" w:hAnsi="Times New Roman" w:cs="Times New Roman"/>
          <w:sz w:val="24"/>
          <w:szCs w:val="24"/>
          <w:lang w:eastAsia="en-AU"/>
        </w:rPr>
        <w:t xml:space="preserve"> the right to health in </w:t>
      </w:r>
      <w:r w:rsidR="00DE7E6B">
        <w:rPr>
          <w:rFonts w:ascii="Times New Roman" w:eastAsia="Times New Roman" w:hAnsi="Times New Roman" w:cs="Times New Roman"/>
          <w:sz w:val="24"/>
          <w:szCs w:val="24"/>
          <w:lang w:eastAsia="en-AU"/>
        </w:rPr>
        <w:t>A</w:t>
      </w:r>
      <w:r w:rsidR="00A502C0">
        <w:rPr>
          <w:rFonts w:ascii="Times New Roman" w:eastAsia="Times New Roman" w:hAnsi="Times New Roman" w:cs="Times New Roman"/>
          <w:sz w:val="24"/>
          <w:szCs w:val="24"/>
          <w:lang w:eastAsia="en-AU"/>
        </w:rPr>
        <w:t>rticle 12 of the ICESCR</w:t>
      </w:r>
      <w:r w:rsidR="00DE7E6B">
        <w:rPr>
          <w:rFonts w:ascii="Times New Roman" w:eastAsia="Times New Roman" w:hAnsi="Times New Roman" w:cs="Times New Roman"/>
          <w:sz w:val="24"/>
          <w:szCs w:val="24"/>
          <w:lang w:eastAsia="en-AU"/>
        </w:rPr>
        <w:t xml:space="preserve"> as outlined above</w:t>
      </w:r>
      <w:r w:rsidR="00A502C0">
        <w:rPr>
          <w:rFonts w:ascii="Times New Roman" w:eastAsia="Times New Roman" w:hAnsi="Times New Roman" w:cs="Times New Roman"/>
          <w:sz w:val="24"/>
          <w:szCs w:val="24"/>
          <w:lang w:eastAsia="en-AU"/>
        </w:rPr>
        <w:t xml:space="preserve">, and otherwise </w:t>
      </w:r>
      <w:r w:rsidRPr="008B512D">
        <w:rPr>
          <w:rFonts w:ascii="Times New Roman" w:eastAsia="Times New Roman" w:hAnsi="Times New Roman" w:cs="Times New Roman"/>
          <w:sz w:val="24"/>
          <w:szCs w:val="24"/>
          <w:lang w:eastAsia="en-AU"/>
        </w:rPr>
        <w:t>does not raise any human rights issues.</w:t>
      </w:r>
    </w:p>
    <w:p w:rsidR="00642085" w:rsidRDefault="008B512D" w:rsidP="00501389">
      <w:pPr>
        <w:shd w:val="clear" w:color="auto" w:fill="FFFFFF"/>
        <w:spacing w:before="100" w:beforeAutospacing="1" w:after="120" w:line="240" w:lineRule="auto"/>
      </w:pPr>
      <w:r w:rsidRPr="008B512D">
        <w:rPr>
          <w:rFonts w:ascii="Times New Roman" w:eastAsia="Times New Roman" w:hAnsi="Times New Roman" w:cs="Times New Roman"/>
          <w:b/>
          <w:bCs/>
          <w:sz w:val="24"/>
          <w:szCs w:val="24"/>
          <w:lang w:eastAsia="en-AU"/>
        </w:rPr>
        <w:t xml:space="preserve">Jane Cook, delegate of the Minister for Health </w:t>
      </w:r>
    </w:p>
    <w:sectPr w:rsidR="0064208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0E3" w:rsidRDefault="006200E3" w:rsidP="00A502C0">
      <w:pPr>
        <w:spacing w:after="0" w:line="240" w:lineRule="auto"/>
      </w:pPr>
      <w:r>
        <w:separator/>
      </w:r>
    </w:p>
  </w:endnote>
  <w:endnote w:type="continuationSeparator" w:id="0">
    <w:p w:rsidR="006200E3" w:rsidRDefault="006200E3" w:rsidP="00A5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277119"/>
      <w:docPartObj>
        <w:docPartGallery w:val="Page Numbers (Bottom of Page)"/>
        <w:docPartUnique/>
      </w:docPartObj>
    </w:sdtPr>
    <w:sdtEndPr>
      <w:rPr>
        <w:noProof/>
      </w:rPr>
    </w:sdtEndPr>
    <w:sdtContent>
      <w:p w:rsidR="006624C9" w:rsidRDefault="006624C9">
        <w:pPr>
          <w:pStyle w:val="Footer"/>
          <w:jc w:val="right"/>
        </w:pPr>
        <w:r>
          <w:fldChar w:fldCharType="begin"/>
        </w:r>
        <w:r>
          <w:instrText xml:space="preserve"> PAGE   \* MERGEFORMAT </w:instrText>
        </w:r>
        <w:r>
          <w:fldChar w:fldCharType="separate"/>
        </w:r>
        <w:r w:rsidR="00E15B3A">
          <w:rPr>
            <w:noProof/>
          </w:rPr>
          <w:t>2</w:t>
        </w:r>
        <w:r>
          <w:rPr>
            <w:noProof/>
          </w:rPr>
          <w:fldChar w:fldCharType="end"/>
        </w:r>
      </w:p>
    </w:sdtContent>
  </w:sdt>
  <w:p w:rsidR="006624C9" w:rsidRDefault="00662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0E3" w:rsidRDefault="006200E3" w:rsidP="00A502C0">
      <w:pPr>
        <w:spacing w:after="0" w:line="240" w:lineRule="auto"/>
      </w:pPr>
      <w:r>
        <w:separator/>
      </w:r>
    </w:p>
  </w:footnote>
  <w:footnote w:type="continuationSeparator" w:id="0">
    <w:p w:rsidR="006200E3" w:rsidRDefault="006200E3" w:rsidP="00A502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571F4"/>
    <w:multiLevelType w:val="hybridMultilevel"/>
    <w:tmpl w:val="F8D83B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45C13612"/>
    <w:multiLevelType w:val="hybridMultilevel"/>
    <w:tmpl w:val="3EDE3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2D"/>
    <w:rsid w:val="00013610"/>
    <w:rsid w:val="000636BA"/>
    <w:rsid w:val="00084F0C"/>
    <w:rsid w:val="00144218"/>
    <w:rsid w:val="00152DC0"/>
    <w:rsid w:val="00196C42"/>
    <w:rsid w:val="001B3AC9"/>
    <w:rsid w:val="00206532"/>
    <w:rsid w:val="00206B13"/>
    <w:rsid w:val="002148C7"/>
    <w:rsid w:val="002152CA"/>
    <w:rsid w:val="00253C92"/>
    <w:rsid w:val="002A60BD"/>
    <w:rsid w:val="0030143E"/>
    <w:rsid w:val="0031570A"/>
    <w:rsid w:val="00372BB3"/>
    <w:rsid w:val="00373769"/>
    <w:rsid w:val="003C4E0D"/>
    <w:rsid w:val="003E2745"/>
    <w:rsid w:val="003F33CB"/>
    <w:rsid w:val="003F76C4"/>
    <w:rsid w:val="00435668"/>
    <w:rsid w:val="00436226"/>
    <w:rsid w:val="004727E5"/>
    <w:rsid w:val="00474F2A"/>
    <w:rsid w:val="004923C6"/>
    <w:rsid w:val="00497EC0"/>
    <w:rsid w:val="004A291C"/>
    <w:rsid w:val="004B0F2D"/>
    <w:rsid w:val="004D7D28"/>
    <w:rsid w:val="00501389"/>
    <w:rsid w:val="00506279"/>
    <w:rsid w:val="0050632B"/>
    <w:rsid w:val="00520CE4"/>
    <w:rsid w:val="005303E0"/>
    <w:rsid w:val="00543657"/>
    <w:rsid w:val="005E78A7"/>
    <w:rsid w:val="00610435"/>
    <w:rsid w:val="006200E3"/>
    <w:rsid w:val="00642085"/>
    <w:rsid w:val="006624C9"/>
    <w:rsid w:val="0069318D"/>
    <w:rsid w:val="006A1D91"/>
    <w:rsid w:val="006A67C8"/>
    <w:rsid w:val="0071260C"/>
    <w:rsid w:val="007835E6"/>
    <w:rsid w:val="00833825"/>
    <w:rsid w:val="00885568"/>
    <w:rsid w:val="008B512D"/>
    <w:rsid w:val="008C63A3"/>
    <w:rsid w:val="00916C6A"/>
    <w:rsid w:val="00923018"/>
    <w:rsid w:val="00923489"/>
    <w:rsid w:val="009330D5"/>
    <w:rsid w:val="00952CDA"/>
    <w:rsid w:val="00982FB9"/>
    <w:rsid w:val="00996CBD"/>
    <w:rsid w:val="009D0F6F"/>
    <w:rsid w:val="009E6126"/>
    <w:rsid w:val="00A25B56"/>
    <w:rsid w:val="00A502C0"/>
    <w:rsid w:val="00AD14CD"/>
    <w:rsid w:val="00AD63A1"/>
    <w:rsid w:val="00AE1D2B"/>
    <w:rsid w:val="00AF3DE2"/>
    <w:rsid w:val="00B01326"/>
    <w:rsid w:val="00B20C50"/>
    <w:rsid w:val="00B23805"/>
    <w:rsid w:val="00B27DAE"/>
    <w:rsid w:val="00B40AC9"/>
    <w:rsid w:val="00B41520"/>
    <w:rsid w:val="00B425FC"/>
    <w:rsid w:val="00B46783"/>
    <w:rsid w:val="00B659EA"/>
    <w:rsid w:val="00BD049B"/>
    <w:rsid w:val="00C06DDE"/>
    <w:rsid w:val="00C242C9"/>
    <w:rsid w:val="00C24EE8"/>
    <w:rsid w:val="00C250E7"/>
    <w:rsid w:val="00C35532"/>
    <w:rsid w:val="00C913BE"/>
    <w:rsid w:val="00CB20C9"/>
    <w:rsid w:val="00CB5C98"/>
    <w:rsid w:val="00CD79AE"/>
    <w:rsid w:val="00D2145C"/>
    <w:rsid w:val="00D237D0"/>
    <w:rsid w:val="00D8200F"/>
    <w:rsid w:val="00D91089"/>
    <w:rsid w:val="00DA0620"/>
    <w:rsid w:val="00DB36C3"/>
    <w:rsid w:val="00DC435A"/>
    <w:rsid w:val="00DC67A2"/>
    <w:rsid w:val="00DE7E6B"/>
    <w:rsid w:val="00E06275"/>
    <w:rsid w:val="00E11A27"/>
    <w:rsid w:val="00E15B3A"/>
    <w:rsid w:val="00E268C7"/>
    <w:rsid w:val="00E56E46"/>
    <w:rsid w:val="00E708A7"/>
    <w:rsid w:val="00EB2263"/>
    <w:rsid w:val="00ED0419"/>
    <w:rsid w:val="00ED4D2B"/>
    <w:rsid w:val="00EE2EE7"/>
    <w:rsid w:val="00EF1E6A"/>
    <w:rsid w:val="00F42438"/>
    <w:rsid w:val="00F506E1"/>
    <w:rsid w:val="00F52F48"/>
    <w:rsid w:val="00F62CDA"/>
    <w:rsid w:val="00F75D4F"/>
    <w:rsid w:val="00F80E6B"/>
    <w:rsid w:val="00F843D8"/>
    <w:rsid w:val="00F918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805"/>
    <w:rPr>
      <w:color w:val="0000FF" w:themeColor="hyperlink"/>
      <w:u w:val="single"/>
    </w:rPr>
  </w:style>
  <w:style w:type="character" w:styleId="CommentReference">
    <w:name w:val="annotation reference"/>
    <w:basedOn w:val="DefaultParagraphFont"/>
    <w:uiPriority w:val="99"/>
    <w:unhideWhenUsed/>
    <w:rsid w:val="00B23805"/>
    <w:rPr>
      <w:sz w:val="16"/>
      <w:szCs w:val="16"/>
    </w:rPr>
  </w:style>
  <w:style w:type="paragraph" w:styleId="CommentText">
    <w:name w:val="annotation text"/>
    <w:basedOn w:val="Normal"/>
    <w:link w:val="CommentTextChar"/>
    <w:uiPriority w:val="99"/>
    <w:unhideWhenUsed/>
    <w:rsid w:val="00B23805"/>
    <w:pPr>
      <w:spacing w:line="240" w:lineRule="auto"/>
    </w:pPr>
    <w:rPr>
      <w:sz w:val="20"/>
      <w:szCs w:val="20"/>
    </w:rPr>
  </w:style>
  <w:style w:type="character" w:customStyle="1" w:styleId="CommentTextChar">
    <w:name w:val="Comment Text Char"/>
    <w:basedOn w:val="DefaultParagraphFont"/>
    <w:link w:val="CommentText"/>
    <w:uiPriority w:val="99"/>
    <w:rsid w:val="00B23805"/>
    <w:rPr>
      <w:sz w:val="20"/>
      <w:szCs w:val="20"/>
    </w:rPr>
  </w:style>
  <w:style w:type="paragraph" w:styleId="CommentSubject">
    <w:name w:val="annotation subject"/>
    <w:basedOn w:val="CommentText"/>
    <w:next w:val="CommentText"/>
    <w:link w:val="CommentSubjectChar"/>
    <w:uiPriority w:val="99"/>
    <w:semiHidden/>
    <w:unhideWhenUsed/>
    <w:rsid w:val="00B23805"/>
    <w:rPr>
      <w:b/>
      <w:bCs/>
    </w:rPr>
  </w:style>
  <w:style w:type="character" w:customStyle="1" w:styleId="CommentSubjectChar">
    <w:name w:val="Comment Subject Char"/>
    <w:basedOn w:val="CommentTextChar"/>
    <w:link w:val="CommentSubject"/>
    <w:uiPriority w:val="99"/>
    <w:semiHidden/>
    <w:rsid w:val="00B23805"/>
    <w:rPr>
      <w:b/>
      <w:bCs/>
      <w:sz w:val="20"/>
      <w:szCs w:val="20"/>
    </w:rPr>
  </w:style>
  <w:style w:type="paragraph" w:styleId="BalloonText">
    <w:name w:val="Balloon Text"/>
    <w:basedOn w:val="Normal"/>
    <w:link w:val="BalloonTextChar"/>
    <w:uiPriority w:val="99"/>
    <w:semiHidden/>
    <w:unhideWhenUsed/>
    <w:rsid w:val="00B23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805"/>
    <w:rPr>
      <w:rFonts w:ascii="Tahoma" w:hAnsi="Tahoma" w:cs="Tahoma"/>
      <w:sz w:val="16"/>
      <w:szCs w:val="16"/>
    </w:rPr>
  </w:style>
  <w:style w:type="character" w:styleId="FollowedHyperlink">
    <w:name w:val="FollowedHyperlink"/>
    <w:basedOn w:val="DefaultParagraphFont"/>
    <w:uiPriority w:val="99"/>
    <w:semiHidden/>
    <w:unhideWhenUsed/>
    <w:rsid w:val="00206532"/>
    <w:rPr>
      <w:color w:val="800080" w:themeColor="followedHyperlink"/>
      <w:u w:val="single"/>
    </w:rPr>
  </w:style>
  <w:style w:type="paragraph" w:customStyle="1" w:styleId="Definition">
    <w:name w:val="Definition"/>
    <w:aliases w:val="dd"/>
    <w:basedOn w:val="Normal"/>
    <w:rsid w:val="002148C7"/>
    <w:pPr>
      <w:spacing w:before="180" w:after="0" w:line="240" w:lineRule="auto"/>
      <w:ind w:left="1134"/>
    </w:pPr>
    <w:rPr>
      <w:rFonts w:ascii="Times New Roman" w:eastAsia="Times New Roman" w:hAnsi="Times New Roman" w:cs="Times New Roman"/>
      <w:szCs w:val="20"/>
      <w:lang w:eastAsia="en-AU"/>
    </w:rPr>
  </w:style>
  <w:style w:type="paragraph" w:customStyle="1" w:styleId="Item">
    <w:name w:val="Item"/>
    <w:aliases w:val="i"/>
    <w:basedOn w:val="Normal"/>
    <w:next w:val="Normal"/>
    <w:rsid w:val="00F506E1"/>
    <w:pPr>
      <w:keepLines/>
      <w:spacing w:before="80" w:after="0" w:line="240" w:lineRule="auto"/>
      <w:ind w:left="709"/>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F506E1"/>
    <w:pPr>
      <w:spacing w:after="12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50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2C0"/>
  </w:style>
  <w:style w:type="paragraph" w:styleId="Footer">
    <w:name w:val="footer"/>
    <w:basedOn w:val="Normal"/>
    <w:link w:val="FooterChar"/>
    <w:uiPriority w:val="99"/>
    <w:unhideWhenUsed/>
    <w:rsid w:val="00A50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805"/>
    <w:rPr>
      <w:color w:val="0000FF" w:themeColor="hyperlink"/>
      <w:u w:val="single"/>
    </w:rPr>
  </w:style>
  <w:style w:type="character" w:styleId="CommentReference">
    <w:name w:val="annotation reference"/>
    <w:basedOn w:val="DefaultParagraphFont"/>
    <w:uiPriority w:val="99"/>
    <w:unhideWhenUsed/>
    <w:rsid w:val="00B23805"/>
    <w:rPr>
      <w:sz w:val="16"/>
      <w:szCs w:val="16"/>
    </w:rPr>
  </w:style>
  <w:style w:type="paragraph" w:styleId="CommentText">
    <w:name w:val="annotation text"/>
    <w:basedOn w:val="Normal"/>
    <w:link w:val="CommentTextChar"/>
    <w:uiPriority w:val="99"/>
    <w:unhideWhenUsed/>
    <w:rsid w:val="00B23805"/>
    <w:pPr>
      <w:spacing w:line="240" w:lineRule="auto"/>
    </w:pPr>
    <w:rPr>
      <w:sz w:val="20"/>
      <w:szCs w:val="20"/>
    </w:rPr>
  </w:style>
  <w:style w:type="character" w:customStyle="1" w:styleId="CommentTextChar">
    <w:name w:val="Comment Text Char"/>
    <w:basedOn w:val="DefaultParagraphFont"/>
    <w:link w:val="CommentText"/>
    <w:uiPriority w:val="99"/>
    <w:rsid w:val="00B23805"/>
    <w:rPr>
      <w:sz w:val="20"/>
      <w:szCs w:val="20"/>
    </w:rPr>
  </w:style>
  <w:style w:type="paragraph" w:styleId="CommentSubject">
    <w:name w:val="annotation subject"/>
    <w:basedOn w:val="CommentText"/>
    <w:next w:val="CommentText"/>
    <w:link w:val="CommentSubjectChar"/>
    <w:uiPriority w:val="99"/>
    <w:semiHidden/>
    <w:unhideWhenUsed/>
    <w:rsid w:val="00B23805"/>
    <w:rPr>
      <w:b/>
      <w:bCs/>
    </w:rPr>
  </w:style>
  <w:style w:type="character" w:customStyle="1" w:styleId="CommentSubjectChar">
    <w:name w:val="Comment Subject Char"/>
    <w:basedOn w:val="CommentTextChar"/>
    <w:link w:val="CommentSubject"/>
    <w:uiPriority w:val="99"/>
    <w:semiHidden/>
    <w:rsid w:val="00B23805"/>
    <w:rPr>
      <w:b/>
      <w:bCs/>
      <w:sz w:val="20"/>
      <w:szCs w:val="20"/>
    </w:rPr>
  </w:style>
  <w:style w:type="paragraph" w:styleId="BalloonText">
    <w:name w:val="Balloon Text"/>
    <w:basedOn w:val="Normal"/>
    <w:link w:val="BalloonTextChar"/>
    <w:uiPriority w:val="99"/>
    <w:semiHidden/>
    <w:unhideWhenUsed/>
    <w:rsid w:val="00B23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805"/>
    <w:rPr>
      <w:rFonts w:ascii="Tahoma" w:hAnsi="Tahoma" w:cs="Tahoma"/>
      <w:sz w:val="16"/>
      <w:szCs w:val="16"/>
    </w:rPr>
  </w:style>
  <w:style w:type="character" w:styleId="FollowedHyperlink">
    <w:name w:val="FollowedHyperlink"/>
    <w:basedOn w:val="DefaultParagraphFont"/>
    <w:uiPriority w:val="99"/>
    <w:semiHidden/>
    <w:unhideWhenUsed/>
    <w:rsid w:val="00206532"/>
    <w:rPr>
      <w:color w:val="800080" w:themeColor="followedHyperlink"/>
      <w:u w:val="single"/>
    </w:rPr>
  </w:style>
  <w:style w:type="paragraph" w:customStyle="1" w:styleId="Definition">
    <w:name w:val="Definition"/>
    <w:aliases w:val="dd"/>
    <w:basedOn w:val="Normal"/>
    <w:rsid w:val="002148C7"/>
    <w:pPr>
      <w:spacing w:before="180" w:after="0" w:line="240" w:lineRule="auto"/>
      <w:ind w:left="1134"/>
    </w:pPr>
    <w:rPr>
      <w:rFonts w:ascii="Times New Roman" w:eastAsia="Times New Roman" w:hAnsi="Times New Roman" w:cs="Times New Roman"/>
      <w:szCs w:val="20"/>
      <w:lang w:eastAsia="en-AU"/>
    </w:rPr>
  </w:style>
  <w:style w:type="paragraph" w:customStyle="1" w:styleId="Item">
    <w:name w:val="Item"/>
    <w:aliases w:val="i"/>
    <w:basedOn w:val="Normal"/>
    <w:next w:val="Normal"/>
    <w:rsid w:val="00F506E1"/>
    <w:pPr>
      <w:keepLines/>
      <w:spacing w:before="80" w:after="0" w:line="240" w:lineRule="auto"/>
      <w:ind w:left="709"/>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F506E1"/>
    <w:pPr>
      <w:spacing w:after="12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50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2C0"/>
  </w:style>
  <w:style w:type="paragraph" w:styleId="Footer">
    <w:name w:val="footer"/>
    <w:basedOn w:val="Normal"/>
    <w:link w:val="FooterChar"/>
    <w:uiPriority w:val="99"/>
    <w:unhideWhenUsed/>
    <w:rsid w:val="00A50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040260">
      <w:bodyDiv w:val="1"/>
      <w:marLeft w:val="0"/>
      <w:marRight w:val="0"/>
      <w:marTop w:val="0"/>
      <w:marBottom w:val="0"/>
      <w:divBdr>
        <w:top w:val="none" w:sz="0" w:space="0" w:color="auto"/>
        <w:left w:val="none" w:sz="0" w:space="0" w:color="auto"/>
        <w:bottom w:val="none" w:sz="0" w:space="0" w:color="auto"/>
        <w:right w:val="none" w:sz="0" w:space="0" w:color="auto"/>
      </w:divBdr>
      <w:divsChild>
        <w:div w:id="1383209901">
          <w:marLeft w:val="0"/>
          <w:marRight w:val="0"/>
          <w:marTop w:val="0"/>
          <w:marBottom w:val="0"/>
          <w:divBdr>
            <w:top w:val="none" w:sz="0" w:space="0" w:color="auto"/>
            <w:left w:val="none" w:sz="0" w:space="0" w:color="auto"/>
            <w:bottom w:val="none" w:sz="0" w:space="0" w:color="auto"/>
            <w:right w:val="none" w:sz="0" w:space="0" w:color="auto"/>
          </w:divBdr>
          <w:divsChild>
            <w:div w:id="791165921">
              <w:marLeft w:val="0"/>
              <w:marRight w:val="0"/>
              <w:marTop w:val="0"/>
              <w:marBottom w:val="0"/>
              <w:divBdr>
                <w:top w:val="none" w:sz="0" w:space="0" w:color="auto"/>
                <w:left w:val="none" w:sz="0" w:space="0" w:color="auto"/>
                <w:bottom w:val="none" w:sz="0" w:space="0" w:color="auto"/>
                <w:right w:val="none" w:sz="0" w:space="0" w:color="auto"/>
              </w:divBdr>
              <w:divsChild>
                <w:div w:id="1184856427">
                  <w:marLeft w:val="0"/>
                  <w:marRight w:val="0"/>
                  <w:marTop w:val="0"/>
                  <w:marBottom w:val="0"/>
                  <w:divBdr>
                    <w:top w:val="none" w:sz="0" w:space="0" w:color="auto"/>
                    <w:left w:val="none" w:sz="0" w:space="0" w:color="auto"/>
                    <w:bottom w:val="none" w:sz="0" w:space="0" w:color="auto"/>
                    <w:right w:val="none" w:sz="0" w:space="0" w:color="auto"/>
                  </w:divBdr>
                  <w:divsChild>
                    <w:div w:id="831945401">
                      <w:marLeft w:val="0"/>
                      <w:marRight w:val="0"/>
                      <w:marTop w:val="0"/>
                      <w:marBottom w:val="0"/>
                      <w:divBdr>
                        <w:top w:val="none" w:sz="0" w:space="0" w:color="auto"/>
                        <w:left w:val="none" w:sz="0" w:space="0" w:color="auto"/>
                        <w:bottom w:val="none" w:sz="0" w:space="0" w:color="auto"/>
                        <w:right w:val="none" w:sz="0" w:space="0" w:color="auto"/>
                      </w:divBdr>
                      <w:divsChild>
                        <w:div w:id="537085074">
                          <w:marLeft w:val="0"/>
                          <w:marRight w:val="0"/>
                          <w:marTop w:val="0"/>
                          <w:marBottom w:val="0"/>
                          <w:divBdr>
                            <w:top w:val="none" w:sz="0" w:space="0" w:color="auto"/>
                            <w:left w:val="none" w:sz="0" w:space="0" w:color="auto"/>
                            <w:bottom w:val="none" w:sz="0" w:space="0" w:color="auto"/>
                            <w:right w:val="none" w:sz="0" w:space="0" w:color="auto"/>
                          </w:divBdr>
                          <w:divsChild>
                            <w:div w:id="2049407002">
                              <w:marLeft w:val="0"/>
                              <w:marRight w:val="0"/>
                              <w:marTop w:val="0"/>
                              <w:marBottom w:val="0"/>
                              <w:divBdr>
                                <w:top w:val="none" w:sz="0" w:space="0" w:color="auto"/>
                                <w:left w:val="none" w:sz="0" w:space="0" w:color="auto"/>
                                <w:bottom w:val="none" w:sz="0" w:space="0" w:color="auto"/>
                                <w:right w:val="none" w:sz="0" w:space="0" w:color="auto"/>
                              </w:divBdr>
                              <w:divsChild>
                                <w:div w:id="1328822633">
                                  <w:marLeft w:val="0"/>
                                  <w:marRight w:val="0"/>
                                  <w:marTop w:val="0"/>
                                  <w:marBottom w:val="0"/>
                                  <w:divBdr>
                                    <w:top w:val="none" w:sz="0" w:space="0" w:color="auto"/>
                                    <w:left w:val="none" w:sz="0" w:space="0" w:color="auto"/>
                                    <w:bottom w:val="none" w:sz="0" w:space="0" w:color="auto"/>
                                    <w:right w:val="none" w:sz="0" w:space="0" w:color="auto"/>
                                  </w:divBdr>
                                  <w:divsChild>
                                    <w:div w:id="947270905">
                                      <w:marLeft w:val="0"/>
                                      <w:marRight w:val="0"/>
                                      <w:marTop w:val="0"/>
                                      <w:marBottom w:val="0"/>
                                      <w:divBdr>
                                        <w:top w:val="none" w:sz="0" w:space="0" w:color="auto"/>
                                        <w:left w:val="none" w:sz="0" w:space="0" w:color="auto"/>
                                        <w:bottom w:val="none" w:sz="0" w:space="0" w:color="auto"/>
                                        <w:right w:val="none" w:sz="0" w:space="0" w:color="auto"/>
                                      </w:divBdr>
                                      <w:divsChild>
                                        <w:div w:id="387461275">
                                          <w:marLeft w:val="0"/>
                                          <w:marRight w:val="0"/>
                                          <w:marTop w:val="0"/>
                                          <w:marBottom w:val="0"/>
                                          <w:divBdr>
                                            <w:top w:val="none" w:sz="0" w:space="0" w:color="auto"/>
                                            <w:left w:val="none" w:sz="0" w:space="0" w:color="auto"/>
                                            <w:bottom w:val="none" w:sz="0" w:space="0" w:color="auto"/>
                                            <w:right w:val="none" w:sz="0" w:space="0" w:color="auto"/>
                                          </w:divBdr>
                                          <w:divsChild>
                                            <w:div w:id="883830241">
                                              <w:marLeft w:val="0"/>
                                              <w:marRight w:val="0"/>
                                              <w:marTop w:val="0"/>
                                              <w:marBottom w:val="0"/>
                                              <w:divBdr>
                                                <w:top w:val="none" w:sz="0" w:space="0" w:color="auto"/>
                                                <w:left w:val="none" w:sz="0" w:space="0" w:color="auto"/>
                                                <w:bottom w:val="none" w:sz="0" w:space="0" w:color="auto"/>
                                                <w:right w:val="none" w:sz="0" w:space="0" w:color="auto"/>
                                              </w:divBdr>
                                              <w:divsChild>
                                                <w:div w:id="1115177433">
                                                  <w:marLeft w:val="0"/>
                                                  <w:marRight w:val="0"/>
                                                  <w:marTop w:val="0"/>
                                                  <w:marBottom w:val="0"/>
                                                  <w:divBdr>
                                                    <w:top w:val="none" w:sz="0" w:space="0" w:color="auto"/>
                                                    <w:left w:val="none" w:sz="0" w:space="0" w:color="auto"/>
                                                    <w:bottom w:val="none" w:sz="0" w:space="0" w:color="auto"/>
                                                    <w:right w:val="none" w:sz="0" w:space="0" w:color="auto"/>
                                                  </w:divBdr>
                                                  <w:divsChild>
                                                    <w:div w:id="1722360796">
                                                      <w:marLeft w:val="0"/>
                                                      <w:marRight w:val="0"/>
                                                      <w:marTop w:val="0"/>
                                                      <w:marBottom w:val="0"/>
                                                      <w:divBdr>
                                                        <w:top w:val="none" w:sz="0" w:space="0" w:color="auto"/>
                                                        <w:left w:val="none" w:sz="0" w:space="0" w:color="auto"/>
                                                        <w:bottom w:val="none" w:sz="0" w:space="0" w:color="auto"/>
                                                        <w:right w:val="none" w:sz="0" w:space="0" w:color="auto"/>
                                                      </w:divBdr>
                                                      <w:divsChild>
                                                        <w:div w:id="19898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qm.eu/en/blood-transfusion-guide" TargetMode="External"/><Relationship Id="rId5" Type="http://schemas.openxmlformats.org/officeDocument/2006/relationships/settings" Target="settings.xml"/><Relationship Id="rId10" Type="http://schemas.openxmlformats.org/officeDocument/2006/relationships/hyperlink" Target="https://www.edqm.eu/en/blood-transfusion-guide" TargetMode="External"/><Relationship Id="rId4" Type="http://schemas.microsoft.com/office/2007/relationships/stylesWithEffects" Target="stylesWithEffects.xml"/><Relationship Id="rId9" Type="http://schemas.openxmlformats.org/officeDocument/2006/relationships/hyperlink" Target="https://www.edqm.eu/en/blood-transfusion-gui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BFB0F-DFE6-4228-A9D9-41FA934F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3608</Words>
  <Characters>20567</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Andrew</dc:creator>
  <cp:lastModifiedBy>EDLINGTON, Mandy</cp:lastModifiedBy>
  <cp:revision>2</cp:revision>
  <dcterms:created xsi:type="dcterms:W3CDTF">2019-03-22T06:34:00Z</dcterms:created>
  <dcterms:modified xsi:type="dcterms:W3CDTF">2019-03-22T06:34:00Z</dcterms:modified>
</cp:coreProperties>
</file>