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01FCE73" wp14:editId="4F3FD7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554826" w:rsidRPr="00E500D4" w:rsidRDefault="00A62ACE" w:rsidP="00554826">
      <w:pPr>
        <w:pStyle w:val="ShortT"/>
      </w:pPr>
      <w:r w:rsidRPr="00081CA0">
        <w:t>Thera</w:t>
      </w:r>
      <w:r w:rsidR="00FF1E2E" w:rsidRPr="00081CA0">
        <w:t xml:space="preserve">peutic Goods </w:t>
      </w:r>
      <w:r w:rsidR="00BF2F44">
        <w:t>(</w:t>
      </w:r>
      <w:r w:rsidR="00FF1E2E" w:rsidRPr="00081CA0">
        <w:t>Standard for Blood and Blood Components</w:t>
      </w:r>
      <w:r w:rsidR="00BF2F44">
        <w:t xml:space="preserve">) </w:t>
      </w:r>
      <w:r w:rsidR="00CB6141">
        <w:t xml:space="preserve">(TGO 102) </w:t>
      </w:r>
      <w:r w:rsidR="00BF2F44">
        <w:t xml:space="preserve">Order 2019 </w:t>
      </w:r>
    </w:p>
    <w:p w:rsidR="00554826" w:rsidRPr="00E96E3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BF2F44">
        <w:rPr>
          <w:szCs w:val="22"/>
        </w:rPr>
        <w:t>Jane Cook</w:t>
      </w:r>
      <w:r w:rsidRPr="00E96E3D">
        <w:rPr>
          <w:szCs w:val="22"/>
        </w:rPr>
        <w:t xml:space="preserve">, </w:t>
      </w:r>
      <w:r w:rsidR="00BF2F44">
        <w:rPr>
          <w:szCs w:val="22"/>
        </w:rPr>
        <w:t>as d</w:t>
      </w:r>
      <w:r w:rsidR="00FF1E2E" w:rsidRPr="00E96E3D">
        <w:rPr>
          <w:szCs w:val="22"/>
        </w:rPr>
        <w:t xml:space="preserve">elegate </w:t>
      </w:r>
      <w:r w:rsidR="00CB6141">
        <w:rPr>
          <w:szCs w:val="22"/>
        </w:rPr>
        <w:t>of</w:t>
      </w:r>
      <w:r w:rsidR="00FF1E2E" w:rsidRPr="00E96E3D">
        <w:rPr>
          <w:szCs w:val="22"/>
        </w:rPr>
        <w:t xml:space="preserve"> the Minister</w:t>
      </w:r>
      <w:r w:rsidR="00CB6141">
        <w:rPr>
          <w:szCs w:val="22"/>
        </w:rPr>
        <w:t xml:space="preserve"> for Health</w:t>
      </w:r>
      <w:r w:rsidRPr="00E96E3D">
        <w:rPr>
          <w:szCs w:val="22"/>
        </w:rPr>
        <w:t xml:space="preserve">, make the following </w:t>
      </w:r>
      <w:r w:rsidR="0070081B" w:rsidRPr="00E96E3D">
        <w:rPr>
          <w:szCs w:val="22"/>
        </w:rPr>
        <w:t>order</w:t>
      </w:r>
      <w:r w:rsidRPr="00E96E3D">
        <w:rPr>
          <w:szCs w:val="22"/>
        </w:rPr>
        <w:t>.</w:t>
      </w:r>
    </w:p>
    <w:p w:rsidR="00554826" w:rsidRPr="00E96E3D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E96E3D">
        <w:rPr>
          <w:szCs w:val="22"/>
        </w:rPr>
        <w:t>Dated</w:t>
      </w:r>
      <w:r w:rsidR="00180C28">
        <w:rPr>
          <w:szCs w:val="22"/>
        </w:rPr>
        <w:t xml:space="preserve"> 22 </w:t>
      </w:r>
      <w:r w:rsidR="00A70E86">
        <w:rPr>
          <w:szCs w:val="22"/>
        </w:rPr>
        <w:t>March 2019</w:t>
      </w:r>
    </w:p>
    <w:p w:rsidR="00BF2F44" w:rsidRDefault="00BF2F44" w:rsidP="0055482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Jane Cook</w:t>
      </w:r>
    </w:p>
    <w:p w:rsidR="00554826" w:rsidRPr="00E96E3D" w:rsidRDefault="00BF2F44" w:rsidP="00E96E3D">
      <w:pPr>
        <w:keepNext/>
        <w:tabs>
          <w:tab w:val="left" w:pos="3402"/>
        </w:tabs>
        <w:spacing w:line="300" w:lineRule="atLeast"/>
        <w:ind w:right="397"/>
        <w:rPr>
          <w:b/>
          <w:szCs w:val="22"/>
        </w:rPr>
      </w:pPr>
      <w:r>
        <w:rPr>
          <w:szCs w:val="22"/>
        </w:rPr>
        <w:t>First Assistant Secretary</w:t>
      </w:r>
      <w:r w:rsidR="00554826" w:rsidRPr="00E96E3D">
        <w:rPr>
          <w:szCs w:val="22"/>
        </w:rPr>
        <w:t xml:space="preserve"> </w:t>
      </w:r>
    </w:p>
    <w:p w:rsidR="00BF2F44" w:rsidRDefault="00BF2F44" w:rsidP="00554826">
      <w:pPr>
        <w:pStyle w:val="SignCoverPageEnd"/>
        <w:ind w:right="91"/>
        <w:rPr>
          <w:sz w:val="22"/>
        </w:rPr>
      </w:pPr>
      <w:r>
        <w:rPr>
          <w:sz w:val="22"/>
        </w:rPr>
        <w:t>Medicines Regulation Division</w:t>
      </w:r>
    </w:p>
    <w:p w:rsidR="00315638" w:rsidRDefault="00315638" w:rsidP="00554826">
      <w:pPr>
        <w:pStyle w:val="SignCoverPageEnd"/>
        <w:ind w:right="91"/>
        <w:rPr>
          <w:sz w:val="22"/>
        </w:rPr>
      </w:pPr>
      <w:r>
        <w:rPr>
          <w:sz w:val="22"/>
        </w:rPr>
        <w:t>Health Products Regulation Group</w:t>
      </w:r>
    </w:p>
    <w:p w:rsidR="00554826" w:rsidRPr="008E0027" w:rsidRDefault="00BF2F44" w:rsidP="00554826">
      <w:pPr>
        <w:pStyle w:val="SignCoverPageEnd"/>
        <w:ind w:right="91"/>
        <w:rPr>
          <w:sz w:val="22"/>
        </w:rPr>
      </w:pPr>
      <w:r>
        <w:rPr>
          <w:sz w:val="22"/>
        </w:rPr>
        <w:t>Department of Health</w:t>
      </w:r>
    </w:p>
    <w:p w:rsidR="00554826" w:rsidRDefault="00554826" w:rsidP="00554826"/>
    <w:p w:rsidR="00554826" w:rsidRPr="00ED79B6" w:rsidRDefault="00554826" w:rsidP="00554826"/>
    <w:p w:rsidR="00F6696E" w:rsidRDefault="00F6696E" w:rsidP="00F6696E"/>
    <w:p w:rsidR="00F6696E" w:rsidRDefault="00F6696E" w:rsidP="00F6696E">
      <w:pPr>
        <w:sectPr w:rsidR="00F6696E" w:rsidSect="00F6696E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AE11FF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AE11FF">
        <w:rPr>
          <w:noProof/>
        </w:rPr>
        <w:t>1  Name</w:t>
      </w:r>
      <w:r w:rsidR="00AE11FF">
        <w:rPr>
          <w:noProof/>
        </w:rPr>
        <w:tab/>
      </w:r>
      <w:r w:rsidR="00AE11FF">
        <w:rPr>
          <w:noProof/>
        </w:rPr>
        <w:fldChar w:fldCharType="begin"/>
      </w:r>
      <w:r w:rsidR="00AE11FF">
        <w:rPr>
          <w:noProof/>
        </w:rPr>
        <w:instrText xml:space="preserve"> PAGEREF _Toc4168551 \h </w:instrText>
      </w:r>
      <w:r w:rsidR="00AE11FF">
        <w:rPr>
          <w:noProof/>
        </w:rPr>
      </w:r>
      <w:r w:rsidR="00AE11FF">
        <w:rPr>
          <w:noProof/>
        </w:rPr>
        <w:fldChar w:fldCharType="separate"/>
      </w:r>
      <w:r w:rsidR="00A449C3">
        <w:rPr>
          <w:noProof/>
        </w:rPr>
        <w:t>1</w:t>
      </w:r>
      <w:r w:rsidR="00AE11FF">
        <w:rPr>
          <w:noProof/>
        </w:rPr>
        <w:fldChar w:fldCharType="end"/>
      </w:r>
    </w:p>
    <w:p w:rsidR="00AE11FF" w:rsidRDefault="00AE11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_Toc4168552 \h </w:instrText>
      </w:r>
      <w:r>
        <w:rPr>
          <w:noProof/>
        </w:rPr>
      </w:r>
      <w:r>
        <w:rPr>
          <w:noProof/>
        </w:rPr>
        <w:fldChar w:fldCharType="separate"/>
      </w:r>
      <w:r w:rsidR="00A449C3">
        <w:rPr>
          <w:noProof/>
        </w:rPr>
        <w:t>1</w:t>
      </w:r>
      <w:r>
        <w:rPr>
          <w:noProof/>
        </w:rPr>
        <w:fldChar w:fldCharType="end"/>
      </w:r>
    </w:p>
    <w:p w:rsidR="00AE11FF" w:rsidRDefault="00AE11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_Toc4168553 \h </w:instrText>
      </w:r>
      <w:r>
        <w:rPr>
          <w:noProof/>
        </w:rPr>
      </w:r>
      <w:r>
        <w:rPr>
          <w:noProof/>
        </w:rPr>
        <w:fldChar w:fldCharType="separate"/>
      </w:r>
      <w:r w:rsidR="00A449C3">
        <w:rPr>
          <w:noProof/>
        </w:rPr>
        <w:t>1</w:t>
      </w:r>
      <w:r>
        <w:rPr>
          <w:noProof/>
        </w:rPr>
        <w:fldChar w:fldCharType="end"/>
      </w:r>
    </w:p>
    <w:p w:rsidR="00AE11FF" w:rsidRDefault="00AE11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_Toc4168554 \h </w:instrText>
      </w:r>
      <w:r>
        <w:rPr>
          <w:noProof/>
        </w:rPr>
      </w:r>
      <w:r>
        <w:rPr>
          <w:noProof/>
        </w:rPr>
        <w:fldChar w:fldCharType="separate"/>
      </w:r>
      <w:r w:rsidR="00A449C3">
        <w:rPr>
          <w:noProof/>
        </w:rPr>
        <w:t>1</w:t>
      </w:r>
      <w:r>
        <w:rPr>
          <w:noProof/>
        </w:rPr>
        <w:fldChar w:fldCharType="end"/>
      </w:r>
    </w:p>
    <w:p w:rsidR="00AE11FF" w:rsidRDefault="00AE11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Standard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_Toc4168555 \h </w:instrText>
      </w:r>
      <w:r>
        <w:rPr>
          <w:noProof/>
        </w:rPr>
      </w:r>
      <w:r>
        <w:rPr>
          <w:noProof/>
        </w:rPr>
        <w:fldChar w:fldCharType="separate"/>
      </w:r>
      <w:r w:rsidR="00A449C3">
        <w:rPr>
          <w:noProof/>
        </w:rPr>
        <w:t>2</w:t>
      </w:r>
      <w:r>
        <w:rPr>
          <w:noProof/>
        </w:rPr>
        <w:fldChar w:fldCharType="end"/>
      </w:r>
    </w:p>
    <w:p w:rsidR="00AE11FF" w:rsidRDefault="00AE11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_Toc4168556 \h </w:instrText>
      </w:r>
      <w:r>
        <w:rPr>
          <w:noProof/>
        </w:rPr>
      </w:r>
      <w:r>
        <w:rPr>
          <w:noProof/>
        </w:rPr>
        <w:fldChar w:fldCharType="separate"/>
      </w:r>
      <w:r w:rsidR="00A449C3">
        <w:rPr>
          <w:noProof/>
        </w:rPr>
        <w:t>2</w:t>
      </w:r>
      <w:r>
        <w:rPr>
          <w:noProof/>
        </w:rPr>
        <w:fldChar w:fldCharType="end"/>
      </w:r>
    </w:p>
    <w:p w:rsidR="00AE11FF" w:rsidRDefault="00AE11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_Toc4168557 \h </w:instrText>
      </w:r>
      <w:r>
        <w:rPr>
          <w:noProof/>
        </w:rPr>
      </w:r>
      <w:r>
        <w:rPr>
          <w:noProof/>
        </w:rPr>
        <w:fldChar w:fldCharType="separate"/>
      </w:r>
      <w:r w:rsidR="00A449C3">
        <w:rPr>
          <w:noProof/>
        </w:rPr>
        <w:t>2</w:t>
      </w:r>
      <w:r>
        <w:rPr>
          <w:noProof/>
        </w:rPr>
        <w:fldChar w:fldCharType="end"/>
      </w:r>
    </w:p>
    <w:p w:rsidR="00AE11FF" w:rsidRDefault="00AE11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Transitional arrangements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_Toc4168558 \h </w:instrText>
      </w:r>
      <w:r>
        <w:rPr>
          <w:noProof/>
        </w:rPr>
      </w:r>
      <w:r>
        <w:rPr>
          <w:noProof/>
        </w:rPr>
        <w:fldChar w:fldCharType="separate"/>
      </w:r>
      <w:r w:rsidR="00A449C3">
        <w:rPr>
          <w:noProof/>
        </w:rPr>
        <w:t>3</w:t>
      </w:r>
      <w:r>
        <w:rPr>
          <w:noProof/>
        </w:rPr>
        <w:fldChar w:fldCharType="end"/>
      </w:r>
    </w:p>
    <w:p w:rsidR="00AE11FF" w:rsidRDefault="00AE11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_Toc4168559 \h </w:instrText>
      </w:r>
      <w:r>
        <w:rPr>
          <w:noProof/>
        </w:rPr>
      </w:r>
      <w:r>
        <w:rPr>
          <w:noProof/>
        </w:rPr>
        <w:fldChar w:fldCharType="separate"/>
      </w:r>
      <w:r w:rsidR="00A449C3">
        <w:rPr>
          <w:noProof/>
        </w:rPr>
        <w:t>3</w:t>
      </w:r>
      <w:r>
        <w:rPr>
          <w:noProof/>
        </w:rPr>
        <w:fldChar w:fldCharType="end"/>
      </w:r>
    </w:p>
    <w:p w:rsidR="00AE11FF" w:rsidRDefault="00AE11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  Consequential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_Toc4168560 \h </w:instrText>
      </w:r>
      <w:r>
        <w:rPr>
          <w:noProof/>
        </w:rPr>
      </w:r>
      <w:r>
        <w:rPr>
          <w:noProof/>
        </w:rPr>
        <w:fldChar w:fldCharType="separate"/>
      </w:r>
      <w:r w:rsidR="00A449C3">
        <w:rPr>
          <w:noProof/>
        </w:rPr>
        <w:t>3</w:t>
      </w:r>
      <w:r>
        <w:rPr>
          <w:noProof/>
        </w:rPr>
        <w:fldChar w:fldCharType="end"/>
      </w:r>
    </w:p>
    <w:p w:rsidR="00AE11FF" w:rsidRDefault="00AE11F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_Toc4168561 \h </w:instrText>
      </w:r>
      <w:r>
        <w:rPr>
          <w:noProof/>
        </w:rPr>
      </w:r>
      <w:r>
        <w:rPr>
          <w:noProof/>
        </w:rPr>
        <w:fldChar w:fldCharType="separate"/>
      </w:r>
      <w:r w:rsidR="00A449C3">
        <w:rPr>
          <w:noProof/>
        </w:rPr>
        <w:t>4</w:t>
      </w:r>
      <w:r>
        <w:rPr>
          <w:noProof/>
        </w:rPr>
        <w:fldChar w:fldCharType="end"/>
      </w:r>
    </w:p>
    <w:p w:rsidR="00AE11FF" w:rsidRDefault="00AE11F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80E63">
        <w:rPr>
          <w:i w:val="0"/>
          <w:noProof/>
        </w:rPr>
        <w:t>Therapeutic Goods Order No 81 Standards for Blood and Blood Components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_Toc4168562 \h </w:instrText>
      </w:r>
      <w:r>
        <w:rPr>
          <w:noProof/>
        </w:rPr>
      </w:r>
      <w:r>
        <w:rPr>
          <w:noProof/>
        </w:rPr>
        <w:fldChar w:fldCharType="separate"/>
      </w:r>
      <w:r w:rsidR="00A449C3">
        <w:rPr>
          <w:noProof/>
        </w:rPr>
        <w:t>4</w:t>
      </w:r>
      <w:r>
        <w:rPr>
          <w:noProof/>
        </w:rPr>
        <w:fldChar w:fldCharType="end"/>
      </w:r>
    </w:p>
    <w:p w:rsidR="00AE11FF" w:rsidRDefault="00AE11F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2—Consequential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_Toc4168563 \h </w:instrText>
      </w:r>
      <w:r>
        <w:rPr>
          <w:noProof/>
        </w:rPr>
      </w:r>
      <w:r>
        <w:rPr>
          <w:noProof/>
        </w:rPr>
        <w:fldChar w:fldCharType="separate"/>
      </w:r>
      <w:r w:rsidR="00A449C3">
        <w:rPr>
          <w:noProof/>
        </w:rPr>
        <w:t>5</w:t>
      </w:r>
      <w:r>
        <w:rPr>
          <w:noProof/>
        </w:rPr>
        <w:fldChar w:fldCharType="end"/>
      </w:r>
    </w:p>
    <w:p w:rsidR="00AE11FF" w:rsidRDefault="00AE11F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80E63">
        <w:rPr>
          <w:i w:val="0"/>
          <w:noProof/>
        </w:rPr>
        <w:t>Therapeutic Goods (Manufacturing Principles) Determination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_Toc4168564 \h </w:instrText>
      </w:r>
      <w:r>
        <w:rPr>
          <w:noProof/>
        </w:rPr>
      </w:r>
      <w:r>
        <w:rPr>
          <w:noProof/>
        </w:rPr>
        <w:fldChar w:fldCharType="separate"/>
      </w:r>
      <w:r w:rsidR="00A449C3">
        <w:rPr>
          <w:noProof/>
        </w:rPr>
        <w:t>5</w:t>
      </w:r>
      <w:r>
        <w:rPr>
          <w:noProof/>
        </w:rPr>
        <w:fldChar w:fldCharType="end"/>
      </w:r>
    </w:p>
    <w:p w:rsidR="00F6696E" w:rsidRPr="00A802BC" w:rsidRDefault="00B418CB" w:rsidP="00F6696E">
      <w:pPr>
        <w:outlineLvl w:val="0"/>
        <w:rPr>
          <w:sz w:val="20"/>
        </w:rPr>
      </w:pPr>
      <w:r>
        <w:rPr>
          <w:rFonts w:eastAsia="Times New Roman" w:cs="Times New Roman"/>
          <w:kern w:val="28"/>
          <w:sz w:val="24"/>
          <w:lang w:eastAsia="en-AU"/>
        </w:rPr>
        <w:fldChar w:fldCharType="end"/>
      </w:r>
      <w:r w:rsidR="00E556D5" w:rsidRPr="00E556D5">
        <w:rPr>
          <w:noProof/>
        </w:rPr>
        <w:t xml:space="preserve"> </w:t>
      </w:r>
    </w:p>
    <w:p w:rsidR="00F6696E" w:rsidRDefault="00F6696E" w:rsidP="00F6696E">
      <w:pPr>
        <w:sectPr w:rsidR="00F6696E" w:rsidSect="00A62AC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54826" w:rsidRPr="00554826" w:rsidRDefault="00554826" w:rsidP="00554826">
      <w:pPr>
        <w:pStyle w:val="ActHead5"/>
      </w:pPr>
      <w:bookmarkStart w:id="0" w:name="_Toc4168551"/>
      <w:r w:rsidRPr="00554826">
        <w:lastRenderedPageBreak/>
        <w:t>1  Name</w:t>
      </w:r>
      <w:bookmarkEnd w:id="0"/>
    </w:p>
    <w:p w:rsidR="00BF2F44" w:rsidRDefault="00554826" w:rsidP="00E96E3D">
      <w:pPr>
        <w:pStyle w:val="subsection"/>
        <w:ind w:left="1440" w:hanging="1440"/>
        <w:rPr>
          <w:i/>
        </w:rPr>
      </w:pPr>
      <w:r w:rsidRPr="009C2562">
        <w:tab/>
      </w:r>
      <w:r w:rsidR="00BF2F44">
        <w:t>(1)</w:t>
      </w:r>
      <w:r w:rsidR="00BF2F44">
        <w:tab/>
      </w:r>
      <w:r w:rsidRPr="009C2562">
        <w:t xml:space="preserve">This </w:t>
      </w:r>
      <w:r>
        <w:t xml:space="preserve">instrument </w:t>
      </w:r>
      <w:r w:rsidRPr="009C2562">
        <w:t xml:space="preserve">is the </w:t>
      </w:r>
      <w:bookmarkStart w:id="1" w:name="BKCheck15B_3"/>
      <w:bookmarkEnd w:id="1"/>
      <w:r w:rsidR="0070081B">
        <w:rPr>
          <w:i/>
        </w:rPr>
        <w:t xml:space="preserve">Therapeutic Goods </w:t>
      </w:r>
      <w:r w:rsidR="00BF2F44">
        <w:rPr>
          <w:i/>
        </w:rPr>
        <w:t>(</w:t>
      </w:r>
      <w:r w:rsidR="0070081B">
        <w:rPr>
          <w:i/>
        </w:rPr>
        <w:t>Standard for Blood and Blood Components</w:t>
      </w:r>
      <w:r w:rsidR="00BF2F44">
        <w:rPr>
          <w:i/>
        </w:rPr>
        <w:t xml:space="preserve">) </w:t>
      </w:r>
      <w:r w:rsidR="00CB6141">
        <w:rPr>
          <w:i/>
        </w:rPr>
        <w:t xml:space="preserve">(TGO 102) </w:t>
      </w:r>
      <w:r w:rsidR="00BF2F44">
        <w:rPr>
          <w:i/>
        </w:rPr>
        <w:t>Order 2019.</w:t>
      </w:r>
    </w:p>
    <w:p w:rsidR="00554826" w:rsidRDefault="00BF2F44" w:rsidP="00E96E3D">
      <w:pPr>
        <w:pStyle w:val="subsection"/>
        <w:ind w:left="1440" w:hanging="1440"/>
      </w:pPr>
      <w:r>
        <w:tab/>
        <w:t>(2)</w:t>
      </w:r>
      <w:r>
        <w:tab/>
        <w:t>This instrument may also be cited as TGO 10</w:t>
      </w:r>
      <w:r w:rsidR="00CB6141">
        <w:t>2</w:t>
      </w:r>
      <w:r>
        <w:t>.</w:t>
      </w:r>
    </w:p>
    <w:p w:rsidR="00554826" w:rsidRPr="00554826" w:rsidRDefault="00554826" w:rsidP="00554826">
      <w:pPr>
        <w:pStyle w:val="ActHead5"/>
      </w:pPr>
      <w:bookmarkStart w:id="2" w:name="_Toc4168552"/>
      <w:r w:rsidRPr="00554826">
        <w:t>2  Commencement</w:t>
      </w:r>
      <w:bookmarkEnd w:id="2"/>
    </w:p>
    <w:p w:rsidR="00B60761" w:rsidRPr="00274759" w:rsidRDefault="00554826" w:rsidP="00B60761">
      <w:pPr>
        <w:pStyle w:val="subsection"/>
      </w:pPr>
      <w:r>
        <w:tab/>
      </w:r>
      <w:r w:rsidR="00B60761" w:rsidRPr="00274759">
        <w:t>(1)</w:t>
      </w:r>
      <w:r w:rsidR="00B60761" w:rsidRPr="0027475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B60761" w:rsidRPr="00274759" w:rsidRDefault="00B60761" w:rsidP="00B6076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268"/>
        <w:gridCol w:w="3544"/>
        <w:gridCol w:w="2268"/>
      </w:tblGrid>
      <w:tr w:rsidR="00B60761" w:rsidRPr="00274759" w:rsidTr="00617C65">
        <w:trPr>
          <w:tblHeader/>
        </w:trPr>
        <w:tc>
          <w:tcPr>
            <w:tcW w:w="8080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B60761" w:rsidRPr="00274759" w:rsidRDefault="00B60761" w:rsidP="005779BD">
            <w:pPr>
              <w:pStyle w:val="TableHeading"/>
            </w:pPr>
            <w:r w:rsidRPr="00274759">
              <w:t>Commencement information</w:t>
            </w:r>
          </w:p>
        </w:tc>
      </w:tr>
      <w:tr w:rsidR="00B60761" w:rsidRPr="00274759" w:rsidTr="00617C65">
        <w:trPr>
          <w:tblHeader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60761" w:rsidRPr="00274759" w:rsidRDefault="00B60761" w:rsidP="005779BD">
            <w:pPr>
              <w:pStyle w:val="TableHeading"/>
            </w:pPr>
            <w:r w:rsidRPr="00274759">
              <w:t>Column 1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60761" w:rsidRPr="00274759" w:rsidRDefault="00B60761" w:rsidP="005779BD">
            <w:pPr>
              <w:pStyle w:val="TableHeading"/>
            </w:pPr>
            <w:r w:rsidRPr="00274759">
              <w:t>Column 2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60761" w:rsidRPr="00274759" w:rsidRDefault="00B60761" w:rsidP="005779BD">
            <w:pPr>
              <w:pStyle w:val="TableHeading"/>
            </w:pPr>
            <w:r w:rsidRPr="00274759">
              <w:t>Column 3</w:t>
            </w:r>
          </w:p>
        </w:tc>
      </w:tr>
      <w:tr w:rsidR="00B60761" w:rsidRPr="00274759" w:rsidTr="00617C65">
        <w:trPr>
          <w:tblHeader/>
        </w:trPr>
        <w:tc>
          <w:tcPr>
            <w:tcW w:w="22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60761" w:rsidRPr="00274759" w:rsidRDefault="00B60761" w:rsidP="005779BD">
            <w:pPr>
              <w:pStyle w:val="TableHeading"/>
            </w:pPr>
            <w:r w:rsidRPr="00274759">
              <w:t>Provisions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60761" w:rsidRPr="00274759" w:rsidRDefault="00B60761" w:rsidP="005779BD">
            <w:pPr>
              <w:pStyle w:val="TableHeading"/>
            </w:pPr>
            <w:r w:rsidRPr="00274759">
              <w:t>Commencement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60761" w:rsidRPr="00274759" w:rsidRDefault="00B60761" w:rsidP="005779BD">
            <w:pPr>
              <w:pStyle w:val="TableHeading"/>
            </w:pPr>
            <w:r w:rsidRPr="00274759">
              <w:t>Date/Details</w:t>
            </w:r>
          </w:p>
        </w:tc>
      </w:tr>
      <w:tr w:rsidR="00B60761" w:rsidRPr="00274759" w:rsidTr="00617C65"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60761" w:rsidRPr="00274759" w:rsidRDefault="00B60761" w:rsidP="005779BD">
            <w:pPr>
              <w:pStyle w:val="Tabletext"/>
            </w:pPr>
            <w:r w:rsidRPr="00274759">
              <w:t>1.  The whole of this instrument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60761" w:rsidRPr="00274759" w:rsidRDefault="00CB6141" w:rsidP="005779BD">
            <w:pPr>
              <w:pStyle w:val="Tabletext"/>
            </w:pPr>
            <w:r>
              <w:t>3</w:t>
            </w:r>
            <w:r w:rsidR="00B60761">
              <w:t xml:space="preserve">1 </w:t>
            </w:r>
            <w:r>
              <w:t>March</w:t>
            </w:r>
            <w:r w:rsidR="00B60761">
              <w:t xml:space="preserve"> 2019</w:t>
            </w:r>
            <w:r w:rsidR="00B60761" w:rsidRPr="00274759">
              <w:t>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60761" w:rsidRPr="00274759" w:rsidRDefault="00CB6141" w:rsidP="005779BD">
            <w:pPr>
              <w:pStyle w:val="Tabletext"/>
            </w:pPr>
            <w:r>
              <w:t>3</w:t>
            </w:r>
            <w:r w:rsidR="00B60761">
              <w:t xml:space="preserve">1 </w:t>
            </w:r>
            <w:r>
              <w:t>March</w:t>
            </w:r>
            <w:r w:rsidR="00B60761">
              <w:t xml:space="preserve"> 2019</w:t>
            </w:r>
          </w:p>
        </w:tc>
      </w:tr>
    </w:tbl>
    <w:p w:rsidR="00B60761" w:rsidRPr="00274759" w:rsidRDefault="00B60761" w:rsidP="00B60761">
      <w:pPr>
        <w:pStyle w:val="notetext"/>
      </w:pPr>
      <w:r w:rsidRPr="00274759">
        <w:rPr>
          <w:snapToGrid w:val="0"/>
          <w:lang w:eastAsia="en-US"/>
        </w:rPr>
        <w:t xml:space="preserve">Note: </w:t>
      </w:r>
      <w:r w:rsidRPr="00274759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:rsidR="00B60761" w:rsidRPr="00274759" w:rsidRDefault="00B60761" w:rsidP="00B60761">
      <w:pPr>
        <w:pStyle w:val="subsection"/>
      </w:pPr>
      <w:r w:rsidRPr="00274759">
        <w:tab/>
        <w:t>(2)</w:t>
      </w:r>
      <w:r w:rsidRPr="00274759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54826" w:rsidRPr="00554826" w:rsidRDefault="00554826" w:rsidP="00554826">
      <w:pPr>
        <w:pStyle w:val="ActHead5"/>
      </w:pPr>
      <w:bookmarkStart w:id="3" w:name="_Toc4168553"/>
      <w:r w:rsidRPr="00554826">
        <w:t>3  Authority</w:t>
      </w:r>
      <w:bookmarkEnd w:id="3"/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70081B">
        <w:t>section</w:t>
      </w:r>
      <w:r w:rsidR="00797A91">
        <w:t>s</w:t>
      </w:r>
      <w:r w:rsidR="0070081B">
        <w:t xml:space="preserve"> 10</w:t>
      </w:r>
      <w:r w:rsidR="00C0680D">
        <w:t xml:space="preserve"> and </w:t>
      </w:r>
      <w:r w:rsidR="00797A91">
        <w:t>36</w:t>
      </w:r>
      <w:r w:rsidR="0070081B">
        <w:t xml:space="preserve"> of the </w:t>
      </w:r>
      <w:r w:rsidR="00A334FF" w:rsidRPr="00A334FF">
        <w:rPr>
          <w:i/>
        </w:rPr>
        <w:t xml:space="preserve">Therapeutic Goods </w:t>
      </w:r>
      <w:r w:rsidR="0070081B" w:rsidRPr="00A334FF">
        <w:rPr>
          <w:i/>
        </w:rPr>
        <w:t>Act</w:t>
      </w:r>
      <w:r w:rsidR="00A334FF" w:rsidRPr="00A334FF">
        <w:rPr>
          <w:i/>
        </w:rPr>
        <w:t xml:space="preserve"> 1989</w:t>
      </w:r>
      <w:r w:rsidRPr="00E96E3D">
        <w:t>.</w:t>
      </w:r>
    </w:p>
    <w:p w:rsidR="00B60761" w:rsidRDefault="00B60761" w:rsidP="00B60761">
      <w:pPr>
        <w:pStyle w:val="ActHead5"/>
      </w:pPr>
      <w:bookmarkStart w:id="4" w:name="_Toc4168554"/>
      <w:bookmarkStart w:id="5" w:name="_Toc454781205"/>
      <w:r>
        <w:t>4</w:t>
      </w:r>
      <w:r w:rsidRPr="00554826">
        <w:t xml:space="preserve">  Definitions</w:t>
      </w:r>
      <w:bookmarkEnd w:id="4"/>
    </w:p>
    <w:p w:rsidR="00B60761" w:rsidRPr="00852DB5" w:rsidRDefault="00B60761" w:rsidP="00B60761">
      <w:pPr>
        <w:pStyle w:val="notetext"/>
      </w:pPr>
      <w:r w:rsidRPr="00852DB5">
        <w:t>Note:</w:t>
      </w:r>
      <w:r w:rsidRPr="00852DB5">
        <w:tab/>
        <w:t xml:space="preserve">A number of expressions used in this instrument are defined in section </w:t>
      </w:r>
      <w:r w:rsidR="0082164A">
        <w:t xml:space="preserve">3 </w:t>
      </w:r>
      <w:r w:rsidRPr="00852DB5">
        <w:t>of the Act, including the following:</w:t>
      </w:r>
    </w:p>
    <w:p w:rsidR="00B60761" w:rsidRDefault="0082164A" w:rsidP="00B60761">
      <w:pPr>
        <w:pStyle w:val="notepara"/>
      </w:pPr>
      <w:r>
        <w:t>(a)</w:t>
      </w:r>
      <w:r>
        <w:tab/>
      </w:r>
      <w:r w:rsidR="001459E3">
        <w:t>manufacture; and</w:t>
      </w:r>
      <w:r w:rsidR="00BA1D10">
        <w:t xml:space="preserve"> </w:t>
      </w:r>
    </w:p>
    <w:p w:rsidR="00B60761" w:rsidRPr="00852DB5" w:rsidRDefault="00BA1D10" w:rsidP="00B60761">
      <w:pPr>
        <w:pStyle w:val="notepara"/>
      </w:pPr>
      <w:r>
        <w:t>(b</w:t>
      </w:r>
      <w:r w:rsidR="00B60761">
        <w:t>)</w:t>
      </w:r>
      <w:r w:rsidR="00B60761">
        <w:tab/>
        <w:t>therapeutic goods.</w:t>
      </w:r>
    </w:p>
    <w:p w:rsidR="00B60761" w:rsidRPr="00852DB5" w:rsidRDefault="00B60761" w:rsidP="00B60761">
      <w:pPr>
        <w:pStyle w:val="subsection"/>
      </w:pPr>
      <w:r w:rsidRPr="00852DB5">
        <w:tab/>
      </w:r>
      <w:r w:rsidRPr="00852DB5">
        <w:tab/>
        <w:t>In this instrument:</w:t>
      </w:r>
    </w:p>
    <w:p w:rsidR="00B60761" w:rsidRPr="00852DB5" w:rsidRDefault="00B60761" w:rsidP="00B60761">
      <w:pPr>
        <w:pStyle w:val="Definition"/>
      </w:pPr>
      <w:r w:rsidRPr="00852DB5">
        <w:rPr>
          <w:b/>
          <w:i/>
        </w:rPr>
        <w:t>Act</w:t>
      </w:r>
      <w:r w:rsidRPr="00852DB5">
        <w:t xml:space="preserve"> means the </w:t>
      </w:r>
      <w:r>
        <w:rPr>
          <w:i/>
        </w:rPr>
        <w:t>Therapeutic Goods Act 1989</w:t>
      </w:r>
      <w:r w:rsidRPr="00852DB5">
        <w:t>.</w:t>
      </w:r>
    </w:p>
    <w:p w:rsidR="00B60761" w:rsidRDefault="00B60761" w:rsidP="00B60761">
      <w:pPr>
        <w:pStyle w:val="Definition"/>
      </w:pPr>
      <w:r>
        <w:rPr>
          <w:b/>
          <w:i/>
          <w:szCs w:val="24"/>
          <w:lang w:val="en"/>
        </w:rPr>
        <w:t>blood</w:t>
      </w:r>
      <w:r>
        <w:rPr>
          <w:szCs w:val="24"/>
          <w:lang w:val="en"/>
        </w:rPr>
        <w:t xml:space="preserve"> means whole blood collected from a single human donor and processed either for transfusion or further manufacturing.</w:t>
      </w:r>
    </w:p>
    <w:p w:rsidR="00A36F10" w:rsidRDefault="00B60761" w:rsidP="00B60761">
      <w:pPr>
        <w:pStyle w:val="Definition"/>
        <w:rPr>
          <w:szCs w:val="24"/>
          <w:lang w:val="en"/>
        </w:rPr>
      </w:pPr>
      <w:r>
        <w:rPr>
          <w:b/>
          <w:i/>
          <w:szCs w:val="24"/>
          <w:lang w:val="en"/>
        </w:rPr>
        <w:t>blood components</w:t>
      </w:r>
      <w:r>
        <w:rPr>
          <w:szCs w:val="24"/>
          <w:lang w:val="en"/>
        </w:rPr>
        <w:t xml:space="preserve"> means</w:t>
      </w:r>
      <w:r w:rsidR="000A3D04">
        <w:rPr>
          <w:szCs w:val="24"/>
          <w:lang w:val="en"/>
        </w:rPr>
        <w:t xml:space="preserve"> any of</w:t>
      </w:r>
      <w:r>
        <w:rPr>
          <w:szCs w:val="24"/>
          <w:lang w:val="en"/>
        </w:rPr>
        <w:t xml:space="preserve"> </w:t>
      </w:r>
      <w:r w:rsidR="00A36F10">
        <w:rPr>
          <w:szCs w:val="24"/>
          <w:lang w:val="en"/>
        </w:rPr>
        <w:t xml:space="preserve">the following </w:t>
      </w:r>
      <w:r>
        <w:rPr>
          <w:szCs w:val="24"/>
          <w:lang w:val="en"/>
        </w:rPr>
        <w:t xml:space="preserve">therapeutic components of blood that can be prepared by centrifugation, filtration </w:t>
      </w:r>
      <w:r w:rsidR="00625D56">
        <w:rPr>
          <w:szCs w:val="24"/>
          <w:lang w:val="en"/>
        </w:rPr>
        <w:t>or</w:t>
      </w:r>
      <w:r w:rsidR="00C27BCF">
        <w:rPr>
          <w:szCs w:val="24"/>
          <w:lang w:val="en"/>
        </w:rPr>
        <w:t xml:space="preserve"> </w:t>
      </w:r>
      <w:r>
        <w:rPr>
          <w:szCs w:val="24"/>
          <w:lang w:val="en"/>
        </w:rPr>
        <w:t xml:space="preserve">freezing </w:t>
      </w:r>
      <w:r w:rsidRPr="009C3310">
        <w:rPr>
          <w:szCs w:val="24"/>
          <w:lang w:val="en"/>
        </w:rPr>
        <w:t>using conventional methodologies in blood establishment</w:t>
      </w:r>
      <w:r w:rsidR="00A36F10">
        <w:rPr>
          <w:szCs w:val="24"/>
          <w:lang w:val="en"/>
        </w:rPr>
        <w:t>:</w:t>
      </w:r>
    </w:p>
    <w:p w:rsidR="00A36F10" w:rsidRDefault="00A36F10" w:rsidP="00A36F10">
      <w:pPr>
        <w:pStyle w:val="paragraph"/>
      </w:pPr>
      <w:r>
        <w:tab/>
        <w:t>(a)</w:t>
      </w:r>
      <w:r>
        <w:tab/>
      </w:r>
      <w:r w:rsidRPr="00245845">
        <w:t>red cells</w:t>
      </w:r>
      <w:r>
        <w:t>;</w:t>
      </w:r>
    </w:p>
    <w:p w:rsidR="00A36F10" w:rsidRDefault="00A36F10" w:rsidP="00A36F10">
      <w:pPr>
        <w:pStyle w:val="paragraph"/>
      </w:pPr>
      <w:r>
        <w:tab/>
        <w:t>(b)</w:t>
      </w:r>
      <w:r>
        <w:tab/>
      </w:r>
      <w:r w:rsidRPr="00245845">
        <w:t>white cells</w:t>
      </w:r>
      <w:r>
        <w:t>;</w:t>
      </w:r>
    </w:p>
    <w:p w:rsidR="00A36F10" w:rsidRDefault="00A36F10" w:rsidP="00A36F10">
      <w:pPr>
        <w:pStyle w:val="paragraph"/>
      </w:pPr>
      <w:r>
        <w:tab/>
        <w:t>(c)</w:t>
      </w:r>
      <w:r>
        <w:tab/>
      </w:r>
      <w:r w:rsidRPr="00245845">
        <w:t>platelets</w:t>
      </w:r>
      <w:r>
        <w:t>;</w:t>
      </w:r>
    </w:p>
    <w:p w:rsidR="00A36F10" w:rsidRPr="00245845" w:rsidRDefault="00A36F10" w:rsidP="00A36F10">
      <w:pPr>
        <w:pStyle w:val="paragraph"/>
      </w:pPr>
      <w:r>
        <w:lastRenderedPageBreak/>
        <w:tab/>
        <w:t>(d)</w:t>
      </w:r>
      <w:r>
        <w:tab/>
      </w:r>
      <w:r w:rsidRPr="00245845">
        <w:t>plasma</w:t>
      </w:r>
      <w:r>
        <w:t>;</w:t>
      </w:r>
    </w:p>
    <w:p w:rsidR="00A36F10" w:rsidRDefault="00B60761" w:rsidP="002A4E36">
      <w:pPr>
        <w:pStyle w:val="Definition"/>
        <w:spacing w:before="120"/>
        <w:rPr>
          <w:szCs w:val="24"/>
          <w:lang w:val="en"/>
        </w:rPr>
      </w:pPr>
      <w:r>
        <w:rPr>
          <w:szCs w:val="24"/>
          <w:lang w:val="en"/>
        </w:rPr>
        <w:t xml:space="preserve">but </w:t>
      </w:r>
      <w:r w:rsidR="00A36F10">
        <w:rPr>
          <w:szCs w:val="24"/>
          <w:lang w:val="en"/>
        </w:rPr>
        <w:t xml:space="preserve">does </w:t>
      </w:r>
      <w:r>
        <w:rPr>
          <w:szCs w:val="24"/>
          <w:lang w:val="en"/>
        </w:rPr>
        <w:t>not includ</w:t>
      </w:r>
      <w:r w:rsidR="00A36F10">
        <w:rPr>
          <w:szCs w:val="24"/>
          <w:lang w:val="en"/>
        </w:rPr>
        <w:t>e</w:t>
      </w:r>
      <w:r>
        <w:rPr>
          <w:szCs w:val="24"/>
          <w:lang w:val="en"/>
        </w:rPr>
        <w:t xml:space="preserve"> haematopoietic progenitor cells</w:t>
      </w:r>
      <w:r w:rsidR="00A36F10">
        <w:rPr>
          <w:szCs w:val="24"/>
          <w:lang w:val="en"/>
        </w:rPr>
        <w:t>.</w:t>
      </w:r>
    </w:p>
    <w:p w:rsidR="00000E95" w:rsidRDefault="00000E95" w:rsidP="00B60761">
      <w:pPr>
        <w:pStyle w:val="Definition"/>
        <w:rPr>
          <w:szCs w:val="24"/>
          <w:lang w:val="en"/>
        </w:rPr>
      </w:pPr>
      <w:r>
        <w:rPr>
          <w:b/>
          <w:i/>
          <w:szCs w:val="24"/>
          <w:lang w:val="en"/>
        </w:rPr>
        <w:t>Guide</w:t>
      </w:r>
      <w:r>
        <w:rPr>
          <w:szCs w:val="24"/>
          <w:lang w:val="en"/>
        </w:rPr>
        <w:t xml:space="preserve"> means the </w:t>
      </w:r>
      <w:r w:rsidRPr="00E96E3D">
        <w:rPr>
          <w:i/>
          <w:szCs w:val="24"/>
          <w:lang w:val="en"/>
        </w:rPr>
        <w:t>Guide to the preparation, use and quality assurance of blood components</w:t>
      </w:r>
      <w:r w:rsidRPr="007A2228">
        <w:rPr>
          <w:szCs w:val="24"/>
          <w:lang w:val="en"/>
        </w:rPr>
        <w:t>, 1</w:t>
      </w:r>
      <w:r>
        <w:rPr>
          <w:szCs w:val="24"/>
          <w:lang w:val="en"/>
        </w:rPr>
        <w:t>9</w:t>
      </w:r>
      <w:r w:rsidRPr="007A2228">
        <w:rPr>
          <w:szCs w:val="24"/>
          <w:vertAlign w:val="superscript"/>
          <w:lang w:val="en"/>
        </w:rPr>
        <w:t>th</w:t>
      </w:r>
      <w:r w:rsidRPr="007A2228">
        <w:rPr>
          <w:szCs w:val="24"/>
          <w:lang w:val="en"/>
        </w:rPr>
        <w:t xml:space="preserve"> edition, 20</w:t>
      </w:r>
      <w:r>
        <w:rPr>
          <w:szCs w:val="24"/>
          <w:lang w:val="en"/>
        </w:rPr>
        <w:t>17</w:t>
      </w:r>
      <w:r w:rsidRPr="007A2228">
        <w:rPr>
          <w:szCs w:val="24"/>
          <w:lang w:val="en"/>
        </w:rPr>
        <w:t xml:space="preserve">, </w:t>
      </w:r>
      <w:r>
        <w:rPr>
          <w:szCs w:val="24"/>
          <w:lang w:val="en"/>
        </w:rPr>
        <w:t xml:space="preserve">published by </w:t>
      </w:r>
      <w:r w:rsidR="008362B0">
        <w:rPr>
          <w:szCs w:val="24"/>
          <w:lang w:val="en"/>
        </w:rPr>
        <w:t xml:space="preserve">the </w:t>
      </w:r>
      <w:r w:rsidRPr="007A2228">
        <w:rPr>
          <w:szCs w:val="24"/>
          <w:lang w:val="en"/>
        </w:rPr>
        <w:t>Council of Europe</w:t>
      </w:r>
      <w:r w:rsidR="00C27BCF">
        <w:rPr>
          <w:szCs w:val="24"/>
          <w:lang w:val="en"/>
        </w:rPr>
        <w:t>, as in force or</w:t>
      </w:r>
      <w:r w:rsidR="00DD7706">
        <w:rPr>
          <w:szCs w:val="24"/>
          <w:lang w:val="en"/>
        </w:rPr>
        <w:t xml:space="preserve"> existing </w:t>
      </w:r>
      <w:r w:rsidR="00C27BCF">
        <w:rPr>
          <w:szCs w:val="24"/>
          <w:lang w:val="en"/>
        </w:rPr>
        <w:t>immediately before the commencement of this instrument</w:t>
      </w:r>
      <w:r>
        <w:rPr>
          <w:szCs w:val="24"/>
          <w:lang w:val="en"/>
        </w:rPr>
        <w:t>.</w:t>
      </w:r>
    </w:p>
    <w:p w:rsidR="00315638" w:rsidRPr="0083581C" w:rsidRDefault="00315638" w:rsidP="00315638">
      <w:pPr>
        <w:pStyle w:val="notetext"/>
        <w:rPr>
          <w:snapToGrid w:val="0"/>
          <w:lang w:eastAsia="en-US"/>
        </w:rPr>
      </w:pPr>
      <w:r w:rsidRPr="0083581C">
        <w:rPr>
          <w:snapToGrid w:val="0"/>
          <w:lang w:eastAsia="en-US"/>
        </w:rPr>
        <w:t>Note:</w:t>
      </w:r>
      <w:r w:rsidRPr="0083581C">
        <w:rPr>
          <w:snapToGrid w:val="0"/>
          <w:lang w:eastAsia="en-US"/>
        </w:rPr>
        <w:tab/>
      </w:r>
      <w:r>
        <w:rPr>
          <w:snapToGrid w:val="0"/>
          <w:lang w:eastAsia="en-US"/>
        </w:rPr>
        <w:t xml:space="preserve">The </w:t>
      </w:r>
      <w:r w:rsidRPr="0083581C">
        <w:rPr>
          <w:snapToGrid w:val="0"/>
          <w:lang w:eastAsia="en-US"/>
        </w:rPr>
        <w:t xml:space="preserve">Guide is published </w:t>
      </w:r>
      <w:r>
        <w:rPr>
          <w:snapToGrid w:val="0"/>
          <w:lang w:eastAsia="en-US"/>
        </w:rPr>
        <w:t xml:space="preserve">by </w:t>
      </w:r>
      <w:r w:rsidR="00437FA2">
        <w:rPr>
          <w:snapToGrid w:val="0"/>
          <w:lang w:eastAsia="en-US"/>
        </w:rPr>
        <w:t>the European Directorate for the Quality of Medicines &amp; HealthCare of the Council of Europe at</w:t>
      </w:r>
      <w:r w:rsidRPr="0083581C">
        <w:rPr>
          <w:snapToGrid w:val="0"/>
          <w:lang w:eastAsia="en-US"/>
        </w:rPr>
        <w:t>: www.</w:t>
      </w:r>
      <w:r w:rsidR="00437FA2">
        <w:rPr>
          <w:snapToGrid w:val="0"/>
          <w:lang w:eastAsia="en-US"/>
        </w:rPr>
        <w:t>edqm.eu</w:t>
      </w:r>
      <w:r w:rsidRPr="0083581C">
        <w:rPr>
          <w:snapToGrid w:val="0"/>
          <w:lang w:eastAsia="en-US"/>
        </w:rPr>
        <w:t>.</w:t>
      </w:r>
    </w:p>
    <w:p w:rsidR="00B60761" w:rsidRDefault="00B60761" w:rsidP="00B60761">
      <w:pPr>
        <w:pStyle w:val="Definition"/>
        <w:rPr>
          <w:szCs w:val="24"/>
          <w:lang w:val="en"/>
        </w:rPr>
      </w:pPr>
      <w:r>
        <w:rPr>
          <w:b/>
          <w:i/>
          <w:szCs w:val="24"/>
          <w:lang w:val="en"/>
        </w:rPr>
        <w:t>haematopoietic progenitor cells</w:t>
      </w:r>
      <w:r>
        <w:rPr>
          <w:szCs w:val="24"/>
          <w:lang w:val="en"/>
        </w:rPr>
        <w:t xml:space="preserve"> </w:t>
      </w:r>
      <w:r w:rsidRPr="009C3310">
        <w:rPr>
          <w:szCs w:val="24"/>
          <w:lang w:val="en"/>
        </w:rPr>
        <w:t>means self-renewing or multi-potent stem cells, or both, capable of maturation into haematopoietic lineages, lineage-restricted pluri-potent progenitor cells, or committed progenitor cells</w:t>
      </w:r>
      <w:r>
        <w:rPr>
          <w:szCs w:val="24"/>
          <w:lang w:val="en"/>
        </w:rPr>
        <w:t xml:space="preserve">. </w:t>
      </w:r>
    </w:p>
    <w:p w:rsidR="00CA4C0A" w:rsidRDefault="00CA4C0A" w:rsidP="00B60761">
      <w:pPr>
        <w:pStyle w:val="Definition"/>
        <w:rPr>
          <w:szCs w:val="24"/>
          <w:lang w:val="en"/>
        </w:rPr>
      </w:pPr>
      <w:r>
        <w:rPr>
          <w:b/>
          <w:i/>
          <w:szCs w:val="24"/>
          <w:lang w:val="en"/>
        </w:rPr>
        <w:t>HBV</w:t>
      </w:r>
      <w:r>
        <w:rPr>
          <w:szCs w:val="24"/>
          <w:lang w:val="en"/>
        </w:rPr>
        <w:t xml:space="preserve"> means </w:t>
      </w:r>
      <w:r w:rsidR="00437FA2">
        <w:rPr>
          <w:szCs w:val="24"/>
          <w:lang w:val="en"/>
        </w:rPr>
        <w:t>h</w:t>
      </w:r>
      <w:r>
        <w:rPr>
          <w:szCs w:val="24"/>
          <w:lang w:val="en"/>
        </w:rPr>
        <w:t>epatitis B virus.</w:t>
      </w:r>
    </w:p>
    <w:p w:rsidR="00CA4C0A" w:rsidRDefault="00CA4C0A" w:rsidP="00B60761">
      <w:pPr>
        <w:pStyle w:val="Definition"/>
        <w:rPr>
          <w:szCs w:val="24"/>
          <w:lang w:val="en"/>
        </w:rPr>
      </w:pPr>
      <w:r>
        <w:rPr>
          <w:b/>
          <w:i/>
          <w:szCs w:val="24"/>
          <w:lang w:val="en"/>
        </w:rPr>
        <w:t>HCV</w:t>
      </w:r>
      <w:r>
        <w:rPr>
          <w:szCs w:val="24"/>
          <w:lang w:val="en"/>
        </w:rPr>
        <w:t xml:space="preserve"> means </w:t>
      </w:r>
      <w:r w:rsidR="00437FA2">
        <w:rPr>
          <w:szCs w:val="24"/>
          <w:lang w:val="en"/>
        </w:rPr>
        <w:t>h</w:t>
      </w:r>
      <w:r>
        <w:rPr>
          <w:szCs w:val="24"/>
          <w:lang w:val="en"/>
        </w:rPr>
        <w:t>epatitis C virus.</w:t>
      </w:r>
    </w:p>
    <w:p w:rsidR="00CA4C0A" w:rsidRPr="00CA4C0A" w:rsidRDefault="00CA4C0A" w:rsidP="00B60761">
      <w:pPr>
        <w:pStyle w:val="Definition"/>
        <w:rPr>
          <w:szCs w:val="24"/>
          <w:lang w:val="en"/>
        </w:rPr>
      </w:pPr>
      <w:r>
        <w:rPr>
          <w:b/>
          <w:i/>
          <w:szCs w:val="24"/>
          <w:lang w:val="en"/>
        </w:rPr>
        <w:t>HIV-1</w:t>
      </w:r>
      <w:r>
        <w:rPr>
          <w:szCs w:val="24"/>
          <w:lang w:val="en"/>
        </w:rPr>
        <w:t xml:space="preserve"> means </w:t>
      </w:r>
      <w:r w:rsidR="00437FA2">
        <w:rPr>
          <w:szCs w:val="24"/>
          <w:lang w:val="en"/>
        </w:rPr>
        <w:t>h</w:t>
      </w:r>
      <w:r>
        <w:rPr>
          <w:szCs w:val="24"/>
          <w:lang w:val="en"/>
        </w:rPr>
        <w:t xml:space="preserve">uman </w:t>
      </w:r>
      <w:r w:rsidR="00437FA2">
        <w:rPr>
          <w:szCs w:val="24"/>
          <w:lang w:val="en"/>
        </w:rPr>
        <w:t>i</w:t>
      </w:r>
      <w:r>
        <w:rPr>
          <w:szCs w:val="24"/>
          <w:lang w:val="en"/>
        </w:rPr>
        <w:t xml:space="preserve">mmunodeficiency </w:t>
      </w:r>
      <w:r w:rsidR="00437FA2">
        <w:rPr>
          <w:szCs w:val="24"/>
          <w:lang w:val="en"/>
        </w:rPr>
        <w:t>v</w:t>
      </w:r>
      <w:r>
        <w:rPr>
          <w:szCs w:val="24"/>
          <w:lang w:val="en"/>
        </w:rPr>
        <w:t>irus.</w:t>
      </w:r>
    </w:p>
    <w:p w:rsidR="001670DA" w:rsidRPr="00554826" w:rsidRDefault="001670DA" w:rsidP="001670DA">
      <w:pPr>
        <w:pStyle w:val="ActHead5"/>
      </w:pPr>
      <w:bookmarkStart w:id="6" w:name="_Toc4168555"/>
      <w:proofErr w:type="gramStart"/>
      <w:r>
        <w:t>5</w:t>
      </w:r>
      <w:r w:rsidRPr="00554826">
        <w:t xml:space="preserve">  </w:t>
      </w:r>
      <w:r>
        <w:t>Standard</w:t>
      </w:r>
      <w:bookmarkEnd w:id="6"/>
      <w:proofErr w:type="gramEnd"/>
    </w:p>
    <w:p w:rsidR="001670DA" w:rsidRPr="004F08F5" w:rsidRDefault="001670DA" w:rsidP="001670DA">
      <w:pPr>
        <w:pStyle w:val="subsection"/>
      </w:pPr>
      <w:r>
        <w:tab/>
      </w:r>
      <w:r>
        <w:tab/>
        <w:t>This instrument constitutes a standard for blood and blood components.</w:t>
      </w:r>
    </w:p>
    <w:p w:rsidR="0070081B" w:rsidRPr="00554826" w:rsidRDefault="001670DA" w:rsidP="0070081B">
      <w:pPr>
        <w:pStyle w:val="ActHead5"/>
      </w:pPr>
      <w:bookmarkStart w:id="7" w:name="_Toc4168556"/>
      <w:proofErr w:type="gramStart"/>
      <w:r>
        <w:t>6</w:t>
      </w:r>
      <w:r w:rsidR="0070081B" w:rsidRPr="00554826">
        <w:t xml:space="preserve">  </w:t>
      </w:r>
      <w:bookmarkEnd w:id="5"/>
      <w:r w:rsidR="0070081B">
        <w:t>Application</w:t>
      </w:r>
      <w:bookmarkEnd w:id="7"/>
      <w:proofErr w:type="gramEnd"/>
    </w:p>
    <w:p w:rsidR="00847FDF" w:rsidRDefault="0070081B" w:rsidP="0070081B">
      <w:pPr>
        <w:pStyle w:val="subsection"/>
        <w:rPr>
          <w:szCs w:val="24"/>
          <w:lang w:val="en"/>
        </w:rPr>
      </w:pPr>
      <w:r w:rsidRPr="006065DA">
        <w:tab/>
      </w:r>
      <w:r w:rsidR="00847FDF">
        <w:t>(1)</w:t>
      </w:r>
      <w:r w:rsidRPr="006065DA">
        <w:tab/>
      </w:r>
      <w:r w:rsidR="00847FDF">
        <w:t>Subject to subsection (2), t</w:t>
      </w:r>
      <w:r w:rsidRPr="0070081B">
        <w:t xml:space="preserve">his </w:t>
      </w:r>
      <w:r w:rsidR="00847FDF">
        <w:t>instrument</w:t>
      </w:r>
      <w:r w:rsidR="00847FDF" w:rsidRPr="0070081B">
        <w:t xml:space="preserve"> </w:t>
      </w:r>
      <w:r w:rsidR="00847FDF">
        <w:t xml:space="preserve">applies to therapeutic goods that are </w:t>
      </w:r>
      <w:r w:rsidRPr="0070081B">
        <w:rPr>
          <w:szCs w:val="24"/>
          <w:lang w:val="en"/>
        </w:rPr>
        <w:t>blood and blood components</w:t>
      </w:r>
      <w:r w:rsidR="00847FDF">
        <w:rPr>
          <w:szCs w:val="24"/>
          <w:lang w:val="en"/>
        </w:rPr>
        <w:t>.</w:t>
      </w:r>
    </w:p>
    <w:p w:rsidR="0070081B" w:rsidRPr="0070081B" w:rsidRDefault="00847FDF" w:rsidP="0070081B">
      <w:pPr>
        <w:pStyle w:val="subsection"/>
      </w:pPr>
      <w:r>
        <w:rPr>
          <w:szCs w:val="24"/>
          <w:lang w:val="en"/>
        </w:rPr>
        <w:tab/>
        <w:t>(2)</w:t>
      </w:r>
      <w:r>
        <w:rPr>
          <w:szCs w:val="24"/>
          <w:lang w:val="en"/>
        </w:rPr>
        <w:tab/>
        <w:t>This instrument does not apply to therapeutic goods</w:t>
      </w:r>
      <w:r w:rsidR="0070081B" w:rsidRPr="0070081B">
        <w:rPr>
          <w:szCs w:val="24"/>
          <w:lang w:val="en"/>
        </w:rPr>
        <w:t xml:space="preserve"> that are:</w:t>
      </w:r>
    </w:p>
    <w:p w:rsidR="0070081B" w:rsidRPr="0070081B" w:rsidRDefault="0070081B" w:rsidP="0070081B">
      <w:pPr>
        <w:pStyle w:val="paragraph"/>
      </w:pPr>
      <w:r w:rsidRPr="0070081B">
        <w:tab/>
        <w:t>(a)</w:t>
      </w:r>
      <w:r w:rsidRPr="0070081B">
        <w:tab/>
      </w:r>
      <w:r w:rsidRPr="0070081B">
        <w:rPr>
          <w:szCs w:val="24"/>
          <w:lang w:val="en"/>
        </w:rPr>
        <w:t>collected by a medical practitioner, registered under a law of a State or Territory, or a person under the professional supervision of such a practitioner, in the course of medical treatment and for the purposes of diagnosis of, and testing for, a medical condition;</w:t>
      </w:r>
    </w:p>
    <w:p w:rsidR="0070081B" w:rsidRPr="0070081B" w:rsidRDefault="0070081B" w:rsidP="0070081B">
      <w:pPr>
        <w:pStyle w:val="paragraph"/>
      </w:pPr>
      <w:r w:rsidRPr="0070081B">
        <w:tab/>
        <w:t>(b)</w:t>
      </w:r>
      <w:r w:rsidRPr="0070081B">
        <w:tab/>
      </w:r>
      <w:r w:rsidRPr="0070081B">
        <w:rPr>
          <w:szCs w:val="24"/>
          <w:lang w:val="en"/>
        </w:rPr>
        <w:t>manufactured by a medical practitioner, registered under a law of a State or Territory, or a person under the professional supervision of such a practitioner, for therapeutic application to a patient under the practitioner’s care</w:t>
      </w:r>
      <w:r w:rsidRPr="0070081B">
        <w:t xml:space="preserve">; </w:t>
      </w:r>
      <w:r w:rsidR="008905B9">
        <w:t>or</w:t>
      </w:r>
    </w:p>
    <w:p w:rsidR="0070081B" w:rsidRPr="0070081B" w:rsidRDefault="0070081B" w:rsidP="0070081B">
      <w:pPr>
        <w:pStyle w:val="paragraph"/>
      </w:pPr>
      <w:r w:rsidRPr="0070081B">
        <w:tab/>
        <w:t>(c)</w:t>
      </w:r>
      <w:r w:rsidRPr="0070081B">
        <w:tab/>
      </w:r>
      <w:r w:rsidRPr="0070081B">
        <w:rPr>
          <w:szCs w:val="24"/>
          <w:lang w:val="en"/>
        </w:rPr>
        <w:t>manufactured by a blood donation</w:t>
      </w:r>
      <w:r w:rsidRPr="00E96E3D">
        <w:rPr>
          <w:szCs w:val="24"/>
        </w:rPr>
        <w:t xml:space="preserve"> centre</w:t>
      </w:r>
      <w:r w:rsidRPr="0070081B">
        <w:rPr>
          <w:szCs w:val="24"/>
          <w:lang w:val="en"/>
        </w:rPr>
        <w:t xml:space="preserve"> for a medical practitioner</w:t>
      </w:r>
      <w:r w:rsidR="002B5836">
        <w:rPr>
          <w:szCs w:val="24"/>
          <w:lang w:val="en"/>
        </w:rPr>
        <w:t>,</w:t>
      </w:r>
      <w:r w:rsidRPr="0070081B">
        <w:rPr>
          <w:szCs w:val="24"/>
          <w:lang w:val="en"/>
        </w:rPr>
        <w:t xml:space="preserve"> registered under a law of a State or Territory, for therapeutic application to a particular patient under the practitioner’s care.</w:t>
      </w:r>
    </w:p>
    <w:p w:rsidR="00554826" w:rsidRPr="007A2228" w:rsidRDefault="001670DA" w:rsidP="00554826">
      <w:pPr>
        <w:pStyle w:val="ActHead5"/>
      </w:pPr>
      <w:bookmarkStart w:id="8" w:name="_Toc4168557"/>
      <w:r>
        <w:t>7</w:t>
      </w:r>
      <w:r w:rsidR="00554826" w:rsidRPr="007A2228">
        <w:t xml:space="preserve">  </w:t>
      </w:r>
      <w:r w:rsidR="00E96E3D">
        <w:t>R</w:t>
      </w:r>
      <w:r w:rsidR="007A2228" w:rsidRPr="007A2228">
        <w:t>equirements</w:t>
      </w:r>
      <w:bookmarkEnd w:id="8"/>
    </w:p>
    <w:p w:rsidR="00544308" w:rsidRDefault="00544308" w:rsidP="00617C65">
      <w:pPr>
        <w:pStyle w:val="subsection"/>
        <w:keepNext/>
      </w:pPr>
      <w:r>
        <w:tab/>
      </w:r>
      <w:r w:rsidR="008D1376">
        <w:t>(1)</w:t>
      </w:r>
      <w:r>
        <w:tab/>
        <w:t>T</w:t>
      </w:r>
      <w:r w:rsidRPr="002D6AA5">
        <w:t>he</w:t>
      </w:r>
      <w:r>
        <w:t xml:space="preserve"> requirements in relation to </w:t>
      </w:r>
      <w:r w:rsidRPr="00F9750E">
        <w:t xml:space="preserve">blood </w:t>
      </w:r>
      <w:r w:rsidR="002A4E36">
        <w:t>and</w:t>
      </w:r>
      <w:r w:rsidRPr="00F9750E">
        <w:t xml:space="preserve"> blood components are:</w:t>
      </w:r>
    </w:p>
    <w:p w:rsidR="00DA0B40" w:rsidRDefault="00554826" w:rsidP="00F9750E">
      <w:pPr>
        <w:pStyle w:val="paragraph"/>
      </w:pPr>
      <w:r w:rsidRPr="007A2228">
        <w:tab/>
      </w:r>
      <w:r w:rsidR="00544308">
        <w:t>(a)</w:t>
      </w:r>
      <w:r w:rsidRPr="007A2228">
        <w:tab/>
      </w:r>
      <w:r w:rsidR="008D1376">
        <w:t xml:space="preserve">subject to subsection (2), </w:t>
      </w:r>
      <w:r w:rsidR="00ED55EE" w:rsidRPr="00F9750E">
        <w:t>those</w:t>
      </w:r>
      <w:r w:rsidR="007A2228" w:rsidRPr="00F9750E">
        <w:t xml:space="preserve"> requirements </w:t>
      </w:r>
      <w:r w:rsidR="00ED55EE" w:rsidRPr="00F9750E">
        <w:t>specified</w:t>
      </w:r>
      <w:r w:rsidR="00DD3A33" w:rsidRPr="00F9750E">
        <w:t xml:space="preserve"> in </w:t>
      </w:r>
      <w:r w:rsidR="007A2228" w:rsidRPr="00F9750E">
        <w:t xml:space="preserve">the </w:t>
      </w:r>
      <w:r w:rsidR="008905B9" w:rsidRPr="00F9750E">
        <w:t>Guide</w:t>
      </w:r>
      <w:r w:rsidR="008D1376">
        <w:t>;</w:t>
      </w:r>
      <w:r w:rsidR="00DA0B40">
        <w:t xml:space="preserve"> and</w:t>
      </w:r>
    </w:p>
    <w:p w:rsidR="00DA0B40" w:rsidRDefault="00DA0B40" w:rsidP="00DA0B40">
      <w:pPr>
        <w:pStyle w:val="paragraph"/>
      </w:pPr>
      <w:r w:rsidRPr="007A2228">
        <w:tab/>
      </w:r>
      <w:r>
        <w:t>(b)</w:t>
      </w:r>
      <w:r w:rsidRPr="007A2228">
        <w:tab/>
      </w:r>
      <w:r w:rsidRPr="00A63532">
        <w:t xml:space="preserve">those requirements specified in </w:t>
      </w:r>
      <w:r>
        <w:t>subsection</w:t>
      </w:r>
      <w:r w:rsidR="001670DA">
        <w:t>s</w:t>
      </w:r>
      <w:r>
        <w:t xml:space="preserve"> (3)</w:t>
      </w:r>
      <w:r w:rsidR="00164624">
        <w:t xml:space="preserve"> and (</w:t>
      </w:r>
      <w:r w:rsidR="00435F43">
        <w:t>4</w:t>
      </w:r>
      <w:r w:rsidR="001670DA">
        <w:t>)</w:t>
      </w:r>
      <w:r>
        <w:t>.</w:t>
      </w:r>
    </w:p>
    <w:p w:rsidR="00941698" w:rsidRPr="007A2228" w:rsidRDefault="007A2228" w:rsidP="00617C65">
      <w:pPr>
        <w:pStyle w:val="subsection"/>
        <w:keepNext/>
      </w:pPr>
      <w:r w:rsidRPr="007A2228">
        <w:lastRenderedPageBreak/>
        <w:tab/>
        <w:t>(</w:t>
      </w:r>
      <w:r w:rsidR="00725C31">
        <w:t>2</w:t>
      </w:r>
      <w:r w:rsidRPr="007A2228">
        <w:t>)</w:t>
      </w:r>
      <w:r w:rsidRPr="007A2228">
        <w:tab/>
      </w:r>
      <w:r w:rsidR="00725C31">
        <w:t>T</w:t>
      </w:r>
      <w:r w:rsidRPr="00F9750E">
        <w:t xml:space="preserve">he reference to </w:t>
      </w:r>
      <w:r w:rsidR="00712767">
        <w:t>‘</w:t>
      </w:r>
      <w:r w:rsidRPr="00F9750E">
        <w:t>tropical areas</w:t>
      </w:r>
      <w:r w:rsidR="00712767">
        <w:t>’</w:t>
      </w:r>
      <w:r w:rsidRPr="00F9750E">
        <w:t xml:space="preserve"> </w:t>
      </w:r>
      <w:r w:rsidR="00873D9F">
        <w:t>in relation to the deferral period for</w:t>
      </w:r>
      <w:r w:rsidR="00873D9F" w:rsidRPr="00F9750E">
        <w:t xml:space="preserve"> </w:t>
      </w:r>
      <w:r w:rsidRPr="00F9750E">
        <w:t xml:space="preserve">the </w:t>
      </w:r>
      <w:r w:rsidR="00873D9F">
        <w:t>condition</w:t>
      </w:r>
      <w:r w:rsidR="00873D9F" w:rsidRPr="00F9750E">
        <w:t xml:space="preserve"> </w:t>
      </w:r>
      <w:r w:rsidRPr="00F9750E">
        <w:rPr>
          <w:i/>
        </w:rPr>
        <w:t xml:space="preserve">Tropical </w:t>
      </w:r>
      <w:r w:rsidR="00873D9F">
        <w:rPr>
          <w:i/>
        </w:rPr>
        <w:t xml:space="preserve">infections </w:t>
      </w:r>
      <w:r w:rsidR="00873D9F">
        <w:t xml:space="preserve">in Table 2.2. </w:t>
      </w:r>
      <w:r w:rsidR="00873D9F" w:rsidRPr="00617C65">
        <w:rPr>
          <w:i/>
        </w:rPr>
        <w:t>Conditions leading to temporary deferral (suspension)</w:t>
      </w:r>
      <w:r w:rsidR="00873D9F">
        <w:t xml:space="preserve"> </w:t>
      </w:r>
      <w:r w:rsidRPr="00F9750E">
        <w:t>on page </w:t>
      </w:r>
      <w:r w:rsidR="00B52401" w:rsidRPr="00F9750E">
        <w:t>25</w:t>
      </w:r>
      <w:r w:rsidR="00E20570" w:rsidRPr="00F9750E">
        <w:t>3</w:t>
      </w:r>
      <w:r w:rsidR="00B52401" w:rsidRPr="00F9750E">
        <w:t xml:space="preserve"> </w:t>
      </w:r>
      <w:r w:rsidR="00725C31">
        <w:t>of the Guide</w:t>
      </w:r>
      <w:r w:rsidR="00544308">
        <w:t xml:space="preserve"> is to</w:t>
      </w:r>
      <w:r w:rsidRPr="00F9750E">
        <w:t xml:space="preserve"> be taken </w:t>
      </w:r>
      <w:r w:rsidR="00000E95" w:rsidRPr="00F9750E">
        <w:t xml:space="preserve">not </w:t>
      </w:r>
      <w:r w:rsidR="009477F4">
        <w:t xml:space="preserve">to </w:t>
      </w:r>
      <w:r w:rsidRPr="00F9750E">
        <w:t>include areas within Australia</w:t>
      </w:r>
      <w:r w:rsidR="00FD557B">
        <w:t>.</w:t>
      </w:r>
    </w:p>
    <w:p w:rsidR="00941698" w:rsidRPr="00B9705E" w:rsidRDefault="00941698" w:rsidP="00941698">
      <w:pPr>
        <w:pStyle w:val="Definition"/>
        <w:ind w:left="2154" w:hanging="1020"/>
        <w:rPr>
          <w:sz w:val="18"/>
          <w:szCs w:val="18"/>
          <w:lang w:val="en"/>
        </w:rPr>
      </w:pPr>
      <w:r w:rsidRPr="00B9705E">
        <w:rPr>
          <w:sz w:val="18"/>
          <w:szCs w:val="18"/>
          <w:lang w:val="en"/>
        </w:rPr>
        <w:t>Note:</w:t>
      </w:r>
      <w:r w:rsidRPr="00B9705E">
        <w:rPr>
          <w:sz w:val="18"/>
          <w:szCs w:val="18"/>
          <w:lang w:val="en"/>
        </w:rPr>
        <w:tab/>
      </w:r>
      <w:r>
        <w:rPr>
          <w:sz w:val="18"/>
          <w:szCs w:val="18"/>
          <w:lang w:val="en"/>
        </w:rPr>
        <w:t xml:space="preserve">For the definition of </w:t>
      </w:r>
      <w:r w:rsidRPr="00F9750E">
        <w:rPr>
          <w:b/>
          <w:i/>
          <w:sz w:val="18"/>
          <w:szCs w:val="18"/>
          <w:lang w:val="en"/>
        </w:rPr>
        <w:t>Guide</w:t>
      </w:r>
      <w:r w:rsidR="00F57AE3">
        <w:rPr>
          <w:b/>
          <w:i/>
          <w:sz w:val="18"/>
          <w:szCs w:val="18"/>
          <w:lang w:val="en"/>
        </w:rPr>
        <w:t>,</w:t>
      </w:r>
      <w:r w:rsidRPr="00B9705E">
        <w:rPr>
          <w:sz w:val="18"/>
          <w:szCs w:val="18"/>
          <w:lang w:val="en"/>
        </w:rPr>
        <w:t xml:space="preserve"> </w:t>
      </w:r>
      <w:r>
        <w:rPr>
          <w:sz w:val="18"/>
          <w:szCs w:val="18"/>
          <w:lang w:val="en"/>
        </w:rPr>
        <w:t>see section 4</w:t>
      </w:r>
      <w:r w:rsidR="00F57AE3">
        <w:rPr>
          <w:sz w:val="18"/>
          <w:szCs w:val="18"/>
          <w:lang w:val="en"/>
        </w:rPr>
        <w:t>.</w:t>
      </w:r>
    </w:p>
    <w:p w:rsidR="00A4471A" w:rsidRDefault="00953C89" w:rsidP="00F9750E">
      <w:pPr>
        <w:pStyle w:val="subsection"/>
      </w:pPr>
      <w:r>
        <w:tab/>
      </w:r>
      <w:r w:rsidR="00554826" w:rsidRPr="007A2228">
        <w:t>(</w:t>
      </w:r>
      <w:r w:rsidR="00A4471A">
        <w:t>3</w:t>
      </w:r>
      <w:r w:rsidR="00554826" w:rsidRPr="007A2228">
        <w:t>)</w:t>
      </w:r>
      <w:r w:rsidR="00554826" w:rsidRPr="007A2228">
        <w:tab/>
      </w:r>
      <w:r w:rsidR="007A2228" w:rsidRPr="00F9750E">
        <w:t>Blood and blood components must only be manufactured from blood</w:t>
      </w:r>
      <w:r w:rsidR="00164624">
        <w:t xml:space="preserve"> where samples of that blood</w:t>
      </w:r>
      <w:r w:rsidR="007A2228" w:rsidRPr="00F9750E">
        <w:t xml:space="preserve"> test negative for</w:t>
      </w:r>
      <w:r w:rsidR="00931D11" w:rsidRPr="00F9750E">
        <w:t xml:space="preserve"> HBV</w:t>
      </w:r>
      <w:r w:rsidR="001670DA">
        <w:t>,</w:t>
      </w:r>
      <w:r w:rsidR="007A2228" w:rsidRPr="00F9750E">
        <w:t xml:space="preserve"> HCV</w:t>
      </w:r>
      <w:r w:rsidR="001670DA">
        <w:t xml:space="preserve"> and</w:t>
      </w:r>
      <w:r w:rsidR="001670DA" w:rsidRPr="001670DA">
        <w:t xml:space="preserve"> </w:t>
      </w:r>
      <w:r w:rsidR="001670DA" w:rsidRPr="00F9750E">
        <w:t>HIV-1</w:t>
      </w:r>
      <w:r w:rsidR="00000E95" w:rsidRPr="00F9750E">
        <w:t>,</w:t>
      </w:r>
      <w:r w:rsidR="007A2228" w:rsidRPr="00F9750E">
        <w:t xml:space="preserve"> using </w:t>
      </w:r>
    </w:p>
    <w:p w:rsidR="00953C89" w:rsidRDefault="007A2228" w:rsidP="000731B9">
      <w:pPr>
        <w:pStyle w:val="paragraph"/>
        <w:ind w:left="1134" w:firstLine="0"/>
      </w:pPr>
      <w:r w:rsidRPr="00F9750E">
        <w:t>nucleic acid amplification technology</w:t>
      </w:r>
      <w:r w:rsidR="00953C89">
        <w:t>.</w:t>
      </w:r>
    </w:p>
    <w:p w:rsidR="00DA0B40" w:rsidRDefault="00953C89" w:rsidP="007A2228">
      <w:pPr>
        <w:pStyle w:val="subsection"/>
        <w:rPr>
          <w:szCs w:val="24"/>
          <w:lang w:val="en"/>
        </w:rPr>
      </w:pPr>
      <w:r>
        <w:tab/>
      </w:r>
      <w:r w:rsidR="00554826" w:rsidRPr="007A2228">
        <w:t>(</w:t>
      </w:r>
      <w:r w:rsidR="00A4471A">
        <w:t>4</w:t>
      </w:r>
      <w:r w:rsidR="00554826" w:rsidRPr="007A2228">
        <w:t>)</w:t>
      </w:r>
      <w:r w:rsidR="00554826" w:rsidRPr="007A2228">
        <w:tab/>
      </w:r>
      <w:r w:rsidR="007A2228" w:rsidRPr="007A2228">
        <w:rPr>
          <w:szCs w:val="24"/>
          <w:lang w:val="en"/>
        </w:rPr>
        <w:t>Blood and blood components must not be manufactured from</w:t>
      </w:r>
      <w:r w:rsidR="00DA0B40">
        <w:rPr>
          <w:szCs w:val="24"/>
          <w:lang w:val="en"/>
        </w:rPr>
        <w:t xml:space="preserve"> a</w:t>
      </w:r>
      <w:r w:rsidR="007A2228" w:rsidRPr="007A2228">
        <w:rPr>
          <w:szCs w:val="24"/>
          <w:lang w:val="en"/>
        </w:rPr>
        <w:t xml:space="preserve"> donor</w:t>
      </w:r>
      <w:r w:rsidR="006856C8">
        <w:rPr>
          <w:szCs w:val="24"/>
          <w:lang w:val="en"/>
        </w:rPr>
        <w:t>:</w:t>
      </w:r>
    </w:p>
    <w:p w:rsidR="007A2228" w:rsidRPr="007A2228" w:rsidRDefault="00DA0B40" w:rsidP="00F9750E">
      <w:pPr>
        <w:pStyle w:val="paragraph"/>
      </w:pPr>
      <w:r>
        <w:tab/>
        <w:t>(a)</w:t>
      </w:r>
      <w:r>
        <w:tab/>
      </w:r>
      <w:r w:rsidR="007A2228" w:rsidRPr="00F9750E">
        <w:t>who lived in</w:t>
      </w:r>
      <w:r w:rsidR="009477F4">
        <w:t>,</w:t>
      </w:r>
      <w:r w:rsidR="007A2228" w:rsidRPr="00F9750E">
        <w:t xml:space="preserve"> or visited</w:t>
      </w:r>
      <w:r w:rsidR="009477F4">
        <w:t>,</w:t>
      </w:r>
      <w:r w:rsidR="007A2228" w:rsidRPr="00F9750E">
        <w:t xml:space="preserve"> England, Scotland, Wales, Northern Ireland or the Isle of Man for a cumulative period of </w:t>
      </w:r>
      <w:r w:rsidR="0063187E">
        <w:t>6</w:t>
      </w:r>
      <w:r w:rsidR="0063187E" w:rsidRPr="00F9750E">
        <w:t xml:space="preserve"> </w:t>
      </w:r>
      <w:r w:rsidR="007A2228" w:rsidRPr="00F9750E">
        <w:t xml:space="preserve">months or more, </w:t>
      </w:r>
      <w:r w:rsidR="00594ACC" w:rsidRPr="00F9750E">
        <w:t xml:space="preserve">at any time on or </w:t>
      </w:r>
      <w:r w:rsidR="007A2228" w:rsidRPr="00F9750E">
        <w:t>between 1 January 1980 and 31 December 1996</w:t>
      </w:r>
      <w:r>
        <w:t>; or</w:t>
      </w:r>
    </w:p>
    <w:p w:rsidR="007A2228" w:rsidRPr="007A2228" w:rsidRDefault="007A2228" w:rsidP="00F9750E">
      <w:pPr>
        <w:pStyle w:val="paragraph"/>
      </w:pPr>
      <w:r w:rsidRPr="007A2228">
        <w:tab/>
        <w:t>(</w:t>
      </w:r>
      <w:r w:rsidR="00A54BD9">
        <w:t>b</w:t>
      </w:r>
      <w:r w:rsidRPr="007A2228">
        <w:t>)</w:t>
      </w:r>
      <w:r w:rsidRPr="007A2228">
        <w:tab/>
      </w:r>
      <w:r w:rsidRPr="00F9750E">
        <w:t>who received a transfusion or injection of blood or blood products while in England, Scotland, Wales, Northern Island or the Isle of Man</w:t>
      </w:r>
      <w:r w:rsidR="00594ACC" w:rsidRPr="00F9750E">
        <w:t>,</w:t>
      </w:r>
      <w:r w:rsidRPr="00F9750E">
        <w:t xml:space="preserve"> </w:t>
      </w:r>
      <w:r w:rsidR="00594ACC" w:rsidRPr="00F9750E">
        <w:t>at any time on or after</w:t>
      </w:r>
      <w:r w:rsidRPr="00F9750E">
        <w:t xml:space="preserve"> 1 January 1980.</w:t>
      </w:r>
    </w:p>
    <w:p w:rsidR="003929CC" w:rsidRPr="00554826" w:rsidRDefault="001670DA" w:rsidP="003929CC">
      <w:pPr>
        <w:pStyle w:val="ActHead5"/>
      </w:pPr>
      <w:bookmarkStart w:id="9" w:name="_Toc4168558"/>
      <w:r>
        <w:t>8</w:t>
      </w:r>
      <w:r w:rsidR="003929CC" w:rsidRPr="00554826">
        <w:t xml:space="preserve">  </w:t>
      </w:r>
      <w:r w:rsidR="003929CC">
        <w:t>Transitional arrangements</w:t>
      </w:r>
      <w:bookmarkEnd w:id="9"/>
    </w:p>
    <w:p w:rsidR="003929CC" w:rsidRDefault="00145A4D" w:rsidP="003929CC">
      <w:pPr>
        <w:pStyle w:val="subsection"/>
      </w:pPr>
      <w:r>
        <w:tab/>
        <w:t>(1)</w:t>
      </w:r>
      <w:r>
        <w:tab/>
        <w:t>In this section</w:t>
      </w:r>
      <w:r w:rsidR="00D17771">
        <w:t>:</w:t>
      </w:r>
    </w:p>
    <w:p w:rsidR="00145A4D" w:rsidRDefault="00145A4D" w:rsidP="003929CC">
      <w:pPr>
        <w:pStyle w:val="subsection"/>
      </w:pPr>
      <w:r>
        <w:tab/>
      </w:r>
      <w:r>
        <w:tab/>
      </w:r>
      <w:r w:rsidRPr="00617C65">
        <w:rPr>
          <w:b/>
          <w:i/>
        </w:rPr>
        <w:t>former instrument</w:t>
      </w:r>
      <w:r>
        <w:t xml:space="preserve"> means</w:t>
      </w:r>
      <w:r w:rsidR="00D17771">
        <w:t xml:space="preserve"> the</w:t>
      </w:r>
      <w:r>
        <w:t xml:space="preserve"> </w:t>
      </w:r>
      <w:r w:rsidRPr="00617C65">
        <w:t>Therapeutic Goods Order No.</w:t>
      </w:r>
      <w:r w:rsidR="000F1E7F" w:rsidRPr="00617C65">
        <w:t xml:space="preserve"> </w:t>
      </w:r>
      <w:r w:rsidRPr="00617C65">
        <w:t>81 – Standards for Blood and Blood Components</w:t>
      </w:r>
      <w:r>
        <w:t>, as in force immediately before the commencement of this instrument.</w:t>
      </w:r>
    </w:p>
    <w:p w:rsidR="00145A4D" w:rsidRDefault="00145A4D" w:rsidP="003929CC">
      <w:pPr>
        <w:pStyle w:val="subsection"/>
      </w:pPr>
      <w:r>
        <w:tab/>
      </w:r>
      <w:r>
        <w:tab/>
      </w:r>
      <w:r w:rsidRPr="00617C65">
        <w:rPr>
          <w:b/>
          <w:i/>
        </w:rPr>
        <w:t>transition period</w:t>
      </w:r>
      <w:r>
        <w:t xml:space="preserve"> means the period </w:t>
      </w:r>
      <w:r w:rsidR="00D17771">
        <w:t xml:space="preserve">beginning on </w:t>
      </w:r>
      <w:r w:rsidR="001677B8">
        <w:t xml:space="preserve">31 March 2019 </w:t>
      </w:r>
      <w:r w:rsidR="00D17771">
        <w:t>and ending on</w:t>
      </w:r>
      <w:r w:rsidR="001677B8">
        <w:t xml:space="preserve"> 30 March</w:t>
      </w:r>
      <w:r>
        <w:t xml:space="preserve"> 2020.</w:t>
      </w:r>
    </w:p>
    <w:p w:rsidR="00145A4D" w:rsidRDefault="00145A4D" w:rsidP="003929CC">
      <w:pPr>
        <w:pStyle w:val="subsection"/>
      </w:pPr>
      <w:r>
        <w:tab/>
        <w:t>(2)</w:t>
      </w:r>
      <w:r>
        <w:tab/>
        <w:t xml:space="preserve">Despite the repeal of the former instrument by section </w:t>
      </w:r>
      <w:r w:rsidR="001670DA">
        <w:t>9</w:t>
      </w:r>
      <w:r w:rsidR="00D17771">
        <w:t xml:space="preserve"> of this instrument</w:t>
      </w:r>
      <w:r>
        <w:t>, the former instrument continues to apply for the duration of the transition period</w:t>
      </w:r>
      <w:r w:rsidR="00D17771">
        <w:t xml:space="preserve">, such that the standard for blood and blood components constituted by the former instrument may be </w:t>
      </w:r>
      <w:r w:rsidR="001F0CAB">
        <w:t>conformed with</w:t>
      </w:r>
      <w:r w:rsidR="00D17771">
        <w:t xml:space="preserve"> as an alternative to the standard for blood and blood components constituted by this instrument</w:t>
      </w:r>
      <w:r>
        <w:t>.</w:t>
      </w:r>
    </w:p>
    <w:p w:rsidR="00D462F4" w:rsidRPr="00554826" w:rsidRDefault="001670DA" w:rsidP="00D462F4">
      <w:pPr>
        <w:pStyle w:val="ActHead5"/>
      </w:pPr>
      <w:bookmarkStart w:id="10" w:name="_Toc3971666"/>
      <w:bookmarkStart w:id="11" w:name="_Toc4168559"/>
      <w:r>
        <w:t>9</w:t>
      </w:r>
      <w:r w:rsidR="00D462F4" w:rsidRPr="00554826">
        <w:t xml:space="preserve">  </w:t>
      </w:r>
      <w:r w:rsidR="00D462F4">
        <w:t>Repeals</w:t>
      </w:r>
      <w:bookmarkStart w:id="12" w:name="_GoBack"/>
      <w:bookmarkEnd w:id="10"/>
      <w:bookmarkEnd w:id="11"/>
      <w:bookmarkEnd w:id="12"/>
    </w:p>
    <w:p w:rsidR="007858FF" w:rsidRDefault="00D462F4" w:rsidP="00F9750E">
      <w:pPr>
        <w:pStyle w:val="subsection"/>
      </w:pPr>
      <w:r w:rsidRPr="006065DA">
        <w:tab/>
      </w:r>
      <w:r w:rsidRPr="006065DA">
        <w:tab/>
      </w:r>
      <w:r w:rsidR="00DD3A33">
        <w:t>Each</w:t>
      </w:r>
      <w:r>
        <w:t xml:space="preserve"> instrument</w:t>
      </w:r>
      <w:r w:rsidR="00DD3A33">
        <w:t xml:space="preserve"> that is</w:t>
      </w:r>
      <w:r>
        <w:t xml:space="preserve"> specified in Schedule </w:t>
      </w:r>
      <w:r w:rsidR="00004013">
        <w:t xml:space="preserve">1 </w:t>
      </w:r>
      <w:r w:rsidR="00DD3A33">
        <w:t>to this instrument is</w:t>
      </w:r>
      <w:r w:rsidR="00145A4D">
        <w:t xml:space="preserve"> </w:t>
      </w:r>
      <w:r>
        <w:t>repealed</w:t>
      </w:r>
      <w:r w:rsidR="00DD3A33">
        <w:t xml:space="preserve"> as set out in the applicable items in th</w:t>
      </w:r>
      <w:r w:rsidR="00004013">
        <w:t>at</w:t>
      </w:r>
      <w:r w:rsidR="00DD3A33">
        <w:t xml:space="preserve"> Schedule</w:t>
      </w:r>
      <w:r>
        <w:t>.</w:t>
      </w:r>
    </w:p>
    <w:p w:rsidR="00004013" w:rsidRDefault="001670DA" w:rsidP="00004013">
      <w:pPr>
        <w:pStyle w:val="ActHead5"/>
      </w:pPr>
      <w:bookmarkStart w:id="13" w:name="_Toc3383922"/>
      <w:bookmarkStart w:id="14" w:name="_Toc3971667"/>
      <w:bookmarkStart w:id="15" w:name="_Toc4168560"/>
      <w:r>
        <w:t>10</w:t>
      </w:r>
      <w:r w:rsidR="00004013" w:rsidRPr="00554826">
        <w:t xml:space="preserve"> </w:t>
      </w:r>
      <w:r w:rsidR="00004013" w:rsidRPr="00141A69">
        <w:t xml:space="preserve"> </w:t>
      </w:r>
      <w:r>
        <w:t>Consequential a</w:t>
      </w:r>
      <w:r w:rsidR="00004013">
        <w:t>mendments</w:t>
      </w:r>
      <w:bookmarkEnd w:id="13"/>
      <w:bookmarkEnd w:id="14"/>
      <w:bookmarkEnd w:id="15"/>
    </w:p>
    <w:p w:rsidR="00004013" w:rsidRPr="004F08F5" w:rsidRDefault="00004013" w:rsidP="00004013">
      <w:pPr>
        <w:pStyle w:val="subsection"/>
      </w:pPr>
      <w:r>
        <w:tab/>
      </w:r>
      <w:r>
        <w:tab/>
      </w:r>
      <w:r w:rsidRPr="0086151F">
        <w:t>Each instrumen</w:t>
      </w:r>
      <w:r>
        <w:t>t that is specified in Schedule 2</w:t>
      </w:r>
      <w:r w:rsidRPr="0086151F">
        <w:t xml:space="preserve"> to this instrument is </w:t>
      </w:r>
      <w:r>
        <w:t>amended</w:t>
      </w:r>
      <w:r w:rsidRPr="0086151F">
        <w:t xml:space="preserve"> as set out in th</w:t>
      </w:r>
      <w:r>
        <w:t>e applicable items in that</w:t>
      </w:r>
      <w:r w:rsidRPr="0086151F">
        <w:t xml:space="preserve"> Schedule</w:t>
      </w:r>
      <w:r>
        <w:t>.</w:t>
      </w:r>
    </w:p>
    <w:p w:rsidR="007858FF" w:rsidRDefault="007858FF">
      <w:pPr>
        <w:spacing w:line="240" w:lineRule="auto"/>
        <w:rPr>
          <w:rFonts w:eastAsia="Times New Roman" w:cs="Times New Roman"/>
          <w:sz w:val="24"/>
          <w:lang w:eastAsia="en-AU"/>
        </w:rPr>
      </w:pPr>
      <w:r>
        <w:br w:type="page"/>
      </w:r>
    </w:p>
    <w:p w:rsidR="007858FF" w:rsidRDefault="007858FF" w:rsidP="007858FF">
      <w:pPr>
        <w:pStyle w:val="ActHead6"/>
      </w:pPr>
      <w:bookmarkStart w:id="16" w:name="_Toc454512518"/>
      <w:bookmarkStart w:id="17" w:name="_Toc3971668"/>
      <w:bookmarkStart w:id="18" w:name="_Toc4168561"/>
      <w:r>
        <w:lastRenderedPageBreak/>
        <w:t xml:space="preserve">Schedule </w:t>
      </w:r>
      <w:r w:rsidRPr="004E1307">
        <w:t>1—Repeals</w:t>
      </w:r>
      <w:bookmarkEnd w:id="16"/>
      <w:bookmarkEnd w:id="17"/>
      <w:bookmarkEnd w:id="18"/>
    </w:p>
    <w:p w:rsidR="00953C89" w:rsidRPr="000F1E7F" w:rsidRDefault="00953C89" w:rsidP="00617C65">
      <w:pPr>
        <w:pStyle w:val="notemargin"/>
      </w:pPr>
      <w:r w:rsidRPr="000F1E7F">
        <w:t>Note:</w:t>
      </w:r>
      <w:r w:rsidRPr="000F1E7F">
        <w:tab/>
        <w:t>See s</w:t>
      </w:r>
      <w:r w:rsidR="003929CC" w:rsidRPr="000F1E7F">
        <w:t xml:space="preserve">ection </w:t>
      </w:r>
      <w:r w:rsidR="00123F89" w:rsidRPr="000F1E7F">
        <w:t>9</w:t>
      </w:r>
      <w:r w:rsidR="00123F89">
        <w:t>.</w:t>
      </w:r>
    </w:p>
    <w:p w:rsidR="007858FF" w:rsidRPr="00617C65" w:rsidRDefault="00953C89" w:rsidP="00F9750E">
      <w:pPr>
        <w:pStyle w:val="ActHead9"/>
        <w:ind w:left="0" w:firstLine="0"/>
        <w:rPr>
          <w:i w:val="0"/>
        </w:rPr>
      </w:pPr>
      <w:bookmarkStart w:id="19" w:name="_Toc3971669"/>
      <w:bookmarkStart w:id="20" w:name="_Toc4168562"/>
      <w:r w:rsidRPr="00617C65">
        <w:rPr>
          <w:i w:val="0"/>
          <w:noProof/>
        </w:rPr>
        <w:t>Therapeutic Goods Order No 81 Standards for Blood and Blood Components</w:t>
      </w:r>
      <w:bookmarkEnd w:id="19"/>
      <w:bookmarkEnd w:id="20"/>
    </w:p>
    <w:p w:rsidR="007858FF" w:rsidRDefault="007858FF" w:rsidP="007858FF">
      <w:pPr>
        <w:pStyle w:val="ItemHead"/>
      </w:pPr>
      <w:r w:rsidRPr="00B1728A">
        <w:t xml:space="preserve">1  </w:t>
      </w:r>
      <w:r>
        <w:t>The whole of the instrument</w:t>
      </w:r>
    </w:p>
    <w:p w:rsidR="007858FF" w:rsidRDefault="007858FF" w:rsidP="007858FF">
      <w:pPr>
        <w:pStyle w:val="Item"/>
      </w:pPr>
      <w:r>
        <w:t>Repeal the instrument</w:t>
      </w:r>
      <w:r w:rsidR="00DD3A33">
        <w:t>.</w:t>
      </w:r>
    </w:p>
    <w:p w:rsidR="00481C80" w:rsidRDefault="00481C80">
      <w:pPr>
        <w:spacing w:line="240" w:lineRule="auto"/>
        <w:rPr>
          <w:rFonts w:eastAsia="Times New Roman" w:cs="Times New Roman"/>
          <w:sz w:val="24"/>
          <w:lang w:eastAsia="en-AU"/>
        </w:rPr>
      </w:pPr>
      <w:r>
        <w:br w:type="page"/>
      </w:r>
    </w:p>
    <w:p w:rsidR="00481C80" w:rsidRDefault="00481C80" w:rsidP="00481C80">
      <w:pPr>
        <w:pStyle w:val="ActHead6"/>
        <w:pageBreakBefore/>
        <w:rPr>
          <w:rStyle w:val="CharAmSchText"/>
        </w:rPr>
      </w:pPr>
      <w:bookmarkStart w:id="21" w:name="_Toc478567694"/>
      <w:bookmarkStart w:id="22" w:name="_Toc778327"/>
      <w:bookmarkStart w:id="23" w:name="_Toc3971670"/>
      <w:bookmarkStart w:id="24" w:name="_Toc4168563"/>
      <w:r>
        <w:rPr>
          <w:rStyle w:val="CharAmSchNo"/>
        </w:rPr>
        <w:lastRenderedPageBreak/>
        <w:t>Schedule 2</w:t>
      </w:r>
      <w:r w:rsidRPr="00B1728A">
        <w:t>—</w:t>
      </w:r>
      <w:bookmarkEnd w:id="21"/>
      <w:bookmarkEnd w:id="22"/>
      <w:r w:rsidR="00123F89">
        <w:t>Consequential a</w:t>
      </w:r>
      <w:r>
        <w:rPr>
          <w:rStyle w:val="CharAmSchText"/>
        </w:rPr>
        <w:t>mendments</w:t>
      </w:r>
      <w:bookmarkEnd w:id="23"/>
      <w:bookmarkEnd w:id="24"/>
    </w:p>
    <w:p w:rsidR="00481C80" w:rsidRPr="00617C65" w:rsidRDefault="00481C80" w:rsidP="00617C65">
      <w:pPr>
        <w:pStyle w:val="notemargin"/>
        <w:rPr>
          <w:b/>
        </w:rPr>
      </w:pPr>
      <w:r w:rsidRPr="000F1E7F">
        <w:t>Note:</w:t>
      </w:r>
      <w:r w:rsidRPr="000F1E7F">
        <w:tab/>
        <w:t xml:space="preserve">See section </w:t>
      </w:r>
      <w:r w:rsidR="00123F89" w:rsidRPr="000F1E7F">
        <w:t>10</w:t>
      </w:r>
      <w:r w:rsidR="00123F89" w:rsidRPr="00164624">
        <w:t>.</w:t>
      </w:r>
    </w:p>
    <w:p w:rsidR="00481C80" w:rsidRPr="00617C65" w:rsidRDefault="00481C80" w:rsidP="00481C80">
      <w:pPr>
        <w:pStyle w:val="ActHead9"/>
        <w:rPr>
          <w:i w:val="0"/>
        </w:rPr>
      </w:pPr>
      <w:bookmarkStart w:id="25" w:name="_Toc3971671"/>
      <w:bookmarkStart w:id="26" w:name="_Toc4168564"/>
      <w:r w:rsidRPr="00617C65">
        <w:rPr>
          <w:i w:val="0"/>
        </w:rPr>
        <w:t>Therapeutic Goods (Manufacturing Principles) Determination 2018</w:t>
      </w:r>
      <w:bookmarkEnd w:id="25"/>
      <w:bookmarkEnd w:id="26"/>
    </w:p>
    <w:p w:rsidR="00481C80" w:rsidRPr="00693735" w:rsidRDefault="00481C80" w:rsidP="00481C80">
      <w:pPr>
        <w:pStyle w:val="ItemHead"/>
      </w:pPr>
      <w:r w:rsidRPr="00B1728A">
        <w:t xml:space="preserve">1  </w:t>
      </w:r>
      <w:r>
        <w:t xml:space="preserve">Section 4 (paragraph b of the definition of </w:t>
      </w:r>
      <w:r w:rsidRPr="00693735">
        <w:rPr>
          <w:i/>
        </w:rPr>
        <w:t>Technical Master File</w:t>
      </w:r>
      <w:r>
        <w:t>)</w:t>
      </w:r>
    </w:p>
    <w:p w:rsidR="00481C80" w:rsidRPr="00B1728A" w:rsidRDefault="00481C80" w:rsidP="00481C80">
      <w:pPr>
        <w:pStyle w:val="Item"/>
      </w:pPr>
      <w:r>
        <w:t>Omit “Therapeutic Goods Order No.81 – Standards for Blood and Blood Components”, substitute “</w:t>
      </w:r>
      <w:r w:rsidRPr="00693735">
        <w:rPr>
          <w:i/>
        </w:rPr>
        <w:t>Therapeutic Goods (Standard for Blood and Blood Components) (TGO 102) Order 2019</w:t>
      </w:r>
      <w:r>
        <w:t>”.</w:t>
      </w:r>
    </w:p>
    <w:p w:rsidR="004D1BA8" w:rsidRPr="00F9750E" w:rsidRDefault="004D1BA8" w:rsidP="00D462F4">
      <w:pPr>
        <w:pStyle w:val="BodyPara"/>
        <w:numPr>
          <w:ilvl w:val="0"/>
          <w:numId w:val="0"/>
        </w:numPr>
        <w:spacing w:before="0"/>
      </w:pPr>
    </w:p>
    <w:sectPr w:rsidR="004D1BA8" w:rsidRPr="00F9750E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B32" w:rsidRDefault="008B1B32" w:rsidP="00715914">
      <w:pPr>
        <w:spacing w:line="240" w:lineRule="auto"/>
      </w:pPr>
      <w:r>
        <w:separator/>
      </w:r>
    </w:p>
  </w:endnote>
  <w:endnote w:type="continuationSeparator" w:id="0">
    <w:p w:rsidR="008B1B32" w:rsidRDefault="008B1B3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CA0" w:rsidRPr="00E33C1C" w:rsidRDefault="00081CA0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81CA0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81CA0" w:rsidRDefault="00081CA0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81CA0" w:rsidRPr="004E1307" w:rsidRDefault="00081CA0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449C3">
            <w:rPr>
              <w:i/>
              <w:noProof/>
              <w:sz w:val="18"/>
            </w:rPr>
            <w:t>Therapeutic Goods (Standard for Blood and Blood Components) (TGO 102) Order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81CA0" w:rsidRDefault="00081CA0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081CA0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081CA0" w:rsidRDefault="00081CA0" w:rsidP="00A369E3">
          <w:pPr>
            <w:jc w:val="right"/>
            <w:rPr>
              <w:sz w:val="18"/>
            </w:rPr>
          </w:pPr>
        </w:p>
      </w:tc>
    </w:tr>
  </w:tbl>
  <w:p w:rsidR="00081CA0" w:rsidRPr="00ED79B6" w:rsidRDefault="00081CA0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CA0" w:rsidRPr="00E33C1C" w:rsidRDefault="00081CA0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81CA0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81CA0" w:rsidRDefault="00081CA0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81CA0" w:rsidRDefault="00081CA0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449C3">
            <w:rPr>
              <w:i/>
              <w:noProof/>
              <w:sz w:val="18"/>
            </w:rPr>
            <w:t>Therapeutic Goods (Standard for Blood and Blood Components) (TGO 102) Order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81CA0" w:rsidRDefault="00081CA0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81CA0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081CA0" w:rsidRDefault="00081CA0" w:rsidP="00A369E3">
          <w:pPr>
            <w:rPr>
              <w:sz w:val="18"/>
            </w:rPr>
          </w:pPr>
        </w:p>
      </w:tc>
    </w:tr>
  </w:tbl>
  <w:p w:rsidR="00081CA0" w:rsidRPr="00ED79B6" w:rsidRDefault="00081CA0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CA0" w:rsidRPr="00E33C1C" w:rsidRDefault="00081CA0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81CA0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81CA0" w:rsidRDefault="00081CA0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81CA0" w:rsidRDefault="00081CA0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81CA0" w:rsidRDefault="00081CA0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081CA0" w:rsidRPr="00ED79B6" w:rsidRDefault="00081CA0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CA0" w:rsidRPr="002B0EA5" w:rsidRDefault="00081CA0" w:rsidP="00A62AC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081CA0" w:rsidTr="00A62ACE">
      <w:tc>
        <w:tcPr>
          <w:tcW w:w="365" w:type="pct"/>
        </w:tcPr>
        <w:p w:rsidR="00081CA0" w:rsidRDefault="00081CA0" w:rsidP="00A62AC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081CA0" w:rsidRDefault="00081CA0" w:rsidP="00A62AC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449C3">
            <w:rPr>
              <w:i/>
              <w:noProof/>
              <w:sz w:val="18"/>
            </w:rPr>
            <w:t>Therapeutic Goods (Standard for Blood and Blood Components) (TGO 102) Order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081CA0" w:rsidRDefault="00081CA0" w:rsidP="00A62ACE">
          <w:pPr>
            <w:spacing w:line="0" w:lineRule="atLeast"/>
            <w:jc w:val="right"/>
            <w:rPr>
              <w:sz w:val="18"/>
            </w:rPr>
          </w:pPr>
        </w:p>
      </w:tc>
    </w:tr>
    <w:tr w:rsidR="00081CA0" w:rsidTr="00A62ACE">
      <w:tc>
        <w:tcPr>
          <w:tcW w:w="5000" w:type="pct"/>
          <w:gridSpan w:val="3"/>
        </w:tcPr>
        <w:p w:rsidR="00081CA0" w:rsidRDefault="00081CA0" w:rsidP="00A62ACE">
          <w:pPr>
            <w:jc w:val="right"/>
            <w:rPr>
              <w:sz w:val="18"/>
            </w:rPr>
          </w:pPr>
        </w:p>
      </w:tc>
    </w:tr>
  </w:tbl>
  <w:p w:rsidR="00081CA0" w:rsidRPr="00ED79B6" w:rsidRDefault="00081CA0" w:rsidP="00A62ACE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CA0" w:rsidRPr="002B0EA5" w:rsidRDefault="00081CA0" w:rsidP="00A62AC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13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0"/>
      <w:gridCol w:w="6799"/>
      <w:gridCol w:w="711"/>
      <w:gridCol w:w="289"/>
    </w:tblGrid>
    <w:tr w:rsidR="00081CA0" w:rsidTr="00A449C3">
      <w:trPr>
        <w:gridAfter w:val="1"/>
        <w:wAfter w:w="164" w:type="pct"/>
      </w:trPr>
      <w:tc>
        <w:tcPr>
          <w:tcW w:w="548" w:type="pct"/>
        </w:tcPr>
        <w:p w:rsidR="00081CA0" w:rsidRDefault="00081CA0" w:rsidP="00A62ACE">
          <w:pPr>
            <w:spacing w:line="0" w:lineRule="atLeast"/>
            <w:rPr>
              <w:sz w:val="18"/>
            </w:rPr>
          </w:pPr>
        </w:p>
      </w:tc>
      <w:tc>
        <w:tcPr>
          <w:tcW w:w="3881" w:type="pct"/>
        </w:tcPr>
        <w:p w:rsidR="00081CA0" w:rsidRDefault="00081CA0" w:rsidP="00A62AC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15492">
            <w:rPr>
              <w:i/>
              <w:noProof/>
              <w:sz w:val="18"/>
            </w:rPr>
            <w:t>Therapeutic Goods (Standard for Blood and Blood Components) (TGO 102) Order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406" w:type="pct"/>
        </w:tcPr>
        <w:p w:rsidR="00081CA0" w:rsidRDefault="00081CA0" w:rsidP="00A62AC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1549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81CA0" w:rsidTr="00A449C3">
      <w:tc>
        <w:tcPr>
          <w:tcW w:w="5000" w:type="pct"/>
          <w:gridSpan w:val="4"/>
        </w:tcPr>
        <w:p w:rsidR="00081CA0" w:rsidRDefault="00081CA0" w:rsidP="00A62ACE">
          <w:pPr>
            <w:rPr>
              <w:sz w:val="18"/>
            </w:rPr>
          </w:pPr>
        </w:p>
      </w:tc>
    </w:tr>
  </w:tbl>
  <w:p w:rsidR="00081CA0" w:rsidRPr="000731B9" w:rsidRDefault="00081CA0" w:rsidP="000731B9">
    <w:pPr>
      <w:jc w:val="center"/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CA0" w:rsidRPr="002B0EA5" w:rsidRDefault="00081CA0" w:rsidP="00A62AC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61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9"/>
      <w:gridCol w:w="6996"/>
      <w:gridCol w:w="1616"/>
    </w:tblGrid>
    <w:tr w:rsidR="00081CA0" w:rsidTr="000731B9">
      <w:tc>
        <w:tcPr>
          <w:tcW w:w="501" w:type="pct"/>
        </w:tcPr>
        <w:p w:rsidR="00081CA0" w:rsidRDefault="00081CA0" w:rsidP="00A62AC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15492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55" w:type="pct"/>
        </w:tcPr>
        <w:p w:rsidR="00081CA0" w:rsidRDefault="00081CA0" w:rsidP="00A62AC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15492">
            <w:rPr>
              <w:i/>
              <w:noProof/>
              <w:sz w:val="18"/>
            </w:rPr>
            <w:t>Therapeutic Goods (Standard for Blood and Blood Components) (TGO 102) Order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844" w:type="pct"/>
        </w:tcPr>
        <w:p w:rsidR="00081CA0" w:rsidRDefault="00081CA0" w:rsidP="00A62ACE">
          <w:pPr>
            <w:spacing w:line="0" w:lineRule="atLeast"/>
            <w:jc w:val="right"/>
            <w:rPr>
              <w:sz w:val="18"/>
            </w:rPr>
          </w:pPr>
        </w:p>
      </w:tc>
    </w:tr>
    <w:tr w:rsidR="00081CA0" w:rsidTr="000731B9">
      <w:tc>
        <w:tcPr>
          <w:tcW w:w="5000" w:type="pct"/>
          <w:gridSpan w:val="3"/>
        </w:tcPr>
        <w:p w:rsidR="00081CA0" w:rsidRDefault="00081CA0" w:rsidP="00A62ACE">
          <w:pPr>
            <w:jc w:val="right"/>
            <w:rPr>
              <w:sz w:val="18"/>
            </w:rPr>
          </w:pPr>
        </w:p>
      </w:tc>
    </w:tr>
  </w:tbl>
  <w:p w:rsidR="00081CA0" w:rsidRPr="000731B9" w:rsidRDefault="00081CA0" w:rsidP="000731B9">
    <w:pPr>
      <w:jc w:val="center"/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CA0" w:rsidRPr="002B0EA5" w:rsidRDefault="00081CA0" w:rsidP="00A62AC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9"/>
      <w:gridCol w:w="6663"/>
      <w:gridCol w:w="851"/>
    </w:tblGrid>
    <w:tr w:rsidR="00081CA0" w:rsidTr="000731B9">
      <w:tc>
        <w:tcPr>
          <w:tcW w:w="566" w:type="pct"/>
        </w:tcPr>
        <w:p w:rsidR="00081CA0" w:rsidRDefault="00081CA0" w:rsidP="00A62ACE">
          <w:pPr>
            <w:spacing w:line="0" w:lineRule="atLeast"/>
            <w:rPr>
              <w:sz w:val="18"/>
            </w:rPr>
          </w:pPr>
        </w:p>
      </w:tc>
      <w:tc>
        <w:tcPr>
          <w:tcW w:w="3932" w:type="pct"/>
        </w:tcPr>
        <w:p w:rsidR="00081CA0" w:rsidRDefault="00081CA0" w:rsidP="00A62AC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15492">
            <w:rPr>
              <w:i/>
              <w:noProof/>
              <w:sz w:val="18"/>
            </w:rPr>
            <w:t>Therapeutic Goods (Standard for Blood and Blood Components) (TGO 102) Order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502" w:type="pct"/>
        </w:tcPr>
        <w:p w:rsidR="00081CA0" w:rsidRDefault="00081CA0" w:rsidP="00A62AC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15492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81CA0" w:rsidTr="000731B9">
      <w:tc>
        <w:tcPr>
          <w:tcW w:w="5000" w:type="pct"/>
          <w:gridSpan w:val="3"/>
        </w:tcPr>
        <w:p w:rsidR="00081CA0" w:rsidRDefault="00081CA0" w:rsidP="00A62ACE">
          <w:pPr>
            <w:rPr>
              <w:sz w:val="18"/>
            </w:rPr>
          </w:pPr>
        </w:p>
      </w:tc>
    </w:tr>
  </w:tbl>
  <w:p w:rsidR="00081CA0" w:rsidRPr="000731B9" w:rsidRDefault="00081CA0" w:rsidP="000731B9">
    <w:pPr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B32" w:rsidRDefault="008B1B32" w:rsidP="00715914">
      <w:pPr>
        <w:spacing w:line="240" w:lineRule="auto"/>
      </w:pPr>
      <w:r>
        <w:separator/>
      </w:r>
    </w:p>
  </w:footnote>
  <w:footnote w:type="continuationSeparator" w:id="0">
    <w:p w:rsidR="008B1B32" w:rsidRDefault="008B1B3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CA0" w:rsidRPr="005F1388" w:rsidRDefault="00081CA0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CA0" w:rsidRPr="005F1388" w:rsidRDefault="00081CA0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CA0" w:rsidRPr="00ED79B6" w:rsidRDefault="00081CA0" w:rsidP="00A62ACE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CA0" w:rsidRPr="00ED79B6" w:rsidRDefault="00081CA0" w:rsidP="00A62ACE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CA0" w:rsidRPr="00ED79B6" w:rsidRDefault="00081CA0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CA0" w:rsidRDefault="00081CA0" w:rsidP="00715914">
    <w:pPr>
      <w:rPr>
        <w:sz w:val="20"/>
      </w:rPr>
    </w:pPr>
  </w:p>
  <w:p w:rsidR="00081CA0" w:rsidRDefault="00081CA0" w:rsidP="00715914">
    <w:pPr>
      <w:rPr>
        <w:sz w:val="20"/>
      </w:rPr>
    </w:pPr>
  </w:p>
  <w:p w:rsidR="00081CA0" w:rsidRPr="007A1328" w:rsidRDefault="00081CA0" w:rsidP="00715914">
    <w:pPr>
      <w:rPr>
        <w:sz w:val="20"/>
      </w:rPr>
    </w:pPr>
  </w:p>
  <w:p w:rsidR="00081CA0" w:rsidRPr="007A1328" w:rsidRDefault="00081CA0" w:rsidP="00715914">
    <w:pPr>
      <w:rPr>
        <w:b/>
        <w:sz w:val="24"/>
      </w:rPr>
    </w:pPr>
  </w:p>
  <w:p w:rsidR="00081CA0" w:rsidRPr="007A1328" w:rsidRDefault="00081CA0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CA0" w:rsidRPr="007A1328" w:rsidRDefault="00081CA0" w:rsidP="00715914">
    <w:pPr>
      <w:jc w:val="right"/>
      <w:rPr>
        <w:sz w:val="20"/>
      </w:rPr>
    </w:pPr>
  </w:p>
  <w:p w:rsidR="00081CA0" w:rsidRPr="007A1328" w:rsidRDefault="00081CA0" w:rsidP="00715914">
    <w:pPr>
      <w:jc w:val="right"/>
      <w:rPr>
        <w:sz w:val="20"/>
      </w:rPr>
    </w:pPr>
  </w:p>
  <w:p w:rsidR="00081CA0" w:rsidRPr="007A1328" w:rsidRDefault="00081CA0" w:rsidP="00715914">
    <w:pPr>
      <w:jc w:val="right"/>
      <w:rPr>
        <w:sz w:val="20"/>
      </w:rPr>
    </w:pPr>
  </w:p>
  <w:p w:rsidR="00081CA0" w:rsidRPr="007A1328" w:rsidRDefault="00081CA0" w:rsidP="00715914">
    <w:pPr>
      <w:jc w:val="right"/>
      <w:rPr>
        <w:b/>
        <w:sz w:val="24"/>
      </w:rPr>
    </w:pPr>
  </w:p>
  <w:p w:rsidR="00081CA0" w:rsidRPr="007A1328" w:rsidRDefault="00081CA0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1F02FE0"/>
    <w:multiLevelType w:val="hybridMultilevel"/>
    <w:tmpl w:val="FB06DE7A"/>
    <w:lvl w:ilvl="0" w:tplc="1DE6707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5A1FB7"/>
    <w:multiLevelType w:val="hybridMultilevel"/>
    <w:tmpl w:val="D13EB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897DF5"/>
    <w:multiLevelType w:val="hybridMultilevel"/>
    <w:tmpl w:val="C1AEE9E2"/>
    <w:lvl w:ilvl="0" w:tplc="0C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49F"/>
    <w:rsid w:val="00000E95"/>
    <w:rsid w:val="00004013"/>
    <w:rsid w:val="00004174"/>
    <w:rsid w:val="00004211"/>
    <w:rsid w:val="00004470"/>
    <w:rsid w:val="000136AF"/>
    <w:rsid w:val="000258B1"/>
    <w:rsid w:val="00040A89"/>
    <w:rsid w:val="000437C1"/>
    <w:rsid w:val="0004455A"/>
    <w:rsid w:val="0005365D"/>
    <w:rsid w:val="00057C10"/>
    <w:rsid w:val="000614BF"/>
    <w:rsid w:val="0006582D"/>
    <w:rsid w:val="0006709C"/>
    <w:rsid w:val="000731B9"/>
    <w:rsid w:val="00074376"/>
    <w:rsid w:val="00081CA0"/>
    <w:rsid w:val="000944AF"/>
    <w:rsid w:val="000978F5"/>
    <w:rsid w:val="000A3D04"/>
    <w:rsid w:val="000B15CD"/>
    <w:rsid w:val="000B35EB"/>
    <w:rsid w:val="000D05EF"/>
    <w:rsid w:val="000E2261"/>
    <w:rsid w:val="000E78B7"/>
    <w:rsid w:val="000F1E7F"/>
    <w:rsid w:val="000F21C1"/>
    <w:rsid w:val="000F7847"/>
    <w:rsid w:val="0010745C"/>
    <w:rsid w:val="00123F89"/>
    <w:rsid w:val="00132CEB"/>
    <w:rsid w:val="001339B0"/>
    <w:rsid w:val="001342F3"/>
    <w:rsid w:val="00134EC3"/>
    <w:rsid w:val="00142B62"/>
    <w:rsid w:val="001441B7"/>
    <w:rsid w:val="001459E3"/>
    <w:rsid w:val="00145A4D"/>
    <w:rsid w:val="00147E32"/>
    <w:rsid w:val="001516CB"/>
    <w:rsid w:val="00152336"/>
    <w:rsid w:val="00157B8B"/>
    <w:rsid w:val="00164624"/>
    <w:rsid w:val="00166C2F"/>
    <w:rsid w:val="001670DA"/>
    <w:rsid w:val="001677B8"/>
    <w:rsid w:val="001809D7"/>
    <w:rsid w:val="00180C28"/>
    <w:rsid w:val="00186DB4"/>
    <w:rsid w:val="001939E1"/>
    <w:rsid w:val="00194C3E"/>
    <w:rsid w:val="00195382"/>
    <w:rsid w:val="001B2CB6"/>
    <w:rsid w:val="001C61C5"/>
    <w:rsid w:val="001C637B"/>
    <w:rsid w:val="001C69C4"/>
    <w:rsid w:val="001D37EF"/>
    <w:rsid w:val="001E0D69"/>
    <w:rsid w:val="001E3590"/>
    <w:rsid w:val="001E7407"/>
    <w:rsid w:val="001F0CAB"/>
    <w:rsid w:val="001F5D5E"/>
    <w:rsid w:val="001F6219"/>
    <w:rsid w:val="001F6CD4"/>
    <w:rsid w:val="00206C4D"/>
    <w:rsid w:val="00215AF1"/>
    <w:rsid w:val="0021629D"/>
    <w:rsid w:val="00217907"/>
    <w:rsid w:val="002321E8"/>
    <w:rsid w:val="00232984"/>
    <w:rsid w:val="0024010F"/>
    <w:rsid w:val="00240749"/>
    <w:rsid w:val="00243018"/>
    <w:rsid w:val="002564A4"/>
    <w:rsid w:val="002626E2"/>
    <w:rsid w:val="0026736C"/>
    <w:rsid w:val="00281308"/>
    <w:rsid w:val="00284719"/>
    <w:rsid w:val="00284C2B"/>
    <w:rsid w:val="00297ECB"/>
    <w:rsid w:val="002A4E36"/>
    <w:rsid w:val="002A7BCF"/>
    <w:rsid w:val="002B5836"/>
    <w:rsid w:val="002C3FD1"/>
    <w:rsid w:val="002D043A"/>
    <w:rsid w:val="002D266B"/>
    <w:rsid w:val="002D6224"/>
    <w:rsid w:val="00304F8B"/>
    <w:rsid w:val="00315638"/>
    <w:rsid w:val="00335BC6"/>
    <w:rsid w:val="003415D3"/>
    <w:rsid w:val="00344338"/>
    <w:rsid w:val="00344701"/>
    <w:rsid w:val="00352B0F"/>
    <w:rsid w:val="00357918"/>
    <w:rsid w:val="00360459"/>
    <w:rsid w:val="00374E32"/>
    <w:rsid w:val="0038049F"/>
    <w:rsid w:val="003838E7"/>
    <w:rsid w:val="003929CC"/>
    <w:rsid w:val="003C6231"/>
    <w:rsid w:val="003D0BFE"/>
    <w:rsid w:val="003D24B8"/>
    <w:rsid w:val="003D5700"/>
    <w:rsid w:val="003E341B"/>
    <w:rsid w:val="003E4D00"/>
    <w:rsid w:val="004116CD"/>
    <w:rsid w:val="00411EA5"/>
    <w:rsid w:val="00417EB9"/>
    <w:rsid w:val="00424CA9"/>
    <w:rsid w:val="004276DF"/>
    <w:rsid w:val="00431E9B"/>
    <w:rsid w:val="00435F43"/>
    <w:rsid w:val="004379E3"/>
    <w:rsid w:val="00437FA2"/>
    <w:rsid w:val="0044015E"/>
    <w:rsid w:val="0044291A"/>
    <w:rsid w:val="00467661"/>
    <w:rsid w:val="00470BF8"/>
    <w:rsid w:val="00472DBE"/>
    <w:rsid w:val="00474A19"/>
    <w:rsid w:val="00477830"/>
    <w:rsid w:val="00481C80"/>
    <w:rsid w:val="00487764"/>
    <w:rsid w:val="00496F97"/>
    <w:rsid w:val="004A66C2"/>
    <w:rsid w:val="004B6C48"/>
    <w:rsid w:val="004C4E59"/>
    <w:rsid w:val="004C6809"/>
    <w:rsid w:val="004D1901"/>
    <w:rsid w:val="004D1BA8"/>
    <w:rsid w:val="004E063A"/>
    <w:rsid w:val="004E1307"/>
    <w:rsid w:val="004E47CF"/>
    <w:rsid w:val="004E7BEC"/>
    <w:rsid w:val="00505D3D"/>
    <w:rsid w:val="00506AF6"/>
    <w:rsid w:val="00515492"/>
    <w:rsid w:val="00516B8D"/>
    <w:rsid w:val="005303C8"/>
    <w:rsid w:val="00537128"/>
    <w:rsid w:val="00537FBC"/>
    <w:rsid w:val="00544308"/>
    <w:rsid w:val="00554826"/>
    <w:rsid w:val="00562877"/>
    <w:rsid w:val="00584811"/>
    <w:rsid w:val="00585784"/>
    <w:rsid w:val="00593AA6"/>
    <w:rsid w:val="00594161"/>
    <w:rsid w:val="00594749"/>
    <w:rsid w:val="00594ACC"/>
    <w:rsid w:val="00594FA5"/>
    <w:rsid w:val="00596BA6"/>
    <w:rsid w:val="005A65D5"/>
    <w:rsid w:val="005B4067"/>
    <w:rsid w:val="005C3F41"/>
    <w:rsid w:val="005D1D92"/>
    <w:rsid w:val="005D2D09"/>
    <w:rsid w:val="005D571B"/>
    <w:rsid w:val="00600219"/>
    <w:rsid w:val="00604F2A"/>
    <w:rsid w:val="00617C65"/>
    <w:rsid w:val="00620076"/>
    <w:rsid w:val="0062302F"/>
    <w:rsid w:val="00625D56"/>
    <w:rsid w:val="00627E0A"/>
    <w:rsid w:val="0063187E"/>
    <w:rsid w:val="00634472"/>
    <w:rsid w:val="0065488B"/>
    <w:rsid w:val="006577F6"/>
    <w:rsid w:val="00670EA1"/>
    <w:rsid w:val="00677C49"/>
    <w:rsid w:val="00677CC2"/>
    <w:rsid w:val="006856C8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6F467B"/>
    <w:rsid w:val="0070017E"/>
    <w:rsid w:val="0070081B"/>
    <w:rsid w:val="00700B2C"/>
    <w:rsid w:val="007050A2"/>
    <w:rsid w:val="00712767"/>
    <w:rsid w:val="00713084"/>
    <w:rsid w:val="00714F20"/>
    <w:rsid w:val="007151CF"/>
    <w:rsid w:val="0071590F"/>
    <w:rsid w:val="00715914"/>
    <w:rsid w:val="0072147A"/>
    <w:rsid w:val="00723791"/>
    <w:rsid w:val="00724401"/>
    <w:rsid w:val="00725C31"/>
    <w:rsid w:val="00731E00"/>
    <w:rsid w:val="007440B7"/>
    <w:rsid w:val="0074609B"/>
    <w:rsid w:val="007500C8"/>
    <w:rsid w:val="00756272"/>
    <w:rsid w:val="00762D38"/>
    <w:rsid w:val="007715C9"/>
    <w:rsid w:val="00771613"/>
    <w:rsid w:val="00774345"/>
    <w:rsid w:val="00774EDD"/>
    <w:rsid w:val="007757EC"/>
    <w:rsid w:val="00783E89"/>
    <w:rsid w:val="00784F37"/>
    <w:rsid w:val="007858FF"/>
    <w:rsid w:val="00786B0B"/>
    <w:rsid w:val="00793915"/>
    <w:rsid w:val="00794A30"/>
    <w:rsid w:val="00797A91"/>
    <w:rsid w:val="007A2228"/>
    <w:rsid w:val="007B54A0"/>
    <w:rsid w:val="007B5AF5"/>
    <w:rsid w:val="007C2253"/>
    <w:rsid w:val="007D53AE"/>
    <w:rsid w:val="007D7911"/>
    <w:rsid w:val="007E163D"/>
    <w:rsid w:val="007E667A"/>
    <w:rsid w:val="007F28C9"/>
    <w:rsid w:val="007F51B2"/>
    <w:rsid w:val="008040DD"/>
    <w:rsid w:val="008117E9"/>
    <w:rsid w:val="0082164A"/>
    <w:rsid w:val="00824498"/>
    <w:rsid w:val="00826BD1"/>
    <w:rsid w:val="00832DE4"/>
    <w:rsid w:val="008362B0"/>
    <w:rsid w:val="00847FDF"/>
    <w:rsid w:val="008521F2"/>
    <w:rsid w:val="00854D0B"/>
    <w:rsid w:val="00856A31"/>
    <w:rsid w:val="00860B4E"/>
    <w:rsid w:val="00865BDE"/>
    <w:rsid w:val="00867B37"/>
    <w:rsid w:val="00873D9F"/>
    <w:rsid w:val="008754D0"/>
    <w:rsid w:val="00875D13"/>
    <w:rsid w:val="008855C9"/>
    <w:rsid w:val="00886456"/>
    <w:rsid w:val="008905B9"/>
    <w:rsid w:val="00895134"/>
    <w:rsid w:val="00896176"/>
    <w:rsid w:val="008A46E1"/>
    <w:rsid w:val="008A4F43"/>
    <w:rsid w:val="008B1B32"/>
    <w:rsid w:val="008B2706"/>
    <w:rsid w:val="008C2EAC"/>
    <w:rsid w:val="008D05FD"/>
    <w:rsid w:val="008D0EE0"/>
    <w:rsid w:val="008D1376"/>
    <w:rsid w:val="008E0027"/>
    <w:rsid w:val="008E6067"/>
    <w:rsid w:val="008F54E7"/>
    <w:rsid w:val="00903422"/>
    <w:rsid w:val="009253AD"/>
    <w:rsid w:val="009254C3"/>
    <w:rsid w:val="00931D11"/>
    <w:rsid w:val="00932377"/>
    <w:rsid w:val="00941236"/>
    <w:rsid w:val="00941698"/>
    <w:rsid w:val="00943FD5"/>
    <w:rsid w:val="00945204"/>
    <w:rsid w:val="009477F4"/>
    <w:rsid w:val="00947D5A"/>
    <w:rsid w:val="009532A5"/>
    <w:rsid w:val="00953C89"/>
    <w:rsid w:val="009545BD"/>
    <w:rsid w:val="00964CF0"/>
    <w:rsid w:val="00977806"/>
    <w:rsid w:val="00982242"/>
    <w:rsid w:val="009868E9"/>
    <w:rsid w:val="009900A3"/>
    <w:rsid w:val="009C3310"/>
    <w:rsid w:val="009C3413"/>
    <w:rsid w:val="009D74D5"/>
    <w:rsid w:val="009E62C7"/>
    <w:rsid w:val="009E6DBC"/>
    <w:rsid w:val="00A0441E"/>
    <w:rsid w:val="00A12128"/>
    <w:rsid w:val="00A14722"/>
    <w:rsid w:val="00A22C98"/>
    <w:rsid w:val="00A231E2"/>
    <w:rsid w:val="00A334FF"/>
    <w:rsid w:val="00A369E3"/>
    <w:rsid w:val="00A36F10"/>
    <w:rsid w:val="00A40540"/>
    <w:rsid w:val="00A4471A"/>
    <w:rsid w:val="00A449C3"/>
    <w:rsid w:val="00A54BD9"/>
    <w:rsid w:val="00A57600"/>
    <w:rsid w:val="00A62ACE"/>
    <w:rsid w:val="00A64912"/>
    <w:rsid w:val="00A70A74"/>
    <w:rsid w:val="00A70E86"/>
    <w:rsid w:val="00A75FE9"/>
    <w:rsid w:val="00A8727D"/>
    <w:rsid w:val="00AD53CC"/>
    <w:rsid w:val="00AD5641"/>
    <w:rsid w:val="00AD7327"/>
    <w:rsid w:val="00AE11FF"/>
    <w:rsid w:val="00AF06CF"/>
    <w:rsid w:val="00AF116A"/>
    <w:rsid w:val="00AF64BA"/>
    <w:rsid w:val="00B00008"/>
    <w:rsid w:val="00B07CDB"/>
    <w:rsid w:val="00B133F9"/>
    <w:rsid w:val="00B16A31"/>
    <w:rsid w:val="00B17DFD"/>
    <w:rsid w:val="00B2449F"/>
    <w:rsid w:val="00B25306"/>
    <w:rsid w:val="00B27831"/>
    <w:rsid w:val="00B308FE"/>
    <w:rsid w:val="00B33709"/>
    <w:rsid w:val="00B33B3C"/>
    <w:rsid w:val="00B36392"/>
    <w:rsid w:val="00B40DB5"/>
    <w:rsid w:val="00B418CB"/>
    <w:rsid w:val="00B47444"/>
    <w:rsid w:val="00B50ADC"/>
    <w:rsid w:val="00B52401"/>
    <w:rsid w:val="00B566B1"/>
    <w:rsid w:val="00B60761"/>
    <w:rsid w:val="00B63834"/>
    <w:rsid w:val="00B63984"/>
    <w:rsid w:val="00B80199"/>
    <w:rsid w:val="00B83204"/>
    <w:rsid w:val="00B856E7"/>
    <w:rsid w:val="00B9705E"/>
    <w:rsid w:val="00BA1D10"/>
    <w:rsid w:val="00BA220B"/>
    <w:rsid w:val="00BA384F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BF2F44"/>
    <w:rsid w:val="00C0680D"/>
    <w:rsid w:val="00C12C0A"/>
    <w:rsid w:val="00C16619"/>
    <w:rsid w:val="00C25E7F"/>
    <w:rsid w:val="00C2746F"/>
    <w:rsid w:val="00C27BCF"/>
    <w:rsid w:val="00C323D6"/>
    <w:rsid w:val="00C324A0"/>
    <w:rsid w:val="00C35546"/>
    <w:rsid w:val="00C42BF8"/>
    <w:rsid w:val="00C50043"/>
    <w:rsid w:val="00C7573B"/>
    <w:rsid w:val="00C97A54"/>
    <w:rsid w:val="00CA4C0A"/>
    <w:rsid w:val="00CA5B23"/>
    <w:rsid w:val="00CB602E"/>
    <w:rsid w:val="00CB6141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17771"/>
    <w:rsid w:val="00D17C23"/>
    <w:rsid w:val="00D351D7"/>
    <w:rsid w:val="00D462F4"/>
    <w:rsid w:val="00D52DC2"/>
    <w:rsid w:val="00D53BCC"/>
    <w:rsid w:val="00D54C9E"/>
    <w:rsid w:val="00D6537E"/>
    <w:rsid w:val="00D70DFB"/>
    <w:rsid w:val="00D766DF"/>
    <w:rsid w:val="00D8206C"/>
    <w:rsid w:val="00D91F10"/>
    <w:rsid w:val="00DA0B40"/>
    <w:rsid w:val="00DA186E"/>
    <w:rsid w:val="00DA4116"/>
    <w:rsid w:val="00DB251C"/>
    <w:rsid w:val="00DB4630"/>
    <w:rsid w:val="00DC4F88"/>
    <w:rsid w:val="00DC7321"/>
    <w:rsid w:val="00DD3A33"/>
    <w:rsid w:val="00DD7706"/>
    <w:rsid w:val="00DE107C"/>
    <w:rsid w:val="00DF2388"/>
    <w:rsid w:val="00E05704"/>
    <w:rsid w:val="00E20570"/>
    <w:rsid w:val="00E279FB"/>
    <w:rsid w:val="00E338EF"/>
    <w:rsid w:val="00E41C52"/>
    <w:rsid w:val="00E544BB"/>
    <w:rsid w:val="00E556D5"/>
    <w:rsid w:val="00E74DC7"/>
    <w:rsid w:val="00E75B06"/>
    <w:rsid w:val="00E8075A"/>
    <w:rsid w:val="00E8439A"/>
    <w:rsid w:val="00E940D8"/>
    <w:rsid w:val="00E94D5E"/>
    <w:rsid w:val="00E96E3D"/>
    <w:rsid w:val="00EA7100"/>
    <w:rsid w:val="00EA7F9F"/>
    <w:rsid w:val="00EB1274"/>
    <w:rsid w:val="00ED2BB6"/>
    <w:rsid w:val="00ED34E1"/>
    <w:rsid w:val="00ED3B8D"/>
    <w:rsid w:val="00ED55EE"/>
    <w:rsid w:val="00ED62D1"/>
    <w:rsid w:val="00EE5E36"/>
    <w:rsid w:val="00EE79FF"/>
    <w:rsid w:val="00EF2E3A"/>
    <w:rsid w:val="00F02C7C"/>
    <w:rsid w:val="00F072A7"/>
    <w:rsid w:val="00F078DC"/>
    <w:rsid w:val="00F32BA8"/>
    <w:rsid w:val="00F32EE0"/>
    <w:rsid w:val="00F349F1"/>
    <w:rsid w:val="00F36484"/>
    <w:rsid w:val="00F4350D"/>
    <w:rsid w:val="00F45766"/>
    <w:rsid w:val="00F46B78"/>
    <w:rsid w:val="00F479C4"/>
    <w:rsid w:val="00F567F7"/>
    <w:rsid w:val="00F57AE3"/>
    <w:rsid w:val="00F6696E"/>
    <w:rsid w:val="00F73BD6"/>
    <w:rsid w:val="00F83989"/>
    <w:rsid w:val="00F85099"/>
    <w:rsid w:val="00F9379C"/>
    <w:rsid w:val="00F9632C"/>
    <w:rsid w:val="00F9750E"/>
    <w:rsid w:val="00FA1E52"/>
    <w:rsid w:val="00FB5A08"/>
    <w:rsid w:val="00FC6A80"/>
    <w:rsid w:val="00FD557B"/>
    <w:rsid w:val="00FE132A"/>
    <w:rsid w:val="00FE4688"/>
    <w:rsid w:val="00FF1E2E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9C33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331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33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3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310"/>
    <w:rPr>
      <w:b/>
      <w:bCs/>
    </w:rPr>
  </w:style>
  <w:style w:type="paragraph" w:styleId="Revision">
    <w:name w:val="Revision"/>
    <w:hidden/>
    <w:uiPriority w:val="99"/>
    <w:semiHidden/>
    <w:rsid w:val="004D1BA8"/>
    <w:rPr>
      <w:sz w:val="22"/>
    </w:rPr>
  </w:style>
  <w:style w:type="character" w:styleId="Hyperlink">
    <w:name w:val="Hyperlink"/>
    <w:basedOn w:val="DefaultParagraphFont"/>
    <w:uiPriority w:val="99"/>
    <w:unhideWhenUsed/>
    <w:rsid w:val="00B970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4BD9"/>
    <w:rPr>
      <w:color w:val="800080" w:themeColor="followedHyperlink"/>
      <w:u w:val="single"/>
    </w:rPr>
  </w:style>
  <w:style w:type="character" w:customStyle="1" w:styleId="ActHead5Char">
    <w:name w:val="ActHead 5 Char"/>
    <w:aliases w:val="s Char"/>
    <w:link w:val="ActHead5"/>
    <w:rsid w:val="00004013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9C33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331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33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3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310"/>
    <w:rPr>
      <w:b/>
      <w:bCs/>
    </w:rPr>
  </w:style>
  <w:style w:type="paragraph" w:styleId="Revision">
    <w:name w:val="Revision"/>
    <w:hidden/>
    <w:uiPriority w:val="99"/>
    <w:semiHidden/>
    <w:rsid w:val="004D1BA8"/>
    <w:rPr>
      <w:sz w:val="22"/>
    </w:rPr>
  </w:style>
  <w:style w:type="character" w:styleId="Hyperlink">
    <w:name w:val="Hyperlink"/>
    <w:basedOn w:val="DefaultParagraphFont"/>
    <w:uiPriority w:val="99"/>
    <w:unhideWhenUsed/>
    <w:rsid w:val="00B970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4BD9"/>
    <w:rPr>
      <w:color w:val="800080" w:themeColor="followedHyperlink"/>
      <w:u w:val="single"/>
    </w:rPr>
  </w:style>
  <w:style w:type="character" w:customStyle="1" w:styleId="ActHead5Char">
    <w:name w:val="ActHead 5 Char"/>
    <w:aliases w:val="s Char"/>
    <w:link w:val="ActHead5"/>
    <w:rsid w:val="00004013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54723-AD63-47E8-9B90-D21DF015C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Therapeutic Goods Administration</Company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KULAR, Navreen</dc:creator>
  <cp:lastModifiedBy>EDLINGTON, Mandy</cp:lastModifiedBy>
  <cp:revision>4</cp:revision>
  <cp:lastPrinted>2019-03-22T06:35:00Z</cp:lastPrinted>
  <dcterms:created xsi:type="dcterms:W3CDTF">2019-03-22T06:39:00Z</dcterms:created>
  <dcterms:modified xsi:type="dcterms:W3CDTF">2019-03-22T06:44:00Z</dcterms:modified>
</cp:coreProperties>
</file>