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660BE" w14:textId="77777777" w:rsidR="009C281D" w:rsidRPr="009A2975" w:rsidRDefault="009C281D" w:rsidP="00D31DE0">
      <w:pPr>
        <w:pStyle w:val="Header"/>
        <w:tabs>
          <w:tab w:val="clear" w:pos="4150"/>
          <w:tab w:val="clear" w:pos="8307"/>
        </w:tabs>
        <w:spacing w:line="240" w:lineRule="auto"/>
      </w:pPr>
      <w:r>
        <w:rPr>
          <w:noProof/>
        </w:rPr>
        <w:drawing>
          <wp:inline distT="0" distB="0" distL="0" distR="0" wp14:anchorId="7221C1B5" wp14:editId="14111F9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78A0037" w14:textId="77777777" w:rsidR="00085F1D" w:rsidRDefault="009C281D" w:rsidP="00126FCE">
      <w:pPr>
        <w:pStyle w:val="Title"/>
        <w:spacing w:line="240" w:lineRule="auto"/>
      </w:pPr>
      <w:bookmarkStart w:id="0" w:name="Citation"/>
      <w:r w:rsidRPr="00D350AF">
        <w:t>Private Health Insurance (</w:t>
      </w:r>
      <w:r w:rsidR="00085F1D">
        <w:t>Prudential Supervision</w:t>
      </w:r>
      <w:r w:rsidRPr="00D350AF">
        <w:t xml:space="preserve">) Rules </w:t>
      </w:r>
      <w:bookmarkEnd w:id="0"/>
      <w:r w:rsidR="00F201C5" w:rsidRPr="00D350AF">
        <w:t>20</w:t>
      </w:r>
      <w:r w:rsidR="00F201C5">
        <w:t>19</w:t>
      </w:r>
    </w:p>
    <w:p w14:paraId="2436F162" w14:textId="77777777" w:rsidR="00085F1D" w:rsidRPr="00085F1D" w:rsidRDefault="00085F1D" w:rsidP="00126FCE">
      <w:pPr>
        <w:spacing w:line="240" w:lineRule="auto"/>
      </w:pPr>
    </w:p>
    <w:p w14:paraId="6AD7074E" w14:textId="77777777" w:rsidR="006A3CC1" w:rsidRDefault="00976059" w:rsidP="005B0037">
      <w:pPr>
        <w:widowControl w:val="0"/>
        <w:tabs>
          <w:tab w:val="left" w:pos="540"/>
          <w:tab w:val="left" w:pos="3240"/>
        </w:tabs>
        <w:spacing w:after="240" w:line="240" w:lineRule="auto"/>
        <w:ind w:right="397"/>
        <w:jc w:val="both"/>
        <w:rPr>
          <w:i/>
          <w:szCs w:val="22"/>
        </w:rPr>
      </w:pPr>
      <w:r>
        <w:rPr>
          <w:szCs w:val="22"/>
        </w:rPr>
        <w:t>I, Pat Brennan</w:t>
      </w:r>
      <w:r w:rsidR="005F3571">
        <w:rPr>
          <w:szCs w:val="22"/>
        </w:rPr>
        <w:t xml:space="preserve">, a delegate of APRA under subsection 174(1) of the </w:t>
      </w:r>
      <w:r w:rsidR="003D4408" w:rsidRPr="00C13A40">
        <w:rPr>
          <w:i/>
          <w:szCs w:val="22"/>
        </w:rPr>
        <w:t>Private Health Insurance (Prudential Supervision) Act 2015</w:t>
      </w:r>
      <w:r w:rsidR="005F3571">
        <w:rPr>
          <w:szCs w:val="22"/>
        </w:rPr>
        <w:t xml:space="preserve"> revoke </w:t>
      </w:r>
      <w:r w:rsidR="005F3571">
        <w:rPr>
          <w:i/>
          <w:szCs w:val="22"/>
        </w:rPr>
        <w:t>Private Health Insurance (Prudential Supervision) Rules 201</w:t>
      </w:r>
      <w:r w:rsidR="00F201C5">
        <w:rPr>
          <w:i/>
          <w:szCs w:val="22"/>
        </w:rPr>
        <w:t>6</w:t>
      </w:r>
      <w:r w:rsidR="006A3CC1">
        <w:rPr>
          <w:i/>
          <w:szCs w:val="22"/>
        </w:rPr>
        <w:t xml:space="preserve"> </w:t>
      </w:r>
      <w:r w:rsidR="006A3CC1">
        <w:rPr>
          <w:szCs w:val="22"/>
        </w:rPr>
        <w:t xml:space="preserve">and make </w:t>
      </w:r>
      <w:r w:rsidR="006A3CC1">
        <w:rPr>
          <w:i/>
          <w:szCs w:val="22"/>
        </w:rPr>
        <w:t>Private Health Insurance (Prudential Supervision) Rules 201</w:t>
      </w:r>
      <w:r w:rsidR="00F201C5">
        <w:rPr>
          <w:i/>
          <w:szCs w:val="22"/>
        </w:rPr>
        <w:t>9</w:t>
      </w:r>
      <w:r w:rsidR="006A3CC1">
        <w:rPr>
          <w:i/>
          <w:szCs w:val="22"/>
        </w:rPr>
        <w:t>.</w:t>
      </w:r>
    </w:p>
    <w:p w14:paraId="564018D8" w14:textId="77777777" w:rsidR="009D23BC" w:rsidRDefault="009D23BC" w:rsidP="005B0037">
      <w:pPr>
        <w:widowControl w:val="0"/>
        <w:tabs>
          <w:tab w:val="left" w:pos="540"/>
          <w:tab w:val="left" w:pos="3240"/>
        </w:tabs>
        <w:spacing w:after="240" w:line="240" w:lineRule="auto"/>
        <w:ind w:right="397"/>
        <w:jc w:val="both"/>
        <w:rPr>
          <w:szCs w:val="22"/>
        </w:rPr>
      </w:pPr>
    </w:p>
    <w:p w14:paraId="74060AAE" w14:textId="77777777" w:rsidR="006A3CC1" w:rsidRDefault="006A3CC1" w:rsidP="005B0037">
      <w:pPr>
        <w:widowControl w:val="0"/>
        <w:tabs>
          <w:tab w:val="left" w:pos="540"/>
          <w:tab w:val="left" w:pos="3240"/>
        </w:tabs>
        <w:spacing w:after="240" w:line="240" w:lineRule="auto"/>
        <w:ind w:right="397"/>
        <w:jc w:val="both"/>
        <w:rPr>
          <w:szCs w:val="22"/>
        </w:rPr>
      </w:pPr>
      <w:r>
        <w:rPr>
          <w:szCs w:val="22"/>
        </w:rPr>
        <w:t>These Rules commence on the day after they are registered on t</w:t>
      </w:r>
      <w:r w:rsidR="00F3117B">
        <w:rPr>
          <w:szCs w:val="22"/>
        </w:rPr>
        <w:t>he Federal Register of Legislation</w:t>
      </w:r>
      <w:r>
        <w:rPr>
          <w:szCs w:val="22"/>
        </w:rPr>
        <w:t>.</w:t>
      </w:r>
    </w:p>
    <w:p w14:paraId="26D4AADA" w14:textId="77777777" w:rsidR="006A3CC1" w:rsidRDefault="006A3CC1" w:rsidP="005B0037">
      <w:pPr>
        <w:widowControl w:val="0"/>
        <w:tabs>
          <w:tab w:val="left" w:pos="540"/>
          <w:tab w:val="left" w:pos="3240"/>
        </w:tabs>
        <w:spacing w:after="240" w:line="240" w:lineRule="auto"/>
        <w:ind w:right="397"/>
        <w:jc w:val="both"/>
        <w:rPr>
          <w:szCs w:val="22"/>
        </w:rPr>
      </w:pPr>
    </w:p>
    <w:p w14:paraId="47AB2790" w14:textId="2FB9B0B5" w:rsidR="006A3CC1" w:rsidRPr="008A3A55" w:rsidRDefault="008A3A55" w:rsidP="005B0037">
      <w:pPr>
        <w:widowControl w:val="0"/>
        <w:tabs>
          <w:tab w:val="left" w:pos="540"/>
          <w:tab w:val="left" w:pos="3240"/>
        </w:tabs>
        <w:spacing w:after="240" w:line="240" w:lineRule="auto"/>
        <w:ind w:right="397"/>
        <w:jc w:val="both"/>
        <w:rPr>
          <w:szCs w:val="22"/>
        </w:rPr>
      </w:pPr>
      <w:r w:rsidRPr="008A3A55">
        <w:rPr>
          <w:szCs w:val="22"/>
        </w:rPr>
        <w:t xml:space="preserve">Dated: </w:t>
      </w:r>
      <w:r w:rsidR="0065379F" w:rsidRPr="008A3A55">
        <w:rPr>
          <w:szCs w:val="22"/>
        </w:rPr>
        <w:t xml:space="preserve">12 </w:t>
      </w:r>
      <w:r w:rsidR="00137EA2" w:rsidRPr="008A3A55">
        <w:rPr>
          <w:szCs w:val="22"/>
        </w:rPr>
        <w:t xml:space="preserve">March </w:t>
      </w:r>
      <w:r w:rsidR="00D207BF" w:rsidRPr="008A3A55">
        <w:rPr>
          <w:szCs w:val="22"/>
        </w:rPr>
        <w:t>2019</w:t>
      </w:r>
    </w:p>
    <w:p w14:paraId="5D129D68" w14:textId="77777777" w:rsidR="008A3A55" w:rsidRDefault="008A3A55" w:rsidP="005B0037">
      <w:pPr>
        <w:widowControl w:val="0"/>
        <w:tabs>
          <w:tab w:val="left" w:pos="540"/>
          <w:tab w:val="left" w:pos="3240"/>
        </w:tabs>
        <w:spacing w:after="240" w:line="240" w:lineRule="auto"/>
        <w:ind w:right="397"/>
        <w:jc w:val="both"/>
        <w:rPr>
          <w:szCs w:val="22"/>
        </w:rPr>
      </w:pPr>
    </w:p>
    <w:p w14:paraId="0C19AC43" w14:textId="2E2D8489" w:rsidR="005F0408" w:rsidRDefault="008A3A55" w:rsidP="005B0037">
      <w:pPr>
        <w:widowControl w:val="0"/>
        <w:tabs>
          <w:tab w:val="left" w:pos="540"/>
          <w:tab w:val="left" w:pos="3240"/>
        </w:tabs>
        <w:spacing w:after="240" w:line="240" w:lineRule="auto"/>
        <w:ind w:right="397"/>
        <w:jc w:val="both"/>
        <w:rPr>
          <w:szCs w:val="22"/>
        </w:rPr>
      </w:pPr>
      <w:bookmarkStart w:id="1" w:name="_GoBack"/>
      <w:bookmarkEnd w:id="1"/>
      <w:r>
        <w:rPr>
          <w:szCs w:val="22"/>
        </w:rPr>
        <w:t>[Signed]</w:t>
      </w:r>
    </w:p>
    <w:p w14:paraId="4FF23DDC" w14:textId="77777777" w:rsidR="009D23BC" w:rsidRDefault="009D23BC" w:rsidP="005B0037">
      <w:pPr>
        <w:widowControl w:val="0"/>
        <w:tabs>
          <w:tab w:val="left" w:pos="540"/>
          <w:tab w:val="left" w:pos="3240"/>
        </w:tabs>
        <w:spacing w:after="240" w:line="240" w:lineRule="auto"/>
        <w:ind w:right="397"/>
        <w:jc w:val="both"/>
        <w:rPr>
          <w:szCs w:val="22"/>
        </w:rPr>
      </w:pPr>
    </w:p>
    <w:p w14:paraId="6A7C9511" w14:textId="030E11AF" w:rsidR="00976059" w:rsidRDefault="00976059" w:rsidP="005B0037">
      <w:pPr>
        <w:widowControl w:val="0"/>
        <w:tabs>
          <w:tab w:val="left" w:pos="540"/>
          <w:tab w:val="left" w:pos="3240"/>
        </w:tabs>
        <w:spacing w:after="240" w:line="240" w:lineRule="auto"/>
        <w:ind w:right="397"/>
        <w:jc w:val="both"/>
        <w:rPr>
          <w:szCs w:val="22"/>
        </w:rPr>
      </w:pPr>
      <w:r>
        <w:rPr>
          <w:szCs w:val="22"/>
        </w:rPr>
        <w:t>Pat Brennan</w:t>
      </w:r>
    </w:p>
    <w:p w14:paraId="486F8FA2" w14:textId="77777777" w:rsidR="006A3CC1" w:rsidRPr="006A3CC1" w:rsidRDefault="001B3854" w:rsidP="005B0037">
      <w:pPr>
        <w:widowControl w:val="0"/>
        <w:tabs>
          <w:tab w:val="left" w:pos="540"/>
          <w:tab w:val="left" w:pos="3240"/>
        </w:tabs>
        <w:spacing w:after="240" w:line="240" w:lineRule="auto"/>
        <w:ind w:right="397"/>
        <w:jc w:val="both"/>
        <w:rPr>
          <w:szCs w:val="22"/>
        </w:rPr>
      </w:pPr>
      <w:r>
        <w:rPr>
          <w:szCs w:val="22"/>
        </w:rPr>
        <w:t>Delegate</w:t>
      </w:r>
    </w:p>
    <w:p w14:paraId="7AE60740" w14:textId="77777777" w:rsidR="003D4408" w:rsidRPr="00C13A40" w:rsidRDefault="003D4408" w:rsidP="005B0037">
      <w:pPr>
        <w:widowControl w:val="0"/>
        <w:tabs>
          <w:tab w:val="left" w:pos="540"/>
          <w:tab w:val="left" w:pos="3240"/>
        </w:tabs>
        <w:spacing w:after="240" w:line="240" w:lineRule="auto"/>
        <w:ind w:right="397"/>
        <w:jc w:val="both"/>
        <w:rPr>
          <w:szCs w:val="22"/>
        </w:rPr>
      </w:pPr>
    </w:p>
    <w:p w14:paraId="65B11470" w14:textId="77777777" w:rsidR="00125A0B" w:rsidRPr="00E764CE" w:rsidRDefault="00B719A9" w:rsidP="00126FCE">
      <w:pPr>
        <w:pStyle w:val="ActHead1"/>
        <w:rPr>
          <w:sz w:val="24"/>
          <w:szCs w:val="24"/>
        </w:rPr>
      </w:pPr>
      <w:r>
        <w:br w:type="page"/>
      </w:r>
      <w:r w:rsidR="00125A0B" w:rsidRPr="00F95C4D">
        <w:rPr>
          <w:sz w:val="32"/>
          <w:szCs w:val="32"/>
        </w:rPr>
        <w:lastRenderedPageBreak/>
        <w:t>Contents</w:t>
      </w:r>
      <w:r w:rsidR="00807CB4" w:rsidRPr="00F95C4D">
        <w:rPr>
          <w:sz w:val="32"/>
          <w:szCs w:val="32"/>
        </w:rPr>
        <w:br/>
      </w:r>
    </w:p>
    <w:p w14:paraId="556A05FF" w14:textId="77777777" w:rsidR="000A55DA" w:rsidRDefault="0038039B" w:rsidP="00C558D7">
      <w:pPr>
        <w:pStyle w:val="TOC1"/>
        <w:keepNext w:val="0"/>
        <w:keepLines w:val="0"/>
        <w:spacing w:before="0"/>
        <w:ind w:left="0" w:firstLine="0"/>
        <w:rPr>
          <w:rFonts w:asciiTheme="minorHAnsi" w:eastAsiaTheme="minorEastAsia" w:hAnsiTheme="minorHAnsi" w:cstheme="minorBidi"/>
          <w:b w:val="0"/>
          <w:noProof/>
          <w:kern w:val="0"/>
          <w:sz w:val="22"/>
          <w:szCs w:val="22"/>
        </w:rPr>
      </w:pPr>
      <w:r>
        <w:fldChar w:fldCharType="begin"/>
      </w:r>
      <w:r>
        <w:instrText xml:space="preserve"> TOC \h \z \t "Heading 1,1,Heading 2,2,Heading 3,3,Subtitle,2,ActHead 2,1,NotesHeading 1,1,ENotesHeading 1,2,ENotesHeading 2,3,SubPart(CASA),2,ActHead 5,2" </w:instrText>
      </w:r>
      <w:r>
        <w:fldChar w:fldCharType="separate"/>
      </w:r>
      <w:hyperlink w:anchor="_Toc413673431" w:history="1">
        <w:r w:rsidR="000A55DA" w:rsidRPr="00FF0B2C">
          <w:rPr>
            <w:rStyle w:val="Hyperlink"/>
            <w:noProof/>
          </w:rPr>
          <w:t>Part 1 – Preliminary</w:t>
        </w:r>
        <w:r w:rsidR="000A55DA">
          <w:rPr>
            <w:noProof/>
            <w:webHidden/>
          </w:rPr>
          <w:tab/>
        </w:r>
        <w:r w:rsidR="000A55DA">
          <w:rPr>
            <w:noProof/>
            <w:webHidden/>
          </w:rPr>
          <w:fldChar w:fldCharType="begin"/>
        </w:r>
        <w:r w:rsidR="000A55DA">
          <w:rPr>
            <w:noProof/>
            <w:webHidden/>
          </w:rPr>
          <w:instrText xml:space="preserve"> PAGEREF _Toc413673431 \h </w:instrText>
        </w:r>
        <w:r w:rsidR="000A55DA">
          <w:rPr>
            <w:noProof/>
            <w:webHidden/>
          </w:rPr>
        </w:r>
        <w:r w:rsidR="000A55DA">
          <w:rPr>
            <w:noProof/>
            <w:webHidden/>
          </w:rPr>
          <w:fldChar w:fldCharType="separate"/>
        </w:r>
        <w:r w:rsidR="00D96744">
          <w:rPr>
            <w:noProof/>
            <w:webHidden/>
          </w:rPr>
          <w:t>4</w:t>
        </w:r>
        <w:r w:rsidR="000A55DA">
          <w:rPr>
            <w:noProof/>
            <w:webHidden/>
          </w:rPr>
          <w:fldChar w:fldCharType="end"/>
        </w:r>
      </w:hyperlink>
    </w:p>
    <w:p w14:paraId="5F74E465" w14:textId="77777777" w:rsidR="000A55DA" w:rsidRDefault="008A3A55" w:rsidP="00126FCE">
      <w:pPr>
        <w:pStyle w:val="TOC2"/>
        <w:keepNext w:val="0"/>
        <w:keepLines w:val="0"/>
        <w:tabs>
          <w:tab w:val="left" w:pos="2268"/>
        </w:tabs>
        <w:rPr>
          <w:noProof/>
        </w:rPr>
      </w:pPr>
      <w:hyperlink w:anchor="_Toc413673432" w:history="1">
        <w:r w:rsidR="000A55DA" w:rsidRPr="00FF0B2C">
          <w:rPr>
            <w:rStyle w:val="Hyperlink"/>
            <w:noProof/>
          </w:rPr>
          <w:t>1.</w:t>
        </w:r>
        <w:r w:rsidR="000A55DA">
          <w:rPr>
            <w:rFonts w:asciiTheme="minorHAnsi" w:eastAsiaTheme="minorEastAsia" w:hAnsiTheme="minorHAnsi" w:cstheme="minorBidi"/>
            <w:noProof/>
            <w:kern w:val="0"/>
            <w:sz w:val="22"/>
            <w:szCs w:val="22"/>
          </w:rPr>
          <w:tab/>
        </w:r>
        <w:r w:rsidR="000A55DA" w:rsidRPr="00FF0B2C">
          <w:rPr>
            <w:rStyle w:val="Hyperlink"/>
            <w:noProof/>
          </w:rPr>
          <w:t>Name of Rules</w:t>
        </w:r>
        <w:r w:rsidR="000A55DA">
          <w:rPr>
            <w:noProof/>
            <w:webHidden/>
          </w:rPr>
          <w:tab/>
        </w:r>
        <w:r w:rsidR="000A55DA">
          <w:rPr>
            <w:noProof/>
            <w:webHidden/>
          </w:rPr>
          <w:fldChar w:fldCharType="begin"/>
        </w:r>
        <w:r w:rsidR="000A55DA">
          <w:rPr>
            <w:noProof/>
            <w:webHidden/>
          </w:rPr>
          <w:instrText xml:space="preserve"> PAGEREF _Toc413673432 \h </w:instrText>
        </w:r>
        <w:r w:rsidR="000A55DA">
          <w:rPr>
            <w:noProof/>
            <w:webHidden/>
          </w:rPr>
        </w:r>
        <w:r w:rsidR="000A55DA">
          <w:rPr>
            <w:noProof/>
            <w:webHidden/>
          </w:rPr>
          <w:fldChar w:fldCharType="separate"/>
        </w:r>
        <w:r w:rsidR="00D96744">
          <w:rPr>
            <w:noProof/>
            <w:webHidden/>
          </w:rPr>
          <w:t>4</w:t>
        </w:r>
        <w:r w:rsidR="000A55DA">
          <w:rPr>
            <w:noProof/>
            <w:webHidden/>
          </w:rPr>
          <w:fldChar w:fldCharType="end"/>
        </w:r>
      </w:hyperlink>
    </w:p>
    <w:p w14:paraId="226AF1F3" w14:textId="77777777" w:rsidR="00D53047" w:rsidRPr="00D53047" w:rsidRDefault="00D53047" w:rsidP="00D53047">
      <w:pPr>
        <w:pStyle w:val="TOC2"/>
        <w:keepNext w:val="0"/>
        <w:keepLines w:val="0"/>
        <w:tabs>
          <w:tab w:val="left" w:pos="2268"/>
        </w:tabs>
        <w:rPr>
          <w:rStyle w:val="Hyperlink"/>
          <w:noProof/>
          <w:color w:val="auto"/>
          <w:u w:val="none"/>
        </w:rPr>
      </w:pPr>
      <w:r w:rsidRPr="00D53047">
        <w:rPr>
          <w:rStyle w:val="Hyperlink"/>
          <w:noProof/>
          <w:color w:val="auto"/>
          <w:u w:val="none"/>
        </w:rPr>
        <w:t>2.</w:t>
      </w:r>
      <w:r w:rsidRPr="00D53047">
        <w:rPr>
          <w:rStyle w:val="Hyperlink"/>
          <w:noProof/>
          <w:color w:val="auto"/>
          <w:u w:val="none"/>
        </w:rPr>
        <w:tab/>
        <w:t>Revocation</w:t>
      </w:r>
      <w:r w:rsidRPr="00D53047">
        <w:rPr>
          <w:rStyle w:val="Hyperlink"/>
          <w:noProof/>
          <w:color w:val="auto"/>
          <w:u w:val="none"/>
        </w:rPr>
        <w:tab/>
        <w:t>4</w:t>
      </w:r>
    </w:p>
    <w:p w14:paraId="7BD0C965"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33" w:history="1">
        <w:r w:rsidR="00D53047">
          <w:rPr>
            <w:rStyle w:val="Hyperlink"/>
            <w:noProof/>
          </w:rPr>
          <w:t>3</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Commencement</w:t>
        </w:r>
        <w:r w:rsidR="000A55DA">
          <w:rPr>
            <w:noProof/>
            <w:webHidden/>
          </w:rPr>
          <w:tab/>
        </w:r>
        <w:r w:rsidR="000A55DA">
          <w:rPr>
            <w:noProof/>
            <w:webHidden/>
          </w:rPr>
          <w:fldChar w:fldCharType="begin"/>
        </w:r>
        <w:r w:rsidR="000A55DA">
          <w:rPr>
            <w:noProof/>
            <w:webHidden/>
          </w:rPr>
          <w:instrText xml:space="preserve"> PAGEREF _Toc413673433 \h </w:instrText>
        </w:r>
        <w:r w:rsidR="000A55DA">
          <w:rPr>
            <w:noProof/>
            <w:webHidden/>
          </w:rPr>
        </w:r>
        <w:r w:rsidR="000A55DA">
          <w:rPr>
            <w:noProof/>
            <w:webHidden/>
          </w:rPr>
          <w:fldChar w:fldCharType="separate"/>
        </w:r>
        <w:r w:rsidR="00D96744">
          <w:rPr>
            <w:noProof/>
            <w:webHidden/>
          </w:rPr>
          <w:t>4</w:t>
        </w:r>
        <w:r w:rsidR="000A55DA">
          <w:rPr>
            <w:noProof/>
            <w:webHidden/>
          </w:rPr>
          <w:fldChar w:fldCharType="end"/>
        </w:r>
      </w:hyperlink>
    </w:p>
    <w:p w14:paraId="13CB2AE5" w14:textId="77777777" w:rsidR="0094386F" w:rsidRPr="0094386F" w:rsidRDefault="008A3A55" w:rsidP="0094386F">
      <w:pPr>
        <w:pStyle w:val="TOC2"/>
        <w:keepNext w:val="0"/>
        <w:keepLines w:val="0"/>
        <w:tabs>
          <w:tab w:val="left" w:pos="2268"/>
        </w:tabs>
        <w:rPr>
          <w:noProof/>
        </w:rPr>
      </w:pPr>
      <w:hyperlink w:anchor="_Toc413673434" w:history="1">
        <w:r w:rsidR="002F01EB">
          <w:rPr>
            <w:rStyle w:val="Hyperlink"/>
            <w:noProof/>
          </w:rPr>
          <w:t>4</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Definitions</w:t>
        </w:r>
        <w:r w:rsidR="000A55DA">
          <w:rPr>
            <w:noProof/>
            <w:webHidden/>
          </w:rPr>
          <w:tab/>
        </w:r>
        <w:r w:rsidR="000A55DA">
          <w:rPr>
            <w:noProof/>
            <w:webHidden/>
          </w:rPr>
          <w:fldChar w:fldCharType="begin"/>
        </w:r>
        <w:r w:rsidR="000A55DA">
          <w:rPr>
            <w:noProof/>
            <w:webHidden/>
          </w:rPr>
          <w:instrText xml:space="preserve"> PAGEREF _Toc413673434 \h </w:instrText>
        </w:r>
        <w:r w:rsidR="000A55DA">
          <w:rPr>
            <w:noProof/>
            <w:webHidden/>
          </w:rPr>
        </w:r>
        <w:r w:rsidR="000A55DA">
          <w:rPr>
            <w:noProof/>
            <w:webHidden/>
          </w:rPr>
          <w:fldChar w:fldCharType="separate"/>
        </w:r>
        <w:r w:rsidR="00D96744">
          <w:rPr>
            <w:noProof/>
            <w:webHidden/>
          </w:rPr>
          <w:t>4</w:t>
        </w:r>
        <w:r w:rsidR="000A55DA">
          <w:rPr>
            <w:noProof/>
            <w:webHidden/>
          </w:rPr>
          <w:fldChar w:fldCharType="end"/>
        </w:r>
      </w:hyperlink>
    </w:p>
    <w:p w14:paraId="743948C3" w14:textId="77777777" w:rsidR="000A55DA" w:rsidRDefault="008A3A55" w:rsidP="00126FCE">
      <w:pPr>
        <w:pStyle w:val="TOC1"/>
        <w:keepNext w:val="0"/>
        <w:keepLines w:val="0"/>
        <w:rPr>
          <w:rFonts w:asciiTheme="minorHAnsi" w:eastAsiaTheme="minorEastAsia" w:hAnsiTheme="minorHAnsi" w:cstheme="minorBidi"/>
          <w:b w:val="0"/>
          <w:noProof/>
          <w:kern w:val="0"/>
          <w:sz w:val="22"/>
          <w:szCs w:val="22"/>
        </w:rPr>
      </w:pPr>
      <w:hyperlink w:anchor="_Toc413673435" w:history="1">
        <w:r w:rsidR="000A55DA" w:rsidRPr="00FF0B2C">
          <w:rPr>
            <w:rStyle w:val="Hyperlink"/>
            <w:noProof/>
          </w:rPr>
          <w:t>Part 2 – Expenditure and application of health benefits funds</w:t>
        </w:r>
        <w:r w:rsidR="000A55DA">
          <w:rPr>
            <w:noProof/>
            <w:webHidden/>
          </w:rPr>
          <w:tab/>
        </w:r>
        <w:r w:rsidR="000A55DA">
          <w:rPr>
            <w:noProof/>
            <w:webHidden/>
          </w:rPr>
          <w:fldChar w:fldCharType="begin"/>
        </w:r>
        <w:r w:rsidR="000A55DA">
          <w:rPr>
            <w:noProof/>
            <w:webHidden/>
          </w:rPr>
          <w:instrText xml:space="preserve"> PAGEREF _Toc413673435 \h </w:instrText>
        </w:r>
        <w:r w:rsidR="000A55DA">
          <w:rPr>
            <w:noProof/>
            <w:webHidden/>
          </w:rPr>
        </w:r>
        <w:r w:rsidR="000A55DA">
          <w:rPr>
            <w:noProof/>
            <w:webHidden/>
          </w:rPr>
          <w:fldChar w:fldCharType="separate"/>
        </w:r>
        <w:r w:rsidR="00D96744">
          <w:rPr>
            <w:noProof/>
            <w:webHidden/>
          </w:rPr>
          <w:t>6</w:t>
        </w:r>
        <w:r w:rsidR="000A55DA">
          <w:rPr>
            <w:noProof/>
            <w:webHidden/>
          </w:rPr>
          <w:fldChar w:fldCharType="end"/>
        </w:r>
      </w:hyperlink>
    </w:p>
    <w:p w14:paraId="54A95C2C"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36" w:history="1">
        <w:r w:rsidR="00D53047">
          <w:rPr>
            <w:rStyle w:val="Hyperlink"/>
            <w:noProof/>
          </w:rPr>
          <w:t>5</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Mortgages and charges</w:t>
        </w:r>
        <w:r w:rsidR="000A55DA">
          <w:rPr>
            <w:noProof/>
            <w:webHidden/>
          </w:rPr>
          <w:tab/>
        </w:r>
        <w:r w:rsidR="000A55DA">
          <w:rPr>
            <w:noProof/>
            <w:webHidden/>
          </w:rPr>
          <w:fldChar w:fldCharType="begin"/>
        </w:r>
        <w:r w:rsidR="000A55DA">
          <w:rPr>
            <w:noProof/>
            <w:webHidden/>
          </w:rPr>
          <w:instrText xml:space="preserve"> PAGEREF _Toc413673436 \h </w:instrText>
        </w:r>
        <w:r w:rsidR="000A55DA">
          <w:rPr>
            <w:noProof/>
            <w:webHidden/>
          </w:rPr>
        </w:r>
        <w:r w:rsidR="000A55DA">
          <w:rPr>
            <w:noProof/>
            <w:webHidden/>
          </w:rPr>
          <w:fldChar w:fldCharType="separate"/>
        </w:r>
        <w:r w:rsidR="00D96744">
          <w:rPr>
            <w:noProof/>
            <w:webHidden/>
          </w:rPr>
          <w:t>6</w:t>
        </w:r>
        <w:r w:rsidR="000A55DA">
          <w:rPr>
            <w:noProof/>
            <w:webHidden/>
          </w:rPr>
          <w:fldChar w:fldCharType="end"/>
        </w:r>
      </w:hyperlink>
    </w:p>
    <w:p w14:paraId="0041DD3A" w14:textId="77777777" w:rsidR="000A55DA" w:rsidRDefault="008A3A55" w:rsidP="00126FCE">
      <w:pPr>
        <w:pStyle w:val="TOC2"/>
        <w:keepNext w:val="0"/>
        <w:keepLines w:val="0"/>
        <w:tabs>
          <w:tab w:val="left" w:pos="2268"/>
        </w:tabs>
        <w:rPr>
          <w:noProof/>
        </w:rPr>
      </w:pPr>
      <w:hyperlink w:anchor="_Toc413673437" w:history="1">
        <w:r w:rsidR="002F01EB">
          <w:rPr>
            <w:rStyle w:val="Hyperlink"/>
            <w:noProof/>
          </w:rPr>
          <w:t>6</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Borrowings</w:t>
        </w:r>
        <w:r w:rsidR="000A55DA">
          <w:rPr>
            <w:noProof/>
            <w:webHidden/>
          </w:rPr>
          <w:tab/>
        </w:r>
        <w:r w:rsidR="000A55DA">
          <w:rPr>
            <w:noProof/>
            <w:webHidden/>
          </w:rPr>
          <w:fldChar w:fldCharType="begin"/>
        </w:r>
        <w:r w:rsidR="000A55DA">
          <w:rPr>
            <w:noProof/>
            <w:webHidden/>
          </w:rPr>
          <w:instrText xml:space="preserve"> PAGEREF _Toc413673437 \h </w:instrText>
        </w:r>
        <w:r w:rsidR="000A55DA">
          <w:rPr>
            <w:noProof/>
            <w:webHidden/>
          </w:rPr>
        </w:r>
        <w:r w:rsidR="000A55DA">
          <w:rPr>
            <w:noProof/>
            <w:webHidden/>
          </w:rPr>
          <w:fldChar w:fldCharType="separate"/>
        </w:r>
        <w:r w:rsidR="00D96744">
          <w:rPr>
            <w:noProof/>
            <w:webHidden/>
          </w:rPr>
          <w:t>6</w:t>
        </w:r>
        <w:r w:rsidR="000A55DA">
          <w:rPr>
            <w:noProof/>
            <w:webHidden/>
          </w:rPr>
          <w:fldChar w:fldCharType="end"/>
        </w:r>
      </w:hyperlink>
    </w:p>
    <w:p w14:paraId="79D0BA5B" w14:textId="77777777" w:rsidR="002F01EB" w:rsidRPr="002F01EB" w:rsidRDefault="002F01EB" w:rsidP="002F01EB">
      <w:pPr>
        <w:pStyle w:val="TOC2"/>
        <w:keepNext w:val="0"/>
        <w:keepLines w:val="0"/>
        <w:tabs>
          <w:tab w:val="left" w:pos="2268"/>
        </w:tabs>
        <w:rPr>
          <w:rStyle w:val="Hyperlink"/>
          <w:noProof/>
          <w:color w:val="auto"/>
          <w:u w:val="none"/>
        </w:rPr>
      </w:pPr>
      <w:r w:rsidRPr="002F01EB">
        <w:rPr>
          <w:rStyle w:val="Hyperlink"/>
          <w:noProof/>
          <w:color w:val="auto"/>
          <w:u w:val="none"/>
        </w:rPr>
        <w:t>6A</w:t>
      </w:r>
      <w:r w:rsidRPr="002F01EB">
        <w:rPr>
          <w:rStyle w:val="Hyperlink"/>
          <w:noProof/>
          <w:color w:val="auto"/>
          <w:u w:val="none"/>
        </w:rPr>
        <w:tab/>
        <w:t>Donating to medical research is a permitted purpose.</w:t>
      </w:r>
      <w:r w:rsidRPr="002F01EB">
        <w:rPr>
          <w:rStyle w:val="Hyperlink"/>
          <w:noProof/>
          <w:color w:val="auto"/>
          <w:u w:val="none"/>
        </w:rPr>
        <w:tab/>
        <w:t>7</w:t>
      </w:r>
    </w:p>
    <w:p w14:paraId="578A2F6B" w14:textId="77777777" w:rsidR="000A55DA" w:rsidRDefault="008A3A55" w:rsidP="00126FCE">
      <w:pPr>
        <w:pStyle w:val="TOC1"/>
        <w:keepNext w:val="0"/>
        <w:keepLines w:val="0"/>
        <w:rPr>
          <w:rFonts w:asciiTheme="minorHAnsi" w:eastAsiaTheme="minorEastAsia" w:hAnsiTheme="minorHAnsi" w:cstheme="minorBidi"/>
          <w:b w:val="0"/>
          <w:noProof/>
          <w:kern w:val="0"/>
          <w:sz w:val="22"/>
          <w:szCs w:val="22"/>
        </w:rPr>
      </w:pPr>
      <w:hyperlink w:anchor="_Toc413673438" w:history="1">
        <w:r w:rsidR="000A55DA" w:rsidRPr="00FF0B2C">
          <w:rPr>
            <w:rStyle w:val="Hyperlink"/>
            <w:noProof/>
          </w:rPr>
          <w:t>Part 3 – Restructure of health benefits funds</w:t>
        </w:r>
        <w:r w:rsidR="0094386F">
          <w:rPr>
            <w:rStyle w:val="Hyperlink"/>
            <w:noProof/>
          </w:rPr>
          <w:t xml:space="preserve">  </w:t>
        </w:r>
        <w:r w:rsidR="000A55DA">
          <w:rPr>
            <w:noProof/>
            <w:webHidden/>
          </w:rPr>
          <w:tab/>
        </w:r>
        <w:r w:rsidR="000A55DA">
          <w:rPr>
            <w:noProof/>
            <w:webHidden/>
          </w:rPr>
          <w:fldChar w:fldCharType="begin"/>
        </w:r>
        <w:r w:rsidR="000A55DA">
          <w:rPr>
            <w:noProof/>
            <w:webHidden/>
          </w:rPr>
          <w:instrText xml:space="preserve"> PAGEREF _Toc413673438 \h </w:instrText>
        </w:r>
        <w:r w:rsidR="000A55DA">
          <w:rPr>
            <w:noProof/>
            <w:webHidden/>
          </w:rPr>
        </w:r>
        <w:r w:rsidR="000A55DA">
          <w:rPr>
            <w:noProof/>
            <w:webHidden/>
          </w:rPr>
          <w:fldChar w:fldCharType="separate"/>
        </w:r>
        <w:r w:rsidR="00D96744">
          <w:rPr>
            <w:noProof/>
            <w:webHidden/>
          </w:rPr>
          <w:t>8</w:t>
        </w:r>
        <w:r w:rsidR="000A55DA">
          <w:rPr>
            <w:noProof/>
            <w:webHidden/>
          </w:rPr>
          <w:fldChar w:fldCharType="end"/>
        </w:r>
      </w:hyperlink>
    </w:p>
    <w:p w14:paraId="6B49F58F"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39" w:history="1">
        <w:r w:rsidR="002F01EB">
          <w:rPr>
            <w:rStyle w:val="Hyperlink"/>
            <w:noProof/>
          </w:rPr>
          <w:t>7</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Restructure under section 32 of the Act</w:t>
        </w:r>
        <w:r w:rsidR="000A55DA">
          <w:rPr>
            <w:noProof/>
            <w:webHidden/>
          </w:rPr>
          <w:tab/>
        </w:r>
        <w:r w:rsidR="000A55DA">
          <w:rPr>
            <w:noProof/>
            <w:webHidden/>
          </w:rPr>
          <w:fldChar w:fldCharType="begin"/>
        </w:r>
        <w:r w:rsidR="000A55DA">
          <w:rPr>
            <w:noProof/>
            <w:webHidden/>
          </w:rPr>
          <w:instrText xml:space="preserve"> PAGEREF _Toc413673439 \h </w:instrText>
        </w:r>
        <w:r w:rsidR="000A55DA">
          <w:rPr>
            <w:noProof/>
            <w:webHidden/>
          </w:rPr>
        </w:r>
        <w:r w:rsidR="000A55DA">
          <w:rPr>
            <w:noProof/>
            <w:webHidden/>
          </w:rPr>
          <w:fldChar w:fldCharType="separate"/>
        </w:r>
        <w:r w:rsidR="00D96744">
          <w:rPr>
            <w:noProof/>
            <w:webHidden/>
          </w:rPr>
          <w:t>8</w:t>
        </w:r>
        <w:r w:rsidR="000A55DA">
          <w:rPr>
            <w:noProof/>
            <w:webHidden/>
          </w:rPr>
          <w:fldChar w:fldCharType="end"/>
        </w:r>
      </w:hyperlink>
    </w:p>
    <w:p w14:paraId="0F5E590D"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40" w:history="1">
        <w:r w:rsidR="002F01EB">
          <w:rPr>
            <w:rStyle w:val="Hyperlink"/>
            <w:noProof/>
          </w:rPr>
          <w:t>8</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Requirements in relation to a restructure</w:t>
        </w:r>
        <w:r w:rsidR="000A55DA">
          <w:rPr>
            <w:noProof/>
            <w:webHidden/>
          </w:rPr>
          <w:tab/>
        </w:r>
        <w:r w:rsidR="000A55DA">
          <w:rPr>
            <w:noProof/>
            <w:webHidden/>
          </w:rPr>
          <w:fldChar w:fldCharType="begin"/>
        </w:r>
        <w:r w:rsidR="000A55DA">
          <w:rPr>
            <w:noProof/>
            <w:webHidden/>
          </w:rPr>
          <w:instrText xml:space="preserve"> PAGEREF _Toc413673440 \h </w:instrText>
        </w:r>
        <w:r w:rsidR="000A55DA">
          <w:rPr>
            <w:noProof/>
            <w:webHidden/>
          </w:rPr>
        </w:r>
        <w:r w:rsidR="000A55DA">
          <w:rPr>
            <w:noProof/>
            <w:webHidden/>
          </w:rPr>
          <w:fldChar w:fldCharType="separate"/>
        </w:r>
        <w:r w:rsidR="00D96744">
          <w:rPr>
            <w:noProof/>
            <w:webHidden/>
          </w:rPr>
          <w:t>9</w:t>
        </w:r>
        <w:r w:rsidR="000A55DA">
          <w:rPr>
            <w:noProof/>
            <w:webHidden/>
          </w:rPr>
          <w:fldChar w:fldCharType="end"/>
        </w:r>
      </w:hyperlink>
    </w:p>
    <w:p w14:paraId="318B02FE"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41" w:history="1">
        <w:r w:rsidR="002F01EB">
          <w:rPr>
            <w:rStyle w:val="Hyperlink"/>
            <w:noProof/>
          </w:rPr>
          <w:t>9</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Criteria for approving or refusing a restructure</w:t>
        </w:r>
        <w:r w:rsidR="000A55DA">
          <w:rPr>
            <w:noProof/>
            <w:webHidden/>
          </w:rPr>
          <w:tab/>
        </w:r>
        <w:r w:rsidR="000A55DA">
          <w:rPr>
            <w:noProof/>
            <w:webHidden/>
          </w:rPr>
          <w:fldChar w:fldCharType="begin"/>
        </w:r>
        <w:r w:rsidR="000A55DA">
          <w:rPr>
            <w:noProof/>
            <w:webHidden/>
          </w:rPr>
          <w:instrText xml:space="preserve"> PAGEREF _Toc413673441 \h </w:instrText>
        </w:r>
        <w:r w:rsidR="000A55DA">
          <w:rPr>
            <w:noProof/>
            <w:webHidden/>
          </w:rPr>
        </w:r>
        <w:r w:rsidR="000A55DA">
          <w:rPr>
            <w:noProof/>
            <w:webHidden/>
          </w:rPr>
          <w:fldChar w:fldCharType="separate"/>
        </w:r>
        <w:r w:rsidR="00D96744">
          <w:rPr>
            <w:noProof/>
            <w:webHidden/>
          </w:rPr>
          <w:t>12</w:t>
        </w:r>
        <w:r w:rsidR="000A55DA">
          <w:rPr>
            <w:noProof/>
            <w:webHidden/>
          </w:rPr>
          <w:fldChar w:fldCharType="end"/>
        </w:r>
      </w:hyperlink>
    </w:p>
    <w:p w14:paraId="3CFE97C0"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42" w:history="1">
        <w:r w:rsidR="002F01EB">
          <w:rPr>
            <w:rStyle w:val="Hyperlink"/>
            <w:noProof/>
          </w:rPr>
          <w:t>10</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How a restructure takes place</w:t>
        </w:r>
        <w:r w:rsidR="000A55DA">
          <w:rPr>
            <w:noProof/>
            <w:webHidden/>
          </w:rPr>
          <w:tab/>
        </w:r>
        <w:r w:rsidR="000A55DA">
          <w:rPr>
            <w:noProof/>
            <w:webHidden/>
          </w:rPr>
          <w:fldChar w:fldCharType="begin"/>
        </w:r>
        <w:r w:rsidR="000A55DA">
          <w:rPr>
            <w:noProof/>
            <w:webHidden/>
          </w:rPr>
          <w:instrText xml:space="preserve"> PAGEREF _Toc413673442 \h </w:instrText>
        </w:r>
        <w:r w:rsidR="000A55DA">
          <w:rPr>
            <w:noProof/>
            <w:webHidden/>
          </w:rPr>
        </w:r>
        <w:r w:rsidR="000A55DA">
          <w:rPr>
            <w:noProof/>
            <w:webHidden/>
          </w:rPr>
          <w:fldChar w:fldCharType="separate"/>
        </w:r>
        <w:r w:rsidR="00D96744">
          <w:rPr>
            <w:noProof/>
            <w:webHidden/>
          </w:rPr>
          <w:t>13</w:t>
        </w:r>
        <w:r w:rsidR="000A55DA">
          <w:rPr>
            <w:noProof/>
            <w:webHidden/>
          </w:rPr>
          <w:fldChar w:fldCharType="end"/>
        </w:r>
      </w:hyperlink>
    </w:p>
    <w:p w14:paraId="0E10738D"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43" w:history="1">
        <w:r w:rsidR="002F01EB">
          <w:rPr>
            <w:rStyle w:val="Hyperlink"/>
            <w:noProof/>
          </w:rPr>
          <w:t>11</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Notification to interested persons of the outcome of an application</w:t>
        </w:r>
        <w:r w:rsidR="000A55DA">
          <w:rPr>
            <w:noProof/>
            <w:webHidden/>
          </w:rPr>
          <w:tab/>
        </w:r>
        <w:r w:rsidR="000A55DA">
          <w:rPr>
            <w:noProof/>
            <w:webHidden/>
          </w:rPr>
          <w:fldChar w:fldCharType="begin"/>
        </w:r>
        <w:r w:rsidR="000A55DA">
          <w:rPr>
            <w:noProof/>
            <w:webHidden/>
          </w:rPr>
          <w:instrText xml:space="preserve"> PAGEREF _Toc413673443 \h </w:instrText>
        </w:r>
        <w:r w:rsidR="000A55DA">
          <w:rPr>
            <w:noProof/>
            <w:webHidden/>
          </w:rPr>
        </w:r>
        <w:r w:rsidR="000A55DA">
          <w:rPr>
            <w:noProof/>
            <w:webHidden/>
          </w:rPr>
          <w:fldChar w:fldCharType="separate"/>
        </w:r>
        <w:r w:rsidR="00D96744">
          <w:rPr>
            <w:noProof/>
            <w:webHidden/>
          </w:rPr>
          <w:t>13</w:t>
        </w:r>
        <w:r w:rsidR="000A55DA">
          <w:rPr>
            <w:noProof/>
            <w:webHidden/>
          </w:rPr>
          <w:fldChar w:fldCharType="end"/>
        </w:r>
      </w:hyperlink>
    </w:p>
    <w:p w14:paraId="282D90B0" w14:textId="77777777" w:rsidR="000A55DA" w:rsidRDefault="008A3A55" w:rsidP="00126FCE">
      <w:pPr>
        <w:pStyle w:val="TOC1"/>
        <w:keepNext w:val="0"/>
        <w:keepLines w:val="0"/>
        <w:rPr>
          <w:rFonts w:asciiTheme="minorHAnsi" w:eastAsiaTheme="minorEastAsia" w:hAnsiTheme="minorHAnsi" w:cstheme="minorBidi"/>
          <w:b w:val="0"/>
          <w:noProof/>
          <w:kern w:val="0"/>
          <w:sz w:val="22"/>
          <w:szCs w:val="22"/>
        </w:rPr>
      </w:pPr>
      <w:hyperlink w:anchor="_Toc413673444" w:history="1">
        <w:r w:rsidR="000A55DA" w:rsidRPr="00FF0B2C">
          <w:rPr>
            <w:rStyle w:val="Hyperlink"/>
            <w:noProof/>
          </w:rPr>
          <w:t>Part 4 – Merger and acquisition of health benefits funds</w:t>
        </w:r>
        <w:r w:rsidR="000A55DA">
          <w:rPr>
            <w:noProof/>
            <w:webHidden/>
          </w:rPr>
          <w:tab/>
        </w:r>
        <w:r w:rsidR="000A55DA">
          <w:rPr>
            <w:noProof/>
            <w:webHidden/>
          </w:rPr>
          <w:fldChar w:fldCharType="begin"/>
        </w:r>
        <w:r w:rsidR="000A55DA">
          <w:rPr>
            <w:noProof/>
            <w:webHidden/>
          </w:rPr>
          <w:instrText xml:space="preserve"> PAGEREF _Toc413673444 \h </w:instrText>
        </w:r>
        <w:r w:rsidR="000A55DA">
          <w:rPr>
            <w:noProof/>
            <w:webHidden/>
          </w:rPr>
        </w:r>
        <w:r w:rsidR="000A55DA">
          <w:rPr>
            <w:noProof/>
            <w:webHidden/>
          </w:rPr>
          <w:fldChar w:fldCharType="separate"/>
        </w:r>
        <w:r w:rsidR="00D96744">
          <w:rPr>
            <w:noProof/>
            <w:webHidden/>
          </w:rPr>
          <w:t>15</w:t>
        </w:r>
        <w:r w:rsidR="000A55DA">
          <w:rPr>
            <w:noProof/>
            <w:webHidden/>
          </w:rPr>
          <w:fldChar w:fldCharType="end"/>
        </w:r>
      </w:hyperlink>
    </w:p>
    <w:p w14:paraId="771466B5"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45" w:history="1">
        <w:r w:rsidR="000A55DA" w:rsidRPr="00FF0B2C">
          <w:rPr>
            <w:rStyle w:val="Hyperlink"/>
            <w:noProof/>
          </w:rPr>
          <w:t>1</w:t>
        </w:r>
        <w:r w:rsidR="002F01EB">
          <w:rPr>
            <w:rStyle w:val="Hyperlink"/>
            <w:noProof/>
          </w:rPr>
          <w:t>1</w:t>
        </w:r>
        <w:r w:rsidR="000A55DA" w:rsidRPr="00FF0B2C">
          <w:rPr>
            <w:rStyle w:val="Hyperlink"/>
            <w:noProof/>
          </w:rPr>
          <w:t>A</w:t>
        </w:r>
        <w:r w:rsidR="000A55DA">
          <w:rPr>
            <w:rFonts w:asciiTheme="minorHAnsi" w:eastAsiaTheme="minorEastAsia" w:hAnsiTheme="minorHAnsi" w:cstheme="minorBidi"/>
            <w:noProof/>
            <w:kern w:val="0"/>
            <w:sz w:val="22"/>
            <w:szCs w:val="22"/>
          </w:rPr>
          <w:tab/>
        </w:r>
        <w:r w:rsidR="000A55DA" w:rsidRPr="00FF0B2C">
          <w:rPr>
            <w:rStyle w:val="Hyperlink"/>
            <w:noProof/>
          </w:rPr>
          <w:t>Interpretation</w:t>
        </w:r>
        <w:r w:rsidR="000A55DA">
          <w:rPr>
            <w:noProof/>
            <w:webHidden/>
          </w:rPr>
          <w:tab/>
        </w:r>
        <w:r w:rsidR="000A55DA">
          <w:rPr>
            <w:noProof/>
            <w:webHidden/>
          </w:rPr>
          <w:fldChar w:fldCharType="begin"/>
        </w:r>
        <w:r w:rsidR="000A55DA">
          <w:rPr>
            <w:noProof/>
            <w:webHidden/>
          </w:rPr>
          <w:instrText xml:space="preserve"> PAGEREF _Toc413673445 \h </w:instrText>
        </w:r>
        <w:r w:rsidR="000A55DA">
          <w:rPr>
            <w:noProof/>
            <w:webHidden/>
          </w:rPr>
        </w:r>
        <w:r w:rsidR="000A55DA">
          <w:rPr>
            <w:noProof/>
            <w:webHidden/>
          </w:rPr>
          <w:fldChar w:fldCharType="separate"/>
        </w:r>
        <w:r w:rsidR="00D96744">
          <w:rPr>
            <w:noProof/>
            <w:webHidden/>
          </w:rPr>
          <w:t>15</w:t>
        </w:r>
        <w:r w:rsidR="000A55DA">
          <w:rPr>
            <w:noProof/>
            <w:webHidden/>
          </w:rPr>
          <w:fldChar w:fldCharType="end"/>
        </w:r>
      </w:hyperlink>
    </w:p>
    <w:p w14:paraId="64B5257D"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46" w:history="1">
        <w:r w:rsidR="000A55DA" w:rsidRPr="00FF0B2C">
          <w:rPr>
            <w:rStyle w:val="Hyperlink"/>
            <w:noProof/>
          </w:rPr>
          <w:t>1</w:t>
        </w:r>
        <w:r w:rsidR="002F01EB">
          <w:rPr>
            <w:rStyle w:val="Hyperlink"/>
            <w:noProof/>
          </w:rPr>
          <w:t>2</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Merger and acquisition under section 33 of the Act</w:t>
        </w:r>
        <w:r w:rsidR="000A55DA">
          <w:rPr>
            <w:noProof/>
            <w:webHidden/>
          </w:rPr>
          <w:tab/>
        </w:r>
        <w:r w:rsidR="000A55DA">
          <w:rPr>
            <w:noProof/>
            <w:webHidden/>
          </w:rPr>
          <w:fldChar w:fldCharType="begin"/>
        </w:r>
        <w:r w:rsidR="000A55DA">
          <w:rPr>
            <w:noProof/>
            <w:webHidden/>
          </w:rPr>
          <w:instrText xml:space="preserve"> PAGEREF _Toc413673446 \h </w:instrText>
        </w:r>
        <w:r w:rsidR="000A55DA">
          <w:rPr>
            <w:noProof/>
            <w:webHidden/>
          </w:rPr>
        </w:r>
        <w:r w:rsidR="000A55DA">
          <w:rPr>
            <w:noProof/>
            <w:webHidden/>
          </w:rPr>
          <w:fldChar w:fldCharType="separate"/>
        </w:r>
        <w:r w:rsidR="00D96744">
          <w:rPr>
            <w:noProof/>
            <w:webHidden/>
          </w:rPr>
          <w:t>15</w:t>
        </w:r>
        <w:r w:rsidR="000A55DA">
          <w:rPr>
            <w:noProof/>
            <w:webHidden/>
          </w:rPr>
          <w:fldChar w:fldCharType="end"/>
        </w:r>
      </w:hyperlink>
    </w:p>
    <w:p w14:paraId="146C1071" w14:textId="77777777" w:rsidR="000A55DA" w:rsidRDefault="008A3A55" w:rsidP="004344B6">
      <w:pPr>
        <w:pStyle w:val="TOC2"/>
        <w:keepNext w:val="0"/>
        <w:keepLines w:val="0"/>
        <w:tabs>
          <w:tab w:val="left" w:pos="2268"/>
        </w:tabs>
        <w:rPr>
          <w:rFonts w:asciiTheme="minorHAnsi" w:eastAsiaTheme="minorEastAsia" w:hAnsiTheme="minorHAnsi" w:cstheme="minorBidi"/>
          <w:noProof/>
          <w:kern w:val="0"/>
          <w:sz w:val="22"/>
          <w:szCs w:val="22"/>
        </w:rPr>
      </w:pPr>
      <w:hyperlink w:anchor="_Toc413673447" w:history="1">
        <w:r w:rsidR="000A55DA" w:rsidRPr="00FF0B2C">
          <w:rPr>
            <w:rStyle w:val="Hyperlink"/>
            <w:noProof/>
          </w:rPr>
          <w:t>1</w:t>
        </w:r>
        <w:r w:rsidR="002F01EB">
          <w:rPr>
            <w:rStyle w:val="Hyperlink"/>
            <w:noProof/>
          </w:rPr>
          <w:t>3</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Requirements in relation to a merger or acquisition</w:t>
        </w:r>
        <w:r w:rsidR="000A55DA">
          <w:rPr>
            <w:noProof/>
            <w:webHidden/>
          </w:rPr>
          <w:tab/>
        </w:r>
        <w:r w:rsidR="000A55DA">
          <w:rPr>
            <w:noProof/>
            <w:webHidden/>
          </w:rPr>
          <w:fldChar w:fldCharType="begin"/>
        </w:r>
        <w:r w:rsidR="000A55DA">
          <w:rPr>
            <w:noProof/>
            <w:webHidden/>
          </w:rPr>
          <w:instrText xml:space="preserve"> PAGEREF _Toc413673447 \h </w:instrText>
        </w:r>
        <w:r w:rsidR="000A55DA">
          <w:rPr>
            <w:noProof/>
            <w:webHidden/>
          </w:rPr>
        </w:r>
        <w:r w:rsidR="000A55DA">
          <w:rPr>
            <w:noProof/>
            <w:webHidden/>
          </w:rPr>
          <w:fldChar w:fldCharType="separate"/>
        </w:r>
        <w:r w:rsidR="00D96744">
          <w:rPr>
            <w:noProof/>
            <w:webHidden/>
          </w:rPr>
          <w:t>17</w:t>
        </w:r>
        <w:r w:rsidR="000A55DA">
          <w:rPr>
            <w:noProof/>
            <w:webHidden/>
          </w:rPr>
          <w:fldChar w:fldCharType="end"/>
        </w:r>
      </w:hyperlink>
    </w:p>
    <w:p w14:paraId="10BF8556" w14:textId="77777777" w:rsidR="000A55DA" w:rsidRDefault="008A3A55" w:rsidP="004344B6">
      <w:pPr>
        <w:pStyle w:val="TOC2"/>
        <w:keepNext w:val="0"/>
        <w:keepLines w:val="0"/>
        <w:tabs>
          <w:tab w:val="left" w:pos="2268"/>
        </w:tabs>
        <w:rPr>
          <w:rFonts w:asciiTheme="minorHAnsi" w:eastAsiaTheme="minorEastAsia" w:hAnsiTheme="minorHAnsi" w:cstheme="minorBidi"/>
          <w:noProof/>
          <w:kern w:val="0"/>
          <w:sz w:val="22"/>
          <w:szCs w:val="22"/>
        </w:rPr>
      </w:pPr>
      <w:hyperlink w:anchor="_Toc413673448" w:history="1">
        <w:r w:rsidR="000A55DA" w:rsidRPr="00FF0B2C">
          <w:rPr>
            <w:rStyle w:val="Hyperlink"/>
            <w:noProof/>
          </w:rPr>
          <w:t>1</w:t>
        </w:r>
        <w:r w:rsidR="002F01EB">
          <w:rPr>
            <w:rStyle w:val="Hyperlink"/>
            <w:noProof/>
          </w:rPr>
          <w:t>4</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Criteria for approving or refusing a merger or acquisition</w:t>
        </w:r>
        <w:r w:rsidR="000A55DA">
          <w:rPr>
            <w:noProof/>
            <w:webHidden/>
          </w:rPr>
          <w:tab/>
        </w:r>
        <w:r w:rsidR="000A55DA">
          <w:rPr>
            <w:noProof/>
            <w:webHidden/>
          </w:rPr>
          <w:fldChar w:fldCharType="begin"/>
        </w:r>
        <w:r w:rsidR="000A55DA">
          <w:rPr>
            <w:noProof/>
            <w:webHidden/>
          </w:rPr>
          <w:instrText xml:space="preserve"> PAGEREF _Toc413673448 \h </w:instrText>
        </w:r>
        <w:r w:rsidR="000A55DA">
          <w:rPr>
            <w:noProof/>
            <w:webHidden/>
          </w:rPr>
        </w:r>
        <w:r w:rsidR="000A55DA">
          <w:rPr>
            <w:noProof/>
            <w:webHidden/>
          </w:rPr>
          <w:fldChar w:fldCharType="separate"/>
        </w:r>
        <w:r w:rsidR="00D96744">
          <w:rPr>
            <w:noProof/>
            <w:webHidden/>
          </w:rPr>
          <w:t>20</w:t>
        </w:r>
        <w:r w:rsidR="000A55DA">
          <w:rPr>
            <w:noProof/>
            <w:webHidden/>
          </w:rPr>
          <w:fldChar w:fldCharType="end"/>
        </w:r>
      </w:hyperlink>
    </w:p>
    <w:p w14:paraId="1E6AF642" w14:textId="77777777" w:rsidR="000A55DA" w:rsidRDefault="008A3A55" w:rsidP="004344B6">
      <w:pPr>
        <w:pStyle w:val="TOC2"/>
        <w:keepNext w:val="0"/>
        <w:keepLines w:val="0"/>
        <w:tabs>
          <w:tab w:val="left" w:pos="2268"/>
        </w:tabs>
        <w:rPr>
          <w:rFonts w:asciiTheme="minorHAnsi" w:eastAsiaTheme="minorEastAsia" w:hAnsiTheme="minorHAnsi" w:cstheme="minorBidi"/>
          <w:noProof/>
          <w:kern w:val="0"/>
          <w:sz w:val="22"/>
          <w:szCs w:val="22"/>
        </w:rPr>
      </w:pPr>
      <w:hyperlink w:anchor="_Toc413673449" w:history="1">
        <w:r w:rsidR="000A55DA" w:rsidRPr="00FF0B2C">
          <w:rPr>
            <w:rStyle w:val="Hyperlink"/>
            <w:noProof/>
          </w:rPr>
          <w:t>1</w:t>
        </w:r>
        <w:r w:rsidR="002F01EB">
          <w:rPr>
            <w:rStyle w:val="Hyperlink"/>
            <w:noProof/>
          </w:rPr>
          <w:t>4</w:t>
        </w:r>
        <w:r w:rsidR="000A55DA" w:rsidRPr="00FF0B2C">
          <w:rPr>
            <w:rStyle w:val="Hyperlink"/>
            <w:noProof/>
          </w:rPr>
          <w:t>A</w:t>
        </w:r>
        <w:r w:rsidR="000A55DA">
          <w:rPr>
            <w:rFonts w:asciiTheme="minorHAnsi" w:eastAsiaTheme="minorEastAsia" w:hAnsiTheme="minorHAnsi" w:cstheme="minorBidi"/>
            <w:noProof/>
            <w:kern w:val="0"/>
            <w:sz w:val="22"/>
            <w:szCs w:val="22"/>
          </w:rPr>
          <w:tab/>
        </w:r>
        <w:r w:rsidR="000A55DA" w:rsidRPr="00FF0B2C">
          <w:rPr>
            <w:rStyle w:val="Hyperlink"/>
            <w:noProof/>
          </w:rPr>
          <w:t>Additional criteria for approving or refusing a merger or acquisition</w:t>
        </w:r>
        <w:r w:rsidR="000A55DA">
          <w:rPr>
            <w:noProof/>
            <w:webHidden/>
          </w:rPr>
          <w:tab/>
        </w:r>
        <w:r w:rsidR="000A55DA">
          <w:rPr>
            <w:noProof/>
            <w:webHidden/>
          </w:rPr>
          <w:fldChar w:fldCharType="begin"/>
        </w:r>
        <w:r w:rsidR="000A55DA">
          <w:rPr>
            <w:noProof/>
            <w:webHidden/>
          </w:rPr>
          <w:instrText xml:space="preserve"> PAGEREF _Toc413673449 \h </w:instrText>
        </w:r>
        <w:r w:rsidR="000A55DA">
          <w:rPr>
            <w:noProof/>
            <w:webHidden/>
          </w:rPr>
        </w:r>
        <w:r w:rsidR="000A55DA">
          <w:rPr>
            <w:noProof/>
            <w:webHidden/>
          </w:rPr>
          <w:fldChar w:fldCharType="separate"/>
        </w:r>
        <w:r w:rsidR="00D96744">
          <w:rPr>
            <w:noProof/>
            <w:webHidden/>
          </w:rPr>
          <w:t>22</w:t>
        </w:r>
        <w:r w:rsidR="000A55DA">
          <w:rPr>
            <w:noProof/>
            <w:webHidden/>
          </w:rPr>
          <w:fldChar w:fldCharType="end"/>
        </w:r>
      </w:hyperlink>
    </w:p>
    <w:p w14:paraId="0875F66E"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50" w:history="1">
        <w:r w:rsidR="000A55DA" w:rsidRPr="00FF0B2C">
          <w:rPr>
            <w:rStyle w:val="Hyperlink"/>
            <w:noProof/>
          </w:rPr>
          <w:t>1</w:t>
        </w:r>
        <w:r w:rsidR="002F01EB">
          <w:rPr>
            <w:rStyle w:val="Hyperlink"/>
            <w:noProof/>
          </w:rPr>
          <w:t>5</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How a merger or acquisition takes effect</w:t>
        </w:r>
        <w:r w:rsidR="000A55DA">
          <w:rPr>
            <w:noProof/>
            <w:webHidden/>
          </w:rPr>
          <w:tab/>
        </w:r>
        <w:r w:rsidR="000A55DA">
          <w:rPr>
            <w:noProof/>
            <w:webHidden/>
          </w:rPr>
          <w:fldChar w:fldCharType="begin"/>
        </w:r>
        <w:r w:rsidR="000A55DA">
          <w:rPr>
            <w:noProof/>
            <w:webHidden/>
          </w:rPr>
          <w:instrText xml:space="preserve"> PAGEREF _Toc413673450 \h </w:instrText>
        </w:r>
        <w:r w:rsidR="000A55DA">
          <w:rPr>
            <w:noProof/>
            <w:webHidden/>
          </w:rPr>
        </w:r>
        <w:r w:rsidR="000A55DA">
          <w:rPr>
            <w:noProof/>
            <w:webHidden/>
          </w:rPr>
          <w:fldChar w:fldCharType="separate"/>
        </w:r>
        <w:r w:rsidR="00D96744">
          <w:rPr>
            <w:noProof/>
            <w:webHidden/>
          </w:rPr>
          <w:t>22</w:t>
        </w:r>
        <w:r w:rsidR="000A55DA">
          <w:rPr>
            <w:noProof/>
            <w:webHidden/>
          </w:rPr>
          <w:fldChar w:fldCharType="end"/>
        </w:r>
      </w:hyperlink>
    </w:p>
    <w:p w14:paraId="307B9322"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51" w:history="1">
        <w:r w:rsidR="000A55DA" w:rsidRPr="00FF0B2C">
          <w:rPr>
            <w:rStyle w:val="Hyperlink"/>
            <w:noProof/>
          </w:rPr>
          <w:t>1</w:t>
        </w:r>
        <w:r w:rsidR="002F01EB">
          <w:rPr>
            <w:rStyle w:val="Hyperlink"/>
            <w:noProof/>
          </w:rPr>
          <w:t>6</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Notification to interested persons of outcome of a section </w:t>
        </w:r>
        <w:r w:rsidR="002F01EB">
          <w:rPr>
            <w:rStyle w:val="Hyperlink"/>
            <w:noProof/>
          </w:rPr>
          <w:br/>
        </w:r>
        <w:r w:rsidR="000A55DA" w:rsidRPr="00FF0B2C">
          <w:rPr>
            <w:rStyle w:val="Hyperlink"/>
            <w:noProof/>
          </w:rPr>
          <w:t>33 application</w:t>
        </w:r>
        <w:r w:rsidR="000A55DA">
          <w:rPr>
            <w:noProof/>
            <w:webHidden/>
          </w:rPr>
          <w:tab/>
        </w:r>
        <w:r w:rsidR="000A55DA">
          <w:rPr>
            <w:noProof/>
            <w:webHidden/>
          </w:rPr>
          <w:fldChar w:fldCharType="begin"/>
        </w:r>
        <w:r w:rsidR="000A55DA">
          <w:rPr>
            <w:noProof/>
            <w:webHidden/>
          </w:rPr>
          <w:instrText xml:space="preserve"> PAGEREF _Toc413673451 \h </w:instrText>
        </w:r>
        <w:r w:rsidR="000A55DA">
          <w:rPr>
            <w:noProof/>
            <w:webHidden/>
          </w:rPr>
        </w:r>
        <w:r w:rsidR="000A55DA">
          <w:rPr>
            <w:noProof/>
            <w:webHidden/>
          </w:rPr>
          <w:fldChar w:fldCharType="separate"/>
        </w:r>
        <w:r w:rsidR="00D96744">
          <w:rPr>
            <w:noProof/>
            <w:webHidden/>
          </w:rPr>
          <w:t>23</w:t>
        </w:r>
        <w:r w:rsidR="000A55DA">
          <w:rPr>
            <w:noProof/>
            <w:webHidden/>
          </w:rPr>
          <w:fldChar w:fldCharType="end"/>
        </w:r>
      </w:hyperlink>
    </w:p>
    <w:p w14:paraId="0FC84989" w14:textId="77777777" w:rsidR="000A55DA" w:rsidRDefault="008A3A55" w:rsidP="00126FCE">
      <w:pPr>
        <w:pStyle w:val="TOC1"/>
        <w:keepNext w:val="0"/>
        <w:keepLines w:val="0"/>
        <w:rPr>
          <w:rFonts w:asciiTheme="minorHAnsi" w:eastAsiaTheme="minorEastAsia" w:hAnsiTheme="minorHAnsi" w:cstheme="minorBidi"/>
          <w:b w:val="0"/>
          <w:noProof/>
          <w:kern w:val="0"/>
          <w:sz w:val="22"/>
          <w:szCs w:val="22"/>
        </w:rPr>
      </w:pPr>
      <w:hyperlink w:anchor="_Toc413673452" w:history="1">
        <w:r w:rsidR="000A55DA" w:rsidRPr="00FF0B2C">
          <w:rPr>
            <w:rStyle w:val="Hyperlink"/>
            <w:noProof/>
          </w:rPr>
          <w:t>Part 5 - Private health insurers to notify APRA about certain matters</w:t>
        </w:r>
        <w:r w:rsidR="000A55DA">
          <w:rPr>
            <w:noProof/>
            <w:webHidden/>
          </w:rPr>
          <w:tab/>
        </w:r>
        <w:r w:rsidR="000A55DA">
          <w:rPr>
            <w:noProof/>
            <w:webHidden/>
          </w:rPr>
          <w:fldChar w:fldCharType="begin"/>
        </w:r>
        <w:r w:rsidR="000A55DA">
          <w:rPr>
            <w:noProof/>
            <w:webHidden/>
          </w:rPr>
          <w:instrText xml:space="preserve"> PAGEREF _Toc413673452 \h </w:instrText>
        </w:r>
        <w:r w:rsidR="000A55DA">
          <w:rPr>
            <w:noProof/>
            <w:webHidden/>
          </w:rPr>
        </w:r>
        <w:r w:rsidR="000A55DA">
          <w:rPr>
            <w:noProof/>
            <w:webHidden/>
          </w:rPr>
          <w:fldChar w:fldCharType="separate"/>
        </w:r>
        <w:r w:rsidR="00D96744">
          <w:rPr>
            <w:noProof/>
            <w:webHidden/>
          </w:rPr>
          <w:t>25</w:t>
        </w:r>
        <w:r w:rsidR="000A55DA">
          <w:rPr>
            <w:noProof/>
            <w:webHidden/>
          </w:rPr>
          <w:fldChar w:fldCharType="end"/>
        </w:r>
      </w:hyperlink>
    </w:p>
    <w:p w14:paraId="11B9B981"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53" w:history="1">
        <w:r w:rsidR="000A55DA" w:rsidRPr="00FF0B2C">
          <w:rPr>
            <w:rStyle w:val="Hyperlink"/>
            <w:noProof/>
          </w:rPr>
          <w:t>1</w:t>
        </w:r>
        <w:r w:rsidR="002F01EB">
          <w:rPr>
            <w:rStyle w:val="Hyperlink"/>
            <w:noProof/>
          </w:rPr>
          <w:t>7</w:t>
        </w:r>
        <w:r w:rsidR="000A55DA" w:rsidRPr="00FF0B2C">
          <w:rPr>
            <w:rStyle w:val="Hyperlink"/>
            <w:noProof/>
          </w:rPr>
          <w:t>.</w:t>
        </w:r>
        <w:r w:rsidR="000A55DA">
          <w:rPr>
            <w:rFonts w:asciiTheme="minorHAnsi" w:eastAsiaTheme="minorEastAsia" w:hAnsiTheme="minorHAnsi" w:cstheme="minorBidi"/>
            <w:noProof/>
            <w:kern w:val="0"/>
            <w:sz w:val="22"/>
            <w:szCs w:val="22"/>
          </w:rPr>
          <w:tab/>
        </w:r>
        <w:r w:rsidR="000A55DA" w:rsidRPr="00FF0B2C">
          <w:rPr>
            <w:rStyle w:val="Hyperlink"/>
            <w:noProof/>
          </w:rPr>
          <w:t>Notification of current chief executive officer</w:t>
        </w:r>
        <w:r w:rsidR="000A55DA">
          <w:rPr>
            <w:noProof/>
            <w:webHidden/>
          </w:rPr>
          <w:tab/>
        </w:r>
        <w:r w:rsidR="000A55DA">
          <w:rPr>
            <w:noProof/>
            <w:webHidden/>
          </w:rPr>
          <w:fldChar w:fldCharType="begin"/>
        </w:r>
        <w:r w:rsidR="000A55DA">
          <w:rPr>
            <w:noProof/>
            <w:webHidden/>
          </w:rPr>
          <w:instrText xml:space="preserve"> PAGEREF _Toc413673453 \h </w:instrText>
        </w:r>
        <w:r w:rsidR="000A55DA">
          <w:rPr>
            <w:noProof/>
            <w:webHidden/>
          </w:rPr>
        </w:r>
        <w:r w:rsidR="000A55DA">
          <w:rPr>
            <w:noProof/>
            <w:webHidden/>
          </w:rPr>
          <w:fldChar w:fldCharType="separate"/>
        </w:r>
        <w:r w:rsidR="00D96744">
          <w:rPr>
            <w:noProof/>
            <w:webHidden/>
          </w:rPr>
          <w:t>25</w:t>
        </w:r>
        <w:r w:rsidR="000A55DA">
          <w:rPr>
            <w:noProof/>
            <w:webHidden/>
          </w:rPr>
          <w:fldChar w:fldCharType="end"/>
        </w:r>
      </w:hyperlink>
    </w:p>
    <w:p w14:paraId="1D0E4E33"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54" w:history="1">
        <w:r w:rsidR="000A55DA" w:rsidRPr="00FF0B2C">
          <w:rPr>
            <w:rStyle w:val="Hyperlink"/>
            <w:noProof/>
          </w:rPr>
          <w:t>1</w:t>
        </w:r>
        <w:r w:rsidR="002F01EB">
          <w:rPr>
            <w:rStyle w:val="Hyperlink"/>
            <w:noProof/>
          </w:rPr>
          <w:t>7</w:t>
        </w:r>
        <w:r w:rsidR="000A55DA" w:rsidRPr="00FF0B2C">
          <w:rPr>
            <w:rStyle w:val="Hyperlink"/>
            <w:noProof/>
          </w:rPr>
          <w:t>A</w:t>
        </w:r>
        <w:r w:rsidR="000A55DA">
          <w:rPr>
            <w:rFonts w:asciiTheme="minorHAnsi" w:eastAsiaTheme="minorEastAsia" w:hAnsiTheme="minorHAnsi" w:cstheme="minorBidi"/>
            <w:noProof/>
            <w:kern w:val="0"/>
            <w:sz w:val="22"/>
            <w:szCs w:val="22"/>
          </w:rPr>
          <w:tab/>
        </w:r>
        <w:r w:rsidR="000A55DA" w:rsidRPr="00FF0B2C">
          <w:rPr>
            <w:rStyle w:val="Hyperlink"/>
            <w:noProof/>
          </w:rPr>
          <w:t>Notification of changes in board membership or name and contact details of a director</w:t>
        </w:r>
        <w:r w:rsidR="000A55DA">
          <w:rPr>
            <w:noProof/>
            <w:webHidden/>
          </w:rPr>
          <w:tab/>
        </w:r>
        <w:r w:rsidR="000A55DA">
          <w:rPr>
            <w:noProof/>
            <w:webHidden/>
          </w:rPr>
          <w:fldChar w:fldCharType="begin"/>
        </w:r>
        <w:r w:rsidR="000A55DA">
          <w:rPr>
            <w:noProof/>
            <w:webHidden/>
          </w:rPr>
          <w:instrText xml:space="preserve"> PAGEREF _Toc413673454 \h </w:instrText>
        </w:r>
        <w:r w:rsidR="000A55DA">
          <w:rPr>
            <w:noProof/>
            <w:webHidden/>
          </w:rPr>
        </w:r>
        <w:r w:rsidR="000A55DA">
          <w:rPr>
            <w:noProof/>
            <w:webHidden/>
          </w:rPr>
          <w:fldChar w:fldCharType="separate"/>
        </w:r>
        <w:r w:rsidR="00D96744">
          <w:rPr>
            <w:noProof/>
            <w:webHidden/>
          </w:rPr>
          <w:t>25</w:t>
        </w:r>
        <w:r w:rsidR="000A55DA">
          <w:rPr>
            <w:noProof/>
            <w:webHidden/>
          </w:rPr>
          <w:fldChar w:fldCharType="end"/>
        </w:r>
      </w:hyperlink>
    </w:p>
    <w:p w14:paraId="48DAC72E" w14:textId="77777777" w:rsidR="00D817EA" w:rsidRPr="00807CB4"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55" w:history="1">
        <w:r w:rsidR="000A55DA" w:rsidRPr="00FF0B2C">
          <w:rPr>
            <w:rStyle w:val="Hyperlink"/>
            <w:noProof/>
          </w:rPr>
          <w:t>1</w:t>
        </w:r>
        <w:r w:rsidR="002F01EB">
          <w:rPr>
            <w:rStyle w:val="Hyperlink"/>
            <w:noProof/>
          </w:rPr>
          <w:t>7</w:t>
        </w:r>
        <w:r w:rsidR="000A55DA" w:rsidRPr="00FF0B2C">
          <w:rPr>
            <w:rStyle w:val="Hyperlink"/>
            <w:noProof/>
          </w:rPr>
          <w:t>B</w:t>
        </w:r>
        <w:r w:rsidR="000A55DA">
          <w:rPr>
            <w:rFonts w:asciiTheme="minorHAnsi" w:eastAsiaTheme="minorEastAsia" w:hAnsiTheme="minorHAnsi" w:cstheme="minorBidi"/>
            <w:noProof/>
            <w:kern w:val="0"/>
            <w:sz w:val="22"/>
            <w:szCs w:val="22"/>
          </w:rPr>
          <w:tab/>
        </w:r>
        <w:r w:rsidR="000A55DA" w:rsidRPr="00FF0B2C">
          <w:rPr>
            <w:rStyle w:val="Hyperlink"/>
            <w:noProof/>
          </w:rPr>
          <w:t>Copies of reports to APRA</w:t>
        </w:r>
        <w:r w:rsidR="000A55DA">
          <w:rPr>
            <w:noProof/>
            <w:webHidden/>
          </w:rPr>
          <w:tab/>
        </w:r>
        <w:r w:rsidR="000A55DA">
          <w:rPr>
            <w:noProof/>
            <w:webHidden/>
          </w:rPr>
          <w:fldChar w:fldCharType="begin"/>
        </w:r>
        <w:r w:rsidR="000A55DA">
          <w:rPr>
            <w:noProof/>
            <w:webHidden/>
          </w:rPr>
          <w:instrText xml:space="preserve"> PAGEREF _Toc413673455 \h </w:instrText>
        </w:r>
        <w:r w:rsidR="000A55DA">
          <w:rPr>
            <w:noProof/>
            <w:webHidden/>
          </w:rPr>
        </w:r>
        <w:r w:rsidR="000A55DA">
          <w:rPr>
            <w:noProof/>
            <w:webHidden/>
          </w:rPr>
          <w:fldChar w:fldCharType="separate"/>
        </w:r>
        <w:r w:rsidR="00D96744">
          <w:rPr>
            <w:noProof/>
            <w:webHidden/>
          </w:rPr>
          <w:t>25</w:t>
        </w:r>
        <w:r w:rsidR="000A55DA">
          <w:rPr>
            <w:noProof/>
            <w:webHidden/>
          </w:rPr>
          <w:fldChar w:fldCharType="end"/>
        </w:r>
      </w:hyperlink>
    </w:p>
    <w:p w14:paraId="0C180296" w14:textId="77777777" w:rsidR="000A55DA" w:rsidRDefault="008A3A55" w:rsidP="00126FCE">
      <w:pPr>
        <w:pStyle w:val="TOC1"/>
        <w:keepLines w:val="0"/>
        <w:rPr>
          <w:rFonts w:asciiTheme="minorHAnsi" w:eastAsiaTheme="minorEastAsia" w:hAnsiTheme="minorHAnsi" w:cstheme="minorBidi"/>
          <w:b w:val="0"/>
          <w:noProof/>
          <w:kern w:val="0"/>
          <w:sz w:val="22"/>
          <w:szCs w:val="22"/>
        </w:rPr>
      </w:pPr>
      <w:hyperlink w:anchor="_Toc413673456" w:history="1">
        <w:r w:rsidR="000A55DA" w:rsidRPr="00FF0B2C">
          <w:rPr>
            <w:rStyle w:val="Hyperlink"/>
            <w:noProof/>
          </w:rPr>
          <w:t xml:space="preserve">Part 6 – </w:t>
        </w:r>
        <w:r w:rsidR="00F44608">
          <w:rPr>
            <w:rStyle w:val="Hyperlink"/>
            <w:noProof/>
          </w:rPr>
          <w:t>Publication of membership information</w:t>
        </w:r>
        <w:r w:rsidR="000A55DA">
          <w:rPr>
            <w:noProof/>
            <w:webHidden/>
          </w:rPr>
          <w:tab/>
        </w:r>
        <w:r w:rsidR="000A55DA">
          <w:rPr>
            <w:noProof/>
            <w:webHidden/>
          </w:rPr>
          <w:fldChar w:fldCharType="begin"/>
        </w:r>
        <w:r w:rsidR="000A55DA">
          <w:rPr>
            <w:noProof/>
            <w:webHidden/>
          </w:rPr>
          <w:instrText xml:space="preserve"> PAGEREF _Toc413673456 \h </w:instrText>
        </w:r>
        <w:r w:rsidR="000A55DA">
          <w:rPr>
            <w:noProof/>
            <w:webHidden/>
          </w:rPr>
        </w:r>
        <w:r w:rsidR="000A55DA">
          <w:rPr>
            <w:noProof/>
            <w:webHidden/>
          </w:rPr>
          <w:fldChar w:fldCharType="separate"/>
        </w:r>
        <w:r w:rsidR="00D96744">
          <w:rPr>
            <w:noProof/>
            <w:webHidden/>
          </w:rPr>
          <w:t>26</w:t>
        </w:r>
        <w:r w:rsidR="000A55DA">
          <w:rPr>
            <w:noProof/>
            <w:webHidden/>
          </w:rPr>
          <w:fldChar w:fldCharType="end"/>
        </w:r>
      </w:hyperlink>
    </w:p>
    <w:p w14:paraId="1027E3ED" w14:textId="77777777" w:rsidR="000A55DA" w:rsidRPr="00D978EA" w:rsidRDefault="008A3A55" w:rsidP="002648B6">
      <w:pPr>
        <w:pStyle w:val="TOC2"/>
        <w:keepLines w:val="0"/>
        <w:tabs>
          <w:tab w:val="left" w:pos="2268"/>
        </w:tabs>
        <w:rPr>
          <w:noProof/>
          <w:szCs w:val="24"/>
        </w:rPr>
      </w:pPr>
      <w:hyperlink w:anchor="_Toc413673457" w:history="1">
        <w:r w:rsidR="000A55DA" w:rsidRPr="00D978EA">
          <w:rPr>
            <w:rStyle w:val="Hyperlink"/>
            <w:noProof/>
            <w:szCs w:val="24"/>
          </w:rPr>
          <w:t>1</w:t>
        </w:r>
        <w:r w:rsidR="002F01EB">
          <w:rPr>
            <w:rStyle w:val="Hyperlink"/>
            <w:noProof/>
            <w:szCs w:val="24"/>
          </w:rPr>
          <w:t>8</w:t>
        </w:r>
        <w:r w:rsidR="000A55DA" w:rsidRPr="00D978EA">
          <w:rPr>
            <w:rStyle w:val="Hyperlink"/>
            <w:noProof/>
            <w:szCs w:val="24"/>
          </w:rPr>
          <w:t>.</w:t>
        </w:r>
        <w:r w:rsidR="000A55DA" w:rsidRPr="00D978EA">
          <w:rPr>
            <w:rFonts w:eastAsiaTheme="minorEastAsia"/>
            <w:noProof/>
            <w:kern w:val="0"/>
            <w:szCs w:val="24"/>
          </w:rPr>
          <w:tab/>
        </w:r>
        <w:r w:rsidR="00F44608" w:rsidRPr="00D978EA">
          <w:rPr>
            <w:rFonts w:eastAsiaTheme="minorEastAsia"/>
            <w:noProof/>
            <w:kern w:val="0"/>
            <w:szCs w:val="24"/>
          </w:rPr>
          <w:t>Publication of membership information</w:t>
        </w:r>
        <w:r w:rsidR="000A55DA" w:rsidRPr="00D978EA">
          <w:rPr>
            <w:noProof/>
            <w:webHidden/>
            <w:szCs w:val="24"/>
          </w:rPr>
          <w:tab/>
        </w:r>
        <w:r w:rsidR="000A55DA" w:rsidRPr="00D978EA">
          <w:rPr>
            <w:noProof/>
            <w:webHidden/>
            <w:szCs w:val="24"/>
          </w:rPr>
          <w:fldChar w:fldCharType="begin"/>
        </w:r>
        <w:r w:rsidR="000A55DA" w:rsidRPr="00D978EA">
          <w:rPr>
            <w:noProof/>
            <w:webHidden/>
            <w:szCs w:val="24"/>
          </w:rPr>
          <w:instrText xml:space="preserve"> PAGEREF _Toc413673457 \h </w:instrText>
        </w:r>
        <w:r w:rsidR="000A55DA" w:rsidRPr="00D978EA">
          <w:rPr>
            <w:noProof/>
            <w:webHidden/>
            <w:szCs w:val="24"/>
          </w:rPr>
        </w:r>
        <w:r w:rsidR="000A55DA" w:rsidRPr="00D978EA">
          <w:rPr>
            <w:noProof/>
            <w:webHidden/>
            <w:szCs w:val="24"/>
          </w:rPr>
          <w:fldChar w:fldCharType="separate"/>
        </w:r>
        <w:r w:rsidR="00D96744">
          <w:rPr>
            <w:noProof/>
            <w:webHidden/>
            <w:szCs w:val="24"/>
          </w:rPr>
          <w:t>27</w:t>
        </w:r>
        <w:r w:rsidR="000A55DA" w:rsidRPr="00D978EA">
          <w:rPr>
            <w:noProof/>
            <w:webHidden/>
            <w:szCs w:val="24"/>
          </w:rPr>
          <w:fldChar w:fldCharType="end"/>
        </w:r>
      </w:hyperlink>
    </w:p>
    <w:p w14:paraId="655FADBF" w14:textId="77777777" w:rsidR="002648B6" w:rsidRPr="002648B6" w:rsidRDefault="002648B6" w:rsidP="004344B6">
      <w:pPr>
        <w:spacing w:before="120" w:line="240" w:lineRule="auto"/>
        <w:rPr>
          <w:b/>
          <w:noProof/>
          <w:sz w:val="24"/>
          <w:lang w:eastAsia="en-AU"/>
        </w:rPr>
      </w:pPr>
      <w:r w:rsidRPr="002648B6">
        <w:rPr>
          <w:b/>
          <w:noProof/>
          <w:sz w:val="24"/>
          <w:lang w:eastAsia="en-AU"/>
        </w:rPr>
        <w:t>Part 7 - Transition arrangements</w:t>
      </w:r>
      <w:r w:rsidR="005B5DF5">
        <w:rPr>
          <w:b/>
          <w:noProof/>
          <w:sz w:val="24"/>
          <w:lang w:eastAsia="en-AU"/>
        </w:rPr>
        <w:tab/>
      </w:r>
      <w:r w:rsidR="005B5DF5">
        <w:rPr>
          <w:b/>
          <w:noProof/>
          <w:sz w:val="24"/>
          <w:lang w:eastAsia="en-AU"/>
        </w:rPr>
        <w:tab/>
      </w:r>
      <w:r w:rsidR="005B5DF5">
        <w:rPr>
          <w:b/>
          <w:noProof/>
          <w:sz w:val="24"/>
          <w:lang w:eastAsia="en-AU"/>
        </w:rPr>
        <w:tab/>
      </w:r>
      <w:r w:rsidR="005B5DF5">
        <w:rPr>
          <w:b/>
          <w:noProof/>
          <w:sz w:val="24"/>
          <w:lang w:eastAsia="en-AU"/>
        </w:rPr>
        <w:tab/>
      </w:r>
      <w:r w:rsidR="005B5DF5">
        <w:rPr>
          <w:b/>
          <w:noProof/>
          <w:sz w:val="24"/>
          <w:lang w:eastAsia="en-AU"/>
        </w:rPr>
        <w:tab/>
      </w:r>
      <w:r w:rsidR="005B5DF5">
        <w:rPr>
          <w:b/>
          <w:noProof/>
          <w:sz w:val="24"/>
          <w:lang w:eastAsia="en-AU"/>
        </w:rPr>
        <w:tab/>
      </w:r>
      <w:r w:rsidR="005B5DF5">
        <w:rPr>
          <w:b/>
          <w:noProof/>
          <w:sz w:val="24"/>
          <w:lang w:eastAsia="en-AU"/>
        </w:rPr>
        <w:tab/>
        <w:t xml:space="preserve">  27</w:t>
      </w:r>
    </w:p>
    <w:p w14:paraId="22997080" w14:textId="77777777" w:rsidR="00960F4E" w:rsidRPr="004344B6" w:rsidRDefault="002648B6" w:rsidP="004344B6">
      <w:pPr>
        <w:tabs>
          <w:tab w:val="left" w:pos="1134"/>
          <w:tab w:val="left" w:pos="2268"/>
        </w:tabs>
        <w:spacing w:before="120" w:line="240" w:lineRule="auto"/>
        <w:rPr>
          <w:noProof/>
          <w:sz w:val="24"/>
          <w:szCs w:val="24"/>
          <w:lang w:eastAsia="en-AU"/>
        </w:rPr>
      </w:pPr>
      <w:r>
        <w:rPr>
          <w:noProof/>
          <w:lang w:eastAsia="en-AU"/>
        </w:rPr>
        <w:tab/>
      </w:r>
      <w:r w:rsidR="002F01EB" w:rsidRPr="002648B6">
        <w:rPr>
          <w:noProof/>
          <w:sz w:val="24"/>
          <w:szCs w:val="24"/>
          <w:lang w:eastAsia="en-AU"/>
        </w:rPr>
        <w:t>1</w:t>
      </w:r>
      <w:r w:rsidR="002F01EB">
        <w:rPr>
          <w:noProof/>
          <w:sz w:val="24"/>
          <w:szCs w:val="24"/>
          <w:lang w:eastAsia="en-AU"/>
        </w:rPr>
        <w:t>9</w:t>
      </w:r>
      <w:r w:rsidRPr="002648B6">
        <w:rPr>
          <w:noProof/>
          <w:sz w:val="24"/>
          <w:szCs w:val="24"/>
          <w:lang w:eastAsia="en-AU"/>
        </w:rPr>
        <w:t>.</w:t>
      </w:r>
      <w:r>
        <w:rPr>
          <w:noProof/>
          <w:sz w:val="24"/>
          <w:szCs w:val="24"/>
          <w:lang w:eastAsia="en-AU"/>
        </w:rPr>
        <w:tab/>
        <w:t>Transition arrangements</w:t>
      </w:r>
      <w:r w:rsidR="00960F4E">
        <w:rPr>
          <w:noProof/>
          <w:sz w:val="24"/>
          <w:szCs w:val="24"/>
          <w:lang w:eastAsia="en-AU"/>
        </w:rPr>
        <w:tab/>
      </w:r>
      <w:r w:rsidR="00960F4E">
        <w:rPr>
          <w:noProof/>
          <w:sz w:val="24"/>
          <w:szCs w:val="24"/>
          <w:lang w:eastAsia="en-AU"/>
        </w:rPr>
        <w:tab/>
      </w:r>
      <w:r w:rsidR="00960F4E">
        <w:rPr>
          <w:noProof/>
          <w:sz w:val="24"/>
          <w:szCs w:val="24"/>
          <w:lang w:eastAsia="en-AU"/>
        </w:rPr>
        <w:tab/>
      </w:r>
      <w:r w:rsidR="00960F4E">
        <w:rPr>
          <w:noProof/>
          <w:sz w:val="24"/>
          <w:szCs w:val="24"/>
          <w:lang w:eastAsia="en-AU"/>
        </w:rPr>
        <w:tab/>
      </w:r>
      <w:r w:rsidR="00960F4E">
        <w:rPr>
          <w:noProof/>
          <w:sz w:val="24"/>
          <w:szCs w:val="24"/>
          <w:lang w:eastAsia="en-AU"/>
        </w:rPr>
        <w:tab/>
        <w:t xml:space="preserve">  27</w:t>
      </w:r>
    </w:p>
    <w:p w14:paraId="737D987E" w14:textId="77777777" w:rsidR="000A55DA" w:rsidRDefault="008A3A55" w:rsidP="00126FCE">
      <w:pPr>
        <w:pStyle w:val="TOC1"/>
        <w:keepLines w:val="0"/>
        <w:rPr>
          <w:rFonts w:asciiTheme="minorHAnsi" w:eastAsiaTheme="minorEastAsia" w:hAnsiTheme="minorHAnsi" w:cstheme="minorBidi"/>
          <w:b w:val="0"/>
          <w:noProof/>
          <w:kern w:val="0"/>
          <w:sz w:val="22"/>
          <w:szCs w:val="22"/>
        </w:rPr>
      </w:pPr>
      <w:hyperlink w:anchor="_Toc413673458" w:history="1">
        <w:r w:rsidR="000A55DA" w:rsidRPr="00FF0B2C">
          <w:rPr>
            <w:rStyle w:val="Hyperlink"/>
            <w:noProof/>
          </w:rPr>
          <w:t>Schedule 1 – Mergers and acquisitions</w:t>
        </w:r>
        <w:r w:rsidR="000A55DA">
          <w:rPr>
            <w:noProof/>
            <w:webHidden/>
          </w:rPr>
          <w:tab/>
        </w:r>
        <w:r w:rsidR="000A55DA">
          <w:rPr>
            <w:noProof/>
            <w:webHidden/>
          </w:rPr>
          <w:fldChar w:fldCharType="begin"/>
        </w:r>
        <w:r w:rsidR="000A55DA">
          <w:rPr>
            <w:noProof/>
            <w:webHidden/>
          </w:rPr>
          <w:instrText xml:space="preserve"> PAGEREF _Toc413673458 \h </w:instrText>
        </w:r>
        <w:r w:rsidR="000A55DA">
          <w:rPr>
            <w:noProof/>
            <w:webHidden/>
          </w:rPr>
        </w:r>
        <w:r w:rsidR="000A55DA">
          <w:rPr>
            <w:noProof/>
            <w:webHidden/>
          </w:rPr>
          <w:fldChar w:fldCharType="separate"/>
        </w:r>
        <w:r w:rsidR="00D96744">
          <w:rPr>
            <w:noProof/>
            <w:webHidden/>
          </w:rPr>
          <w:t>28</w:t>
        </w:r>
        <w:r w:rsidR="000A55DA">
          <w:rPr>
            <w:noProof/>
            <w:webHidden/>
          </w:rPr>
          <w:fldChar w:fldCharType="end"/>
        </w:r>
      </w:hyperlink>
    </w:p>
    <w:p w14:paraId="34500A3E"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59" w:history="1">
        <w:r w:rsidR="000A55DA" w:rsidRPr="00FF0B2C">
          <w:rPr>
            <w:rStyle w:val="Hyperlink"/>
            <w:noProof/>
          </w:rPr>
          <w:t>1.</w:t>
        </w:r>
        <w:r w:rsidR="000A55DA">
          <w:rPr>
            <w:rFonts w:asciiTheme="minorHAnsi" w:eastAsiaTheme="minorEastAsia" w:hAnsiTheme="minorHAnsi" w:cstheme="minorBidi"/>
            <w:noProof/>
            <w:kern w:val="0"/>
            <w:sz w:val="22"/>
            <w:szCs w:val="22"/>
          </w:rPr>
          <w:tab/>
        </w:r>
        <w:r w:rsidR="000A55DA" w:rsidRPr="00FF0B2C">
          <w:rPr>
            <w:rStyle w:val="Hyperlink"/>
            <w:noProof/>
          </w:rPr>
          <w:t>Trust</w:t>
        </w:r>
        <w:r w:rsidR="000A55DA">
          <w:rPr>
            <w:noProof/>
            <w:webHidden/>
          </w:rPr>
          <w:tab/>
        </w:r>
        <w:r w:rsidR="000A55DA">
          <w:rPr>
            <w:noProof/>
            <w:webHidden/>
          </w:rPr>
          <w:fldChar w:fldCharType="begin"/>
        </w:r>
        <w:r w:rsidR="000A55DA">
          <w:rPr>
            <w:noProof/>
            <w:webHidden/>
          </w:rPr>
          <w:instrText xml:space="preserve"> PAGEREF _Toc413673459 \h </w:instrText>
        </w:r>
        <w:r w:rsidR="000A55DA">
          <w:rPr>
            <w:noProof/>
            <w:webHidden/>
          </w:rPr>
        </w:r>
        <w:r w:rsidR="000A55DA">
          <w:rPr>
            <w:noProof/>
            <w:webHidden/>
          </w:rPr>
          <w:fldChar w:fldCharType="separate"/>
        </w:r>
        <w:r w:rsidR="00D96744">
          <w:rPr>
            <w:noProof/>
            <w:webHidden/>
          </w:rPr>
          <w:t>28</w:t>
        </w:r>
        <w:r w:rsidR="000A55DA">
          <w:rPr>
            <w:noProof/>
            <w:webHidden/>
          </w:rPr>
          <w:fldChar w:fldCharType="end"/>
        </w:r>
      </w:hyperlink>
    </w:p>
    <w:p w14:paraId="7DA5B8B9" w14:textId="77777777" w:rsidR="000A55DA" w:rsidRDefault="008A3A55" w:rsidP="00126FCE">
      <w:pPr>
        <w:pStyle w:val="TOC2"/>
        <w:keepNext w:val="0"/>
        <w:keepLines w:val="0"/>
        <w:tabs>
          <w:tab w:val="left" w:pos="2268"/>
        </w:tabs>
        <w:rPr>
          <w:rFonts w:asciiTheme="minorHAnsi" w:eastAsiaTheme="minorEastAsia" w:hAnsiTheme="minorHAnsi" w:cstheme="minorBidi"/>
          <w:noProof/>
          <w:kern w:val="0"/>
          <w:sz w:val="22"/>
          <w:szCs w:val="22"/>
        </w:rPr>
      </w:pPr>
      <w:hyperlink w:anchor="_Toc413673460" w:history="1">
        <w:r w:rsidR="000A55DA" w:rsidRPr="00FF0B2C">
          <w:rPr>
            <w:rStyle w:val="Hyperlink"/>
            <w:noProof/>
          </w:rPr>
          <w:t>2.</w:t>
        </w:r>
        <w:r w:rsidR="000A55DA">
          <w:rPr>
            <w:rFonts w:asciiTheme="minorHAnsi" w:eastAsiaTheme="minorEastAsia" w:hAnsiTheme="minorHAnsi" w:cstheme="minorBidi"/>
            <w:noProof/>
            <w:kern w:val="0"/>
            <w:sz w:val="22"/>
            <w:szCs w:val="22"/>
          </w:rPr>
          <w:tab/>
        </w:r>
        <w:r w:rsidR="000A55DA" w:rsidRPr="00FF0B2C">
          <w:rPr>
            <w:rStyle w:val="Hyperlink"/>
            <w:noProof/>
          </w:rPr>
          <w:t>Actions for transfer of assets and liabilities for purposes of subparagraph 1</w:t>
        </w:r>
        <w:r w:rsidR="005F0408">
          <w:rPr>
            <w:rStyle w:val="Hyperlink"/>
            <w:noProof/>
          </w:rPr>
          <w:t>5</w:t>
        </w:r>
        <w:r w:rsidR="005F0408" w:rsidRPr="00FF0B2C" w:rsidDel="005F0408">
          <w:rPr>
            <w:rStyle w:val="Hyperlink"/>
            <w:noProof/>
          </w:rPr>
          <w:t xml:space="preserve"> </w:t>
        </w:r>
        <w:r w:rsidR="000A55DA" w:rsidRPr="00FF0B2C">
          <w:rPr>
            <w:rStyle w:val="Hyperlink"/>
            <w:noProof/>
          </w:rPr>
          <w:t>(b)(ii) of the Rules</w:t>
        </w:r>
        <w:r w:rsidR="000A55DA">
          <w:rPr>
            <w:noProof/>
            <w:webHidden/>
          </w:rPr>
          <w:tab/>
        </w:r>
        <w:r w:rsidR="000A55DA">
          <w:rPr>
            <w:noProof/>
            <w:webHidden/>
          </w:rPr>
          <w:fldChar w:fldCharType="begin"/>
        </w:r>
        <w:r w:rsidR="000A55DA">
          <w:rPr>
            <w:noProof/>
            <w:webHidden/>
          </w:rPr>
          <w:instrText xml:space="preserve"> PAGEREF _Toc413673460 \h </w:instrText>
        </w:r>
        <w:r w:rsidR="000A55DA">
          <w:rPr>
            <w:noProof/>
            <w:webHidden/>
          </w:rPr>
        </w:r>
        <w:r w:rsidR="000A55DA">
          <w:rPr>
            <w:noProof/>
            <w:webHidden/>
          </w:rPr>
          <w:fldChar w:fldCharType="separate"/>
        </w:r>
        <w:r w:rsidR="00D96744">
          <w:rPr>
            <w:noProof/>
            <w:webHidden/>
          </w:rPr>
          <w:t>28</w:t>
        </w:r>
        <w:r w:rsidR="000A55DA">
          <w:rPr>
            <w:noProof/>
            <w:webHidden/>
          </w:rPr>
          <w:fldChar w:fldCharType="end"/>
        </w:r>
      </w:hyperlink>
    </w:p>
    <w:p w14:paraId="59AC86FE" w14:textId="77777777" w:rsidR="00125A0B" w:rsidRPr="00B84257" w:rsidRDefault="0038039B" w:rsidP="00126FCE">
      <w:pPr>
        <w:spacing w:line="240" w:lineRule="auto"/>
      </w:pPr>
      <w:r>
        <w:fldChar w:fldCharType="end"/>
      </w:r>
    </w:p>
    <w:p w14:paraId="4AC3ACCB" w14:textId="77777777" w:rsidR="009D23BC" w:rsidRDefault="009D23BC">
      <w:pPr>
        <w:spacing w:line="240" w:lineRule="auto"/>
        <w:rPr>
          <w:rStyle w:val="CharPartNo"/>
          <w:rFonts w:ascii="Arial" w:eastAsia="Times New Roman" w:hAnsi="Arial" w:cs="Arial"/>
          <w:b/>
          <w:kern w:val="28"/>
          <w:sz w:val="32"/>
          <w:lang w:eastAsia="en-AU"/>
        </w:rPr>
      </w:pPr>
      <w:bookmarkStart w:id="2" w:name="_Toc413670973"/>
      <w:bookmarkStart w:id="3" w:name="_Toc413671432"/>
      <w:bookmarkStart w:id="4" w:name="_Toc413673006"/>
      <w:bookmarkStart w:id="5" w:name="_Toc413673431"/>
      <w:r>
        <w:rPr>
          <w:rStyle w:val="CharPartNo"/>
        </w:rPr>
        <w:br w:type="page"/>
      </w:r>
    </w:p>
    <w:p w14:paraId="4FC8BE83" w14:textId="77777777" w:rsidR="007D333B" w:rsidRPr="00E3170E" w:rsidRDefault="007F7D6C" w:rsidP="00CA3C89">
      <w:pPr>
        <w:pStyle w:val="Style1"/>
        <w:ind w:left="0" w:firstLine="0"/>
      </w:pPr>
      <w:r w:rsidRPr="00E3170E">
        <w:rPr>
          <w:rStyle w:val="CharPartNo"/>
        </w:rPr>
        <w:lastRenderedPageBreak/>
        <w:t>Part</w:t>
      </w:r>
      <w:r w:rsidR="00B84257" w:rsidRPr="00E3170E">
        <w:rPr>
          <w:rStyle w:val="CharPartNo"/>
        </w:rPr>
        <w:t> </w:t>
      </w:r>
      <w:r w:rsidRPr="00E3170E">
        <w:rPr>
          <w:rStyle w:val="CharPartNo"/>
        </w:rPr>
        <w:t>1</w:t>
      </w:r>
      <w:r w:rsidR="000A55DA" w:rsidRPr="00E3170E">
        <w:t xml:space="preserve"> – </w:t>
      </w:r>
      <w:r w:rsidRPr="00E3170E">
        <w:rPr>
          <w:rStyle w:val="CharPartText"/>
        </w:rPr>
        <w:t>Preliminary</w:t>
      </w:r>
      <w:bookmarkEnd w:id="2"/>
      <w:bookmarkEnd w:id="3"/>
      <w:bookmarkEnd w:id="4"/>
      <w:bookmarkEnd w:id="5"/>
      <w:r w:rsidR="00125A0B" w:rsidRPr="00E3170E">
        <w:rPr>
          <w:rStyle w:val="CharDivNo"/>
        </w:rPr>
        <w:t xml:space="preserve"> </w:t>
      </w:r>
      <w:r w:rsidR="00125A0B" w:rsidRPr="00E3170E">
        <w:rPr>
          <w:rStyle w:val="CharDivText"/>
        </w:rPr>
        <w:t xml:space="preserve"> </w:t>
      </w:r>
    </w:p>
    <w:p w14:paraId="63418E77" w14:textId="77777777" w:rsidR="007F7D6C" w:rsidRPr="00E3170E" w:rsidRDefault="007F7D6C" w:rsidP="00AD6D63">
      <w:pPr>
        <w:pStyle w:val="Style2"/>
      </w:pPr>
      <w:bookmarkStart w:id="6" w:name="_Toc413670974"/>
      <w:bookmarkStart w:id="7" w:name="_Toc413671433"/>
      <w:bookmarkStart w:id="8" w:name="_Toc413673007"/>
      <w:bookmarkStart w:id="9" w:name="_Toc413673432"/>
      <w:r w:rsidRPr="00E3170E">
        <w:t>Name of Rules</w:t>
      </w:r>
      <w:bookmarkEnd w:id="6"/>
      <w:bookmarkEnd w:id="7"/>
      <w:bookmarkEnd w:id="8"/>
      <w:bookmarkEnd w:id="9"/>
    </w:p>
    <w:p w14:paraId="65035421" w14:textId="77777777" w:rsidR="007F7D6C" w:rsidRPr="00441AC8" w:rsidRDefault="00E3170E" w:rsidP="00126FCE">
      <w:pPr>
        <w:pStyle w:val="Style3"/>
        <w:rPr>
          <w:sz w:val="24"/>
          <w:szCs w:val="24"/>
        </w:rPr>
      </w:pPr>
      <w:r w:rsidRPr="00441AC8">
        <w:rPr>
          <w:sz w:val="24"/>
          <w:szCs w:val="24"/>
        </w:rPr>
        <w:tab/>
      </w:r>
      <w:r w:rsidR="007F7D6C" w:rsidRPr="00441AC8">
        <w:rPr>
          <w:sz w:val="24"/>
          <w:szCs w:val="24"/>
        </w:rPr>
        <w:t xml:space="preserve">These Rules are the </w:t>
      </w:r>
      <w:r w:rsidR="007F7D6C" w:rsidRPr="003967EF">
        <w:rPr>
          <w:i/>
          <w:sz w:val="24"/>
          <w:szCs w:val="24"/>
        </w:rPr>
        <w:t>Private Health Insurance (</w:t>
      </w:r>
      <w:r w:rsidR="00931227" w:rsidRPr="003967EF">
        <w:rPr>
          <w:i/>
          <w:sz w:val="24"/>
          <w:szCs w:val="24"/>
        </w:rPr>
        <w:t>Prudential Supervision</w:t>
      </w:r>
      <w:r w:rsidR="007F7D6C" w:rsidRPr="003967EF">
        <w:rPr>
          <w:i/>
          <w:sz w:val="24"/>
          <w:szCs w:val="24"/>
        </w:rPr>
        <w:t>) Rules</w:t>
      </w:r>
      <w:r w:rsidR="00B84257" w:rsidRPr="003967EF">
        <w:rPr>
          <w:i/>
          <w:sz w:val="24"/>
          <w:szCs w:val="24"/>
        </w:rPr>
        <w:t> </w:t>
      </w:r>
      <w:r w:rsidR="007F7D6C" w:rsidRPr="003967EF">
        <w:rPr>
          <w:i/>
          <w:sz w:val="24"/>
          <w:szCs w:val="24"/>
        </w:rPr>
        <w:t>20</w:t>
      </w:r>
      <w:r w:rsidR="00931227" w:rsidRPr="003967EF">
        <w:rPr>
          <w:i/>
          <w:sz w:val="24"/>
          <w:szCs w:val="24"/>
        </w:rPr>
        <w:t>1</w:t>
      </w:r>
      <w:r w:rsidR="00F54408">
        <w:rPr>
          <w:i/>
          <w:sz w:val="24"/>
          <w:szCs w:val="24"/>
        </w:rPr>
        <w:t>9</w:t>
      </w:r>
      <w:r w:rsidR="007F7D6C" w:rsidRPr="00441AC8">
        <w:rPr>
          <w:sz w:val="24"/>
          <w:szCs w:val="24"/>
        </w:rPr>
        <w:t>.</w:t>
      </w:r>
    </w:p>
    <w:p w14:paraId="4BBF5B37" w14:textId="77777777" w:rsidR="009D23BC" w:rsidRDefault="009D23BC" w:rsidP="00AD6D63">
      <w:pPr>
        <w:pStyle w:val="Style2"/>
      </w:pPr>
      <w:bookmarkStart w:id="10" w:name="_Toc413670975"/>
      <w:bookmarkStart w:id="11" w:name="_Toc413671434"/>
      <w:bookmarkStart w:id="12" w:name="_Toc413673008"/>
      <w:bookmarkStart w:id="13" w:name="_Toc413673433"/>
      <w:r>
        <w:t>Revocation</w:t>
      </w:r>
    </w:p>
    <w:p w14:paraId="071B3609" w14:textId="77777777" w:rsidR="009D23BC" w:rsidRPr="009D23BC" w:rsidRDefault="009D23BC" w:rsidP="009D23BC">
      <w:pPr>
        <w:pStyle w:val="Style2"/>
        <w:numPr>
          <w:ilvl w:val="0"/>
          <w:numId w:val="0"/>
        </w:numPr>
        <w:ind w:firstLine="567"/>
        <w:rPr>
          <w:rFonts w:ascii="Times New Roman" w:hAnsi="Times New Roman" w:cs="Times New Roman"/>
          <w:b w:val="0"/>
        </w:rPr>
      </w:pPr>
      <w:r>
        <w:rPr>
          <w:rFonts w:ascii="Times New Roman" w:hAnsi="Times New Roman" w:cs="Times New Roman"/>
          <w:b w:val="0"/>
        </w:rPr>
        <w:t xml:space="preserve">These Rules replace the </w:t>
      </w:r>
      <w:r>
        <w:rPr>
          <w:rFonts w:ascii="Times New Roman" w:hAnsi="Times New Roman" w:cs="Times New Roman"/>
          <w:b w:val="0"/>
          <w:i/>
        </w:rPr>
        <w:t>Private Health Insurance (Prudential Supervision) Rules 201</w:t>
      </w:r>
      <w:r w:rsidR="00F54408">
        <w:rPr>
          <w:rFonts w:ascii="Times New Roman" w:hAnsi="Times New Roman" w:cs="Times New Roman"/>
          <w:b w:val="0"/>
          <w:i/>
        </w:rPr>
        <w:t>6</w:t>
      </w:r>
      <w:r>
        <w:rPr>
          <w:rFonts w:ascii="Times New Roman" w:hAnsi="Times New Roman" w:cs="Times New Roman"/>
          <w:b w:val="0"/>
        </w:rPr>
        <w:t>.</w:t>
      </w:r>
    </w:p>
    <w:p w14:paraId="39F49DB5" w14:textId="77777777" w:rsidR="007F7D6C" w:rsidRPr="00E71339" w:rsidRDefault="007F7D6C" w:rsidP="00AD6D63">
      <w:pPr>
        <w:pStyle w:val="Style2"/>
      </w:pPr>
      <w:r w:rsidRPr="00E71339">
        <w:t>Commencement</w:t>
      </w:r>
      <w:bookmarkEnd w:id="10"/>
      <w:bookmarkEnd w:id="11"/>
      <w:bookmarkEnd w:id="12"/>
      <w:bookmarkEnd w:id="13"/>
    </w:p>
    <w:p w14:paraId="7853098F" w14:textId="77777777" w:rsidR="007F7D6C" w:rsidRPr="009C72C7" w:rsidRDefault="007D333B" w:rsidP="00126FCE">
      <w:pPr>
        <w:pStyle w:val="Style3"/>
        <w:rPr>
          <w:sz w:val="24"/>
        </w:rPr>
      </w:pPr>
      <w:r w:rsidRPr="00B84257">
        <w:tab/>
      </w:r>
      <w:r w:rsidRPr="009C72C7">
        <w:rPr>
          <w:sz w:val="24"/>
        </w:rPr>
        <w:tab/>
      </w:r>
      <w:r w:rsidR="007F7D6C" w:rsidRPr="009C72C7">
        <w:rPr>
          <w:sz w:val="24"/>
        </w:rPr>
        <w:t>These Rules commence</w:t>
      </w:r>
      <w:r w:rsidR="00255A8C">
        <w:rPr>
          <w:sz w:val="24"/>
        </w:rPr>
        <w:t xml:space="preserve"> </w:t>
      </w:r>
      <w:r w:rsidR="00376BEA">
        <w:t xml:space="preserve">on the day </w:t>
      </w:r>
      <w:r w:rsidR="009D23BC">
        <w:t xml:space="preserve">after they are registered on the Federal Register of Legislative Instruments.  </w:t>
      </w:r>
    </w:p>
    <w:p w14:paraId="24A2A6DE" w14:textId="77777777" w:rsidR="007F7D6C" w:rsidRPr="00B84257" w:rsidRDefault="007F7D6C" w:rsidP="00AD6D63">
      <w:pPr>
        <w:pStyle w:val="Style2"/>
      </w:pPr>
      <w:bookmarkStart w:id="14" w:name="_Toc413670976"/>
      <w:bookmarkStart w:id="15" w:name="_Toc413671435"/>
      <w:bookmarkStart w:id="16" w:name="_Toc413673009"/>
      <w:bookmarkStart w:id="17" w:name="_Toc413673434"/>
      <w:r w:rsidRPr="00B84257">
        <w:t>Definitions</w:t>
      </w:r>
      <w:bookmarkEnd w:id="14"/>
      <w:bookmarkEnd w:id="15"/>
      <w:bookmarkEnd w:id="16"/>
      <w:bookmarkEnd w:id="17"/>
    </w:p>
    <w:p w14:paraId="0EE84621" w14:textId="77777777" w:rsidR="007F7D6C" w:rsidRPr="00E00CF7" w:rsidRDefault="00E00CF7" w:rsidP="00126FCE">
      <w:pPr>
        <w:pStyle w:val="Style3"/>
        <w:ind w:firstLine="0"/>
        <w:rPr>
          <w:sz w:val="24"/>
          <w:szCs w:val="24"/>
        </w:rPr>
      </w:pPr>
      <w:r>
        <w:rPr>
          <w:sz w:val="24"/>
          <w:szCs w:val="24"/>
        </w:rPr>
        <w:t xml:space="preserve">Note: </w:t>
      </w:r>
      <w:r w:rsidR="007F7D6C" w:rsidRPr="00E00CF7">
        <w:rPr>
          <w:sz w:val="24"/>
          <w:szCs w:val="24"/>
        </w:rPr>
        <w:t>Terms used in these Rules have the same meaning as in the Act</w:t>
      </w:r>
      <w:r>
        <w:t xml:space="preserve"> – </w:t>
      </w:r>
      <w:r w:rsidR="007F7D6C" w:rsidRPr="00E00CF7">
        <w:rPr>
          <w:sz w:val="24"/>
          <w:szCs w:val="24"/>
        </w:rPr>
        <w:t>see section</w:t>
      </w:r>
      <w:r w:rsidR="00B84257" w:rsidRPr="00E00CF7">
        <w:rPr>
          <w:sz w:val="24"/>
          <w:szCs w:val="24"/>
        </w:rPr>
        <w:t> </w:t>
      </w:r>
      <w:r w:rsidR="007F7D6C" w:rsidRPr="00E00CF7">
        <w:rPr>
          <w:sz w:val="24"/>
          <w:szCs w:val="24"/>
        </w:rPr>
        <w:t xml:space="preserve">13 of the </w:t>
      </w:r>
      <w:r w:rsidR="007F7D6C" w:rsidRPr="003967EF">
        <w:rPr>
          <w:i/>
          <w:sz w:val="24"/>
          <w:szCs w:val="24"/>
        </w:rPr>
        <w:t>Legislative Instruments Act 2003</w:t>
      </w:r>
      <w:r w:rsidR="007F7D6C" w:rsidRPr="00E00CF7">
        <w:rPr>
          <w:sz w:val="24"/>
          <w:szCs w:val="24"/>
        </w:rPr>
        <w:t>. These terms include:</w:t>
      </w:r>
    </w:p>
    <w:p w14:paraId="7FD70B4B" w14:textId="77777777" w:rsidR="007D333B" w:rsidRPr="00E00CF7" w:rsidRDefault="007F7D6C" w:rsidP="00126FCE">
      <w:pPr>
        <w:pStyle w:val="Style3"/>
        <w:spacing w:after="0"/>
        <w:ind w:left="1134"/>
        <w:rPr>
          <w:sz w:val="24"/>
          <w:szCs w:val="24"/>
        </w:rPr>
      </w:pPr>
      <w:r w:rsidRPr="00E00CF7">
        <w:rPr>
          <w:sz w:val="24"/>
          <w:szCs w:val="24"/>
        </w:rPr>
        <w:t>appointed actuary</w:t>
      </w:r>
    </w:p>
    <w:p w14:paraId="77D93BFF" w14:textId="77777777" w:rsidR="007D333B" w:rsidRPr="00E00CF7" w:rsidRDefault="007F7D6C" w:rsidP="00126FCE">
      <w:pPr>
        <w:pStyle w:val="Style3"/>
        <w:spacing w:after="0"/>
        <w:ind w:left="1134"/>
        <w:rPr>
          <w:sz w:val="24"/>
          <w:szCs w:val="24"/>
        </w:rPr>
      </w:pPr>
      <w:r w:rsidRPr="00E00CF7">
        <w:rPr>
          <w:sz w:val="24"/>
          <w:szCs w:val="24"/>
        </w:rPr>
        <w:t>approved form</w:t>
      </w:r>
    </w:p>
    <w:p w14:paraId="63DF9A4C" w14:textId="77777777" w:rsidR="00471C3D" w:rsidRPr="00E00CF7" w:rsidRDefault="00471C3D" w:rsidP="00126FCE">
      <w:pPr>
        <w:pStyle w:val="Style3"/>
        <w:spacing w:after="0"/>
        <w:ind w:left="1134"/>
        <w:rPr>
          <w:sz w:val="24"/>
          <w:szCs w:val="24"/>
        </w:rPr>
      </w:pPr>
      <w:r w:rsidRPr="00E00CF7">
        <w:rPr>
          <w:sz w:val="24"/>
          <w:szCs w:val="24"/>
        </w:rPr>
        <w:t>APRA</w:t>
      </w:r>
    </w:p>
    <w:p w14:paraId="142F4EC5" w14:textId="77777777" w:rsidR="003E3E42" w:rsidRPr="00E00CF7" w:rsidRDefault="00E37500" w:rsidP="00126FCE">
      <w:pPr>
        <w:pStyle w:val="Style3"/>
        <w:spacing w:after="0"/>
        <w:ind w:left="1134"/>
        <w:rPr>
          <w:sz w:val="24"/>
          <w:szCs w:val="24"/>
        </w:rPr>
      </w:pPr>
      <w:r>
        <w:rPr>
          <w:sz w:val="24"/>
          <w:szCs w:val="24"/>
        </w:rPr>
        <w:t>a</w:t>
      </w:r>
      <w:r w:rsidR="007F7D6C" w:rsidRPr="00E00CF7">
        <w:rPr>
          <w:sz w:val="24"/>
          <w:szCs w:val="24"/>
        </w:rPr>
        <w:t>ssets</w:t>
      </w:r>
    </w:p>
    <w:p w14:paraId="75EDAA63" w14:textId="77777777" w:rsidR="00CD6636" w:rsidRPr="00E00CF7" w:rsidRDefault="007F7D6C" w:rsidP="00126FCE">
      <w:pPr>
        <w:pStyle w:val="Style3"/>
        <w:spacing w:after="0"/>
        <w:ind w:left="1134"/>
        <w:rPr>
          <w:sz w:val="24"/>
          <w:szCs w:val="24"/>
        </w:rPr>
      </w:pPr>
      <w:r w:rsidRPr="00E00CF7">
        <w:rPr>
          <w:sz w:val="24"/>
          <w:szCs w:val="24"/>
        </w:rPr>
        <w:t>cover</w:t>
      </w:r>
    </w:p>
    <w:p w14:paraId="39AE9B77" w14:textId="77777777" w:rsidR="002965A1" w:rsidRPr="00E00CF7" w:rsidRDefault="002965A1" w:rsidP="00126FCE">
      <w:pPr>
        <w:pStyle w:val="Style3"/>
        <w:spacing w:after="0"/>
        <w:ind w:left="1134"/>
        <w:rPr>
          <w:sz w:val="24"/>
          <w:szCs w:val="24"/>
        </w:rPr>
      </w:pPr>
      <w:r w:rsidRPr="00E00CF7">
        <w:rPr>
          <w:sz w:val="24"/>
          <w:szCs w:val="24"/>
        </w:rPr>
        <w:t>for profit insurer</w:t>
      </w:r>
    </w:p>
    <w:p w14:paraId="7A8EF5AD" w14:textId="77777777" w:rsidR="007D333B" w:rsidRPr="00E00CF7" w:rsidRDefault="007F7D6C" w:rsidP="00126FCE">
      <w:pPr>
        <w:pStyle w:val="Style3"/>
        <w:spacing w:after="0"/>
        <w:ind w:left="1134"/>
        <w:rPr>
          <w:sz w:val="24"/>
          <w:szCs w:val="24"/>
        </w:rPr>
      </w:pPr>
      <w:r w:rsidRPr="00E00CF7">
        <w:rPr>
          <w:sz w:val="24"/>
          <w:szCs w:val="24"/>
        </w:rPr>
        <w:t>health benefits fund</w:t>
      </w:r>
    </w:p>
    <w:p w14:paraId="5973D8B2" w14:textId="77777777" w:rsidR="007D333B" w:rsidRPr="00E00CF7" w:rsidRDefault="007F7D6C" w:rsidP="00126FCE">
      <w:pPr>
        <w:pStyle w:val="Style3"/>
        <w:spacing w:after="0"/>
        <w:ind w:left="1134"/>
        <w:rPr>
          <w:sz w:val="24"/>
          <w:szCs w:val="24"/>
        </w:rPr>
      </w:pPr>
      <w:r w:rsidRPr="00E00CF7">
        <w:rPr>
          <w:sz w:val="24"/>
          <w:szCs w:val="24"/>
        </w:rPr>
        <w:t>health</w:t>
      </w:r>
      <w:r w:rsidR="00B84257" w:rsidRPr="00E00CF7">
        <w:rPr>
          <w:sz w:val="24"/>
          <w:szCs w:val="24"/>
        </w:rPr>
        <w:noBreakHyphen/>
      </w:r>
      <w:r w:rsidRPr="00E00CF7">
        <w:rPr>
          <w:sz w:val="24"/>
          <w:szCs w:val="24"/>
        </w:rPr>
        <w:t>related business</w:t>
      </w:r>
    </w:p>
    <w:p w14:paraId="4C4CFF67" w14:textId="77777777" w:rsidR="007D333B" w:rsidRPr="00E00CF7" w:rsidRDefault="007F7D6C" w:rsidP="00126FCE">
      <w:pPr>
        <w:pStyle w:val="Style3"/>
        <w:spacing w:after="0"/>
        <w:ind w:left="1134"/>
        <w:rPr>
          <w:sz w:val="24"/>
          <w:szCs w:val="24"/>
        </w:rPr>
      </w:pPr>
      <w:r w:rsidRPr="00E00CF7">
        <w:rPr>
          <w:sz w:val="24"/>
          <w:szCs w:val="24"/>
        </w:rPr>
        <w:t>net asset position</w:t>
      </w:r>
    </w:p>
    <w:p w14:paraId="40EEEAFC" w14:textId="77777777" w:rsidR="007D333B" w:rsidRPr="00E00CF7" w:rsidRDefault="007F7D6C" w:rsidP="00126FCE">
      <w:pPr>
        <w:pStyle w:val="Style3"/>
        <w:spacing w:after="0"/>
        <w:ind w:left="1134"/>
        <w:rPr>
          <w:sz w:val="24"/>
          <w:szCs w:val="24"/>
        </w:rPr>
      </w:pPr>
      <w:r w:rsidRPr="00E00CF7">
        <w:rPr>
          <w:sz w:val="24"/>
          <w:szCs w:val="24"/>
        </w:rPr>
        <w:t>policy group</w:t>
      </w:r>
    </w:p>
    <w:p w14:paraId="28B993D9" w14:textId="77777777" w:rsidR="007D333B" w:rsidRPr="00E00CF7" w:rsidRDefault="007F7D6C" w:rsidP="00126FCE">
      <w:pPr>
        <w:pStyle w:val="Style3"/>
        <w:spacing w:after="0"/>
        <w:ind w:left="1134"/>
        <w:rPr>
          <w:sz w:val="24"/>
          <w:szCs w:val="24"/>
        </w:rPr>
      </w:pPr>
      <w:r w:rsidRPr="00E00CF7">
        <w:rPr>
          <w:sz w:val="24"/>
          <w:szCs w:val="24"/>
        </w:rPr>
        <w:t>policy holder</w:t>
      </w:r>
    </w:p>
    <w:p w14:paraId="7269BE8D" w14:textId="77777777" w:rsidR="007D333B" w:rsidRPr="00E00CF7" w:rsidRDefault="007F7D6C" w:rsidP="00126FCE">
      <w:pPr>
        <w:pStyle w:val="Style3"/>
        <w:spacing w:after="0"/>
        <w:ind w:left="1134"/>
        <w:rPr>
          <w:sz w:val="24"/>
          <w:szCs w:val="24"/>
        </w:rPr>
      </w:pPr>
      <w:r w:rsidRPr="00E00CF7">
        <w:rPr>
          <w:sz w:val="24"/>
          <w:szCs w:val="24"/>
        </w:rPr>
        <w:t>private health insurer</w:t>
      </w:r>
    </w:p>
    <w:p w14:paraId="5DC01571" w14:textId="77777777" w:rsidR="007D333B" w:rsidRPr="00E00CF7" w:rsidRDefault="007F7D6C" w:rsidP="00126FCE">
      <w:pPr>
        <w:pStyle w:val="Style3"/>
        <w:spacing w:after="0"/>
        <w:ind w:left="1134"/>
        <w:rPr>
          <w:sz w:val="24"/>
          <w:szCs w:val="24"/>
        </w:rPr>
      </w:pPr>
      <w:r w:rsidRPr="00E00CF7">
        <w:rPr>
          <w:sz w:val="24"/>
          <w:szCs w:val="24"/>
        </w:rPr>
        <w:t>officer [of a private health insurer]</w:t>
      </w:r>
    </w:p>
    <w:p w14:paraId="2D037162" w14:textId="77777777" w:rsidR="00CD6636" w:rsidRPr="00E00CF7" w:rsidRDefault="007F7D6C" w:rsidP="00126FCE">
      <w:pPr>
        <w:pStyle w:val="Style3"/>
        <w:spacing w:after="0"/>
        <w:ind w:left="1134"/>
        <w:rPr>
          <w:sz w:val="24"/>
          <w:szCs w:val="24"/>
        </w:rPr>
      </w:pPr>
      <w:r w:rsidRPr="00E00CF7">
        <w:rPr>
          <w:sz w:val="24"/>
          <w:szCs w:val="24"/>
        </w:rPr>
        <w:lastRenderedPageBreak/>
        <w:t>referable</w:t>
      </w:r>
    </w:p>
    <w:p w14:paraId="78219490" w14:textId="77777777" w:rsidR="007D333B" w:rsidRPr="00E00CF7" w:rsidRDefault="007F7D6C" w:rsidP="00126FCE">
      <w:pPr>
        <w:pStyle w:val="Style3"/>
        <w:ind w:left="1134"/>
        <w:rPr>
          <w:sz w:val="24"/>
          <w:szCs w:val="24"/>
        </w:rPr>
      </w:pPr>
      <w:r w:rsidRPr="00E00CF7">
        <w:rPr>
          <w:sz w:val="24"/>
          <w:szCs w:val="24"/>
        </w:rPr>
        <w:t>rules [of an insurer]</w:t>
      </w:r>
    </w:p>
    <w:p w14:paraId="3B4D61F5" w14:textId="77777777" w:rsidR="007F7D6C" w:rsidRPr="00441AC8" w:rsidRDefault="007D333B" w:rsidP="00126FCE">
      <w:pPr>
        <w:pStyle w:val="subsection"/>
        <w:ind w:left="567"/>
        <w:rPr>
          <w:sz w:val="24"/>
          <w:szCs w:val="24"/>
        </w:rPr>
      </w:pPr>
      <w:r w:rsidRPr="00441AC8">
        <w:rPr>
          <w:sz w:val="24"/>
          <w:szCs w:val="24"/>
        </w:rPr>
        <w:tab/>
      </w:r>
      <w:r w:rsidRPr="00441AC8">
        <w:rPr>
          <w:sz w:val="24"/>
          <w:szCs w:val="24"/>
        </w:rPr>
        <w:tab/>
      </w:r>
      <w:r w:rsidR="007F7D6C" w:rsidRPr="00441AC8">
        <w:rPr>
          <w:sz w:val="24"/>
          <w:szCs w:val="24"/>
        </w:rPr>
        <w:t>In these Rules:</w:t>
      </w:r>
    </w:p>
    <w:p w14:paraId="22B3C168" w14:textId="77777777" w:rsidR="007F7D6C" w:rsidRPr="00441AC8" w:rsidRDefault="007F7D6C" w:rsidP="00126FCE">
      <w:pPr>
        <w:pStyle w:val="Definition"/>
        <w:ind w:left="567"/>
        <w:rPr>
          <w:sz w:val="24"/>
          <w:szCs w:val="24"/>
        </w:rPr>
      </w:pPr>
      <w:r w:rsidRPr="00441AC8">
        <w:rPr>
          <w:b/>
          <w:bCs/>
          <w:i/>
          <w:iCs/>
          <w:sz w:val="24"/>
          <w:szCs w:val="24"/>
        </w:rPr>
        <w:t>Act</w:t>
      </w:r>
      <w:r w:rsidRPr="00441AC8">
        <w:rPr>
          <w:b/>
          <w:sz w:val="24"/>
          <w:szCs w:val="24"/>
        </w:rPr>
        <w:t xml:space="preserve"> </w:t>
      </w:r>
      <w:r w:rsidRPr="00441AC8">
        <w:rPr>
          <w:sz w:val="24"/>
          <w:szCs w:val="24"/>
        </w:rPr>
        <w:t xml:space="preserve">means the </w:t>
      </w:r>
      <w:r w:rsidRPr="00441AC8">
        <w:rPr>
          <w:i/>
          <w:sz w:val="24"/>
          <w:szCs w:val="24"/>
        </w:rPr>
        <w:t xml:space="preserve">Private Health Insurance </w:t>
      </w:r>
      <w:r w:rsidR="000E302C" w:rsidRPr="00441AC8">
        <w:rPr>
          <w:i/>
          <w:sz w:val="24"/>
          <w:szCs w:val="24"/>
        </w:rPr>
        <w:t xml:space="preserve">(Prudential Supervision) </w:t>
      </w:r>
      <w:r w:rsidRPr="00441AC8">
        <w:rPr>
          <w:i/>
          <w:sz w:val="24"/>
          <w:szCs w:val="24"/>
        </w:rPr>
        <w:t>Act 20</w:t>
      </w:r>
      <w:r w:rsidR="000E302C" w:rsidRPr="00441AC8">
        <w:rPr>
          <w:i/>
          <w:sz w:val="24"/>
          <w:szCs w:val="24"/>
        </w:rPr>
        <w:t>15</w:t>
      </w:r>
      <w:r w:rsidRPr="00441AC8">
        <w:rPr>
          <w:sz w:val="24"/>
          <w:szCs w:val="24"/>
        </w:rPr>
        <w:t>.</w:t>
      </w:r>
    </w:p>
    <w:p w14:paraId="650F7E9B" w14:textId="77777777" w:rsidR="00F73CA9" w:rsidRPr="00441AC8" w:rsidRDefault="00F73CA9" w:rsidP="00126FCE">
      <w:pPr>
        <w:pStyle w:val="Definition"/>
        <w:ind w:left="567"/>
        <w:rPr>
          <w:sz w:val="24"/>
          <w:szCs w:val="24"/>
        </w:rPr>
      </w:pPr>
      <w:r w:rsidRPr="00441AC8">
        <w:rPr>
          <w:b/>
          <w:i/>
          <w:sz w:val="24"/>
          <w:szCs w:val="24"/>
        </w:rPr>
        <w:t xml:space="preserve">borrowings </w:t>
      </w:r>
      <w:r w:rsidRPr="00441AC8">
        <w:rPr>
          <w:sz w:val="24"/>
          <w:szCs w:val="24"/>
        </w:rPr>
        <w:t xml:space="preserve">of a health benefits fund are borrowings which would be permitted under </w:t>
      </w:r>
      <w:r w:rsidRPr="00F54408">
        <w:rPr>
          <w:sz w:val="24"/>
          <w:szCs w:val="24"/>
        </w:rPr>
        <w:t>Rule</w:t>
      </w:r>
      <w:r w:rsidR="00B84257" w:rsidRPr="00F54408">
        <w:rPr>
          <w:sz w:val="24"/>
          <w:szCs w:val="24"/>
        </w:rPr>
        <w:t> </w:t>
      </w:r>
      <w:r w:rsidR="00F54408">
        <w:rPr>
          <w:sz w:val="24"/>
          <w:szCs w:val="24"/>
        </w:rPr>
        <w:t>6</w:t>
      </w:r>
      <w:r w:rsidRPr="00441AC8">
        <w:rPr>
          <w:sz w:val="24"/>
          <w:szCs w:val="24"/>
        </w:rPr>
        <w:t xml:space="preserve"> of these Rules.</w:t>
      </w:r>
    </w:p>
    <w:p w14:paraId="1E78F99F" w14:textId="77777777" w:rsidR="005102FD" w:rsidRDefault="005102FD" w:rsidP="00126FCE">
      <w:pPr>
        <w:pStyle w:val="Definition"/>
        <w:ind w:left="567"/>
        <w:rPr>
          <w:sz w:val="24"/>
          <w:szCs w:val="24"/>
        </w:rPr>
      </w:pPr>
      <w:r w:rsidRPr="00441AC8">
        <w:rPr>
          <w:b/>
          <w:i/>
          <w:sz w:val="24"/>
          <w:szCs w:val="24"/>
        </w:rPr>
        <w:t xml:space="preserve">capital adequacy direction </w:t>
      </w:r>
      <w:r w:rsidRPr="00441AC8">
        <w:rPr>
          <w:sz w:val="24"/>
          <w:szCs w:val="24"/>
        </w:rPr>
        <w:t>means a direction given by APRA under section 95 of the Act</w:t>
      </w:r>
      <w:r w:rsidR="004F3BD9" w:rsidRPr="00441AC8">
        <w:rPr>
          <w:sz w:val="24"/>
          <w:szCs w:val="24"/>
        </w:rPr>
        <w:t xml:space="preserve"> relating to the capital held by a private health insurer in a health benefits fund</w:t>
      </w:r>
      <w:r w:rsidRPr="00441AC8">
        <w:rPr>
          <w:sz w:val="24"/>
          <w:szCs w:val="24"/>
        </w:rPr>
        <w:t>.</w:t>
      </w:r>
    </w:p>
    <w:p w14:paraId="220CFF29" w14:textId="77777777" w:rsidR="00CA3C89" w:rsidRPr="00441AC8" w:rsidRDefault="00CA3C89" w:rsidP="00CA3C89">
      <w:pPr>
        <w:pStyle w:val="Definition"/>
        <w:ind w:left="567"/>
        <w:rPr>
          <w:sz w:val="24"/>
          <w:szCs w:val="24"/>
        </w:rPr>
      </w:pPr>
      <w:r w:rsidRPr="00441AC8">
        <w:rPr>
          <w:b/>
          <w:i/>
          <w:sz w:val="24"/>
          <w:szCs w:val="24"/>
        </w:rPr>
        <w:t>capital adequacy standard</w:t>
      </w:r>
      <w:r w:rsidRPr="00441AC8">
        <w:rPr>
          <w:i/>
          <w:sz w:val="24"/>
          <w:szCs w:val="24"/>
        </w:rPr>
        <w:t xml:space="preserve"> </w:t>
      </w:r>
      <w:r w:rsidRPr="00441AC8">
        <w:rPr>
          <w:sz w:val="24"/>
          <w:szCs w:val="24"/>
        </w:rPr>
        <w:t xml:space="preserve">means </w:t>
      </w:r>
      <w:r w:rsidRPr="00441AC8">
        <w:rPr>
          <w:i/>
          <w:sz w:val="24"/>
          <w:szCs w:val="24"/>
        </w:rPr>
        <w:t xml:space="preserve">Prudential Standard </w:t>
      </w:r>
      <w:r w:rsidRPr="00F54408">
        <w:rPr>
          <w:i/>
          <w:sz w:val="24"/>
          <w:szCs w:val="24"/>
        </w:rPr>
        <w:t>HPS 110</w:t>
      </w:r>
      <w:r w:rsidRPr="00441AC8">
        <w:rPr>
          <w:i/>
          <w:sz w:val="24"/>
          <w:szCs w:val="24"/>
        </w:rPr>
        <w:t xml:space="preserve"> Capital Adequacy </w:t>
      </w:r>
      <w:r w:rsidRPr="00441AC8">
        <w:rPr>
          <w:sz w:val="24"/>
          <w:szCs w:val="24"/>
        </w:rPr>
        <w:t xml:space="preserve">(HPS 110) made under </w:t>
      </w:r>
      <w:r>
        <w:rPr>
          <w:sz w:val="24"/>
          <w:szCs w:val="24"/>
        </w:rPr>
        <w:t>sub</w:t>
      </w:r>
      <w:r w:rsidRPr="00441AC8">
        <w:rPr>
          <w:sz w:val="24"/>
          <w:szCs w:val="24"/>
        </w:rPr>
        <w:t>section 9</w:t>
      </w:r>
      <w:r>
        <w:rPr>
          <w:sz w:val="24"/>
          <w:szCs w:val="24"/>
        </w:rPr>
        <w:t>2(1)</w:t>
      </w:r>
      <w:r w:rsidRPr="00441AC8">
        <w:rPr>
          <w:sz w:val="24"/>
          <w:szCs w:val="24"/>
        </w:rPr>
        <w:t xml:space="preserve"> of the Act. </w:t>
      </w:r>
    </w:p>
    <w:p w14:paraId="67A59CC9" w14:textId="77777777" w:rsidR="00D31DE0" w:rsidRPr="00D31DE0" w:rsidRDefault="00D31DE0" w:rsidP="00D31DE0">
      <w:pPr>
        <w:pStyle w:val="Definition"/>
        <w:ind w:left="567"/>
        <w:rPr>
          <w:sz w:val="24"/>
          <w:szCs w:val="24"/>
        </w:rPr>
      </w:pPr>
      <w:r w:rsidRPr="00CA3C89">
        <w:rPr>
          <w:b/>
          <w:i/>
          <w:sz w:val="24"/>
          <w:szCs w:val="24"/>
        </w:rPr>
        <w:t>general treatment</w:t>
      </w:r>
      <w:r w:rsidRPr="00D31DE0">
        <w:rPr>
          <w:sz w:val="24"/>
          <w:szCs w:val="24"/>
        </w:rPr>
        <w:t xml:space="preserve"> is treatment (including the provision of goods and services) that:</w:t>
      </w:r>
    </w:p>
    <w:p w14:paraId="577CC381" w14:textId="77777777" w:rsidR="00D31DE0" w:rsidRPr="00D31DE0" w:rsidRDefault="00D31DE0" w:rsidP="00D31DE0">
      <w:pPr>
        <w:pStyle w:val="Definition"/>
        <w:ind w:left="567"/>
        <w:rPr>
          <w:sz w:val="24"/>
          <w:szCs w:val="24"/>
        </w:rPr>
      </w:pPr>
      <w:r w:rsidRPr="00D31DE0">
        <w:rPr>
          <w:sz w:val="24"/>
          <w:szCs w:val="24"/>
        </w:rPr>
        <w:t>(a)</w:t>
      </w:r>
      <w:r w:rsidRPr="00D31DE0">
        <w:rPr>
          <w:sz w:val="24"/>
          <w:szCs w:val="24"/>
        </w:rPr>
        <w:tab/>
        <w:t>is intended to manage or prevent a disease, injury or condition; and</w:t>
      </w:r>
    </w:p>
    <w:p w14:paraId="686508B3" w14:textId="77777777" w:rsidR="00D31DE0" w:rsidRPr="00D31DE0" w:rsidRDefault="00D31DE0" w:rsidP="00D31DE0">
      <w:pPr>
        <w:pStyle w:val="Definition"/>
        <w:ind w:left="567"/>
        <w:rPr>
          <w:sz w:val="24"/>
          <w:szCs w:val="24"/>
        </w:rPr>
      </w:pPr>
      <w:r w:rsidRPr="00D31DE0">
        <w:rPr>
          <w:sz w:val="24"/>
          <w:szCs w:val="24"/>
        </w:rPr>
        <w:t>(b)</w:t>
      </w:r>
      <w:r w:rsidRPr="00D31DE0">
        <w:rPr>
          <w:sz w:val="24"/>
          <w:szCs w:val="24"/>
        </w:rPr>
        <w:tab/>
        <w:t>is not hospital treatment.</w:t>
      </w:r>
    </w:p>
    <w:p w14:paraId="070B96E5" w14:textId="77777777" w:rsidR="00A203C8" w:rsidRDefault="00A203C8">
      <w:pPr>
        <w:spacing w:line="240" w:lineRule="auto"/>
        <w:rPr>
          <w:sz w:val="24"/>
          <w:szCs w:val="24"/>
        </w:rPr>
      </w:pPr>
    </w:p>
    <w:p w14:paraId="62A876D4" w14:textId="77777777" w:rsidR="00D31DE0" w:rsidRDefault="00D31DE0" w:rsidP="00A203C8">
      <w:pPr>
        <w:spacing w:line="240" w:lineRule="auto"/>
        <w:ind w:firstLine="567"/>
        <w:rPr>
          <w:sz w:val="24"/>
          <w:szCs w:val="24"/>
        </w:rPr>
      </w:pPr>
      <w:r w:rsidRPr="00CA3C89">
        <w:rPr>
          <w:b/>
          <w:i/>
          <w:sz w:val="24"/>
          <w:szCs w:val="24"/>
        </w:rPr>
        <w:t>hospital treatment</w:t>
      </w:r>
      <w:r w:rsidRPr="00D31DE0">
        <w:rPr>
          <w:sz w:val="24"/>
          <w:szCs w:val="24"/>
        </w:rPr>
        <w:t xml:space="preserve"> is treatment (including the provision of goods and services) that:</w:t>
      </w:r>
    </w:p>
    <w:p w14:paraId="73E38039" w14:textId="77777777" w:rsidR="00D31DE0" w:rsidRPr="00D31DE0" w:rsidRDefault="00D31DE0" w:rsidP="00D31DE0">
      <w:pPr>
        <w:pStyle w:val="Definition"/>
        <w:ind w:left="567"/>
        <w:rPr>
          <w:sz w:val="24"/>
          <w:szCs w:val="24"/>
        </w:rPr>
      </w:pPr>
      <w:r w:rsidRPr="00D31DE0">
        <w:rPr>
          <w:sz w:val="24"/>
          <w:szCs w:val="24"/>
        </w:rPr>
        <w:t>(a)</w:t>
      </w:r>
      <w:r w:rsidRPr="00D31DE0">
        <w:rPr>
          <w:sz w:val="24"/>
          <w:szCs w:val="24"/>
        </w:rPr>
        <w:tab/>
        <w:t>is intended to manage disease, injury or condition; and</w:t>
      </w:r>
    </w:p>
    <w:p w14:paraId="79BB0968" w14:textId="77777777" w:rsidR="00D31DE0" w:rsidRPr="00D31DE0" w:rsidRDefault="00D31DE0" w:rsidP="00D31DE0">
      <w:pPr>
        <w:pStyle w:val="Definition"/>
        <w:ind w:left="567"/>
        <w:rPr>
          <w:sz w:val="24"/>
          <w:szCs w:val="24"/>
        </w:rPr>
      </w:pPr>
      <w:r w:rsidRPr="00D31DE0">
        <w:rPr>
          <w:sz w:val="24"/>
          <w:szCs w:val="24"/>
        </w:rPr>
        <w:t>(b)</w:t>
      </w:r>
      <w:r w:rsidRPr="00D31DE0">
        <w:rPr>
          <w:sz w:val="24"/>
          <w:szCs w:val="24"/>
        </w:rPr>
        <w:tab/>
        <w:t>is provided to a person:</w:t>
      </w:r>
    </w:p>
    <w:p w14:paraId="1764E0FB" w14:textId="77777777" w:rsidR="00D31DE0" w:rsidRPr="00D31DE0" w:rsidRDefault="00D31DE0" w:rsidP="00D31DE0">
      <w:pPr>
        <w:pStyle w:val="Definition"/>
        <w:ind w:left="567"/>
        <w:rPr>
          <w:sz w:val="24"/>
          <w:szCs w:val="24"/>
        </w:rPr>
      </w:pPr>
      <w:r w:rsidRPr="00D31DE0">
        <w:rPr>
          <w:sz w:val="24"/>
          <w:szCs w:val="24"/>
        </w:rPr>
        <w:t>(i)</w:t>
      </w:r>
      <w:r w:rsidRPr="00D31DE0">
        <w:rPr>
          <w:sz w:val="24"/>
          <w:szCs w:val="24"/>
        </w:rPr>
        <w:tab/>
        <w:t>by a person who is authorised by a hospital to provide the treatment; or</w:t>
      </w:r>
    </w:p>
    <w:p w14:paraId="1417BCF3" w14:textId="77777777" w:rsidR="00D31DE0" w:rsidRPr="00D31DE0" w:rsidRDefault="00D31DE0" w:rsidP="00D31DE0">
      <w:pPr>
        <w:pStyle w:val="Definition"/>
        <w:ind w:left="567"/>
        <w:rPr>
          <w:sz w:val="24"/>
          <w:szCs w:val="24"/>
        </w:rPr>
      </w:pPr>
      <w:r w:rsidRPr="00D31DE0">
        <w:rPr>
          <w:sz w:val="24"/>
          <w:szCs w:val="24"/>
        </w:rPr>
        <w:t>(ii)</w:t>
      </w:r>
      <w:r w:rsidRPr="00D31DE0">
        <w:rPr>
          <w:sz w:val="24"/>
          <w:szCs w:val="24"/>
        </w:rPr>
        <w:tab/>
        <w:t>under the management or controls of such a person; and</w:t>
      </w:r>
    </w:p>
    <w:p w14:paraId="6DB87FDB" w14:textId="77777777" w:rsidR="00D31DE0" w:rsidRPr="00D31DE0" w:rsidRDefault="00D31DE0" w:rsidP="00D31DE0">
      <w:pPr>
        <w:pStyle w:val="Definition"/>
        <w:ind w:left="567"/>
        <w:rPr>
          <w:sz w:val="24"/>
          <w:szCs w:val="24"/>
        </w:rPr>
      </w:pPr>
      <w:r w:rsidRPr="00D31DE0">
        <w:rPr>
          <w:sz w:val="24"/>
          <w:szCs w:val="24"/>
        </w:rPr>
        <w:t>(c)</w:t>
      </w:r>
      <w:r w:rsidRPr="00D31DE0">
        <w:rPr>
          <w:sz w:val="24"/>
          <w:szCs w:val="24"/>
        </w:rPr>
        <w:tab/>
        <w:t>either:</w:t>
      </w:r>
    </w:p>
    <w:p w14:paraId="5A0DDCA2" w14:textId="77777777" w:rsidR="00D31DE0" w:rsidRPr="00D31DE0" w:rsidRDefault="00D31DE0" w:rsidP="00D31DE0">
      <w:pPr>
        <w:pStyle w:val="Definition"/>
        <w:ind w:left="567"/>
        <w:rPr>
          <w:sz w:val="24"/>
          <w:szCs w:val="24"/>
        </w:rPr>
      </w:pPr>
      <w:r w:rsidRPr="00D31DE0">
        <w:rPr>
          <w:sz w:val="24"/>
          <w:szCs w:val="24"/>
        </w:rPr>
        <w:t>(i)</w:t>
      </w:r>
      <w:r w:rsidRPr="00D31DE0">
        <w:rPr>
          <w:sz w:val="24"/>
          <w:szCs w:val="24"/>
        </w:rPr>
        <w:tab/>
        <w:t>is provided at a hospital; or</w:t>
      </w:r>
    </w:p>
    <w:p w14:paraId="60D6183A" w14:textId="77777777" w:rsidR="00D31DE0" w:rsidRPr="00441AC8" w:rsidRDefault="00D31DE0" w:rsidP="00D31DE0">
      <w:pPr>
        <w:pStyle w:val="Definition"/>
        <w:ind w:left="567"/>
        <w:rPr>
          <w:sz w:val="24"/>
          <w:szCs w:val="24"/>
        </w:rPr>
      </w:pPr>
      <w:r w:rsidRPr="00D31DE0">
        <w:rPr>
          <w:sz w:val="24"/>
          <w:szCs w:val="24"/>
        </w:rPr>
        <w:t>(ii)</w:t>
      </w:r>
      <w:r w:rsidRPr="00D31DE0">
        <w:rPr>
          <w:sz w:val="24"/>
          <w:szCs w:val="24"/>
        </w:rPr>
        <w:tab/>
        <w:t>is provided, or arranged, with the direct involvement of a hospital.</w:t>
      </w:r>
    </w:p>
    <w:p w14:paraId="106C600F" w14:textId="77777777" w:rsidR="006230C9" w:rsidRPr="00441AC8" w:rsidRDefault="006230C9" w:rsidP="00126FCE">
      <w:pPr>
        <w:pStyle w:val="Definition"/>
        <w:ind w:left="567"/>
        <w:rPr>
          <w:sz w:val="24"/>
          <w:szCs w:val="24"/>
        </w:rPr>
      </w:pPr>
      <w:r w:rsidRPr="00441AC8">
        <w:rPr>
          <w:b/>
          <w:bCs/>
          <w:i/>
          <w:iCs/>
          <w:sz w:val="24"/>
          <w:szCs w:val="24"/>
        </w:rPr>
        <w:lastRenderedPageBreak/>
        <w:t>PHI Act</w:t>
      </w:r>
      <w:r w:rsidRPr="00441AC8">
        <w:rPr>
          <w:b/>
          <w:sz w:val="24"/>
          <w:szCs w:val="24"/>
        </w:rPr>
        <w:t xml:space="preserve"> </w:t>
      </w:r>
      <w:r w:rsidRPr="00441AC8">
        <w:rPr>
          <w:sz w:val="24"/>
          <w:szCs w:val="24"/>
        </w:rPr>
        <w:t xml:space="preserve">means the </w:t>
      </w:r>
      <w:r w:rsidRPr="00441AC8">
        <w:rPr>
          <w:i/>
          <w:sz w:val="24"/>
          <w:szCs w:val="24"/>
        </w:rPr>
        <w:t>Private Health Insurance Act 2007</w:t>
      </w:r>
      <w:r w:rsidRPr="00441AC8">
        <w:rPr>
          <w:sz w:val="24"/>
          <w:szCs w:val="24"/>
        </w:rPr>
        <w:t>.</w:t>
      </w:r>
    </w:p>
    <w:p w14:paraId="28ADE403" w14:textId="77777777" w:rsidR="00663272" w:rsidRPr="00441AC8" w:rsidRDefault="00663272" w:rsidP="00126FCE">
      <w:pPr>
        <w:pStyle w:val="Definition"/>
        <w:ind w:left="567"/>
        <w:rPr>
          <w:sz w:val="24"/>
          <w:szCs w:val="24"/>
        </w:rPr>
      </w:pPr>
      <w:r w:rsidRPr="00441AC8">
        <w:rPr>
          <w:b/>
          <w:i/>
          <w:sz w:val="24"/>
          <w:szCs w:val="24"/>
        </w:rPr>
        <w:t>PHIAC</w:t>
      </w:r>
      <w:r w:rsidRPr="00441AC8">
        <w:rPr>
          <w:sz w:val="24"/>
          <w:szCs w:val="24"/>
        </w:rPr>
        <w:t xml:space="preserve"> means the Private Health Insurance Administration Council.</w:t>
      </w:r>
    </w:p>
    <w:p w14:paraId="32110249" w14:textId="77777777" w:rsidR="007F7D6C" w:rsidRPr="00441AC8" w:rsidRDefault="007F7D6C" w:rsidP="00126FCE">
      <w:pPr>
        <w:pStyle w:val="Definition"/>
        <w:ind w:left="567"/>
        <w:rPr>
          <w:sz w:val="24"/>
          <w:szCs w:val="24"/>
        </w:rPr>
      </w:pPr>
      <w:r w:rsidRPr="00441AC8">
        <w:rPr>
          <w:b/>
          <w:i/>
          <w:sz w:val="24"/>
          <w:szCs w:val="24"/>
        </w:rPr>
        <w:t xml:space="preserve">Regulations </w:t>
      </w:r>
      <w:r w:rsidR="00A20779">
        <w:rPr>
          <w:sz w:val="24"/>
          <w:szCs w:val="24"/>
        </w:rPr>
        <w:t>mean</w:t>
      </w:r>
      <w:r w:rsidRPr="00441AC8">
        <w:rPr>
          <w:sz w:val="24"/>
          <w:szCs w:val="24"/>
        </w:rPr>
        <w:t xml:space="preserve"> any regulations made under the Act.</w:t>
      </w:r>
    </w:p>
    <w:p w14:paraId="51917107" w14:textId="77777777" w:rsidR="0036596D" w:rsidRPr="00441AC8" w:rsidRDefault="0036596D" w:rsidP="00126FCE">
      <w:pPr>
        <w:pStyle w:val="Definition"/>
        <w:ind w:left="567"/>
        <w:rPr>
          <w:sz w:val="24"/>
          <w:szCs w:val="24"/>
        </w:rPr>
      </w:pPr>
      <w:r w:rsidRPr="00441AC8">
        <w:rPr>
          <w:b/>
          <w:i/>
          <w:sz w:val="24"/>
          <w:szCs w:val="24"/>
        </w:rPr>
        <w:t xml:space="preserve">solvency direction </w:t>
      </w:r>
      <w:r w:rsidRPr="00441AC8">
        <w:rPr>
          <w:sz w:val="24"/>
          <w:szCs w:val="24"/>
        </w:rPr>
        <w:t>means a direction given by APRA under section 9</w:t>
      </w:r>
      <w:r w:rsidR="00324994">
        <w:rPr>
          <w:sz w:val="24"/>
          <w:szCs w:val="24"/>
        </w:rPr>
        <w:t>6</w:t>
      </w:r>
      <w:r w:rsidRPr="00441AC8">
        <w:rPr>
          <w:sz w:val="24"/>
          <w:szCs w:val="24"/>
        </w:rPr>
        <w:t xml:space="preserve"> of the Act to </w:t>
      </w:r>
      <w:r w:rsidR="004F3BD9" w:rsidRPr="00441AC8">
        <w:rPr>
          <w:sz w:val="24"/>
          <w:szCs w:val="24"/>
        </w:rPr>
        <w:t>ensure that a private health insurer will be able to meet the liabilities of a health benefits fund conducted by the insurer out of the assets of the fund as they become due.</w:t>
      </w:r>
    </w:p>
    <w:p w14:paraId="53A9F075" w14:textId="77777777" w:rsidR="00080C7B" w:rsidRPr="00441AC8" w:rsidRDefault="00080C7B" w:rsidP="00126FCE">
      <w:pPr>
        <w:pStyle w:val="Definition"/>
        <w:spacing w:after="120"/>
        <w:ind w:left="567"/>
        <w:rPr>
          <w:sz w:val="24"/>
          <w:szCs w:val="24"/>
        </w:rPr>
      </w:pPr>
      <w:r w:rsidRPr="00441AC8">
        <w:rPr>
          <w:b/>
          <w:i/>
          <w:sz w:val="24"/>
          <w:szCs w:val="24"/>
        </w:rPr>
        <w:t>solvency standard</w:t>
      </w:r>
      <w:r w:rsidRPr="00441AC8">
        <w:rPr>
          <w:i/>
          <w:sz w:val="24"/>
          <w:szCs w:val="24"/>
        </w:rPr>
        <w:t xml:space="preserve"> </w:t>
      </w:r>
      <w:r w:rsidRPr="00441AC8">
        <w:rPr>
          <w:sz w:val="24"/>
          <w:szCs w:val="24"/>
        </w:rPr>
        <w:t xml:space="preserve">means </w:t>
      </w:r>
      <w:r w:rsidR="00EE104D" w:rsidRPr="00441AC8">
        <w:rPr>
          <w:i/>
          <w:sz w:val="24"/>
          <w:szCs w:val="24"/>
        </w:rPr>
        <w:t>Prudential Standard HPS 100 Solvency Standard</w:t>
      </w:r>
      <w:r w:rsidR="00F130BB" w:rsidRPr="00441AC8">
        <w:rPr>
          <w:i/>
          <w:sz w:val="24"/>
          <w:szCs w:val="24"/>
        </w:rPr>
        <w:t xml:space="preserve"> </w:t>
      </w:r>
      <w:r w:rsidR="00F130BB" w:rsidRPr="00441AC8">
        <w:rPr>
          <w:sz w:val="24"/>
          <w:szCs w:val="24"/>
        </w:rPr>
        <w:t>(HPS 100)</w:t>
      </w:r>
      <w:r w:rsidR="007546FA" w:rsidRPr="00441AC8">
        <w:rPr>
          <w:sz w:val="24"/>
          <w:szCs w:val="24"/>
        </w:rPr>
        <w:t xml:space="preserve"> made under </w:t>
      </w:r>
      <w:r w:rsidR="00E37500">
        <w:rPr>
          <w:sz w:val="24"/>
          <w:szCs w:val="24"/>
        </w:rPr>
        <w:t>sub</w:t>
      </w:r>
      <w:r w:rsidR="007546FA" w:rsidRPr="00441AC8">
        <w:rPr>
          <w:sz w:val="24"/>
          <w:szCs w:val="24"/>
        </w:rPr>
        <w:t xml:space="preserve">section </w:t>
      </w:r>
      <w:r w:rsidR="00324994" w:rsidRPr="00441AC8">
        <w:rPr>
          <w:sz w:val="24"/>
          <w:szCs w:val="24"/>
        </w:rPr>
        <w:t>9</w:t>
      </w:r>
      <w:r w:rsidR="00324994">
        <w:rPr>
          <w:sz w:val="24"/>
          <w:szCs w:val="24"/>
        </w:rPr>
        <w:t>2(1)</w:t>
      </w:r>
      <w:r w:rsidR="00324994" w:rsidRPr="00441AC8">
        <w:rPr>
          <w:sz w:val="24"/>
          <w:szCs w:val="24"/>
        </w:rPr>
        <w:t xml:space="preserve"> </w:t>
      </w:r>
      <w:r w:rsidR="007546FA" w:rsidRPr="00441AC8">
        <w:rPr>
          <w:sz w:val="24"/>
          <w:szCs w:val="24"/>
        </w:rPr>
        <w:t>of the Act</w:t>
      </w:r>
      <w:r w:rsidRPr="00441AC8">
        <w:rPr>
          <w:sz w:val="24"/>
          <w:szCs w:val="24"/>
        </w:rPr>
        <w:t xml:space="preserve">. </w:t>
      </w:r>
    </w:p>
    <w:p w14:paraId="397AAD51" w14:textId="77777777" w:rsidR="00F078A7" w:rsidRPr="00441AC8" w:rsidRDefault="00962627" w:rsidP="00126FCE">
      <w:pPr>
        <w:pStyle w:val="paragraph"/>
        <w:tabs>
          <w:tab w:val="clear" w:pos="1531"/>
          <w:tab w:val="right" w:pos="1134"/>
        </w:tabs>
        <w:spacing w:before="0"/>
        <w:ind w:left="567" w:hanging="1134"/>
        <w:rPr>
          <w:b/>
          <w:i/>
          <w:sz w:val="24"/>
          <w:szCs w:val="24"/>
        </w:rPr>
      </w:pPr>
      <w:r w:rsidRPr="00441AC8">
        <w:rPr>
          <w:sz w:val="24"/>
          <w:szCs w:val="24"/>
        </w:rPr>
        <w:tab/>
      </w:r>
      <w:r w:rsidR="00F078A7" w:rsidRPr="00441AC8">
        <w:rPr>
          <w:b/>
          <w:bCs/>
          <w:i/>
          <w:iCs/>
          <w:sz w:val="24"/>
          <w:szCs w:val="24"/>
        </w:rPr>
        <w:t>subordinated debt</w:t>
      </w:r>
      <w:r w:rsidR="00F078A7" w:rsidRPr="00441AC8">
        <w:rPr>
          <w:sz w:val="24"/>
          <w:szCs w:val="24"/>
        </w:rPr>
        <w:t xml:space="preserve"> </w:t>
      </w:r>
      <w:r w:rsidR="00EE104D" w:rsidRPr="00441AC8">
        <w:rPr>
          <w:sz w:val="24"/>
          <w:szCs w:val="24"/>
        </w:rPr>
        <w:t xml:space="preserve">is as defined in </w:t>
      </w:r>
      <w:r w:rsidR="00EE104D" w:rsidRPr="00441AC8">
        <w:rPr>
          <w:i/>
          <w:sz w:val="24"/>
          <w:szCs w:val="24"/>
        </w:rPr>
        <w:t>Prudential Standard HPS 001 Definitions</w:t>
      </w:r>
      <w:r w:rsidR="00F078A7" w:rsidRPr="00441AC8">
        <w:rPr>
          <w:sz w:val="24"/>
          <w:szCs w:val="24"/>
        </w:rPr>
        <w:t>.</w:t>
      </w:r>
    </w:p>
    <w:p w14:paraId="3257DD16" w14:textId="77777777" w:rsidR="00871ED2" w:rsidRPr="00441AC8" w:rsidRDefault="00871ED2" w:rsidP="00126FCE">
      <w:pPr>
        <w:spacing w:line="240" w:lineRule="auto"/>
        <w:rPr>
          <w:rStyle w:val="CharPartNo"/>
          <w:rFonts w:eastAsia="Times New Roman" w:cs="Times New Roman"/>
          <w:b/>
          <w:kern w:val="28"/>
          <w:sz w:val="24"/>
          <w:szCs w:val="24"/>
          <w:lang w:eastAsia="en-AU"/>
        </w:rPr>
      </w:pPr>
      <w:r w:rsidRPr="00441AC8">
        <w:rPr>
          <w:rStyle w:val="CharPartNo"/>
          <w:sz w:val="24"/>
          <w:szCs w:val="24"/>
        </w:rPr>
        <w:br w:type="page"/>
      </w:r>
    </w:p>
    <w:p w14:paraId="6FC9549B" w14:textId="77777777" w:rsidR="007F7D6C" w:rsidRPr="00B84257" w:rsidRDefault="007F7D6C" w:rsidP="00533CCD">
      <w:pPr>
        <w:pStyle w:val="Style1"/>
        <w:ind w:left="0" w:firstLine="0"/>
      </w:pPr>
      <w:bookmarkStart w:id="18" w:name="_Toc413670977"/>
      <w:bookmarkStart w:id="19" w:name="_Toc413671436"/>
      <w:bookmarkStart w:id="20" w:name="_Toc413673010"/>
      <w:bookmarkStart w:id="21" w:name="_Toc413673435"/>
      <w:r w:rsidRPr="00B84257">
        <w:rPr>
          <w:rStyle w:val="CharPartNo"/>
        </w:rPr>
        <w:lastRenderedPageBreak/>
        <w:t>Part</w:t>
      </w:r>
      <w:r w:rsidR="00B84257">
        <w:rPr>
          <w:rStyle w:val="CharPartNo"/>
        </w:rPr>
        <w:t> </w:t>
      </w:r>
      <w:r w:rsidRPr="00B84257">
        <w:rPr>
          <w:rStyle w:val="CharPartNo"/>
        </w:rPr>
        <w:t>2</w:t>
      </w:r>
      <w:r w:rsidR="000A55DA" w:rsidRPr="00C43A05">
        <w:t xml:space="preserve"> </w:t>
      </w:r>
      <w:r w:rsidR="000A55DA">
        <w:t>–</w:t>
      </w:r>
      <w:r w:rsidR="000A55DA" w:rsidRPr="00C43A05">
        <w:t xml:space="preserve"> </w:t>
      </w:r>
      <w:r w:rsidRPr="00871ED2">
        <w:rPr>
          <w:rStyle w:val="CharPartText"/>
        </w:rPr>
        <w:t>Expenditure</w:t>
      </w:r>
      <w:r w:rsidRPr="00B84257">
        <w:rPr>
          <w:rStyle w:val="CharPartText"/>
        </w:rPr>
        <w:t xml:space="preserve"> and application</w:t>
      </w:r>
      <w:r w:rsidRPr="00B84257" w:rsidDel="00D116E1">
        <w:rPr>
          <w:rStyle w:val="CharPartText"/>
        </w:rPr>
        <w:t xml:space="preserve"> </w:t>
      </w:r>
      <w:r w:rsidRPr="00B84257">
        <w:rPr>
          <w:rStyle w:val="CharPartText"/>
        </w:rPr>
        <w:t>of health benefits funds</w:t>
      </w:r>
      <w:bookmarkEnd w:id="18"/>
      <w:bookmarkEnd w:id="19"/>
      <w:bookmarkEnd w:id="20"/>
      <w:bookmarkEnd w:id="21"/>
    </w:p>
    <w:p w14:paraId="19BFA051" w14:textId="77777777" w:rsidR="007F7D6C" w:rsidRPr="00B84257" w:rsidRDefault="007F7D6C" w:rsidP="00AD6D63">
      <w:pPr>
        <w:pStyle w:val="Style2"/>
      </w:pPr>
      <w:bookmarkStart w:id="22" w:name="_Toc413670978"/>
      <w:bookmarkStart w:id="23" w:name="_Toc413671437"/>
      <w:bookmarkStart w:id="24" w:name="_Toc413673011"/>
      <w:bookmarkStart w:id="25" w:name="_Toc413673436"/>
      <w:r w:rsidRPr="00B84257">
        <w:t>Mortgages and charges</w:t>
      </w:r>
      <w:bookmarkEnd w:id="22"/>
      <w:bookmarkEnd w:id="23"/>
      <w:bookmarkEnd w:id="24"/>
      <w:bookmarkEnd w:id="25"/>
    </w:p>
    <w:p w14:paraId="67760D61" w14:textId="77777777" w:rsidR="007F7D6C" w:rsidRPr="00187008" w:rsidRDefault="007F7D6C" w:rsidP="00126FCE">
      <w:pPr>
        <w:pStyle w:val="Style5"/>
        <w:spacing w:line="240" w:lineRule="auto"/>
        <w:ind w:left="1134" w:hanging="567"/>
        <w:rPr>
          <w:sz w:val="24"/>
          <w:szCs w:val="24"/>
        </w:rPr>
      </w:pPr>
      <w:bookmarkStart w:id="26" w:name="_Ref162803591"/>
      <w:r w:rsidRPr="00187008">
        <w:rPr>
          <w:sz w:val="24"/>
          <w:szCs w:val="24"/>
        </w:rPr>
        <w:t xml:space="preserve">For the purposes of </w:t>
      </w:r>
      <w:r w:rsidR="005238A2" w:rsidRPr="00187008">
        <w:rPr>
          <w:sz w:val="24"/>
          <w:szCs w:val="24"/>
        </w:rPr>
        <w:t>subsection 28(3)</w:t>
      </w:r>
      <w:r w:rsidRPr="00187008">
        <w:rPr>
          <w:sz w:val="24"/>
          <w:szCs w:val="24"/>
        </w:rPr>
        <w:t xml:space="preserve"> of the Act, the purpose for which </w:t>
      </w:r>
      <w:r w:rsidR="007336A0" w:rsidRPr="00187008">
        <w:rPr>
          <w:sz w:val="24"/>
          <w:szCs w:val="24"/>
        </w:rPr>
        <w:t>a private health insurer</w:t>
      </w:r>
      <w:r w:rsidRPr="00187008">
        <w:rPr>
          <w:sz w:val="24"/>
          <w:szCs w:val="24"/>
        </w:rPr>
        <w:t xml:space="preserve"> may mortgage or charge an asset of a health benefits fund, or funds, conducted by the insurer is that the mortgage or charge is for the sole purpose of the benefit of the business of the fund or funds.</w:t>
      </w:r>
      <w:bookmarkEnd w:id="26"/>
    </w:p>
    <w:p w14:paraId="36EC26CB" w14:textId="77777777" w:rsidR="007F7D6C" w:rsidRPr="00187008" w:rsidRDefault="007F7D6C" w:rsidP="00126FCE">
      <w:pPr>
        <w:pStyle w:val="Style5"/>
        <w:spacing w:line="240" w:lineRule="auto"/>
        <w:ind w:left="1134" w:hanging="567"/>
        <w:rPr>
          <w:sz w:val="24"/>
          <w:szCs w:val="24"/>
        </w:rPr>
      </w:pPr>
      <w:bookmarkStart w:id="27" w:name="_Ref162799025"/>
      <w:r w:rsidRPr="00187008">
        <w:rPr>
          <w:sz w:val="24"/>
          <w:szCs w:val="24"/>
        </w:rPr>
        <w:t>A mortgage or charge referred to in subrule (1) is subject to the conditions that it:</w:t>
      </w:r>
      <w:bookmarkEnd w:id="27"/>
    </w:p>
    <w:p w14:paraId="1C990A72" w14:textId="77777777" w:rsidR="007F7D6C" w:rsidRPr="00187008" w:rsidRDefault="007F7D6C" w:rsidP="00126FCE">
      <w:pPr>
        <w:pStyle w:val="Style6"/>
        <w:spacing w:line="240" w:lineRule="auto"/>
        <w:rPr>
          <w:sz w:val="24"/>
          <w:szCs w:val="24"/>
        </w:rPr>
      </w:pPr>
      <w:r w:rsidRPr="00187008">
        <w:rPr>
          <w:sz w:val="24"/>
          <w:szCs w:val="24"/>
        </w:rPr>
        <w:t>only secures a borrowing that is permitted under these Rules; and</w:t>
      </w:r>
    </w:p>
    <w:p w14:paraId="363282F1" w14:textId="77777777" w:rsidR="007F7D6C" w:rsidRPr="00187008" w:rsidRDefault="007F7D6C" w:rsidP="00126FCE">
      <w:pPr>
        <w:pStyle w:val="Style6"/>
        <w:spacing w:line="240" w:lineRule="auto"/>
        <w:rPr>
          <w:sz w:val="24"/>
          <w:szCs w:val="24"/>
        </w:rPr>
      </w:pPr>
      <w:r w:rsidRPr="00187008">
        <w:rPr>
          <w:sz w:val="24"/>
          <w:szCs w:val="24"/>
        </w:rPr>
        <w:t>does not secure a liability that is not a liability incurred, or to be incurred, by the fund, or funds, for the business of the fund or funds; and</w:t>
      </w:r>
    </w:p>
    <w:p w14:paraId="4AD634FC" w14:textId="77777777" w:rsidR="007F7D6C" w:rsidRPr="00187008" w:rsidRDefault="007F7D6C" w:rsidP="00126FCE">
      <w:pPr>
        <w:pStyle w:val="Style6"/>
        <w:spacing w:line="240" w:lineRule="auto"/>
        <w:rPr>
          <w:sz w:val="24"/>
          <w:szCs w:val="24"/>
        </w:rPr>
      </w:pPr>
      <w:r w:rsidRPr="00187008">
        <w:rPr>
          <w:sz w:val="24"/>
          <w:szCs w:val="24"/>
        </w:rPr>
        <w:t>will not adversely impact on the insurer</w:t>
      </w:r>
      <w:r w:rsidR="00EE2809" w:rsidRPr="00187008">
        <w:rPr>
          <w:sz w:val="24"/>
          <w:szCs w:val="24"/>
        </w:rPr>
        <w:t>’</w:t>
      </w:r>
      <w:r w:rsidRPr="00187008">
        <w:rPr>
          <w:sz w:val="24"/>
          <w:szCs w:val="24"/>
        </w:rPr>
        <w:t>s ability to:</w:t>
      </w:r>
    </w:p>
    <w:p w14:paraId="16BB94CC" w14:textId="77777777" w:rsidR="007F7D6C" w:rsidRPr="00187008" w:rsidRDefault="007F7D6C" w:rsidP="00126FCE">
      <w:pPr>
        <w:pStyle w:val="Style7"/>
        <w:spacing w:line="240" w:lineRule="auto"/>
        <w:rPr>
          <w:sz w:val="24"/>
          <w:szCs w:val="24"/>
        </w:rPr>
      </w:pPr>
      <w:r w:rsidRPr="00187008">
        <w:rPr>
          <w:sz w:val="24"/>
          <w:szCs w:val="24"/>
        </w:rPr>
        <w:t>maintain the capital adequacy of the fund in accordance with the capital adequacy standard; or</w:t>
      </w:r>
    </w:p>
    <w:p w14:paraId="35480324" w14:textId="77777777" w:rsidR="007F7D6C" w:rsidRPr="00187008" w:rsidRDefault="007F7D6C" w:rsidP="00126FCE">
      <w:pPr>
        <w:pStyle w:val="Style7"/>
        <w:spacing w:line="240" w:lineRule="auto"/>
        <w:rPr>
          <w:sz w:val="24"/>
          <w:szCs w:val="24"/>
        </w:rPr>
      </w:pPr>
      <w:r w:rsidRPr="00187008">
        <w:rPr>
          <w:sz w:val="24"/>
          <w:szCs w:val="24"/>
        </w:rPr>
        <w:t>comply with a capital adequacy direction given to the insurer; or</w:t>
      </w:r>
    </w:p>
    <w:p w14:paraId="26AD5C4A" w14:textId="77777777" w:rsidR="007F7D6C" w:rsidRPr="00187008" w:rsidRDefault="007F7D6C" w:rsidP="00126FCE">
      <w:pPr>
        <w:pStyle w:val="Style7"/>
        <w:spacing w:line="240" w:lineRule="auto"/>
        <w:rPr>
          <w:sz w:val="24"/>
          <w:szCs w:val="24"/>
        </w:rPr>
      </w:pPr>
      <w:r w:rsidRPr="00187008">
        <w:rPr>
          <w:sz w:val="24"/>
          <w:szCs w:val="24"/>
        </w:rPr>
        <w:t>maintain the standards of solvency in accordance with the solvency standard; or</w:t>
      </w:r>
    </w:p>
    <w:p w14:paraId="63BA3F0C" w14:textId="77777777" w:rsidR="007F7D6C" w:rsidRPr="00187008" w:rsidRDefault="007F7D6C" w:rsidP="00126FCE">
      <w:pPr>
        <w:pStyle w:val="Style7"/>
        <w:spacing w:line="240" w:lineRule="auto"/>
        <w:rPr>
          <w:sz w:val="24"/>
          <w:szCs w:val="24"/>
        </w:rPr>
      </w:pPr>
      <w:r w:rsidRPr="00187008">
        <w:rPr>
          <w:sz w:val="24"/>
          <w:szCs w:val="24"/>
        </w:rPr>
        <w:t>comply with a solvency direction given to the insurer.</w:t>
      </w:r>
    </w:p>
    <w:p w14:paraId="7B11AA17" w14:textId="77777777" w:rsidR="008071F7" w:rsidRPr="00187008" w:rsidRDefault="007F7D6C" w:rsidP="00126FCE">
      <w:pPr>
        <w:pStyle w:val="Style5"/>
        <w:spacing w:line="240" w:lineRule="auto"/>
        <w:ind w:left="1134" w:hanging="567"/>
        <w:rPr>
          <w:sz w:val="24"/>
          <w:szCs w:val="24"/>
        </w:rPr>
      </w:pPr>
      <w:r w:rsidRPr="00187008">
        <w:rPr>
          <w:sz w:val="24"/>
          <w:szCs w:val="24"/>
        </w:rPr>
        <w:t>A mortgage or charge is subject to the condition that:</w:t>
      </w:r>
    </w:p>
    <w:p w14:paraId="6FB7226C" w14:textId="77777777" w:rsidR="008071F7" w:rsidRPr="00187008" w:rsidRDefault="007F7D6C" w:rsidP="00B36939">
      <w:pPr>
        <w:pStyle w:val="Style5"/>
        <w:numPr>
          <w:ilvl w:val="1"/>
          <w:numId w:val="18"/>
        </w:numPr>
        <w:spacing w:line="240" w:lineRule="auto"/>
        <w:ind w:left="1701" w:hanging="567"/>
        <w:rPr>
          <w:sz w:val="24"/>
          <w:szCs w:val="24"/>
        </w:rPr>
      </w:pPr>
      <w:r w:rsidRPr="00187008">
        <w:rPr>
          <w:sz w:val="24"/>
          <w:szCs w:val="24"/>
        </w:rPr>
        <w:t>the mortgage or charge complies with the insurer</w:t>
      </w:r>
      <w:r w:rsidR="00EE2809" w:rsidRPr="00187008">
        <w:rPr>
          <w:sz w:val="24"/>
          <w:szCs w:val="24"/>
        </w:rPr>
        <w:t>’</w:t>
      </w:r>
      <w:r w:rsidRPr="00187008">
        <w:rPr>
          <w:sz w:val="24"/>
          <w:szCs w:val="24"/>
        </w:rPr>
        <w:t>s risk management statements or policies that have been developed with the advice of the insurer</w:t>
      </w:r>
      <w:r w:rsidR="00EE2809" w:rsidRPr="00187008">
        <w:rPr>
          <w:sz w:val="24"/>
          <w:szCs w:val="24"/>
        </w:rPr>
        <w:t>’</w:t>
      </w:r>
      <w:r w:rsidRPr="00187008">
        <w:rPr>
          <w:sz w:val="24"/>
          <w:szCs w:val="24"/>
        </w:rPr>
        <w:t>s appointed actuary and approved by the board of the insurer; or</w:t>
      </w:r>
    </w:p>
    <w:p w14:paraId="5FB082FE" w14:textId="77777777" w:rsidR="007F7D6C" w:rsidRPr="00187008" w:rsidRDefault="007F7D6C" w:rsidP="00B36939">
      <w:pPr>
        <w:pStyle w:val="Style5"/>
        <w:numPr>
          <w:ilvl w:val="1"/>
          <w:numId w:val="18"/>
        </w:numPr>
        <w:spacing w:line="240" w:lineRule="auto"/>
        <w:ind w:left="1701" w:hanging="567"/>
        <w:rPr>
          <w:sz w:val="24"/>
          <w:szCs w:val="24"/>
        </w:rPr>
      </w:pPr>
      <w:r w:rsidRPr="00187008">
        <w:rPr>
          <w:sz w:val="24"/>
          <w:szCs w:val="24"/>
        </w:rPr>
        <w:lastRenderedPageBreak/>
        <w:t>before entering into the transaction for the mortgage or charge, the insurer obtains and considers advice from its appointed actuary on the matters referred to in subrule (2) in respect of that mortgage or charge.</w:t>
      </w:r>
    </w:p>
    <w:p w14:paraId="119E2A8F" w14:textId="77777777" w:rsidR="007F7D6C" w:rsidRPr="00187008" w:rsidRDefault="00125A0B" w:rsidP="00126FCE">
      <w:pPr>
        <w:pStyle w:val="notetext"/>
        <w:spacing w:after="240"/>
        <w:ind w:left="1134" w:firstLine="0"/>
        <w:rPr>
          <w:sz w:val="24"/>
          <w:szCs w:val="24"/>
        </w:rPr>
      </w:pPr>
      <w:r w:rsidRPr="00187008">
        <w:rPr>
          <w:sz w:val="24"/>
          <w:szCs w:val="24"/>
        </w:rPr>
        <w:t>Note:</w:t>
      </w:r>
      <w:r w:rsidR="006E0D8D" w:rsidRPr="00187008">
        <w:rPr>
          <w:sz w:val="24"/>
          <w:szCs w:val="24"/>
        </w:rPr>
        <w:t xml:space="preserve"> </w:t>
      </w:r>
      <w:r w:rsidR="007F7D6C" w:rsidRPr="00187008">
        <w:rPr>
          <w:sz w:val="24"/>
          <w:szCs w:val="24"/>
        </w:rPr>
        <w:t>Section</w:t>
      </w:r>
      <w:r w:rsidR="00B84257" w:rsidRPr="00187008">
        <w:rPr>
          <w:sz w:val="24"/>
          <w:szCs w:val="24"/>
        </w:rPr>
        <w:t> </w:t>
      </w:r>
      <w:r w:rsidR="005238A2" w:rsidRPr="00187008">
        <w:rPr>
          <w:sz w:val="24"/>
          <w:szCs w:val="24"/>
        </w:rPr>
        <w:t>29</w:t>
      </w:r>
      <w:r w:rsidR="007F7D6C" w:rsidRPr="00187008">
        <w:rPr>
          <w:sz w:val="24"/>
          <w:szCs w:val="24"/>
        </w:rPr>
        <w:t xml:space="preserve"> of the Act provides that a transaction entered into in contravention of section</w:t>
      </w:r>
      <w:r w:rsidR="00B84257" w:rsidRPr="00187008">
        <w:rPr>
          <w:sz w:val="24"/>
          <w:szCs w:val="24"/>
        </w:rPr>
        <w:t> </w:t>
      </w:r>
      <w:r w:rsidR="005238A2" w:rsidRPr="00187008">
        <w:rPr>
          <w:sz w:val="24"/>
          <w:szCs w:val="24"/>
        </w:rPr>
        <w:t>28</w:t>
      </w:r>
      <w:r w:rsidR="007F7D6C" w:rsidRPr="00187008">
        <w:rPr>
          <w:sz w:val="24"/>
          <w:szCs w:val="24"/>
        </w:rPr>
        <w:t xml:space="preserve"> is of no effect unless the Federal Court makes an order in respect of the transaction, or the transaction is included in a class of transactions specified in these Rules to be transactions to which </w:t>
      </w:r>
      <w:r w:rsidR="005238A2" w:rsidRPr="00187008">
        <w:rPr>
          <w:sz w:val="24"/>
          <w:szCs w:val="24"/>
        </w:rPr>
        <w:t>sub</w:t>
      </w:r>
      <w:r w:rsidR="007F7D6C" w:rsidRPr="00187008">
        <w:rPr>
          <w:sz w:val="24"/>
          <w:szCs w:val="24"/>
        </w:rPr>
        <w:t>section</w:t>
      </w:r>
      <w:r w:rsidR="00B84257" w:rsidRPr="00187008">
        <w:rPr>
          <w:sz w:val="24"/>
          <w:szCs w:val="24"/>
        </w:rPr>
        <w:t> </w:t>
      </w:r>
      <w:r w:rsidR="005238A2" w:rsidRPr="00187008">
        <w:rPr>
          <w:sz w:val="24"/>
          <w:szCs w:val="24"/>
        </w:rPr>
        <w:t>29(1)</w:t>
      </w:r>
      <w:r w:rsidR="007F7D6C" w:rsidRPr="00187008">
        <w:rPr>
          <w:sz w:val="24"/>
          <w:szCs w:val="24"/>
        </w:rPr>
        <w:t xml:space="preserve"> of the Act applies.</w:t>
      </w:r>
    </w:p>
    <w:p w14:paraId="7BD37315" w14:textId="77777777" w:rsidR="007F7D6C" w:rsidRPr="00B84257" w:rsidRDefault="007F7D6C" w:rsidP="00AD6D63">
      <w:pPr>
        <w:pStyle w:val="Style2"/>
      </w:pPr>
      <w:bookmarkStart w:id="28" w:name="_Toc413670979"/>
      <w:bookmarkStart w:id="29" w:name="_Toc413671438"/>
      <w:bookmarkStart w:id="30" w:name="_Toc413673012"/>
      <w:bookmarkStart w:id="31" w:name="_Toc413673437"/>
      <w:r w:rsidRPr="00B84257">
        <w:t>Borrowings</w:t>
      </w:r>
      <w:bookmarkEnd w:id="28"/>
      <w:bookmarkEnd w:id="29"/>
      <w:bookmarkEnd w:id="30"/>
      <w:bookmarkEnd w:id="31"/>
    </w:p>
    <w:p w14:paraId="79F2E33D" w14:textId="77777777" w:rsidR="007F7D6C" w:rsidRPr="00187008" w:rsidRDefault="007F7D6C" w:rsidP="00B36939">
      <w:pPr>
        <w:pStyle w:val="Style5"/>
        <w:numPr>
          <w:ilvl w:val="0"/>
          <w:numId w:val="20"/>
        </w:numPr>
        <w:spacing w:line="240" w:lineRule="auto"/>
        <w:ind w:left="1134" w:hanging="567"/>
        <w:rPr>
          <w:sz w:val="24"/>
          <w:szCs w:val="24"/>
        </w:rPr>
      </w:pPr>
      <w:r w:rsidRPr="00187008">
        <w:rPr>
          <w:sz w:val="24"/>
          <w:szCs w:val="24"/>
        </w:rPr>
        <w:t>For subsection</w:t>
      </w:r>
      <w:r w:rsidR="00B84257" w:rsidRPr="00187008">
        <w:rPr>
          <w:sz w:val="24"/>
          <w:szCs w:val="24"/>
        </w:rPr>
        <w:t> </w:t>
      </w:r>
      <w:r w:rsidR="005238A2" w:rsidRPr="00187008">
        <w:rPr>
          <w:sz w:val="24"/>
          <w:szCs w:val="24"/>
        </w:rPr>
        <w:t>2</w:t>
      </w:r>
      <w:r w:rsidR="00797B01" w:rsidRPr="00187008">
        <w:rPr>
          <w:sz w:val="24"/>
          <w:szCs w:val="24"/>
        </w:rPr>
        <w:t>8</w:t>
      </w:r>
      <w:r w:rsidR="005238A2" w:rsidRPr="00187008">
        <w:rPr>
          <w:sz w:val="24"/>
          <w:szCs w:val="24"/>
        </w:rPr>
        <w:t xml:space="preserve">(4) </w:t>
      </w:r>
      <w:r w:rsidRPr="00187008">
        <w:rPr>
          <w:sz w:val="24"/>
          <w:szCs w:val="24"/>
        </w:rPr>
        <w:t xml:space="preserve">of the Act, </w:t>
      </w:r>
      <w:r w:rsidR="000150D5" w:rsidRPr="00187008">
        <w:rPr>
          <w:sz w:val="24"/>
          <w:szCs w:val="24"/>
        </w:rPr>
        <w:t>a private health insurer</w:t>
      </w:r>
      <w:r w:rsidRPr="00187008">
        <w:rPr>
          <w:sz w:val="24"/>
          <w:szCs w:val="24"/>
        </w:rPr>
        <w:t xml:space="preserve"> must not borrow money for the purposes of the business of a health benefits fund conducted by the insurer unless the borrowing is:</w:t>
      </w:r>
    </w:p>
    <w:p w14:paraId="760489AD" w14:textId="77777777" w:rsidR="007F7D6C" w:rsidRPr="00187008" w:rsidRDefault="007F7D6C" w:rsidP="00B36939">
      <w:pPr>
        <w:pStyle w:val="Style4"/>
        <w:numPr>
          <w:ilvl w:val="0"/>
          <w:numId w:val="21"/>
        </w:numPr>
        <w:spacing w:line="240" w:lineRule="auto"/>
        <w:ind w:left="1701" w:hanging="567"/>
        <w:rPr>
          <w:sz w:val="24"/>
          <w:szCs w:val="24"/>
        </w:rPr>
      </w:pPr>
      <w:r w:rsidRPr="00187008">
        <w:rPr>
          <w:sz w:val="24"/>
          <w:szCs w:val="24"/>
        </w:rPr>
        <w:t>by way of a subordinated debt; or</w:t>
      </w:r>
    </w:p>
    <w:p w14:paraId="2722AF0E" w14:textId="77777777" w:rsidR="007F7D6C" w:rsidRPr="00187008" w:rsidRDefault="007F7D6C" w:rsidP="00126FCE">
      <w:pPr>
        <w:pStyle w:val="Style4"/>
        <w:spacing w:line="240" w:lineRule="auto"/>
        <w:ind w:left="1701" w:hanging="567"/>
        <w:rPr>
          <w:sz w:val="24"/>
          <w:szCs w:val="24"/>
        </w:rPr>
      </w:pPr>
      <w:r w:rsidRPr="00187008">
        <w:rPr>
          <w:sz w:val="24"/>
          <w:szCs w:val="24"/>
        </w:rPr>
        <w:t>by means of a bank overdraft; or</w:t>
      </w:r>
    </w:p>
    <w:p w14:paraId="78A273A4" w14:textId="77777777" w:rsidR="007F7D6C" w:rsidRPr="00187008" w:rsidRDefault="007F7D6C" w:rsidP="00126FCE">
      <w:pPr>
        <w:pStyle w:val="Style4"/>
        <w:spacing w:line="240" w:lineRule="auto"/>
        <w:ind w:left="1701" w:hanging="567"/>
        <w:rPr>
          <w:sz w:val="24"/>
          <w:szCs w:val="24"/>
        </w:rPr>
      </w:pPr>
      <w:r w:rsidRPr="00187008">
        <w:rPr>
          <w:sz w:val="24"/>
          <w:szCs w:val="24"/>
        </w:rPr>
        <w:t>to cover settlement of a transaction for the acquisition of an asset that is to be an asset of the fund, but only where the period of the borrowing does not exceed 90 days and the amount borrowed does not exceed 10% of the value of the assets of the fund following the acquisition; or</w:t>
      </w:r>
    </w:p>
    <w:p w14:paraId="0B3B4654" w14:textId="77777777" w:rsidR="007F7D6C" w:rsidRPr="00187008" w:rsidRDefault="007F7D6C" w:rsidP="00126FCE">
      <w:pPr>
        <w:pStyle w:val="Style4"/>
        <w:spacing w:line="240" w:lineRule="auto"/>
        <w:ind w:left="1701" w:hanging="567"/>
        <w:rPr>
          <w:sz w:val="24"/>
          <w:szCs w:val="24"/>
        </w:rPr>
      </w:pPr>
      <w:bookmarkStart w:id="32" w:name="_Ref162804246"/>
      <w:r w:rsidRPr="00187008">
        <w:rPr>
          <w:sz w:val="24"/>
          <w:szCs w:val="24"/>
        </w:rPr>
        <w:t>otherwise, for the sole purpose of the benefit of the business of the fund, but only where the borrowing would not result in the total amount of principal outstanding under all borrowings, excluding the amount of a subordinate debt, exceeding the greater of 10% of the assets of the fund or 50% of the amount of free assets of the fund.</w:t>
      </w:r>
      <w:bookmarkEnd w:id="32"/>
    </w:p>
    <w:p w14:paraId="7C05BFC8" w14:textId="77777777" w:rsidR="007F7D6C" w:rsidRDefault="007F7D6C" w:rsidP="00B36939">
      <w:pPr>
        <w:pStyle w:val="ListParagraph"/>
        <w:numPr>
          <w:ilvl w:val="0"/>
          <w:numId w:val="20"/>
        </w:numPr>
        <w:spacing w:line="240" w:lineRule="auto"/>
        <w:ind w:left="1134" w:hanging="567"/>
        <w:rPr>
          <w:sz w:val="24"/>
          <w:szCs w:val="24"/>
        </w:rPr>
      </w:pPr>
      <w:r w:rsidRPr="00187008">
        <w:rPr>
          <w:sz w:val="24"/>
          <w:szCs w:val="24"/>
        </w:rPr>
        <w:t xml:space="preserve">In this rule, </w:t>
      </w:r>
      <w:r w:rsidRPr="00187008">
        <w:rPr>
          <w:b/>
          <w:i/>
          <w:sz w:val="24"/>
          <w:szCs w:val="24"/>
        </w:rPr>
        <w:t xml:space="preserve">free assets of the fund </w:t>
      </w:r>
      <w:r w:rsidRPr="00187008">
        <w:rPr>
          <w:sz w:val="24"/>
          <w:szCs w:val="24"/>
        </w:rPr>
        <w:t xml:space="preserve">means assets in excess of the capital adequacy and solvency requirements in accordance with </w:t>
      </w:r>
      <w:r w:rsidR="004E7E32">
        <w:rPr>
          <w:sz w:val="24"/>
          <w:szCs w:val="24"/>
        </w:rPr>
        <w:t xml:space="preserve">the capital adequacy standard and the solvency standard. </w:t>
      </w:r>
    </w:p>
    <w:p w14:paraId="039B4F80" w14:textId="77777777" w:rsidR="0089409F" w:rsidRDefault="0089409F" w:rsidP="0089409F">
      <w:pPr>
        <w:pStyle w:val="notetext"/>
        <w:ind w:left="1134" w:firstLine="0"/>
        <w:rPr>
          <w:sz w:val="24"/>
          <w:szCs w:val="24"/>
        </w:rPr>
      </w:pPr>
      <w:r w:rsidRPr="00187008">
        <w:rPr>
          <w:rStyle w:val="Style5Char"/>
          <w:sz w:val="24"/>
          <w:szCs w:val="24"/>
        </w:rPr>
        <w:lastRenderedPageBreak/>
        <w:t>Note: Section 29 of the Act provides that a transaction entered into in contravention of section 28 is of no effect unless the Federal Court makes an order in respect of the transaction, or the transaction is included in a class of transactions specified in these Rules to be transactions to which subsection 29(1) of the Act applies</w:t>
      </w:r>
      <w:r w:rsidRPr="00187008">
        <w:rPr>
          <w:sz w:val="24"/>
          <w:szCs w:val="24"/>
        </w:rPr>
        <w:t>.</w:t>
      </w:r>
      <w:r>
        <w:rPr>
          <w:sz w:val="24"/>
          <w:szCs w:val="24"/>
        </w:rPr>
        <w:t xml:space="preserve"> </w:t>
      </w:r>
    </w:p>
    <w:p w14:paraId="78458E14" w14:textId="77777777" w:rsidR="00312608" w:rsidRDefault="00312608" w:rsidP="0089409F">
      <w:pPr>
        <w:pStyle w:val="notetext"/>
        <w:ind w:left="1134" w:firstLine="0"/>
        <w:rPr>
          <w:sz w:val="24"/>
          <w:szCs w:val="24"/>
        </w:rPr>
      </w:pPr>
    </w:p>
    <w:p w14:paraId="1F689864" w14:textId="77777777" w:rsidR="00312608" w:rsidRDefault="00A203C8" w:rsidP="00A203C8">
      <w:pPr>
        <w:pStyle w:val="Style2"/>
        <w:numPr>
          <w:ilvl w:val="0"/>
          <w:numId w:val="0"/>
        </w:numPr>
      </w:pPr>
      <w:r w:rsidRPr="00A203C8">
        <w:t>6A.</w:t>
      </w:r>
      <w:r w:rsidRPr="00A203C8">
        <w:tab/>
      </w:r>
      <w:r w:rsidR="00312608" w:rsidRPr="00A203C8">
        <w:t>Donati</w:t>
      </w:r>
      <w:r>
        <w:t xml:space="preserve">ng </w:t>
      </w:r>
      <w:r w:rsidR="00312608" w:rsidRPr="00A203C8">
        <w:t>to medical research</w:t>
      </w:r>
      <w:r>
        <w:t xml:space="preserve"> is a permitted purpose</w:t>
      </w:r>
    </w:p>
    <w:p w14:paraId="0AAB0960" w14:textId="77777777" w:rsidR="00A203C8" w:rsidRDefault="00A203C8" w:rsidP="003A6F49">
      <w:pPr>
        <w:pStyle w:val="Style2"/>
        <w:numPr>
          <w:ilvl w:val="0"/>
          <w:numId w:val="60"/>
        </w:numPr>
        <w:ind w:left="1134" w:hanging="567"/>
        <w:rPr>
          <w:rFonts w:ascii="Times New Roman" w:hAnsi="Times New Roman" w:cs="Times New Roman"/>
          <w:b w:val="0"/>
        </w:rPr>
      </w:pPr>
      <w:r>
        <w:rPr>
          <w:rFonts w:ascii="Times New Roman" w:hAnsi="Times New Roman" w:cs="Times New Roman"/>
          <w:b w:val="0"/>
        </w:rPr>
        <w:t>D</w:t>
      </w:r>
      <w:r w:rsidR="0089409F" w:rsidRPr="005B5A3F">
        <w:rPr>
          <w:rFonts w:ascii="Times New Roman" w:hAnsi="Times New Roman" w:cs="Times New Roman"/>
          <w:b w:val="0"/>
        </w:rPr>
        <w:t>onating to medical research</w:t>
      </w:r>
      <w:r w:rsidR="0089409F" w:rsidRPr="00CF41EA">
        <w:rPr>
          <w:rFonts w:ascii="Times New Roman" w:hAnsi="Times New Roman" w:cs="Times New Roman"/>
          <w:b w:val="0"/>
        </w:rPr>
        <w:t xml:space="preserve"> is a purpose specified for the</w:t>
      </w:r>
      <w:r>
        <w:rPr>
          <w:rFonts w:ascii="Times New Roman" w:hAnsi="Times New Roman" w:cs="Times New Roman"/>
          <w:b w:val="0"/>
        </w:rPr>
        <w:t xml:space="preserve"> </w:t>
      </w:r>
      <w:r w:rsidR="0089409F" w:rsidRPr="0089409F">
        <w:rPr>
          <w:rFonts w:ascii="Times New Roman" w:hAnsi="Times New Roman" w:cs="Times New Roman"/>
          <w:b w:val="0"/>
        </w:rPr>
        <w:t>purposes of subparagraph 28(2)(a)(iv) of the Act.</w:t>
      </w:r>
    </w:p>
    <w:p w14:paraId="5E936191" w14:textId="77777777" w:rsidR="0089409F" w:rsidRPr="0089409F" w:rsidRDefault="00A203C8" w:rsidP="003A6F49">
      <w:pPr>
        <w:pStyle w:val="Style2"/>
        <w:numPr>
          <w:ilvl w:val="0"/>
          <w:numId w:val="60"/>
        </w:numPr>
        <w:ind w:left="1134" w:hanging="567"/>
        <w:rPr>
          <w:rFonts w:ascii="Times New Roman" w:hAnsi="Times New Roman" w:cs="Times New Roman"/>
          <w:b w:val="0"/>
        </w:rPr>
      </w:pPr>
      <w:r>
        <w:rPr>
          <w:rFonts w:ascii="Times New Roman" w:hAnsi="Times New Roman" w:cs="Times New Roman"/>
          <w:b w:val="0"/>
        </w:rPr>
        <w:t>Any donations made from the assets of a health benefits fund to medical research in the period from 1 July 2015 until the commen</w:t>
      </w:r>
      <w:r w:rsidR="00822EEA">
        <w:rPr>
          <w:rFonts w:ascii="Times New Roman" w:hAnsi="Times New Roman" w:cs="Times New Roman"/>
          <w:b w:val="0"/>
        </w:rPr>
        <w:t>cement of this Rule, are</w:t>
      </w:r>
      <w:r>
        <w:rPr>
          <w:rFonts w:ascii="Times New Roman" w:hAnsi="Times New Roman" w:cs="Times New Roman"/>
          <w:b w:val="0"/>
        </w:rPr>
        <w:t xml:space="preserve"> permitted under paragraph 2</w:t>
      </w:r>
      <w:r w:rsidR="00B82491">
        <w:rPr>
          <w:rFonts w:ascii="Times New Roman" w:hAnsi="Times New Roman" w:cs="Times New Roman"/>
          <w:b w:val="0"/>
        </w:rPr>
        <w:t>9</w:t>
      </w:r>
      <w:r>
        <w:rPr>
          <w:rFonts w:ascii="Times New Roman" w:hAnsi="Times New Roman" w:cs="Times New Roman"/>
          <w:b w:val="0"/>
        </w:rPr>
        <w:t>(1)(b) of the Act.</w:t>
      </w:r>
      <w:r w:rsidR="0089409F" w:rsidRPr="0089409F">
        <w:rPr>
          <w:rFonts w:ascii="Times New Roman" w:hAnsi="Times New Roman" w:cs="Times New Roman"/>
          <w:b w:val="0"/>
        </w:rPr>
        <w:t xml:space="preserve"> </w:t>
      </w:r>
    </w:p>
    <w:p w14:paraId="5712F2A2" w14:textId="77777777" w:rsidR="0089409F" w:rsidRPr="0089409F" w:rsidRDefault="0089409F" w:rsidP="0089409F">
      <w:pPr>
        <w:spacing w:line="240" w:lineRule="auto"/>
        <w:rPr>
          <w:sz w:val="24"/>
          <w:szCs w:val="24"/>
        </w:rPr>
      </w:pPr>
    </w:p>
    <w:p w14:paraId="0CF30D77" w14:textId="77777777" w:rsidR="00847A24" w:rsidRDefault="00847A24" w:rsidP="00126FCE">
      <w:pPr>
        <w:pStyle w:val="notetext"/>
        <w:ind w:left="1134" w:firstLine="0"/>
        <w:rPr>
          <w:sz w:val="24"/>
          <w:szCs w:val="24"/>
        </w:rPr>
      </w:pPr>
    </w:p>
    <w:p w14:paraId="63585530" w14:textId="77777777" w:rsidR="00847A24" w:rsidRPr="00187008" w:rsidRDefault="00847A24" w:rsidP="00126FCE">
      <w:pPr>
        <w:pStyle w:val="notetext"/>
        <w:ind w:left="1134" w:firstLine="0"/>
        <w:rPr>
          <w:sz w:val="24"/>
          <w:szCs w:val="24"/>
        </w:rPr>
      </w:pPr>
    </w:p>
    <w:p w14:paraId="4EC8ECCD" w14:textId="77777777" w:rsidR="00871ED2" w:rsidRDefault="00871ED2" w:rsidP="00126FCE">
      <w:pPr>
        <w:spacing w:line="240" w:lineRule="auto"/>
        <w:rPr>
          <w:rStyle w:val="CharPartNo"/>
          <w:rFonts w:eastAsia="Times New Roman" w:cs="Times New Roman"/>
          <w:b/>
          <w:kern w:val="28"/>
          <w:sz w:val="32"/>
          <w:lang w:eastAsia="en-AU"/>
        </w:rPr>
      </w:pPr>
      <w:r>
        <w:rPr>
          <w:rStyle w:val="CharPartNo"/>
        </w:rPr>
        <w:br w:type="page"/>
      </w:r>
    </w:p>
    <w:p w14:paraId="0D315090" w14:textId="77777777" w:rsidR="007F7D6C" w:rsidRPr="00B84257" w:rsidRDefault="007F7D6C" w:rsidP="00126FCE">
      <w:pPr>
        <w:pStyle w:val="Style1"/>
      </w:pPr>
      <w:bookmarkStart w:id="33" w:name="_Toc413670980"/>
      <w:bookmarkStart w:id="34" w:name="_Toc413671439"/>
      <w:bookmarkStart w:id="35" w:name="_Toc413673013"/>
      <w:bookmarkStart w:id="36" w:name="_Toc413673438"/>
      <w:r w:rsidRPr="00B84257">
        <w:rPr>
          <w:rStyle w:val="CharPartNo"/>
        </w:rPr>
        <w:lastRenderedPageBreak/>
        <w:t>Part</w:t>
      </w:r>
      <w:r w:rsidR="00B84257">
        <w:rPr>
          <w:rStyle w:val="CharPartNo"/>
        </w:rPr>
        <w:t> </w:t>
      </w:r>
      <w:r w:rsidRPr="00B84257">
        <w:rPr>
          <w:rStyle w:val="CharPartNo"/>
        </w:rPr>
        <w:t>3</w:t>
      </w:r>
      <w:r w:rsidR="000A55DA" w:rsidRPr="00C43A05">
        <w:t xml:space="preserve"> </w:t>
      </w:r>
      <w:r w:rsidR="000A55DA">
        <w:t>–</w:t>
      </w:r>
      <w:r w:rsidR="000A55DA" w:rsidRPr="00C43A05">
        <w:t xml:space="preserve"> </w:t>
      </w:r>
      <w:r w:rsidRPr="00B84257">
        <w:rPr>
          <w:rStyle w:val="CharPartText"/>
        </w:rPr>
        <w:t>Restructure of health benefits funds</w:t>
      </w:r>
      <w:bookmarkEnd w:id="33"/>
      <w:bookmarkEnd w:id="34"/>
      <w:bookmarkEnd w:id="35"/>
      <w:bookmarkEnd w:id="36"/>
    </w:p>
    <w:p w14:paraId="37EC60DB" w14:textId="77777777" w:rsidR="007F7D6C" w:rsidRPr="00B84257" w:rsidRDefault="007F7D6C" w:rsidP="00AD6D63">
      <w:pPr>
        <w:pStyle w:val="Style2"/>
      </w:pPr>
      <w:bookmarkStart w:id="37" w:name="_Ref156888102"/>
      <w:bookmarkStart w:id="38" w:name="_Ref156967162"/>
      <w:bookmarkStart w:id="39" w:name="_Ref158090626"/>
      <w:bookmarkStart w:id="40" w:name="_Ref159404774"/>
      <w:bookmarkStart w:id="41" w:name="_Toc413670981"/>
      <w:bookmarkStart w:id="42" w:name="_Toc413671440"/>
      <w:bookmarkStart w:id="43" w:name="_Toc413673014"/>
      <w:bookmarkStart w:id="44" w:name="_Toc413673439"/>
      <w:r w:rsidRPr="00B84257">
        <w:t>Restructure under section</w:t>
      </w:r>
      <w:r w:rsidR="00B84257">
        <w:t> </w:t>
      </w:r>
      <w:r w:rsidR="002F5A8D">
        <w:t>32</w:t>
      </w:r>
      <w:r w:rsidRPr="00B84257">
        <w:t xml:space="preserve"> of the Act</w:t>
      </w:r>
      <w:bookmarkEnd w:id="37"/>
      <w:bookmarkEnd w:id="38"/>
      <w:bookmarkEnd w:id="39"/>
      <w:bookmarkEnd w:id="40"/>
      <w:bookmarkEnd w:id="41"/>
      <w:bookmarkEnd w:id="42"/>
      <w:bookmarkEnd w:id="43"/>
      <w:bookmarkEnd w:id="44"/>
    </w:p>
    <w:p w14:paraId="024C8269" w14:textId="77777777" w:rsidR="00187008" w:rsidRDefault="000B1C17" w:rsidP="00B36939">
      <w:pPr>
        <w:pStyle w:val="Style5"/>
        <w:numPr>
          <w:ilvl w:val="0"/>
          <w:numId w:val="26"/>
        </w:numPr>
        <w:spacing w:line="240" w:lineRule="auto"/>
        <w:ind w:left="1134" w:hanging="567"/>
        <w:rPr>
          <w:sz w:val="24"/>
        </w:rPr>
      </w:pPr>
      <w:r w:rsidRPr="00187008">
        <w:rPr>
          <w:sz w:val="24"/>
        </w:rPr>
        <w:t>A private health insurer</w:t>
      </w:r>
      <w:r w:rsidR="007F7D6C" w:rsidRPr="00187008">
        <w:rPr>
          <w:sz w:val="24"/>
        </w:rPr>
        <w:t xml:space="preserve"> may apply to </w:t>
      </w:r>
      <w:r w:rsidR="00F33834" w:rsidRPr="00187008">
        <w:rPr>
          <w:sz w:val="24"/>
        </w:rPr>
        <w:t>APRA</w:t>
      </w:r>
      <w:r w:rsidR="007F7D6C" w:rsidRPr="00187008">
        <w:rPr>
          <w:sz w:val="24"/>
        </w:rPr>
        <w:t xml:space="preserve"> in the approved form for approval under section</w:t>
      </w:r>
      <w:r w:rsidR="00B84257" w:rsidRPr="00187008">
        <w:rPr>
          <w:sz w:val="24"/>
        </w:rPr>
        <w:t> </w:t>
      </w:r>
      <w:r w:rsidR="008034AA" w:rsidRPr="00187008">
        <w:rPr>
          <w:sz w:val="24"/>
        </w:rPr>
        <w:t>32</w:t>
      </w:r>
      <w:r w:rsidR="007F7D6C" w:rsidRPr="00187008">
        <w:rPr>
          <w:sz w:val="24"/>
        </w:rPr>
        <w:t xml:space="preserve"> of the Act of a restructure of its health benefits fund or funds.</w:t>
      </w:r>
      <w:bookmarkStart w:id="45" w:name="_Ref156887903"/>
    </w:p>
    <w:p w14:paraId="4C33A93F" w14:textId="77777777" w:rsidR="0057469E" w:rsidRPr="00187008" w:rsidRDefault="007F7D6C" w:rsidP="00B36939">
      <w:pPr>
        <w:pStyle w:val="Style5"/>
        <w:numPr>
          <w:ilvl w:val="0"/>
          <w:numId w:val="26"/>
        </w:numPr>
        <w:spacing w:line="240" w:lineRule="auto"/>
        <w:ind w:left="1134" w:hanging="567"/>
        <w:rPr>
          <w:sz w:val="24"/>
          <w:szCs w:val="24"/>
        </w:rPr>
      </w:pPr>
      <w:r w:rsidRPr="00187008">
        <w:rPr>
          <w:sz w:val="24"/>
          <w:szCs w:val="24"/>
        </w:rPr>
        <w:t>In the application, the insurer must set out the restructure proposal (</w:t>
      </w:r>
      <w:r w:rsidRPr="008328A1">
        <w:rPr>
          <w:b/>
          <w:i/>
          <w:sz w:val="24"/>
          <w:szCs w:val="24"/>
        </w:rPr>
        <w:t>the restructure proposal</w:t>
      </w:r>
      <w:r w:rsidRPr="00187008">
        <w:rPr>
          <w:sz w:val="24"/>
          <w:szCs w:val="24"/>
        </w:rPr>
        <w:t>) by:</w:t>
      </w:r>
      <w:bookmarkEnd w:id="45"/>
    </w:p>
    <w:p w14:paraId="74F0AB14" w14:textId="77777777" w:rsidR="0057469E" w:rsidRPr="00187008" w:rsidRDefault="007F7D6C" w:rsidP="00B36939">
      <w:pPr>
        <w:pStyle w:val="Style5"/>
        <w:numPr>
          <w:ilvl w:val="1"/>
          <w:numId w:val="22"/>
        </w:numPr>
        <w:spacing w:line="240" w:lineRule="auto"/>
        <w:ind w:left="1701" w:hanging="567"/>
        <w:rPr>
          <w:sz w:val="24"/>
        </w:rPr>
      </w:pPr>
      <w:r w:rsidRPr="00187008">
        <w:rPr>
          <w:sz w:val="24"/>
        </w:rPr>
        <w:t xml:space="preserve">identifying the date on which, subject to </w:t>
      </w:r>
      <w:r w:rsidR="00F33834" w:rsidRPr="00187008">
        <w:rPr>
          <w:sz w:val="24"/>
        </w:rPr>
        <w:t xml:space="preserve">APRA’s </w:t>
      </w:r>
      <w:r w:rsidRPr="00187008">
        <w:rPr>
          <w:sz w:val="24"/>
        </w:rPr>
        <w:t>approval and compliance with the requirements of the Act, the Regulations and the Rules, the restructure proposal is to take effect (</w:t>
      </w:r>
      <w:r w:rsidRPr="00C43209">
        <w:rPr>
          <w:b/>
          <w:i/>
          <w:sz w:val="24"/>
        </w:rPr>
        <w:t>the restructure date</w:t>
      </w:r>
      <w:r w:rsidRPr="00187008">
        <w:rPr>
          <w:sz w:val="24"/>
        </w:rPr>
        <w:t>); and</w:t>
      </w:r>
    </w:p>
    <w:p w14:paraId="4FE02343" w14:textId="77777777" w:rsidR="0057469E" w:rsidRPr="00187008" w:rsidRDefault="007F7D6C" w:rsidP="00B36939">
      <w:pPr>
        <w:pStyle w:val="Style5"/>
        <w:numPr>
          <w:ilvl w:val="1"/>
          <w:numId w:val="22"/>
        </w:numPr>
        <w:spacing w:line="240" w:lineRule="auto"/>
        <w:ind w:left="1701" w:hanging="567"/>
        <w:rPr>
          <w:sz w:val="24"/>
        </w:rPr>
      </w:pPr>
      <w:r w:rsidRPr="00187008">
        <w:rPr>
          <w:sz w:val="24"/>
        </w:rPr>
        <w:t>identifying which funds of the insurer are to be restructured under the restructure proposal (</w:t>
      </w:r>
      <w:r w:rsidRPr="00C43209">
        <w:rPr>
          <w:b/>
          <w:i/>
          <w:sz w:val="24"/>
        </w:rPr>
        <w:t>the restructuring funds</w:t>
      </w:r>
      <w:r w:rsidRPr="00187008">
        <w:rPr>
          <w:sz w:val="24"/>
        </w:rPr>
        <w:t>); and</w:t>
      </w:r>
    </w:p>
    <w:p w14:paraId="64B5AB10" w14:textId="77777777" w:rsidR="0057469E" w:rsidRPr="00187008" w:rsidRDefault="007F7D6C" w:rsidP="00B36939">
      <w:pPr>
        <w:pStyle w:val="Style5"/>
        <w:numPr>
          <w:ilvl w:val="1"/>
          <w:numId w:val="22"/>
        </w:numPr>
        <w:spacing w:line="240" w:lineRule="auto"/>
        <w:ind w:left="1701" w:hanging="567"/>
        <w:rPr>
          <w:sz w:val="24"/>
        </w:rPr>
      </w:pPr>
      <w:r w:rsidRPr="00187008">
        <w:rPr>
          <w:sz w:val="24"/>
        </w:rPr>
        <w:t>identifying the transferring fund (</w:t>
      </w:r>
      <w:r w:rsidRPr="00C43209">
        <w:rPr>
          <w:b/>
          <w:i/>
          <w:sz w:val="24"/>
        </w:rPr>
        <w:t>the transferring fund</w:t>
      </w:r>
      <w:r w:rsidRPr="00187008">
        <w:rPr>
          <w:sz w:val="24"/>
        </w:rPr>
        <w:t>), being the fund whose policies are to become referable to another fund or other funds of the insurer (</w:t>
      </w:r>
      <w:r w:rsidRPr="00C43209">
        <w:rPr>
          <w:b/>
          <w:i/>
          <w:sz w:val="24"/>
        </w:rPr>
        <w:t>the receiving fund(s)</w:t>
      </w:r>
      <w:r w:rsidRPr="00187008">
        <w:rPr>
          <w:sz w:val="24"/>
        </w:rPr>
        <w:t xml:space="preserve">) on the restructure date; and </w:t>
      </w:r>
    </w:p>
    <w:p w14:paraId="287069F8" w14:textId="77777777" w:rsidR="0057469E" w:rsidRPr="00187008" w:rsidRDefault="007F7D6C" w:rsidP="00B36939">
      <w:pPr>
        <w:pStyle w:val="Style5"/>
        <w:numPr>
          <w:ilvl w:val="1"/>
          <w:numId w:val="22"/>
        </w:numPr>
        <w:spacing w:line="240" w:lineRule="auto"/>
        <w:ind w:left="1701" w:hanging="567"/>
        <w:rPr>
          <w:sz w:val="24"/>
        </w:rPr>
      </w:pPr>
      <w:r w:rsidRPr="00187008">
        <w:rPr>
          <w:sz w:val="24"/>
        </w:rPr>
        <w:t>identifying which policy group or groups of the transferring fund are to become referable to the receiving fund(s) on the restructure date; and</w:t>
      </w:r>
    </w:p>
    <w:p w14:paraId="7B9E0ACF" w14:textId="77777777" w:rsidR="0057469E" w:rsidRPr="00187008" w:rsidRDefault="007F7D6C" w:rsidP="00B36939">
      <w:pPr>
        <w:pStyle w:val="Style5"/>
        <w:numPr>
          <w:ilvl w:val="1"/>
          <w:numId w:val="22"/>
        </w:numPr>
        <w:spacing w:line="240" w:lineRule="auto"/>
        <w:ind w:left="1701" w:hanging="567"/>
        <w:rPr>
          <w:sz w:val="24"/>
        </w:rPr>
      </w:pPr>
      <w:r w:rsidRPr="00187008">
        <w:rPr>
          <w:sz w:val="24"/>
        </w:rPr>
        <w:t>stating the risk equalisation jurisdiction or jurisdictions for each receiving fund and other funds of the insurer; and</w:t>
      </w:r>
    </w:p>
    <w:p w14:paraId="79119E7B" w14:textId="77777777" w:rsidR="0057469E" w:rsidRPr="00187008" w:rsidRDefault="007F7D6C" w:rsidP="00B36939">
      <w:pPr>
        <w:pStyle w:val="Style5"/>
        <w:numPr>
          <w:ilvl w:val="1"/>
          <w:numId w:val="22"/>
        </w:numPr>
        <w:spacing w:line="240" w:lineRule="auto"/>
        <w:ind w:left="1701" w:hanging="567"/>
        <w:rPr>
          <w:sz w:val="24"/>
        </w:rPr>
      </w:pPr>
      <w:r w:rsidRPr="00187008">
        <w:rPr>
          <w:sz w:val="24"/>
        </w:rPr>
        <w:t>stating for each receiving fund whether the fund is existing or proposed; and</w:t>
      </w:r>
      <w:bookmarkStart w:id="46" w:name="_Ref156887906"/>
    </w:p>
    <w:p w14:paraId="33F9DB7B" w14:textId="77777777" w:rsidR="0057469E" w:rsidRPr="00187008" w:rsidRDefault="007F7D6C" w:rsidP="00B36939">
      <w:pPr>
        <w:pStyle w:val="Style5"/>
        <w:numPr>
          <w:ilvl w:val="1"/>
          <w:numId w:val="22"/>
        </w:numPr>
        <w:spacing w:line="240" w:lineRule="auto"/>
        <w:ind w:left="1701" w:hanging="567"/>
        <w:rPr>
          <w:sz w:val="24"/>
        </w:rPr>
      </w:pPr>
      <w:r w:rsidRPr="00187008">
        <w:rPr>
          <w:sz w:val="24"/>
        </w:rPr>
        <w:t>if the restructure involves more than one receiving fund, specifying which  policy group or groups are to become referable to which of the receiving funds on the restructure date;</w:t>
      </w:r>
      <w:bookmarkEnd w:id="46"/>
      <w:r w:rsidRPr="00187008">
        <w:rPr>
          <w:sz w:val="24"/>
        </w:rPr>
        <w:t xml:space="preserve"> and</w:t>
      </w:r>
      <w:bookmarkStart w:id="47" w:name="_Ref156887952"/>
    </w:p>
    <w:p w14:paraId="1365CED5" w14:textId="77777777" w:rsidR="0057469E" w:rsidRPr="00187008" w:rsidRDefault="007F7D6C" w:rsidP="00B36939">
      <w:pPr>
        <w:pStyle w:val="Style5"/>
        <w:numPr>
          <w:ilvl w:val="1"/>
          <w:numId w:val="22"/>
        </w:numPr>
        <w:spacing w:line="240" w:lineRule="auto"/>
        <w:ind w:left="1701" w:hanging="567"/>
        <w:rPr>
          <w:sz w:val="24"/>
        </w:rPr>
      </w:pPr>
      <w:r w:rsidRPr="00187008">
        <w:rPr>
          <w:sz w:val="24"/>
        </w:rPr>
        <w:lastRenderedPageBreak/>
        <w:t>if the restructure would result in the insurer having more than one health benefits fund in respect of a particular risk equalisation jurisdiction, explaining how that result would be consistent with section</w:t>
      </w:r>
      <w:r w:rsidR="00B84257" w:rsidRPr="00187008">
        <w:rPr>
          <w:sz w:val="24"/>
        </w:rPr>
        <w:t> </w:t>
      </w:r>
      <w:r w:rsidR="008034AA" w:rsidRPr="00187008">
        <w:rPr>
          <w:sz w:val="24"/>
        </w:rPr>
        <w:t xml:space="preserve">23 </w:t>
      </w:r>
      <w:r w:rsidRPr="00187008">
        <w:rPr>
          <w:sz w:val="24"/>
        </w:rPr>
        <w:t>of the Act; and</w:t>
      </w:r>
    </w:p>
    <w:p w14:paraId="43BC905A" w14:textId="77777777" w:rsidR="0057469E" w:rsidRPr="00187008" w:rsidRDefault="007F7D6C" w:rsidP="00B36939">
      <w:pPr>
        <w:pStyle w:val="Style5"/>
        <w:numPr>
          <w:ilvl w:val="1"/>
          <w:numId w:val="22"/>
        </w:numPr>
        <w:spacing w:line="240" w:lineRule="auto"/>
        <w:ind w:left="1701" w:hanging="567"/>
        <w:rPr>
          <w:sz w:val="24"/>
        </w:rPr>
      </w:pPr>
      <w:r w:rsidRPr="00187008">
        <w:rPr>
          <w:sz w:val="24"/>
        </w:rPr>
        <w:t>specifying which of the liabilities incurred for the purposes of the transferring fund, including policy liabilities, are to become treated as incurred for the purposes of a receiving fund on the restructure date;</w:t>
      </w:r>
      <w:bookmarkEnd w:id="47"/>
      <w:r w:rsidRPr="00187008">
        <w:rPr>
          <w:sz w:val="24"/>
        </w:rPr>
        <w:t xml:space="preserve"> and</w:t>
      </w:r>
    </w:p>
    <w:p w14:paraId="33FAB7C5" w14:textId="77777777" w:rsidR="00B05BFB" w:rsidRPr="00187008" w:rsidRDefault="00B05BFB" w:rsidP="00126FCE">
      <w:pPr>
        <w:pStyle w:val="Style5"/>
        <w:numPr>
          <w:ilvl w:val="0"/>
          <w:numId w:val="0"/>
        </w:numPr>
        <w:spacing w:line="240" w:lineRule="auto"/>
        <w:ind w:left="1701"/>
        <w:rPr>
          <w:sz w:val="24"/>
        </w:rPr>
      </w:pPr>
      <w:r w:rsidRPr="00187008">
        <w:rPr>
          <w:sz w:val="24"/>
        </w:rPr>
        <w:t xml:space="preserve">Note: </w:t>
      </w:r>
      <w:r w:rsidR="007F7D6C" w:rsidRPr="00187008">
        <w:rPr>
          <w:sz w:val="24"/>
        </w:rPr>
        <w:t xml:space="preserve">The specification which is sufficient for this rule is stated in </w:t>
      </w:r>
      <w:r w:rsidR="007F7D6C" w:rsidRPr="005F0408">
        <w:rPr>
          <w:sz w:val="24"/>
        </w:rPr>
        <w:t>subrule (3).</w:t>
      </w:r>
      <w:bookmarkStart w:id="48" w:name="_Ref156887990"/>
    </w:p>
    <w:p w14:paraId="3468C9B3" w14:textId="77777777" w:rsidR="00B05BFB" w:rsidRPr="00187008" w:rsidRDefault="007F7D6C" w:rsidP="00B36939">
      <w:pPr>
        <w:pStyle w:val="Style5"/>
        <w:numPr>
          <w:ilvl w:val="1"/>
          <w:numId w:val="22"/>
        </w:numPr>
        <w:spacing w:line="240" w:lineRule="auto"/>
        <w:ind w:left="1701" w:hanging="567"/>
        <w:rPr>
          <w:sz w:val="24"/>
        </w:rPr>
      </w:pPr>
      <w:r w:rsidRPr="00187008">
        <w:rPr>
          <w:sz w:val="24"/>
        </w:rPr>
        <w:t>specifying which of the assets of the transferring fund are to become assets of a receiving fund on the restructure date;</w:t>
      </w:r>
      <w:bookmarkEnd w:id="48"/>
      <w:r w:rsidRPr="00187008">
        <w:rPr>
          <w:sz w:val="24"/>
        </w:rPr>
        <w:t xml:space="preserve"> and</w:t>
      </w:r>
    </w:p>
    <w:p w14:paraId="330E964B" w14:textId="77777777" w:rsidR="00B05BFB" w:rsidRPr="00187008" w:rsidRDefault="00B05BFB" w:rsidP="00126FCE">
      <w:pPr>
        <w:pStyle w:val="Style5"/>
        <w:numPr>
          <w:ilvl w:val="0"/>
          <w:numId w:val="0"/>
        </w:numPr>
        <w:spacing w:line="240" w:lineRule="auto"/>
        <w:ind w:left="1701"/>
        <w:rPr>
          <w:sz w:val="24"/>
        </w:rPr>
      </w:pPr>
      <w:r w:rsidRPr="00187008">
        <w:rPr>
          <w:sz w:val="24"/>
        </w:rPr>
        <w:t xml:space="preserve">Note: </w:t>
      </w:r>
      <w:r w:rsidR="007F7D6C" w:rsidRPr="00187008">
        <w:rPr>
          <w:sz w:val="24"/>
        </w:rPr>
        <w:t xml:space="preserve">The specification which is sufficient for this rule is stated in </w:t>
      </w:r>
      <w:r w:rsidR="007F7D6C" w:rsidRPr="005F0408">
        <w:rPr>
          <w:sz w:val="24"/>
        </w:rPr>
        <w:t>subrule (3).</w:t>
      </w:r>
      <w:bookmarkStart w:id="49" w:name="_Ref162236856"/>
    </w:p>
    <w:p w14:paraId="51A892E9" w14:textId="77777777" w:rsidR="00B05BFB" w:rsidRPr="00187008" w:rsidRDefault="007F7D6C" w:rsidP="00B36939">
      <w:pPr>
        <w:pStyle w:val="Style5"/>
        <w:numPr>
          <w:ilvl w:val="1"/>
          <w:numId w:val="22"/>
        </w:numPr>
        <w:spacing w:line="240" w:lineRule="auto"/>
        <w:ind w:left="1701" w:hanging="567"/>
        <w:rPr>
          <w:sz w:val="24"/>
        </w:rPr>
      </w:pPr>
      <w:r w:rsidRPr="00187008">
        <w:rPr>
          <w:sz w:val="24"/>
        </w:rPr>
        <w:t>explaining why the assets and liabilities which are to be transferred under the restructure represent a reasonable estimate within the meaning of paragraph</w:t>
      </w:r>
      <w:r w:rsidR="00B84257" w:rsidRPr="00187008">
        <w:rPr>
          <w:sz w:val="24"/>
        </w:rPr>
        <w:t> </w:t>
      </w:r>
      <w:r w:rsidR="00522E35" w:rsidRPr="00187008">
        <w:rPr>
          <w:sz w:val="24"/>
        </w:rPr>
        <w:t>32</w:t>
      </w:r>
      <w:r w:rsidR="002709CA" w:rsidRPr="00187008">
        <w:rPr>
          <w:sz w:val="24"/>
        </w:rPr>
        <w:t>(</w:t>
      </w:r>
      <w:r w:rsidRPr="00187008">
        <w:rPr>
          <w:sz w:val="24"/>
        </w:rPr>
        <w:t>2)</w:t>
      </w:r>
      <w:r w:rsidR="002709CA" w:rsidRPr="00187008">
        <w:rPr>
          <w:sz w:val="24"/>
        </w:rPr>
        <w:t>(</w:t>
      </w:r>
      <w:r w:rsidRPr="00187008">
        <w:rPr>
          <w:sz w:val="24"/>
        </w:rPr>
        <w:t xml:space="preserve">a) of the Act of what would, immediately before the restructure, be the net asset position of the transferring fund; </w:t>
      </w:r>
      <w:bookmarkEnd w:id="49"/>
      <w:r w:rsidRPr="00187008">
        <w:rPr>
          <w:sz w:val="24"/>
        </w:rPr>
        <w:t>and</w:t>
      </w:r>
    </w:p>
    <w:p w14:paraId="4B18E26A" w14:textId="77777777" w:rsidR="00B05BFB" w:rsidRPr="00187008" w:rsidRDefault="007F7D6C" w:rsidP="00B36939">
      <w:pPr>
        <w:pStyle w:val="Style5"/>
        <w:numPr>
          <w:ilvl w:val="1"/>
          <w:numId w:val="22"/>
        </w:numPr>
        <w:spacing w:line="240" w:lineRule="auto"/>
        <w:ind w:left="1701" w:hanging="567"/>
        <w:rPr>
          <w:sz w:val="24"/>
        </w:rPr>
      </w:pPr>
      <w:r w:rsidRPr="00187008">
        <w:rPr>
          <w:sz w:val="24"/>
        </w:rPr>
        <w:t>if there is more than one receiving fund, explaining why the distribution of assets and liabilities between the restructuring funds is fairly distributed within the meaning of  paragraph</w:t>
      </w:r>
      <w:r w:rsidR="00B84257" w:rsidRPr="00187008">
        <w:rPr>
          <w:sz w:val="24"/>
        </w:rPr>
        <w:t> </w:t>
      </w:r>
      <w:r w:rsidR="00522E35" w:rsidRPr="00187008">
        <w:rPr>
          <w:sz w:val="24"/>
        </w:rPr>
        <w:t xml:space="preserve">32(2)(b) </w:t>
      </w:r>
      <w:r w:rsidRPr="00187008">
        <w:rPr>
          <w:sz w:val="24"/>
        </w:rPr>
        <w:t>of the Act; and</w:t>
      </w:r>
    </w:p>
    <w:p w14:paraId="14B2DA52" w14:textId="77777777" w:rsidR="00B05BFB" w:rsidRPr="00187008" w:rsidRDefault="007F7D6C" w:rsidP="00B36939">
      <w:pPr>
        <w:pStyle w:val="Style5"/>
        <w:numPr>
          <w:ilvl w:val="1"/>
          <w:numId w:val="22"/>
        </w:numPr>
        <w:spacing w:line="240" w:lineRule="auto"/>
        <w:ind w:left="1701" w:hanging="567"/>
        <w:rPr>
          <w:sz w:val="24"/>
        </w:rPr>
      </w:pPr>
      <w:r w:rsidRPr="00187008">
        <w:rPr>
          <w:sz w:val="24"/>
        </w:rPr>
        <w:t>if it is proposed that some assets of the transferring fund will not become assets of a receiving fund, identifying the assets and stating why those assets are not to become assets of a receiving fund; and</w:t>
      </w:r>
    </w:p>
    <w:p w14:paraId="2C6E3F27" w14:textId="77777777" w:rsidR="00B05BFB" w:rsidRPr="00187008" w:rsidRDefault="007F7D6C" w:rsidP="00B36939">
      <w:pPr>
        <w:pStyle w:val="Style5"/>
        <w:numPr>
          <w:ilvl w:val="1"/>
          <w:numId w:val="22"/>
        </w:numPr>
        <w:spacing w:line="240" w:lineRule="auto"/>
        <w:ind w:left="1701" w:hanging="567"/>
        <w:rPr>
          <w:sz w:val="24"/>
        </w:rPr>
      </w:pPr>
      <w:r w:rsidRPr="00187008">
        <w:rPr>
          <w:sz w:val="24"/>
        </w:rPr>
        <w:t>if it is proposed that some liabilities incurred for the purposes of the transferring fund are not to become treated as incurred for the purposes of a receiving fund, identifying the liabilities and stating why those liabilities are not to become treated as incurred for the purposes of a receiving fund; and</w:t>
      </w:r>
    </w:p>
    <w:p w14:paraId="1C7979F6" w14:textId="77777777" w:rsidR="007F7D6C" w:rsidRPr="00187008" w:rsidRDefault="007F7D6C" w:rsidP="00B36939">
      <w:pPr>
        <w:pStyle w:val="Style5"/>
        <w:numPr>
          <w:ilvl w:val="1"/>
          <w:numId w:val="22"/>
        </w:numPr>
        <w:spacing w:line="240" w:lineRule="auto"/>
        <w:ind w:left="1701" w:hanging="567"/>
        <w:rPr>
          <w:sz w:val="24"/>
        </w:rPr>
      </w:pPr>
      <w:r w:rsidRPr="00187008">
        <w:rPr>
          <w:sz w:val="24"/>
        </w:rPr>
        <w:lastRenderedPageBreak/>
        <w:t>explaining how the restructure will be consistent with</w:t>
      </w:r>
      <w:r w:rsidR="000E0493" w:rsidRPr="00187008">
        <w:rPr>
          <w:sz w:val="24"/>
        </w:rPr>
        <w:t>:</w:t>
      </w:r>
    </w:p>
    <w:p w14:paraId="7B488E15" w14:textId="77777777" w:rsidR="00B05BFB" w:rsidRPr="00187008" w:rsidRDefault="007F7D6C" w:rsidP="00B36939">
      <w:pPr>
        <w:pStyle w:val="Style5"/>
        <w:numPr>
          <w:ilvl w:val="2"/>
          <w:numId w:val="22"/>
        </w:numPr>
        <w:spacing w:line="240" w:lineRule="auto"/>
        <w:ind w:left="2268" w:hanging="567"/>
        <w:rPr>
          <w:sz w:val="24"/>
        </w:rPr>
      </w:pPr>
      <w:r w:rsidRPr="00187008">
        <w:rPr>
          <w:sz w:val="24"/>
        </w:rPr>
        <w:t>the solvency standard; and</w:t>
      </w:r>
    </w:p>
    <w:p w14:paraId="297FB2EB" w14:textId="77777777" w:rsidR="007F7D6C" w:rsidRPr="00187008" w:rsidRDefault="007F7D6C" w:rsidP="00B36939">
      <w:pPr>
        <w:pStyle w:val="Style5"/>
        <w:numPr>
          <w:ilvl w:val="2"/>
          <w:numId w:val="22"/>
        </w:numPr>
        <w:spacing w:line="240" w:lineRule="auto"/>
        <w:ind w:left="2268" w:hanging="567"/>
        <w:rPr>
          <w:sz w:val="24"/>
        </w:rPr>
      </w:pPr>
      <w:r w:rsidRPr="00187008">
        <w:rPr>
          <w:sz w:val="24"/>
        </w:rPr>
        <w:t>the capital adequacy standard.</w:t>
      </w:r>
    </w:p>
    <w:p w14:paraId="22FF9B71" w14:textId="77777777" w:rsidR="001A62E7" w:rsidRPr="00187008" w:rsidRDefault="00FD42BC" w:rsidP="00FD42BC">
      <w:pPr>
        <w:pStyle w:val="Style5"/>
        <w:numPr>
          <w:ilvl w:val="0"/>
          <w:numId w:val="0"/>
        </w:numPr>
        <w:spacing w:line="240" w:lineRule="auto"/>
        <w:ind w:left="720" w:hanging="360"/>
        <w:rPr>
          <w:sz w:val="24"/>
        </w:rPr>
      </w:pPr>
      <w:r>
        <w:rPr>
          <w:sz w:val="24"/>
        </w:rPr>
        <w:t xml:space="preserve">   </w:t>
      </w:r>
      <w:r w:rsidR="00BA55FB">
        <w:rPr>
          <w:sz w:val="24"/>
        </w:rPr>
        <w:t xml:space="preserve">(3) </w:t>
      </w:r>
      <w:bookmarkStart w:id="50" w:name="_Ref156888059"/>
      <w:bookmarkStart w:id="51" w:name="_Ref162236656"/>
      <w:r>
        <w:rPr>
          <w:sz w:val="24"/>
        </w:rPr>
        <w:t xml:space="preserve"> </w:t>
      </w:r>
      <w:r w:rsidR="00FB228D">
        <w:rPr>
          <w:sz w:val="24"/>
        </w:rPr>
        <w:t xml:space="preserve"> </w:t>
      </w:r>
      <w:r w:rsidR="007F7D6C" w:rsidRPr="00187008">
        <w:rPr>
          <w:sz w:val="24"/>
        </w:rPr>
        <w:t>The specifications required by subrule (2) may be:</w:t>
      </w:r>
      <w:bookmarkStart w:id="52" w:name="_Ref156887966"/>
      <w:bookmarkEnd w:id="50"/>
      <w:bookmarkEnd w:id="51"/>
    </w:p>
    <w:p w14:paraId="42FB0F20" w14:textId="77777777" w:rsidR="001A62E7" w:rsidRPr="00187008" w:rsidRDefault="007F7D6C" w:rsidP="00B36939">
      <w:pPr>
        <w:pStyle w:val="Style5"/>
        <w:numPr>
          <w:ilvl w:val="1"/>
          <w:numId w:val="18"/>
        </w:numPr>
        <w:spacing w:line="240" w:lineRule="auto"/>
        <w:ind w:left="1701" w:hanging="567"/>
        <w:rPr>
          <w:sz w:val="24"/>
        </w:rPr>
      </w:pPr>
      <w:r w:rsidRPr="00187008">
        <w:rPr>
          <w:sz w:val="24"/>
        </w:rPr>
        <w:t>by listing particular assets or liabilities; or</w:t>
      </w:r>
      <w:bookmarkEnd w:id="52"/>
      <w:r w:rsidRPr="00187008">
        <w:rPr>
          <w:sz w:val="24"/>
        </w:rPr>
        <w:t xml:space="preserve"> </w:t>
      </w:r>
      <w:bookmarkStart w:id="53" w:name="_Ref162674052"/>
    </w:p>
    <w:p w14:paraId="348006A2" w14:textId="77777777" w:rsidR="001A62E7" w:rsidRPr="00187008" w:rsidRDefault="007F7D6C" w:rsidP="00B36939">
      <w:pPr>
        <w:pStyle w:val="Style5"/>
        <w:numPr>
          <w:ilvl w:val="1"/>
          <w:numId w:val="18"/>
        </w:numPr>
        <w:spacing w:line="240" w:lineRule="auto"/>
        <w:ind w:left="1701" w:hanging="567"/>
        <w:rPr>
          <w:sz w:val="24"/>
        </w:rPr>
      </w:pPr>
      <w:r w:rsidRPr="00187008">
        <w:rPr>
          <w:sz w:val="24"/>
        </w:rPr>
        <w:t>by reference to categories of assets or liabilities; or</w:t>
      </w:r>
      <w:bookmarkEnd w:id="53"/>
    </w:p>
    <w:p w14:paraId="2E8B3DAF" w14:textId="77777777" w:rsidR="007F7D6C" w:rsidRPr="00187008" w:rsidRDefault="007F7D6C" w:rsidP="00B36939">
      <w:pPr>
        <w:pStyle w:val="Style5"/>
        <w:numPr>
          <w:ilvl w:val="1"/>
          <w:numId w:val="18"/>
        </w:numPr>
        <w:spacing w:line="240" w:lineRule="auto"/>
        <w:ind w:left="1701" w:hanging="567"/>
        <w:rPr>
          <w:sz w:val="24"/>
        </w:rPr>
      </w:pPr>
      <w:r w:rsidRPr="00187008">
        <w:rPr>
          <w:sz w:val="24"/>
        </w:rPr>
        <w:t>by a combination of (a) and (b).</w:t>
      </w:r>
    </w:p>
    <w:p w14:paraId="2ECA2B55" w14:textId="77777777" w:rsidR="007F7D6C" w:rsidRPr="00B84257" w:rsidRDefault="007F7D6C" w:rsidP="00AD6D63">
      <w:pPr>
        <w:pStyle w:val="Style2"/>
      </w:pPr>
      <w:bookmarkStart w:id="54" w:name="_Ref156976794"/>
      <w:bookmarkStart w:id="55" w:name="_Ref162158280"/>
      <w:bookmarkStart w:id="56" w:name="_Ref162158296"/>
      <w:bookmarkStart w:id="57" w:name="_Toc413670982"/>
      <w:bookmarkStart w:id="58" w:name="_Toc413671441"/>
      <w:bookmarkStart w:id="59" w:name="_Toc413673015"/>
      <w:bookmarkStart w:id="60" w:name="_Toc413673440"/>
      <w:r w:rsidRPr="00B84257">
        <w:t>Requirements in relation to a restructure</w:t>
      </w:r>
      <w:bookmarkEnd w:id="54"/>
      <w:bookmarkEnd w:id="55"/>
      <w:bookmarkEnd w:id="56"/>
      <w:bookmarkEnd w:id="57"/>
      <w:bookmarkEnd w:id="58"/>
      <w:bookmarkEnd w:id="59"/>
      <w:bookmarkEnd w:id="60"/>
    </w:p>
    <w:p w14:paraId="1CED1DAB" w14:textId="77777777" w:rsidR="007F7D6C" w:rsidRPr="00187008" w:rsidRDefault="00230CCA" w:rsidP="00B36939">
      <w:pPr>
        <w:pStyle w:val="Style5"/>
        <w:keepNext/>
        <w:numPr>
          <w:ilvl w:val="0"/>
          <w:numId w:val="23"/>
        </w:numPr>
        <w:spacing w:line="240" w:lineRule="auto"/>
        <w:ind w:left="1134" w:hanging="567"/>
        <w:rPr>
          <w:sz w:val="24"/>
          <w:szCs w:val="24"/>
        </w:rPr>
      </w:pPr>
      <w:bookmarkStart w:id="61" w:name="_Ref156975905"/>
      <w:r w:rsidRPr="00187008">
        <w:rPr>
          <w:sz w:val="24"/>
          <w:szCs w:val="24"/>
        </w:rPr>
        <w:t>A private health insurer</w:t>
      </w:r>
      <w:r w:rsidR="007F7D6C" w:rsidRPr="00187008">
        <w:rPr>
          <w:sz w:val="24"/>
          <w:szCs w:val="24"/>
        </w:rPr>
        <w:t xml:space="preserve"> must submit to </w:t>
      </w:r>
      <w:r w:rsidR="00F33834" w:rsidRPr="00187008">
        <w:rPr>
          <w:sz w:val="24"/>
          <w:szCs w:val="24"/>
        </w:rPr>
        <w:t xml:space="preserve">APRA </w:t>
      </w:r>
      <w:r w:rsidR="007F7D6C" w:rsidRPr="00187008">
        <w:rPr>
          <w:sz w:val="24"/>
          <w:szCs w:val="24"/>
        </w:rPr>
        <w:t>with an application for approval of a restructure proposal:</w:t>
      </w:r>
      <w:bookmarkEnd w:id="61"/>
    </w:p>
    <w:p w14:paraId="4F97EF07" w14:textId="77777777" w:rsidR="00F43AFF" w:rsidRPr="00187008" w:rsidRDefault="007F7D6C" w:rsidP="00B36939">
      <w:pPr>
        <w:pStyle w:val="Style5"/>
        <w:keepNext/>
        <w:numPr>
          <w:ilvl w:val="1"/>
          <w:numId w:val="23"/>
        </w:numPr>
        <w:spacing w:line="240" w:lineRule="auto"/>
        <w:ind w:left="1701" w:hanging="567"/>
        <w:rPr>
          <w:sz w:val="24"/>
          <w:szCs w:val="24"/>
        </w:rPr>
      </w:pPr>
      <w:bookmarkStart w:id="62" w:name="_Ref156975906"/>
      <w:r w:rsidRPr="00187008">
        <w:rPr>
          <w:sz w:val="24"/>
          <w:szCs w:val="24"/>
        </w:rPr>
        <w:t xml:space="preserve">a business plan (the </w:t>
      </w:r>
      <w:r w:rsidRPr="00187008">
        <w:rPr>
          <w:b/>
          <w:i/>
          <w:sz w:val="24"/>
          <w:szCs w:val="24"/>
        </w:rPr>
        <w:t>Business Plan</w:t>
      </w:r>
      <w:r w:rsidRPr="00187008">
        <w:rPr>
          <w:sz w:val="24"/>
          <w:szCs w:val="24"/>
        </w:rPr>
        <w:t>) for each receiving fund covering the period of the first 36 months of operation from the restructure date including the following:</w:t>
      </w:r>
      <w:bookmarkStart w:id="63" w:name="_Ref522859956"/>
      <w:bookmarkEnd w:id="62"/>
    </w:p>
    <w:p w14:paraId="12B9CB71" w14:textId="77777777" w:rsidR="00F43AFF" w:rsidRPr="00187008" w:rsidRDefault="007F7D6C" w:rsidP="00B36939">
      <w:pPr>
        <w:pStyle w:val="Style5"/>
        <w:numPr>
          <w:ilvl w:val="2"/>
          <w:numId w:val="24"/>
        </w:numPr>
        <w:spacing w:line="240" w:lineRule="auto"/>
        <w:ind w:left="2268" w:hanging="567"/>
        <w:rPr>
          <w:sz w:val="24"/>
          <w:szCs w:val="24"/>
        </w:rPr>
      </w:pPr>
      <w:r w:rsidRPr="00187008">
        <w:rPr>
          <w:sz w:val="24"/>
          <w:szCs w:val="24"/>
        </w:rPr>
        <w:t>a statement of the liabilities to become treated as incurred for the purposes of the fund and the assets of the fund at the restructure date</w:t>
      </w:r>
      <w:bookmarkEnd w:id="63"/>
      <w:r w:rsidRPr="00187008">
        <w:rPr>
          <w:sz w:val="24"/>
          <w:szCs w:val="24"/>
        </w:rPr>
        <w:t xml:space="preserve">; and </w:t>
      </w:r>
      <w:bookmarkStart w:id="64" w:name="_Ref515492157"/>
      <w:bookmarkStart w:id="65" w:name="_Ref156975869"/>
    </w:p>
    <w:p w14:paraId="7CBE771A" w14:textId="77777777" w:rsidR="00F43AFF" w:rsidRPr="00187008" w:rsidRDefault="007F7D6C" w:rsidP="00B36939">
      <w:pPr>
        <w:pStyle w:val="Style5"/>
        <w:numPr>
          <w:ilvl w:val="2"/>
          <w:numId w:val="24"/>
        </w:numPr>
        <w:spacing w:line="240" w:lineRule="auto"/>
        <w:ind w:left="2268" w:hanging="567"/>
        <w:rPr>
          <w:sz w:val="24"/>
          <w:szCs w:val="24"/>
        </w:rPr>
      </w:pPr>
      <w:r w:rsidRPr="00187008">
        <w:rPr>
          <w:sz w:val="24"/>
          <w:szCs w:val="24"/>
        </w:rPr>
        <w:t>a budget statement for the fund for each month of the period of the Business Plan, setting out in detail:</w:t>
      </w:r>
      <w:bookmarkEnd w:id="64"/>
      <w:bookmarkEnd w:id="65"/>
    </w:p>
    <w:p w14:paraId="31EC2478" w14:textId="77777777" w:rsidR="00F43AFF" w:rsidRPr="00187008" w:rsidRDefault="007F7D6C" w:rsidP="00126FCE">
      <w:pPr>
        <w:pStyle w:val="Style8"/>
        <w:spacing w:line="240" w:lineRule="auto"/>
        <w:rPr>
          <w:sz w:val="24"/>
          <w:szCs w:val="24"/>
        </w:rPr>
      </w:pPr>
      <w:r w:rsidRPr="00187008">
        <w:rPr>
          <w:sz w:val="24"/>
          <w:szCs w:val="24"/>
        </w:rPr>
        <w:t>the projected income an</w:t>
      </w:r>
      <w:r w:rsidR="001E03B0">
        <w:rPr>
          <w:sz w:val="24"/>
          <w:szCs w:val="24"/>
        </w:rPr>
        <w:t>d expenditure for the fund; and</w:t>
      </w:r>
    </w:p>
    <w:p w14:paraId="4B3FEB88" w14:textId="77777777" w:rsidR="00F43AFF" w:rsidRPr="00187008" w:rsidRDefault="007F7D6C" w:rsidP="00126FCE">
      <w:pPr>
        <w:pStyle w:val="Style8"/>
        <w:spacing w:line="240" w:lineRule="auto"/>
        <w:rPr>
          <w:sz w:val="24"/>
          <w:szCs w:val="24"/>
        </w:rPr>
      </w:pPr>
      <w:r w:rsidRPr="00187008">
        <w:rPr>
          <w:sz w:val="24"/>
          <w:szCs w:val="24"/>
        </w:rPr>
        <w:t xml:space="preserve">the projected assets and liabilities at the end of each month; and </w:t>
      </w:r>
    </w:p>
    <w:p w14:paraId="6E3B955F" w14:textId="77777777" w:rsidR="007F7D6C" w:rsidRPr="00187008" w:rsidRDefault="007F7D6C" w:rsidP="00126FCE">
      <w:pPr>
        <w:pStyle w:val="Style8"/>
        <w:spacing w:line="240" w:lineRule="auto"/>
        <w:rPr>
          <w:sz w:val="24"/>
          <w:szCs w:val="24"/>
        </w:rPr>
      </w:pPr>
      <w:r w:rsidRPr="00187008">
        <w:rPr>
          <w:sz w:val="24"/>
          <w:szCs w:val="24"/>
        </w:rPr>
        <w:t>the projected solvency and capital adequacy position of the fund at the end of each month; and</w:t>
      </w:r>
    </w:p>
    <w:p w14:paraId="7EDE5CF6" w14:textId="77777777" w:rsidR="00F43AFF" w:rsidRPr="00187008" w:rsidRDefault="007F7D6C" w:rsidP="00B36939">
      <w:pPr>
        <w:pStyle w:val="Style5"/>
        <w:numPr>
          <w:ilvl w:val="2"/>
          <w:numId w:val="24"/>
        </w:numPr>
        <w:spacing w:line="240" w:lineRule="auto"/>
        <w:ind w:left="2268" w:hanging="567"/>
        <w:rPr>
          <w:sz w:val="24"/>
          <w:szCs w:val="24"/>
        </w:rPr>
      </w:pPr>
      <w:bookmarkStart w:id="66" w:name="_Ref515492174"/>
      <w:r w:rsidRPr="00187008">
        <w:rPr>
          <w:sz w:val="24"/>
          <w:szCs w:val="24"/>
        </w:rPr>
        <w:lastRenderedPageBreak/>
        <w:t>the ratio that the projected amount of the management and administrative expenses in respect of the conduct of the fund bears to the estimated amount of premiums paid to that fund;</w:t>
      </w:r>
      <w:bookmarkEnd w:id="66"/>
      <w:r w:rsidRPr="00187008">
        <w:rPr>
          <w:sz w:val="24"/>
          <w:szCs w:val="24"/>
        </w:rPr>
        <w:t xml:space="preserve"> and</w:t>
      </w:r>
      <w:bookmarkStart w:id="67" w:name="_Ref515492646"/>
    </w:p>
    <w:p w14:paraId="33A14886" w14:textId="77777777" w:rsidR="00F43AFF" w:rsidRPr="00187008" w:rsidRDefault="007F7D6C" w:rsidP="00B36939">
      <w:pPr>
        <w:pStyle w:val="Style5"/>
        <w:numPr>
          <w:ilvl w:val="2"/>
          <w:numId w:val="24"/>
        </w:numPr>
        <w:spacing w:line="240" w:lineRule="auto"/>
        <w:ind w:left="2268" w:hanging="567"/>
        <w:rPr>
          <w:sz w:val="24"/>
          <w:szCs w:val="24"/>
        </w:rPr>
      </w:pPr>
      <w:r w:rsidRPr="00187008">
        <w:rPr>
          <w:sz w:val="24"/>
          <w:szCs w:val="24"/>
        </w:rPr>
        <w:t>a summary of proposed changes, if any, to the insurer</w:t>
      </w:r>
      <w:r w:rsidR="00EE2809" w:rsidRPr="00187008">
        <w:rPr>
          <w:sz w:val="24"/>
          <w:szCs w:val="24"/>
        </w:rPr>
        <w:t>’</w:t>
      </w:r>
      <w:r w:rsidRPr="00187008">
        <w:rPr>
          <w:sz w:val="24"/>
          <w:szCs w:val="24"/>
        </w:rPr>
        <w:t>s marketing plan, including strategies and costs associated with the restructuring and promotion of the fund;</w:t>
      </w:r>
      <w:bookmarkEnd w:id="67"/>
      <w:r w:rsidRPr="00187008">
        <w:rPr>
          <w:sz w:val="24"/>
          <w:szCs w:val="24"/>
        </w:rPr>
        <w:t xml:space="preserve"> and</w:t>
      </w:r>
      <w:bookmarkStart w:id="68" w:name="_Ref515491614"/>
    </w:p>
    <w:p w14:paraId="4D67F999" w14:textId="77777777" w:rsidR="00F43AFF" w:rsidRPr="00187008" w:rsidRDefault="007F7D6C" w:rsidP="00B36939">
      <w:pPr>
        <w:pStyle w:val="Style5"/>
        <w:numPr>
          <w:ilvl w:val="2"/>
          <w:numId w:val="24"/>
        </w:numPr>
        <w:spacing w:line="240" w:lineRule="auto"/>
        <w:ind w:left="2268" w:hanging="567"/>
        <w:rPr>
          <w:sz w:val="24"/>
          <w:szCs w:val="24"/>
        </w:rPr>
      </w:pPr>
      <w:r w:rsidRPr="00187008">
        <w:rPr>
          <w:sz w:val="24"/>
          <w:szCs w:val="24"/>
        </w:rPr>
        <w:t>the estimated number of policy holders of the fund at the end of each month;</w:t>
      </w:r>
      <w:bookmarkEnd w:id="68"/>
      <w:r w:rsidRPr="00187008">
        <w:rPr>
          <w:sz w:val="24"/>
          <w:szCs w:val="24"/>
        </w:rPr>
        <w:t xml:space="preserve"> and</w:t>
      </w:r>
      <w:bookmarkStart w:id="69" w:name="_Ref156975878"/>
    </w:p>
    <w:p w14:paraId="28DF2FE9" w14:textId="77777777" w:rsidR="00F43AFF" w:rsidRPr="00187008" w:rsidRDefault="007F7D6C" w:rsidP="00B36939">
      <w:pPr>
        <w:pStyle w:val="Style5"/>
        <w:numPr>
          <w:ilvl w:val="2"/>
          <w:numId w:val="24"/>
        </w:numPr>
        <w:spacing w:line="240" w:lineRule="auto"/>
        <w:ind w:left="2268" w:hanging="567"/>
        <w:rPr>
          <w:sz w:val="24"/>
          <w:szCs w:val="24"/>
        </w:rPr>
      </w:pPr>
      <w:r w:rsidRPr="00187008">
        <w:rPr>
          <w:sz w:val="24"/>
          <w:szCs w:val="24"/>
        </w:rPr>
        <w:t>a summary of any proposed changes to the insurer</w:t>
      </w:r>
      <w:r w:rsidR="00EE2809" w:rsidRPr="00187008">
        <w:rPr>
          <w:sz w:val="24"/>
          <w:szCs w:val="24"/>
        </w:rPr>
        <w:t>’</w:t>
      </w:r>
      <w:r w:rsidRPr="00187008">
        <w:rPr>
          <w:sz w:val="24"/>
          <w:szCs w:val="24"/>
        </w:rPr>
        <w:t>s contractual procedures and arrangements with health service providers and other service providers;</w:t>
      </w:r>
      <w:bookmarkEnd w:id="69"/>
      <w:r w:rsidRPr="00187008">
        <w:rPr>
          <w:sz w:val="24"/>
          <w:szCs w:val="24"/>
        </w:rPr>
        <w:t xml:space="preserve"> and </w:t>
      </w:r>
      <w:bookmarkStart w:id="70" w:name="_Ref515492238"/>
      <w:bookmarkStart w:id="71" w:name="_Ref156981637"/>
    </w:p>
    <w:p w14:paraId="153DC282" w14:textId="77777777" w:rsidR="00F43AFF" w:rsidRPr="00187008" w:rsidRDefault="007F7D6C" w:rsidP="00B36939">
      <w:pPr>
        <w:pStyle w:val="Style5"/>
        <w:numPr>
          <w:ilvl w:val="2"/>
          <w:numId w:val="24"/>
        </w:numPr>
        <w:spacing w:line="240" w:lineRule="auto"/>
        <w:ind w:left="2268" w:hanging="567"/>
        <w:rPr>
          <w:sz w:val="24"/>
          <w:szCs w:val="24"/>
        </w:rPr>
      </w:pPr>
      <w:r w:rsidRPr="00187008">
        <w:rPr>
          <w:sz w:val="24"/>
          <w:szCs w:val="24"/>
        </w:rPr>
        <w:t>a summary of any proposed changes to benefits or premiums</w:t>
      </w:r>
      <w:bookmarkEnd w:id="70"/>
      <w:r w:rsidRPr="00187008">
        <w:rPr>
          <w:sz w:val="24"/>
          <w:szCs w:val="24"/>
        </w:rPr>
        <w:t>; and</w:t>
      </w:r>
      <w:bookmarkEnd w:id="71"/>
    </w:p>
    <w:p w14:paraId="7D5BA5ED" w14:textId="77777777" w:rsidR="007F7D6C" w:rsidRPr="00187008" w:rsidRDefault="007F7D6C" w:rsidP="00B36939">
      <w:pPr>
        <w:pStyle w:val="Style5"/>
        <w:numPr>
          <w:ilvl w:val="2"/>
          <w:numId w:val="24"/>
        </w:numPr>
        <w:spacing w:line="240" w:lineRule="auto"/>
        <w:ind w:left="2268" w:hanging="567"/>
        <w:rPr>
          <w:sz w:val="24"/>
          <w:szCs w:val="24"/>
        </w:rPr>
      </w:pPr>
      <w:r w:rsidRPr="00187008">
        <w:rPr>
          <w:sz w:val="24"/>
          <w:szCs w:val="24"/>
        </w:rPr>
        <w:t>particulars of any arrangements or processes necessary for the restructure to take place, including:</w:t>
      </w:r>
    </w:p>
    <w:p w14:paraId="3FF977D9" w14:textId="77777777" w:rsidR="007F7D6C" w:rsidRPr="00187008" w:rsidRDefault="007F7D6C" w:rsidP="00126FCE">
      <w:pPr>
        <w:pStyle w:val="Style8"/>
        <w:spacing w:line="240" w:lineRule="auto"/>
        <w:rPr>
          <w:sz w:val="24"/>
          <w:szCs w:val="24"/>
        </w:rPr>
      </w:pPr>
      <w:r w:rsidRPr="00187008">
        <w:rPr>
          <w:sz w:val="24"/>
          <w:szCs w:val="24"/>
        </w:rPr>
        <w:t>any proposed amendments to the insurer</w:t>
      </w:r>
      <w:r w:rsidR="00EE2809" w:rsidRPr="00187008">
        <w:rPr>
          <w:sz w:val="24"/>
          <w:szCs w:val="24"/>
        </w:rPr>
        <w:t>’</w:t>
      </w:r>
      <w:r w:rsidRPr="00187008">
        <w:rPr>
          <w:sz w:val="24"/>
          <w:szCs w:val="24"/>
        </w:rPr>
        <w:t>s constitution or rules required for the restructure to take place; and</w:t>
      </w:r>
    </w:p>
    <w:p w14:paraId="60779852" w14:textId="77777777" w:rsidR="007F7D6C" w:rsidRPr="00187008" w:rsidRDefault="007F7D6C" w:rsidP="00126FCE">
      <w:pPr>
        <w:pStyle w:val="Style8"/>
        <w:spacing w:line="240" w:lineRule="auto"/>
        <w:rPr>
          <w:sz w:val="24"/>
          <w:szCs w:val="24"/>
        </w:rPr>
      </w:pPr>
      <w:r w:rsidRPr="00187008">
        <w:rPr>
          <w:sz w:val="24"/>
          <w:szCs w:val="24"/>
        </w:rPr>
        <w:t>any steps required under any other law of the Commonwealth, or State or Territory required for the restructure to take place; and</w:t>
      </w:r>
    </w:p>
    <w:p w14:paraId="671B6F7B" w14:textId="77777777" w:rsidR="007F7D6C" w:rsidRPr="00187008" w:rsidRDefault="007F7D6C" w:rsidP="00B36939">
      <w:pPr>
        <w:pStyle w:val="Style5"/>
        <w:numPr>
          <w:ilvl w:val="1"/>
          <w:numId w:val="24"/>
        </w:numPr>
        <w:spacing w:line="240" w:lineRule="auto"/>
        <w:ind w:left="1701" w:hanging="567"/>
        <w:rPr>
          <w:sz w:val="24"/>
          <w:szCs w:val="24"/>
        </w:rPr>
      </w:pPr>
      <w:r w:rsidRPr="00187008">
        <w:rPr>
          <w:sz w:val="24"/>
          <w:szCs w:val="24"/>
        </w:rPr>
        <w:t xml:space="preserve">a statement by an officer (the </w:t>
      </w:r>
      <w:r w:rsidRPr="00187008">
        <w:rPr>
          <w:b/>
          <w:i/>
          <w:sz w:val="24"/>
          <w:szCs w:val="24"/>
        </w:rPr>
        <w:t>certification of compliance</w:t>
      </w:r>
      <w:r w:rsidRPr="00187008">
        <w:rPr>
          <w:sz w:val="24"/>
          <w:szCs w:val="24"/>
        </w:rPr>
        <w:t xml:space="preserve">) confirming that: </w:t>
      </w:r>
    </w:p>
    <w:p w14:paraId="2290BEE4" w14:textId="77777777" w:rsidR="00BC6DCA" w:rsidRPr="00187008" w:rsidRDefault="007F7D6C" w:rsidP="00B36939">
      <w:pPr>
        <w:pStyle w:val="Style5"/>
        <w:numPr>
          <w:ilvl w:val="2"/>
          <w:numId w:val="24"/>
        </w:numPr>
        <w:spacing w:line="240" w:lineRule="auto"/>
        <w:ind w:left="2268" w:hanging="567"/>
        <w:rPr>
          <w:sz w:val="24"/>
          <w:szCs w:val="24"/>
        </w:rPr>
      </w:pPr>
      <w:r w:rsidRPr="00187008">
        <w:rPr>
          <w:sz w:val="24"/>
          <w:szCs w:val="24"/>
        </w:rPr>
        <w:t>the insurer is not being wound up; and</w:t>
      </w:r>
    </w:p>
    <w:p w14:paraId="25F7F850" w14:textId="77777777" w:rsidR="007F7D6C" w:rsidRPr="00187008" w:rsidRDefault="007F7D6C" w:rsidP="00B36939">
      <w:pPr>
        <w:pStyle w:val="Style5"/>
        <w:numPr>
          <w:ilvl w:val="2"/>
          <w:numId w:val="24"/>
        </w:numPr>
        <w:spacing w:line="240" w:lineRule="auto"/>
        <w:ind w:left="2268" w:hanging="567"/>
        <w:rPr>
          <w:sz w:val="24"/>
          <w:szCs w:val="24"/>
        </w:rPr>
      </w:pPr>
      <w:r w:rsidRPr="00187008">
        <w:rPr>
          <w:sz w:val="24"/>
          <w:szCs w:val="24"/>
        </w:rPr>
        <w:t>the board, or other governing body, of the insurer has considered the restructure proposal and is of the view it meets, and the operation of the restructuring funds from the restructure date in accordance with the restructure will meet, the requirements of:</w:t>
      </w:r>
    </w:p>
    <w:p w14:paraId="34FDD37B" w14:textId="77777777" w:rsidR="007F7D6C" w:rsidRPr="00187008" w:rsidRDefault="007F7D6C" w:rsidP="00126FCE">
      <w:pPr>
        <w:pStyle w:val="Style8"/>
        <w:spacing w:line="240" w:lineRule="auto"/>
        <w:rPr>
          <w:sz w:val="24"/>
          <w:szCs w:val="24"/>
        </w:rPr>
      </w:pPr>
      <w:r w:rsidRPr="00187008">
        <w:rPr>
          <w:sz w:val="24"/>
          <w:szCs w:val="24"/>
        </w:rPr>
        <w:t>the Act</w:t>
      </w:r>
      <w:r w:rsidR="0020111E">
        <w:rPr>
          <w:sz w:val="24"/>
          <w:szCs w:val="24"/>
        </w:rPr>
        <w:t xml:space="preserve"> and the PHI Act</w:t>
      </w:r>
      <w:r w:rsidRPr="00187008">
        <w:rPr>
          <w:sz w:val="24"/>
          <w:szCs w:val="24"/>
        </w:rPr>
        <w:t>; and</w:t>
      </w:r>
    </w:p>
    <w:p w14:paraId="08A6D4ED" w14:textId="77777777" w:rsidR="007F7D6C" w:rsidRPr="00187008" w:rsidRDefault="007F7D6C" w:rsidP="00126FCE">
      <w:pPr>
        <w:pStyle w:val="Style8"/>
        <w:spacing w:line="240" w:lineRule="auto"/>
        <w:rPr>
          <w:sz w:val="24"/>
          <w:szCs w:val="24"/>
        </w:rPr>
      </w:pPr>
      <w:r w:rsidRPr="00187008">
        <w:rPr>
          <w:sz w:val="24"/>
          <w:szCs w:val="24"/>
        </w:rPr>
        <w:lastRenderedPageBreak/>
        <w:t>any Regulations; and</w:t>
      </w:r>
    </w:p>
    <w:p w14:paraId="03434744" w14:textId="77777777" w:rsidR="007F7D6C" w:rsidRPr="00187008" w:rsidRDefault="007F7D6C" w:rsidP="00126FCE">
      <w:pPr>
        <w:pStyle w:val="Style8"/>
        <w:spacing w:line="240" w:lineRule="auto"/>
        <w:rPr>
          <w:sz w:val="24"/>
          <w:szCs w:val="24"/>
        </w:rPr>
      </w:pPr>
      <w:r w:rsidRPr="00187008">
        <w:rPr>
          <w:sz w:val="24"/>
          <w:szCs w:val="24"/>
        </w:rPr>
        <w:t xml:space="preserve">the Rules; and  </w:t>
      </w:r>
    </w:p>
    <w:p w14:paraId="4711B3E6" w14:textId="77777777" w:rsidR="00DF475B" w:rsidRDefault="007F7D6C" w:rsidP="00B36939">
      <w:pPr>
        <w:pStyle w:val="Style6"/>
        <w:numPr>
          <w:ilvl w:val="1"/>
          <w:numId w:val="24"/>
        </w:numPr>
        <w:spacing w:line="240" w:lineRule="auto"/>
        <w:ind w:left="1701" w:hanging="567"/>
        <w:rPr>
          <w:sz w:val="24"/>
          <w:szCs w:val="24"/>
        </w:rPr>
      </w:pPr>
      <w:bookmarkStart w:id="72" w:name="_Ref162236876"/>
      <w:r w:rsidRPr="001E03B0">
        <w:rPr>
          <w:sz w:val="24"/>
          <w:szCs w:val="24"/>
        </w:rPr>
        <w:t>a report from the insurer</w:t>
      </w:r>
      <w:r w:rsidR="00EE2809" w:rsidRPr="001E03B0">
        <w:rPr>
          <w:sz w:val="24"/>
          <w:szCs w:val="24"/>
        </w:rPr>
        <w:t>’</w:t>
      </w:r>
      <w:r w:rsidRPr="001E03B0">
        <w:rPr>
          <w:sz w:val="24"/>
          <w:szCs w:val="24"/>
        </w:rPr>
        <w:t xml:space="preserve">s appointed actuary (the </w:t>
      </w:r>
      <w:r w:rsidRPr="001E03B0">
        <w:rPr>
          <w:b/>
          <w:i/>
          <w:sz w:val="24"/>
          <w:szCs w:val="24"/>
        </w:rPr>
        <w:t>actuary</w:t>
      </w:r>
      <w:r w:rsidR="00EE2809" w:rsidRPr="001E03B0">
        <w:rPr>
          <w:b/>
          <w:i/>
          <w:sz w:val="24"/>
          <w:szCs w:val="24"/>
        </w:rPr>
        <w:t>’</w:t>
      </w:r>
      <w:r w:rsidRPr="001E03B0">
        <w:rPr>
          <w:b/>
          <w:i/>
          <w:sz w:val="24"/>
          <w:szCs w:val="24"/>
        </w:rPr>
        <w:t>s report</w:t>
      </w:r>
      <w:r w:rsidRPr="001E03B0">
        <w:rPr>
          <w:sz w:val="24"/>
          <w:szCs w:val="24"/>
        </w:rPr>
        <w:t>) which provides the opinion of the actuary:</w:t>
      </w:r>
      <w:bookmarkStart w:id="73" w:name="_Ref162236878"/>
      <w:bookmarkEnd w:id="72"/>
    </w:p>
    <w:p w14:paraId="0D2F613E" w14:textId="77777777" w:rsidR="00DF475B" w:rsidRDefault="007F7D6C" w:rsidP="00B36939">
      <w:pPr>
        <w:pStyle w:val="Style6"/>
        <w:numPr>
          <w:ilvl w:val="2"/>
          <w:numId w:val="24"/>
        </w:numPr>
        <w:spacing w:line="240" w:lineRule="auto"/>
        <w:ind w:left="2268" w:hanging="567"/>
        <w:rPr>
          <w:sz w:val="24"/>
          <w:szCs w:val="24"/>
        </w:rPr>
      </w:pPr>
      <w:r w:rsidRPr="00DF475B">
        <w:rPr>
          <w:sz w:val="24"/>
          <w:szCs w:val="24"/>
        </w:rPr>
        <w:t xml:space="preserve">that the aspects of the Business Plan which provide the information required in </w:t>
      </w:r>
      <w:r w:rsidR="00B84257" w:rsidRPr="00DF475B">
        <w:rPr>
          <w:sz w:val="24"/>
          <w:szCs w:val="24"/>
        </w:rPr>
        <w:t>paragraph (</w:t>
      </w:r>
      <w:r w:rsidRPr="00DF475B">
        <w:rPr>
          <w:sz w:val="24"/>
          <w:szCs w:val="24"/>
        </w:rPr>
        <w:t>1)</w:t>
      </w:r>
      <w:r w:rsidR="002709CA" w:rsidRPr="00DF475B">
        <w:rPr>
          <w:sz w:val="24"/>
          <w:szCs w:val="24"/>
        </w:rPr>
        <w:t>(</w:t>
      </w:r>
      <w:r w:rsidRPr="00DF475B">
        <w:rPr>
          <w:sz w:val="24"/>
          <w:szCs w:val="24"/>
        </w:rPr>
        <w:t>a) are well</w:t>
      </w:r>
      <w:r w:rsidR="00B84257" w:rsidRPr="00DF475B">
        <w:rPr>
          <w:sz w:val="24"/>
          <w:szCs w:val="24"/>
        </w:rPr>
        <w:noBreakHyphen/>
      </w:r>
      <w:r w:rsidRPr="00DF475B">
        <w:rPr>
          <w:sz w:val="24"/>
          <w:szCs w:val="24"/>
        </w:rPr>
        <w:t>founded; and</w:t>
      </w:r>
      <w:bookmarkStart w:id="74" w:name="_Ref162236892"/>
      <w:bookmarkEnd w:id="73"/>
    </w:p>
    <w:p w14:paraId="6DB2341A" w14:textId="77777777" w:rsidR="00DF475B" w:rsidRDefault="007F7D6C" w:rsidP="00B36939">
      <w:pPr>
        <w:pStyle w:val="Style6"/>
        <w:numPr>
          <w:ilvl w:val="2"/>
          <w:numId w:val="24"/>
        </w:numPr>
        <w:spacing w:line="240" w:lineRule="auto"/>
        <w:ind w:left="2268" w:hanging="567"/>
        <w:rPr>
          <w:sz w:val="24"/>
          <w:szCs w:val="24"/>
        </w:rPr>
      </w:pPr>
      <w:r w:rsidRPr="00DF475B">
        <w:rPr>
          <w:sz w:val="24"/>
          <w:szCs w:val="24"/>
        </w:rPr>
        <w:t>that the assets and liabilities that would be transferred to the receiving fund or funds represent a reasonable estimate of what would be, immediately before the restructure, the net asset position of the transferring funds; and</w:t>
      </w:r>
      <w:bookmarkEnd w:id="74"/>
    </w:p>
    <w:p w14:paraId="6885CC91" w14:textId="77777777" w:rsidR="007F7D6C" w:rsidRPr="00DF475B" w:rsidRDefault="007F7D6C" w:rsidP="00B36939">
      <w:pPr>
        <w:pStyle w:val="Style6"/>
        <w:numPr>
          <w:ilvl w:val="2"/>
          <w:numId w:val="24"/>
        </w:numPr>
        <w:spacing w:line="240" w:lineRule="auto"/>
        <w:ind w:left="2268" w:hanging="567"/>
        <w:rPr>
          <w:sz w:val="24"/>
          <w:szCs w:val="24"/>
        </w:rPr>
      </w:pPr>
      <w:r w:rsidRPr="00DF475B">
        <w:rPr>
          <w:sz w:val="24"/>
          <w:szCs w:val="24"/>
        </w:rPr>
        <w:t>about how the restructure will affect the ability of the insurer to comply with:</w:t>
      </w:r>
    </w:p>
    <w:p w14:paraId="7005D214" w14:textId="77777777" w:rsidR="0069766F" w:rsidRPr="0069766F" w:rsidRDefault="007F7D6C" w:rsidP="00126FCE">
      <w:pPr>
        <w:pStyle w:val="Style8"/>
        <w:spacing w:line="240" w:lineRule="auto"/>
        <w:rPr>
          <w:sz w:val="24"/>
          <w:szCs w:val="24"/>
        </w:rPr>
      </w:pPr>
      <w:r w:rsidRPr="0069766F">
        <w:rPr>
          <w:sz w:val="24"/>
          <w:szCs w:val="24"/>
        </w:rPr>
        <w:t>the solvency standard; and</w:t>
      </w:r>
    </w:p>
    <w:p w14:paraId="2A594FB0" w14:textId="77777777" w:rsidR="0069766F" w:rsidRPr="0069766F" w:rsidRDefault="007F7D6C" w:rsidP="00126FCE">
      <w:pPr>
        <w:pStyle w:val="Style8"/>
        <w:spacing w:line="240" w:lineRule="auto"/>
        <w:rPr>
          <w:sz w:val="24"/>
          <w:szCs w:val="24"/>
        </w:rPr>
      </w:pPr>
      <w:r w:rsidRPr="0069766F">
        <w:rPr>
          <w:sz w:val="24"/>
          <w:szCs w:val="24"/>
        </w:rPr>
        <w:t>any solvency direction to which the insurer is subject; and</w:t>
      </w:r>
    </w:p>
    <w:p w14:paraId="3F52E7AF" w14:textId="77777777" w:rsidR="0069766F" w:rsidRPr="0069766F" w:rsidRDefault="007F7D6C" w:rsidP="00126FCE">
      <w:pPr>
        <w:pStyle w:val="Style8"/>
        <w:spacing w:line="240" w:lineRule="auto"/>
        <w:rPr>
          <w:sz w:val="24"/>
          <w:szCs w:val="24"/>
        </w:rPr>
      </w:pPr>
      <w:r w:rsidRPr="0069766F">
        <w:rPr>
          <w:sz w:val="24"/>
          <w:szCs w:val="24"/>
        </w:rPr>
        <w:t>the capital adequacy standard; and</w:t>
      </w:r>
    </w:p>
    <w:p w14:paraId="6A8EE8C2" w14:textId="77777777" w:rsidR="007F7D6C" w:rsidRDefault="007F7D6C" w:rsidP="00126FCE">
      <w:pPr>
        <w:pStyle w:val="Style8"/>
        <w:spacing w:line="240" w:lineRule="auto"/>
        <w:rPr>
          <w:sz w:val="24"/>
          <w:szCs w:val="24"/>
        </w:rPr>
      </w:pPr>
      <w:r w:rsidRPr="0069766F">
        <w:rPr>
          <w:sz w:val="24"/>
          <w:szCs w:val="24"/>
        </w:rPr>
        <w:t>any capital adequacy direction to which the insurer is subject,</w:t>
      </w:r>
    </w:p>
    <w:p w14:paraId="07843F8F" w14:textId="77777777" w:rsidR="007F7D6C" w:rsidRDefault="007F7D6C" w:rsidP="00126FCE">
      <w:pPr>
        <w:pStyle w:val="Style7"/>
        <w:numPr>
          <w:ilvl w:val="0"/>
          <w:numId w:val="0"/>
        </w:numPr>
        <w:spacing w:line="240" w:lineRule="auto"/>
        <w:ind w:left="2268"/>
        <w:rPr>
          <w:sz w:val="24"/>
          <w:szCs w:val="24"/>
        </w:rPr>
      </w:pPr>
      <w:r w:rsidRPr="0069766F">
        <w:rPr>
          <w:sz w:val="24"/>
          <w:szCs w:val="24"/>
        </w:rPr>
        <w:t>in relation to each of the restructuring funds of the insurer at each of the following times:</w:t>
      </w:r>
    </w:p>
    <w:p w14:paraId="778705B2" w14:textId="77777777" w:rsidR="0069766F" w:rsidRDefault="007F7D6C" w:rsidP="00126FCE">
      <w:pPr>
        <w:pStyle w:val="Style8"/>
        <w:spacing w:line="240" w:lineRule="auto"/>
        <w:rPr>
          <w:sz w:val="24"/>
          <w:szCs w:val="24"/>
        </w:rPr>
      </w:pPr>
      <w:r w:rsidRPr="0069766F">
        <w:rPr>
          <w:sz w:val="24"/>
          <w:szCs w:val="24"/>
        </w:rPr>
        <w:t>the restructure date; and</w:t>
      </w:r>
    </w:p>
    <w:p w14:paraId="11F27913" w14:textId="77777777" w:rsidR="0069766F" w:rsidRDefault="007F7D6C" w:rsidP="00126FCE">
      <w:pPr>
        <w:pStyle w:val="Style8"/>
        <w:spacing w:line="240" w:lineRule="auto"/>
        <w:rPr>
          <w:sz w:val="24"/>
          <w:szCs w:val="24"/>
        </w:rPr>
      </w:pPr>
      <w:r w:rsidRPr="0069766F">
        <w:rPr>
          <w:sz w:val="24"/>
          <w:szCs w:val="24"/>
        </w:rPr>
        <w:t>any time over the first 36 months after the restructure date; and</w:t>
      </w:r>
    </w:p>
    <w:p w14:paraId="1E1B87AD" w14:textId="77777777" w:rsidR="007F7D6C" w:rsidRPr="0069766F" w:rsidRDefault="007F7D6C" w:rsidP="00126FCE">
      <w:pPr>
        <w:pStyle w:val="Style8"/>
        <w:spacing w:line="240" w:lineRule="auto"/>
        <w:rPr>
          <w:sz w:val="24"/>
          <w:szCs w:val="24"/>
        </w:rPr>
      </w:pPr>
      <w:r w:rsidRPr="0069766F">
        <w:rPr>
          <w:sz w:val="24"/>
          <w:szCs w:val="24"/>
        </w:rPr>
        <w:t>any time within the foreseeable future of operation of the funds beyond 36 months after the restructure date; and</w:t>
      </w:r>
    </w:p>
    <w:p w14:paraId="2130AD0D" w14:textId="77777777" w:rsidR="007F7D6C" w:rsidRPr="0069766F" w:rsidRDefault="007F7D6C" w:rsidP="00B36939">
      <w:pPr>
        <w:pStyle w:val="Style7"/>
        <w:numPr>
          <w:ilvl w:val="2"/>
          <w:numId w:val="24"/>
        </w:numPr>
        <w:spacing w:line="240" w:lineRule="auto"/>
        <w:ind w:left="2268" w:hanging="567"/>
        <w:rPr>
          <w:sz w:val="24"/>
          <w:szCs w:val="24"/>
        </w:rPr>
      </w:pPr>
      <w:r w:rsidRPr="0069766F">
        <w:rPr>
          <w:sz w:val="24"/>
          <w:szCs w:val="24"/>
        </w:rPr>
        <w:lastRenderedPageBreak/>
        <w:t>about what effects the restructure is likely to have on the premiums for and benefits under:</w:t>
      </w:r>
    </w:p>
    <w:p w14:paraId="636B7DD9" w14:textId="77777777" w:rsidR="0069766F" w:rsidRPr="0069766F" w:rsidRDefault="007F7D6C" w:rsidP="00126FCE">
      <w:pPr>
        <w:pStyle w:val="Style8"/>
        <w:spacing w:line="240" w:lineRule="auto"/>
        <w:rPr>
          <w:sz w:val="24"/>
        </w:rPr>
      </w:pPr>
      <w:r w:rsidRPr="0069766F">
        <w:rPr>
          <w:sz w:val="24"/>
        </w:rPr>
        <w:t>each policy group of policies which are referable to the transferring fund immediately before the restructure; and</w:t>
      </w:r>
    </w:p>
    <w:p w14:paraId="2DC7DB87" w14:textId="77777777" w:rsidR="007F7D6C" w:rsidRPr="0069766F" w:rsidRDefault="007F7D6C" w:rsidP="00126FCE">
      <w:pPr>
        <w:pStyle w:val="Style8"/>
        <w:spacing w:line="240" w:lineRule="auto"/>
        <w:rPr>
          <w:sz w:val="28"/>
          <w:szCs w:val="24"/>
        </w:rPr>
      </w:pPr>
      <w:r w:rsidRPr="0069766F">
        <w:rPr>
          <w:sz w:val="24"/>
        </w:rPr>
        <w:t>each policy group of policies which are not referable to a receiving fund immediately before the restructure; and</w:t>
      </w:r>
    </w:p>
    <w:p w14:paraId="673DA0E2" w14:textId="77777777" w:rsidR="007F7D6C" w:rsidRDefault="00C178E0" w:rsidP="00126FCE">
      <w:pPr>
        <w:pStyle w:val="paragraphsub"/>
        <w:spacing w:before="0" w:after="240"/>
        <w:rPr>
          <w:sz w:val="24"/>
          <w:szCs w:val="24"/>
        </w:rPr>
      </w:pPr>
      <w:r w:rsidRPr="00187008">
        <w:rPr>
          <w:sz w:val="24"/>
          <w:szCs w:val="24"/>
        </w:rPr>
        <w:tab/>
      </w:r>
      <w:r w:rsidR="00596A10" w:rsidRPr="00187008">
        <w:rPr>
          <w:sz w:val="24"/>
          <w:szCs w:val="24"/>
        </w:rPr>
        <w:tab/>
      </w:r>
      <w:r w:rsidR="007F7D6C" w:rsidRPr="00187008">
        <w:rPr>
          <w:sz w:val="24"/>
          <w:szCs w:val="24"/>
        </w:rPr>
        <w:t>at each of the following times:</w:t>
      </w:r>
    </w:p>
    <w:p w14:paraId="4251EBF2" w14:textId="77777777" w:rsidR="0069766F" w:rsidRPr="0069766F" w:rsidRDefault="007F7D6C" w:rsidP="00126FCE">
      <w:pPr>
        <w:pStyle w:val="Style8"/>
        <w:spacing w:line="240" w:lineRule="auto"/>
        <w:rPr>
          <w:sz w:val="28"/>
          <w:szCs w:val="24"/>
        </w:rPr>
      </w:pPr>
      <w:r w:rsidRPr="0069766F">
        <w:rPr>
          <w:sz w:val="24"/>
          <w:szCs w:val="24"/>
        </w:rPr>
        <w:t>the restructure date; and</w:t>
      </w:r>
    </w:p>
    <w:p w14:paraId="5BD587B1" w14:textId="77777777" w:rsidR="0069766F" w:rsidRPr="0069766F" w:rsidRDefault="007F7D6C" w:rsidP="00126FCE">
      <w:pPr>
        <w:pStyle w:val="Style8"/>
        <w:spacing w:line="240" w:lineRule="auto"/>
        <w:rPr>
          <w:sz w:val="28"/>
          <w:szCs w:val="24"/>
        </w:rPr>
      </w:pPr>
      <w:r w:rsidRPr="0069766F">
        <w:rPr>
          <w:sz w:val="24"/>
          <w:szCs w:val="24"/>
        </w:rPr>
        <w:t>any time over the first 36 months after the restructure date; and</w:t>
      </w:r>
    </w:p>
    <w:p w14:paraId="29C376E8" w14:textId="77777777" w:rsidR="007F7D6C" w:rsidRPr="0069766F" w:rsidRDefault="007F7D6C" w:rsidP="00126FCE">
      <w:pPr>
        <w:pStyle w:val="Style8"/>
        <w:spacing w:line="240" w:lineRule="auto"/>
        <w:rPr>
          <w:sz w:val="28"/>
          <w:szCs w:val="24"/>
        </w:rPr>
      </w:pPr>
      <w:r w:rsidRPr="0069766F">
        <w:rPr>
          <w:sz w:val="24"/>
          <w:szCs w:val="24"/>
        </w:rPr>
        <w:t>any time within the foreseeable future of operation of the funds beyond 36 months after the restructure date; and</w:t>
      </w:r>
    </w:p>
    <w:p w14:paraId="4AB56172" w14:textId="77777777" w:rsidR="007F7D6C" w:rsidRPr="00616029" w:rsidRDefault="007F7D6C" w:rsidP="00126FCE">
      <w:pPr>
        <w:pStyle w:val="Style6"/>
        <w:spacing w:line="240" w:lineRule="auto"/>
        <w:rPr>
          <w:sz w:val="24"/>
        </w:rPr>
      </w:pPr>
      <w:r w:rsidRPr="00616029">
        <w:rPr>
          <w:sz w:val="24"/>
        </w:rPr>
        <w:t>a copy of the statement, if any, issued by the insurer in accordance with subsection</w:t>
      </w:r>
      <w:r w:rsidR="00B84257" w:rsidRPr="00616029">
        <w:rPr>
          <w:sz w:val="24"/>
        </w:rPr>
        <w:t> </w:t>
      </w:r>
      <w:r w:rsidRPr="00616029">
        <w:rPr>
          <w:sz w:val="24"/>
        </w:rPr>
        <w:t>93</w:t>
      </w:r>
      <w:r w:rsidR="00B84257" w:rsidRPr="00616029">
        <w:rPr>
          <w:sz w:val="24"/>
        </w:rPr>
        <w:noBreakHyphen/>
      </w:r>
      <w:r w:rsidRPr="00616029">
        <w:rPr>
          <w:sz w:val="24"/>
        </w:rPr>
        <w:t>20</w:t>
      </w:r>
      <w:r w:rsidR="002709CA" w:rsidRPr="00616029">
        <w:rPr>
          <w:sz w:val="24"/>
        </w:rPr>
        <w:t>(</w:t>
      </w:r>
      <w:r w:rsidRPr="00616029">
        <w:rPr>
          <w:sz w:val="24"/>
        </w:rPr>
        <w:t xml:space="preserve">2) of the </w:t>
      </w:r>
      <w:r w:rsidR="006230C9" w:rsidRPr="00616029">
        <w:rPr>
          <w:sz w:val="24"/>
        </w:rPr>
        <w:t xml:space="preserve">PHI </w:t>
      </w:r>
      <w:r w:rsidRPr="00616029">
        <w:rPr>
          <w:sz w:val="24"/>
        </w:rPr>
        <w:t>Act about any proposed change of the rules of the insurer associated with the proposed restructure; and</w:t>
      </w:r>
    </w:p>
    <w:p w14:paraId="2B6830FA" w14:textId="77777777" w:rsidR="007F7D6C" w:rsidRPr="00616029" w:rsidRDefault="007F7D6C" w:rsidP="00126FCE">
      <w:pPr>
        <w:pStyle w:val="Style6"/>
        <w:spacing w:line="240" w:lineRule="auto"/>
        <w:rPr>
          <w:sz w:val="24"/>
        </w:rPr>
      </w:pPr>
      <w:r w:rsidRPr="00616029">
        <w:rPr>
          <w:sz w:val="24"/>
        </w:rPr>
        <w:t xml:space="preserve">a copy of any statement issued in accordance </w:t>
      </w:r>
      <w:r w:rsidR="00211757">
        <w:rPr>
          <w:sz w:val="24"/>
        </w:rPr>
        <w:t xml:space="preserve">with </w:t>
      </w:r>
      <w:r w:rsidRPr="00616029">
        <w:rPr>
          <w:sz w:val="24"/>
        </w:rPr>
        <w:t>subsection</w:t>
      </w:r>
      <w:r w:rsidR="00B84257" w:rsidRPr="00616029">
        <w:rPr>
          <w:sz w:val="24"/>
        </w:rPr>
        <w:t> </w:t>
      </w:r>
      <w:r w:rsidRPr="00616029">
        <w:rPr>
          <w:sz w:val="24"/>
        </w:rPr>
        <w:t>93</w:t>
      </w:r>
      <w:r w:rsidR="00B84257" w:rsidRPr="00616029">
        <w:rPr>
          <w:sz w:val="24"/>
        </w:rPr>
        <w:noBreakHyphen/>
      </w:r>
      <w:r w:rsidRPr="00616029">
        <w:rPr>
          <w:sz w:val="24"/>
        </w:rPr>
        <w:t>20</w:t>
      </w:r>
      <w:r w:rsidR="002709CA" w:rsidRPr="00616029">
        <w:rPr>
          <w:sz w:val="24"/>
        </w:rPr>
        <w:t>(</w:t>
      </w:r>
      <w:r w:rsidRPr="00616029">
        <w:rPr>
          <w:sz w:val="24"/>
        </w:rPr>
        <w:t>4)</w:t>
      </w:r>
      <w:r w:rsidR="006230C9" w:rsidRPr="00616029">
        <w:rPr>
          <w:sz w:val="24"/>
        </w:rPr>
        <w:t xml:space="preserve"> of the PHI Act</w:t>
      </w:r>
      <w:r w:rsidRPr="00616029">
        <w:rPr>
          <w:sz w:val="24"/>
        </w:rPr>
        <w:t xml:space="preserve"> about the aspect of the proposed restructure which involves the proposed change in funds to which policies are referable; and</w:t>
      </w:r>
    </w:p>
    <w:p w14:paraId="572BA323" w14:textId="77777777" w:rsidR="007F7D6C" w:rsidRPr="00616029" w:rsidRDefault="007F7D6C" w:rsidP="00126FCE">
      <w:pPr>
        <w:pStyle w:val="Style6"/>
        <w:spacing w:line="240" w:lineRule="auto"/>
        <w:rPr>
          <w:sz w:val="24"/>
        </w:rPr>
      </w:pPr>
      <w:r w:rsidRPr="00616029">
        <w:rPr>
          <w:sz w:val="24"/>
        </w:rPr>
        <w:t>a summary of any submissions in writing (including email or other electronic form) to the insurer from a policy holder of a fund conducted by the insurer in relation to any aspect of the restructure proposal regardless of whether the submission was made in response to a statement issued under subsection</w:t>
      </w:r>
      <w:r w:rsidR="00B84257" w:rsidRPr="00616029">
        <w:rPr>
          <w:sz w:val="24"/>
        </w:rPr>
        <w:t> </w:t>
      </w:r>
      <w:r w:rsidRPr="00616029">
        <w:rPr>
          <w:sz w:val="24"/>
        </w:rPr>
        <w:t>93</w:t>
      </w:r>
      <w:r w:rsidR="00B84257" w:rsidRPr="00616029">
        <w:rPr>
          <w:sz w:val="24"/>
        </w:rPr>
        <w:noBreakHyphen/>
      </w:r>
      <w:r w:rsidRPr="00616029">
        <w:rPr>
          <w:sz w:val="24"/>
        </w:rPr>
        <w:t>20</w:t>
      </w:r>
      <w:r w:rsidR="002709CA" w:rsidRPr="00616029">
        <w:rPr>
          <w:sz w:val="24"/>
        </w:rPr>
        <w:t>(</w:t>
      </w:r>
      <w:r w:rsidRPr="00616029">
        <w:rPr>
          <w:sz w:val="24"/>
        </w:rPr>
        <w:t>2) or subsection</w:t>
      </w:r>
      <w:r w:rsidR="00B84257" w:rsidRPr="00616029">
        <w:rPr>
          <w:sz w:val="24"/>
        </w:rPr>
        <w:t> </w:t>
      </w:r>
      <w:r w:rsidRPr="00616029">
        <w:rPr>
          <w:sz w:val="24"/>
        </w:rPr>
        <w:t>93</w:t>
      </w:r>
      <w:r w:rsidR="00B84257" w:rsidRPr="00616029">
        <w:rPr>
          <w:sz w:val="24"/>
        </w:rPr>
        <w:noBreakHyphen/>
      </w:r>
      <w:r w:rsidRPr="00616029">
        <w:rPr>
          <w:sz w:val="24"/>
        </w:rPr>
        <w:t>20</w:t>
      </w:r>
      <w:r w:rsidR="002709CA" w:rsidRPr="00616029">
        <w:rPr>
          <w:sz w:val="24"/>
        </w:rPr>
        <w:t>(</w:t>
      </w:r>
      <w:r w:rsidRPr="00616029">
        <w:rPr>
          <w:sz w:val="24"/>
        </w:rPr>
        <w:t xml:space="preserve">4) of the </w:t>
      </w:r>
      <w:r w:rsidR="006230C9" w:rsidRPr="00616029">
        <w:rPr>
          <w:sz w:val="24"/>
        </w:rPr>
        <w:t xml:space="preserve">PHI </w:t>
      </w:r>
      <w:r w:rsidRPr="00616029">
        <w:rPr>
          <w:sz w:val="24"/>
        </w:rPr>
        <w:t>Act or otherwise.</w:t>
      </w:r>
    </w:p>
    <w:p w14:paraId="401E5805" w14:textId="77777777" w:rsidR="005F7D2D" w:rsidRPr="005F7D2D" w:rsidRDefault="007F7D6C" w:rsidP="00B36939">
      <w:pPr>
        <w:pStyle w:val="ListParagraph"/>
        <w:numPr>
          <w:ilvl w:val="0"/>
          <w:numId w:val="19"/>
        </w:numPr>
        <w:spacing w:after="240" w:line="240" w:lineRule="auto"/>
        <w:ind w:left="1134" w:hanging="567"/>
        <w:contextualSpacing w:val="0"/>
        <w:rPr>
          <w:sz w:val="24"/>
          <w:szCs w:val="24"/>
        </w:rPr>
      </w:pPr>
      <w:bookmarkStart w:id="75" w:name="_Ref162158288"/>
      <w:r w:rsidRPr="005F7D2D">
        <w:rPr>
          <w:sz w:val="24"/>
          <w:szCs w:val="24"/>
        </w:rPr>
        <w:t>Prior to the restructure date, the insurer must, except to the extent provided for in the Act, procure any amendment of its constitution and any of its rules required for the restructure proposal to take place.</w:t>
      </w:r>
      <w:bookmarkEnd w:id="75"/>
    </w:p>
    <w:p w14:paraId="67239DA4" w14:textId="77777777" w:rsidR="005F7D2D" w:rsidRPr="005F7D2D" w:rsidRDefault="00211757" w:rsidP="00126FCE">
      <w:pPr>
        <w:pStyle w:val="ListParagraph"/>
        <w:spacing w:after="240" w:line="240" w:lineRule="auto"/>
        <w:ind w:left="1134"/>
        <w:contextualSpacing w:val="0"/>
        <w:rPr>
          <w:sz w:val="24"/>
          <w:szCs w:val="24"/>
        </w:rPr>
      </w:pPr>
      <w:r w:rsidRPr="005F7D2D">
        <w:rPr>
          <w:sz w:val="24"/>
          <w:szCs w:val="24"/>
        </w:rPr>
        <w:lastRenderedPageBreak/>
        <w:t xml:space="preserve">Note: </w:t>
      </w:r>
      <w:r w:rsidR="007F7D6C" w:rsidRPr="005F7D2D">
        <w:rPr>
          <w:sz w:val="24"/>
          <w:szCs w:val="24"/>
        </w:rPr>
        <w:t>The Act contains relevant provisions in section</w:t>
      </w:r>
      <w:r w:rsidR="00B84257" w:rsidRPr="005F7D2D">
        <w:rPr>
          <w:sz w:val="24"/>
          <w:szCs w:val="24"/>
        </w:rPr>
        <w:t> </w:t>
      </w:r>
      <w:r w:rsidR="002D4B65" w:rsidRPr="005F7D2D">
        <w:rPr>
          <w:sz w:val="24"/>
          <w:szCs w:val="24"/>
        </w:rPr>
        <w:t>34</w:t>
      </w:r>
      <w:r w:rsidR="007F7D6C" w:rsidRPr="005F7D2D">
        <w:rPr>
          <w:sz w:val="24"/>
          <w:szCs w:val="24"/>
        </w:rPr>
        <w:t>.</w:t>
      </w:r>
      <w:bookmarkStart w:id="76" w:name="_Ref162158301"/>
    </w:p>
    <w:p w14:paraId="5C639702" w14:textId="77777777" w:rsidR="007F7D6C" w:rsidRPr="005F7D2D" w:rsidRDefault="007F7D6C" w:rsidP="00B36939">
      <w:pPr>
        <w:pStyle w:val="ListParagraph"/>
        <w:numPr>
          <w:ilvl w:val="0"/>
          <w:numId w:val="19"/>
        </w:numPr>
        <w:spacing w:after="240" w:line="240" w:lineRule="auto"/>
        <w:ind w:left="1134" w:hanging="567"/>
        <w:contextualSpacing w:val="0"/>
        <w:rPr>
          <w:sz w:val="24"/>
          <w:szCs w:val="24"/>
        </w:rPr>
      </w:pPr>
      <w:r w:rsidRPr="005F7D2D">
        <w:rPr>
          <w:sz w:val="24"/>
          <w:szCs w:val="24"/>
        </w:rPr>
        <w:t>Prior to the restructure date, the insurer must take all steps required under any other law of the Commonwealth, a State or a Territory required for the restructure to take place.</w:t>
      </w:r>
      <w:bookmarkEnd w:id="76"/>
      <w:r w:rsidRPr="005F7D2D">
        <w:rPr>
          <w:sz w:val="24"/>
          <w:szCs w:val="24"/>
        </w:rPr>
        <w:t xml:space="preserve">  </w:t>
      </w:r>
    </w:p>
    <w:p w14:paraId="73A52049" w14:textId="77777777" w:rsidR="007F7D6C" w:rsidRPr="00B84257" w:rsidRDefault="007F7D6C" w:rsidP="00AD6D63">
      <w:pPr>
        <w:pStyle w:val="Style2"/>
      </w:pPr>
      <w:bookmarkStart w:id="77" w:name="_Toc413670983"/>
      <w:bookmarkStart w:id="78" w:name="_Toc413671442"/>
      <w:bookmarkStart w:id="79" w:name="_Toc413673016"/>
      <w:bookmarkStart w:id="80" w:name="_Toc413673441"/>
      <w:r w:rsidRPr="00B84257">
        <w:t>Criteria for approving or refusing a restructure</w:t>
      </w:r>
      <w:bookmarkEnd w:id="77"/>
      <w:bookmarkEnd w:id="78"/>
      <w:bookmarkEnd w:id="79"/>
      <w:bookmarkEnd w:id="80"/>
    </w:p>
    <w:p w14:paraId="20D47454" w14:textId="77777777" w:rsidR="007F7D6C" w:rsidRPr="00126FCE" w:rsidRDefault="007F7D6C" w:rsidP="00B36939">
      <w:pPr>
        <w:pStyle w:val="Style5"/>
        <w:numPr>
          <w:ilvl w:val="0"/>
          <w:numId w:val="27"/>
        </w:numPr>
        <w:spacing w:line="240" w:lineRule="auto"/>
        <w:ind w:left="1134" w:hanging="567"/>
        <w:rPr>
          <w:sz w:val="24"/>
          <w:szCs w:val="24"/>
        </w:rPr>
      </w:pPr>
      <w:bookmarkStart w:id="81" w:name="_Ref162236403"/>
      <w:r w:rsidRPr="00126FCE">
        <w:rPr>
          <w:sz w:val="24"/>
          <w:szCs w:val="24"/>
        </w:rPr>
        <w:t>For the purposes of paragraph</w:t>
      </w:r>
      <w:r w:rsidR="00B84257" w:rsidRPr="00126FCE">
        <w:rPr>
          <w:sz w:val="24"/>
          <w:szCs w:val="24"/>
        </w:rPr>
        <w:t> </w:t>
      </w:r>
      <w:r w:rsidR="002D4B65" w:rsidRPr="00126FCE">
        <w:rPr>
          <w:sz w:val="24"/>
          <w:szCs w:val="24"/>
        </w:rPr>
        <w:t>32(2)(b)</w:t>
      </w:r>
      <w:r w:rsidRPr="00126FCE">
        <w:rPr>
          <w:sz w:val="24"/>
          <w:szCs w:val="24"/>
        </w:rPr>
        <w:t xml:space="preserve"> of the Act, a proposed distribution of assets and liabilities between receiving funds under a proposed </w:t>
      </w:r>
      <w:r w:rsidR="000142EC" w:rsidRPr="00126FCE">
        <w:rPr>
          <w:sz w:val="24"/>
          <w:szCs w:val="24"/>
        </w:rPr>
        <w:t>restructure of a health benefits fund conducted by a private health insurer</w:t>
      </w:r>
      <w:r w:rsidRPr="00126FCE">
        <w:rPr>
          <w:sz w:val="24"/>
          <w:szCs w:val="24"/>
        </w:rPr>
        <w:t xml:space="preserve"> is not fairly distributed if the proposed distribution will cause, or may contribute to causing, the insurer to be in breach of:</w:t>
      </w:r>
      <w:bookmarkEnd w:id="81"/>
    </w:p>
    <w:p w14:paraId="117F6BE6" w14:textId="77777777" w:rsidR="007F7D6C" w:rsidRPr="00126FCE" w:rsidRDefault="007F7D6C" w:rsidP="00126FCE">
      <w:pPr>
        <w:pStyle w:val="Style6"/>
        <w:spacing w:line="240" w:lineRule="auto"/>
        <w:rPr>
          <w:sz w:val="24"/>
        </w:rPr>
      </w:pPr>
      <w:r w:rsidRPr="00126FCE">
        <w:rPr>
          <w:sz w:val="24"/>
        </w:rPr>
        <w:t>the Act</w:t>
      </w:r>
      <w:r w:rsidR="004C087C">
        <w:rPr>
          <w:sz w:val="24"/>
        </w:rPr>
        <w:t xml:space="preserve"> or the PHI Act</w:t>
      </w:r>
      <w:r w:rsidRPr="00126FCE">
        <w:rPr>
          <w:sz w:val="24"/>
        </w:rPr>
        <w:t>; or</w:t>
      </w:r>
    </w:p>
    <w:p w14:paraId="605AFE91" w14:textId="77777777" w:rsidR="007F7D6C" w:rsidRPr="00126FCE" w:rsidRDefault="007F7D6C" w:rsidP="00126FCE">
      <w:pPr>
        <w:pStyle w:val="Style6"/>
        <w:spacing w:line="240" w:lineRule="auto"/>
        <w:rPr>
          <w:sz w:val="24"/>
        </w:rPr>
      </w:pPr>
      <w:r w:rsidRPr="00126FCE">
        <w:rPr>
          <w:sz w:val="24"/>
        </w:rPr>
        <w:t>any Regulations; or</w:t>
      </w:r>
    </w:p>
    <w:p w14:paraId="1DE4DA5E" w14:textId="77777777" w:rsidR="007F7D6C" w:rsidRPr="00126FCE" w:rsidRDefault="007F7D6C" w:rsidP="00126FCE">
      <w:pPr>
        <w:pStyle w:val="Style6"/>
        <w:spacing w:line="240" w:lineRule="auto"/>
        <w:rPr>
          <w:sz w:val="24"/>
        </w:rPr>
      </w:pPr>
      <w:r w:rsidRPr="00126FCE">
        <w:rPr>
          <w:sz w:val="24"/>
        </w:rPr>
        <w:t>any of the Rules; or</w:t>
      </w:r>
    </w:p>
    <w:p w14:paraId="6F9A0BE2" w14:textId="77777777" w:rsidR="007F7D6C" w:rsidRPr="00126FCE" w:rsidRDefault="007F7D6C" w:rsidP="00126FCE">
      <w:pPr>
        <w:pStyle w:val="Style6"/>
        <w:spacing w:line="240" w:lineRule="auto"/>
        <w:rPr>
          <w:sz w:val="24"/>
        </w:rPr>
      </w:pPr>
      <w:r w:rsidRPr="00126FCE">
        <w:rPr>
          <w:sz w:val="24"/>
        </w:rPr>
        <w:t xml:space="preserve">a solvency direction </w:t>
      </w:r>
      <w:r w:rsidR="009F66FC" w:rsidRPr="00126FCE">
        <w:rPr>
          <w:sz w:val="24"/>
        </w:rPr>
        <w:t>that applies to the private health insurer</w:t>
      </w:r>
      <w:r w:rsidRPr="00126FCE">
        <w:rPr>
          <w:sz w:val="24"/>
        </w:rPr>
        <w:t>; or</w:t>
      </w:r>
    </w:p>
    <w:p w14:paraId="03C6BEBD" w14:textId="77777777" w:rsidR="007F7D6C" w:rsidRPr="00126FCE" w:rsidRDefault="007F7D6C" w:rsidP="00126FCE">
      <w:pPr>
        <w:pStyle w:val="Style6"/>
        <w:spacing w:line="240" w:lineRule="auto"/>
        <w:rPr>
          <w:sz w:val="24"/>
        </w:rPr>
      </w:pPr>
      <w:r w:rsidRPr="00126FCE">
        <w:rPr>
          <w:sz w:val="24"/>
        </w:rPr>
        <w:t xml:space="preserve">a capital adequacy direction </w:t>
      </w:r>
      <w:r w:rsidR="00B90889" w:rsidRPr="00126FCE">
        <w:rPr>
          <w:sz w:val="24"/>
        </w:rPr>
        <w:t>that applies to the private health insurer</w:t>
      </w:r>
      <w:r w:rsidRPr="00126FCE">
        <w:rPr>
          <w:sz w:val="24"/>
        </w:rPr>
        <w:t>,</w:t>
      </w:r>
    </w:p>
    <w:p w14:paraId="7A8FFFD8" w14:textId="77777777" w:rsidR="007F7D6C" w:rsidRPr="00126FCE" w:rsidRDefault="007F7D6C" w:rsidP="00126FCE">
      <w:pPr>
        <w:pStyle w:val="Style5"/>
        <w:numPr>
          <w:ilvl w:val="0"/>
          <w:numId w:val="0"/>
        </w:numPr>
        <w:spacing w:line="240" w:lineRule="auto"/>
        <w:ind w:left="1134"/>
        <w:rPr>
          <w:sz w:val="24"/>
        </w:rPr>
      </w:pPr>
      <w:r w:rsidRPr="00126FCE">
        <w:rPr>
          <w:sz w:val="24"/>
        </w:rPr>
        <w:t>at one or more of the following times:</w:t>
      </w:r>
    </w:p>
    <w:p w14:paraId="0157019A" w14:textId="77777777" w:rsidR="007F7D6C" w:rsidRPr="00126FCE" w:rsidRDefault="007F7D6C" w:rsidP="00126FCE">
      <w:pPr>
        <w:pStyle w:val="Style6"/>
        <w:rPr>
          <w:sz w:val="24"/>
        </w:rPr>
      </w:pPr>
      <w:r w:rsidRPr="00126FCE">
        <w:rPr>
          <w:sz w:val="24"/>
        </w:rPr>
        <w:t>the restructure date; or</w:t>
      </w:r>
    </w:p>
    <w:p w14:paraId="01E51571" w14:textId="77777777" w:rsidR="007F7D6C" w:rsidRPr="00126FCE" w:rsidRDefault="007F7D6C" w:rsidP="00126FCE">
      <w:pPr>
        <w:pStyle w:val="Style6"/>
        <w:rPr>
          <w:sz w:val="24"/>
        </w:rPr>
      </w:pPr>
      <w:r w:rsidRPr="00126FCE">
        <w:rPr>
          <w:sz w:val="24"/>
        </w:rPr>
        <w:t>any time within the first 36 months after the restructure date; or</w:t>
      </w:r>
    </w:p>
    <w:p w14:paraId="4C742EC6" w14:textId="77777777" w:rsidR="007F7D6C" w:rsidRPr="00126FCE" w:rsidRDefault="007F7D6C" w:rsidP="00126FCE">
      <w:pPr>
        <w:pStyle w:val="Style6"/>
        <w:rPr>
          <w:sz w:val="24"/>
        </w:rPr>
      </w:pPr>
      <w:r w:rsidRPr="00126FCE">
        <w:rPr>
          <w:sz w:val="24"/>
        </w:rPr>
        <w:t>any time within the foreseeable future of operation of the restructuring funds beyond 36 months after the restructure date.</w:t>
      </w:r>
    </w:p>
    <w:p w14:paraId="2033330A" w14:textId="77777777" w:rsidR="00126FCE" w:rsidRPr="00126FCE" w:rsidRDefault="007F7D6C" w:rsidP="00126FCE">
      <w:pPr>
        <w:pStyle w:val="Style5"/>
        <w:ind w:left="1134" w:hanging="567"/>
        <w:rPr>
          <w:sz w:val="24"/>
          <w:szCs w:val="24"/>
        </w:rPr>
      </w:pPr>
      <w:r w:rsidRPr="00126FCE">
        <w:rPr>
          <w:sz w:val="24"/>
          <w:szCs w:val="24"/>
        </w:rPr>
        <w:t>Subrule (1) is not an exhaustive statement of criteria for refusing an application under section</w:t>
      </w:r>
      <w:r w:rsidR="00B84257" w:rsidRPr="00126FCE">
        <w:rPr>
          <w:sz w:val="24"/>
          <w:szCs w:val="24"/>
        </w:rPr>
        <w:t> </w:t>
      </w:r>
      <w:r w:rsidR="002D4B65" w:rsidRPr="00126FCE">
        <w:rPr>
          <w:sz w:val="24"/>
          <w:szCs w:val="24"/>
        </w:rPr>
        <w:t>32</w:t>
      </w:r>
      <w:r w:rsidRPr="00126FCE">
        <w:rPr>
          <w:sz w:val="24"/>
          <w:szCs w:val="24"/>
        </w:rPr>
        <w:t xml:space="preserve"> of the Act and does not prevent </w:t>
      </w:r>
      <w:r w:rsidR="00F33834" w:rsidRPr="00126FCE">
        <w:rPr>
          <w:sz w:val="24"/>
          <w:szCs w:val="24"/>
        </w:rPr>
        <w:t xml:space="preserve">APRA </w:t>
      </w:r>
      <w:r w:rsidRPr="00126FCE">
        <w:rPr>
          <w:sz w:val="24"/>
          <w:szCs w:val="24"/>
        </w:rPr>
        <w:t xml:space="preserve">from taking into account considerations other than those referred to in subrule (1) to form a </w:t>
      </w:r>
      <w:r w:rsidRPr="00126FCE">
        <w:rPr>
          <w:sz w:val="24"/>
          <w:szCs w:val="24"/>
        </w:rPr>
        <w:lastRenderedPageBreak/>
        <w:t>view that a proposed distribution between receiving funds of assets and liabilities is not fairly distributed for the purposes of paragraph</w:t>
      </w:r>
      <w:r w:rsidR="00B84257" w:rsidRPr="00126FCE">
        <w:rPr>
          <w:sz w:val="24"/>
          <w:szCs w:val="24"/>
        </w:rPr>
        <w:t> </w:t>
      </w:r>
      <w:r w:rsidR="00F60482" w:rsidRPr="00126FCE">
        <w:rPr>
          <w:sz w:val="24"/>
          <w:szCs w:val="24"/>
        </w:rPr>
        <w:t>32(2)(b)</w:t>
      </w:r>
      <w:r w:rsidRPr="00126FCE">
        <w:rPr>
          <w:sz w:val="24"/>
          <w:szCs w:val="24"/>
        </w:rPr>
        <w:t xml:space="preserve"> of the Act.</w:t>
      </w:r>
    </w:p>
    <w:p w14:paraId="6739CE56" w14:textId="77777777" w:rsidR="00126FCE" w:rsidRPr="00126FCE" w:rsidRDefault="007F7D6C" w:rsidP="00126FCE">
      <w:pPr>
        <w:pStyle w:val="Style5"/>
        <w:ind w:left="1134" w:hanging="567"/>
        <w:rPr>
          <w:sz w:val="24"/>
          <w:szCs w:val="24"/>
        </w:rPr>
      </w:pPr>
      <w:r w:rsidRPr="00126FCE">
        <w:rPr>
          <w:sz w:val="24"/>
          <w:szCs w:val="24"/>
        </w:rPr>
        <w:t xml:space="preserve">When considering whether a restructure will result in unfairness for the purposes of paragraphs </w:t>
      </w:r>
      <w:r w:rsidR="00F60482" w:rsidRPr="00126FCE">
        <w:rPr>
          <w:sz w:val="24"/>
          <w:szCs w:val="24"/>
        </w:rPr>
        <w:t>32(4)(a)</w:t>
      </w:r>
      <w:r w:rsidRPr="00126FCE">
        <w:rPr>
          <w:sz w:val="24"/>
          <w:szCs w:val="24"/>
        </w:rPr>
        <w:t xml:space="preserve"> or (b) of the Act, the matters </w:t>
      </w:r>
      <w:r w:rsidR="00F33834" w:rsidRPr="00126FCE">
        <w:rPr>
          <w:sz w:val="24"/>
          <w:szCs w:val="24"/>
        </w:rPr>
        <w:t xml:space="preserve">APRA </w:t>
      </w:r>
      <w:r w:rsidRPr="00126FCE">
        <w:rPr>
          <w:sz w:val="24"/>
          <w:szCs w:val="24"/>
        </w:rPr>
        <w:t>may take into account include, but are not limited to, the matters referred to in subrule (1).</w:t>
      </w:r>
    </w:p>
    <w:p w14:paraId="2FADB2ED" w14:textId="77777777" w:rsidR="00126FCE" w:rsidRPr="00AD6D63" w:rsidRDefault="007F7D6C" w:rsidP="00126FCE">
      <w:pPr>
        <w:pStyle w:val="Style5"/>
        <w:ind w:left="1134" w:hanging="567"/>
        <w:rPr>
          <w:sz w:val="24"/>
          <w:szCs w:val="24"/>
        </w:rPr>
      </w:pPr>
      <w:r w:rsidRPr="00AD6D63">
        <w:rPr>
          <w:sz w:val="24"/>
          <w:szCs w:val="24"/>
        </w:rPr>
        <w:t>In considering an application under subsection</w:t>
      </w:r>
      <w:r w:rsidR="00B84257" w:rsidRPr="00AD6D63">
        <w:rPr>
          <w:sz w:val="24"/>
          <w:szCs w:val="24"/>
        </w:rPr>
        <w:t> </w:t>
      </w:r>
      <w:r w:rsidR="00F60482" w:rsidRPr="00AD6D63">
        <w:rPr>
          <w:sz w:val="24"/>
          <w:szCs w:val="24"/>
        </w:rPr>
        <w:t>32</w:t>
      </w:r>
      <w:r w:rsidR="002709CA" w:rsidRPr="00AD6D63">
        <w:rPr>
          <w:sz w:val="24"/>
          <w:szCs w:val="24"/>
        </w:rPr>
        <w:t>(</w:t>
      </w:r>
      <w:r w:rsidRPr="00AD6D63">
        <w:rPr>
          <w:sz w:val="24"/>
          <w:szCs w:val="24"/>
        </w:rPr>
        <w:t xml:space="preserve">1) of the Act, </w:t>
      </w:r>
      <w:r w:rsidR="00F33834" w:rsidRPr="00AD6D63">
        <w:rPr>
          <w:sz w:val="24"/>
          <w:szCs w:val="24"/>
        </w:rPr>
        <w:t xml:space="preserve">APRA </w:t>
      </w:r>
      <w:r w:rsidRPr="00AD6D63">
        <w:rPr>
          <w:sz w:val="24"/>
          <w:szCs w:val="24"/>
        </w:rPr>
        <w:t>must take into account statements made in:</w:t>
      </w:r>
    </w:p>
    <w:p w14:paraId="35B60757" w14:textId="77777777" w:rsidR="00126FCE" w:rsidRPr="00AD6D63" w:rsidRDefault="007F7D6C" w:rsidP="00B36939">
      <w:pPr>
        <w:pStyle w:val="Style5"/>
        <w:numPr>
          <w:ilvl w:val="1"/>
          <w:numId w:val="25"/>
        </w:numPr>
        <w:spacing w:line="240" w:lineRule="auto"/>
        <w:ind w:left="1701" w:hanging="567"/>
        <w:rPr>
          <w:sz w:val="24"/>
          <w:szCs w:val="24"/>
        </w:rPr>
      </w:pPr>
      <w:r w:rsidRPr="00AD6D63">
        <w:rPr>
          <w:sz w:val="24"/>
          <w:szCs w:val="24"/>
        </w:rPr>
        <w:t>the application; and</w:t>
      </w:r>
    </w:p>
    <w:p w14:paraId="234454E5" w14:textId="77777777" w:rsidR="00126FCE" w:rsidRPr="00AD6D63" w:rsidRDefault="007F7D6C" w:rsidP="00B36939">
      <w:pPr>
        <w:pStyle w:val="Style5"/>
        <w:numPr>
          <w:ilvl w:val="1"/>
          <w:numId w:val="25"/>
        </w:numPr>
        <w:spacing w:line="240" w:lineRule="auto"/>
        <w:ind w:left="1701" w:hanging="567"/>
        <w:rPr>
          <w:sz w:val="24"/>
          <w:szCs w:val="24"/>
        </w:rPr>
      </w:pPr>
      <w:r w:rsidRPr="00AD6D63">
        <w:rPr>
          <w:sz w:val="24"/>
          <w:szCs w:val="24"/>
        </w:rPr>
        <w:t>the restructure proposal; and</w:t>
      </w:r>
    </w:p>
    <w:p w14:paraId="0F79A930" w14:textId="77777777" w:rsidR="00126FCE" w:rsidRPr="00AD6D63" w:rsidRDefault="007F7D6C" w:rsidP="00B36939">
      <w:pPr>
        <w:pStyle w:val="Style5"/>
        <w:numPr>
          <w:ilvl w:val="1"/>
          <w:numId w:val="25"/>
        </w:numPr>
        <w:spacing w:line="240" w:lineRule="auto"/>
        <w:ind w:left="1701" w:hanging="567"/>
        <w:rPr>
          <w:sz w:val="24"/>
          <w:szCs w:val="24"/>
        </w:rPr>
      </w:pPr>
      <w:r w:rsidRPr="00AD6D63">
        <w:rPr>
          <w:sz w:val="24"/>
          <w:szCs w:val="24"/>
        </w:rPr>
        <w:t>the certification of compliance; and</w:t>
      </w:r>
    </w:p>
    <w:p w14:paraId="495C61AA" w14:textId="77777777" w:rsidR="007F7D6C" w:rsidRPr="00AD6D63" w:rsidRDefault="007F7D6C" w:rsidP="00B36939">
      <w:pPr>
        <w:pStyle w:val="Style5"/>
        <w:numPr>
          <w:ilvl w:val="1"/>
          <w:numId w:val="25"/>
        </w:numPr>
        <w:spacing w:line="240" w:lineRule="auto"/>
        <w:ind w:left="1701" w:hanging="567"/>
        <w:rPr>
          <w:sz w:val="24"/>
          <w:szCs w:val="24"/>
        </w:rPr>
      </w:pPr>
      <w:r w:rsidRPr="00AD6D63">
        <w:rPr>
          <w:sz w:val="24"/>
          <w:szCs w:val="24"/>
        </w:rPr>
        <w:t>the actuary</w:t>
      </w:r>
      <w:r w:rsidR="00EE2809" w:rsidRPr="00AD6D63">
        <w:rPr>
          <w:sz w:val="24"/>
          <w:szCs w:val="24"/>
        </w:rPr>
        <w:t>’</w:t>
      </w:r>
      <w:r w:rsidRPr="00AD6D63">
        <w:rPr>
          <w:sz w:val="24"/>
          <w:szCs w:val="24"/>
        </w:rPr>
        <w:t>s report,</w:t>
      </w:r>
    </w:p>
    <w:p w14:paraId="781B9EAE" w14:textId="77777777" w:rsidR="007F7D6C" w:rsidRPr="00AD6D63" w:rsidRDefault="007F7D6C" w:rsidP="00AD6D63">
      <w:pPr>
        <w:pStyle w:val="Style5"/>
        <w:numPr>
          <w:ilvl w:val="0"/>
          <w:numId w:val="0"/>
        </w:numPr>
        <w:ind w:left="1134"/>
        <w:rPr>
          <w:sz w:val="24"/>
          <w:szCs w:val="24"/>
        </w:rPr>
      </w:pPr>
      <w:r w:rsidRPr="00AD6D63">
        <w:rPr>
          <w:sz w:val="24"/>
          <w:szCs w:val="24"/>
        </w:rPr>
        <w:t>but is not bound by those statements and may make its own inquiries which may include, without limitation, obtaining other actuarial advice.</w:t>
      </w:r>
    </w:p>
    <w:p w14:paraId="56A376F1" w14:textId="77777777" w:rsidR="007F7D6C" w:rsidRPr="00B84257" w:rsidRDefault="007F7D6C" w:rsidP="00891151">
      <w:pPr>
        <w:pStyle w:val="Style2"/>
        <w:spacing w:line="240" w:lineRule="auto"/>
      </w:pPr>
      <w:bookmarkStart w:id="82" w:name="_Toc413670984"/>
      <w:bookmarkStart w:id="83" w:name="_Toc413671443"/>
      <w:bookmarkStart w:id="84" w:name="_Toc413673017"/>
      <w:bookmarkStart w:id="85" w:name="_Toc413673442"/>
      <w:r w:rsidRPr="00B84257">
        <w:t xml:space="preserve">How a </w:t>
      </w:r>
      <w:r w:rsidRPr="00AD6D63">
        <w:t>restructure</w:t>
      </w:r>
      <w:r w:rsidRPr="00B84257">
        <w:t xml:space="preserve"> takes place</w:t>
      </w:r>
      <w:bookmarkEnd w:id="82"/>
      <w:bookmarkEnd w:id="83"/>
      <w:bookmarkEnd w:id="84"/>
      <w:bookmarkEnd w:id="85"/>
    </w:p>
    <w:p w14:paraId="5816CD99" w14:textId="77777777" w:rsidR="00AD6D63" w:rsidRDefault="00AD6D63" w:rsidP="00AD6D63">
      <w:pPr>
        <w:pStyle w:val="Style9"/>
        <w:ind w:left="1134" w:hanging="567"/>
      </w:pPr>
      <w:r>
        <w:t xml:space="preserve">  </w:t>
      </w:r>
      <w:r>
        <w:tab/>
      </w:r>
      <w:r w:rsidR="007F7D6C" w:rsidRPr="00AD6D63">
        <w:t>If on the restructure date:</w:t>
      </w:r>
    </w:p>
    <w:p w14:paraId="7DDA3C72" w14:textId="77777777" w:rsidR="00AD6D63" w:rsidRPr="00AD6D63" w:rsidRDefault="00F33834" w:rsidP="00B36939">
      <w:pPr>
        <w:pStyle w:val="ListParagraph"/>
        <w:numPr>
          <w:ilvl w:val="2"/>
          <w:numId w:val="16"/>
        </w:numPr>
        <w:spacing w:after="240"/>
        <w:ind w:hanging="567"/>
        <w:contextualSpacing w:val="0"/>
        <w:rPr>
          <w:sz w:val="24"/>
          <w:szCs w:val="24"/>
        </w:rPr>
      </w:pPr>
      <w:r w:rsidRPr="00AD6D63">
        <w:rPr>
          <w:sz w:val="24"/>
          <w:szCs w:val="24"/>
        </w:rPr>
        <w:t xml:space="preserve">APRA </w:t>
      </w:r>
      <w:r w:rsidR="007F7D6C" w:rsidRPr="00AD6D63">
        <w:rPr>
          <w:sz w:val="24"/>
          <w:szCs w:val="24"/>
        </w:rPr>
        <w:t xml:space="preserve">has approved a restructure </w:t>
      </w:r>
      <w:r w:rsidR="00E94631" w:rsidRPr="00AD6D63">
        <w:rPr>
          <w:sz w:val="24"/>
          <w:szCs w:val="24"/>
        </w:rPr>
        <w:t>proposal of a health benefits fund conducted by a private health insurer;</w:t>
      </w:r>
      <w:r w:rsidR="007F7D6C" w:rsidRPr="00AD6D63">
        <w:rPr>
          <w:sz w:val="24"/>
          <w:szCs w:val="24"/>
        </w:rPr>
        <w:t xml:space="preserve"> and</w:t>
      </w:r>
    </w:p>
    <w:p w14:paraId="384DE7C3" w14:textId="77777777" w:rsidR="00AD6D63" w:rsidRPr="00AD6D63" w:rsidRDefault="007F7D6C" w:rsidP="00B36939">
      <w:pPr>
        <w:pStyle w:val="ListParagraph"/>
        <w:numPr>
          <w:ilvl w:val="2"/>
          <w:numId w:val="16"/>
        </w:numPr>
        <w:spacing w:after="240"/>
        <w:ind w:hanging="567"/>
        <w:contextualSpacing w:val="0"/>
        <w:rPr>
          <w:sz w:val="24"/>
          <w:szCs w:val="24"/>
        </w:rPr>
      </w:pPr>
      <w:r w:rsidRPr="00AD6D63">
        <w:rPr>
          <w:sz w:val="24"/>
          <w:szCs w:val="24"/>
        </w:rPr>
        <w:t>the insurer complies with the requirements of the Rules in relation to the restructure including, without limitation, the requirements under subrule</w:t>
      </w:r>
      <w:r w:rsidR="00A606BA" w:rsidRPr="00AD6D63">
        <w:rPr>
          <w:sz w:val="24"/>
          <w:szCs w:val="24"/>
        </w:rPr>
        <w:t>s</w:t>
      </w:r>
      <w:r w:rsidRPr="00AD6D63">
        <w:rPr>
          <w:sz w:val="24"/>
          <w:szCs w:val="24"/>
        </w:rPr>
        <w:t xml:space="preserve"> </w:t>
      </w:r>
      <w:r w:rsidR="00997313">
        <w:rPr>
          <w:sz w:val="24"/>
          <w:szCs w:val="24"/>
        </w:rPr>
        <w:t>8</w:t>
      </w:r>
      <w:r w:rsidR="002709CA" w:rsidRPr="00997313">
        <w:rPr>
          <w:sz w:val="24"/>
          <w:szCs w:val="24"/>
        </w:rPr>
        <w:t>(</w:t>
      </w:r>
      <w:r w:rsidRPr="00997313">
        <w:rPr>
          <w:sz w:val="24"/>
          <w:szCs w:val="24"/>
        </w:rPr>
        <w:t xml:space="preserve">2) and </w:t>
      </w:r>
      <w:r w:rsidR="00997313">
        <w:rPr>
          <w:sz w:val="24"/>
          <w:szCs w:val="24"/>
        </w:rPr>
        <w:t>8</w:t>
      </w:r>
      <w:r w:rsidR="002709CA" w:rsidRPr="00997313">
        <w:rPr>
          <w:sz w:val="24"/>
          <w:szCs w:val="24"/>
        </w:rPr>
        <w:t>(</w:t>
      </w:r>
      <w:r w:rsidRPr="00997313">
        <w:rPr>
          <w:sz w:val="24"/>
          <w:szCs w:val="24"/>
        </w:rPr>
        <w:t>3);</w:t>
      </w:r>
      <w:r w:rsidRPr="00AD6D63">
        <w:rPr>
          <w:sz w:val="24"/>
          <w:szCs w:val="24"/>
        </w:rPr>
        <w:t xml:space="preserve"> and</w:t>
      </w:r>
    </w:p>
    <w:p w14:paraId="1FC0F18B" w14:textId="77777777" w:rsidR="007F7D6C" w:rsidRPr="005F29F8" w:rsidRDefault="007F7D6C" w:rsidP="00B36939">
      <w:pPr>
        <w:pStyle w:val="ListParagraph"/>
        <w:numPr>
          <w:ilvl w:val="2"/>
          <w:numId w:val="16"/>
        </w:numPr>
        <w:spacing w:after="240"/>
        <w:ind w:hanging="567"/>
        <w:contextualSpacing w:val="0"/>
        <w:rPr>
          <w:sz w:val="24"/>
          <w:szCs w:val="24"/>
        </w:rPr>
      </w:pPr>
      <w:r w:rsidRPr="00AD6D63">
        <w:rPr>
          <w:sz w:val="24"/>
          <w:szCs w:val="24"/>
        </w:rPr>
        <w:t xml:space="preserve">the insurer takes the steps required for establishment of any new </w:t>
      </w:r>
      <w:r w:rsidRPr="005F29F8">
        <w:rPr>
          <w:sz w:val="24"/>
          <w:szCs w:val="24"/>
        </w:rPr>
        <w:t>fund(s) required for the restructure to come into effect;</w:t>
      </w:r>
    </w:p>
    <w:p w14:paraId="47FF22D5" w14:textId="77777777" w:rsidR="007F7D6C" w:rsidRPr="005F29F8" w:rsidRDefault="007F7D6C" w:rsidP="005F29F8">
      <w:pPr>
        <w:pStyle w:val="Style9"/>
        <w:numPr>
          <w:ilvl w:val="0"/>
          <w:numId w:val="0"/>
        </w:numPr>
        <w:ind w:left="1134"/>
        <w:rPr>
          <w:szCs w:val="24"/>
        </w:rPr>
      </w:pPr>
      <w:r w:rsidRPr="005F29F8">
        <w:rPr>
          <w:szCs w:val="24"/>
        </w:rPr>
        <w:lastRenderedPageBreak/>
        <w:t>then:</w:t>
      </w:r>
    </w:p>
    <w:p w14:paraId="21E82E35" w14:textId="77777777" w:rsidR="005F29F8" w:rsidRPr="005F29F8" w:rsidRDefault="007F7D6C" w:rsidP="00B36939">
      <w:pPr>
        <w:pStyle w:val="ListParagraph"/>
        <w:numPr>
          <w:ilvl w:val="2"/>
          <w:numId w:val="16"/>
        </w:numPr>
        <w:spacing w:after="240"/>
        <w:ind w:hanging="567"/>
        <w:contextualSpacing w:val="0"/>
        <w:rPr>
          <w:sz w:val="24"/>
          <w:szCs w:val="24"/>
        </w:rPr>
      </w:pPr>
      <w:r w:rsidRPr="005F29F8">
        <w:rPr>
          <w:sz w:val="24"/>
          <w:szCs w:val="24"/>
        </w:rPr>
        <w:t>the restructure takes place; and</w:t>
      </w:r>
    </w:p>
    <w:p w14:paraId="63415F26" w14:textId="77777777" w:rsidR="005F29F8" w:rsidRPr="005F29F8" w:rsidRDefault="007F7D6C" w:rsidP="00B36939">
      <w:pPr>
        <w:pStyle w:val="ListParagraph"/>
        <w:numPr>
          <w:ilvl w:val="2"/>
          <w:numId w:val="16"/>
        </w:numPr>
        <w:spacing w:after="240"/>
        <w:ind w:hanging="567"/>
        <w:contextualSpacing w:val="0"/>
        <w:rPr>
          <w:sz w:val="24"/>
          <w:szCs w:val="24"/>
        </w:rPr>
      </w:pPr>
      <w:r w:rsidRPr="005F29F8">
        <w:rPr>
          <w:sz w:val="24"/>
          <w:szCs w:val="24"/>
        </w:rPr>
        <w:t>the relevant policies of the transferring fund become referable to the receiving fund or funds in accordance with the restructure proposal; and</w:t>
      </w:r>
    </w:p>
    <w:p w14:paraId="5DEC21F9" w14:textId="77777777" w:rsidR="005F29F8" w:rsidRPr="005F29F8" w:rsidRDefault="007F7D6C" w:rsidP="00B36939">
      <w:pPr>
        <w:pStyle w:val="ListParagraph"/>
        <w:numPr>
          <w:ilvl w:val="2"/>
          <w:numId w:val="16"/>
        </w:numPr>
        <w:spacing w:after="240"/>
        <w:ind w:hanging="567"/>
        <w:contextualSpacing w:val="0"/>
        <w:rPr>
          <w:sz w:val="24"/>
          <w:szCs w:val="24"/>
        </w:rPr>
      </w:pPr>
      <w:r w:rsidRPr="005F29F8">
        <w:rPr>
          <w:sz w:val="24"/>
          <w:szCs w:val="24"/>
        </w:rPr>
        <w:t>the liabilities incurred for the purposes of the transferring fund, including without limitation the policy liabilities, become treated as liabilities incurred for the purposes of the receiving fund or funds in accordance with the restructure proposal; and</w:t>
      </w:r>
    </w:p>
    <w:p w14:paraId="46E0403F" w14:textId="77777777" w:rsidR="007F7D6C" w:rsidRPr="005F29F8" w:rsidRDefault="007F7D6C" w:rsidP="00B36939">
      <w:pPr>
        <w:pStyle w:val="ListParagraph"/>
        <w:numPr>
          <w:ilvl w:val="2"/>
          <w:numId w:val="16"/>
        </w:numPr>
        <w:spacing w:after="240"/>
        <w:ind w:hanging="567"/>
        <w:contextualSpacing w:val="0"/>
        <w:rPr>
          <w:sz w:val="24"/>
          <w:szCs w:val="24"/>
        </w:rPr>
      </w:pPr>
      <w:r w:rsidRPr="005F29F8">
        <w:rPr>
          <w:sz w:val="24"/>
          <w:szCs w:val="24"/>
        </w:rPr>
        <w:t>the assets of the transferring fund become assets of the receiving fund or funds in accordance with the restructure proposal.</w:t>
      </w:r>
    </w:p>
    <w:p w14:paraId="240D9538" w14:textId="77777777" w:rsidR="007F7D6C" w:rsidRPr="00B84257" w:rsidRDefault="007F7D6C" w:rsidP="005F29F8">
      <w:pPr>
        <w:pStyle w:val="Style2"/>
      </w:pPr>
      <w:bookmarkStart w:id="86" w:name="_Toc413670985"/>
      <w:bookmarkStart w:id="87" w:name="_Toc413671444"/>
      <w:bookmarkStart w:id="88" w:name="_Toc413673018"/>
      <w:bookmarkStart w:id="89" w:name="_Toc413673443"/>
      <w:r w:rsidRPr="00B84257">
        <w:t>Notification to interested persons of the outcome of an application</w:t>
      </w:r>
      <w:bookmarkEnd w:id="86"/>
      <w:bookmarkEnd w:id="87"/>
      <w:bookmarkEnd w:id="88"/>
      <w:bookmarkEnd w:id="89"/>
    </w:p>
    <w:p w14:paraId="38224123" w14:textId="77777777" w:rsidR="007F7D6C" w:rsidRPr="005F29F8" w:rsidRDefault="005F29F8" w:rsidP="005F29F8">
      <w:pPr>
        <w:pStyle w:val="Style9"/>
        <w:ind w:left="1134" w:hanging="567"/>
      </w:pPr>
      <w:bookmarkStart w:id="90" w:name="_Ref156981836"/>
      <w:r>
        <w:t xml:space="preserve"> </w:t>
      </w:r>
      <w:r>
        <w:tab/>
      </w:r>
      <w:r>
        <w:tab/>
      </w:r>
      <w:r w:rsidR="007F7D6C" w:rsidRPr="005F29F8">
        <w:t xml:space="preserve">If </w:t>
      </w:r>
      <w:r w:rsidR="00F33834" w:rsidRPr="005F29F8">
        <w:t xml:space="preserve">APRA </w:t>
      </w:r>
      <w:r w:rsidR="007F7D6C" w:rsidRPr="005F29F8">
        <w:t xml:space="preserve">or the Administrative Appeals Tribunal approves an application for approval of a </w:t>
      </w:r>
      <w:r w:rsidR="00F1196E" w:rsidRPr="005F29F8">
        <w:t>restructure of a health benefits fund conducted by a private health insurer,</w:t>
      </w:r>
      <w:r w:rsidR="007F7D6C" w:rsidRPr="005F29F8">
        <w:t xml:space="preserve"> then within 20 days of the restructure taking place, the insurer must provide to at least one adult insured under each policy, or, for a policy covering no adults, the person who pays the premium, which is being made, or has been made, referable to a receiving fund, a statement of the outcome of the application.</w:t>
      </w:r>
      <w:bookmarkEnd w:id="90"/>
    </w:p>
    <w:p w14:paraId="1529B39C" w14:textId="77777777" w:rsidR="007F7D6C" w:rsidRPr="005F29F8" w:rsidRDefault="005F29F8" w:rsidP="005F29F8">
      <w:pPr>
        <w:pStyle w:val="Style9"/>
        <w:ind w:left="1134" w:hanging="567"/>
      </w:pPr>
      <w:bookmarkStart w:id="91" w:name="_Ref162158454"/>
      <w:r>
        <w:t xml:space="preserve"> </w:t>
      </w:r>
      <w:r>
        <w:tab/>
      </w:r>
      <w:r>
        <w:tab/>
      </w:r>
      <w:r w:rsidR="007F7D6C" w:rsidRPr="005F29F8">
        <w:t>The notification of outcome referred to in subrule (1) may be combined with the statement provided for the purposes of subsection</w:t>
      </w:r>
      <w:r w:rsidR="00B84257" w:rsidRPr="005F29F8">
        <w:t> </w:t>
      </w:r>
      <w:r w:rsidR="007F7D6C" w:rsidRPr="005F29F8">
        <w:t>93</w:t>
      </w:r>
      <w:r w:rsidR="00B84257" w:rsidRPr="005F29F8">
        <w:noBreakHyphen/>
      </w:r>
      <w:r w:rsidR="007F7D6C" w:rsidRPr="005F29F8">
        <w:t>20</w:t>
      </w:r>
      <w:r w:rsidR="002709CA" w:rsidRPr="005F29F8">
        <w:t>(</w:t>
      </w:r>
      <w:r w:rsidR="007F7D6C" w:rsidRPr="005F29F8">
        <w:t>4) of the</w:t>
      </w:r>
      <w:r w:rsidR="006230C9" w:rsidRPr="005F29F8">
        <w:t xml:space="preserve"> PHI</w:t>
      </w:r>
      <w:r w:rsidR="007F7D6C" w:rsidRPr="005F29F8">
        <w:t xml:space="preserve"> Act.</w:t>
      </w:r>
      <w:bookmarkEnd w:id="91"/>
    </w:p>
    <w:p w14:paraId="7BDC1D9E" w14:textId="77777777" w:rsidR="005F29F8" w:rsidRDefault="005F29F8" w:rsidP="005F29F8">
      <w:pPr>
        <w:pStyle w:val="Style9"/>
        <w:ind w:left="1134" w:hanging="567"/>
      </w:pPr>
      <w:bookmarkStart w:id="92" w:name="_Ref162158471"/>
      <w:r>
        <w:t xml:space="preserve"> </w:t>
      </w:r>
      <w:r>
        <w:tab/>
      </w:r>
      <w:r>
        <w:tab/>
      </w:r>
      <w:r w:rsidR="007F7D6C" w:rsidRPr="005F29F8">
        <w:t xml:space="preserve">If the application for approval of </w:t>
      </w:r>
      <w:r w:rsidR="009C08EF" w:rsidRPr="005F29F8">
        <w:t>the restructure</w:t>
      </w:r>
      <w:r w:rsidR="007F7D6C" w:rsidRPr="005F29F8">
        <w:t xml:space="preserve"> is refused by  </w:t>
      </w:r>
      <w:r w:rsidR="00F33834" w:rsidRPr="005F29F8">
        <w:t>APRA</w:t>
      </w:r>
      <w:r w:rsidR="007F7D6C" w:rsidRPr="005F29F8">
        <w:t xml:space="preserve">, then no later than 10 days after the time for the lodging of an application for review of </w:t>
      </w:r>
      <w:r w:rsidR="00F33834" w:rsidRPr="005F29F8">
        <w:t xml:space="preserve">APRA’s </w:t>
      </w:r>
      <w:r w:rsidR="007F7D6C" w:rsidRPr="005F29F8">
        <w:t xml:space="preserve">decision by the Administrative Appeals Tribunal, the insurer must </w:t>
      </w:r>
      <w:r w:rsidR="007F7D6C" w:rsidRPr="005F29F8">
        <w:lastRenderedPageBreak/>
        <w:t>provide to at least one adult insured under each policy,  or, for a policy covering no adults, the person who pays the premium, which was proposed for transfer, a statement of:</w:t>
      </w:r>
      <w:bookmarkEnd w:id="92"/>
    </w:p>
    <w:p w14:paraId="46692E35" w14:textId="77777777" w:rsidR="007F7D6C" w:rsidRPr="005F29F8" w:rsidRDefault="007F7D6C" w:rsidP="009A1F1E">
      <w:pPr>
        <w:pStyle w:val="Style10"/>
      </w:pPr>
      <w:r w:rsidRPr="005F29F8">
        <w:t>the outcome of the application; and</w:t>
      </w:r>
    </w:p>
    <w:p w14:paraId="4C1E922D" w14:textId="77777777" w:rsidR="007F7D6C" w:rsidRPr="00B84257" w:rsidRDefault="007F7D6C" w:rsidP="009A1F1E">
      <w:pPr>
        <w:pStyle w:val="Style10"/>
      </w:pPr>
      <w:r w:rsidRPr="00B84257">
        <w:t>whether the insurer has lodged or intends to lodge an application for review with the Administrative Appeals Tribunal.</w:t>
      </w:r>
    </w:p>
    <w:p w14:paraId="4BDAA9E7" w14:textId="77777777" w:rsidR="007F7D6C" w:rsidRPr="00B84257" w:rsidRDefault="007F7D6C" w:rsidP="00946B85">
      <w:pPr>
        <w:pStyle w:val="Style9"/>
        <w:ind w:left="1134" w:hanging="567"/>
      </w:pPr>
      <w:bookmarkStart w:id="93" w:name="_Ref162672946"/>
      <w:r w:rsidRPr="00B84257">
        <w:tab/>
      </w:r>
      <w:r w:rsidR="00946B85">
        <w:t xml:space="preserve"> </w:t>
      </w:r>
      <w:r w:rsidR="00946B85">
        <w:tab/>
      </w:r>
      <w:r w:rsidRPr="00B84257">
        <w:t xml:space="preserve">If </w:t>
      </w:r>
      <w:r w:rsidRPr="00946B85">
        <w:t>the</w:t>
      </w:r>
      <w:r w:rsidRPr="00B84257">
        <w:t xml:space="preserve"> application for approval of </w:t>
      </w:r>
      <w:r w:rsidR="00E943E1" w:rsidRPr="00B84257">
        <w:t>the restructure</w:t>
      </w:r>
      <w:r w:rsidRPr="00B84257">
        <w:t xml:space="preserve"> is refused on application to the Administrative Appeals Tribunal, then no later than 10 days after the Tribunal</w:t>
      </w:r>
      <w:r w:rsidR="00EE2809" w:rsidRPr="00B84257">
        <w:t>’</w:t>
      </w:r>
      <w:r w:rsidRPr="00B84257">
        <w:t>s decision being delivered, the insurer must provide to at least one adult insured under each policy, or, for a policy covering no adults, the person who pays the premium, which was proposed for transfer, a statement of the outcome of the application.</w:t>
      </w:r>
      <w:bookmarkEnd w:id="93"/>
    </w:p>
    <w:p w14:paraId="1EB4EFCB" w14:textId="77777777" w:rsidR="00533CCD" w:rsidRDefault="00533CCD">
      <w:pPr>
        <w:spacing w:line="240" w:lineRule="auto"/>
        <w:rPr>
          <w:rStyle w:val="CharPartNo"/>
          <w:rFonts w:eastAsia="Times New Roman" w:cs="Times New Roman"/>
          <w:b/>
          <w:kern w:val="28"/>
          <w:sz w:val="32"/>
          <w:lang w:eastAsia="en-AU"/>
        </w:rPr>
      </w:pPr>
      <w:bookmarkStart w:id="94" w:name="_Toc413670986"/>
      <w:bookmarkStart w:id="95" w:name="_Toc413671445"/>
      <w:bookmarkStart w:id="96" w:name="_Toc413673019"/>
      <w:bookmarkStart w:id="97" w:name="_Toc413673444"/>
      <w:bookmarkStart w:id="98" w:name="_Ref158090529"/>
      <w:r>
        <w:rPr>
          <w:rStyle w:val="CharPartNo"/>
        </w:rPr>
        <w:br w:type="page"/>
      </w:r>
    </w:p>
    <w:p w14:paraId="1E5FEF4D" w14:textId="77777777" w:rsidR="007F7D6C" w:rsidRPr="00533CCD" w:rsidRDefault="007F7D6C" w:rsidP="00533CCD">
      <w:pPr>
        <w:pStyle w:val="ActHead2"/>
        <w:spacing w:before="0" w:after="240"/>
        <w:ind w:left="0" w:firstLine="0"/>
        <w:rPr>
          <w:rFonts w:ascii="Arial" w:hAnsi="Arial" w:cs="Arial"/>
        </w:rPr>
      </w:pPr>
      <w:r w:rsidRPr="00533CCD">
        <w:rPr>
          <w:rStyle w:val="CharPartNo"/>
          <w:rFonts w:ascii="Arial" w:hAnsi="Arial" w:cs="Arial"/>
        </w:rPr>
        <w:lastRenderedPageBreak/>
        <w:t>Part</w:t>
      </w:r>
      <w:r w:rsidR="00B84257" w:rsidRPr="00533CCD">
        <w:rPr>
          <w:rStyle w:val="CharPartNo"/>
          <w:rFonts w:ascii="Arial" w:hAnsi="Arial" w:cs="Arial"/>
        </w:rPr>
        <w:t> </w:t>
      </w:r>
      <w:r w:rsidRPr="00533CCD">
        <w:rPr>
          <w:rStyle w:val="CharPartNo"/>
          <w:rFonts w:ascii="Arial" w:hAnsi="Arial" w:cs="Arial"/>
        </w:rPr>
        <w:t>4</w:t>
      </w:r>
      <w:r w:rsidR="000A55DA" w:rsidRPr="00533CCD">
        <w:rPr>
          <w:rFonts w:ascii="Arial" w:hAnsi="Arial" w:cs="Arial"/>
        </w:rPr>
        <w:t xml:space="preserve"> – </w:t>
      </w:r>
      <w:r w:rsidRPr="00533CCD">
        <w:rPr>
          <w:rStyle w:val="CharPartText"/>
          <w:rFonts w:ascii="Arial" w:hAnsi="Arial" w:cs="Arial"/>
        </w:rPr>
        <w:t>Merger and</w:t>
      </w:r>
      <w:r w:rsidR="00533CCD">
        <w:rPr>
          <w:rStyle w:val="CharPartText"/>
          <w:rFonts w:ascii="Arial" w:hAnsi="Arial" w:cs="Arial"/>
        </w:rPr>
        <w:t xml:space="preserve"> acquisition of health benefits </w:t>
      </w:r>
      <w:r w:rsidRPr="00533CCD">
        <w:rPr>
          <w:rStyle w:val="CharPartText"/>
          <w:rFonts w:ascii="Arial" w:hAnsi="Arial" w:cs="Arial"/>
        </w:rPr>
        <w:t>funds</w:t>
      </w:r>
      <w:bookmarkEnd w:id="94"/>
      <w:bookmarkEnd w:id="95"/>
      <w:bookmarkEnd w:id="96"/>
      <w:bookmarkEnd w:id="97"/>
    </w:p>
    <w:p w14:paraId="616C2B6C" w14:textId="77777777" w:rsidR="00084265" w:rsidRPr="00B84257" w:rsidRDefault="00084265" w:rsidP="00B36939">
      <w:pPr>
        <w:pStyle w:val="ActHead5"/>
        <w:keepNext/>
        <w:numPr>
          <w:ilvl w:val="1"/>
          <w:numId w:val="29"/>
        </w:numPr>
        <w:spacing w:before="0" w:after="240" w:line="240" w:lineRule="auto"/>
        <w:ind w:left="567" w:hanging="567"/>
        <w:contextualSpacing w:val="0"/>
      </w:pPr>
      <w:bookmarkStart w:id="99" w:name="_Toc413670987"/>
      <w:bookmarkStart w:id="100" w:name="_Toc413671446"/>
      <w:bookmarkStart w:id="101" w:name="_Toc413673020"/>
      <w:bookmarkStart w:id="102" w:name="_Toc413673445"/>
      <w:bookmarkStart w:id="103" w:name="_Ref159923786"/>
      <w:r w:rsidRPr="00B84257">
        <w:t>Interpretation</w:t>
      </w:r>
      <w:bookmarkEnd w:id="99"/>
      <w:bookmarkEnd w:id="100"/>
      <w:bookmarkEnd w:id="101"/>
      <w:bookmarkEnd w:id="102"/>
    </w:p>
    <w:p w14:paraId="0DCAAEE5" w14:textId="77777777" w:rsidR="00084265" w:rsidRPr="00350926" w:rsidRDefault="00084265" w:rsidP="00350926">
      <w:pPr>
        <w:spacing w:after="240" w:line="240" w:lineRule="auto"/>
        <w:ind w:left="567"/>
        <w:rPr>
          <w:sz w:val="24"/>
          <w:szCs w:val="24"/>
        </w:rPr>
      </w:pPr>
      <w:r w:rsidRPr="00350926">
        <w:rPr>
          <w:sz w:val="24"/>
          <w:szCs w:val="24"/>
        </w:rPr>
        <w:t>In this Part:</w:t>
      </w:r>
    </w:p>
    <w:p w14:paraId="33A446CE" w14:textId="77777777" w:rsidR="00084265" w:rsidRPr="00350926" w:rsidRDefault="00084265" w:rsidP="00350926">
      <w:pPr>
        <w:pStyle w:val="Definition"/>
        <w:spacing w:before="0" w:after="240"/>
        <w:ind w:left="567"/>
        <w:rPr>
          <w:sz w:val="24"/>
          <w:szCs w:val="24"/>
        </w:rPr>
      </w:pPr>
      <w:r w:rsidRPr="00350926">
        <w:rPr>
          <w:b/>
          <w:i/>
          <w:sz w:val="24"/>
          <w:szCs w:val="24"/>
        </w:rPr>
        <w:t xml:space="preserve">financial benefit </w:t>
      </w:r>
      <w:r w:rsidRPr="00350926">
        <w:rPr>
          <w:sz w:val="24"/>
          <w:szCs w:val="24"/>
        </w:rPr>
        <w:t>includes any consideration or payment of any kind in respect of the transfer, but does not include any benefit to a policy holder, or other insured person, arising under the policy that insures the person.</w:t>
      </w:r>
    </w:p>
    <w:p w14:paraId="403D2ED8" w14:textId="77777777" w:rsidR="00084265" w:rsidRPr="00350926" w:rsidRDefault="00084265" w:rsidP="00350926">
      <w:pPr>
        <w:pStyle w:val="Definition"/>
        <w:spacing w:before="0" w:after="240"/>
        <w:ind w:left="567"/>
        <w:rPr>
          <w:sz w:val="24"/>
          <w:szCs w:val="24"/>
        </w:rPr>
      </w:pPr>
      <w:r w:rsidRPr="00350926">
        <w:rPr>
          <w:b/>
          <w:i/>
          <w:sz w:val="24"/>
          <w:szCs w:val="24"/>
        </w:rPr>
        <w:t xml:space="preserve">market value </w:t>
      </w:r>
      <w:r w:rsidRPr="00350926">
        <w:rPr>
          <w:sz w:val="24"/>
          <w:szCs w:val="24"/>
        </w:rPr>
        <w:t>means the value of the business concerned if it were disposed of to an unrelated purchaser bidding in a market on an ordinary commercial basis for business of the kind disposed of, without any sort of discount or incentive for the business being offered.</w:t>
      </w:r>
    </w:p>
    <w:p w14:paraId="063ADE6D" w14:textId="77777777" w:rsidR="00084265" w:rsidRPr="00350926" w:rsidRDefault="00084265" w:rsidP="00350926">
      <w:pPr>
        <w:pStyle w:val="Definition"/>
        <w:spacing w:before="0" w:after="240"/>
        <w:ind w:left="567"/>
        <w:rPr>
          <w:sz w:val="24"/>
          <w:szCs w:val="24"/>
        </w:rPr>
      </w:pPr>
      <w:r w:rsidRPr="00350926">
        <w:rPr>
          <w:b/>
          <w:i/>
          <w:sz w:val="24"/>
          <w:szCs w:val="24"/>
        </w:rPr>
        <w:t>not</w:t>
      </w:r>
      <w:r w:rsidR="00B84257" w:rsidRPr="00350926">
        <w:rPr>
          <w:b/>
          <w:i/>
          <w:sz w:val="24"/>
          <w:szCs w:val="24"/>
        </w:rPr>
        <w:noBreakHyphen/>
      </w:r>
      <w:r w:rsidRPr="00350926">
        <w:rPr>
          <w:b/>
          <w:i/>
          <w:sz w:val="24"/>
          <w:szCs w:val="24"/>
        </w:rPr>
        <w:t>for</w:t>
      </w:r>
      <w:r w:rsidR="00B84257" w:rsidRPr="00350926">
        <w:rPr>
          <w:b/>
          <w:i/>
          <w:sz w:val="24"/>
          <w:szCs w:val="24"/>
        </w:rPr>
        <w:noBreakHyphen/>
      </w:r>
      <w:r w:rsidRPr="00350926">
        <w:rPr>
          <w:b/>
          <w:i/>
          <w:sz w:val="24"/>
          <w:szCs w:val="24"/>
        </w:rPr>
        <w:t xml:space="preserve">profit insurer </w:t>
      </w:r>
      <w:r w:rsidRPr="00350926">
        <w:rPr>
          <w:sz w:val="24"/>
          <w:szCs w:val="24"/>
        </w:rPr>
        <w:t>means an insurer which is not registered as a for profit insurer.</w:t>
      </w:r>
    </w:p>
    <w:p w14:paraId="1B73B9CA" w14:textId="77777777" w:rsidR="007F7D6C" w:rsidRPr="00AF15FD" w:rsidRDefault="007F7D6C" w:rsidP="00350926">
      <w:pPr>
        <w:pStyle w:val="Style2"/>
      </w:pPr>
      <w:bookmarkStart w:id="104" w:name="_Toc413670988"/>
      <w:bookmarkStart w:id="105" w:name="_Toc413671447"/>
      <w:bookmarkStart w:id="106" w:name="_Toc413673021"/>
      <w:bookmarkStart w:id="107" w:name="_Toc413673446"/>
      <w:r w:rsidRPr="00AF15FD">
        <w:t>Merger and acquisition under section</w:t>
      </w:r>
      <w:r w:rsidR="00B84257" w:rsidRPr="00AF15FD">
        <w:t> </w:t>
      </w:r>
      <w:r w:rsidR="00DC7952" w:rsidRPr="00AF15FD">
        <w:t>33</w:t>
      </w:r>
      <w:r w:rsidRPr="00AF15FD">
        <w:t xml:space="preserve"> of the Act</w:t>
      </w:r>
      <w:bookmarkEnd w:id="98"/>
      <w:bookmarkEnd w:id="103"/>
      <w:bookmarkEnd w:id="104"/>
      <w:bookmarkEnd w:id="105"/>
      <w:bookmarkEnd w:id="106"/>
      <w:bookmarkEnd w:id="107"/>
    </w:p>
    <w:p w14:paraId="41AB4B15" w14:textId="77777777" w:rsidR="007B2E9B" w:rsidRPr="00880C04" w:rsidRDefault="00350926" w:rsidP="007B2E9B">
      <w:pPr>
        <w:pStyle w:val="Style9"/>
        <w:ind w:left="1134" w:hanging="567"/>
        <w:rPr>
          <w:szCs w:val="24"/>
        </w:rPr>
      </w:pPr>
      <w:bookmarkStart w:id="108" w:name="_Ref156969701"/>
      <w:r w:rsidRPr="00880C04">
        <w:rPr>
          <w:szCs w:val="24"/>
        </w:rPr>
        <w:t xml:space="preserve"> </w:t>
      </w:r>
      <w:r w:rsidRPr="00880C04">
        <w:rPr>
          <w:szCs w:val="24"/>
        </w:rPr>
        <w:tab/>
      </w:r>
      <w:r w:rsidRPr="00880C04">
        <w:rPr>
          <w:szCs w:val="24"/>
        </w:rPr>
        <w:tab/>
      </w:r>
      <w:r w:rsidR="007F7D6C" w:rsidRPr="00880C04">
        <w:rPr>
          <w:szCs w:val="24"/>
        </w:rPr>
        <w:t xml:space="preserve">If </w:t>
      </w:r>
      <w:r w:rsidR="00016CEF" w:rsidRPr="00880C04">
        <w:rPr>
          <w:szCs w:val="24"/>
        </w:rPr>
        <w:t>a private health insurer</w:t>
      </w:r>
      <w:r w:rsidR="007F7D6C" w:rsidRPr="00880C04">
        <w:rPr>
          <w:szCs w:val="24"/>
        </w:rPr>
        <w:t xml:space="preserve"> (</w:t>
      </w:r>
      <w:r w:rsidR="007F7D6C" w:rsidRPr="006867E7">
        <w:rPr>
          <w:b/>
          <w:szCs w:val="24"/>
        </w:rPr>
        <w:t>the transferee insurer</w:t>
      </w:r>
      <w:r w:rsidR="007F7D6C" w:rsidRPr="00880C04">
        <w:rPr>
          <w:szCs w:val="24"/>
        </w:rPr>
        <w:t xml:space="preserve">) and one or </w:t>
      </w:r>
      <w:r w:rsidR="00D174F9" w:rsidRPr="00880C04">
        <w:rPr>
          <w:szCs w:val="24"/>
        </w:rPr>
        <w:t>more other private health insurers</w:t>
      </w:r>
      <w:r w:rsidR="007F7D6C" w:rsidRPr="00880C04">
        <w:rPr>
          <w:szCs w:val="24"/>
        </w:rPr>
        <w:t xml:space="preserve"> (</w:t>
      </w:r>
      <w:r w:rsidR="007F7D6C" w:rsidRPr="006867E7">
        <w:rPr>
          <w:b/>
          <w:szCs w:val="24"/>
        </w:rPr>
        <w:t>the transferor insurers</w:t>
      </w:r>
      <w:r w:rsidR="007F7D6C" w:rsidRPr="00880C04">
        <w:rPr>
          <w:szCs w:val="24"/>
        </w:rPr>
        <w:t>) enter into an arrangement (the arrangement) under which some or all of the policies that are referable to a health benefits fund or funds (</w:t>
      </w:r>
      <w:r w:rsidR="007F7D6C" w:rsidRPr="006867E7">
        <w:rPr>
          <w:b/>
          <w:szCs w:val="24"/>
        </w:rPr>
        <w:t>transferring funds</w:t>
      </w:r>
      <w:r w:rsidR="007F7D6C" w:rsidRPr="00880C04">
        <w:rPr>
          <w:szCs w:val="24"/>
        </w:rPr>
        <w:t>)</w:t>
      </w:r>
      <w:r w:rsidR="001A6962" w:rsidRPr="00880C04">
        <w:rPr>
          <w:szCs w:val="24"/>
        </w:rPr>
        <w:t xml:space="preserve"> of the transferor private health insurer or transferor private health insurers</w:t>
      </w:r>
      <w:r w:rsidR="007F7D6C" w:rsidRPr="00880C04">
        <w:rPr>
          <w:szCs w:val="24"/>
        </w:rPr>
        <w:t xml:space="preserve">, are to become referable to a </w:t>
      </w:r>
      <w:r w:rsidR="007F7D6C" w:rsidRPr="00880C04">
        <w:rPr>
          <w:szCs w:val="24"/>
        </w:rPr>
        <w:lastRenderedPageBreak/>
        <w:t>health benefits fund or funds (</w:t>
      </w:r>
      <w:r w:rsidR="007F7D6C" w:rsidRPr="006867E7">
        <w:rPr>
          <w:b/>
          <w:szCs w:val="24"/>
        </w:rPr>
        <w:t>receiving funds</w:t>
      </w:r>
      <w:r w:rsidR="007F7D6C" w:rsidRPr="00880C04">
        <w:rPr>
          <w:szCs w:val="24"/>
        </w:rPr>
        <w:t>) of the transferee insurer, in accordance with section</w:t>
      </w:r>
      <w:r w:rsidR="00B84257" w:rsidRPr="00880C04">
        <w:rPr>
          <w:szCs w:val="24"/>
        </w:rPr>
        <w:t> </w:t>
      </w:r>
      <w:r w:rsidR="00DC7952" w:rsidRPr="00880C04">
        <w:rPr>
          <w:szCs w:val="24"/>
        </w:rPr>
        <w:t>33</w:t>
      </w:r>
      <w:r w:rsidR="007F7D6C" w:rsidRPr="00880C04">
        <w:rPr>
          <w:szCs w:val="24"/>
        </w:rPr>
        <w:t xml:space="preserve"> of the Act, the following rules apply.</w:t>
      </w:r>
      <w:bookmarkStart w:id="109" w:name="_Ref156888288"/>
      <w:bookmarkEnd w:id="108"/>
    </w:p>
    <w:p w14:paraId="636C3028" w14:textId="77777777" w:rsidR="00FC3941" w:rsidRPr="00880C04" w:rsidRDefault="007B2E9B" w:rsidP="00FC3941">
      <w:pPr>
        <w:pStyle w:val="Style9"/>
        <w:ind w:left="1134" w:hanging="567"/>
        <w:rPr>
          <w:szCs w:val="24"/>
        </w:rPr>
      </w:pPr>
      <w:r w:rsidRPr="00880C04">
        <w:rPr>
          <w:szCs w:val="24"/>
        </w:rPr>
        <w:t xml:space="preserve"> </w:t>
      </w:r>
      <w:r w:rsidRPr="00880C04">
        <w:rPr>
          <w:szCs w:val="24"/>
        </w:rPr>
        <w:tab/>
      </w:r>
      <w:r w:rsidRPr="00880C04">
        <w:rPr>
          <w:szCs w:val="24"/>
        </w:rPr>
        <w:tab/>
      </w:r>
      <w:r w:rsidR="007F7D6C" w:rsidRPr="00880C04">
        <w:rPr>
          <w:szCs w:val="24"/>
        </w:rPr>
        <w:t xml:space="preserve">The transferor insurer(s) and the transferee insurer must make a written and dated record of the arrangement which is signed on behalf of each party to the arrangement.  </w:t>
      </w:r>
      <w:bookmarkStart w:id="110" w:name="_Ref162330653"/>
    </w:p>
    <w:p w14:paraId="48804BF7" w14:textId="77777777" w:rsidR="007F7D6C" w:rsidRPr="00880C04" w:rsidRDefault="00FC3941" w:rsidP="00FC3941">
      <w:pPr>
        <w:pStyle w:val="Style9"/>
        <w:ind w:left="1134" w:hanging="567"/>
        <w:rPr>
          <w:szCs w:val="24"/>
        </w:rPr>
      </w:pPr>
      <w:r w:rsidRPr="00880C04">
        <w:rPr>
          <w:szCs w:val="24"/>
        </w:rPr>
        <w:t xml:space="preserve"> </w:t>
      </w:r>
      <w:r w:rsidRPr="00880C04">
        <w:rPr>
          <w:szCs w:val="24"/>
        </w:rPr>
        <w:tab/>
      </w:r>
      <w:r w:rsidRPr="00880C04">
        <w:rPr>
          <w:szCs w:val="24"/>
        </w:rPr>
        <w:tab/>
      </w:r>
      <w:r w:rsidR="007F7D6C" w:rsidRPr="00880C04">
        <w:rPr>
          <w:szCs w:val="24"/>
        </w:rPr>
        <w:t>The arrangement must do the following:</w:t>
      </w:r>
      <w:bookmarkEnd w:id="109"/>
      <w:bookmarkEnd w:id="110"/>
    </w:p>
    <w:p w14:paraId="7CEF2FF9" w14:textId="77777777" w:rsidR="00FC3941"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identify the transferring fund or funds; and</w:t>
      </w:r>
    </w:p>
    <w:p w14:paraId="7F105D36" w14:textId="77777777" w:rsidR="00FC3941"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identify the receiving fund or funds; and</w:t>
      </w:r>
    </w:p>
    <w:p w14:paraId="31D4E744" w14:textId="77777777" w:rsidR="00FC3941"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 xml:space="preserve">identify the date, or means of determining the date, on which the arrangement is to take effect, which must not be before </w:t>
      </w:r>
      <w:r w:rsidR="00F33834" w:rsidRPr="00880C04">
        <w:rPr>
          <w:sz w:val="24"/>
          <w:szCs w:val="24"/>
        </w:rPr>
        <w:t xml:space="preserve">APRA </w:t>
      </w:r>
      <w:r w:rsidRPr="00880C04">
        <w:rPr>
          <w:sz w:val="24"/>
          <w:szCs w:val="24"/>
        </w:rPr>
        <w:t xml:space="preserve">approves the arrangement in writing (the </w:t>
      </w:r>
      <w:r w:rsidRPr="00880C04">
        <w:rPr>
          <w:b/>
          <w:i/>
          <w:sz w:val="24"/>
          <w:szCs w:val="24"/>
        </w:rPr>
        <w:t>transfer date</w:t>
      </w:r>
      <w:r w:rsidRPr="00880C04">
        <w:rPr>
          <w:sz w:val="24"/>
          <w:szCs w:val="24"/>
        </w:rPr>
        <w:t>); and</w:t>
      </w:r>
      <w:bookmarkStart w:id="111" w:name="_Ref162674138"/>
    </w:p>
    <w:p w14:paraId="4FB8DEEA" w14:textId="77777777" w:rsidR="007F7D6C"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state, for each transferring fund:</w:t>
      </w:r>
      <w:bookmarkEnd w:id="111"/>
    </w:p>
    <w:p w14:paraId="024C8E3A" w14:textId="77777777" w:rsidR="007F7D6C" w:rsidRPr="00880C04" w:rsidRDefault="007F7D6C" w:rsidP="00296B35">
      <w:pPr>
        <w:pStyle w:val="Style7"/>
        <w:rPr>
          <w:sz w:val="24"/>
          <w:szCs w:val="24"/>
        </w:rPr>
      </w:pPr>
      <w:r w:rsidRPr="00880C04">
        <w:rPr>
          <w:sz w:val="24"/>
          <w:szCs w:val="24"/>
        </w:rPr>
        <w:t>whether all of the policies are to become referable to a receiving fund; and</w:t>
      </w:r>
    </w:p>
    <w:p w14:paraId="4DF90B08" w14:textId="77777777" w:rsidR="00462B59" w:rsidRPr="00880C04" w:rsidRDefault="007F7D6C" w:rsidP="00462B59">
      <w:pPr>
        <w:pStyle w:val="Style7"/>
        <w:rPr>
          <w:sz w:val="24"/>
          <w:szCs w:val="24"/>
        </w:rPr>
      </w:pPr>
      <w:r w:rsidRPr="00880C04">
        <w:rPr>
          <w:sz w:val="24"/>
          <w:szCs w:val="24"/>
        </w:rPr>
        <w:t xml:space="preserve">if not all of the policies are to become referable to a receiving fund, specify the policy group or groups for the policies which are to become referable to a receiving fund on the transfer date; and </w:t>
      </w:r>
    </w:p>
    <w:p w14:paraId="66290214" w14:textId="77777777" w:rsidR="00462B59"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if there is more than one receiving fund, specify for each receiving fund which policy group</w:t>
      </w:r>
      <w:r w:rsidR="00EE2809" w:rsidRPr="00880C04">
        <w:rPr>
          <w:sz w:val="24"/>
          <w:szCs w:val="24"/>
        </w:rPr>
        <w:t>’</w:t>
      </w:r>
      <w:r w:rsidRPr="00880C04">
        <w:rPr>
          <w:sz w:val="24"/>
          <w:szCs w:val="24"/>
        </w:rPr>
        <w:t>s or groups</w:t>
      </w:r>
      <w:r w:rsidR="00EE2809" w:rsidRPr="00880C04">
        <w:rPr>
          <w:sz w:val="24"/>
          <w:szCs w:val="24"/>
        </w:rPr>
        <w:t>’</w:t>
      </w:r>
      <w:r w:rsidRPr="00880C04">
        <w:rPr>
          <w:sz w:val="24"/>
          <w:szCs w:val="24"/>
        </w:rPr>
        <w:t xml:space="preserve"> policies are to become referable to the receiving fund on the transfer date;</w:t>
      </w:r>
    </w:p>
    <w:p w14:paraId="4E41B7BE" w14:textId="77777777" w:rsidR="00462B59"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for each receiving fund, specify the assets of, and liabilities incurred for the purposes of, a transferring fund which are to become assets of, and become treated as liabilities incurred for the purposes of, the receiving fund on the transfer date; and</w:t>
      </w:r>
      <w:bookmarkStart w:id="112" w:name="_Ref156888292"/>
      <w:bookmarkStart w:id="113" w:name="_Ref162752170"/>
      <w:bookmarkStart w:id="114" w:name="_Ref162774537"/>
    </w:p>
    <w:p w14:paraId="4A32E53D" w14:textId="77777777" w:rsidR="00462B59"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lastRenderedPageBreak/>
        <w:t>provide for carrying out the requirements under the general law for the transfer of the assets and liabilities which are to be transferred under the arrangement, including obtaining relevant third</w:t>
      </w:r>
      <w:r w:rsidR="00B84257" w:rsidRPr="00880C04">
        <w:rPr>
          <w:sz w:val="24"/>
          <w:szCs w:val="24"/>
        </w:rPr>
        <w:noBreakHyphen/>
      </w:r>
      <w:r w:rsidRPr="00880C04">
        <w:rPr>
          <w:sz w:val="24"/>
          <w:szCs w:val="24"/>
        </w:rPr>
        <w:t>party consents, novations of agreement</w:t>
      </w:r>
      <w:bookmarkEnd w:id="112"/>
      <w:r w:rsidRPr="00880C04">
        <w:rPr>
          <w:sz w:val="24"/>
          <w:szCs w:val="24"/>
        </w:rPr>
        <w:t xml:space="preserve"> and execution and lodgement of documents for execution;</w:t>
      </w:r>
      <w:bookmarkEnd w:id="113"/>
      <w:r w:rsidRPr="00880C04">
        <w:rPr>
          <w:sz w:val="24"/>
          <w:szCs w:val="24"/>
        </w:rPr>
        <w:t xml:space="preserve"> and</w:t>
      </w:r>
      <w:bookmarkEnd w:id="114"/>
    </w:p>
    <w:p w14:paraId="1D91409C" w14:textId="77777777" w:rsidR="00462B59"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 xml:space="preserve">without limiting the generality of </w:t>
      </w:r>
      <w:r w:rsidR="00B84257" w:rsidRPr="00880C04">
        <w:rPr>
          <w:sz w:val="24"/>
          <w:szCs w:val="24"/>
        </w:rPr>
        <w:t>paragraph (</w:t>
      </w:r>
      <w:r w:rsidRPr="00880C04">
        <w:rPr>
          <w:sz w:val="24"/>
          <w:szCs w:val="24"/>
        </w:rPr>
        <w:t>g), in relation to each asset the transfer of which to a transferee insurer at law requires registration and the transfer of which will not be complete in law on the transfer date, impose on the transferor insurer obligations</w:t>
      </w:r>
      <w:r w:rsidR="00255A8C" w:rsidRPr="00255A8C">
        <w:rPr>
          <w:sz w:val="24"/>
          <w:szCs w:val="24"/>
        </w:rPr>
        <w:t xml:space="preserve"> </w:t>
      </w:r>
      <w:r w:rsidRPr="00880C04">
        <w:rPr>
          <w:sz w:val="24"/>
          <w:szCs w:val="24"/>
        </w:rPr>
        <w:t>to:</w:t>
      </w:r>
    </w:p>
    <w:p w14:paraId="68686647" w14:textId="77777777" w:rsidR="00462B59" w:rsidRPr="00880C04" w:rsidRDefault="0049399F" w:rsidP="00B36939">
      <w:pPr>
        <w:pStyle w:val="ListParagraph"/>
        <w:numPr>
          <w:ilvl w:val="0"/>
          <w:numId w:val="31"/>
        </w:numPr>
        <w:spacing w:after="240" w:line="240" w:lineRule="auto"/>
        <w:ind w:left="2268" w:hanging="567"/>
        <w:contextualSpacing w:val="0"/>
        <w:rPr>
          <w:sz w:val="24"/>
          <w:szCs w:val="24"/>
        </w:rPr>
      </w:pPr>
      <w:r>
        <w:rPr>
          <w:sz w:val="24"/>
          <w:szCs w:val="24"/>
        </w:rPr>
        <w:t xml:space="preserve">provide all such assistance in obtaining registration as the </w:t>
      </w:r>
      <w:r w:rsidRPr="00880C04">
        <w:rPr>
          <w:sz w:val="24"/>
          <w:szCs w:val="24"/>
        </w:rPr>
        <w:t>transferee may reasonably require whether before or after the transfer date,</w:t>
      </w:r>
      <w:r>
        <w:rPr>
          <w:sz w:val="24"/>
          <w:szCs w:val="24"/>
        </w:rPr>
        <w:t xml:space="preserve"> including, without limitation,</w:t>
      </w:r>
      <w:r w:rsidRPr="00880C04">
        <w:rPr>
          <w:sz w:val="24"/>
          <w:szCs w:val="24"/>
        </w:rPr>
        <w:t xml:space="preserve"> </w:t>
      </w:r>
      <w:r w:rsidR="007F7D6C" w:rsidRPr="00880C04">
        <w:rPr>
          <w:sz w:val="24"/>
          <w:szCs w:val="24"/>
        </w:rPr>
        <w:t>provide assistance in responding to requisitions from a registrar of titles; and</w:t>
      </w:r>
    </w:p>
    <w:p w14:paraId="0828A82F" w14:textId="77777777" w:rsidR="00880C04" w:rsidRPr="00880C04" w:rsidRDefault="007F7D6C" w:rsidP="00B36939">
      <w:pPr>
        <w:pStyle w:val="ListParagraph"/>
        <w:numPr>
          <w:ilvl w:val="0"/>
          <w:numId w:val="31"/>
        </w:numPr>
        <w:spacing w:after="240" w:line="240" w:lineRule="auto"/>
        <w:ind w:left="2268" w:hanging="567"/>
        <w:contextualSpacing w:val="0"/>
        <w:rPr>
          <w:sz w:val="24"/>
          <w:szCs w:val="24"/>
        </w:rPr>
      </w:pPr>
      <w:r w:rsidRPr="00880C04">
        <w:rPr>
          <w:sz w:val="24"/>
          <w:szCs w:val="24"/>
        </w:rPr>
        <w:t>from the transfer date until registration of the transferee</w:t>
      </w:r>
      <w:r w:rsidR="00EE2809" w:rsidRPr="00880C04">
        <w:rPr>
          <w:sz w:val="24"/>
          <w:szCs w:val="24"/>
        </w:rPr>
        <w:t>’</w:t>
      </w:r>
      <w:r w:rsidRPr="00880C04">
        <w:rPr>
          <w:sz w:val="24"/>
          <w:szCs w:val="24"/>
        </w:rPr>
        <w:t>s title, hold the asset on trust for the transferee on the terms set out in Schedule</w:t>
      </w:r>
      <w:r w:rsidR="00B84257" w:rsidRPr="00880C04">
        <w:rPr>
          <w:sz w:val="24"/>
          <w:szCs w:val="24"/>
        </w:rPr>
        <w:t> </w:t>
      </w:r>
      <w:r w:rsidRPr="00880C04">
        <w:rPr>
          <w:sz w:val="24"/>
          <w:szCs w:val="24"/>
        </w:rPr>
        <w:t>1; and</w:t>
      </w:r>
    </w:p>
    <w:p w14:paraId="1AC8C641" w14:textId="77777777" w:rsidR="00880C04"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in relation to an asset which cannot be transferred under the general law, impose on the transferor insurer obligations to hold the asset on trust for the transferee insurer on the terms set out in Schedule</w:t>
      </w:r>
      <w:r w:rsidR="00B84257" w:rsidRPr="00880C04">
        <w:rPr>
          <w:sz w:val="24"/>
          <w:szCs w:val="24"/>
        </w:rPr>
        <w:t> </w:t>
      </w:r>
      <w:r w:rsidRPr="00880C04">
        <w:rPr>
          <w:sz w:val="24"/>
          <w:szCs w:val="24"/>
        </w:rPr>
        <w:t>1; and</w:t>
      </w:r>
    </w:p>
    <w:p w14:paraId="236A616A" w14:textId="77777777" w:rsidR="00880C04"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 xml:space="preserve">without limiting the generality of </w:t>
      </w:r>
      <w:r w:rsidR="00B84257" w:rsidRPr="00880C04">
        <w:rPr>
          <w:sz w:val="24"/>
          <w:szCs w:val="24"/>
        </w:rPr>
        <w:t>paragraph (</w:t>
      </w:r>
      <w:r w:rsidRPr="00880C04">
        <w:rPr>
          <w:sz w:val="24"/>
          <w:szCs w:val="24"/>
        </w:rPr>
        <w:t>g)  in relation to each liability, the transfer of which will not be completed on the transfer date, impose on each transferee insurer obligations to:</w:t>
      </w:r>
    </w:p>
    <w:p w14:paraId="4327E305" w14:textId="77777777" w:rsidR="00880C04" w:rsidRPr="00880C04" w:rsidRDefault="007F7D6C" w:rsidP="00B36939">
      <w:pPr>
        <w:pStyle w:val="ListParagraph"/>
        <w:numPr>
          <w:ilvl w:val="0"/>
          <w:numId w:val="32"/>
        </w:numPr>
        <w:spacing w:after="240" w:line="240" w:lineRule="auto"/>
        <w:ind w:left="2268" w:hanging="567"/>
        <w:contextualSpacing w:val="0"/>
        <w:rPr>
          <w:sz w:val="24"/>
          <w:szCs w:val="24"/>
        </w:rPr>
      </w:pPr>
      <w:r w:rsidRPr="00880C04">
        <w:rPr>
          <w:sz w:val="24"/>
          <w:szCs w:val="24"/>
        </w:rPr>
        <w:t>take all such steps as the transferor insurer may reasonably require, whether before or after the transfer date, to achieve transfer of the liability if such transfer is possible under the general law; and</w:t>
      </w:r>
    </w:p>
    <w:p w14:paraId="6C3D038A" w14:textId="77777777" w:rsidR="007F7D6C" w:rsidRPr="00880C04" w:rsidRDefault="007F7D6C" w:rsidP="00B36939">
      <w:pPr>
        <w:pStyle w:val="ListParagraph"/>
        <w:numPr>
          <w:ilvl w:val="0"/>
          <w:numId w:val="32"/>
        </w:numPr>
        <w:spacing w:after="240" w:line="240" w:lineRule="auto"/>
        <w:ind w:left="2268" w:hanging="567"/>
        <w:contextualSpacing w:val="0"/>
        <w:rPr>
          <w:sz w:val="24"/>
          <w:szCs w:val="24"/>
        </w:rPr>
      </w:pPr>
      <w:r w:rsidRPr="00880C04">
        <w:rPr>
          <w:sz w:val="24"/>
          <w:szCs w:val="24"/>
        </w:rPr>
        <w:t>indemnify the transferor insurer against any claims made on or after the transfer date which are allegedly based on the liability with the obligation to indemnify being conditional on the transferor insurer re</w:t>
      </w:r>
      <w:r w:rsidRPr="00880C04">
        <w:rPr>
          <w:sz w:val="24"/>
          <w:szCs w:val="24"/>
        </w:rPr>
        <w:lastRenderedPageBreak/>
        <w:t>sponding to the claim in such manner as the transferee insurer may reasonably require, including, without limitation, allowing the transferee insurer at its own expense to settle the claim, take over any litigation to defend the claim, or both; and</w:t>
      </w:r>
    </w:p>
    <w:p w14:paraId="7BBDC555" w14:textId="77777777" w:rsidR="007F7D6C" w:rsidRPr="00880C04" w:rsidRDefault="007F7D6C" w:rsidP="00B36939">
      <w:pPr>
        <w:pStyle w:val="ListParagraph"/>
        <w:numPr>
          <w:ilvl w:val="0"/>
          <w:numId w:val="30"/>
        </w:numPr>
        <w:spacing w:after="240" w:line="240" w:lineRule="auto"/>
        <w:ind w:left="1701" w:hanging="567"/>
        <w:contextualSpacing w:val="0"/>
        <w:rPr>
          <w:sz w:val="24"/>
          <w:szCs w:val="24"/>
        </w:rPr>
      </w:pPr>
      <w:r w:rsidRPr="00880C04">
        <w:rPr>
          <w:sz w:val="24"/>
          <w:szCs w:val="24"/>
        </w:rPr>
        <w:t xml:space="preserve">without limiting the generality of </w:t>
      </w:r>
      <w:r w:rsidR="00B84257" w:rsidRPr="00880C04">
        <w:rPr>
          <w:sz w:val="24"/>
          <w:szCs w:val="24"/>
        </w:rPr>
        <w:t>paragraph (</w:t>
      </w:r>
      <w:r w:rsidRPr="00880C04">
        <w:rPr>
          <w:sz w:val="24"/>
          <w:szCs w:val="24"/>
        </w:rPr>
        <w:t xml:space="preserve">g), provide for access for each transferee insurer to such of the business records of the transferring fund as the transferee insurer may require to act </w:t>
      </w:r>
      <w:r w:rsidR="002C468C" w:rsidRPr="00880C04">
        <w:rPr>
          <w:sz w:val="24"/>
          <w:szCs w:val="24"/>
        </w:rPr>
        <w:t>as private health insurer</w:t>
      </w:r>
      <w:r w:rsidRPr="00880C04">
        <w:rPr>
          <w:sz w:val="24"/>
          <w:szCs w:val="24"/>
        </w:rPr>
        <w:t xml:space="preserve"> for the transferred policies.</w:t>
      </w:r>
    </w:p>
    <w:p w14:paraId="3A4845FD" w14:textId="77777777" w:rsidR="007F7D6C" w:rsidRPr="00260AD2" w:rsidRDefault="00260AD2" w:rsidP="00260AD2">
      <w:pPr>
        <w:pStyle w:val="Style9"/>
        <w:ind w:left="1134" w:hanging="567"/>
      </w:pPr>
      <w:bookmarkStart w:id="115" w:name="_Ref156888244"/>
      <w:r>
        <w:t xml:space="preserve"> </w:t>
      </w:r>
      <w:r>
        <w:tab/>
      </w:r>
      <w:r>
        <w:tab/>
      </w:r>
      <w:r w:rsidR="007F7D6C" w:rsidRPr="00260AD2">
        <w:t>The specifications required by subrule (3) may be:</w:t>
      </w:r>
      <w:bookmarkEnd w:id="115"/>
    </w:p>
    <w:p w14:paraId="01B1DB59" w14:textId="77777777" w:rsidR="00260AD2" w:rsidRPr="00260AD2" w:rsidRDefault="007F7D6C" w:rsidP="00B36939">
      <w:pPr>
        <w:pStyle w:val="ListParagraph"/>
        <w:numPr>
          <w:ilvl w:val="2"/>
          <w:numId w:val="32"/>
        </w:numPr>
        <w:spacing w:after="240" w:line="240" w:lineRule="auto"/>
        <w:ind w:left="1701" w:hanging="567"/>
        <w:contextualSpacing w:val="0"/>
        <w:rPr>
          <w:sz w:val="24"/>
          <w:szCs w:val="24"/>
        </w:rPr>
      </w:pPr>
      <w:bookmarkStart w:id="116" w:name="_Ref156891331"/>
      <w:r w:rsidRPr="00260AD2">
        <w:rPr>
          <w:sz w:val="24"/>
          <w:szCs w:val="24"/>
        </w:rPr>
        <w:t>by listing particular assets or liabilities; or</w:t>
      </w:r>
      <w:bookmarkEnd w:id="116"/>
      <w:r w:rsidRPr="00260AD2">
        <w:rPr>
          <w:sz w:val="24"/>
          <w:szCs w:val="24"/>
        </w:rPr>
        <w:t xml:space="preserve"> </w:t>
      </w:r>
      <w:bookmarkStart w:id="117" w:name="_Ref156891332"/>
    </w:p>
    <w:p w14:paraId="1F38900B" w14:textId="77777777" w:rsidR="00260AD2" w:rsidRPr="00260AD2" w:rsidRDefault="007F7D6C" w:rsidP="00B36939">
      <w:pPr>
        <w:pStyle w:val="ListParagraph"/>
        <w:numPr>
          <w:ilvl w:val="2"/>
          <w:numId w:val="32"/>
        </w:numPr>
        <w:spacing w:after="240" w:line="240" w:lineRule="auto"/>
        <w:ind w:left="1701" w:hanging="567"/>
        <w:contextualSpacing w:val="0"/>
        <w:rPr>
          <w:sz w:val="24"/>
          <w:szCs w:val="24"/>
        </w:rPr>
      </w:pPr>
      <w:r w:rsidRPr="00260AD2">
        <w:rPr>
          <w:sz w:val="24"/>
          <w:szCs w:val="24"/>
        </w:rPr>
        <w:t>by reference to categories of assets or liabilities; or</w:t>
      </w:r>
      <w:bookmarkEnd w:id="117"/>
    </w:p>
    <w:p w14:paraId="57FABE01" w14:textId="77777777" w:rsidR="007F7D6C" w:rsidRPr="00260AD2" w:rsidRDefault="007F7D6C" w:rsidP="00B36939">
      <w:pPr>
        <w:pStyle w:val="ListParagraph"/>
        <w:numPr>
          <w:ilvl w:val="2"/>
          <w:numId w:val="32"/>
        </w:numPr>
        <w:spacing w:after="240" w:line="240" w:lineRule="auto"/>
        <w:ind w:left="1701" w:hanging="567"/>
        <w:contextualSpacing w:val="0"/>
        <w:rPr>
          <w:sz w:val="24"/>
          <w:szCs w:val="24"/>
        </w:rPr>
      </w:pPr>
      <w:r w:rsidRPr="00260AD2">
        <w:rPr>
          <w:sz w:val="24"/>
          <w:szCs w:val="24"/>
        </w:rPr>
        <w:t>by a combination of (a) and (b).</w:t>
      </w:r>
    </w:p>
    <w:p w14:paraId="49580C32" w14:textId="77777777" w:rsidR="00D4054E" w:rsidRPr="00260AD2" w:rsidRDefault="00260AD2" w:rsidP="00260AD2">
      <w:pPr>
        <w:pStyle w:val="Style9"/>
        <w:ind w:left="1134" w:hanging="567"/>
      </w:pPr>
      <w:bookmarkStart w:id="118" w:name="_Ref162234823"/>
      <w:bookmarkStart w:id="119" w:name="_Ref162234838"/>
      <w:bookmarkStart w:id="120" w:name="_Ref162234849"/>
      <w:r>
        <w:t xml:space="preserve"> </w:t>
      </w:r>
      <w:r>
        <w:tab/>
      </w:r>
      <w:r>
        <w:tab/>
      </w:r>
      <w:r w:rsidR="00D4054E" w:rsidRPr="00880C04">
        <w:t xml:space="preserve">If the </w:t>
      </w:r>
      <w:r w:rsidR="00D4054E" w:rsidRPr="00260AD2">
        <w:t>proposed transfer of policies involves any form of financial benefit to any person, the arrangement must state the details of the financial benefit, whether or not the person to benefit is a party to the arrangement.</w:t>
      </w:r>
      <w:bookmarkStart w:id="121" w:name="_Ref192316555"/>
      <w:bookmarkStart w:id="122" w:name="_Ref191963214"/>
    </w:p>
    <w:p w14:paraId="51D8C037" w14:textId="77777777" w:rsidR="00260AD2" w:rsidRDefault="00260AD2" w:rsidP="00260AD2">
      <w:pPr>
        <w:pStyle w:val="Style9"/>
        <w:ind w:left="1134" w:hanging="567"/>
      </w:pPr>
      <w:r>
        <w:t xml:space="preserve"> </w:t>
      </w:r>
      <w:r>
        <w:tab/>
      </w:r>
      <w:r>
        <w:tab/>
      </w:r>
      <w:r w:rsidR="00D4054E" w:rsidRPr="00260AD2">
        <w:t>If the proposed transfer of policies involves the transfer of policies referable to the health benefits fund of a not</w:t>
      </w:r>
      <w:r w:rsidR="00B84257" w:rsidRPr="00260AD2">
        <w:noBreakHyphen/>
      </w:r>
      <w:r w:rsidR="00D4054E" w:rsidRPr="00260AD2">
        <w:t>for</w:t>
      </w:r>
      <w:r w:rsidR="00B84257" w:rsidRPr="00260AD2">
        <w:noBreakHyphen/>
      </w:r>
      <w:r w:rsidR="00D4054E" w:rsidRPr="00260AD2">
        <w:t xml:space="preserve">profit insurer to the health benefits fund of a for profit insurer, and the transferor insurer has, or will have if the application is approved, any interest in the transferee insurer, the application for approval must provide a statement by an appropriately qualified person, independent of the insurers involved, certifying as to what would be the market </w:t>
      </w:r>
      <w:r w:rsidR="00D4054E" w:rsidRPr="00260AD2">
        <w:lastRenderedPageBreak/>
        <w:t>value if the transfer involved the sale of the transferor insurer's health insurance business.</w:t>
      </w:r>
      <w:bookmarkStart w:id="123" w:name="_Ref192314884"/>
      <w:bookmarkEnd w:id="121"/>
    </w:p>
    <w:p w14:paraId="0352E6F6" w14:textId="77777777" w:rsidR="00D4054E" w:rsidRPr="00260AD2" w:rsidRDefault="00260AD2" w:rsidP="00260AD2">
      <w:pPr>
        <w:pStyle w:val="Style9"/>
        <w:ind w:left="1134" w:hanging="567"/>
      </w:pPr>
      <w:r>
        <w:rPr>
          <w:szCs w:val="24"/>
        </w:rPr>
        <w:t xml:space="preserve"> </w:t>
      </w:r>
      <w:r>
        <w:rPr>
          <w:szCs w:val="24"/>
        </w:rPr>
        <w:tab/>
      </w:r>
      <w:r>
        <w:rPr>
          <w:szCs w:val="24"/>
        </w:rPr>
        <w:tab/>
      </w:r>
      <w:r w:rsidR="00D4054E" w:rsidRPr="00260AD2">
        <w:rPr>
          <w:szCs w:val="24"/>
        </w:rPr>
        <w:t xml:space="preserve">In subrule (6), </w:t>
      </w:r>
      <w:r w:rsidR="00D4054E" w:rsidRPr="00260AD2">
        <w:rPr>
          <w:b/>
          <w:i/>
          <w:szCs w:val="24"/>
        </w:rPr>
        <w:t>health insurance business</w:t>
      </w:r>
      <w:r w:rsidR="00D4054E" w:rsidRPr="00260AD2">
        <w:rPr>
          <w:szCs w:val="24"/>
        </w:rPr>
        <w:t xml:space="preserve"> means the assets and liabilities proposed to be transferred under the arrangement referred to in subrule (2).</w:t>
      </w:r>
      <w:bookmarkEnd w:id="122"/>
      <w:bookmarkEnd w:id="123"/>
    </w:p>
    <w:p w14:paraId="1E730AD7" w14:textId="77777777" w:rsidR="007F7D6C" w:rsidRPr="00B84257" w:rsidRDefault="007F7D6C" w:rsidP="008144A1">
      <w:pPr>
        <w:pStyle w:val="Style2"/>
      </w:pPr>
      <w:bookmarkStart w:id="124" w:name="_Toc413670989"/>
      <w:bookmarkStart w:id="125" w:name="_Toc413671448"/>
      <w:bookmarkStart w:id="126" w:name="_Toc413673022"/>
      <w:bookmarkStart w:id="127" w:name="_Toc413673447"/>
      <w:r w:rsidRPr="00B84257">
        <w:t>Requirements in relation to a merger or acquisition</w:t>
      </w:r>
      <w:bookmarkEnd w:id="118"/>
      <w:bookmarkEnd w:id="119"/>
      <w:bookmarkEnd w:id="120"/>
      <w:bookmarkEnd w:id="124"/>
      <w:bookmarkEnd w:id="125"/>
      <w:bookmarkEnd w:id="126"/>
      <w:bookmarkEnd w:id="127"/>
    </w:p>
    <w:p w14:paraId="3E7398AC" w14:textId="77777777" w:rsidR="007F7D6C" w:rsidRDefault="008144A1" w:rsidP="008144A1">
      <w:pPr>
        <w:pStyle w:val="Style9"/>
        <w:ind w:left="1134" w:hanging="567"/>
        <w:rPr>
          <w:szCs w:val="24"/>
        </w:rPr>
      </w:pPr>
      <w:r>
        <w:t xml:space="preserve"> </w:t>
      </w:r>
      <w:r>
        <w:tab/>
      </w:r>
      <w:r w:rsidRPr="00625BE7">
        <w:rPr>
          <w:szCs w:val="24"/>
        </w:rPr>
        <w:tab/>
      </w:r>
      <w:r w:rsidR="007F7D6C" w:rsidRPr="00625BE7">
        <w:rPr>
          <w:szCs w:val="24"/>
        </w:rPr>
        <w:t xml:space="preserve">The parties to an arrangement must submit to </w:t>
      </w:r>
      <w:r w:rsidR="00F33834" w:rsidRPr="00625BE7">
        <w:rPr>
          <w:szCs w:val="24"/>
        </w:rPr>
        <w:t xml:space="preserve">APRA </w:t>
      </w:r>
      <w:r w:rsidR="007F7D6C" w:rsidRPr="00625BE7">
        <w:rPr>
          <w:szCs w:val="24"/>
        </w:rPr>
        <w:t>with an application for approval of the arrangement:</w:t>
      </w:r>
    </w:p>
    <w:p w14:paraId="73B4E2A9" w14:textId="77777777" w:rsidR="008144A1" w:rsidRPr="00625BE7" w:rsidRDefault="007F7D6C" w:rsidP="00B36939">
      <w:pPr>
        <w:pStyle w:val="ListParagraph"/>
        <w:numPr>
          <w:ilvl w:val="2"/>
          <w:numId w:val="31"/>
        </w:numPr>
        <w:spacing w:after="240" w:line="240" w:lineRule="auto"/>
        <w:ind w:left="1701" w:hanging="567"/>
        <w:contextualSpacing w:val="0"/>
        <w:rPr>
          <w:rFonts w:cs="Times New Roman"/>
          <w:sz w:val="24"/>
          <w:szCs w:val="24"/>
        </w:rPr>
      </w:pPr>
      <w:r w:rsidRPr="00625BE7">
        <w:rPr>
          <w:rFonts w:cs="Times New Roman"/>
          <w:sz w:val="24"/>
          <w:szCs w:val="24"/>
        </w:rPr>
        <w:t>a copy of the arrangement;</w:t>
      </w:r>
      <w:bookmarkStart w:id="128" w:name="_Ref162257809"/>
    </w:p>
    <w:p w14:paraId="7D6867F9" w14:textId="77777777" w:rsidR="007F7D6C" w:rsidRPr="00625BE7" w:rsidRDefault="007F7D6C" w:rsidP="00B36939">
      <w:pPr>
        <w:pStyle w:val="ListParagraph"/>
        <w:numPr>
          <w:ilvl w:val="2"/>
          <w:numId w:val="31"/>
        </w:numPr>
        <w:spacing w:after="240" w:line="240" w:lineRule="auto"/>
        <w:ind w:left="1701" w:hanging="567"/>
        <w:contextualSpacing w:val="0"/>
        <w:rPr>
          <w:rFonts w:cs="Times New Roman"/>
          <w:sz w:val="24"/>
          <w:szCs w:val="24"/>
        </w:rPr>
      </w:pPr>
      <w:r w:rsidRPr="00625BE7">
        <w:rPr>
          <w:rFonts w:cs="Times New Roman"/>
          <w:sz w:val="24"/>
          <w:szCs w:val="24"/>
        </w:rPr>
        <w:t xml:space="preserve">a business plan (the </w:t>
      </w:r>
      <w:r w:rsidRPr="00625BE7">
        <w:rPr>
          <w:rFonts w:cs="Times New Roman"/>
          <w:b/>
          <w:i/>
          <w:sz w:val="24"/>
          <w:szCs w:val="24"/>
        </w:rPr>
        <w:t>Business Plan</w:t>
      </w:r>
      <w:r w:rsidRPr="00625BE7">
        <w:rPr>
          <w:rFonts w:cs="Times New Roman"/>
          <w:sz w:val="24"/>
          <w:szCs w:val="24"/>
        </w:rPr>
        <w:t>) for each receiving fund covering the period of the first 36 months of operation from the transfer date including the following:</w:t>
      </w:r>
      <w:bookmarkEnd w:id="128"/>
    </w:p>
    <w:p w14:paraId="2969C1F4" w14:textId="77777777" w:rsidR="004E5425" w:rsidRPr="00625BE7" w:rsidRDefault="007F7D6C" w:rsidP="00B36939">
      <w:pPr>
        <w:pStyle w:val="ListParagraph"/>
        <w:numPr>
          <w:ilvl w:val="2"/>
          <w:numId w:val="33"/>
        </w:numPr>
        <w:spacing w:after="240" w:line="240" w:lineRule="auto"/>
        <w:ind w:left="2268" w:hanging="567"/>
        <w:contextualSpacing w:val="0"/>
        <w:rPr>
          <w:rFonts w:cs="Times New Roman"/>
          <w:sz w:val="24"/>
          <w:szCs w:val="24"/>
        </w:rPr>
      </w:pPr>
      <w:r w:rsidRPr="00625BE7">
        <w:rPr>
          <w:rFonts w:cs="Times New Roman"/>
          <w:sz w:val="24"/>
          <w:szCs w:val="24"/>
        </w:rPr>
        <w:t xml:space="preserve">a statement of the liabilities incurred for the purposes of, and assets of, the fund at the transfer date; and </w:t>
      </w:r>
    </w:p>
    <w:p w14:paraId="59428947" w14:textId="77777777" w:rsidR="0009439F" w:rsidRPr="00625BE7" w:rsidRDefault="007F7D6C" w:rsidP="00B36939">
      <w:pPr>
        <w:pStyle w:val="ListParagraph"/>
        <w:numPr>
          <w:ilvl w:val="2"/>
          <w:numId w:val="33"/>
        </w:numPr>
        <w:spacing w:after="240" w:line="240" w:lineRule="auto"/>
        <w:ind w:left="2268" w:hanging="567"/>
        <w:contextualSpacing w:val="0"/>
        <w:rPr>
          <w:rFonts w:cs="Times New Roman"/>
          <w:sz w:val="24"/>
          <w:szCs w:val="24"/>
        </w:rPr>
      </w:pPr>
      <w:r w:rsidRPr="00625BE7">
        <w:rPr>
          <w:rFonts w:cs="Times New Roman"/>
          <w:sz w:val="24"/>
          <w:szCs w:val="24"/>
        </w:rPr>
        <w:t>a budget statement for the fund for each month of the period of the Business Plan, setting out in detail:</w:t>
      </w:r>
    </w:p>
    <w:p w14:paraId="68994840" w14:textId="77777777" w:rsidR="0009439F" w:rsidRPr="00625BE7" w:rsidRDefault="007F7D6C" w:rsidP="00B36939">
      <w:pPr>
        <w:pStyle w:val="ListParagraph"/>
        <w:numPr>
          <w:ilvl w:val="0"/>
          <w:numId w:val="34"/>
        </w:numPr>
        <w:spacing w:after="240" w:line="240" w:lineRule="auto"/>
        <w:ind w:left="2835" w:hanging="567"/>
        <w:contextualSpacing w:val="0"/>
        <w:rPr>
          <w:rFonts w:cs="Times New Roman"/>
          <w:sz w:val="24"/>
          <w:szCs w:val="24"/>
        </w:rPr>
      </w:pPr>
      <w:r w:rsidRPr="00625BE7">
        <w:rPr>
          <w:rFonts w:cs="Times New Roman"/>
          <w:sz w:val="24"/>
          <w:szCs w:val="24"/>
        </w:rPr>
        <w:t>the projected income and expenditure for the fund; and</w:t>
      </w:r>
    </w:p>
    <w:p w14:paraId="5B75A8D3" w14:textId="77777777" w:rsidR="0009439F" w:rsidRPr="00625BE7" w:rsidRDefault="007F7D6C" w:rsidP="00B36939">
      <w:pPr>
        <w:pStyle w:val="ListParagraph"/>
        <w:numPr>
          <w:ilvl w:val="0"/>
          <w:numId w:val="34"/>
        </w:numPr>
        <w:spacing w:after="240" w:line="240" w:lineRule="auto"/>
        <w:ind w:left="2835" w:hanging="567"/>
        <w:contextualSpacing w:val="0"/>
        <w:rPr>
          <w:rFonts w:cs="Times New Roman"/>
          <w:sz w:val="24"/>
          <w:szCs w:val="24"/>
        </w:rPr>
      </w:pPr>
      <w:r w:rsidRPr="00625BE7">
        <w:rPr>
          <w:rFonts w:cs="Times New Roman"/>
          <w:sz w:val="24"/>
          <w:szCs w:val="24"/>
        </w:rPr>
        <w:t xml:space="preserve">the projected assets and liabilities at the end of each month; and </w:t>
      </w:r>
    </w:p>
    <w:p w14:paraId="4BDA7DDE" w14:textId="77777777" w:rsidR="007F7D6C" w:rsidRPr="00625BE7" w:rsidRDefault="007F7D6C" w:rsidP="00B36939">
      <w:pPr>
        <w:pStyle w:val="ListParagraph"/>
        <w:numPr>
          <w:ilvl w:val="0"/>
          <w:numId w:val="34"/>
        </w:numPr>
        <w:spacing w:after="240" w:line="240" w:lineRule="auto"/>
        <w:ind w:left="2835" w:hanging="567"/>
        <w:contextualSpacing w:val="0"/>
        <w:rPr>
          <w:rFonts w:cs="Times New Roman"/>
          <w:sz w:val="24"/>
          <w:szCs w:val="24"/>
        </w:rPr>
      </w:pPr>
      <w:r w:rsidRPr="00625BE7">
        <w:rPr>
          <w:rFonts w:cs="Times New Roman"/>
          <w:sz w:val="24"/>
          <w:szCs w:val="24"/>
        </w:rPr>
        <w:t>the projected solvency and capital adequacy position of the fund at the end of each month; and</w:t>
      </w:r>
    </w:p>
    <w:p w14:paraId="181B97F9" w14:textId="77777777" w:rsidR="0009439F" w:rsidRPr="00625BE7" w:rsidRDefault="007F7D6C" w:rsidP="00B36939">
      <w:pPr>
        <w:pStyle w:val="ListParagraph"/>
        <w:numPr>
          <w:ilvl w:val="2"/>
          <w:numId w:val="33"/>
        </w:numPr>
        <w:spacing w:after="240" w:line="240" w:lineRule="auto"/>
        <w:ind w:left="2268" w:hanging="567"/>
        <w:contextualSpacing w:val="0"/>
        <w:rPr>
          <w:rFonts w:cs="Times New Roman"/>
          <w:sz w:val="24"/>
          <w:szCs w:val="24"/>
        </w:rPr>
      </w:pPr>
      <w:r w:rsidRPr="00625BE7">
        <w:rPr>
          <w:rFonts w:cs="Times New Roman"/>
          <w:sz w:val="24"/>
          <w:szCs w:val="24"/>
        </w:rPr>
        <w:t>the ratio that the projected amount of the management and administrative expenses in respect of the conduct of the fund bears to the estimated amount of premiums paid to that fund; and</w:t>
      </w:r>
    </w:p>
    <w:p w14:paraId="75A1FBA1" w14:textId="77777777" w:rsidR="0009439F" w:rsidRPr="00625BE7" w:rsidRDefault="007F7D6C" w:rsidP="00B36939">
      <w:pPr>
        <w:pStyle w:val="ListParagraph"/>
        <w:numPr>
          <w:ilvl w:val="2"/>
          <w:numId w:val="33"/>
        </w:numPr>
        <w:spacing w:after="240" w:line="240" w:lineRule="auto"/>
        <w:ind w:left="2268" w:hanging="567"/>
        <w:contextualSpacing w:val="0"/>
        <w:rPr>
          <w:rFonts w:cs="Times New Roman"/>
          <w:sz w:val="24"/>
          <w:szCs w:val="24"/>
        </w:rPr>
      </w:pPr>
      <w:r w:rsidRPr="00625BE7">
        <w:rPr>
          <w:rFonts w:cs="Times New Roman"/>
          <w:sz w:val="24"/>
          <w:szCs w:val="24"/>
        </w:rPr>
        <w:lastRenderedPageBreak/>
        <w:t>summary of proposed changes, if any, to the insurer</w:t>
      </w:r>
      <w:r w:rsidR="00EE2809" w:rsidRPr="00625BE7">
        <w:rPr>
          <w:rFonts w:cs="Times New Roman"/>
          <w:sz w:val="24"/>
          <w:szCs w:val="24"/>
        </w:rPr>
        <w:t>’</w:t>
      </w:r>
      <w:r w:rsidRPr="00625BE7">
        <w:rPr>
          <w:rFonts w:cs="Times New Roman"/>
          <w:sz w:val="24"/>
          <w:szCs w:val="24"/>
        </w:rPr>
        <w:t>s marketing plan including strategies and costs associated with the implementation of the arrangement and promotion of the fund; and</w:t>
      </w:r>
    </w:p>
    <w:p w14:paraId="623F36F6" w14:textId="77777777" w:rsidR="0009439F" w:rsidRPr="00625BE7" w:rsidRDefault="007F7D6C" w:rsidP="00B36939">
      <w:pPr>
        <w:pStyle w:val="ListParagraph"/>
        <w:numPr>
          <w:ilvl w:val="2"/>
          <w:numId w:val="33"/>
        </w:numPr>
        <w:spacing w:after="240" w:line="240" w:lineRule="auto"/>
        <w:ind w:left="2268" w:hanging="567"/>
        <w:contextualSpacing w:val="0"/>
        <w:rPr>
          <w:rFonts w:cs="Times New Roman"/>
          <w:sz w:val="24"/>
          <w:szCs w:val="24"/>
        </w:rPr>
      </w:pPr>
      <w:r w:rsidRPr="00625BE7">
        <w:rPr>
          <w:rFonts w:cs="Times New Roman"/>
          <w:sz w:val="24"/>
          <w:szCs w:val="24"/>
        </w:rPr>
        <w:t>the estimated number of policy holders of the fund at the end of each month; and</w:t>
      </w:r>
    </w:p>
    <w:p w14:paraId="2E2C75BA" w14:textId="77777777" w:rsidR="0009439F" w:rsidRPr="00625BE7" w:rsidRDefault="007F7D6C" w:rsidP="00B36939">
      <w:pPr>
        <w:pStyle w:val="ListParagraph"/>
        <w:numPr>
          <w:ilvl w:val="2"/>
          <w:numId w:val="33"/>
        </w:numPr>
        <w:spacing w:after="240" w:line="240" w:lineRule="auto"/>
        <w:ind w:left="2268" w:hanging="567"/>
        <w:contextualSpacing w:val="0"/>
        <w:rPr>
          <w:rFonts w:cs="Times New Roman"/>
          <w:sz w:val="24"/>
          <w:szCs w:val="24"/>
        </w:rPr>
      </w:pPr>
      <w:r w:rsidRPr="00625BE7">
        <w:rPr>
          <w:rFonts w:cs="Times New Roman"/>
          <w:sz w:val="24"/>
          <w:szCs w:val="24"/>
        </w:rPr>
        <w:t>summary of any proposed changes to the insurer</w:t>
      </w:r>
      <w:r w:rsidR="00EE2809" w:rsidRPr="00625BE7">
        <w:rPr>
          <w:rFonts w:cs="Times New Roman"/>
          <w:sz w:val="24"/>
          <w:szCs w:val="24"/>
        </w:rPr>
        <w:t>’</w:t>
      </w:r>
      <w:r w:rsidRPr="00625BE7">
        <w:rPr>
          <w:rFonts w:cs="Times New Roman"/>
          <w:sz w:val="24"/>
          <w:szCs w:val="24"/>
        </w:rPr>
        <w:t xml:space="preserve">s contractual procedures and arrangements with health service providers and other service providers; and </w:t>
      </w:r>
    </w:p>
    <w:p w14:paraId="7AAD2BCC" w14:textId="77777777" w:rsidR="007F7D6C" w:rsidRPr="00625BE7" w:rsidRDefault="007F7D6C" w:rsidP="00B36939">
      <w:pPr>
        <w:pStyle w:val="ListParagraph"/>
        <w:numPr>
          <w:ilvl w:val="2"/>
          <w:numId w:val="33"/>
        </w:numPr>
        <w:spacing w:after="240" w:line="240" w:lineRule="auto"/>
        <w:ind w:left="2268" w:hanging="567"/>
        <w:contextualSpacing w:val="0"/>
        <w:rPr>
          <w:rFonts w:cs="Times New Roman"/>
          <w:sz w:val="24"/>
          <w:szCs w:val="24"/>
        </w:rPr>
      </w:pPr>
      <w:r w:rsidRPr="00625BE7">
        <w:rPr>
          <w:rFonts w:cs="Times New Roman"/>
          <w:sz w:val="24"/>
          <w:szCs w:val="24"/>
        </w:rPr>
        <w:t>summary of any proposed changes to benefits and premiums; and</w:t>
      </w:r>
    </w:p>
    <w:p w14:paraId="60761909" w14:textId="77777777" w:rsidR="007F7D6C" w:rsidRPr="00625BE7" w:rsidRDefault="007F7D6C" w:rsidP="00B36939">
      <w:pPr>
        <w:pStyle w:val="ListParagraph"/>
        <w:numPr>
          <w:ilvl w:val="2"/>
          <w:numId w:val="31"/>
        </w:numPr>
        <w:spacing w:after="240" w:line="240" w:lineRule="auto"/>
        <w:ind w:left="1701" w:hanging="567"/>
        <w:contextualSpacing w:val="0"/>
        <w:rPr>
          <w:rFonts w:cs="Times New Roman"/>
          <w:sz w:val="24"/>
          <w:szCs w:val="24"/>
        </w:rPr>
      </w:pPr>
      <w:r w:rsidRPr="00625BE7">
        <w:rPr>
          <w:rFonts w:cs="Times New Roman"/>
          <w:sz w:val="24"/>
          <w:szCs w:val="24"/>
        </w:rPr>
        <w:t xml:space="preserve">for each receiving fund, a statement by an officer for the transferee insurer (the </w:t>
      </w:r>
      <w:r w:rsidRPr="00625BE7">
        <w:rPr>
          <w:rFonts w:cs="Times New Roman"/>
          <w:b/>
          <w:i/>
          <w:sz w:val="24"/>
          <w:szCs w:val="24"/>
        </w:rPr>
        <w:t>certification of compliance</w:t>
      </w:r>
      <w:r w:rsidRPr="00625BE7">
        <w:rPr>
          <w:rFonts w:cs="Times New Roman"/>
          <w:sz w:val="24"/>
          <w:szCs w:val="24"/>
        </w:rPr>
        <w:t>) confirming that the board, or other governing body, of the insurer has considered the arrangement and is of the view that the arrangement meets, and the operation of the receiving fund from the transfer date in accordance with the arrangement will meet, the requirements of:</w:t>
      </w:r>
    </w:p>
    <w:p w14:paraId="2DAB45B6" w14:textId="77777777" w:rsidR="0009439F" w:rsidRPr="00625BE7" w:rsidRDefault="0009439F" w:rsidP="00B36939">
      <w:pPr>
        <w:pStyle w:val="ListParagraph"/>
        <w:numPr>
          <w:ilvl w:val="0"/>
          <w:numId w:val="35"/>
        </w:numPr>
        <w:spacing w:after="240" w:line="240" w:lineRule="auto"/>
        <w:ind w:left="2268" w:hanging="567"/>
        <w:contextualSpacing w:val="0"/>
        <w:rPr>
          <w:rFonts w:cs="Times New Roman"/>
          <w:sz w:val="24"/>
          <w:szCs w:val="24"/>
        </w:rPr>
      </w:pPr>
      <w:r w:rsidRPr="00625BE7">
        <w:rPr>
          <w:rFonts w:cs="Times New Roman"/>
          <w:sz w:val="24"/>
          <w:szCs w:val="24"/>
        </w:rPr>
        <w:t>the Act and the PHI Act; and</w:t>
      </w:r>
    </w:p>
    <w:p w14:paraId="1E9E2FFC" w14:textId="77777777" w:rsidR="007F7D6C" w:rsidRPr="00625BE7" w:rsidRDefault="007F7D6C" w:rsidP="00B36939">
      <w:pPr>
        <w:pStyle w:val="ListParagraph"/>
        <w:numPr>
          <w:ilvl w:val="0"/>
          <w:numId w:val="35"/>
        </w:numPr>
        <w:spacing w:after="240" w:line="240" w:lineRule="auto"/>
        <w:ind w:left="2268" w:hanging="567"/>
        <w:contextualSpacing w:val="0"/>
        <w:rPr>
          <w:rFonts w:cs="Times New Roman"/>
          <w:sz w:val="24"/>
          <w:szCs w:val="24"/>
        </w:rPr>
      </w:pPr>
      <w:r w:rsidRPr="00625BE7">
        <w:rPr>
          <w:rFonts w:cs="Times New Roman"/>
          <w:sz w:val="24"/>
          <w:szCs w:val="24"/>
        </w:rPr>
        <w:t>any Regulations; and</w:t>
      </w:r>
    </w:p>
    <w:p w14:paraId="35A39A5C" w14:textId="77777777" w:rsidR="007F7D6C" w:rsidRPr="00625BE7" w:rsidRDefault="007F7D6C" w:rsidP="00B36939">
      <w:pPr>
        <w:pStyle w:val="ListParagraph"/>
        <w:numPr>
          <w:ilvl w:val="0"/>
          <w:numId w:val="35"/>
        </w:numPr>
        <w:spacing w:after="240" w:line="240" w:lineRule="auto"/>
        <w:ind w:left="2268" w:hanging="567"/>
        <w:contextualSpacing w:val="0"/>
        <w:rPr>
          <w:rFonts w:cs="Times New Roman"/>
          <w:sz w:val="24"/>
          <w:szCs w:val="24"/>
        </w:rPr>
      </w:pPr>
      <w:r w:rsidRPr="00625BE7">
        <w:rPr>
          <w:rFonts w:cs="Times New Roman"/>
          <w:sz w:val="24"/>
          <w:szCs w:val="24"/>
        </w:rPr>
        <w:t>the Rules</w:t>
      </w:r>
      <w:r w:rsidR="00797B01" w:rsidRPr="00625BE7">
        <w:rPr>
          <w:rFonts w:cs="Times New Roman"/>
          <w:sz w:val="24"/>
          <w:szCs w:val="24"/>
        </w:rPr>
        <w:t xml:space="preserve"> made under the Act and the PHI Act</w:t>
      </w:r>
      <w:r w:rsidRPr="00625BE7">
        <w:rPr>
          <w:rFonts w:cs="Times New Roman"/>
          <w:sz w:val="24"/>
          <w:szCs w:val="24"/>
        </w:rPr>
        <w:t>; and</w:t>
      </w:r>
    </w:p>
    <w:p w14:paraId="60657DA8" w14:textId="77777777" w:rsidR="007F7D6C" w:rsidRDefault="007F7D6C" w:rsidP="00B36939">
      <w:pPr>
        <w:pStyle w:val="ListParagraph"/>
        <w:numPr>
          <w:ilvl w:val="2"/>
          <w:numId w:val="31"/>
        </w:numPr>
        <w:spacing w:after="240" w:line="240" w:lineRule="auto"/>
        <w:ind w:left="1701" w:hanging="567"/>
        <w:contextualSpacing w:val="0"/>
        <w:rPr>
          <w:rFonts w:cs="Times New Roman"/>
          <w:sz w:val="24"/>
          <w:szCs w:val="24"/>
        </w:rPr>
      </w:pPr>
      <w:r w:rsidRPr="00625BE7">
        <w:rPr>
          <w:rFonts w:cs="Times New Roman"/>
          <w:sz w:val="24"/>
          <w:szCs w:val="24"/>
        </w:rPr>
        <w:t>for each receiving fund, a report from the transferee insurer</w:t>
      </w:r>
      <w:r w:rsidR="00EE2809" w:rsidRPr="00625BE7">
        <w:rPr>
          <w:rFonts w:cs="Times New Roman"/>
          <w:sz w:val="24"/>
          <w:szCs w:val="24"/>
        </w:rPr>
        <w:t>’</w:t>
      </w:r>
      <w:r w:rsidRPr="00625BE7">
        <w:rPr>
          <w:rFonts w:cs="Times New Roman"/>
          <w:sz w:val="24"/>
          <w:szCs w:val="24"/>
        </w:rPr>
        <w:t xml:space="preserve">s appointed actuary (the </w:t>
      </w:r>
      <w:r w:rsidRPr="00625BE7">
        <w:rPr>
          <w:rFonts w:cs="Times New Roman"/>
          <w:b/>
          <w:i/>
          <w:sz w:val="24"/>
          <w:szCs w:val="24"/>
        </w:rPr>
        <w:t>actuary</w:t>
      </w:r>
      <w:r w:rsidR="00EE2809" w:rsidRPr="00625BE7">
        <w:rPr>
          <w:rFonts w:cs="Times New Roman"/>
          <w:b/>
          <w:i/>
          <w:sz w:val="24"/>
          <w:szCs w:val="24"/>
        </w:rPr>
        <w:t>’</w:t>
      </w:r>
      <w:r w:rsidRPr="00625BE7">
        <w:rPr>
          <w:rFonts w:cs="Times New Roman"/>
          <w:b/>
          <w:i/>
          <w:sz w:val="24"/>
          <w:szCs w:val="24"/>
        </w:rPr>
        <w:t>s report</w:t>
      </w:r>
      <w:r w:rsidRPr="00625BE7">
        <w:rPr>
          <w:rFonts w:cs="Times New Roman"/>
          <w:sz w:val="24"/>
          <w:szCs w:val="24"/>
        </w:rPr>
        <w:t>) which provides the opinion of the actuary:</w:t>
      </w:r>
    </w:p>
    <w:p w14:paraId="309285C0" w14:textId="77777777" w:rsidR="0063085D" w:rsidRPr="00625BE7" w:rsidRDefault="007F7D6C" w:rsidP="00B36939">
      <w:pPr>
        <w:pStyle w:val="ListParagraph"/>
        <w:numPr>
          <w:ilvl w:val="0"/>
          <w:numId w:val="36"/>
        </w:numPr>
        <w:spacing w:after="240" w:line="240" w:lineRule="auto"/>
        <w:ind w:left="2268" w:hanging="567"/>
        <w:contextualSpacing w:val="0"/>
        <w:rPr>
          <w:rFonts w:cs="Times New Roman"/>
          <w:sz w:val="24"/>
          <w:szCs w:val="24"/>
        </w:rPr>
      </w:pPr>
      <w:r w:rsidRPr="00625BE7">
        <w:rPr>
          <w:rFonts w:cs="Times New Roman"/>
          <w:sz w:val="24"/>
          <w:szCs w:val="24"/>
        </w:rPr>
        <w:t xml:space="preserve">that the aspects of the Business Plan which provide the information required in </w:t>
      </w:r>
      <w:r w:rsidR="00B84257" w:rsidRPr="00625BE7">
        <w:rPr>
          <w:rFonts w:cs="Times New Roman"/>
          <w:sz w:val="24"/>
          <w:szCs w:val="24"/>
        </w:rPr>
        <w:t>paragraph (</w:t>
      </w:r>
      <w:r w:rsidRPr="00625BE7">
        <w:rPr>
          <w:rFonts w:cs="Times New Roman"/>
          <w:sz w:val="24"/>
          <w:szCs w:val="24"/>
        </w:rPr>
        <w:t>b) are well</w:t>
      </w:r>
      <w:r w:rsidR="00B84257" w:rsidRPr="00625BE7">
        <w:rPr>
          <w:rFonts w:cs="Times New Roman"/>
          <w:sz w:val="24"/>
          <w:szCs w:val="24"/>
        </w:rPr>
        <w:noBreakHyphen/>
      </w:r>
      <w:r w:rsidRPr="00625BE7">
        <w:rPr>
          <w:rFonts w:cs="Times New Roman"/>
          <w:sz w:val="24"/>
          <w:szCs w:val="24"/>
        </w:rPr>
        <w:t>founded; and</w:t>
      </w:r>
    </w:p>
    <w:p w14:paraId="0021E9ED" w14:textId="77777777" w:rsidR="007F7D6C" w:rsidRPr="00625BE7" w:rsidRDefault="007F7D6C" w:rsidP="00B36939">
      <w:pPr>
        <w:pStyle w:val="ListParagraph"/>
        <w:numPr>
          <w:ilvl w:val="0"/>
          <w:numId w:val="36"/>
        </w:numPr>
        <w:spacing w:after="240" w:line="240" w:lineRule="auto"/>
        <w:ind w:left="2268" w:hanging="567"/>
        <w:contextualSpacing w:val="0"/>
        <w:rPr>
          <w:rFonts w:cs="Times New Roman"/>
          <w:sz w:val="24"/>
          <w:szCs w:val="24"/>
        </w:rPr>
      </w:pPr>
      <w:r w:rsidRPr="00625BE7">
        <w:rPr>
          <w:rFonts w:cs="Times New Roman"/>
          <w:sz w:val="24"/>
          <w:szCs w:val="24"/>
        </w:rPr>
        <w:t>that the assets and liabilities that would be transferred to the receiving fund or funds represent a reasonable estimate of what would be, immediately before the arrangement takes effect:</w:t>
      </w:r>
    </w:p>
    <w:p w14:paraId="3017CE0A" w14:textId="77777777" w:rsidR="007F7D6C" w:rsidRPr="00625BE7" w:rsidRDefault="007F7D6C" w:rsidP="00B36939">
      <w:pPr>
        <w:pStyle w:val="ListParagraph"/>
        <w:numPr>
          <w:ilvl w:val="0"/>
          <w:numId w:val="37"/>
        </w:numPr>
        <w:spacing w:after="240" w:line="240" w:lineRule="auto"/>
        <w:ind w:left="2835" w:hanging="567"/>
        <w:contextualSpacing w:val="0"/>
        <w:rPr>
          <w:rFonts w:cs="Times New Roman"/>
          <w:sz w:val="24"/>
          <w:szCs w:val="24"/>
        </w:rPr>
      </w:pPr>
      <w:r w:rsidRPr="00625BE7">
        <w:rPr>
          <w:rFonts w:cs="Times New Roman"/>
          <w:sz w:val="24"/>
          <w:szCs w:val="24"/>
        </w:rPr>
        <w:lastRenderedPageBreak/>
        <w:t>if there is one transferring fund</w:t>
      </w:r>
      <w:r w:rsidR="00125A0B" w:rsidRPr="00625BE7">
        <w:rPr>
          <w:rFonts w:cs="Times New Roman"/>
          <w:sz w:val="24"/>
          <w:szCs w:val="24"/>
        </w:rPr>
        <w:t>—</w:t>
      </w:r>
      <w:r w:rsidRPr="00625BE7">
        <w:rPr>
          <w:rFonts w:cs="Times New Roman"/>
          <w:sz w:val="24"/>
          <w:szCs w:val="24"/>
        </w:rPr>
        <w:t>the net asset position of the transferring funds; and</w:t>
      </w:r>
    </w:p>
    <w:p w14:paraId="1C481E2B" w14:textId="77777777" w:rsidR="007F7D6C" w:rsidRPr="00EC3E18" w:rsidRDefault="007F7D6C" w:rsidP="00B36939">
      <w:pPr>
        <w:pStyle w:val="ListParagraph"/>
        <w:numPr>
          <w:ilvl w:val="0"/>
          <w:numId w:val="37"/>
        </w:numPr>
        <w:spacing w:after="240" w:line="240" w:lineRule="auto"/>
        <w:ind w:left="2835" w:hanging="567"/>
        <w:contextualSpacing w:val="0"/>
        <w:rPr>
          <w:rFonts w:cs="Times New Roman"/>
          <w:sz w:val="24"/>
          <w:szCs w:val="24"/>
        </w:rPr>
      </w:pPr>
      <w:r w:rsidRPr="00EC3E18">
        <w:rPr>
          <w:rFonts w:cs="Times New Roman"/>
          <w:sz w:val="24"/>
          <w:szCs w:val="24"/>
        </w:rPr>
        <w:t>if there is more than one transferring fund</w:t>
      </w:r>
      <w:r w:rsidR="00125A0B" w:rsidRPr="00EC3E18">
        <w:rPr>
          <w:rFonts w:cs="Times New Roman"/>
          <w:sz w:val="24"/>
          <w:szCs w:val="24"/>
        </w:rPr>
        <w:t>—</w:t>
      </w:r>
      <w:r w:rsidRPr="00EC3E18">
        <w:rPr>
          <w:rFonts w:cs="Times New Roman"/>
          <w:sz w:val="24"/>
          <w:szCs w:val="24"/>
        </w:rPr>
        <w:t>the sum of the net asset positions of each of the funds;</w:t>
      </w:r>
    </w:p>
    <w:p w14:paraId="15BA12E4" w14:textId="77777777" w:rsidR="007F7D6C" w:rsidRPr="00EC3E18" w:rsidRDefault="007F7D6C" w:rsidP="00B36939">
      <w:pPr>
        <w:pStyle w:val="ListParagraph"/>
        <w:numPr>
          <w:ilvl w:val="0"/>
          <w:numId w:val="36"/>
        </w:numPr>
        <w:spacing w:after="240" w:line="240" w:lineRule="auto"/>
        <w:ind w:left="2268" w:hanging="567"/>
        <w:contextualSpacing w:val="0"/>
        <w:rPr>
          <w:rFonts w:cs="Times New Roman"/>
          <w:sz w:val="24"/>
          <w:szCs w:val="24"/>
        </w:rPr>
      </w:pPr>
      <w:r w:rsidRPr="00EC3E18">
        <w:rPr>
          <w:rFonts w:cs="Times New Roman"/>
          <w:sz w:val="24"/>
          <w:szCs w:val="24"/>
        </w:rPr>
        <w:t>about how the arrangement will affect the ability of the insurer to comply with:</w:t>
      </w:r>
    </w:p>
    <w:p w14:paraId="1E73824E" w14:textId="77777777" w:rsidR="007F7D6C" w:rsidRPr="00EC3E18" w:rsidRDefault="007F7D6C" w:rsidP="00B36939">
      <w:pPr>
        <w:pStyle w:val="ListParagraph"/>
        <w:numPr>
          <w:ilvl w:val="0"/>
          <w:numId w:val="38"/>
        </w:numPr>
        <w:spacing w:after="240"/>
        <w:ind w:left="2835" w:hanging="567"/>
        <w:contextualSpacing w:val="0"/>
        <w:rPr>
          <w:rFonts w:cs="Times New Roman"/>
          <w:sz w:val="24"/>
          <w:szCs w:val="24"/>
        </w:rPr>
      </w:pPr>
      <w:r w:rsidRPr="00EC3E18">
        <w:rPr>
          <w:rFonts w:cs="Times New Roman"/>
          <w:sz w:val="24"/>
          <w:szCs w:val="24"/>
        </w:rPr>
        <w:t>the solvency standard; and</w:t>
      </w:r>
    </w:p>
    <w:p w14:paraId="505ABD22" w14:textId="77777777" w:rsidR="00F140F2" w:rsidRPr="00EC3E18" w:rsidRDefault="007F7D6C" w:rsidP="00B36939">
      <w:pPr>
        <w:pStyle w:val="ListParagraph"/>
        <w:numPr>
          <w:ilvl w:val="0"/>
          <w:numId w:val="38"/>
        </w:numPr>
        <w:spacing w:after="240"/>
        <w:ind w:left="2835" w:hanging="567"/>
        <w:contextualSpacing w:val="0"/>
        <w:rPr>
          <w:rFonts w:cs="Times New Roman"/>
          <w:sz w:val="24"/>
          <w:szCs w:val="24"/>
        </w:rPr>
      </w:pPr>
      <w:r w:rsidRPr="00EC3E18">
        <w:rPr>
          <w:rFonts w:cs="Times New Roman"/>
          <w:sz w:val="24"/>
          <w:szCs w:val="24"/>
        </w:rPr>
        <w:t>the capital adequacy standard,</w:t>
      </w:r>
    </w:p>
    <w:p w14:paraId="4416902D" w14:textId="77777777" w:rsidR="00F140F2" w:rsidRPr="00EC3E18" w:rsidRDefault="00F140F2" w:rsidP="00F140F2">
      <w:pPr>
        <w:spacing w:after="240"/>
        <w:ind w:left="2268"/>
        <w:rPr>
          <w:rFonts w:cs="Times New Roman"/>
          <w:sz w:val="24"/>
          <w:szCs w:val="24"/>
        </w:rPr>
      </w:pPr>
      <w:r w:rsidRPr="00EC3E18">
        <w:rPr>
          <w:rFonts w:cs="Times New Roman"/>
          <w:sz w:val="24"/>
          <w:szCs w:val="24"/>
        </w:rPr>
        <w:t>in relation to each of the relevant funds of the insurer at each of the following times:</w:t>
      </w:r>
    </w:p>
    <w:p w14:paraId="30A5EB7C" w14:textId="77777777" w:rsidR="00F140F2" w:rsidRPr="00EC3E18" w:rsidRDefault="007F7D6C" w:rsidP="00B36939">
      <w:pPr>
        <w:pStyle w:val="ListParagraph"/>
        <w:numPr>
          <w:ilvl w:val="0"/>
          <w:numId w:val="38"/>
        </w:numPr>
        <w:spacing w:after="240"/>
        <w:ind w:left="2835" w:hanging="567"/>
        <w:contextualSpacing w:val="0"/>
        <w:rPr>
          <w:rFonts w:cs="Times New Roman"/>
          <w:sz w:val="24"/>
          <w:szCs w:val="24"/>
        </w:rPr>
      </w:pPr>
      <w:r w:rsidRPr="00EC3E18">
        <w:rPr>
          <w:rFonts w:cs="Times New Roman"/>
          <w:sz w:val="24"/>
          <w:szCs w:val="24"/>
        </w:rPr>
        <w:t>the transfer date; and</w:t>
      </w:r>
    </w:p>
    <w:p w14:paraId="6847C56B" w14:textId="77777777" w:rsidR="00F140F2" w:rsidRPr="00EC3E18" w:rsidRDefault="007F7D6C" w:rsidP="00B36939">
      <w:pPr>
        <w:pStyle w:val="ListParagraph"/>
        <w:numPr>
          <w:ilvl w:val="0"/>
          <w:numId w:val="38"/>
        </w:numPr>
        <w:spacing w:after="240"/>
        <w:ind w:left="2835" w:hanging="567"/>
        <w:contextualSpacing w:val="0"/>
        <w:rPr>
          <w:rFonts w:cs="Times New Roman"/>
          <w:sz w:val="24"/>
          <w:szCs w:val="24"/>
        </w:rPr>
      </w:pPr>
      <w:r w:rsidRPr="00EC3E18">
        <w:rPr>
          <w:rFonts w:cs="Times New Roman"/>
          <w:sz w:val="24"/>
          <w:szCs w:val="24"/>
        </w:rPr>
        <w:t>any time over the first 36 months after the transfer date; and</w:t>
      </w:r>
    </w:p>
    <w:p w14:paraId="246D7DC1" w14:textId="77777777" w:rsidR="007F7D6C" w:rsidRPr="00EC3E18" w:rsidRDefault="007F7D6C" w:rsidP="00B36939">
      <w:pPr>
        <w:pStyle w:val="ListParagraph"/>
        <w:numPr>
          <w:ilvl w:val="0"/>
          <w:numId w:val="38"/>
        </w:numPr>
        <w:spacing w:after="240"/>
        <w:ind w:left="2835" w:hanging="567"/>
        <w:contextualSpacing w:val="0"/>
        <w:rPr>
          <w:rFonts w:cs="Times New Roman"/>
          <w:sz w:val="24"/>
          <w:szCs w:val="24"/>
        </w:rPr>
      </w:pPr>
      <w:r w:rsidRPr="00EC3E18">
        <w:rPr>
          <w:rFonts w:cs="Times New Roman"/>
          <w:sz w:val="24"/>
          <w:szCs w:val="24"/>
        </w:rPr>
        <w:t>any time within the foreseeable future of operation of the funds beyond 36 months after the transfer date; and</w:t>
      </w:r>
    </w:p>
    <w:p w14:paraId="177E0D76" w14:textId="77777777" w:rsidR="007F7D6C" w:rsidRPr="00EC3E18" w:rsidRDefault="007F7D6C" w:rsidP="00B36939">
      <w:pPr>
        <w:pStyle w:val="ListParagraph"/>
        <w:numPr>
          <w:ilvl w:val="0"/>
          <w:numId w:val="36"/>
        </w:numPr>
        <w:spacing w:after="240" w:line="240" w:lineRule="auto"/>
        <w:ind w:left="2268" w:hanging="567"/>
        <w:contextualSpacing w:val="0"/>
        <w:rPr>
          <w:rFonts w:cs="Times New Roman"/>
          <w:sz w:val="24"/>
          <w:szCs w:val="24"/>
        </w:rPr>
      </w:pPr>
      <w:r w:rsidRPr="00EC3E18">
        <w:rPr>
          <w:sz w:val="24"/>
          <w:szCs w:val="24"/>
        </w:rPr>
        <w:t>about what effects the arrangement is likely to have on the premiums for, and benefits under:</w:t>
      </w:r>
    </w:p>
    <w:p w14:paraId="59D7321F" w14:textId="77777777" w:rsidR="007F7D6C" w:rsidRPr="00EC3E18" w:rsidRDefault="007F7D6C" w:rsidP="00B36939">
      <w:pPr>
        <w:pStyle w:val="ListParagraph"/>
        <w:numPr>
          <w:ilvl w:val="0"/>
          <w:numId w:val="39"/>
        </w:numPr>
        <w:spacing w:after="240" w:line="240" w:lineRule="auto"/>
        <w:ind w:left="2835" w:hanging="567"/>
        <w:contextualSpacing w:val="0"/>
        <w:rPr>
          <w:sz w:val="24"/>
          <w:szCs w:val="24"/>
        </w:rPr>
      </w:pPr>
      <w:r w:rsidRPr="00EC3E18">
        <w:rPr>
          <w:sz w:val="24"/>
          <w:szCs w:val="24"/>
        </w:rPr>
        <w:t>each policy group of the policies which are referable to the transferring fund immediately before the restructure; and</w:t>
      </w:r>
    </w:p>
    <w:p w14:paraId="2FAAA954" w14:textId="77777777" w:rsidR="003F16BC" w:rsidRPr="00EC3E18" w:rsidRDefault="007F7D6C" w:rsidP="00B36939">
      <w:pPr>
        <w:pStyle w:val="ListParagraph"/>
        <w:numPr>
          <w:ilvl w:val="0"/>
          <w:numId w:val="39"/>
        </w:numPr>
        <w:spacing w:after="240" w:line="240" w:lineRule="auto"/>
        <w:ind w:left="2835" w:hanging="567"/>
        <w:contextualSpacing w:val="0"/>
        <w:rPr>
          <w:sz w:val="24"/>
          <w:szCs w:val="24"/>
        </w:rPr>
      </w:pPr>
      <w:r w:rsidRPr="00EC3E18">
        <w:rPr>
          <w:sz w:val="24"/>
          <w:szCs w:val="24"/>
        </w:rPr>
        <w:t>each policy group of the policies which are referable to a receiving fund immediately before the restructure,</w:t>
      </w:r>
    </w:p>
    <w:p w14:paraId="412EBBBB" w14:textId="77777777" w:rsidR="003F16BC" w:rsidRPr="002C4025" w:rsidRDefault="007F7D6C" w:rsidP="003F16BC">
      <w:pPr>
        <w:spacing w:after="240" w:line="240" w:lineRule="auto"/>
        <w:ind w:left="2268"/>
        <w:rPr>
          <w:sz w:val="24"/>
          <w:szCs w:val="24"/>
        </w:rPr>
      </w:pPr>
      <w:r w:rsidRPr="002C4025">
        <w:rPr>
          <w:rFonts w:cs="Times New Roman"/>
          <w:sz w:val="24"/>
          <w:szCs w:val="24"/>
        </w:rPr>
        <w:t>at each of the following times:</w:t>
      </w:r>
    </w:p>
    <w:p w14:paraId="38E4C1F6" w14:textId="77777777" w:rsidR="003F16BC" w:rsidRPr="002C4025" w:rsidRDefault="007F7D6C" w:rsidP="00B36939">
      <w:pPr>
        <w:pStyle w:val="ListParagraph"/>
        <w:numPr>
          <w:ilvl w:val="0"/>
          <w:numId w:val="39"/>
        </w:numPr>
        <w:spacing w:after="240" w:line="240" w:lineRule="auto"/>
        <w:ind w:left="2835" w:hanging="567"/>
        <w:contextualSpacing w:val="0"/>
        <w:rPr>
          <w:sz w:val="24"/>
          <w:szCs w:val="24"/>
        </w:rPr>
      </w:pPr>
      <w:r w:rsidRPr="002C4025">
        <w:rPr>
          <w:rFonts w:cs="Times New Roman"/>
          <w:sz w:val="24"/>
          <w:szCs w:val="24"/>
        </w:rPr>
        <w:t>the transfer date; and</w:t>
      </w:r>
    </w:p>
    <w:p w14:paraId="3AF1C9B8" w14:textId="77777777" w:rsidR="003F16BC" w:rsidRPr="002C4025" w:rsidRDefault="007F7D6C" w:rsidP="00B36939">
      <w:pPr>
        <w:pStyle w:val="ListParagraph"/>
        <w:numPr>
          <w:ilvl w:val="0"/>
          <w:numId w:val="39"/>
        </w:numPr>
        <w:spacing w:after="240" w:line="240" w:lineRule="auto"/>
        <w:ind w:left="2835" w:hanging="567"/>
        <w:contextualSpacing w:val="0"/>
        <w:rPr>
          <w:sz w:val="24"/>
          <w:szCs w:val="24"/>
        </w:rPr>
      </w:pPr>
      <w:r w:rsidRPr="002C4025">
        <w:rPr>
          <w:sz w:val="24"/>
          <w:szCs w:val="24"/>
        </w:rPr>
        <w:t>any time over the first 36 months after the transfer date; and</w:t>
      </w:r>
    </w:p>
    <w:p w14:paraId="68D45907" w14:textId="77777777" w:rsidR="007F7D6C" w:rsidRPr="002C4025" w:rsidRDefault="007F7D6C" w:rsidP="00B36939">
      <w:pPr>
        <w:pStyle w:val="ListParagraph"/>
        <w:numPr>
          <w:ilvl w:val="0"/>
          <w:numId w:val="39"/>
        </w:numPr>
        <w:spacing w:after="240" w:line="240" w:lineRule="auto"/>
        <w:ind w:left="2835" w:hanging="567"/>
        <w:contextualSpacing w:val="0"/>
        <w:rPr>
          <w:sz w:val="24"/>
          <w:szCs w:val="24"/>
        </w:rPr>
      </w:pPr>
      <w:r w:rsidRPr="002C4025">
        <w:rPr>
          <w:sz w:val="24"/>
          <w:szCs w:val="24"/>
        </w:rPr>
        <w:lastRenderedPageBreak/>
        <w:t>any time within the foreseeable future of operation of the funds beyond 36 months after the transfer date; and</w:t>
      </w:r>
    </w:p>
    <w:p w14:paraId="356862CC" w14:textId="77777777" w:rsidR="007F7D6C" w:rsidRPr="002C4025" w:rsidRDefault="007F7D6C" w:rsidP="00B36939">
      <w:pPr>
        <w:pStyle w:val="ListParagraph"/>
        <w:numPr>
          <w:ilvl w:val="2"/>
          <w:numId w:val="31"/>
        </w:numPr>
        <w:spacing w:after="240" w:line="240" w:lineRule="auto"/>
        <w:ind w:left="1701" w:hanging="567"/>
        <w:contextualSpacing w:val="0"/>
        <w:rPr>
          <w:rFonts w:cs="Times New Roman"/>
          <w:sz w:val="24"/>
          <w:szCs w:val="24"/>
        </w:rPr>
      </w:pPr>
      <w:r w:rsidRPr="002C4025">
        <w:rPr>
          <w:rFonts w:cs="Times New Roman"/>
          <w:sz w:val="24"/>
          <w:szCs w:val="24"/>
        </w:rPr>
        <w:t xml:space="preserve">for each transferring fund, a statement by an officer for the transferor insurer (the </w:t>
      </w:r>
      <w:r w:rsidRPr="002C4025">
        <w:rPr>
          <w:rFonts w:cs="Times New Roman"/>
          <w:b/>
          <w:i/>
          <w:sz w:val="24"/>
          <w:szCs w:val="24"/>
        </w:rPr>
        <w:t>certification of compliance</w:t>
      </w:r>
      <w:r w:rsidRPr="002C4025">
        <w:rPr>
          <w:rFonts w:cs="Times New Roman"/>
          <w:sz w:val="24"/>
          <w:szCs w:val="24"/>
        </w:rPr>
        <w:t>) confirming that the board, or other governing body, of the insurer has considered the arrangement and is of the view that the arrangement meets, and the operation of the receiving fund from the transfer date in accordance with the arrangement will meet, the requirements of:</w:t>
      </w:r>
    </w:p>
    <w:p w14:paraId="00A2EC41" w14:textId="77777777" w:rsidR="007F7D6C" w:rsidRPr="002C4025" w:rsidRDefault="007F7D6C" w:rsidP="00B36939">
      <w:pPr>
        <w:pStyle w:val="ListParagraph"/>
        <w:numPr>
          <w:ilvl w:val="0"/>
          <w:numId w:val="40"/>
        </w:numPr>
        <w:spacing w:after="240" w:line="240" w:lineRule="auto"/>
        <w:ind w:left="2268" w:hanging="567"/>
        <w:contextualSpacing w:val="0"/>
        <w:rPr>
          <w:sz w:val="24"/>
          <w:szCs w:val="24"/>
        </w:rPr>
      </w:pPr>
      <w:r w:rsidRPr="002C4025">
        <w:rPr>
          <w:sz w:val="24"/>
          <w:szCs w:val="24"/>
        </w:rPr>
        <w:t>the Act</w:t>
      </w:r>
      <w:r w:rsidR="004C087C">
        <w:rPr>
          <w:sz w:val="24"/>
          <w:szCs w:val="24"/>
        </w:rPr>
        <w:t xml:space="preserve"> and the PHI Act</w:t>
      </w:r>
      <w:r w:rsidRPr="002C4025">
        <w:rPr>
          <w:sz w:val="24"/>
          <w:szCs w:val="24"/>
        </w:rPr>
        <w:t>; and</w:t>
      </w:r>
    </w:p>
    <w:p w14:paraId="054E1950" w14:textId="77777777" w:rsidR="007F7D6C" w:rsidRPr="002C4025" w:rsidRDefault="007F7D6C" w:rsidP="00B36939">
      <w:pPr>
        <w:pStyle w:val="ListParagraph"/>
        <w:numPr>
          <w:ilvl w:val="0"/>
          <w:numId w:val="40"/>
        </w:numPr>
        <w:spacing w:after="240" w:line="240" w:lineRule="auto"/>
        <w:ind w:left="2268" w:hanging="567"/>
        <w:contextualSpacing w:val="0"/>
        <w:rPr>
          <w:sz w:val="24"/>
          <w:szCs w:val="24"/>
        </w:rPr>
      </w:pPr>
      <w:r w:rsidRPr="002C4025">
        <w:rPr>
          <w:sz w:val="24"/>
          <w:szCs w:val="24"/>
        </w:rPr>
        <w:t>any Regulations; and</w:t>
      </w:r>
    </w:p>
    <w:p w14:paraId="202DBF2C" w14:textId="77777777" w:rsidR="007F7D6C" w:rsidRPr="002C4025" w:rsidRDefault="007F7D6C" w:rsidP="00B36939">
      <w:pPr>
        <w:pStyle w:val="ListParagraph"/>
        <w:numPr>
          <w:ilvl w:val="0"/>
          <w:numId w:val="40"/>
        </w:numPr>
        <w:spacing w:after="240" w:line="240" w:lineRule="auto"/>
        <w:ind w:left="2268" w:hanging="567"/>
        <w:contextualSpacing w:val="0"/>
        <w:rPr>
          <w:sz w:val="24"/>
          <w:szCs w:val="24"/>
        </w:rPr>
      </w:pPr>
      <w:r w:rsidRPr="002C4025">
        <w:rPr>
          <w:sz w:val="24"/>
          <w:szCs w:val="24"/>
        </w:rPr>
        <w:t xml:space="preserve">the Rules; and  </w:t>
      </w:r>
    </w:p>
    <w:p w14:paraId="160BC74C" w14:textId="77777777" w:rsidR="007F7D6C" w:rsidRDefault="007F7D6C" w:rsidP="00B36939">
      <w:pPr>
        <w:pStyle w:val="ListParagraph"/>
        <w:numPr>
          <w:ilvl w:val="2"/>
          <w:numId w:val="31"/>
        </w:numPr>
        <w:spacing w:after="240" w:line="240" w:lineRule="auto"/>
        <w:ind w:left="1701" w:hanging="567"/>
        <w:contextualSpacing w:val="0"/>
        <w:rPr>
          <w:rFonts w:cs="Times New Roman"/>
          <w:sz w:val="24"/>
          <w:szCs w:val="24"/>
        </w:rPr>
      </w:pPr>
      <w:r w:rsidRPr="002C4025">
        <w:rPr>
          <w:rFonts w:cs="Times New Roman"/>
          <w:sz w:val="24"/>
          <w:szCs w:val="24"/>
        </w:rPr>
        <w:t>a report from the transferor insurer</w:t>
      </w:r>
      <w:r w:rsidR="00EE2809" w:rsidRPr="002C4025">
        <w:rPr>
          <w:rFonts w:cs="Times New Roman"/>
          <w:sz w:val="24"/>
          <w:szCs w:val="24"/>
        </w:rPr>
        <w:t>’</w:t>
      </w:r>
      <w:r w:rsidRPr="002C4025">
        <w:rPr>
          <w:rFonts w:cs="Times New Roman"/>
          <w:sz w:val="24"/>
          <w:szCs w:val="24"/>
        </w:rPr>
        <w:t xml:space="preserve">s appointed actuary (the </w:t>
      </w:r>
      <w:r w:rsidRPr="002C4025">
        <w:rPr>
          <w:rFonts w:cs="Times New Roman"/>
          <w:b/>
          <w:i/>
          <w:sz w:val="24"/>
          <w:szCs w:val="24"/>
        </w:rPr>
        <w:t>actuary</w:t>
      </w:r>
      <w:r w:rsidR="00EE2809" w:rsidRPr="002C4025">
        <w:rPr>
          <w:rFonts w:cs="Times New Roman"/>
          <w:b/>
          <w:i/>
          <w:sz w:val="24"/>
          <w:szCs w:val="24"/>
        </w:rPr>
        <w:t>’</w:t>
      </w:r>
      <w:r w:rsidRPr="002C4025">
        <w:rPr>
          <w:rFonts w:cs="Times New Roman"/>
          <w:b/>
          <w:i/>
          <w:sz w:val="24"/>
          <w:szCs w:val="24"/>
        </w:rPr>
        <w:t>s report</w:t>
      </w:r>
      <w:r w:rsidRPr="002C4025">
        <w:rPr>
          <w:rFonts w:cs="Times New Roman"/>
          <w:sz w:val="24"/>
          <w:szCs w:val="24"/>
        </w:rPr>
        <w:t>) which provides the opinion of the actuary:</w:t>
      </w:r>
    </w:p>
    <w:p w14:paraId="5CE96DA9" w14:textId="77777777" w:rsidR="007F7D6C" w:rsidRPr="002C4025" w:rsidRDefault="007F7D6C" w:rsidP="00B36939">
      <w:pPr>
        <w:pStyle w:val="ListParagraph"/>
        <w:numPr>
          <w:ilvl w:val="2"/>
          <w:numId w:val="41"/>
        </w:numPr>
        <w:spacing w:after="240" w:line="240" w:lineRule="auto"/>
        <w:ind w:left="2268" w:hanging="567"/>
        <w:contextualSpacing w:val="0"/>
        <w:rPr>
          <w:sz w:val="24"/>
          <w:szCs w:val="24"/>
        </w:rPr>
      </w:pPr>
      <w:r w:rsidRPr="002C4025">
        <w:rPr>
          <w:sz w:val="24"/>
          <w:szCs w:val="24"/>
        </w:rPr>
        <w:t>that the assets and liabilities that would be transferred to the receiving fund or funds represent a reasonable estimate of what would be, immediately before the arrangement takes effect:</w:t>
      </w:r>
    </w:p>
    <w:p w14:paraId="0220D3B0" w14:textId="77777777" w:rsidR="007F7D6C" w:rsidRPr="002C4025" w:rsidRDefault="007F7D6C" w:rsidP="00B36939">
      <w:pPr>
        <w:pStyle w:val="ListParagraph"/>
        <w:numPr>
          <w:ilvl w:val="0"/>
          <w:numId w:val="42"/>
        </w:numPr>
        <w:spacing w:after="240" w:line="240" w:lineRule="auto"/>
        <w:ind w:left="2835" w:hanging="567"/>
        <w:contextualSpacing w:val="0"/>
        <w:rPr>
          <w:sz w:val="24"/>
          <w:szCs w:val="24"/>
        </w:rPr>
      </w:pPr>
      <w:r w:rsidRPr="002C4025">
        <w:rPr>
          <w:sz w:val="24"/>
          <w:szCs w:val="24"/>
        </w:rPr>
        <w:t>if there is one transferring fund</w:t>
      </w:r>
      <w:r w:rsidR="00125A0B" w:rsidRPr="002C4025">
        <w:rPr>
          <w:sz w:val="24"/>
          <w:szCs w:val="24"/>
        </w:rPr>
        <w:t>—</w:t>
      </w:r>
      <w:r w:rsidRPr="002C4025">
        <w:rPr>
          <w:sz w:val="24"/>
          <w:szCs w:val="24"/>
        </w:rPr>
        <w:t>the net asset position of the transferring fund; and</w:t>
      </w:r>
    </w:p>
    <w:p w14:paraId="4065B64B" w14:textId="77777777" w:rsidR="007F7D6C" w:rsidRPr="002C4025" w:rsidRDefault="007F7D6C" w:rsidP="00B36939">
      <w:pPr>
        <w:pStyle w:val="ListParagraph"/>
        <w:numPr>
          <w:ilvl w:val="0"/>
          <w:numId w:val="42"/>
        </w:numPr>
        <w:spacing w:after="240" w:line="240" w:lineRule="auto"/>
        <w:ind w:left="2835" w:hanging="567"/>
        <w:contextualSpacing w:val="0"/>
        <w:rPr>
          <w:sz w:val="24"/>
          <w:szCs w:val="24"/>
        </w:rPr>
      </w:pPr>
      <w:r w:rsidRPr="002C4025">
        <w:rPr>
          <w:sz w:val="24"/>
          <w:szCs w:val="24"/>
        </w:rPr>
        <w:t>if there is more than one transferring fund</w:t>
      </w:r>
      <w:r w:rsidR="00125A0B" w:rsidRPr="002C4025">
        <w:rPr>
          <w:sz w:val="24"/>
          <w:szCs w:val="24"/>
        </w:rPr>
        <w:t>—</w:t>
      </w:r>
      <w:r w:rsidRPr="002C4025">
        <w:rPr>
          <w:sz w:val="24"/>
          <w:szCs w:val="24"/>
        </w:rPr>
        <w:t>the sum of the net asset positions of each of the funds; and</w:t>
      </w:r>
    </w:p>
    <w:p w14:paraId="190F2D4C" w14:textId="77777777" w:rsidR="002C4025" w:rsidRPr="002C4025" w:rsidRDefault="007F7D6C" w:rsidP="00B36939">
      <w:pPr>
        <w:pStyle w:val="ListParagraph"/>
        <w:numPr>
          <w:ilvl w:val="2"/>
          <w:numId w:val="41"/>
        </w:numPr>
        <w:spacing w:after="240" w:line="240" w:lineRule="auto"/>
        <w:ind w:left="2268" w:hanging="567"/>
        <w:contextualSpacing w:val="0"/>
        <w:rPr>
          <w:sz w:val="24"/>
          <w:szCs w:val="24"/>
        </w:rPr>
      </w:pPr>
      <w:r w:rsidRPr="002C4025">
        <w:rPr>
          <w:sz w:val="24"/>
          <w:szCs w:val="24"/>
        </w:rPr>
        <w:t>that for each transferring fund to which subparagraph</w:t>
      </w:r>
      <w:r w:rsidR="00B84257" w:rsidRPr="002C4025">
        <w:rPr>
          <w:sz w:val="24"/>
          <w:szCs w:val="24"/>
        </w:rPr>
        <w:t> </w:t>
      </w:r>
      <w:r w:rsidR="00DC7952" w:rsidRPr="002C4025">
        <w:rPr>
          <w:sz w:val="24"/>
          <w:szCs w:val="24"/>
        </w:rPr>
        <w:t>33(1)(b)(i)</w:t>
      </w:r>
      <w:r w:rsidRPr="002C4025">
        <w:rPr>
          <w:sz w:val="24"/>
          <w:szCs w:val="24"/>
        </w:rPr>
        <w:t xml:space="preserve"> of the Act applies, the net asset position of the fund immediately after the arrangement takes effect will not be greater than zero; and</w:t>
      </w:r>
    </w:p>
    <w:p w14:paraId="7649831D" w14:textId="77777777" w:rsidR="007F7D6C" w:rsidRPr="002C4025" w:rsidRDefault="007F7D6C" w:rsidP="00B36939">
      <w:pPr>
        <w:pStyle w:val="ListParagraph"/>
        <w:numPr>
          <w:ilvl w:val="2"/>
          <w:numId w:val="41"/>
        </w:numPr>
        <w:spacing w:after="240" w:line="240" w:lineRule="auto"/>
        <w:ind w:left="2268" w:hanging="567"/>
        <w:contextualSpacing w:val="0"/>
        <w:rPr>
          <w:sz w:val="24"/>
          <w:szCs w:val="24"/>
        </w:rPr>
      </w:pPr>
      <w:r w:rsidRPr="002C4025">
        <w:rPr>
          <w:rFonts w:cs="Times New Roman"/>
          <w:sz w:val="24"/>
          <w:szCs w:val="24"/>
        </w:rPr>
        <w:t>about how the arrangement will affect the ability of the insurer to comply with:</w:t>
      </w:r>
    </w:p>
    <w:p w14:paraId="7D37ECD0" w14:textId="77777777" w:rsidR="007F7D6C" w:rsidRPr="002C4025" w:rsidRDefault="007F7D6C" w:rsidP="00B36939">
      <w:pPr>
        <w:pStyle w:val="ListParagraph"/>
        <w:numPr>
          <w:ilvl w:val="0"/>
          <w:numId w:val="43"/>
        </w:numPr>
        <w:spacing w:after="240" w:line="240" w:lineRule="auto"/>
        <w:ind w:left="2835" w:hanging="567"/>
        <w:contextualSpacing w:val="0"/>
        <w:rPr>
          <w:sz w:val="24"/>
          <w:szCs w:val="24"/>
        </w:rPr>
      </w:pPr>
      <w:r w:rsidRPr="002C4025">
        <w:rPr>
          <w:sz w:val="24"/>
          <w:szCs w:val="24"/>
        </w:rPr>
        <w:lastRenderedPageBreak/>
        <w:t>the solvency standard; and</w:t>
      </w:r>
    </w:p>
    <w:p w14:paraId="6584DC60" w14:textId="77777777" w:rsidR="002C4025" w:rsidRPr="002C4025" w:rsidRDefault="007F7D6C" w:rsidP="00B36939">
      <w:pPr>
        <w:pStyle w:val="ListParagraph"/>
        <w:numPr>
          <w:ilvl w:val="0"/>
          <w:numId w:val="43"/>
        </w:numPr>
        <w:spacing w:after="240" w:line="240" w:lineRule="auto"/>
        <w:ind w:left="2835" w:hanging="567"/>
        <w:contextualSpacing w:val="0"/>
        <w:rPr>
          <w:sz w:val="24"/>
          <w:szCs w:val="24"/>
        </w:rPr>
      </w:pPr>
      <w:r w:rsidRPr="002C4025">
        <w:rPr>
          <w:sz w:val="24"/>
          <w:szCs w:val="24"/>
        </w:rPr>
        <w:t>the capital adequacy standard,</w:t>
      </w:r>
    </w:p>
    <w:p w14:paraId="35072F9C" w14:textId="77777777" w:rsidR="002C4025" w:rsidRPr="002C4025" w:rsidRDefault="007F7D6C" w:rsidP="002C4025">
      <w:pPr>
        <w:spacing w:after="240" w:line="240" w:lineRule="auto"/>
        <w:ind w:left="2268"/>
        <w:rPr>
          <w:sz w:val="24"/>
          <w:szCs w:val="24"/>
        </w:rPr>
      </w:pPr>
      <w:r w:rsidRPr="002C4025">
        <w:rPr>
          <w:sz w:val="24"/>
          <w:szCs w:val="24"/>
        </w:rPr>
        <w:t>at each of the following times:</w:t>
      </w:r>
    </w:p>
    <w:p w14:paraId="6FBA3A40" w14:textId="77777777" w:rsidR="002C4025" w:rsidRPr="002C4025" w:rsidRDefault="007F7D6C" w:rsidP="00B36939">
      <w:pPr>
        <w:pStyle w:val="ListParagraph"/>
        <w:numPr>
          <w:ilvl w:val="0"/>
          <w:numId w:val="43"/>
        </w:numPr>
        <w:spacing w:after="240" w:line="240" w:lineRule="auto"/>
        <w:ind w:left="2835" w:hanging="567"/>
        <w:contextualSpacing w:val="0"/>
        <w:rPr>
          <w:sz w:val="24"/>
          <w:szCs w:val="24"/>
        </w:rPr>
      </w:pPr>
      <w:r w:rsidRPr="002C4025">
        <w:rPr>
          <w:rFonts w:cs="Times New Roman"/>
          <w:sz w:val="24"/>
          <w:szCs w:val="24"/>
        </w:rPr>
        <w:t>the transfer date; and</w:t>
      </w:r>
    </w:p>
    <w:p w14:paraId="5659AD7F" w14:textId="77777777" w:rsidR="007F7D6C" w:rsidRPr="002C4025" w:rsidRDefault="007F7D6C" w:rsidP="00B36939">
      <w:pPr>
        <w:pStyle w:val="ListParagraph"/>
        <w:numPr>
          <w:ilvl w:val="0"/>
          <w:numId w:val="43"/>
        </w:numPr>
        <w:spacing w:after="240" w:line="240" w:lineRule="auto"/>
        <w:ind w:left="2835" w:hanging="567"/>
        <w:contextualSpacing w:val="0"/>
        <w:rPr>
          <w:sz w:val="24"/>
          <w:szCs w:val="24"/>
        </w:rPr>
      </w:pPr>
      <w:r w:rsidRPr="002C4025">
        <w:rPr>
          <w:rFonts w:cs="Times New Roman"/>
          <w:sz w:val="24"/>
          <w:szCs w:val="24"/>
        </w:rPr>
        <w:t>any time over the first 36 months after the transfer date; and</w:t>
      </w:r>
    </w:p>
    <w:p w14:paraId="4961D1E7" w14:textId="77777777" w:rsidR="00D775B5" w:rsidRPr="00D775B5" w:rsidRDefault="007F7D6C" w:rsidP="00B36939">
      <w:pPr>
        <w:pStyle w:val="ListParagraph"/>
        <w:numPr>
          <w:ilvl w:val="2"/>
          <w:numId w:val="31"/>
        </w:numPr>
        <w:spacing w:after="240" w:line="240" w:lineRule="auto"/>
        <w:ind w:left="1701" w:hanging="567"/>
        <w:contextualSpacing w:val="0"/>
        <w:rPr>
          <w:rFonts w:cs="Times New Roman"/>
          <w:sz w:val="24"/>
          <w:szCs w:val="24"/>
        </w:rPr>
      </w:pPr>
      <w:r w:rsidRPr="00D775B5">
        <w:rPr>
          <w:sz w:val="24"/>
          <w:szCs w:val="24"/>
        </w:rPr>
        <w:t>a copy of the statement, if any, issued by a party to the arrangement in accordance with subsection</w:t>
      </w:r>
      <w:r w:rsidR="00B84257" w:rsidRPr="00D775B5">
        <w:rPr>
          <w:sz w:val="24"/>
          <w:szCs w:val="24"/>
        </w:rPr>
        <w:t> </w:t>
      </w:r>
      <w:r w:rsidRPr="00D775B5">
        <w:rPr>
          <w:sz w:val="24"/>
          <w:szCs w:val="24"/>
        </w:rPr>
        <w:t>93</w:t>
      </w:r>
      <w:r w:rsidR="00B84257" w:rsidRPr="00D775B5">
        <w:rPr>
          <w:sz w:val="24"/>
          <w:szCs w:val="24"/>
        </w:rPr>
        <w:noBreakHyphen/>
      </w:r>
      <w:r w:rsidRPr="00D775B5">
        <w:rPr>
          <w:sz w:val="24"/>
          <w:szCs w:val="24"/>
        </w:rPr>
        <w:t>20</w:t>
      </w:r>
      <w:r w:rsidR="002709CA" w:rsidRPr="00D775B5">
        <w:rPr>
          <w:sz w:val="24"/>
          <w:szCs w:val="24"/>
        </w:rPr>
        <w:t>(</w:t>
      </w:r>
      <w:r w:rsidRPr="00D775B5">
        <w:rPr>
          <w:sz w:val="24"/>
          <w:szCs w:val="24"/>
        </w:rPr>
        <w:t xml:space="preserve">2) of the </w:t>
      </w:r>
      <w:r w:rsidR="001A1C6D" w:rsidRPr="00D775B5">
        <w:rPr>
          <w:sz w:val="24"/>
          <w:szCs w:val="24"/>
        </w:rPr>
        <w:t xml:space="preserve">PHI </w:t>
      </w:r>
      <w:r w:rsidRPr="00D775B5">
        <w:rPr>
          <w:sz w:val="24"/>
          <w:szCs w:val="24"/>
        </w:rPr>
        <w:t xml:space="preserve">Act about any proposed change of the rules of </w:t>
      </w:r>
      <w:r w:rsidR="00BF33D2" w:rsidRPr="00D775B5">
        <w:rPr>
          <w:sz w:val="24"/>
          <w:szCs w:val="24"/>
        </w:rPr>
        <w:t>the transferor private health insurer</w:t>
      </w:r>
      <w:r w:rsidRPr="00D775B5">
        <w:rPr>
          <w:sz w:val="24"/>
          <w:szCs w:val="24"/>
        </w:rPr>
        <w:t xml:space="preserve"> associated with the arrangement; and</w:t>
      </w:r>
    </w:p>
    <w:p w14:paraId="48BE72EB" w14:textId="77777777" w:rsidR="00D775B5" w:rsidRPr="00D775B5" w:rsidRDefault="007F7D6C" w:rsidP="00B36939">
      <w:pPr>
        <w:pStyle w:val="ListParagraph"/>
        <w:numPr>
          <w:ilvl w:val="2"/>
          <w:numId w:val="31"/>
        </w:numPr>
        <w:spacing w:after="240" w:line="240" w:lineRule="auto"/>
        <w:ind w:left="1701" w:hanging="567"/>
        <w:contextualSpacing w:val="0"/>
        <w:rPr>
          <w:rFonts w:cs="Times New Roman"/>
          <w:sz w:val="24"/>
          <w:szCs w:val="24"/>
        </w:rPr>
      </w:pPr>
      <w:r w:rsidRPr="00D775B5">
        <w:rPr>
          <w:sz w:val="24"/>
          <w:szCs w:val="24"/>
        </w:rPr>
        <w:t>a copy of any statement issued by a party to the arrangement in accordance with subsection</w:t>
      </w:r>
      <w:r w:rsidR="00B84257" w:rsidRPr="00D775B5">
        <w:rPr>
          <w:sz w:val="24"/>
          <w:szCs w:val="24"/>
        </w:rPr>
        <w:t> </w:t>
      </w:r>
      <w:r w:rsidRPr="00D775B5">
        <w:rPr>
          <w:sz w:val="24"/>
          <w:szCs w:val="24"/>
        </w:rPr>
        <w:t>93</w:t>
      </w:r>
      <w:r w:rsidR="00B84257" w:rsidRPr="00D775B5">
        <w:rPr>
          <w:sz w:val="24"/>
          <w:szCs w:val="24"/>
        </w:rPr>
        <w:noBreakHyphen/>
      </w:r>
      <w:r w:rsidRPr="00D775B5">
        <w:rPr>
          <w:sz w:val="24"/>
          <w:szCs w:val="24"/>
        </w:rPr>
        <w:t>20</w:t>
      </w:r>
      <w:r w:rsidR="002709CA" w:rsidRPr="00D775B5">
        <w:rPr>
          <w:sz w:val="24"/>
          <w:szCs w:val="24"/>
        </w:rPr>
        <w:t>(</w:t>
      </w:r>
      <w:r w:rsidRPr="00D775B5">
        <w:rPr>
          <w:sz w:val="24"/>
          <w:szCs w:val="24"/>
        </w:rPr>
        <w:t xml:space="preserve">4) </w:t>
      </w:r>
      <w:r w:rsidR="001A1C6D" w:rsidRPr="00D775B5">
        <w:rPr>
          <w:sz w:val="24"/>
          <w:szCs w:val="24"/>
        </w:rPr>
        <w:t xml:space="preserve"> of the PHI Act </w:t>
      </w:r>
      <w:r w:rsidRPr="00D775B5">
        <w:rPr>
          <w:sz w:val="24"/>
          <w:szCs w:val="24"/>
        </w:rPr>
        <w:t>about the aspect of the arrangement which involves the proposed change in funds to which policies are referable; and</w:t>
      </w:r>
    </w:p>
    <w:p w14:paraId="4D4B7FB5" w14:textId="77777777" w:rsidR="007F7D6C" w:rsidRPr="00D775B5" w:rsidRDefault="007F7D6C" w:rsidP="00B36939">
      <w:pPr>
        <w:pStyle w:val="ListParagraph"/>
        <w:numPr>
          <w:ilvl w:val="2"/>
          <w:numId w:val="31"/>
        </w:numPr>
        <w:spacing w:after="240" w:line="240" w:lineRule="auto"/>
        <w:ind w:left="1701" w:hanging="567"/>
        <w:contextualSpacing w:val="0"/>
        <w:rPr>
          <w:rFonts w:cs="Times New Roman"/>
          <w:sz w:val="24"/>
          <w:szCs w:val="24"/>
        </w:rPr>
      </w:pPr>
      <w:r w:rsidRPr="00D775B5">
        <w:rPr>
          <w:sz w:val="24"/>
          <w:szCs w:val="24"/>
        </w:rPr>
        <w:t xml:space="preserve">a summary of any submissions in writing (including email or other electronic form) to </w:t>
      </w:r>
      <w:r w:rsidR="0039721D" w:rsidRPr="00D775B5">
        <w:rPr>
          <w:sz w:val="24"/>
          <w:szCs w:val="24"/>
        </w:rPr>
        <w:t>a private health insurer</w:t>
      </w:r>
      <w:r w:rsidRPr="00D775B5">
        <w:rPr>
          <w:sz w:val="24"/>
          <w:szCs w:val="24"/>
        </w:rPr>
        <w:t xml:space="preserve"> party to the arrangement from a policy holder of a policy of a fund conducted by the insurer</w:t>
      </w:r>
      <w:r w:rsidRPr="00D775B5" w:rsidDel="001003BC">
        <w:rPr>
          <w:sz w:val="24"/>
          <w:szCs w:val="24"/>
        </w:rPr>
        <w:t xml:space="preserve"> </w:t>
      </w:r>
      <w:r w:rsidRPr="00D775B5">
        <w:rPr>
          <w:sz w:val="24"/>
          <w:szCs w:val="24"/>
        </w:rPr>
        <w:t>in relation to any aspect of the arrangement regardless of whether the submission was made in response to a statement issued under subsection</w:t>
      </w:r>
      <w:r w:rsidR="00B84257" w:rsidRPr="00D775B5">
        <w:rPr>
          <w:sz w:val="24"/>
          <w:szCs w:val="24"/>
        </w:rPr>
        <w:t> </w:t>
      </w:r>
      <w:r w:rsidRPr="00D775B5">
        <w:rPr>
          <w:sz w:val="24"/>
          <w:szCs w:val="24"/>
        </w:rPr>
        <w:t>93</w:t>
      </w:r>
      <w:r w:rsidR="00B84257" w:rsidRPr="00D775B5">
        <w:rPr>
          <w:sz w:val="24"/>
          <w:szCs w:val="24"/>
        </w:rPr>
        <w:noBreakHyphen/>
      </w:r>
      <w:r w:rsidRPr="00D775B5">
        <w:rPr>
          <w:sz w:val="24"/>
          <w:szCs w:val="24"/>
        </w:rPr>
        <w:t>20</w:t>
      </w:r>
      <w:r w:rsidR="002709CA" w:rsidRPr="00D775B5">
        <w:rPr>
          <w:sz w:val="24"/>
          <w:szCs w:val="24"/>
        </w:rPr>
        <w:t>(</w:t>
      </w:r>
      <w:r w:rsidRPr="00D775B5">
        <w:rPr>
          <w:sz w:val="24"/>
          <w:szCs w:val="24"/>
        </w:rPr>
        <w:t>2) or subsection</w:t>
      </w:r>
      <w:r w:rsidR="00B84257" w:rsidRPr="00D775B5">
        <w:rPr>
          <w:sz w:val="24"/>
          <w:szCs w:val="24"/>
        </w:rPr>
        <w:t> </w:t>
      </w:r>
      <w:r w:rsidRPr="00D775B5">
        <w:rPr>
          <w:sz w:val="24"/>
          <w:szCs w:val="24"/>
        </w:rPr>
        <w:t>93</w:t>
      </w:r>
      <w:r w:rsidR="00B84257" w:rsidRPr="00D775B5">
        <w:rPr>
          <w:sz w:val="24"/>
          <w:szCs w:val="24"/>
        </w:rPr>
        <w:noBreakHyphen/>
      </w:r>
      <w:r w:rsidRPr="00D775B5">
        <w:rPr>
          <w:sz w:val="24"/>
          <w:szCs w:val="24"/>
        </w:rPr>
        <w:t>20</w:t>
      </w:r>
      <w:r w:rsidR="002709CA" w:rsidRPr="00D775B5">
        <w:rPr>
          <w:sz w:val="24"/>
          <w:szCs w:val="24"/>
        </w:rPr>
        <w:t>(</w:t>
      </w:r>
      <w:r w:rsidRPr="00D775B5">
        <w:rPr>
          <w:sz w:val="24"/>
          <w:szCs w:val="24"/>
        </w:rPr>
        <w:t xml:space="preserve">4) of the </w:t>
      </w:r>
      <w:r w:rsidR="001A1C6D" w:rsidRPr="00D775B5">
        <w:rPr>
          <w:sz w:val="24"/>
          <w:szCs w:val="24"/>
        </w:rPr>
        <w:t xml:space="preserve">PHI </w:t>
      </w:r>
      <w:r w:rsidRPr="00D775B5">
        <w:rPr>
          <w:sz w:val="24"/>
          <w:szCs w:val="24"/>
        </w:rPr>
        <w:t>Act or otherwise.</w:t>
      </w:r>
    </w:p>
    <w:p w14:paraId="646F1087" w14:textId="77777777" w:rsidR="00E95278" w:rsidRPr="00E95278" w:rsidRDefault="00674F7A" w:rsidP="00E95278">
      <w:pPr>
        <w:pStyle w:val="Style9"/>
        <w:ind w:left="1134" w:hanging="567"/>
        <w:rPr>
          <w:szCs w:val="24"/>
        </w:rPr>
      </w:pPr>
      <w:bookmarkStart w:id="129" w:name="_Ref162234844"/>
      <w:r>
        <w:lastRenderedPageBreak/>
        <w:t xml:space="preserve"> </w:t>
      </w:r>
      <w:r>
        <w:tab/>
      </w:r>
      <w:r>
        <w:tab/>
      </w:r>
      <w:r w:rsidR="007F7D6C" w:rsidRPr="00625BE7">
        <w:t>Prior to the transfer date, each party to the arrangement must, except to the extent provided for in the Act, procure any amendment of its constitution and any of its rules required for the arrangement to take place.</w:t>
      </w:r>
      <w:bookmarkEnd w:id="129"/>
    </w:p>
    <w:p w14:paraId="13D9F9B7" w14:textId="77777777" w:rsidR="007F7D6C" w:rsidRPr="00E95278" w:rsidRDefault="00674F7A" w:rsidP="009217D7">
      <w:pPr>
        <w:pStyle w:val="Style9"/>
        <w:numPr>
          <w:ilvl w:val="0"/>
          <w:numId w:val="0"/>
        </w:numPr>
        <w:ind w:left="1134"/>
        <w:rPr>
          <w:szCs w:val="24"/>
        </w:rPr>
      </w:pPr>
      <w:r w:rsidRPr="00E95278">
        <w:rPr>
          <w:szCs w:val="24"/>
        </w:rPr>
        <w:t xml:space="preserve">Note: </w:t>
      </w:r>
      <w:r w:rsidR="007F7D6C" w:rsidRPr="00E95278">
        <w:rPr>
          <w:szCs w:val="24"/>
        </w:rPr>
        <w:t xml:space="preserve">The Act contains relevant provisions in </w:t>
      </w:r>
      <w:r w:rsidR="00DC7952" w:rsidRPr="00E95278">
        <w:rPr>
          <w:szCs w:val="24"/>
        </w:rPr>
        <w:t>section 34</w:t>
      </w:r>
      <w:r w:rsidR="007F7D6C" w:rsidRPr="00E95278">
        <w:rPr>
          <w:szCs w:val="24"/>
        </w:rPr>
        <w:t>.</w:t>
      </w:r>
    </w:p>
    <w:p w14:paraId="2C4D9FD3" w14:textId="77777777" w:rsidR="007F7D6C" w:rsidRPr="00E95278" w:rsidRDefault="00E95278" w:rsidP="00E95278">
      <w:pPr>
        <w:pStyle w:val="Style9"/>
        <w:ind w:left="1134" w:hanging="567"/>
        <w:rPr>
          <w:szCs w:val="24"/>
        </w:rPr>
      </w:pPr>
      <w:bookmarkStart w:id="130" w:name="_Ref162234852"/>
      <w:r>
        <w:t xml:space="preserve"> </w:t>
      </w:r>
      <w:r>
        <w:tab/>
      </w:r>
      <w:r>
        <w:tab/>
      </w:r>
      <w:r w:rsidR="007F7D6C" w:rsidRPr="00625BE7">
        <w:t>Prior to the transfer date, each party to the arrangement must take all steps required under any other law of the Commonwealth, a State or a Territory required for the arrangement to take place.</w:t>
      </w:r>
      <w:bookmarkEnd w:id="130"/>
      <w:r w:rsidR="007F7D6C" w:rsidRPr="00625BE7">
        <w:t xml:space="preserve">  </w:t>
      </w:r>
    </w:p>
    <w:p w14:paraId="38F919ED" w14:textId="77777777" w:rsidR="007F7D6C" w:rsidRPr="00B84257" w:rsidRDefault="007F7D6C" w:rsidP="00C71ED8">
      <w:pPr>
        <w:pStyle w:val="Style2"/>
      </w:pPr>
      <w:bookmarkStart w:id="131" w:name="_Toc413670990"/>
      <w:bookmarkStart w:id="132" w:name="_Toc413671449"/>
      <w:bookmarkStart w:id="133" w:name="_Toc413673023"/>
      <w:bookmarkStart w:id="134" w:name="_Toc413673448"/>
      <w:r w:rsidRPr="00625BE7">
        <w:t>Criteria for approving or refusing a merger or a</w:t>
      </w:r>
      <w:r w:rsidRPr="00B84257">
        <w:t>cquisition</w:t>
      </w:r>
      <w:bookmarkEnd w:id="131"/>
      <w:bookmarkEnd w:id="132"/>
      <w:bookmarkEnd w:id="133"/>
      <w:bookmarkEnd w:id="134"/>
    </w:p>
    <w:p w14:paraId="47645C62" w14:textId="77777777" w:rsidR="007F7D6C" w:rsidRPr="001B601B" w:rsidRDefault="00C71ED8" w:rsidP="00C71ED8">
      <w:pPr>
        <w:pStyle w:val="Style9"/>
        <w:ind w:left="1134" w:hanging="567"/>
        <w:rPr>
          <w:szCs w:val="24"/>
        </w:rPr>
      </w:pPr>
      <w:bookmarkStart w:id="135" w:name="_Ref162235020"/>
      <w:r w:rsidRPr="001B601B">
        <w:rPr>
          <w:szCs w:val="24"/>
        </w:rPr>
        <w:t xml:space="preserve"> </w:t>
      </w:r>
      <w:r w:rsidRPr="001B601B">
        <w:rPr>
          <w:szCs w:val="24"/>
        </w:rPr>
        <w:tab/>
      </w:r>
      <w:r w:rsidRPr="001B601B">
        <w:rPr>
          <w:szCs w:val="24"/>
        </w:rPr>
        <w:tab/>
      </w:r>
      <w:r w:rsidR="007F7D6C" w:rsidRPr="001B601B">
        <w:rPr>
          <w:szCs w:val="24"/>
        </w:rPr>
        <w:t>For the purposes of paragraph</w:t>
      </w:r>
      <w:r w:rsidR="00B84257" w:rsidRPr="001B601B">
        <w:rPr>
          <w:szCs w:val="24"/>
        </w:rPr>
        <w:t> </w:t>
      </w:r>
      <w:r w:rsidR="00E6181C" w:rsidRPr="001B601B">
        <w:rPr>
          <w:szCs w:val="24"/>
        </w:rPr>
        <w:t>33(3)(b)</w:t>
      </w:r>
      <w:r w:rsidR="007F7D6C" w:rsidRPr="001B601B">
        <w:rPr>
          <w:szCs w:val="24"/>
        </w:rPr>
        <w:t xml:space="preserve"> of the Act, a proposed distribution of assets and liabilities between receiving funds under a proposed arrangement is not fairly distributed if the proposed distribution will cause, or may contribute to causing, a transferee insurer to be in breach of:</w:t>
      </w:r>
      <w:bookmarkEnd w:id="135"/>
    </w:p>
    <w:p w14:paraId="7038F9C9" w14:textId="77777777" w:rsidR="007F7D6C" w:rsidRPr="001B601B" w:rsidRDefault="007F7D6C" w:rsidP="00B36939">
      <w:pPr>
        <w:pStyle w:val="Style4"/>
        <w:numPr>
          <w:ilvl w:val="0"/>
          <w:numId w:val="44"/>
        </w:numPr>
        <w:ind w:left="1701" w:hanging="567"/>
        <w:rPr>
          <w:sz w:val="24"/>
          <w:szCs w:val="24"/>
        </w:rPr>
      </w:pPr>
      <w:r w:rsidRPr="001B601B">
        <w:rPr>
          <w:sz w:val="24"/>
          <w:szCs w:val="24"/>
        </w:rPr>
        <w:t>the Act</w:t>
      </w:r>
      <w:r w:rsidR="004C087C">
        <w:rPr>
          <w:sz w:val="24"/>
          <w:szCs w:val="24"/>
        </w:rPr>
        <w:t xml:space="preserve"> or the PHI Act</w:t>
      </w:r>
      <w:r w:rsidRPr="001B601B">
        <w:rPr>
          <w:sz w:val="24"/>
          <w:szCs w:val="24"/>
        </w:rPr>
        <w:t>; or</w:t>
      </w:r>
    </w:p>
    <w:p w14:paraId="54D37A39" w14:textId="77777777" w:rsidR="007F7D6C" w:rsidRPr="001B601B" w:rsidRDefault="007F7D6C" w:rsidP="00B36939">
      <w:pPr>
        <w:pStyle w:val="Style4"/>
        <w:numPr>
          <w:ilvl w:val="0"/>
          <w:numId w:val="44"/>
        </w:numPr>
        <w:ind w:left="1701" w:hanging="567"/>
        <w:rPr>
          <w:sz w:val="24"/>
          <w:szCs w:val="24"/>
        </w:rPr>
      </w:pPr>
      <w:r w:rsidRPr="001B601B">
        <w:rPr>
          <w:sz w:val="24"/>
          <w:szCs w:val="24"/>
        </w:rPr>
        <w:t>any Regulations; or</w:t>
      </w:r>
    </w:p>
    <w:p w14:paraId="5004AD41" w14:textId="77777777" w:rsidR="007F7D6C" w:rsidRPr="001B601B" w:rsidRDefault="007F7D6C" w:rsidP="00B36939">
      <w:pPr>
        <w:pStyle w:val="Style4"/>
        <w:numPr>
          <w:ilvl w:val="0"/>
          <w:numId w:val="44"/>
        </w:numPr>
        <w:ind w:left="1701" w:hanging="567"/>
        <w:rPr>
          <w:sz w:val="24"/>
          <w:szCs w:val="24"/>
        </w:rPr>
      </w:pPr>
      <w:r w:rsidRPr="001B601B">
        <w:rPr>
          <w:sz w:val="24"/>
          <w:szCs w:val="24"/>
        </w:rPr>
        <w:t>any of the Rules; or</w:t>
      </w:r>
    </w:p>
    <w:p w14:paraId="5E777A91" w14:textId="77777777" w:rsidR="007F7D6C" w:rsidRPr="001B601B" w:rsidRDefault="007F7D6C" w:rsidP="00B36939">
      <w:pPr>
        <w:pStyle w:val="Style4"/>
        <w:numPr>
          <w:ilvl w:val="0"/>
          <w:numId w:val="44"/>
        </w:numPr>
        <w:ind w:left="1701" w:hanging="567"/>
        <w:rPr>
          <w:sz w:val="24"/>
          <w:szCs w:val="24"/>
        </w:rPr>
      </w:pPr>
      <w:r w:rsidRPr="001B601B">
        <w:rPr>
          <w:sz w:val="24"/>
          <w:szCs w:val="24"/>
        </w:rPr>
        <w:t xml:space="preserve">a solvency direction </w:t>
      </w:r>
      <w:r w:rsidR="007D1903" w:rsidRPr="001B601B">
        <w:rPr>
          <w:sz w:val="24"/>
          <w:szCs w:val="24"/>
        </w:rPr>
        <w:t>that applies to the private health insurer</w:t>
      </w:r>
      <w:r w:rsidRPr="001B601B">
        <w:rPr>
          <w:sz w:val="24"/>
          <w:szCs w:val="24"/>
        </w:rPr>
        <w:t>; or</w:t>
      </w:r>
    </w:p>
    <w:p w14:paraId="28A5F25B" w14:textId="77777777" w:rsidR="001D4E25" w:rsidRPr="0033273E" w:rsidRDefault="007F7D6C" w:rsidP="00B36939">
      <w:pPr>
        <w:pStyle w:val="Style4"/>
        <w:numPr>
          <w:ilvl w:val="0"/>
          <w:numId w:val="44"/>
        </w:numPr>
        <w:ind w:left="1701" w:hanging="567"/>
        <w:rPr>
          <w:sz w:val="24"/>
          <w:szCs w:val="24"/>
        </w:rPr>
      </w:pPr>
      <w:r w:rsidRPr="0033273E">
        <w:rPr>
          <w:sz w:val="24"/>
          <w:szCs w:val="24"/>
        </w:rPr>
        <w:t xml:space="preserve">a capital adequacy direction </w:t>
      </w:r>
      <w:r w:rsidR="007D1903" w:rsidRPr="0033273E">
        <w:rPr>
          <w:sz w:val="24"/>
          <w:szCs w:val="24"/>
        </w:rPr>
        <w:t>that applies to the private health insurer</w:t>
      </w:r>
      <w:r w:rsidRPr="0033273E">
        <w:rPr>
          <w:sz w:val="24"/>
          <w:szCs w:val="24"/>
        </w:rPr>
        <w:t>,</w:t>
      </w:r>
    </w:p>
    <w:p w14:paraId="014F5332" w14:textId="77777777" w:rsidR="001D4E25" w:rsidRPr="0033273E" w:rsidRDefault="007F7D6C" w:rsidP="001D4E25">
      <w:pPr>
        <w:pStyle w:val="Style4"/>
        <w:numPr>
          <w:ilvl w:val="0"/>
          <w:numId w:val="0"/>
        </w:numPr>
        <w:ind w:left="1134"/>
        <w:rPr>
          <w:sz w:val="24"/>
          <w:szCs w:val="24"/>
        </w:rPr>
      </w:pPr>
      <w:r w:rsidRPr="0033273E">
        <w:rPr>
          <w:sz w:val="24"/>
          <w:szCs w:val="24"/>
        </w:rPr>
        <w:t>at one or more of the following times:</w:t>
      </w:r>
    </w:p>
    <w:p w14:paraId="5B37593D" w14:textId="77777777" w:rsidR="001D4E25" w:rsidRPr="0033273E" w:rsidRDefault="007F7D6C" w:rsidP="00B36939">
      <w:pPr>
        <w:pStyle w:val="Style4"/>
        <w:numPr>
          <w:ilvl w:val="0"/>
          <w:numId w:val="44"/>
        </w:numPr>
        <w:ind w:left="1701" w:hanging="567"/>
        <w:rPr>
          <w:sz w:val="24"/>
          <w:szCs w:val="24"/>
        </w:rPr>
      </w:pPr>
      <w:r w:rsidRPr="0033273E">
        <w:rPr>
          <w:sz w:val="24"/>
          <w:szCs w:val="24"/>
        </w:rPr>
        <w:t>the transfer date; or</w:t>
      </w:r>
    </w:p>
    <w:p w14:paraId="75675C37" w14:textId="77777777" w:rsidR="001D4E25" w:rsidRPr="0033273E" w:rsidRDefault="007F7D6C" w:rsidP="00B36939">
      <w:pPr>
        <w:pStyle w:val="Style4"/>
        <w:numPr>
          <w:ilvl w:val="0"/>
          <w:numId w:val="44"/>
        </w:numPr>
        <w:ind w:left="1701" w:hanging="567"/>
        <w:rPr>
          <w:sz w:val="24"/>
          <w:szCs w:val="24"/>
        </w:rPr>
      </w:pPr>
      <w:r w:rsidRPr="0033273E">
        <w:rPr>
          <w:sz w:val="24"/>
          <w:szCs w:val="24"/>
        </w:rPr>
        <w:t>any time within the first 36 months after the transfer date; or</w:t>
      </w:r>
    </w:p>
    <w:p w14:paraId="1949943B" w14:textId="77777777" w:rsidR="007F7D6C" w:rsidRPr="0033273E" w:rsidRDefault="007F7D6C" w:rsidP="00B36939">
      <w:pPr>
        <w:pStyle w:val="Style4"/>
        <w:numPr>
          <w:ilvl w:val="0"/>
          <w:numId w:val="44"/>
        </w:numPr>
        <w:ind w:left="1701" w:hanging="567"/>
        <w:rPr>
          <w:sz w:val="24"/>
          <w:szCs w:val="24"/>
        </w:rPr>
      </w:pPr>
      <w:r w:rsidRPr="0033273E">
        <w:rPr>
          <w:sz w:val="24"/>
          <w:szCs w:val="24"/>
        </w:rPr>
        <w:t>any time within the foreseeable future of operation of the restructuring funds beyond 36 months after the transfer date.</w:t>
      </w:r>
    </w:p>
    <w:p w14:paraId="36C864CA" w14:textId="77777777" w:rsidR="007F7D6C" w:rsidRPr="0033273E" w:rsidRDefault="001B601B" w:rsidP="001B601B">
      <w:pPr>
        <w:pStyle w:val="Style9"/>
        <w:ind w:left="1134" w:hanging="567"/>
        <w:rPr>
          <w:szCs w:val="24"/>
        </w:rPr>
      </w:pPr>
      <w:r w:rsidRPr="0033273E">
        <w:rPr>
          <w:szCs w:val="24"/>
        </w:rPr>
        <w:lastRenderedPageBreak/>
        <w:t xml:space="preserve"> </w:t>
      </w:r>
      <w:r w:rsidRPr="0033273E">
        <w:rPr>
          <w:szCs w:val="24"/>
        </w:rPr>
        <w:tab/>
      </w:r>
      <w:r w:rsidRPr="0033273E">
        <w:rPr>
          <w:szCs w:val="24"/>
        </w:rPr>
        <w:tab/>
      </w:r>
      <w:r w:rsidR="007F7D6C" w:rsidRPr="0033273E">
        <w:rPr>
          <w:szCs w:val="24"/>
        </w:rPr>
        <w:t>Subrule (1) is not an exhaustive statement of criteria for refusing an application under section</w:t>
      </w:r>
      <w:r w:rsidR="00B84257" w:rsidRPr="0033273E">
        <w:rPr>
          <w:szCs w:val="24"/>
        </w:rPr>
        <w:t> </w:t>
      </w:r>
      <w:r w:rsidR="00E6181C" w:rsidRPr="0033273E">
        <w:rPr>
          <w:szCs w:val="24"/>
        </w:rPr>
        <w:t>33</w:t>
      </w:r>
      <w:r w:rsidR="007F7D6C" w:rsidRPr="0033273E">
        <w:rPr>
          <w:szCs w:val="24"/>
        </w:rPr>
        <w:t xml:space="preserve"> of the Act and does not prevent </w:t>
      </w:r>
      <w:r w:rsidR="00F33834" w:rsidRPr="0033273E">
        <w:rPr>
          <w:szCs w:val="24"/>
        </w:rPr>
        <w:t xml:space="preserve">APRA </w:t>
      </w:r>
      <w:r w:rsidR="007F7D6C" w:rsidRPr="0033273E">
        <w:rPr>
          <w:szCs w:val="24"/>
        </w:rPr>
        <w:t>from taking into account considerations other than those referred to in subrule (1) to form a view that a proposed distribution between receiving funds of assets and liabilities is fairly distributed for the purposes of paragraph</w:t>
      </w:r>
      <w:r w:rsidR="00B84257" w:rsidRPr="0033273E">
        <w:rPr>
          <w:szCs w:val="24"/>
        </w:rPr>
        <w:t> </w:t>
      </w:r>
      <w:r w:rsidR="00E6181C" w:rsidRPr="0033273E">
        <w:rPr>
          <w:szCs w:val="24"/>
        </w:rPr>
        <w:t>33</w:t>
      </w:r>
      <w:r w:rsidR="002709CA" w:rsidRPr="0033273E">
        <w:rPr>
          <w:szCs w:val="24"/>
        </w:rPr>
        <w:t>(</w:t>
      </w:r>
      <w:r w:rsidR="007F7D6C" w:rsidRPr="0033273E">
        <w:rPr>
          <w:szCs w:val="24"/>
        </w:rPr>
        <w:t>3)</w:t>
      </w:r>
      <w:r w:rsidR="002709CA" w:rsidRPr="0033273E">
        <w:rPr>
          <w:szCs w:val="24"/>
        </w:rPr>
        <w:t>(</w:t>
      </w:r>
      <w:r w:rsidR="007F7D6C" w:rsidRPr="0033273E">
        <w:rPr>
          <w:szCs w:val="24"/>
        </w:rPr>
        <w:t>b) of the Act.</w:t>
      </w:r>
    </w:p>
    <w:p w14:paraId="40CF6C8E" w14:textId="77777777" w:rsidR="007F7D6C" w:rsidRPr="0033273E" w:rsidRDefault="001B601B" w:rsidP="001B601B">
      <w:pPr>
        <w:pStyle w:val="Style9"/>
        <w:keepNext w:val="0"/>
        <w:ind w:left="1134" w:hanging="567"/>
        <w:rPr>
          <w:szCs w:val="24"/>
        </w:rPr>
      </w:pPr>
      <w:r w:rsidRPr="0033273E">
        <w:rPr>
          <w:szCs w:val="24"/>
        </w:rPr>
        <w:t xml:space="preserve"> </w:t>
      </w:r>
      <w:r w:rsidRPr="0033273E">
        <w:rPr>
          <w:szCs w:val="24"/>
        </w:rPr>
        <w:tab/>
      </w:r>
      <w:r w:rsidRPr="0033273E">
        <w:rPr>
          <w:szCs w:val="24"/>
        </w:rPr>
        <w:tab/>
      </w:r>
      <w:r w:rsidR="007F7D6C" w:rsidRPr="0033273E">
        <w:rPr>
          <w:szCs w:val="24"/>
        </w:rPr>
        <w:t>When considering whether a distribution between receiving funds pursuant to a restructure is fairly distributed for the purposes of paragraph</w:t>
      </w:r>
      <w:r w:rsidR="00B84257" w:rsidRPr="0033273E">
        <w:rPr>
          <w:szCs w:val="24"/>
        </w:rPr>
        <w:t> </w:t>
      </w:r>
      <w:r w:rsidR="00E6181C" w:rsidRPr="0033273E">
        <w:rPr>
          <w:szCs w:val="24"/>
        </w:rPr>
        <w:t>33</w:t>
      </w:r>
      <w:r w:rsidR="002709CA" w:rsidRPr="0033273E">
        <w:rPr>
          <w:szCs w:val="24"/>
        </w:rPr>
        <w:t>(</w:t>
      </w:r>
      <w:r w:rsidR="007F7D6C" w:rsidRPr="0033273E">
        <w:rPr>
          <w:szCs w:val="24"/>
        </w:rPr>
        <w:t>3)</w:t>
      </w:r>
      <w:r w:rsidR="002709CA" w:rsidRPr="0033273E">
        <w:rPr>
          <w:szCs w:val="24"/>
        </w:rPr>
        <w:t>(</w:t>
      </w:r>
      <w:r w:rsidR="007F7D6C" w:rsidRPr="0033273E">
        <w:rPr>
          <w:szCs w:val="24"/>
        </w:rPr>
        <w:t xml:space="preserve">b) of the Act, the relevant matters </w:t>
      </w:r>
      <w:r w:rsidR="00F33834" w:rsidRPr="0033273E">
        <w:rPr>
          <w:szCs w:val="24"/>
        </w:rPr>
        <w:t xml:space="preserve">APRA </w:t>
      </w:r>
      <w:r w:rsidR="007F7D6C" w:rsidRPr="0033273E">
        <w:rPr>
          <w:szCs w:val="24"/>
        </w:rPr>
        <w:t xml:space="preserve">may take into account include, but are not limited to, the matters referred to in subrule (1). </w:t>
      </w:r>
    </w:p>
    <w:p w14:paraId="70844EE3" w14:textId="77777777" w:rsidR="007F7D6C" w:rsidRPr="0033273E" w:rsidRDefault="007F7D6C" w:rsidP="001B601B">
      <w:pPr>
        <w:pStyle w:val="Style9"/>
        <w:keepNext w:val="0"/>
        <w:ind w:left="1134" w:hanging="567"/>
        <w:rPr>
          <w:szCs w:val="24"/>
        </w:rPr>
      </w:pPr>
      <w:r w:rsidRPr="0033273E">
        <w:rPr>
          <w:szCs w:val="24"/>
        </w:rPr>
        <w:tab/>
      </w:r>
      <w:r w:rsidR="001B601B" w:rsidRPr="0033273E">
        <w:rPr>
          <w:szCs w:val="24"/>
        </w:rPr>
        <w:tab/>
      </w:r>
      <w:r w:rsidRPr="0033273E">
        <w:rPr>
          <w:szCs w:val="24"/>
        </w:rPr>
        <w:t>In considering an application under subsection</w:t>
      </w:r>
      <w:r w:rsidR="00B84257" w:rsidRPr="0033273E">
        <w:rPr>
          <w:szCs w:val="24"/>
        </w:rPr>
        <w:t> </w:t>
      </w:r>
      <w:r w:rsidR="006D2977" w:rsidRPr="0033273E">
        <w:rPr>
          <w:szCs w:val="24"/>
        </w:rPr>
        <w:t>33(2)</w:t>
      </w:r>
      <w:r w:rsidRPr="0033273E">
        <w:rPr>
          <w:szCs w:val="24"/>
        </w:rPr>
        <w:t xml:space="preserve"> of the Act, </w:t>
      </w:r>
      <w:r w:rsidR="00F33834" w:rsidRPr="0033273E">
        <w:rPr>
          <w:szCs w:val="24"/>
        </w:rPr>
        <w:t xml:space="preserve">APRA </w:t>
      </w:r>
      <w:r w:rsidRPr="0033273E">
        <w:rPr>
          <w:szCs w:val="24"/>
        </w:rPr>
        <w:t>must take into account statements made in:</w:t>
      </w:r>
    </w:p>
    <w:p w14:paraId="1ED3495C" w14:textId="77777777" w:rsidR="007F7D6C" w:rsidRPr="0033273E" w:rsidRDefault="007F7D6C" w:rsidP="00B36939">
      <w:pPr>
        <w:pStyle w:val="Style4"/>
        <w:numPr>
          <w:ilvl w:val="0"/>
          <w:numId w:val="45"/>
        </w:numPr>
        <w:ind w:left="1701" w:hanging="567"/>
        <w:rPr>
          <w:sz w:val="24"/>
          <w:szCs w:val="24"/>
        </w:rPr>
      </w:pPr>
      <w:r w:rsidRPr="0033273E">
        <w:rPr>
          <w:sz w:val="24"/>
          <w:szCs w:val="24"/>
        </w:rPr>
        <w:t>the application; and</w:t>
      </w:r>
    </w:p>
    <w:p w14:paraId="2AB221AB" w14:textId="77777777" w:rsidR="007F7D6C" w:rsidRPr="0033273E" w:rsidRDefault="007F7D6C" w:rsidP="00B36939">
      <w:pPr>
        <w:pStyle w:val="Style4"/>
        <w:numPr>
          <w:ilvl w:val="0"/>
          <w:numId w:val="45"/>
        </w:numPr>
        <w:ind w:left="1701" w:hanging="567"/>
        <w:rPr>
          <w:sz w:val="24"/>
          <w:szCs w:val="24"/>
        </w:rPr>
      </w:pPr>
      <w:r w:rsidRPr="0033273E">
        <w:rPr>
          <w:sz w:val="24"/>
          <w:szCs w:val="24"/>
        </w:rPr>
        <w:t>the arrangement; and</w:t>
      </w:r>
    </w:p>
    <w:p w14:paraId="0EC26F65" w14:textId="77777777" w:rsidR="007F7D6C" w:rsidRPr="0033273E" w:rsidRDefault="007F7D6C" w:rsidP="00B36939">
      <w:pPr>
        <w:pStyle w:val="Style4"/>
        <w:numPr>
          <w:ilvl w:val="0"/>
          <w:numId w:val="45"/>
        </w:numPr>
        <w:ind w:left="1701" w:hanging="567"/>
        <w:rPr>
          <w:sz w:val="24"/>
          <w:szCs w:val="24"/>
        </w:rPr>
      </w:pPr>
      <w:r w:rsidRPr="0033273E">
        <w:rPr>
          <w:sz w:val="24"/>
          <w:szCs w:val="24"/>
        </w:rPr>
        <w:t>the certifications of compliance; and</w:t>
      </w:r>
    </w:p>
    <w:p w14:paraId="54383A1A" w14:textId="77777777" w:rsidR="007F7D6C" w:rsidRPr="0033273E" w:rsidRDefault="007F7D6C" w:rsidP="00B36939">
      <w:pPr>
        <w:pStyle w:val="Style4"/>
        <w:numPr>
          <w:ilvl w:val="0"/>
          <w:numId w:val="45"/>
        </w:numPr>
        <w:ind w:left="1701" w:hanging="567"/>
        <w:rPr>
          <w:sz w:val="24"/>
          <w:szCs w:val="24"/>
        </w:rPr>
      </w:pPr>
      <w:r w:rsidRPr="0033273E">
        <w:rPr>
          <w:sz w:val="24"/>
          <w:szCs w:val="24"/>
        </w:rPr>
        <w:t>the actuaries</w:t>
      </w:r>
      <w:r w:rsidR="00EE2809" w:rsidRPr="0033273E">
        <w:rPr>
          <w:sz w:val="24"/>
          <w:szCs w:val="24"/>
        </w:rPr>
        <w:t>’</w:t>
      </w:r>
      <w:r w:rsidRPr="0033273E">
        <w:rPr>
          <w:sz w:val="24"/>
          <w:szCs w:val="24"/>
        </w:rPr>
        <w:t xml:space="preserve"> reports,</w:t>
      </w:r>
    </w:p>
    <w:p w14:paraId="0C19CB12" w14:textId="77777777" w:rsidR="007F7D6C" w:rsidRDefault="007F7D6C" w:rsidP="001A30DD">
      <w:pPr>
        <w:pStyle w:val="Style4"/>
        <w:numPr>
          <w:ilvl w:val="0"/>
          <w:numId w:val="0"/>
        </w:numPr>
        <w:ind w:left="1134"/>
        <w:rPr>
          <w:sz w:val="24"/>
          <w:szCs w:val="24"/>
        </w:rPr>
      </w:pPr>
      <w:r w:rsidRPr="0033273E">
        <w:rPr>
          <w:sz w:val="24"/>
          <w:szCs w:val="24"/>
        </w:rPr>
        <w:t>but is not bound by those statements and may make its own inquiries which may include, without limitation, obtaining other actuarial advice.</w:t>
      </w:r>
    </w:p>
    <w:p w14:paraId="549019ED" w14:textId="77777777" w:rsidR="00C75D63" w:rsidRDefault="00C75D63" w:rsidP="001A30DD">
      <w:pPr>
        <w:pStyle w:val="Style4"/>
        <w:numPr>
          <w:ilvl w:val="0"/>
          <w:numId w:val="0"/>
        </w:numPr>
        <w:ind w:left="1134"/>
        <w:rPr>
          <w:sz w:val="24"/>
          <w:szCs w:val="24"/>
        </w:rPr>
      </w:pPr>
    </w:p>
    <w:p w14:paraId="373F6F44" w14:textId="77777777" w:rsidR="00C75D63" w:rsidRDefault="00C75D63" w:rsidP="001A30DD">
      <w:pPr>
        <w:pStyle w:val="Style4"/>
        <w:numPr>
          <w:ilvl w:val="0"/>
          <w:numId w:val="0"/>
        </w:numPr>
        <w:ind w:left="1134"/>
        <w:rPr>
          <w:sz w:val="24"/>
          <w:szCs w:val="24"/>
        </w:rPr>
      </w:pPr>
    </w:p>
    <w:p w14:paraId="179C5933" w14:textId="77777777" w:rsidR="00C75D63" w:rsidRPr="0033273E" w:rsidRDefault="00C75D63" w:rsidP="001A30DD">
      <w:pPr>
        <w:pStyle w:val="Style4"/>
        <w:numPr>
          <w:ilvl w:val="0"/>
          <w:numId w:val="0"/>
        </w:numPr>
        <w:ind w:left="1134"/>
        <w:rPr>
          <w:sz w:val="24"/>
          <w:szCs w:val="24"/>
        </w:rPr>
      </w:pPr>
    </w:p>
    <w:p w14:paraId="6416B6AB" w14:textId="77777777" w:rsidR="00F83120" w:rsidRPr="00590B9F" w:rsidRDefault="00F83120" w:rsidP="00B36939">
      <w:pPr>
        <w:pStyle w:val="ActHead5"/>
        <w:numPr>
          <w:ilvl w:val="1"/>
          <w:numId w:val="46"/>
        </w:numPr>
        <w:spacing w:before="0" w:after="240" w:line="240" w:lineRule="auto"/>
        <w:ind w:left="567" w:hanging="567"/>
        <w:contextualSpacing w:val="0"/>
        <w:rPr>
          <w:rFonts w:ascii="Arial" w:hAnsi="Arial" w:cs="Arial"/>
        </w:rPr>
      </w:pPr>
      <w:bookmarkStart w:id="136" w:name="_Toc413670991"/>
      <w:bookmarkStart w:id="137" w:name="_Toc413671450"/>
      <w:bookmarkStart w:id="138" w:name="_Toc413673024"/>
      <w:bookmarkStart w:id="139" w:name="_Toc413673449"/>
      <w:bookmarkStart w:id="140" w:name="_Ref162235162"/>
      <w:r w:rsidRPr="00590B9F">
        <w:rPr>
          <w:rFonts w:ascii="Arial" w:hAnsi="Arial" w:cs="Arial"/>
        </w:rPr>
        <w:t>Additional criteria for approving or refusing a merger or acquisition</w:t>
      </w:r>
      <w:bookmarkEnd w:id="136"/>
      <w:bookmarkEnd w:id="137"/>
      <w:bookmarkEnd w:id="138"/>
      <w:bookmarkEnd w:id="139"/>
    </w:p>
    <w:p w14:paraId="566AA05A" w14:textId="77777777" w:rsidR="00F83120" w:rsidRPr="00A1447D" w:rsidRDefault="0033273E" w:rsidP="0033273E">
      <w:pPr>
        <w:pStyle w:val="Style9"/>
        <w:ind w:left="1134" w:hanging="567"/>
        <w:rPr>
          <w:szCs w:val="24"/>
        </w:rPr>
      </w:pPr>
      <w:r>
        <w:lastRenderedPageBreak/>
        <w:t xml:space="preserve"> </w:t>
      </w:r>
      <w:r>
        <w:tab/>
      </w:r>
      <w:r>
        <w:tab/>
      </w:r>
      <w:r w:rsidR="00F83120" w:rsidRPr="00A1447D">
        <w:rPr>
          <w:szCs w:val="24"/>
        </w:rPr>
        <w:t>For the purposes of subsection</w:t>
      </w:r>
      <w:r w:rsidR="00B84257" w:rsidRPr="00A1447D">
        <w:rPr>
          <w:szCs w:val="24"/>
        </w:rPr>
        <w:t> </w:t>
      </w:r>
      <w:r w:rsidR="00E6181C" w:rsidRPr="00A1447D">
        <w:rPr>
          <w:szCs w:val="24"/>
        </w:rPr>
        <w:t>33</w:t>
      </w:r>
      <w:r w:rsidR="002709CA" w:rsidRPr="00A1447D">
        <w:rPr>
          <w:szCs w:val="24"/>
        </w:rPr>
        <w:t>(</w:t>
      </w:r>
      <w:r w:rsidR="00F83120" w:rsidRPr="00A1447D">
        <w:rPr>
          <w:szCs w:val="24"/>
        </w:rPr>
        <w:t>5), additional criteria for refusing to approve applications under section</w:t>
      </w:r>
      <w:r w:rsidR="00B84257" w:rsidRPr="00A1447D">
        <w:rPr>
          <w:szCs w:val="24"/>
        </w:rPr>
        <w:t> </w:t>
      </w:r>
      <w:r w:rsidR="00E6181C" w:rsidRPr="00A1447D">
        <w:rPr>
          <w:szCs w:val="24"/>
        </w:rPr>
        <w:t>33</w:t>
      </w:r>
      <w:r w:rsidR="00F83120" w:rsidRPr="00A1447D">
        <w:rPr>
          <w:szCs w:val="24"/>
        </w:rPr>
        <w:t xml:space="preserve"> are specified in this rule.</w:t>
      </w:r>
    </w:p>
    <w:p w14:paraId="53967B8E" w14:textId="77777777" w:rsidR="00F83120" w:rsidRPr="00A1447D" w:rsidRDefault="0033273E" w:rsidP="0033273E">
      <w:pPr>
        <w:pStyle w:val="Style9"/>
        <w:ind w:left="1134" w:hanging="567"/>
        <w:rPr>
          <w:szCs w:val="24"/>
        </w:rPr>
      </w:pPr>
      <w:bookmarkStart w:id="141" w:name="_Ref191610200"/>
      <w:r w:rsidRPr="00A1447D">
        <w:rPr>
          <w:szCs w:val="24"/>
        </w:rPr>
        <w:t xml:space="preserve"> </w:t>
      </w:r>
      <w:r w:rsidRPr="00A1447D">
        <w:rPr>
          <w:szCs w:val="24"/>
        </w:rPr>
        <w:tab/>
      </w:r>
      <w:r w:rsidRPr="00A1447D">
        <w:rPr>
          <w:szCs w:val="24"/>
        </w:rPr>
        <w:tab/>
      </w:r>
      <w:r w:rsidR="00F83120" w:rsidRPr="00A1447D">
        <w:rPr>
          <w:szCs w:val="24"/>
        </w:rPr>
        <w:t>If the application is in respect of an arrangement which involves the transfer of policies referable to the health benefits fund of a not</w:t>
      </w:r>
      <w:r w:rsidR="00B84257" w:rsidRPr="00A1447D">
        <w:rPr>
          <w:szCs w:val="24"/>
        </w:rPr>
        <w:noBreakHyphen/>
      </w:r>
      <w:r w:rsidR="00F83120" w:rsidRPr="00A1447D">
        <w:rPr>
          <w:szCs w:val="24"/>
        </w:rPr>
        <w:t>for</w:t>
      </w:r>
      <w:r w:rsidR="00B84257" w:rsidRPr="00A1447D">
        <w:rPr>
          <w:szCs w:val="24"/>
        </w:rPr>
        <w:noBreakHyphen/>
      </w:r>
      <w:r w:rsidR="00F83120" w:rsidRPr="00A1447D">
        <w:rPr>
          <w:szCs w:val="24"/>
        </w:rPr>
        <w:t>profit insurer and there is any financial benefit to any person, the criteria for refusal are that the arrangement would result in a financial benefit:</w:t>
      </w:r>
      <w:bookmarkEnd w:id="141"/>
    </w:p>
    <w:p w14:paraId="4F0ECEC7" w14:textId="77777777" w:rsidR="00F83120" w:rsidRPr="00A1447D" w:rsidRDefault="00F83120" w:rsidP="00B36939">
      <w:pPr>
        <w:pStyle w:val="Style4"/>
        <w:numPr>
          <w:ilvl w:val="0"/>
          <w:numId w:val="47"/>
        </w:numPr>
        <w:ind w:left="1701" w:hanging="567"/>
        <w:rPr>
          <w:sz w:val="24"/>
          <w:szCs w:val="24"/>
        </w:rPr>
      </w:pPr>
      <w:bookmarkStart w:id="142" w:name="_Ref191606485"/>
      <w:r w:rsidRPr="00A1447D">
        <w:rPr>
          <w:sz w:val="24"/>
          <w:szCs w:val="24"/>
        </w:rPr>
        <w:t>to any person who is not a policy holder of, or another person insured through, the health benefits fund conducted by the transferor insurer;</w:t>
      </w:r>
      <w:bookmarkEnd w:id="142"/>
      <w:r w:rsidRPr="00A1447D">
        <w:rPr>
          <w:sz w:val="24"/>
          <w:szCs w:val="24"/>
        </w:rPr>
        <w:t xml:space="preserve"> or</w:t>
      </w:r>
    </w:p>
    <w:p w14:paraId="061F7A1E" w14:textId="77777777" w:rsidR="00F83120" w:rsidRPr="00A1447D" w:rsidRDefault="00F83120" w:rsidP="00B36939">
      <w:pPr>
        <w:pStyle w:val="Style4"/>
        <w:numPr>
          <w:ilvl w:val="0"/>
          <w:numId w:val="47"/>
        </w:numPr>
        <w:ind w:left="1701" w:hanging="567"/>
        <w:rPr>
          <w:sz w:val="24"/>
          <w:szCs w:val="24"/>
        </w:rPr>
      </w:pPr>
      <w:r w:rsidRPr="00A1447D">
        <w:rPr>
          <w:sz w:val="24"/>
          <w:szCs w:val="24"/>
        </w:rPr>
        <w:t>being distributed inequitably between policy holders, or another person insured through, the health benefits fund conducted by the transferor insurer; or</w:t>
      </w:r>
    </w:p>
    <w:p w14:paraId="009C91DE" w14:textId="77777777" w:rsidR="00F83120" w:rsidRPr="00A1447D" w:rsidRDefault="00F83120" w:rsidP="00B36939">
      <w:pPr>
        <w:pStyle w:val="Style4"/>
        <w:numPr>
          <w:ilvl w:val="0"/>
          <w:numId w:val="47"/>
        </w:numPr>
        <w:ind w:left="1701" w:hanging="567"/>
        <w:rPr>
          <w:sz w:val="24"/>
          <w:szCs w:val="24"/>
        </w:rPr>
      </w:pPr>
      <w:r w:rsidRPr="00A1447D">
        <w:rPr>
          <w:sz w:val="24"/>
          <w:szCs w:val="24"/>
        </w:rPr>
        <w:t>not being distributed at all to policy holders of the health benefits fund conducted by the transferor insurer.</w:t>
      </w:r>
    </w:p>
    <w:p w14:paraId="11949145" w14:textId="77777777" w:rsidR="00F83120" w:rsidRPr="00A1447D" w:rsidRDefault="0059624F" w:rsidP="0059624F">
      <w:pPr>
        <w:pStyle w:val="Style9"/>
        <w:ind w:left="1134" w:hanging="567"/>
        <w:rPr>
          <w:szCs w:val="24"/>
        </w:rPr>
      </w:pPr>
      <w:r w:rsidRPr="00A1447D">
        <w:rPr>
          <w:szCs w:val="24"/>
        </w:rPr>
        <w:t xml:space="preserve"> </w:t>
      </w:r>
      <w:r w:rsidRPr="00A1447D">
        <w:rPr>
          <w:szCs w:val="24"/>
        </w:rPr>
        <w:tab/>
      </w:r>
      <w:r w:rsidRPr="00A1447D">
        <w:rPr>
          <w:szCs w:val="24"/>
        </w:rPr>
        <w:tab/>
      </w:r>
      <w:r w:rsidR="00F83120" w:rsidRPr="00A1447D">
        <w:rPr>
          <w:szCs w:val="24"/>
        </w:rPr>
        <w:t>If the application is in respect of an arrangement of a kind referred to in subrule 1</w:t>
      </w:r>
      <w:r w:rsidR="00DE15DB">
        <w:rPr>
          <w:szCs w:val="24"/>
        </w:rPr>
        <w:t>2</w:t>
      </w:r>
      <w:r w:rsidR="002709CA" w:rsidRPr="00A1447D">
        <w:rPr>
          <w:szCs w:val="24"/>
        </w:rPr>
        <w:t>(</w:t>
      </w:r>
      <w:r w:rsidR="00F83120" w:rsidRPr="00A1447D">
        <w:rPr>
          <w:szCs w:val="24"/>
        </w:rPr>
        <w:t>6), the criteria for refusal are that:</w:t>
      </w:r>
    </w:p>
    <w:p w14:paraId="0B95D093" w14:textId="77777777" w:rsidR="00F83120" w:rsidRPr="00A1447D" w:rsidRDefault="00F83120" w:rsidP="00B36939">
      <w:pPr>
        <w:pStyle w:val="Style4"/>
        <w:numPr>
          <w:ilvl w:val="0"/>
          <w:numId w:val="48"/>
        </w:numPr>
        <w:ind w:left="1701" w:hanging="567"/>
        <w:rPr>
          <w:sz w:val="24"/>
          <w:szCs w:val="24"/>
        </w:rPr>
      </w:pPr>
      <w:r w:rsidRPr="00A1447D">
        <w:rPr>
          <w:sz w:val="24"/>
          <w:szCs w:val="24"/>
        </w:rPr>
        <w:t>the transferee insurer has not paid the market value for the transferor insurer's health insurance business; or</w:t>
      </w:r>
    </w:p>
    <w:p w14:paraId="0D6F417A" w14:textId="77777777" w:rsidR="00F83120" w:rsidRPr="00A1447D" w:rsidRDefault="00F83120" w:rsidP="00B36939">
      <w:pPr>
        <w:pStyle w:val="Style4"/>
        <w:numPr>
          <w:ilvl w:val="0"/>
          <w:numId w:val="48"/>
        </w:numPr>
        <w:ind w:left="1701" w:hanging="567"/>
        <w:rPr>
          <w:sz w:val="24"/>
          <w:szCs w:val="24"/>
        </w:rPr>
      </w:pPr>
      <w:r w:rsidRPr="00A1447D">
        <w:rPr>
          <w:sz w:val="24"/>
          <w:szCs w:val="24"/>
        </w:rPr>
        <w:t>if subrule (2) also applies to the transfer, the financial benefit in respect of the transfer does not represent the market value for the transferor insurer's health insurance business.</w:t>
      </w:r>
    </w:p>
    <w:p w14:paraId="002FABA5" w14:textId="77777777" w:rsidR="00F83120" w:rsidRPr="00A1447D" w:rsidRDefault="00FE19B4" w:rsidP="00FE19B4">
      <w:pPr>
        <w:pStyle w:val="Style9"/>
        <w:ind w:left="1134" w:hanging="567"/>
        <w:rPr>
          <w:szCs w:val="24"/>
        </w:rPr>
      </w:pPr>
      <w:r w:rsidRPr="00A1447D">
        <w:rPr>
          <w:szCs w:val="24"/>
        </w:rPr>
        <w:t xml:space="preserve"> </w:t>
      </w:r>
      <w:r w:rsidRPr="00A1447D">
        <w:rPr>
          <w:szCs w:val="24"/>
        </w:rPr>
        <w:tab/>
      </w:r>
      <w:r w:rsidRPr="00A1447D">
        <w:rPr>
          <w:szCs w:val="24"/>
        </w:rPr>
        <w:tab/>
      </w:r>
      <w:r w:rsidR="00F83120" w:rsidRPr="00A1447D">
        <w:rPr>
          <w:szCs w:val="24"/>
        </w:rPr>
        <w:t xml:space="preserve">In considering the market value of </w:t>
      </w:r>
      <w:r w:rsidR="00736671" w:rsidRPr="00A1447D">
        <w:rPr>
          <w:szCs w:val="24"/>
        </w:rPr>
        <w:t>the transferor private health insurer’s health insurance business</w:t>
      </w:r>
      <w:r w:rsidR="00F83120" w:rsidRPr="00A1447D">
        <w:rPr>
          <w:szCs w:val="24"/>
        </w:rPr>
        <w:t xml:space="preserve">, </w:t>
      </w:r>
      <w:r w:rsidR="00F33834" w:rsidRPr="00A1447D">
        <w:rPr>
          <w:szCs w:val="24"/>
        </w:rPr>
        <w:t>APRA</w:t>
      </w:r>
      <w:r w:rsidR="00F83120" w:rsidRPr="00A1447D">
        <w:rPr>
          <w:szCs w:val="24"/>
        </w:rPr>
        <w:t xml:space="preserve"> may have regard to the statement referred to in subrule 1</w:t>
      </w:r>
      <w:r w:rsidR="00DE15DB">
        <w:rPr>
          <w:szCs w:val="24"/>
        </w:rPr>
        <w:t>2</w:t>
      </w:r>
      <w:r w:rsidR="002709CA" w:rsidRPr="00A1447D">
        <w:rPr>
          <w:szCs w:val="24"/>
        </w:rPr>
        <w:t>(</w:t>
      </w:r>
      <w:r w:rsidR="00F83120" w:rsidRPr="00A1447D">
        <w:rPr>
          <w:szCs w:val="24"/>
        </w:rPr>
        <w:t>6) and any other information it thinks fit.</w:t>
      </w:r>
    </w:p>
    <w:p w14:paraId="3FD88B42" w14:textId="77777777" w:rsidR="00F83120" w:rsidRPr="00A1447D" w:rsidRDefault="00F83120" w:rsidP="00FE19B4">
      <w:pPr>
        <w:pStyle w:val="Style9"/>
        <w:ind w:left="1134" w:hanging="567"/>
        <w:rPr>
          <w:szCs w:val="24"/>
        </w:rPr>
      </w:pPr>
      <w:r w:rsidRPr="00A1447D">
        <w:rPr>
          <w:szCs w:val="24"/>
        </w:rPr>
        <w:tab/>
      </w:r>
      <w:r w:rsidR="00FE19B4" w:rsidRPr="00A1447D">
        <w:rPr>
          <w:szCs w:val="24"/>
        </w:rPr>
        <w:t xml:space="preserve"> </w:t>
      </w:r>
      <w:r w:rsidR="00FE19B4" w:rsidRPr="00A1447D">
        <w:rPr>
          <w:szCs w:val="24"/>
        </w:rPr>
        <w:tab/>
      </w:r>
      <w:r w:rsidRPr="00A1447D">
        <w:rPr>
          <w:szCs w:val="24"/>
        </w:rPr>
        <w:t xml:space="preserve">If </w:t>
      </w:r>
      <w:r w:rsidR="00F33834" w:rsidRPr="00A1447D">
        <w:rPr>
          <w:szCs w:val="24"/>
        </w:rPr>
        <w:t>APRA</w:t>
      </w:r>
      <w:r w:rsidRPr="00A1447D">
        <w:rPr>
          <w:szCs w:val="24"/>
        </w:rPr>
        <w:t xml:space="preserve"> requests the applicants to amend in a particular way the arrangement that is the subject of the application, it is a criterion for refusal that the </w:t>
      </w:r>
      <w:r w:rsidRPr="00A1447D">
        <w:rPr>
          <w:szCs w:val="24"/>
        </w:rPr>
        <w:lastRenderedPageBreak/>
        <w:t xml:space="preserve">applicants fail to amend the arrangement within a time specified by </w:t>
      </w:r>
      <w:r w:rsidR="00F33834" w:rsidRPr="00A1447D">
        <w:rPr>
          <w:szCs w:val="24"/>
        </w:rPr>
        <w:t>APRA</w:t>
      </w:r>
      <w:r w:rsidRPr="00A1447D">
        <w:rPr>
          <w:szCs w:val="24"/>
        </w:rPr>
        <w:t xml:space="preserve"> in writing to the applicants.</w:t>
      </w:r>
    </w:p>
    <w:p w14:paraId="7163288C" w14:textId="77777777" w:rsidR="007F7D6C" w:rsidRPr="00B84257" w:rsidRDefault="007F7D6C" w:rsidP="00DD0D9E">
      <w:pPr>
        <w:pStyle w:val="Style2"/>
      </w:pPr>
      <w:bookmarkStart w:id="143" w:name="_Toc413670992"/>
      <w:bookmarkStart w:id="144" w:name="_Toc413671451"/>
      <w:bookmarkStart w:id="145" w:name="_Toc413673025"/>
      <w:bookmarkStart w:id="146" w:name="_Toc413673450"/>
      <w:r w:rsidRPr="00B84257">
        <w:t>How a merger or acquisition takes effect</w:t>
      </w:r>
      <w:bookmarkEnd w:id="140"/>
      <w:bookmarkEnd w:id="143"/>
      <w:bookmarkEnd w:id="144"/>
      <w:bookmarkEnd w:id="145"/>
      <w:bookmarkEnd w:id="146"/>
    </w:p>
    <w:p w14:paraId="041770EF" w14:textId="77777777" w:rsidR="007F7D6C" w:rsidRPr="00C15DD0" w:rsidRDefault="0024167C" w:rsidP="0024167C">
      <w:pPr>
        <w:pStyle w:val="Style9"/>
        <w:ind w:left="1134" w:hanging="567"/>
        <w:rPr>
          <w:szCs w:val="24"/>
        </w:rPr>
      </w:pPr>
      <w:bookmarkStart w:id="147" w:name="_Ref162235163"/>
      <w:r>
        <w:t xml:space="preserve"> </w:t>
      </w:r>
      <w:r>
        <w:tab/>
      </w:r>
      <w:r>
        <w:tab/>
      </w:r>
      <w:r w:rsidR="007F7D6C" w:rsidRPr="00C15DD0">
        <w:rPr>
          <w:szCs w:val="24"/>
        </w:rPr>
        <w:t>If, on the transfer date:</w:t>
      </w:r>
      <w:bookmarkEnd w:id="147"/>
    </w:p>
    <w:p w14:paraId="12542DDC" w14:textId="77777777" w:rsidR="007F7D6C" w:rsidRPr="00C15DD0" w:rsidRDefault="00F33834" w:rsidP="00B36939">
      <w:pPr>
        <w:pStyle w:val="Style4"/>
        <w:numPr>
          <w:ilvl w:val="0"/>
          <w:numId w:val="49"/>
        </w:numPr>
        <w:spacing w:line="240" w:lineRule="auto"/>
        <w:ind w:left="1701" w:hanging="567"/>
        <w:rPr>
          <w:sz w:val="24"/>
          <w:szCs w:val="24"/>
        </w:rPr>
      </w:pPr>
      <w:r w:rsidRPr="00C15DD0">
        <w:rPr>
          <w:sz w:val="24"/>
          <w:szCs w:val="24"/>
        </w:rPr>
        <w:t>APRA</w:t>
      </w:r>
      <w:r w:rsidR="007F7D6C" w:rsidRPr="00C15DD0">
        <w:rPr>
          <w:sz w:val="24"/>
          <w:szCs w:val="24"/>
        </w:rPr>
        <w:t xml:space="preserve"> has approved an arrangement; and</w:t>
      </w:r>
    </w:p>
    <w:p w14:paraId="42700AC4" w14:textId="77777777" w:rsidR="002C65B2" w:rsidRPr="00C15DD0" w:rsidRDefault="007F7D6C" w:rsidP="00B36939">
      <w:pPr>
        <w:pStyle w:val="Style4"/>
        <w:numPr>
          <w:ilvl w:val="0"/>
          <w:numId w:val="49"/>
        </w:numPr>
        <w:spacing w:line="240" w:lineRule="auto"/>
        <w:ind w:left="1701" w:hanging="567"/>
        <w:rPr>
          <w:sz w:val="24"/>
          <w:szCs w:val="24"/>
        </w:rPr>
      </w:pPr>
      <w:bookmarkStart w:id="148" w:name="_Ref162235167"/>
      <w:r w:rsidRPr="00C15DD0">
        <w:rPr>
          <w:sz w:val="24"/>
          <w:szCs w:val="24"/>
        </w:rPr>
        <w:t>the transferor and transferee insurer(s) have:</w:t>
      </w:r>
      <w:bookmarkEnd w:id="148"/>
    </w:p>
    <w:p w14:paraId="5F59E3BB" w14:textId="77777777" w:rsidR="007F7D6C" w:rsidRPr="00C15DD0" w:rsidRDefault="007F7D6C" w:rsidP="0024167C">
      <w:pPr>
        <w:pStyle w:val="Style11"/>
      </w:pPr>
      <w:r w:rsidRPr="00C15DD0">
        <w:t>complied with rules</w:t>
      </w:r>
      <w:r w:rsidR="00B84257" w:rsidRPr="00C15DD0">
        <w:t> </w:t>
      </w:r>
      <w:r w:rsidRPr="00C15DD0">
        <w:t>1</w:t>
      </w:r>
      <w:r w:rsidR="00DE15DB">
        <w:t>2</w:t>
      </w:r>
      <w:r w:rsidRPr="00C15DD0">
        <w:t xml:space="preserve"> and 1</w:t>
      </w:r>
      <w:r w:rsidR="00DE15DB">
        <w:t>3</w:t>
      </w:r>
      <w:r w:rsidRPr="00C15DD0">
        <w:t xml:space="preserve"> including, without limitation, subrules 1</w:t>
      </w:r>
      <w:r w:rsidR="00DE15DB">
        <w:t>3</w:t>
      </w:r>
      <w:r w:rsidR="002709CA" w:rsidRPr="00C15DD0">
        <w:t>(</w:t>
      </w:r>
      <w:r w:rsidRPr="00C15DD0">
        <w:t>2) and 1</w:t>
      </w:r>
      <w:r w:rsidR="00DE15DB">
        <w:t>3</w:t>
      </w:r>
      <w:r w:rsidR="002709CA" w:rsidRPr="00C15DD0">
        <w:t>(</w:t>
      </w:r>
      <w:r w:rsidRPr="00C15DD0">
        <w:t>3); and</w:t>
      </w:r>
    </w:p>
    <w:p w14:paraId="168277AB" w14:textId="77777777" w:rsidR="007F7D6C" w:rsidRPr="00C15DD0" w:rsidRDefault="007F7D6C" w:rsidP="0024167C">
      <w:pPr>
        <w:pStyle w:val="Style11"/>
      </w:pPr>
      <w:bookmarkStart w:id="149" w:name="_Ref162235327"/>
      <w:r w:rsidRPr="00C15DD0">
        <w:t>taken the actions referred to in Schedule</w:t>
      </w:r>
      <w:r w:rsidR="00B84257" w:rsidRPr="00C15DD0">
        <w:t> </w:t>
      </w:r>
      <w:r w:rsidRPr="00C15DD0">
        <w:t>1</w:t>
      </w:r>
      <w:bookmarkEnd w:id="149"/>
      <w:r w:rsidRPr="00C15DD0">
        <w:t>,</w:t>
      </w:r>
    </w:p>
    <w:p w14:paraId="2635A2D4" w14:textId="77777777" w:rsidR="007F7D6C" w:rsidRPr="00C15DD0" w:rsidRDefault="007F7D6C" w:rsidP="0024167C">
      <w:pPr>
        <w:pStyle w:val="Style10"/>
        <w:numPr>
          <w:ilvl w:val="0"/>
          <w:numId w:val="0"/>
        </w:numPr>
        <w:ind w:left="1701" w:hanging="567"/>
        <w:rPr>
          <w:szCs w:val="24"/>
        </w:rPr>
      </w:pPr>
      <w:r w:rsidRPr="00C15DD0">
        <w:rPr>
          <w:szCs w:val="24"/>
        </w:rPr>
        <w:t>then:</w:t>
      </w:r>
    </w:p>
    <w:p w14:paraId="72B47255" w14:textId="77777777" w:rsidR="0024167C" w:rsidRPr="00C15DD0" w:rsidRDefault="007F7D6C" w:rsidP="0024167C">
      <w:pPr>
        <w:pStyle w:val="Style10"/>
        <w:rPr>
          <w:szCs w:val="24"/>
        </w:rPr>
      </w:pPr>
      <w:r w:rsidRPr="00C15DD0">
        <w:rPr>
          <w:szCs w:val="24"/>
        </w:rPr>
        <w:t xml:space="preserve">each transferee insurer is substituted for the transferor insurer as </w:t>
      </w:r>
      <w:r w:rsidR="00A75829" w:rsidRPr="00C15DD0">
        <w:rPr>
          <w:szCs w:val="24"/>
        </w:rPr>
        <w:t>the private health insurer</w:t>
      </w:r>
      <w:r w:rsidRPr="00C15DD0">
        <w:rPr>
          <w:szCs w:val="24"/>
        </w:rPr>
        <w:t xml:space="preserve"> for each policy identified in the arrangement as a policy which is to become referable to a receiving fund of the transferee insurer; and</w:t>
      </w:r>
    </w:p>
    <w:p w14:paraId="0F93267C" w14:textId="77777777" w:rsidR="0024167C" w:rsidRPr="00C15DD0" w:rsidRDefault="007F7D6C" w:rsidP="0024167C">
      <w:pPr>
        <w:pStyle w:val="Style10"/>
        <w:rPr>
          <w:szCs w:val="24"/>
        </w:rPr>
      </w:pPr>
      <w:r w:rsidRPr="00C15DD0">
        <w:rPr>
          <w:szCs w:val="24"/>
        </w:rPr>
        <w:t>the policy operates on and from the transfer date as if all references in the policy to the transferor insurer were references to the transferee insurer; and</w:t>
      </w:r>
    </w:p>
    <w:p w14:paraId="1B38236A" w14:textId="77777777" w:rsidR="0024167C" w:rsidRPr="00C15DD0" w:rsidRDefault="007F7D6C" w:rsidP="0024167C">
      <w:pPr>
        <w:pStyle w:val="Style10"/>
        <w:rPr>
          <w:szCs w:val="24"/>
        </w:rPr>
      </w:pPr>
      <w:r w:rsidRPr="00C15DD0">
        <w:rPr>
          <w:szCs w:val="24"/>
        </w:rPr>
        <w:t>policies referable to the transferring fund(s) become referable to the receiving fund(s) in accordance with the arrangement; and</w:t>
      </w:r>
    </w:p>
    <w:p w14:paraId="53B34E1B" w14:textId="77777777" w:rsidR="0024167C" w:rsidRPr="00C15DD0" w:rsidRDefault="007F7D6C" w:rsidP="0024167C">
      <w:pPr>
        <w:pStyle w:val="Style10"/>
        <w:rPr>
          <w:szCs w:val="24"/>
        </w:rPr>
      </w:pPr>
      <w:r w:rsidRPr="00C15DD0">
        <w:rPr>
          <w:szCs w:val="24"/>
        </w:rPr>
        <w:t>the liabilities incurred for the purposes of the transferring fund(s), including without limitation the policy liabilities, become treated as incurred for the purposes of the receiving fund(s) in accordance with the arrangement; and</w:t>
      </w:r>
    </w:p>
    <w:p w14:paraId="20C84F48" w14:textId="77777777" w:rsidR="0024167C" w:rsidRPr="00C15DD0" w:rsidRDefault="007F7D6C" w:rsidP="0024167C">
      <w:pPr>
        <w:pStyle w:val="Style10"/>
        <w:rPr>
          <w:szCs w:val="24"/>
        </w:rPr>
      </w:pPr>
      <w:r w:rsidRPr="00C15DD0">
        <w:rPr>
          <w:szCs w:val="24"/>
        </w:rPr>
        <w:lastRenderedPageBreak/>
        <w:t>the assets of the transferring fund(s) become assets of the receiving fund(s) in accordance with the arrangements.</w:t>
      </w:r>
    </w:p>
    <w:p w14:paraId="3F963F18" w14:textId="77777777" w:rsidR="007F7D6C" w:rsidRPr="00C15DD0" w:rsidRDefault="0024167C" w:rsidP="0024167C">
      <w:pPr>
        <w:pStyle w:val="Style10"/>
        <w:numPr>
          <w:ilvl w:val="0"/>
          <w:numId w:val="0"/>
        </w:numPr>
        <w:ind w:left="1701"/>
        <w:rPr>
          <w:szCs w:val="24"/>
        </w:rPr>
      </w:pPr>
      <w:r w:rsidRPr="00C15DD0">
        <w:rPr>
          <w:szCs w:val="24"/>
        </w:rPr>
        <w:t xml:space="preserve">Note: </w:t>
      </w:r>
      <w:r w:rsidR="007F7D6C" w:rsidRPr="00C15DD0">
        <w:rPr>
          <w:szCs w:val="24"/>
        </w:rPr>
        <w:t>Subsection</w:t>
      </w:r>
      <w:r w:rsidR="00B84257" w:rsidRPr="00C15DD0">
        <w:rPr>
          <w:szCs w:val="24"/>
        </w:rPr>
        <w:t> </w:t>
      </w:r>
      <w:r w:rsidR="00E6181C" w:rsidRPr="00C15DD0">
        <w:rPr>
          <w:szCs w:val="24"/>
        </w:rPr>
        <w:t>33</w:t>
      </w:r>
      <w:r w:rsidR="002709CA" w:rsidRPr="00C15DD0">
        <w:rPr>
          <w:szCs w:val="24"/>
        </w:rPr>
        <w:t>(</w:t>
      </w:r>
      <w:r w:rsidR="007F7D6C" w:rsidRPr="00C15DD0">
        <w:rPr>
          <w:szCs w:val="24"/>
        </w:rPr>
        <w:t>7) of the Act provides that, for the purposes of the Act, an insurance policy that becomes referable to a health benefits fund of the transferee insurer as a result of the arrangement is treated, after the arrangement takes effect, as if it were an insurance policy issued by the transferee insurer.</w:t>
      </w:r>
    </w:p>
    <w:p w14:paraId="01FF4F91" w14:textId="77777777" w:rsidR="007F7D6C" w:rsidRPr="00B84257" w:rsidRDefault="007F7D6C" w:rsidP="005E6907">
      <w:pPr>
        <w:pStyle w:val="Style2"/>
      </w:pPr>
      <w:bookmarkStart w:id="150" w:name="_Toc413670993"/>
      <w:bookmarkStart w:id="151" w:name="_Toc413671452"/>
      <w:bookmarkStart w:id="152" w:name="_Toc413673026"/>
      <w:bookmarkStart w:id="153" w:name="_Toc413673451"/>
      <w:r w:rsidRPr="00B84257">
        <w:t>Notification to interested persons of outcome of a section</w:t>
      </w:r>
      <w:r w:rsidR="00B84257">
        <w:t> </w:t>
      </w:r>
      <w:r w:rsidR="00E6181C">
        <w:t>33</w:t>
      </w:r>
      <w:r w:rsidR="00D90853">
        <w:t xml:space="preserve"> </w:t>
      </w:r>
      <w:r w:rsidRPr="00B84257">
        <w:t>application</w:t>
      </w:r>
      <w:bookmarkEnd w:id="150"/>
      <w:bookmarkEnd w:id="151"/>
      <w:bookmarkEnd w:id="152"/>
      <w:bookmarkEnd w:id="153"/>
    </w:p>
    <w:p w14:paraId="3A9C2AF8" w14:textId="77777777" w:rsidR="00195BEC" w:rsidRPr="00A57F31" w:rsidRDefault="00C15DD0" w:rsidP="00195BEC">
      <w:pPr>
        <w:pStyle w:val="Style9"/>
        <w:ind w:left="1134" w:hanging="567"/>
        <w:rPr>
          <w:rStyle w:val="Style9Char"/>
          <w:szCs w:val="24"/>
        </w:rPr>
      </w:pPr>
      <w:bookmarkStart w:id="154" w:name="_Ref162234931"/>
      <w:r>
        <w:rPr>
          <w:rStyle w:val="Style9Char"/>
        </w:rPr>
        <w:t xml:space="preserve"> </w:t>
      </w:r>
      <w:r>
        <w:rPr>
          <w:rStyle w:val="Style9Char"/>
        </w:rPr>
        <w:tab/>
      </w:r>
      <w:r>
        <w:rPr>
          <w:rStyle w:val="Style9Char"/>
        </w:rPr>
        <w:tab/>
      </w:r>
      <w:r w:rsidR="007F7D6C" w:rsidRPr="00A57F31">
        <w:rPr>
          <w:rStyle w:val="Style9Char"/>
          <w:szCs w:val="24"/>
        </w:rPr>
        <w:t xml:space="preserve">If </w:t>
      </w:r>
      <w:r w:rsidR="00F33834" w:rsidRPr="00A57F31">
        <w:rPr>
          <w:rStyle w:val="Style9Char"/>
          <w:szCs w:val="24"/>
        </w:rPr>
        <w:t>APRA</w:t>
      </w:r>
      <w:r w:rsidR="007F7D6C" w:rsidRPr="00A57F31">
        <w:rPr>
          <w:rStyle w:val="Style9Char"/>
          <w:szCs w:val="24"/>
        </w:rPr>
        <w:t xml:space="preserve"> or the Administrative Appeals Tribunal approves an application for approval of an arrangement for a merger or acquisition, then within 20 days of the arrangement taking effect, </w:t>
      </w:r>
      <w:r w:rsidR="00F9658D" w:rsidRPr="00A57F31">
        <w:rPr>
          <w:rStyle w:val="Style9Char"/>
          <w:szCs w:val="24"/>
        </w:rPr>
        <w:t>the private health insurers who made the application</w:t>
      </w:r>
      <w:r w:rsidR="007F7D6C" w:rsidRPr="00A57F31">
        <w:rPr>
          <w:rStyle w:val="Style9Char"/>
          <w:szCs w:val="24"/>
        </w:rPr>
        <w:t xml:space="preserve"> must provide to at least one adult insured under each policy, or, for a policy covering no adults, the person who pays the premium, which is being made, or has been made, referable to a receiving fund, a statement of the outcome of the application.</w:t>
      </w:r>
      <w:bookmarkStart w:id="155" w:name="_Ref162234965"/>
      <w:bookmarkEnd w:id="154"/>
    </w:p>
    <w:p w14:paraId="142935E7" w14:textId="77777777" w:rsidR="00195BEC" w:rsidRPr="00A57F31" w:rsidRDefault="00195BEC" w:rsidP="00195BEC">
      <w:pPr>
        <w:pStyle w:val="Style9"/>
        <w:ind w:left="1134" w:hanging="567"/>
        <w:rPr>
          <w:szCs w:val="24"/>
        </w:rPr>
      </w:pPr>
      <w:r w:rsidRPr="00A57F31">
        <w:rPr>
          <w:rStyle w:val="Style9Char"/>
          <w:szCs w:val="24"/>
        </w:rPr>
        <w:t xml:space="preserve"> </w:t>
      </w:r>
      <w:r w:rsidRPr="00A57F31">
        <w:rPr>
          <w:rStyle w:val="Style9Char"/>
          <w:szCs w:val="24"/>
        </w:rPr>
        <w:tab/>
      </w:r>
      <w:r w:rsidRPr="00A57F31">
        <w:rPr>
          <w:rStyle w:val="Style9Char"/>
          <w:szCs w:val="24"/>
        </w:rPr>
        <w:tab/>
      </w:r>
      <w:r w:rsidR="007F7D6C" w:rsidRPr="00A57F31">
        <w:rPr>
          <w:szCs w:val="24"/>
        </w:rPr>
        <w:t>The notification of outcome referred to in subrule (1) may be combined with the statement provided for the purposes of subsection</w:t>
      </w:r>
      <w:r w:rsidR="00B84257" w:rsidRPr="00A57F31">
        <w:rPr>
          <w:szCs w:val="24"/>
        </w:rPr>
        <w:t> </w:t>
      </w:r>
      <w:r w:rsidR="007F7D6C" w:rsidRPr="00A57F31">
        <w:rPr>
          <w:szCs w:val="24"/>
        </w:rPr>
        <w:t>93</w:t>
      </w:r>
      <w:r w:rsidR="00B84257" w:rsidRPr="00A57F31">
        <w:rPr>
          <w:szCs w:val="24"/>
        </w:rPr>
        <w:noBreakHyphen/>
      </w:r>
      <w:r w:rsidR="007F7D6C" w:rsidRPr="00A57F31">
        <w:rPr>
          <w:szCs w:val="24"/>
        </w:rPr>
        <w:t>20</w:t>
      </w:r>
      <w:r w:rsidR="002709CA" w:rsidRPr="00A57F31">
        <w:rPr>
          <w:szCs w:val="24"/>
        </w:rPr>
        <w:t>(</w:t>
      </w:r>
      <w:r w:rsidR="007F7D6C" w:rsidRPr="00A57F31">
        <w:rPr>
          <w:szCs w:val="24"/>
        </w:rPr>
        <w:t xml:space="preserve">4) of the </w:t>
      </w:r>
      <w:r w:rsidR="001A1C6D" w:rsidRPr="00A57F31">
        <w:rPr>
          <w:szCs w:val="24"/>
        </w:rPr>
        <w:t xml:space="preserve">PHI </w:t>
      </w:r>
      <w:r w:rsidR="007F7D6C" w:rsidRPr="00A57F31">
        <w:rPr>
          <w:szCs w:val="24"/>
        </w:rPr>
        <w:t>Act.</w:t>
      </w:r>
      <w:bookmarkStart w:id="156" w:name="_Ref162234967"/>
      <w:bookmarkEnd w:id="155"/>
    </w:p>
    <w:p w14:paraId="0C05A62E" w14:textId="77777777" w:rsidR="007F7D6C" w:rsidRPr="00A57F31" w:rsidRDefault="00195BEC" w:rsidP="00195BEC">
      <w:pPr>
        <w:pStyle w:val="Style9"/>
        <w:ind w:left="1134" w:hanging="567"/>
        <w:rPr>
          <w:szCs w:val="24"/>
        </w:rPr>
      </w:pPr>
      <w:r w:rsidRPr="00A57F31">
        <w:rPr>
          <w:szCs w:val="24"/>
        </w:rPr>
        <w:t xml:space="preserve"> </w:t>
      </w:r>
      <w:r w:rsidRPr="00A57F31">
        <w:rPr>
          <w:szCs w:val="24"/>
        </w:rPr>
        <w:tab/>
      </w:r>
      <w:r w:rsidRPr="00A57F31">
        <w:rPr>
          <w:szCs w:val="24"/>
        </w:rPr>
        <w:tab/>
      </w:r>
      <w:r w:rsidR="007F7D6C" w:rsidRPr="00A57F31">
        <w:rPr>
          <w:szCs w:val="24"/>
        </w:rPr>
        <w:t xml:space="preserve">If the application for approval of an arrangement is refused by </w:t>
      </w:r>
      <w:r w:rsidR="00F33834" w:rsidRPr="00A57F31">
        <w:rPr>
          <w:szCs w:val="24"/>
        </w:rPr>
        <w:t>APRA</w:t>
      </w:r>
      <w:r w:rsidR="007F7D6C" w:rsidRPr="00A57F31">
        <w:rPr>
          <w:szCs w:val="24"/>
        </w:rPr>
        <w:t xml:space="preserve">, then no later than 10 days after the time for the lodging of an application for review of </w:t>
      </w:r>
      <w:r w:rsidR="00F33834" w:rsidRPr="00A57F31">
        <w:rPr>
          <w:szCs w:val="24"/>
        </w:rPr>
        <w:t>APRA</w:t>
      </w:r>
      <w:r w:rsidR="00EE2809" w:rsidRPr="00A57F31">
        <w:rPr>
          <w:szCs w:val="24"/>
        </w:rPr>
        <w:t>’</w:t>
      </w:r>
      <w:r w:rsidR="007F7D6C" w:rsidRPr="00A57F31">
        <w:rPr>
          <w:szCs w:val="24"/>
        </w:rPr>
        <w:t>s decision by the Administrative Appeals Tribunal, the insurers must provide to at least one adult insured under each policy, or, or, for a policy covering no adults, the person who pays the premium, which was proposed for transfer, a statement of:</w:t>
      </w:r>
      <w:bookmarkEnd w:id="156"/>
    </w:p>
    <w:p w14:paraId="4FC4DC38" w14:textId="77777777" w:rsidR="007F7D6C" w:rsidRPr="00A57F31" w:rsidRDefault="007F7D6C" w:rsidP="00B36939">
      <w:pPr>
        <w:pStyle w:val="Style4"/>
        <w:numPr>
          <w:ilvl w:val="0"/>
          <w:numId w:val="51"/>
        </w:numPr>
        <w:ind w:left="1701" w:hanging="567"/>
        <w:rPr>
          <w:sz w:val="24"/>
          <w:szCs w:val="24"/>
        </w:rPr>
      </w:pPr>
      <w:r w:rsidRPr="00A57F31">
        <w:rPr>
          <w:sz w:val="24"/>
          <w:szCs w:val="24"/>
        </w:rPr>
        <w:t>the outcome of the application; and</w:t>
      </w:r>
    </w:p>
    <w:p w14:paraId="4E41424F" w14:textId="77777777" w:rsidR="007F7D6C" w:rsidRPr="00A57F31" w:rsidRDefault="007F7D6C" w:rsidP="00B36939">
      <w:pPr>
        <w:pStyle w:val="Style4"/>
        <w:numPr>
          <w:ilvl w:val="0"/>
          <w:numId w:val="51"/>
        </w:numPr>
        <w:ind w:left="1701" w:hanging="567"/>
        <w:rPr>
          <w:sz w:val="24"/>
          <w:szCs w:val="24"/>
        </w:rPr>
      </w:pPr>
      <w:r w:rsidRPr="00A57F31">
        <w:rPr>
          <w:sz w:val="24"/>
          <w:szCs w:val="24"/>
        </w:rPr>
        <w:t>whether either of the insurers has lodged or intends to lodge an application for review with the Administrative Appeals Tribunal.</w:t>
      </w:r>
    </w:p>
    <w:p w14:paraId="3899B51B" w14:textId="77777777" w:rsidR="007F7D6C" w:rsidRPr="00A57F31" w:rsidRDefault="00121494" w:rsidP="00121494">
      <w:pPr>
        <w:pStyle w:val="Style9"/>
        <w:ind w:left="1134" w:hanging="567"/>
        <w:rPr>
          <w:szCs w:val="24"/>
        </w:rPr>
      </w:pPr>
      <w:bookmarkStart w:id="157" w:name="_Ref162673694"/>
      <w:r w:rsidRPr="00A57F31">
        <w:rPr>
          <w:szCs w:val="24"/>
        </w:rPr>
        <w:lastRenderedPageBreak/>
        <w:tab/>
      </w:r>
      <w:r w:rsidRPr="00A57F31">
        <w:rPr>
          <w:szCs w:val="24"/>
        </w:rPr>
        <w:tab/>
      </w:r>
      <w:r w:rsidR="007F7D6C" w:rsidRPr="00A57F31">
        <w:rPr>
          <w:szCs w:val="24"/>
        </w:rPr>
        <w:t>If the application for approval of an arrangement is refused on application to the Administrative Appeals Tribunal, then no later than 10 days after the Tribunal</w:t>
      </w:r>
      <w:r w:rsidR="00EE2809" w:rsidRPr="00A57F31">
        <w:rPr>
          <w:szCs w:val="24"/>
        </w:rPr>
        <w:t>’</w:t>
      </w:r>
      <w:r w:rsidR="007F7D6C" w:rsidRPr="00A57F31">
        <w:rPr>
          <w:szCs w:val="24"/>
        </w:rPr>
        <w:t>s decision being delivered, the appellant must provide to at least one adult insured under each policy, or, or, for a policy covering no adults, the person who pays the premium, which was proposed for transfer, a statement of the outcome of the application.</w:t>
      </w:r>
      <w:bookmarkEnd w:id="157"/>
    </w:p>
    <w:p w14:paraId="7BC58F91" w14:textId="77777777" w:rsidR="0096799E" w:rsidRPr="00066A56" w:rsidRDefault="0096799E" w:rsidP="00C459CE">
      <w:pPr>
        <w:spacing w:after="240"/>
        <w:rPr>
          <w:rFonts w:ascii="Arial" w:hAnsi="Arial" w:cs="Arial"/>
          <w:b/>
          <w:sz w:val="32"/>
          <w:szCs w:val="32"/>
        </w:rPr>
      </w:pPr>
      <w:r w:rsidRPr="00121494">
        <w:br w:type="page"/>
      </w:r>
      <w:bookmarkStart w:id="158" w:name="_Toc413670994"/>
      <w:bookmarkStart w:id="159" w:name="_Toc413671453"/>
      <w:bookmarkStart w:id="160" w:name="_Toc413673027"/>
      <w:bookmarkStart w:id="161" w:name="_Toc413673452"/>
      <w:r w:rsidRPr="00066A56">
        <w:rPr>
          <w:rFonts w:ascii="Arial" w:hAnsi="Arial" w:cs="Arial"/>
          <w:b/>
          <w:sz w:val="32"/>
          <w:szCs w:val="32"/>
        </w:rPr>
        <w:lastRenderedPageBreak/>
        <w:t>Part 5</w:t>
      </w:r>
      <w:r w:rsidR="00066A56" w:rsidRPr="00533CCD">
        <w:rPr>
          <w:rFonts w:ascii="Arial" w:hAnsi="Arial" w:cs="Arial"/>
        </w:rPr>
        <w:t xml:space="preserve"> – </w:t>
      </w:r>
      <w:r w:rsidRPr="00066A56">
        <w:rPr>
          <w:rFonts w:ascii="Arial" w:hAnsi="Arial" w:cs="Arial"/>
          <w:b/>
          <w:sz w:val="32"/>
          <w:szCs w:val="32"/>
        </w:rPr>
        <w:t xml:space="preserve">Private health insurers to notify </w:t>
      </w:r>
      <w:r w:rsidR="00720F3B" w:rsidRPr="00066A56">
        <w:rPr>
          <w:rFonts w:ascii="Arial" w:hAnsi="Arial" w:cs="Arial"/>
          <w:b/>
          <w:sz w:val="32"/>
          <w:szCs w:val="32"/>
        </w:rPr>
        <w:t>APRA</w:t>
      </w:r>
      <w:r w:rsidRPr="00066A56">
        <w:rPr>
          <w:rFonts w:ascii="Arial" w:hAnsi="Arial" w:cs="Arial"/>
          <w:b/>
          <w:sz w:val="32"/>
          <w:szCs w:val="32"/>
        </w:rPr>
        <w:t xml:space="preserve"> about </w:t>
      </w:r>
      <w:r w:rsidR="00720F3B" w:rsidRPr="00066A56">
        <w:rPr>
          <w:rFonts w:ascii="Arial" w:hAnsi="Arial" w:cs="Arial"/>
          <w:b/>
          <w:sz w:val="32"/>
          <w:szCs w:val="32"/>
        </w:rPr>
        <w:t>certain matters</w:t>
      </w:r>
      <w:bookmarkEnd w:id="158"/>
      <w:bookmarkEnd w:id="159"/>
      <w:bookmarkEnd w:id="160"/>
      <w:bookmarkEnd w:id="161"/>
    </w:p>
    <w:p w14:paraId="6521A7CF" w14:textId="77777777" w:rsidR="002C65B2" w:rsidRPr="00592333" w:rsidRDefault="002C65B2" w:rsidP="00C459CE">
      <w:pPr>
        <w:pStyle w:val="Style2"/>
      </w:pPr>
      <w:bookmarkStart w:id="162" w:name="_Toc413670995"/>
      <w:bookmarkStart w:id="163" w:name="_Toc413671454"/>
      <w:bookmarkStart w:id="164" w:name="_Toc413673028"/>
      <w:bookmarkStart w:id="165" w:name="_Toc413673453"/>
      <w:r w:rsidRPr="00592333">
        <w:t>Notification of current chief executive officer</w:t>
      </w:r>
      <w:bookmarkEnd w:id="162"/>
      <w:bookmarkEnd w:id="163"/>
      <w:bookmarkEnd w:id="164"/>
      <w:bookmarkEnd w:id="165"/>
    </w:p>
    <w:p w14:paraId="572F8D09" w14:textId="77777777" w:rsidR="00720F3B" w:rsidRPr="00C459CE" w:rsidRDefault="0096799E" w:rsidP="00C459CE">
      <w:pPr>
        <w:pStyle w:val="subsection"/>
        <w:tabs>
          <w:tab w:val="clear" w:pos="1021"/>
          <w:tab w:val="right" w:pos="0"/>
        </w:tabs>
        <w:spacing w:before="0" w:after="240"/>
        <w:ind w:left="0" w:firstLine="0"/>
        <w:rPr>
          <w:rStyle w:val="CharPartNo"/>
          <w:sz w:val="24"/>
          <w:szCs w:val="24"/>
        </w:rPr>
      </w:pPr>
      <w:r w:rsidRPr="00C459CE">
        <w:rPr>
          <w:sz w:val="24"/>
          <w:szCs w:val="24"/>
        </w:rPr>
        <w:t xml:space="preserve">For section </w:t>
      </w:r>
      <w:r w:rsidR="0014056F" w:rsidRPr="00C459CE">
        <w:rPr>
          <w:sz w:val="24"/>
          <w:szCs w:val="24"/>
        </w:rPr>
        <w:t>12</w:t>
      </w:r>
      <w:r w:rsidR="0014056F">
        <w:rPr>
          <w:sz w:val="24"/>
          <w:szCs w:val="24"/>
        </w:rPr>
        <w:t>5</w:t>
      </w:r>
      <w:r w:rsidR="0014056F" w:rsidRPr="00C459CE">
        <w:rPr>
          <w:sz w:val="24"/>
          <w:szCs w:val="24"/>
        </w:rPr>
        <w:t xml:space="preserve"> </w:t>
      </w:r>
      <w:r w:rsidRPr="00C459CE">
        <w:rPr>
          <w:sz w:val="24"/>
          <w:szCs w:val="24"/>
        </w:rPr>
        <w:t>of the Act</w:t>
      </w:r>
      <w:r w:rsidR="00C43A05" w:rsidRPr="00C459CE">
        <w:rPr>
          <w:sz w:val="24"/>
          <w:szCs w:val="24"/>
        </w:rPr>
        <w:t>, a</w:t>
      </w:r>
      <w:r w:rsidRPr="00C459CE">
        <w:rPr>
          <w:sz w:val="24"/>
          <w:szCs w:val="24"/>
        </w:rPr>
        <w:t xml:space="preserve"> private health insurer must ensure that, if the name or contact details of its chief executive officer change, the change is notified, not more than 28 days after the change takes effect, to APRA, in the approved form.</w:t>
      </w:r>
    </w:p>
    <w:p w14:paraId="56426E21" w14:textId="77777777" w:rsidR="00720F3B" w:rsidRPr="00C43A98" w:rsidRDefault="00720F3B" w:rsidP="00B36939">
      <w:pPr>
        <w:pStyle w:val="ActHead5"/>
        <w:numPr>
          <w:ilvl w:val="1"/>
          <w:numId w:val="16"/>
        </w:numPr>
        <w:spacing w:before="0" w:after="240" w:line="240" w:lineRule="auto"/>
        <w:ind w:left="567" w:hanging="567"/>
        <w:contextualSpacing w:val="0"/>
        <w:rPr>
          <w:rFonts w:ascii="Arial" w:hAnsi="Arial" w:cs="Arial"/>
        </w:rPr>
      </w:pPr>
      <w:bookmarkStart w:id="166" w:name="_Toc413670996"/>
      <w:bookmarkStart w:id="167" w:name="_Toc413671455"/>
      <w:bookmarkStart w:id="168" w:name="_Toc413673029"/>
      <w:bookmarkStart w:id="169" w:name="_Toc413673454"/>
      <w:r w:rsidRPr="00C43A98">
        <w:rPr>
          <w:rFonts w:ascii="Arial" w:hAnsi="Arial" w:cs="Arial"/>
        </w:rPr>
        <w:t>Notification of changes in board membership or name and contact details of a director</w:t>
      </w:r>
      <w:bookmarkEnd w:id="166"/>
      <w:bookmarkEnd w:id="167"/>
      <w:bookmarkEnd w:id="168"/>
      <w:bookmarkEnd w:id="169"/>
    </w:p>
    <w:p w14:paraId="4D87DC5A" w14:textId="77777777" w:rsidR="00720F3B" w:rsidRPr="002C3E6A" w:rsidRDefault="00720F3B" w:rsidP="00C459CE">
      <w:pPr>
        <w:spacing w:after="240" w:line="240" w:lineRule="auto"/>
        <w:rPr>
          <w:sz w:val="24"/>
          <w:szCs w:val="24"/>
        </w:rPr>
      </w:pPr>
      <w:r w:rsidRPr="002C3E6A">
        <w:rPr>
          <w:sz w:val="24"/>
          <w:szCs w:val="24"/>
        </w:rPr>
        <w:t xml:space="preserve">For section </w:t>
      </w:r>
      <w:r w:rsidR="0014056F" w:rsidRPr="002C3E6A">
        <w:rPr>
          <w:sz w:val="24"/>
          <w:szCs w:val="24"/>
        </w:rPr>
        <w:t>12</w:t>
      </w:r>
      <w:r w:rsidR="0014056F">
        <w:rPr>
          <w:sz w:val="24"/>
          <w:szCs w:val="24"/>
        </w:rPr>
        <w:t>5</w:t>
      </w:r>
      <w:r w:rsidR="0014056F" w:rsidRPr="002C3E6A">
        <w:rPr>
          <w:sz w:val="24"/>
          <w:szCs w:val="24"/>
        </w:rPr>
        <w:t xml:space="preserve"> </w:t>
      </w:r>
      <w:r w:rsidRPr="002C3E6A">
        <w:rPr>
          <w:sz w:val="24"/>
          <w:szCs w:val="24"/>
        </w:rPr>
        <w:t>of the Act, a private health insurer must tell APRA about a change in board membership or a change in the name or contact details of a director:</w:t>
      </w:r>
    </w:p>
    <w:p w14:paraId="701D45E7" w14:textId="77777777" w:rsidR="00720F3B" w:rsidRPr="002C3E6A" w:rsidRDefault="00720F3B" w:rsidP="00B36939">
      <w:pPr>
        <w:pStyle w:val="ListParagraph"/>
        <w:numPr>
          <w:ilvl w:val="0"/>
          <w:numId w:val="52"/>
        </w:numPr>
        <w:ind w:left="567" w:hanging="567"/>
        <w:rPr>
          <w:sz w:val="24"/>
          <w:szCs w:val="24"/>
        </w:rPr>
      </w:pPr>
      <w:r w:rsidRPr="002C3E6A">
        <w:rPr>
          <w:sz w:val="24"/>
          <w:szCs w:val="24"/>
        </w:rPr>
        <w:t>within 28 days after the change; and</w:t>
      </w:r>
    </w:p>
    <w:p w14:paraId="2E0FADA0" w14:textId="77777777" w:rsidR="00720F3B" w:rsidRPr="002C3E6A" w:rsidRDefault="00720F3B" w:rsidP="00C459CE">
      <w:pPr>
        <w:ind w:left="567" w:hanging="567"/>
        <w:rPr>
          <w:sz w:val="24"/>
          <w:szCs w:val="24"/>
        </w:rPr>
      </w:pPr>
    </w:p>
    <w:p w14:paraId="2A848C99" w14:textId="77777777" w:rsidR="00871ED2" w:rsidRPr="002C3E6A" w:rsidRDefault="00720F3B" w:rsidP="00B36939">
      <w:pPr>
        <w:pStyle w:val="ListParagraph"/>
        <w:numPr>
          <w:ilvl w:val="0"/>
          <w:numId w:val="52"/>
        </w:numPr>
        <w:spacing w:after="240"/>
        <w:ind w:left="567" w:hanging="567"/>
        <w:contextualSpacing w:val="0"/>
        <w:rPr>
          <w:sz w:val="24"/>
          <w:szCs w:val="24"/>
        </w:rPr>
      </w:pPr>
      <w:r w:rsidRPr="002C3E6A">
        <w:rPr>
          <w:sz w:val="24"/>
          <w:szCs w:val="24"/>
        </w:rPr>
        <w:t>i</w:t>
      </w:r>
      <w:r w:rsidR="004D4498" w:rsidRPr="002C3E6A">
        <w:rPr>
          <w:sz w:val="24"/>
          <w:szCs w:val="24"/>
        </w:rPr>
        <w:t xml:space="preserve">n </w:t>
      </w:r>
      <w:r w:rsidR="00651CCE">
        <w:rPr>
          <w:sz w:val="24"/>
          <w:szCs w:val="24"/>
        </w:rPr>
        <w:t xml:space="preserve">the approved </w:t>
      </w:r>
      <w:r w:rsidR="004D4498" w:rsidRPr="002C3E6A">
        <w:rPr>
          <w:sz w:val="24"/>
          <w:szCs w:val="24"/>
        </w:rPr>
        <w:t xml:space="preserve">form </w:t>
      </w:r>
      <w:r w:rsidRPr="002C3E6A">
        <w:rPr>
          <w:sz w:val="24"/>
          <w:szCs w:val="24"/>
        </w:rPr>
        <w:t>by APRA.</w:t>
      </w:r>
    </w:p>
    <w:p w14:paraId="3A128946" w14:textId="77777777" w:rsidR="005100E9" w:rsidRPr="00C43A98" w:rsidRDefault="005100E9" w:rsidP="00B36939">
      <w:pPr>
        <w:pStyle w:val="ActHead5"/>
        <w:numPr>
          <w:ilvl w:val="1"/>
          <w:numId w:val="16"/>
        </w:numPr>
        <w:spacing w:before="0" w:after="240" w:line="240" w:lineRule="auto"/>
        <w:ind w:left="567" w:hanging="567"/>
        <w:contextualSpacing w:val="0"/>
        <w:rPr>
          <w:rFonts w:ascii="Arial" w:hAnsi="Arial" w:cs="Arial"/>
        </w:rPr>
      </w:pPr>
      <w:bookmarkStart w:id="170" w:name="_Toc413670997"/>
      <w:bookmarkStart w:id="171" w:name="_Toc413671456"/>
      <w:bookmarkStart w:id="172" w:name="_Toc413673030"/>
      <w:bookmarkStart w:id="173" w:name="_Toc413673455"/>
      <w:r w:rsidRPr="00C43A98">
        <w:rPr>
          <w:rFonts w:ascii="Arial" w:hAnsi="Arial" w:cs="Arial"/>
        </w:rPr>
        <w:t>Copies of reports to APRA</w:t>
      </w:r>
      <w:bookmarkEnd w:id="170"/>
      <w:bookmarkEnd w:id="171"/>
      <w:bookmarkEnd w:id="172"/>
      <w:bookmarkEnd w:id="173"/>
    </w:p>
    <w:p w14:paraId="7429050A" w14:textId="77777777" w:rsidR="005100E9" w:rsidRPr="00C43A98" w:rsidRDefault="005100E9" w:rsidP="00126FCE">
      <w:pPr>
        <w:spacing w:after="240" w:line="240" w:lineRule="auto"/>
        <w:jc w:val="both"/>
        <w:rPr>
          <w:sz w:val="24"/>
          <w:szCs w:val="24"/>
        </w:rPr>
      </w:pPr>
      <w:r w:rsidRPr="00C43A98">
        <w:rPr>
          <w:sz w:val="24"/>
          <w:szCs w:val="24"/>
        </w:rPr>
        <w:t xml:space="preserve">For section </w:t>
      </w:r>
      <w:r w:rsidR="00DA071E" w:rsidRPr="00C43A98">
        <w:rPr>
          <w:sz w:val="24"/>
          <w:szCs w:val="24"/>
        </w:rPr>
        <w:t>12</w:t>
      </w:r>
      <w:r w:rsidR="00DA071E">
        <w:rPr>
          <w:sz w:val="24"/>
          <w:szCs w:val="24"/>
        </w:rPr>
        <w:t>4</w:t>
      </w:r>
      <w:r w:rsidR="00DA071E" w:rsidRPr="00C43A98">
        <w:rPr>
          <w:sz w:val="24"/>
          <w:szCs w:val="24"/>
        </w:rPr>
        <w:t xml:space="preserve"> </w:t>
      </w:r>
      <w:r w:rsidRPr="00C43A98">
        <w:rPr>
          <w:sz w:val="24"/>
          <w:szCs w:val="24"/>
        </w:rPr>
        <w:t>of the Act, a private health insurer that makes a report to all or any of the policy holders of a health benefits fund conducted by the private health insurer, must, if requested by APRA, give a copy of the report to APRA.</w:t>
      </w:r>
    </w:p>
    <w:p w14:paraId="64B33CD4" w14:textId="77777777" w:rsidR="005100E9" w:rsidRPr="00C43A98" w:rsidRDefault="005100E9" w:rsidP="00126FCE">
      <w:pPr>
        <w:spacing w:after="240" w:line="240" w:lineRule="auto"/>
        <w:jc w:val="both"/>
        <w:rPr>
          <w:sz w:val="24"/>
          <w:szCs w:val="24"/>
        </w:rPr>
      </w:pPr>
      <w:r w:rsidRPr="00C43A98">
        <w:rPr>
          <w:sz w:val="24"/>
          <w:szCs w:val="24"/>
        </w:rPr>
        <w:t>Such a report must be given to APRA within 1 month after making the report, or within such further time as APRA allows.</w:t>
      </w:r>
    </w:p>
    <w:p w14:paraId="4B3175F2" w14:textId="77777777" w:rsidR="008D7B0A" w:rsidRDefault="008579B3" w:rsidP="00126FCE">
      <w:pPr>
        <w:spacing w:line="240" w:lineRule="auto"/>
        <w:rPr>
          <w:rStyle w:val="CharPartNo"/>
          <w:szCs w:val="22"/>
        </w:rPr>
      </w:pPr>
      <w:r w:rsidRPr="00EE7D30">
        <w:rPr>
          <w:rStyle w:val="CharPartNo"/>
          <w:szCs w:val="22"/>
        </w:rPr>
        <w:br w:type="page"/>
      </w:r>
    </w:p>
    <w:p w14:paraId="43869217" w14:textId="77777777" w:rsidR="00AB07FF" w:rsidRPr="00C75D63" w:rsidRDefault="00AB07FF" w:rsidP="00AB07FF">
      <w:pPr>
        <w:keepNext/>
        <w:keepLines/>
        <w:spacing w:after="240" w:line="240" w:lineRule="auto"/>
        <w:outlineLvl w:val="1"/>
        <w:rPr>
          <w:rFonts w:ascii="Arial" w:eastAsia="Times New Roman" w:hAnsi="Arial" w:cs="Arial"/>
          <w:b/>
          <w:kern w:val="28"/>
          <w:sz w:val="32"/>
          <w:szCs w:val="32"/>
          <w:lang w:eastAsia="en-AU"/>
        </w:rPr>
      </w:pPr>
      <w:bookmarkStart w:id="174" w:name="_Toc413670998"/>
      <w:bookmarkStart w:id="175" w:name="_Toc413671457"/>
      <w:bookmarkStart w:id="176" w:name="_Toc413673031"/>
      <w:bookmarkStart w:id="177" w:name="_Toc413673456"/>
      <w:r w:rsidRPr="00C75D63">
        <w:rPr>
          <w:rFonts w:ascii="Arial" w:eastAsia="Times New Roman" w:hAnsi="Arial" w:cs="Arial"/>
          <w:b/>
          <w:kern w:val="28"/>
          <w:sz w:val="32"/>
          <w:szCs w:val="32"/>
          <w:lang w:eastAsia="en-AU"/>
        </w:rPr>
        <w:lastRenderedPageBreak/>
        <w:t>Part 6- Publication of membership information</w:t>
      </w:r>
    </w:p>
    <w:p w14:paraId="1C9F59A5" w14:textId="77777777" w:rsidR="00AB07FF" w:rsidRPr="00AB07FF" w:rsidRDefault="00AB07FF" w:rsidP="00AB07FF">
      <w:pPr>
        <w:pStyle w:val="Style2"/>
        <w:ind w:left="567" w:hanging="567"/>
      </w:pPr>
      <w:r w:rsidRPr="00AB07FF">
        <w:t>Publication of membership information</w:t>
      </w:r>
    </w:p>
    <w:p w14:paraId="283EC7E4" w14:textId="77777777" w:rsidR="00AB07FF" w:rsidRPr="00AB07FF" w:rsidRDefault="00AB07FF" w:rsidP="00AB07FF">
      <w:pPr>
        <w:spacing w:before="120" w:after="240" w:line="240" w:lineRule="auto"/>
        <w:rPr>
          <w:sz w:val="24"/>
          <w:szCs w:val="24"/>
        </w:rPr>
      </w:pPr>
      <w:r w:rsidRPr="00AB07FF">
        <w:rPr>
          <w:sz w:val="24"/>
          <w:szCs w:val="24"/>
        </w:rPr>
        <w:t>For the purposes of paragraph 167(1)(h) of the Act, APRA must publish the following information in relation to the membership of each private health insurer:</w:t>
      </w:r>
    </w:p>
    <w:p w14:paraId="0B872B1B" w14:textId="77777777" w:rsidR="00AB07FF" w:rsidRPr="00AB07FF" w:rsidRDefault="00AB07FF" w:rsidP="00AB07FF">
      <w:pPr>
        <w:numPr>
          <w:ilvl w:val="1"/>
          <w:numId w:val="50"/>
        </w:numPr>
        <w:spacing w:before="120" w:after="240"/>
        <w:ind w:left="807"/>
        <w:contextualSpacing/>
        <w:rPr>
          <w:sz w:val="24"/>
          <w:szCs w:val="24"/>
        </w:rPr>
      </w:pPr>
      <w:r>
        <w:rPr>
          <w:sz w:val="24"/>
          <w:szCs w:val="24"/>
        </w:rPr>
        <w:t>t</w:t>
      </w:r>
      <w:r w:rsidRPr="00AB07FF">
        <w:rPr>
          <w:sz w:val="24"/>
          <w:szCs w:val="24"/>
        </w:rPr>
        <w:t>he total number of policies of insurance underwritten during the financial year relating to:</w:t>
      </w:r>
    </w:p>
    <w:p w14:paraId="5B8D63E7" w14:textId="77777777" w:rsidR="00AB07FF" w:rsidRPr="00AB07FF" w:rsidRDefault="00AB07FF" w:rsidP="00AB07FF">
      <w:pPr>
        <w:numPr>
          <w:ilvl w:val="2"/>
          <w:numId w:val="50"/>
        </w:numPr>
        <w:spacing w:before="120" w:after="240" w:line="240" w:lineRule="auto"/>
        <w:ind w:left="1167" w:firstLine="426"/>
        <w:rPr>
          <w:sz w:val="24"/>
          <w:szCs w:val="24"/>
        </w:rPr>
      </w:pPr>
      <w:r w:rsidRPr="00CA3C89">
        <w:rPr>
          <w:b/>
          <w:i/>
          <w:sz w:val="24"/>
          <w:szCs w:val="24"/>
        </w:rPr>
        <w:t>hospital treatment</w:t>
      </w:r>
      <w:r w:rsidRPr="00AB07FF">
        <w:rPr>
          <w:sz w:val="24"/>
          <w:szCs w:val="24"/>
        </w:rPr>
        <w:t xml:space="preserve"> (hospital treatment policies); and </w:t>
      </w:r>
    </w:p>
    <w:p w14:paraId="5A3E7E7E" w14:textId="77777777" w:rsidR="00AB07FF" w:rsidRPr="00AB07FF" w:rsidRDefault="00AB07FF" w:rsidP="00AB07FF">
      <w:pPr>
        <w:numPr>
          <w:ilvl w:val="2"/>
          <w:numId w:val="50"/>
        </w:numPr>
        <w:spacing w:before="120" w:after="240" w:line="240" w:lineRule="auto"/>
        <w:ind w:left="1167" w:firstLine="426"/>
        <w:rPr>
          <w:sz w:val="24"/>
          <w:szCs w:val="24"/>
        </w:rPr>
      </w:pPr>
      <w:r w:rsidRPr="00CA3C89">
        <w:rPr>
          <w:b/>
          <w:i/>
          <w:sz w:val="24"/>
          <w:szCs w:val="24"/>
        </w:rPr>
        <w:t>general treatment</w:t>
      </w:r>
      <w:r w:rsidRPr="00AB07FF">
        <w:rPr>
          <w:sz w:val="24"/>
          <w:szCs w:val="24"/>
        </w:rPr>
        <w:t xml:space="preserve"> (general treatment policies); and</w:t>
      </w:r>
    </w:p>
    <w:p w14:paraId="2A877EFE" w14:textId="77777777" w:rsidR="00AB07FF" w:rsidRPr="00AB07FF" w:rsidRDefault="00AB07FF" w:rsidP="00AB07FF">
      <w:pPr>
        <w:numPr>
          <w:ilvl w:val="1"/>
          <w:numId w:val="50"/>
        </w:numPr>
        <w:spacing w:before="120" w:after="240" w:line="240" w:lineRule="auto"/>
        <w:ind w:left="807"/>
        <w:rPr>
          <w:sz w:val="24"/>
          <w:szCs w:val="24"/>
        </w:rPr>
      </w:pPr>
      <w:r>
        <w:rPr>
          <w:sz w:val="24"/>
          <w:szCs w:val="24"/>
        </w:rPr>
        <w:t>t</w:t>
      </w:r>
      <w:r w:rsidRPr="00AB07FF">
        <w:rPr>
          <w:sz w:val="24"/>
          <w:szCs w:val="24"/>
        </w:rPr>
        <w:t xml:space="preserve">he number of people insured under the hospital treatment policies and the number of people insured under the general treatment policies; </w:t>
      </w:r>
    </w:p>
    <w:p w14:paraId="2B1F9A3C" w14:textId="77777777" w:rsidR="00AB07FF" w:rsidRPr="00AB07FF" w:rsidRDefault="00AB07FF" w:rsidP="00AB07FF">
      <w:pPr>
        <w:numPr>
          <w:ilvl w:val="1"/>
          <w:numId w:val="50"/>
        </w:numPr>
        <w:spacing w:before="120" w:after="240" w:line="240" w:lineRule="auto"/>
        <w:ind w:left="807"/>
        <w:rPr>
          <w:sz w:val="24"/>
          <w:szCs w:val="24"/>
        </w:rPr>
      </w:pPr>
      <w:r>
        <w:rPr>
          <w:sz w:val="24"/>
          <w:szCs w:val="24"/>
        </w:rPr>
        <w:t>t</w:t>
      </w:r>
      <w:r w:rsidRPr="00AB07FF">
        <w:rPr>
          <w:sz w:val="24"/>
          <w:szCs w:val="24"/>
        </w:rPr>
        <w:t>he average number of hospital treatment policies and general treatment policies in force during the financial year; and</w:t>
      </w:r>
    </w:p>
    <w:p w14:paraId="766CBFF8" w14:textId="77777777" w:rsidR="00AB07FF" w:rsidRPr="00AB07FF" w:rsidRDefault="00AB07FF" w:rsidP="00AB07FF">
      <w:pPr>
        <w:numPr>
          <w:ilvl w:val="1"/>
          <w:numId w:val="50"/>
        </w:numPr>
        <w:spacing w:before="120" w:after="240" w:line="240" w:lineRule="auto"/>
        <w:ind w:left="807"/>
        <w:rPr>
          <w:sz w:val="24"/>
          <w:szCs w:val="24"/>
        </w:rPr>
      </w:pPr>
      <w:r>
        <w:rPr>
          <w:sz w:val="24"/>
          <w:szCs w:val="24"/>
        </w:rPr>
        <w:t>t</w:t>
      </w:r>
      <w:r w:rsidRPr="00AB07FF">
        <w:rPr>
          <w:sz w:val="24"/>
          <w:szCs w:val="24"/>
        </w:rPr>
        <w:t>he average number of people covered by the hospital treatment policies and general treatment policies in force during the financial year.</w:t>
      </w:r>
    </w:p>
    <w:p w14:paraId="450D7492" w14:textId="77777777" w:rsidR="0013205D" w:rsidRDefault="0013205D">
      <w:pPr>
        <w:spacing w:line="240" w:lineRule="auto"/>
        <w:rPr>
          <w:rFonts w:ascii="Arial" w:eastAsia="Times New Roman" w:hAnsi="Arial" w:cs="Arial"/>
          <w:b/>
          <w:kern w:val="28"/>
          <w:sz w:val="32"/>
          <w:lang w:eastAsia="en-AU"/>
        </w:rPr>
      </w:pPr>
      <w:r>
        <w:rPr>
          <w:rFonts w:ascii="Arial" w:hAnsi="Arial" w:cs="Arial"/>
        </w:rPr>
        <w:br w:type="page"/>
      </w:r>
    </w:p>
    <w:p w14:paraId="303DD909" w14:textId="77777777" w:rsidR="008D7B0A" w:rsidRPr="002C3E6A" w:rsidRDefault="00D31DE0" w:rsidP="002C3E6A">
      <w:pPr>
        <w:pStyle w:val="ActHead2"/>
        <w:spacing w:before="0" w:after="240"/>
        <w:ind w:left="0" w:firstLine="0"/>
        <w:rPr>
          <w:rFonts w:ascii="Arial" w:hAnsi="Arial" w:cs="Arial"/>
        </w:rPr>
      </w:pPr>
      <w:r>
        <w:rPr>
          <w:rFonts w:ascii="Arial" w:hAnsi="Arial" w:cs="Arial"/>
        </w:rPr>
        <w:lastRenderedPageBreak/>
        <w:t>Part 7</w:t>
      </w:r>
      <w:r w:rsidR="008D7B0A" w:rsidRPr="002C3E6A">
        <w:rPr>
          <w:rFonts w:ascii="Arial" w:hAnsi="Arial" w:cs="Arial"/>
        </w:rPr>
        <w:t xml:space="preserve"> – Transition arrangements</w:t>
      </w:r>
      <w:bookmarkEnd w:id="174"/>
      <w:bookmarkEnd w:id="175"/>
      <w:bookmarkEnd w:id="176"/>
      <w:bookmarkEnd w:id="177"/>
    </w:p>
    <w:p w14:paraId="4FBBF97F" w14:textId="77777777" w:rsidR="00CE7757" w:rsidRPr="00E71339" w:rsidRDefault="00CE7757" w:rsidP="002C3E6A">
      <w:pPr>
        <w:pStyle w:val="Style2"/>
      </w:pPr>
      <w:bookmarkStart w:id="178" w:name="_Toc413670999"/>
      <w:bookmarkStart w:id="179" w:name="_Toc413671458"/>
      <w:bookmarkStart w:id="180" w:name="_Toc413673032"/>
      <w:bookmarkStart w:id="181" w:name="_Toc413673457"/>
      <w:r w:rsidRPr="00E71339">
        <w:t>Transition arrangements</w:t>
      </w:r>
      <w:bookmarkEnd w:id="178"/>
      <w:bookmarkEnd w:id="179"/>
      <w:bookmarkEnd w:id="180"/>
      <w:bookmarkEnd w:id="181"/>
    </w:p>
    <w:p w14:paraId="795F650F" w14:textId="77777777" w:rsidR="008D7B0A" w:rsidRPr="002C3E6A" w:rsidRDefault="008D7B0A" w:rsidP="00126FCE">
      <w:pPr>
        <w:spacing w:before="180" w:line="240" w:lineRule="auto"/>
        <w:rPr>
          <w:rStyle w:val="CharPartNo"/>
          <w:rFonts w:eastAsia="Times New Roman" w:cs="Times New Roman"/>
          <w:b/>
          <w:kern w:val="28"/>
          <w:sz w:val="24"/>
          <w:szCs w:val="24"/>
          <w:lang w:eastAsia="en-AU"/>
        </w:rPr>
      </w:pPr>
      <w:r w:rsidRPr="002C3E6A">
        <w:rPr>
          <w:sz w:val="24"/>
          <w:szCs w:val="24"/>
        </w:rPr>
        <w:t xml:space="preserve">Any approval, determination or other exercise of discretion by PHIAC under Part 1, Part 2, Part 3 or Part 4 of the </w:t>
      </w:r>
      <w:r w:rsidR="00871ED2" w:rsidRPr="002C3E6A">
        <w:rPr>
          <w:i/>
          <w:sz w:val="24"/>
          <w:szCs w:val="24"/>
        </w:rPr>
        <w:t>Private Health Insurance (Health Benefits Fund Administration) Rules 20</w:t>
      </w:r>
      <w:r w:rsidRPr="002C3E6A">
        <w:rPr>
          <w:i/>
          <w:sz w:val="24"/>
          <w:szCs w:val="24"/>
        </w:rPr>
        <w:t>07</w:t>
      </w:r>
      <w:r w:rsidRPr="002C3E6A">
        <w:rPr>
          <w:sz w:val="24"/>
          <w:szCs w:val="24"/>
        </w:rPr>
        <w:t xml:space="preserve"> </w:t>
      </w:r>
      <w:r w:rsidRPr="002C3E6A">
        <w:rPr>
          <w:rStyle w:val="CharChapNo"/>
          <w:sz w:val="24"/>
          <w:szCs w:val="24"/>
        </w:rPr>
        <w:t xml:space="preserve">as they existed prior to 1 July 2015 will continue to have effect following 1 July 2015 </w:t>
      </w:r>
      <w:r w:rsidR="00C9464A" w:rsidRPr="002C3E6A">
        <w:rPr>
          <w:sz w:val="24"/>
          <w:szCs w:val="24"/>
        </w:rPr>
        <w:t>as though exercised pursuant to a corresponding power under these Rules</w:t>
      </w:r>
      <w:r w:rsidRPr="002C3E6A">
        <w:rPr>
          <w:rStyle w:val="CharChapNo"/>
          <w:sz w:val="24"/>
          <w:szCs w:val="24"/>
        </w:rPr>
        <w:t xml:space="preserve">.  </w:t>
      </w:r>
    </w:p>
    <w:p w14:paraId="5BB4EE2D" w14:textId="77777777" w:rsidR="006766F2" w:rsidRDefault="006766F2" w:rsidP="00126FCE">
      <w:pPr>
        <w:pStyle w:val="subsection2"/>
        <w:ind w:left="0"/>
        <w:rPr>
          <w:rStyle w:val="CharChapNo"/>
          <w:b/>
          <w:sz w:val="36"/>
          <w:szCs w:val="36"/>
        </w:rPr>
      </w:pPr>
      <w:bookmarkStart w:id="182" w:name="_Toc411505298"/>
    </w:p>
    <w:p w14:paraId="47222CC2" w14:textId="77777777" w:rsidR="006766F2" w:rsidRDefault="006766F2" w:rsidP="00126FCE">
      <w:pPr>
        <w:spacing w:line="240" w:lineRule="auto"/>
        <w:rPr>
          <w:rStyle w:val="CharChapNo"/>
          <w:rFonts w:eastAsia="Times New Roman" w:cs="Times New Roman"/>
          <w:b/>
          <w:sz w:val="36"/>
          <w:szCs w:val="36"/>
          <w:lang w:eastAsia="en-AU"/>
        </w:rPr>
      </w:pPr>
      <w:r>
        <w:rPr>
          <w:rStyle w:val="CharChapNo"/>
          <w:b/>
          <w:sz w:val="36"/>
          <w:szCs w:val="36"/>
        </w:rPr>
        <w:br w:type="page"/>
      </w:r>
    </w:p>
    <w:p w14:paraId="051BE459" w14:textId="77777777" w:rsidR="007F7D6C" w:rsidRPr="00B36939" w:rsidRDefault="007F7D6C" w:rsidP="00B36939">
      <w:pPr>
        <w:pStyle w:val="ActHead2"/>
        <w:spacing w:before="0" w:after="240"/>
        <w:rPr>
          <w:rFonts w:ascii="Arial" w:hAnsi="Arial" w:cs="Arial"/>
        </w:rPr>
      </w:pPr>
      <w:bookmarkStart w:id="183" w:name="_Toc413671000"/>
      <w:bookmarkStart w:id="184" w:name="_Toc413671459"/>
      <w:bookmarkStart w:id="185" w:name="_Toc413673033"/>
      <w:bookmarkStart w:id="186" w:name="_Toc413673458"/>
      <w:bookmarkEnd w:id="182"/>
      <w:r w:rsidRPr="00B36939">
        <w:rPr>
          <w:rFonts w:ascii="Arial" w:hAnsi="Arial" w:cs="Arial"/>
        </w:rPr>
        <w:lastRenderedPageBreak/>
        <w:t>Schedule</w:t>
      </w:r>
      <w:r w:rsidR="00B84257" w:rsidRPr="00B36939">
        <w:rPr>
          <w:rFonts w:ascii="Arial" w:hAnsi="Arial" w:cs="Arial"/>
        </w:rPr>
        <w:t> </w:t>
      </w:r>
      <w:r w:rsidRPr="00B36939">
        <w:rPr>
          <w:rFonts w:ascii="Arial" w:hAnsi="Arial" w:cs="Arial"/>
        </w:rPr>
        <w:t>1</w:t>
      </w:r>
      <w:r w:rsidR="000A55DA" w:rsidRPr="00B36939">
        <w:rPr>
          <w:rFonts w:ascii="Arial" w:hAnsi="Arial" w:cs="Arial"/>
        </w:rPr>
        <w:t xml:space="preserve"> – </w:t>
      </w:r>
      <w:r w:rsidRPr="00B36939">
        <w:rPr>
          <w:rFonts w:ascii="Arial" w:hAnsi="Arial" w:cs="Arial"/>
        </w:rPr>
        <w:t>Mergers and acquisitions</w:t>
      </w:r>
      <w:bookmarkEnd w:id="183"/>
      <w:bookmarkEnd w:id="184"/>
      <w:bookmarkEnd w:id="185"/>
      <w:bookmarkEnd w:id="186"/>
    </w:p>
    <w:p w14:paraId="1A13E3F4" w14:textId="77777777" w:rsidR="007F7D6C" w:rsidRPr="006F638E" w:rsidRDefault="007F7D6C" w:rsidP="006F638E">
      <w:pPr>
        <w:pStyle w:val="ActHead5"/>
        <w:numPr>
          <w:ilvl w:val="0"/>
          <w:numId w:val="55"/>
        </w:numPr>
        <w:spacing w:before="0" w:after="240"/>
        <w:ind w:left="567" w:hanging="567"/>
        <w:contextualSpacing w:val="0"/>
        <w:rPr>
          <w:rFonts w:ascii="Arial" w:hAnsi="Arial" w:cs="Arial"/>
        </w:rPr>
      </w:pPr>
      <w:bookmarkStart w:id="187" w:name="_Toc413671001"/>
      <w:bookmarkStart w:id="188" w:name="_Toc413671460"/>
      <w:bookmarkStart w:id="189" w:name="_Toc413673034"/>
      <w:bookmarkStart w:id="190" w:name="_Toc413673459"/>
      <w:r w:rsidRPr="006F638E">
        <w:rPr>
          <w:rFonts w:ascii="Arial" w:hAnsi="Arial" w:cs="Arial"/>
        </w:rPr>
        <w:t>Trust</w:t>
      </w:r>
      <w:bookmarkEnd w:id="187"/>
      <w:bookmarkEnd w:id="188"/>
      <w:bookmarkEnd w:id="189"/>
      <w:bookmarkEnd w:id="190"/>
    </w:p>
    <w:p w14:paraId="081CD545" w14:textId="77777777" w:rsidR="007F7D6C" w:rsidRPr="009E3CA0" w:rsidRDefault="007F7D6C" w:rsidP="00B36939">
      <w:pPr>
        <w:spacing w:after="240"/>
        <w:ind w:firstLine="567"/>
        <w:rPr>
          <w:sz w:val="24"/>
          <w:szCs w:val="24"/>
        </w:rPr>
      </w:pPr>
      <w:r w:rsidRPr="009E3CA0">
        <w:rPr>
          <w:sz w:val="24"/>
          <w:szCs w:val="24"/>
        </w:rPr>
        <w:t>The trust referred to in subrule 1</w:t>
      </w:r>
      <w:r w:rsidR="00DE15DB">
        <w:rPr>
          <w:sz w:val="24"/>
          <w:szCs w:val="24"/>
        </w:rPr>
        <w:t>2</w:t>
      </w:r>
      <w:r w:rsidR="00905373">
        <w:rPr>
          <w:sz w:val="24"/>
          <w:szCs w:val="24"/>
        </w:rPr>
        <w:t>(3)</w:t>
      </w:r>
      <w:r w:rsidR="00CF18F6">
        <w:rPr>
          <w:sz w:val="24"/>
          <w:szCs w:val="24"/>
        </w:rPr>
        <w:t>(h) and (i)</w:t>
      </w:r>
      <w:r w:rsidRPr="009E3CA0">
        <w:rPr>
          <w:sz w:val="24"/>
          <w:szCs w:val="24"/>
        </w:rPr>
        <w:t xml:space="preserve"> is to include the following terms:</w:t>
      </w:r>
    </w:p>
    <w:p w14:paraId="552E726F" w14:textId="77777777" w:rsidR="007F7D6C" w:rsidRPr="00CA36F0" w:rsidRDefault="007F7D6C" w:rsidP="00CA36F0">
      <w:pPr>
        <w:pStyle w:val="Style4"/>
        <w:numPr>
          <w:ilvl w:val="0"/>
          <w:numId w:val="58"/>
        </w:numPr>
        <w:ind w:left="1134" w:hanging="567"/>
        <w:rPr>
          <w:sz w:val="24"/>
          <w:szCs w:val="24"/>
        </w:rPr>
      </w:pPr>
      <w:r w:rsidRPr="00CA36F0">
        <w:rPr>
          <w:sz w:val="24"/>
          <w:szCs w:val="24"/>
        </w:rPr>
        <w:t>[the transferor insurer] must, at [the transferee insurer</w:t>
      </w:r>
      <w:r w:rsidR="00EE2809" w:rsidRPr="00CA36F0">
        <w:rPr>
          <w:sz w:val="24"/>
          <w:szCs w:val="24"/>
        </w:rPr>
        <w:t>’</w:t>
      </w:r>
      <w:r w:rsidRPr="00CA36F0">
        <w:rPr>
          <w:sz w:val="24"/>
          <w:szCs w:val="24"/>
        </w:rPr>
        <w:t>s] expense (including [the transferor insurer</w:t>
      </w:r>
      <w:r w:rsidR="00EE2809" w:rsidRPr="00CA36F0">
        <w:rPr>
          <w:sz w:val="24"/>
          <w:szCs w:val="24"/>
        </w:rPr>
        <w:t>’</w:t>
      </w:r>
      <w:r w:rsidRPr="00CA36F0">
        <w:rPr>
          <w:sz w:val="24"/>
          <w:szCs w:val="24"/>
        </w:rPr>
        <w:t>s] internal costs and any legal fees), enforce or exercise any rights relating to those assets against any third party in the manner that [the transferee insurer] reasonably directs.</w:t>
      </w:r>
    </w:p>
    <w:p w14:paraId="71E8F944" w14:textId="77777777" w:rsidR="007F7D6C" w:rsidRPr="009E3CA0" w:rsidRDefault="007F7D6C" w:rsidP="006F638E">
      <w:pPr>
        <w:pStyle w:val="Style12"/>
        <w:rPr>
          <w:sz w:val="24"/>
          <w:szCs w:val="24"/>
        </w:rPr>
      </w:pPr>
      <w:r w:rsidRPr="009E3CA0">
        <w:rPr>
          <w:sz w:val="24"/>
          <w:szCs w:val="24"/>
        </w:rPr>
        <w:t>[the transferor insurer] must, if [the transferee insurer] cannot lawfully perform an obligation or exercise a right of [the transferor insurer] in relation to those assets, at the request and expense of [the transferee insurer], perform that obligation or exercise that right.</w:t>
      </w:r>
    </w:p>
    <w:p w14:paraId="11AFA9F4" w14:textId="77777777" w:rsidR="007F7D6C" w:rsidRPr="009E3CA0" w:rsidRDefault="007F7D6C" w:rsidP="006F638E">
      <w:pPr>
        <w:pStyle w:val="Style12"/>
        <w:rPr>
          <w:sz w:val="24"/>
          <w:szCs w:val="24"/>
        </w:rPr>
      </w:pPr>
      <w:r w:rsidRPr="009E3CA0">
        <w:rPr>
          <w:sz w:val="24"/>
          <w:szCs w:val="24"/>
        </w:rPr>
        <w:t>[the transferor insurer] must pay all benefits arising from those assets (or the affected part of the business) to [the transferee insurer].</w:t>
      </w:r>
    </w:p>
    <w:p w14:paraId="1B17C00C" w14:textId="77777777" w:rsidR="007F7D6C" w:rsidRPr="009E3CA0" w:rsidRDefault="007F7D6C" w:rsidP="006F638E">
      <w:pPr>
        <w:pStyle w:val="Style12"/>
        <w:rPr>
          <w:sz w:val="24"/>
          <w:szCs w:val="24"/>
        </w:rPr>
      </w:pPr>
      <w:r w:rsidRPr="009E3CA0">
        <w:rPr>
          <w:sz w:val="24"/>
          <w:szCs w:val="24"/>
        </w:rPr>
        <w:t>[the transferee insurer] must duly perform any obligations in relation to those assets on behalf of [the transferor insurer] at its own expense.</w:t>
      </w:r>
    </w:p>
    <w:p w14:paraId="792F4DFE" w14:textId="77777777" w:rsidR="007F7D6C" w:rsidRPr="00E71339" w:rsidRDefault="007F7D6C" w:rsidP="006F638E">
      <w:pPr>
        <w:pStyle w:val="Style2"/>
      </w:pPr>
      <w:bookmarkStart w:id="191" w:name="_Toc413671002"/>
      <w:bookmarkStart w:id="192" w:name="_Toc413671461"/>
      <w:bookmarkStart w:id="193" w:name="_Toc413673035"/>
      <w:bookmarkStart w:id="194" w:name="_Toc413673460"/>
      <w:r w:rsidRPr="00E71339">
        <w:t>Actions for transfer of assets and liabilities for purposes of</w:t>
      </w:r>
      <w:r w:rsidR="003E3E42" w:rsidRPr="00E71339">
        <w:t xml:space="preserve"> </w:t>
      </w:r>
      <w:r w:rsidRPr="00E71339">
        <w:t>subparagraph</w:t>
      </w:r>
      <w:r w:rsidR="00B84257" w:rsidRPr="00E71339">
        <w:t> </w:t>
      </w:r>
      <w:r w:rsidR="004D20C5" w:rsidRPr="00E71339">
        <w:t>1</w:t>
      </w:r>
      <w:r w:rsidR="00DE15DB">
        <w:t>5</w:t>
      </w:r>
      <w:r w:rsidRPr="00E71339">
        <w:t>(b)(ii) of the Rules</w:t>
      </w:r>
      <w:bookmarkEnd w:id="191"/>
      <w:bookmarkEnd w:id="192"/>
      <w:bookmarkEnd w:id="193"/>
      <w:bookmarkEnd w:id="194"/>
    </w:p>
    <w:p w14:paraId="26D00DF9" w14:textId="77777777" w:rsidR="007F7D6C" w:rsidRPr="009E3CA0" w:rsidRDefault="007F7D6C" w:rsidP="006F638E">
      <w:pPr>
        <w:pStyle w:val="Style4"/>
        <w:numPr>
          <w:ilvl w:val="0"/>
          <w:numId w:val="0"/>
        </w:numPr>
        <w:spacing w:line="240" w:lineRule="auto"/>
        <w:ind w:left="567"/>
        <w:rPr>
          <w:sz w:val="24"/>
          <w:szCs w:val="24"/>
        </w:rPr>
      </w:pPr>
      <w:r w:rsidRPr="009E3CA0">
        <w:rPr>
          <w:sz w:val="24"/>
          <w:szCs w:val="24"/>
        </w:rPr>
        <w:t>For each transferring fund, the transferor insurer must give to the relevant transferee insurer for the assets and liabilities of the transferring fund which are being transferred to the transferee insurer:</w:t>
      </w:r>
    </w:p>
    <w:p w14:paraId="16B4D74F" w14:textId="77777777" w:rsidR="007F7D6C" w:rsidRPr="009E3CA0" w:rsidRDefault="007F7D6C" w:rsidP="006F638E">
      <w:pPr>
        <w:pStyle w:val="Style4"/>
        <w:numPr>
          <w:ilvl w:val="0"/>
          <w:numId w:val="57"/>
        </w:numPr>
        <w:spacing w:line="240" w:lineRule="auto"/>
        <w:ind w:left="1134" w:hanging="567"/>
        <w:rPr>
          <w:sz w:val="24"/>
          <w:szCs w:val="24"/>
        </w:rPr>
      </w:pPr>
      <w:r w:rsidRPr="009E3CA0">
        <w:rPr>
          <w:sz w:val="24"/>
          <w:szCs w:val="24"/>
        </w:rPr>
        <w:t>possession of assets which are physical assets; and</w:t>
      </w:r>
    </w:p>
    <w:p w14:paraId="32B4C0F9" w14:textId="77777777" w:rsidR="007F7D6C" w:rsidRPr="009E3CA0" w:rsidRDefault="007F7D6C" w:rsidP="006F638E">
      <w:pPr>
        <w:pStyle w:val="Style12"/>
        <w:rPr>
          <w:sz w:val="24"/>
          <w:szCs w:val="24"/>
        </w:rPr>
      </w:pPr>
      <w:r w:rsidRPr="009E3CA0">
        <w:rPr>
          <w:sz w:val="24"/>
          <w:szCs w:val="24"/>
        </w:rPr>
        <w:t>certificates of title, registration certificates and other documents or instruments which evidence ownership of assets of the fund; and</w:t>
      </w:r>
    </w:p>
    <w:p w14:paraId="5B5BF10A" w14:textId="77777777" w:rsidR="007F7D6C" w:rsidRPr="009E3CA0" w:rsidRDefault="007F7D6C" w:rsidP="006F638E">
      <w:pPr>
        <w:pStyle w:val="Style12"/>
        <w:rPr>
          <w:sz w:val="24"/>
          <w:szCs w:val="24"/>
        </w:rPr>
      </w:pPr>
      <w:r w:rsidRPr="009E3CA0">
        <w:rPr>
          <w:sz w:val="24"/>
          <w:szCs w:val="24"/>
        </w:rPr>
        <w:lastRenderedPageBreak/>
        <w:t>duly executed assignments or novations of relevant contracts and evidence of the written consent of relevant third parties to the assignments or novations of the contracts; and</w:t>
      </w:r>
    </w:p>
    <w:p w14:paraId="713AEBA4" w14:textId="77777777" w:rsidR="007F7D6C" w:rsidRPr="009E3CA0" w:rsidRDefault="007F7D6C" w:rsidP="006F638E">
      <w:pPr>
        <w:pStyle w:val="Style12"/>
        <w:rPr>
          <w:sz w:val="24"/>
          <w:szCs w:val="24"/>
        </w:rPr>
      </w:pPr>
      <w:bookmarkStart w:id="195" w:name="_Ref510933208"/>
      <w:r w:rsidRPr="009E3CA0">
        <w:rPr>
          <w:sz w:val="24"/>
          <w:szCs w:val="24"/>
        </w:rPr>
        <w:t>duly executed assignments or novations of leases and evidence of the written consent of the landlord to the assignments or novations of the leases</w:t>
      </w:r>
      <w:bookmarkEnd w:id="195"/>
      <w:r w:rsidRPr="009E3CA0">
        <w:rPr>
          <w:sz w:val="24"/>
          <w:szCs w:val="24"/>
        </w:rPr>
        <w:t>; and</w:t>
      </w:r>
    </w:p>
    <w:p w14:paraId="7C6ED8B4" w14:textId="77777777" w:rsidR="007F7D6C" w:rsidRPr="009E3CA0" w:rsidRDefault="007F7D6C" w:rsidP="006F638E">
      <w:pPr>
        <w:pStyle w:val="Style12"/>
        <w:rPr>
          <w:sz w:val="24"/>
          <w:szCs w:val="24"/>
        </w:rPr>
      </w:pPr>
      <w:bookmarkStart w:id="196" w:name="_Ref510933164"/>
      <w:bookmarkStart w:id="197" w:name="_Ref519318692"/>
      <w:r w:rsidRPr="009E3CA0">
        <w:rPr>
          <w:sz w:val="24"/>
          <w:szCs w:val="24"/>
        </w:rPr>
        <w:t>occupation of any leasehold properties which are assets of the transferee fund; and</w:t>
      </w:r>
    </w:p>
    <w:p w14:paraId="437C6169" w14:textId="77777777" w:rsidR="007F7D6C" w:rsidRPr="009E3CA0" w:rsidRDefault="007F7D6C" w:rsidP="006F638E">
      <w:pPr>
        <w:pStyle w:val="Style12"/>
        <w:rPr>
          <w:sz w:val="24"/>
          <w:szCs w:val="24"/>
        </w:rPr>
      </w:pPr>
      <w:r w:rsidRPr="009E3CA0">
        <w:rPr>
          <w:sz w:val="24"/>
          <w:szCs w:val="24"/>
        </w:rPr>
        <w:t>duly executed assignments or change of ownership forms to transfer intellectual property assets of the fund to the Transferee</w:t>
      </w:r>
      <w:bookmarkEnd w:id="196"/>
      <w:bookmarkEnd w:id="197"/>
      <w:r w:rsidRPr="009E3CA0">
        <w:rPr>
          <w:sz w:val="24"/>
          <w:szCs w:val="24"/>
        </w:rPr>
        <w:t>; and</w:t>
      </w:r>
    </w:p>
    <w:p w14:paraId="15B1C1E7" w14:textId="77777777" w:rsidR="007F7D6C" w:rsidRPr="009E3CA0" w:rsidRDefault="007F7D6C" w:rsidP="006F638E">
      <w:pPr>
        <w:pStyle w:val="Style12"/>
        <w:rPr>
          <w:sz w:val="24"/>
          <w:szCs w:val="24"/>
        </w:rPr>
      </w:pPr>
      <w:r w:rsidRPr="009E3CA0">
        <w:rPr>
          <w:sz w:val="24"/>
          <w:szCs w:val="24"/>
        </w:rPr>
        <w:t>an irrevocable notice of cancellation of all signatories for each bank account containing fund assets (fund bank account) addressed to the relevant bank and a notice of consent to the appointment of the transferee</w:t>
      </w:r>
      <w:r w:rsidR="00EE2809" w:rsidRPr="009E3CA0">
        <w:rPr>
          <w:sz w:val="24"/>
          <w:szCs w:val="24"/>
        </w:rPr>
        <w:t>’</w:t>
      </w:r>
      <w:r w:rsidRPr="009E3CA0">
        <w:rPr>
          <w:sz w:val="24"/>
          <w:szCs w:val="24"/>
        </w:rPr>
        <w:t>s nominees as signatories on the account; and</w:t>
      </w:r>
    </w:p>
    <w:p w14:paraId="5F687CB4" w14:textId="77777777" w:rsidR="007F7D6C" w:rsidRPr="009E3CA0" w:rsidRDefault="007F7D6C" w:rsidP="006F638E">
      <w:pPr>
        <w:pStyle w:val="Style12"/>
        <w:rPr>
          <w:sz w:val="24"/>
          <w:szCs w:val="24"/>
        </w:rPr>
      </w:pPr>
      <w:r w:rsidRPr="009E3CA0">
        <w:rPr>
          <w:sz w:val="24"/>
          <w:szCs w:val="24"/>
        </w:rPr>
        <w:t xml:space="preserve">an irrevocable written direction addressed to each relevant bank on and from the transfer date to act in relation to a fund bank account with the bank only on the directions of the transferee; and </w:t>
      </w:r>
    </w:p>
    <w:p w14:paraId="4684F1A9" w14:textId="77777777" w:rsidR="007F7D6C" w:rsidRPr="009E3CA0" w:rsidRDefault="007F7D6C" w:rsidP="006F638E">
      <w:pPr>
        <w:pStyle w:val="Style12"/>
        <w:rPr>
          <w:sz w:val="24"/>
          <w:szCs w:val="24"/>
        </w:rPr>
      </w:pPr>
      <w:r w:rsidRPr="009E3CA0">
        <w:rPr>
          <w:sz w:val="24"/>
          <w:szCs w:val="24"/>
        </w:rPr>
        <w:t>all notices, executed transfers in registrable form, certificates and other instruments or documents required under any applicable law in connection with the transfer of the assets of the fund required to transfer title to the transferee; and</w:t>
      </w:r>
    </w:p>
    <w:p w14:paraId="7537CC4A" w14:textId="77777777" w:rsidR="007F7D6C" w:rsidRDefault="007F7D6C" w:rsidP="006F638E">
      <w:pPr>
        <w:pStyle w:val="Style12"/>
        <w:rPr>
          <w:sz w:val="24"/>
          <w:szCs w:val="24"/>
        </w:rPr>
      </w:pPr>
      <w:r w:rsidRPr="009E3CA0">
        <w:rPr>
          <w:sz w:val="24"/>
          <w:szCs w:val="24"/>
        </w:rPr>
        <w:t>all other notices, executed transfers in registrable form, certificates and other instruments or documents required under any applicable law to enable the transferee to conduct the business of the fund and to use any business names and websites of the fund.</w:t>
      </w:r>
    </w:p>
    <w:p w14:paraId="78A5224C" w14:textId="77777777" w:rsidR="00D31DE0" w:rsidRPr="009E3CA0" w:rsidRDefault="00D31DE0" w:rsidP="009D23BC">
      <w:pPr>
        <w:pStyle w:val="ENotesHeading1"/>
        <w:outlineLvl w:val="9"/>
        <w:rPr>
          <w:sz w:val="24"/>
          <w:szCs w:val="24"/>
        </w:rPr>
      </w:pPr>
    </w:p>
    <w:sectPr w:rsidR="00D31DE0" w:rsidRPr="009E3CA0" w:rsidSect="009D23BC">
      <w:headerReference w:type="even" r:id="rId14"/>
      <w:footerReference w:type="even" r:id="rId15"/>
      <w:footerReference w:type="default" r:id="rId16"/>
      <w:pgSz w:w="11920" w:h="16840"/>
      <w:pgMar w:top="1544" w:right="1440" w:bottom="1440" w:left="1440" w:header="568"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14A55" w14:textId="77777777" w:rsidR="0065379F" w:rsidRDefault="0065379F">
      <w:r>
        <w:separator/>
      </w:r>
    </w:p>
  </w:endnote>
  <w:endnote w:type="continuationSeparator" w:id="0">
    <w:p w14:paraId="033CFC85" w14:textId="77777777" w:rsidR="0065379F" w:rsidRDefault="0065379F">
      <w:r>
        <w:continuationSeparator/>
      </w:r>
    </w:p>
  </w:endnote>
  <w:endnote w:type="continuationNotice" w:id="1">
    <w:p w14:paraId="38C0C360" w14:textId="77777777" w:rsidR="00426ED5" w:rsidRDefault="00426E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795296"/>
      <w:docPartObj>
        <w:docPartGallery w:val="Page Numbers (Bottom of Page)"/>
        <w:docPartUnique/>
      </w:docPartObj>
    </w:sdtPr>
    <w:sdtEndPr/>
    <w:sdtContent>
      <w:sdt>
        <w:sdtPr>
          <w:id w:val="2083410516"/>
          <w:docPartObj>
            <w:docPartGallery w:val="Page Numbers (Top of Page)"/>
            <w:docPartUnique/>
          </w:docPartObj>
        </w:sdtPr>
        <w:sdtEndPr/>
        <w:sdtContent>
          <w:p w14:paraId="38C6D486" w14:textId="77777777" w:rsidR="0065379F" w:rsidRPr="0052634E" w:rsidRDefault="0065379F" w:rsidP="0052634E">
            <w:pPr>
              <w:pStyle w:val="Footer"/>
              <w:numPr>
                <w:ilvl w:val="0"/>
                <w:numId w:val="0"/>
              </w:numPr>
              <w:jc w:val="right"/>
            </w:pPr>
            <w:r w:rsidRPr="0089629D">
              <w:rPr>
                <w:bCs/>
                <w:sz w:val="28"/>
              </w:rPr>
              <w:fldChar w:fldCharType="begin"/>
            </w:r>
            <w:r w:rsidRPr="0089629D">
              <w:rPr>
                <w:bCs/>
                <w:sz w:val="24"/>
              </w:rPr>
              <w:instrText xml:space="preserve"> PAGE </w:instrText>
            </w:r>
            <w:r w:rsidRPr="0089629D">
              <w:rPr>
                <w:bCs/>
                <w:sz w:val="28"/>
              </w:rPr>
              <w:fldChar w:fldCharType="separate"/>
            </w:r>
            <w:r>
              <w:rPr>
                <w:bCs/>
                <w:noProof/>
                <w:sz w:val="24"/>
              </w:rPr>
              <w:t>29</w:t>
            </w:r>
            <w:r w:rsidRPr="0089629D">
              <w:rPr>
                <w:bCs/>
                <w:sz w:val="2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492925"/>
      <w:docPartObj>
        <w:docPartGallery w:val="Page Numbers (Bottom of Page)"/>
        <w:docPartUnique/>
      </w:docPartObj>
    </w:sdtPr>
    <w:sdtEndPr/>
    <w:sdtContent>
      <w:sdt>
        <w:sdtPr>
          <w:id w:val="1048572779"/>
          <w:docPartObj>
            <w:docPartGallery w:val="Page Numbers (Top of Page)"/>
            <w:docPartUnique/>
          </w:docPartObj>
        </w:sdtPr>
        <w:sdtEndPr/>
        <w:sdtContent>
          <w:p w14:paraId="62BE38FD" w14:textId="77777777" w:rsidR="0065379F" w:rsidRPr="0052634E" w:rsidRDefault="0065379F" w:rsidP="0052634E">
            <w:pPr>
              <w:pStyle w:val="Footer"/>
              <w:numPr>
                <w:ilvl w:val="0"/>
                <w:numId w:val="0"/>
              </w:numPr>
              <w:jc w:val="right"/>
            </w:pPr>
            <w:r w:rsidRPr="0089629D">
              <w:rPr>
                <w:bCs/>
                <w:sz w:val="28"/>
              </w:rPr>
              <w:fldChar w:fldCharType="begin"/>
            </w:r>
            <w:r w:rsidRPr="0089629D">
              <w:rPr>
                <w:bCs/>
                <w:sz w:val="24"/>
              </w:rPr>
              <w:instrText xml:space="preserve"> PAGE </w:instrText>
            </w:r>
            <w:r w:rsidRPr="0089629D">
              <w:rPr>
                <w:bCs/>
                <w:sz w:val="28"/>
              </w:rPr>
              <w:fldChar w:fldCharType="separate"/>
            </w:r>
            <w:r w:rsidR="008A3A55">
              <w:rPr>
                <w:bCs/>
                <w:noProof/>
                <w:sz w:val="24"/>
              </w:rPr>
              <w:t>1</w:t>
            </w:r>
            <w:r w:rsidRPr="0089629D">
              <w:rPr>
                <w:bCs/>
                <w:sz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E1ED9" w14:textId="77777777" w:rsidR="0065379F" w:rsidRDefault="0065379F">
      <w:r>
        <w:separator/>
      </w:r>
    </w:p>
  </w:footnote>
  <w:footnote w:type="continuationSeparator" w:id="0">
    <w:p w14:paraId="45D60EE3" w14:textId="77777777" w:rsidR="0065379F" w:rsidRDefault="0065379F">
      <w:r>
        <w:continuationSeparator/>
      </w:r>
    </w:p>
  </w:footnote>
  <w:footnote w:type="continuationNotice" w:id="1">
    <w:p w14:paraId="17AB664A" w14:textId="77777777" w:rsidR="00426ED5" w:rsidRDefault="00426E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4993A" w14:textId="77777777" w:rsidR="0065379F" w:rsidRPr="00333C72" w:rsidRDefault="0065379F" w:rsidP="00333C72">
    <w:pPr>
      <w:jc w:val="center"/>
      <w:rPr>
        <w:sz w:val="24"/>
        <w:szCs w:val="24"/>
      </w:rPr>
    </w:pPr>
    <w:r w:rsidRPr="00333C72">
      <w:rPr>
        <w:b/>
        <w:sz w:val="24"/>
        <w:szCs w:val="24"/>
      </w:rPr>
      <w:ptab w:relativeTo="margin" w:alignment="center" w:leader="none"/>
    </w:r>
    <w:r>
      <w:rPr>
        <w:b/>
        <w:sz w:val="24"/>
        <w:szCs w:val="24"/>
      </w:rPr>
      <w:t>DRAFT</w:t>
    </w:r>
    <w:r w:rsidRPr="00333C72">
      <w:rPr>
        <w:b/>
        <w:sz w:val="24"/>
        <w:szCs w:val="24"/>
      </w:rPr>
      <w:ptab w:relativeTo="margin" w:alignment="right" w:leader="none"/>
    </w:r>
    <w:r>
      <w:rPr>
        <w:sz w:val="24"/>
        <w:szCs w:val="24"/>
      </w:rPr>
      <w:t>March 2015</w:t>
    </w:r>
  </w:p>
  <w:p w14:paraId="1B36FF04" w14:textId="77777777" w:rsidR="0065379F" w:rsidRPr="007A1328" w:rsidRDefault="0065379F" w:rsidP="001E1A68">
    <w:pPr>
      <w:rPr>
        <w:b/>
        <w:sz w:val="24"/>
      </w:rPr>
    </w:pPr>
  </w:p>
  <w:p w14:paraId="27E1EA1B" w14:textId="77777777" w:rsidR="0065379F" w:rsidRPr="00C4473E" w:rsidRDefault="0065379F" w:rsidP="001E1A68">
    <w:pPr>
      <w:pBdr>
        <w:bottom w:val="single" w:sz="6" w:space="1" w:color="auto"/>
      </w:pBd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0C43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C07BC"/>
    <w:multiLevelType w:val="hybridMultilevel"/>
    <w:tmpl w:val="D04EC932"/>
    <w:lvl w:ilvl="0" w:tplc="7DE2C37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6D4787"/>
    <w:multiLevelType w:val="hybridMultilevel"/>
    <w:tmpl w:val="B638FBEC"/>
    <w:lvl w:ilvl="0" w:tplc="7DE2C37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8C1290"/>
    <w:multiLevelType w:val="hybridMultilevel"/>
    <w:tmpl w:val="7E642470"/>
    <w:lvl w:ilvl="0" w:tplc="95DEFCD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A51316"/>
    <w:multiLevelType w:val="hybridMultilevel"/>
    <w:tmpl w:val="EFCE5194"/>
    <w:lvl w:ilvl="0" w:tplc="352C44A2">
      <w:start w:val="1"/>
      <w:numFmt w:val="lowerRoman"/>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BB72D0"/>
    <w:multiLevelType w:val="hybridMultilevel"/>
    <w:tmpl w:val="E6C84640"/>
    <w:lvl w:ilvl="0" w:tplc="65BAF61A">
      <w:start w:val="1"/>
      <w:numFmt w:val="lowerLetter"/>
      <w:pStyle w:val="Style4"/>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C4518F"/>
    <w:multiLevelType w:val="hybridMultilevel"/>
    <w:tmpl w:val="560A3E06"/>
    <w:lvl w:ilvl="0" w:tplc="7DE2C37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D55F0A"/>
    <w:multiLevelType w:val="hybridMultilevel"/>
    <w:tmpl w:val="A9D24DD0"/>
    <w:lvl w:ilvl="0" w:tplc="7DE2C37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06604E"/>
    <w:multiLevelType w:val="hybridMultilevel"/>
    <w:tmpl w:val="D3A60650"/>
    <w:lvl w:ilvl="0" w:tplc="7DE2C37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5990801"/>
    <w:multiLevelType w:val="hybridMultilevel"/>
    <w:tmpl w:val="A4DC1D7E"/>
    <w:lvl w:ilvl="0" w:tplc="A8DCA7D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ED34D9"/>
    <w:multiLevelType w:val="hybridMultilevel"/>
    <w:tmpl w:val="C930BBB0"/>
    <w:lvl w:ilvl="0" w:tplc="09D2F834">
      <w:start w:val="1"/>
      <w:numFmt w:val="decimal"/>
      <w:lvlText w:val="(%1)"/>
      <w:lvlJc w:val="left"/>
      <w:pPr>
        <w:ind w:left="927" w:hanging="360"/>
      </w:pPr>
      <w:rPr>
        <w:rFonts w:hint="default"/>
      </w:rPr>
    </w:lvl>
    <w:lvl w:ilvl="1" w:tplc="05EA1A7C">
      <w:start w:val="1"/>
      <w:numFmt w:val="lowerLetter"/>
      <w:lvlText w:val="(%2)"/>
      <w:lvlJc w:val="left"/>
      <w:pPr>
        <w:ind w:left="1440" w:hanging="360"/>
      </w:pPr>
      <w:rPr>
        <w:rFonts w:hint="default"/>
      </w:rPr>
    </w:lvl>
    <w:lvl w:ilvl="2" w:tplc="980210B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1C3FB8"/>
    <w:multiLevelType w:val="hybridMultilevel"/>
    <w:tmpl w:val="64AC701C"/>
    <w:lvl w:ilvl="0" w:tplc="09D2F834">
      <w:start w:val="1"/>
      <w:numFmt w:val="decimal"/>
      <w:lvlText w:val="(%1)"/>
      <w:lvlJc w:val="left"/>
      <w:pPr>
        <w:ind w:left="720" w:hanging="360"/>
      </w:pPr>
      <w:rPr>
        <w:rFonts w:hint="default"/>
      </w:rPr>
    </w:lvl>
    <w:lvl w:ilvl="1" w:tplc="05EA1A7C">
      <w:start w:val="1"/>
      <w:numFmt w:val="lowerLetter"/>
      <w:lvlText w:val="(%2)"/>
      <w:lvlJc w:val="left"/>
      <w:pPr>
        <w:ind w:left="1440" w:hanging="360"/>
      </w:pPr>
      <w:rPr>
        <w:rFonts w:hint="default"/>
      </w:rPr>
    </w:lvl>
    <w:lvl w:ilvl="2" w:tplc="38D819DE">
      <w:start w:val="1"/>
      <w:numFmt w:val="lowerRoman"/>
      <w:lvlText w:val="(%3)"/>
      <w:lvlJc w:val="left"/>
      <w:pPr>
        <w:ind w:left="2160" w:hanging="180"/>
      </w:pPr>
      <w:rPr>
        <w:rFonts w:hint="default"/>
      </w:rPr>
    </w:lvl>
    <w:lvl w:ilvl="3" w:tplc="717E7878">
      <w:start w:val="1"/>
      <w:numFmt w:val="upperLetter"/>
      <w:pStyle w:val="Style8"/>
      <w:lvlText w:val="(%4)"/>
      <w:lvlJc w:val="left"/>
      <w:pPr>
        <w:ind w:left="2880" w:hanging="360"/>
      </w:pPr>
      <w:rPr>
        <w:rFonts w:hint="default"/>
        <w:sz w:val="24"/>
        <w:szCs w:val="24"/>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4964F6"/>
    <w:multiLevelType w:val="hybridMultilevel"/>
    <w:tmpl w:val="61C646FC"/>
    <w:lvl w:ilvl="0" w:tplc="09D2F834">
      <w:start w:val="1"/>
      <w:numFmt w:val="decimal"/>
      <w:lvlText w:val="(%1)"/>
      <w:lvlJc w:val="left"/>
      <w:pPr>
        <w:ind w:left="720" w:hanging="360"/>
      </w:pPr>
      <w:rPr>
        <w:rFonts w:hint="default"/>
      </w:rPr>
    </w:lvl>
    <w:lvl w:ilvl="1" w:tplc="2D849F4C">
      <w:start w:val="1"/>
      <w:numFmt w:val="lowerLetter"/>
      <w:pStyle w:val="Style6"/>
      <w:lvlText w:val="(%2)"/>
      <w:lvlJc w:val="left"/>
      <w:pPr>
        <w:ind w:left="1440" w:hanging="360"/>
      </w:pPr>
      <w:rPr>
        <w:rFonts w:hint="default"/>
      </w:rPr>
    </w:lvl>
    <w:lvl w:ilvl="2" w:tplc="A1DCFC96">
      <w:start w:val="1"/>
      <w:numFmt w:val="lowerRoman"/>
      <w:pStyle w:val="Style7"/>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E05C36"/>
    <w:multiLevelType w:val="hybridMultilevel"/>
    <w:tmpl w:val="B5C27D56"/>
    <w:lvl w:ilvl="0" w:tplc="7DE2C37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9B4E40"/>
    <w:multiLevelType w:val="multilevel"/>
    <w:tmpl w:val="C3F048A8"/>
    <w:lvl w:ilvl="0">
      <w:start w:val="1"/>
      <w:numFmt w:val="decimal"/>
      <w:lvlRestart w:val="0"/>
      <w:pStyle w:val="ActHead5"/>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pStyle w:val="Style9"/>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6" w15:restartNumberingAfterBreak="0">
    <w:nsid w:val="2E8305C0"/>
    <w:multiLevelType w:val="hybridMultilevel"/>
    <w:tmpl w:val="A86266C8"/>
    <w:lvl w:ilvl="0" w:tplc="034E323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89D63EF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003B73"/>
    <w:multiLevelType w:val="hybridMultilevel"/>
    <w:tmpl w:val="DD4C705E"/>
    <w:lvl w:ilvl="0" w:tplc="034E323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2D6E3BBC">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7140658"/>
    <w:multiLevelType w:val="hybridMultilevel"/>
    <w:tmpl w:val="45FC53DC"/>
    <w:lvl w:ilvl="0" w:tplc="BE6CBB4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E8826084">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BC4CA4"/>
    <w:multiLevelType w:val="hybridMultilevel"/>
    <w:tmpl w:val="CA60526A"/>
    <w:lvl w:ilvl="0" w:tplc="BAEA58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DA060A"/>
    <w:multiLevelType w:val="hybridMultilevel"/>
    <w:tmpl w:val="BA281274"/>
    <w:lvl w:ilvl="0" w:tplc="497452A6">
      <w:start w:val="1"/>
      <w:numFmt w:val="lowerLetter"/>
      <w:pStyle w:val="Style10"/>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F4258FA"/>
    <w:multiLevelType w:val="hybridMultilevel"/>
    <w:tmpl w:val="C930BBB0"/>
    <w:lvl w:ilvl="0" w:tplc="09D2F834">
      <w:start w:val="1"/>
      <w:numFmt w:val="decimal"/>
      <w:lvlText w:val="(%1)"/>
      <w:lvlJc w:val="left"/>
      <w:pPr>
        <w:ind w:left="927" w:hanging="360"/>
      </w:pPr>
      <w:rPr>
        <w:rFonts w:hint="default"/>
      </w:rPr>
    </w:lvl>
    <w:lvl w:ilvl="1" w:tplc="05EA1A7C">
      <w:start w:val="1"/>
      <w:numFmt w:val="lowerLetter"/>
      <w:lvlText w:val="(%2)"/>
      <w:lvlJc w:val="left"/>
      <w:pPr>
        <w:ind w:left="1440" w:hanging="360"/>
      </w:pPr>
      <w:rPr>
        <w:rFonts w:hint="default"/>
      </w:rPr>
    </w:lvl>
    <w:lvl w:ilvl="2" w:tplc="980210B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144413"/>
    <w:multiLevelType w:val="multilevel"/>
    <w:tmpl w:val="EE5257F8"/>
    <w:lvl w:ilvl="0">
      <w:start w:val="1"/>
      <w:numFmt w:val="decimal"/>
      <w:lvlRestart w:val="0"/>
      <w:pStyle w:val="Heading1"/>
      <w:lvlText w:val="%1."/>
      <w:lvlJc w:val="left"/>
      <w:pPr>
        <w:tabs>
          <w:tab w:val="num" w:pos="850"/>
        </w:tabs>
        <w:ind w:left="850" w:hanging="850"/>
      </w:pPr>
      <w:rPr>
        <w:rFonts w:hint="default"/>
        <w:sz w:val="24"/>
        <w:szCs w:val="24"/>
      </w:rPr>
    </w:lvl>
    <w:lvl w:ilvl="1">
      <w:start w:val="1"/>
      <w:numFmt w:val="upperLetter"/>
      <w:pStyle w:val="Heading2"/>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pStyle w:val="Footer"/>
      <w:lvlText w:val="(%4)"/>
      <w:lvlJc w:val="left"/>
      <w:pPr>
        <w:tabs>
          <w:tab w:val="num" w:pos="2551"/>
        </w:tabs>
        <w:ind w:left="2551" w:hanging="850"/>
      </w:pPr>
      <w:rPr>
        <w:rFonts w:hint="default"/>
      </w:rPr>
    </w:lvl>
    <w:lvl w:ilvl="4">
      <w:start w:val="1"/>
      <w:numFmt w:val="upperLetter"/>
      <w:pStyle w:val="SOTextNote"/>
      <w:lvlText w:val="(%5)"/>
      <w:lvlJc w:val="left"/>
      <w:pPr>
        <w:tabs>
          <w:tab w:val="num" w:pos="3402"/>
        </w:tabs>
        <w:ind w:left="3402" w:hanging="851"/>
      </w:pPr>
      <w:rPr>
        <w:rFonts w:hint="default"/>
      </w:rPr>
    </w:lvl>
    <w:lvl w:ilvl="5">
      <w:start w:val="1"/>
      <w:numFmt w:val="decimal"/>
      <w:lvlRestart w:val="2"/>
      <w:pStyle w:val="SOPara"/>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35" w15:restartNumberingAfterBreak="0">
    <w:nsid w:val="611E7B3E"/>
    <w:multiLevelType w:val="hybridMultilevel"/>
    <w:tmpl w:val="A558C0E8"/>
    <w:lvl w:ilvl="0" w:tplc="8F86885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862A22"/>
    <w:multiLevelType w:val="hybridMultilevel"/>
    <w:tmpl w:val="ECDC7ABE"/>
    <w:lvl w:ilvl="0" w:tplc="980210B0">
      <w:start w:val="1"/>
      <w:numFmt w:val="lowerRoman"/>
      <w:lvlText w:val="(%1)"/>
      <w:lvlJc w:val="left"/>
      <w:pPr>
        <w:ind w:left="1448" w:hanging="360"/>
      </w:pPr>
      <w:rPr>
        <w:rFonts w:hint="default"/>
      </w:rPr>
    </w:lvl>
    <w:lvl w:ilvl="1" w:tplc="0C090019" w:tentative="1">
      <w:start w:val="1"/>
      <w:numFmt w:val="lowerLetter"/>
      <w:lvlText w:val="%2."/>
      <w:lvlJc w:val="left"/>
      <w:pPr>
        <w:ind w:left="2168" w:hanging="360"/>
      </w:pPr>
    </w:lvl>
    <w:lvl w:ilvl="2" w:tplc="570A6B10">
      <w:start w:val="1"/>
      <w:numFmt w:val="lowerRoman"/>
      <w:lvlText w:val="(%3)"/>
      <w:lvlJc w:val="left"/>
      <w:pPr>
        <w:ind w:left="2888" w:hanging="180"/>
      </w:pPr>
      <w:rPr>
        <w:rFonts w:hint="default"/>
        <w:sz w:val="24"/>
        <w:szCs w:val="24"/>
      </w:rPr>
    </w:lvl>
    <w:lvl w:ilvl="3" w:tplc="0C09000F" w:tentative="1">
      <w:start w:val="1"/>
      <w:numFmt w:val="decimal"/>
      <w:lvlText w:val="%4."/>
      <w:lvlJc w:val="left"/>
      <w:pPr>
        <w:ind w:left="3608" w:hanging="360"/>
      </w:pPr>
    </w:lvl>
    <w:lvl w:ilvl="4" w:tplc="0C090019" w:tentative="1">
      <w:start w:val="1"/>
      <w:numFmt w:val="lowerLetter"/>
      <w:lvlText w:val="%5."/>
      <w:lvlJc w:val="left"/>
      <w:pPr>
        <w:ind w:left="4328" w:hanging="360"/>
      </w:pPr>
    </w:lvl>
    <w:lvl w:ilvl="5" w:tplc="0C09001B" w:tentative="1">
      <w:start w:val="1"/>
      <w:numFmt w:val="lowerRoman"/>
      <w:lvlText w:val="%6."/>
      <w:lvlJc w:val="right"/>
      <w:pPr>
        <w:ind w:left="5048" w:hanging="180"/>
      </w:pPr>
    </w:lvl>
    <w:lvl w:ilvl="6" w:tplc="0C09000F" w:tentative="1">
      <w:start w:val="1"/>
      <w:numFmt w:val="decimal"/>
      <w:lvlText w:val="%7."/>
      <w:lvlJc w:val="left"/>
      <w:pPr>
        <w:ind w:left="5768" w:hanging="360"/>
      </w:pPr>
    </w:lvl>
    <w:lvl w:ilvl="7" w:tplc="0C090019" w:tentative="1">
      <w:start w:val="1"/>
      <w:numFmt w:val="lowerLetter"/>
      <w:lvlText w:val="%8."/>
      <w:lvlJc w:val="left"/>
      <w:pPr>
        <w:ind w:left="6488" w:hanging="360"/>
      </w:pPr>
    </w:lvl>
    <w:lvl w:ilvl="8" w:tplc="0C09001B" w:tentative="1">
      <w:start w:val="1"/>
      <w:numFmt w:val="lowerRoman"/>
      <w:lvlText w:val="%9."/>
      <w:lvlJc w:val="right"/>
      <w:pPr>
        <w:ind w:left="7208" w:hanging="180"/>
      </w:pPr>
    </w:lvl>
  </w:abstractNum>
  <w:abstractNum w:abstractNumId="37" w15:restartNumberingAfterBreak="0">
    <w:nsid w:val="65682296"/>
    <w:multiLevelType w:val="hybridMultilevel"/>
    <w:tmpl w:val="E898911A"/>
    <w:lvl w:ilvl="0" w:tplc="ABA8BA84">
      <w:start w:val="1"/>
      <w:numFmt w:val="decimal"/>
      <w:pStyle w:val="Style5"/>
      <w:lvlText w:val="(%1)"/>
      <w:lvlJc w:val="left"/>
      <w:pPr>
        <w:ind w:left="927" w:hanging="360"/>
      </w:pPr>
      <w:rPr>
        <w:rFonts w:hint="default"/>
      </w:rPr>
    </w:lvl>
    <w:lvl w:ilvl="1" w:tplc="05EA1A7C">
      <w:start w:val="1"/>
      <w:numFmt w:val="lowerLetter"/>
      <w:lvlText w:val="(%2)"/>
      <w:lvlJc w:val="left"/>
      <w:pPr>
        <w:ind w:left="1440" w:hanging="360"/>
      </w:pPr>
      <w:rPr>
        <w:rFonts w:hint="default"/>
      </w:rPr>
    </w:lvl>
    <w:lvl w:ilvl="2" w:tplc="980210B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933B17"/>
    <w:multiLevelType w:val="hybridMultilevel"/>
    <w:tmpl w:val="FBB01A8A"/>
    <w:lvl w:ilvl="0" w:tplc="BFA82498">
      <w:start w:val="1"/>
      <w:numFmt w:val="lowerRoman"/>
      <w:pStyle w:val="Style11"/>
      <w:lvlText w:val="(%1)"/>
      <w:lvlJc w:val="left"/>
      <w:pPr>
        <w:ind w:left="720" w:hanging="360"/>
      </w:pPr>
      <w:rPr>
        <w:rFonts w:hint="default"/>
      </w:rPr>
    </w:lvl>
    <w:lvl w:ilvl="1" w:tplc="866EABB6">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9"/>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34"/>
  </w:num>
  <w:num w:numId="16">
    <w:abstractNumId w:val="25"/>
  </w:num>
  <w:num w:numId="17">
    <w:abstractNumId w:val="15"/>
  </w:num>
  <w:num w:numId="18">
    <w:abstractNumId w:val="21"/>
  </w:num>
  <w:num w:numId="19">
    <w:abstractNumId w:val="23"/>
  </w:num>
  <w:num w:numId="20">
    <w:abstractNumId w:val="21"/>
    <w:lvlOverride w:ilvl="0">
      <w:startOverride w:val="1"/>
    </w:lvlOverride>
  </w:num>
  <w:num w:numId="21">
    <w:abstractNumId w:val="15"/>
    <w:lvlOverride w:ilvl="0">
      <w:startOverride w:val="1"/>
    </w:lvlOverride>
  </w:num>
  <w:num w:numId="22">
    <w:abstractNumId w:val="21"/>
  </w:num>
  <w:num w:numId="23">
    <w:abstractNumId w:val="21"/>
    <w:lvlOverride w:ilvl="0">
      <w:startOverride w:val="1"/>
    </w:lvlOverride>
  </w:num>
  <w:num w:numId="24">
    <w:abstractNumId w:val="22"/>
  </w:num>
  <w:num w:numId="25">
    <w:abstractNumId w:val="37"/>
  </w:num>
  <w:num w:numId="26">
    <w:abstractNumId w:val="37"/>
    <w:lvlOverride w:ilvl="0">
      <w:startOverride w:val="1"/>
    </w:lvlOverride>
  </w:num>
  <w:num w:numId="27">
    <w:abstractNumId w:val="37"/>
    <w:lvlOverride w:ilvl="0">
      <w:startOverride w:val="1"/>
    </w:lvlOverride>
  </w:num>
  <w:num w:numId="28">
    <w:abstractNumId w:val="3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7"/>
  </w:num>
  <w:num w:numId="32">
    <w:abstractNumId w:val="26"/>
  </w:num>
  <w:num w:numId="33">
    <w:abstractNumId w:val="30"/>
  </w:num>
  <w:num w:numId="34">
    <w:abstractNumId w:val="10"/>
  </w:num>
  <w:num w:numId="35">
    <w:abstractNumId w:val="20"/>
  </w:num>
  <w:num w:numId="36">
    <w:abstractNumId w:val="14"/>
  </w:num>
  <w:num w:numId="37">
    <w:abstractNumId w:val="12"/>
  </w:num>
  <w:num w:numId="38">
    <w:abstractNumId w:val="17"/>
  </w:num>
  <w:num w:numId="39">
    <w:abstractNumId w:val="18"/>
  </w:num>
  <w:num w:numId="40">
    <w:abstractNumId w:val="35"/>
  </w:num>
  <w:num w:numId="41">
    <w:abstractNumId w:val="36"/>
  </w:num>
  <w:num w:numId="42">
    <w:abstractNumId w:val="24"/>
  </w:num>
  <w:num w:numId="43">
    <w:abstractNumId w:val="16"/>
  </w:num>
  <w:num w:numId="44">
    <w:abstractNumId w:val="15"/>
    <w:lvlOverride w:ilvl="0">
      <w:startOverride w:val="1"/>
    </w:lvlOverride>
  </w:num>
  <w:num w:numId="45">
    <w:abstractNumId w:val="15"/>
    <w:lvlOverride w:ilvl="0">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num>
  <w:num w:numId="48">
    <w:abstractNumId w:val="15"/>
    <w:lvlOverride w:ilvl="0">
      <w:startOverride w:val="1"/>
    </w:lvlOverride>
  </w:num>
  <w:num w:numId="49">
    <w:abstractNumId w:val="15"/>
    <w:lvlOverride w:ilvl="0">
      <w:startOverride w:val="1"/>
    </w:lvlOverride>
  </w:num>
  <w:num w:numId="50">
    <w:abstractNumId w:val="38"/>
  </w:num>
  <w:num w:numId="51">
    <w:abstractNumId w:val="15"/>
    <w:lvlOverride w:ilvl="0">
      <w:startOverride w:val="1"/>
    </w:lvlOverride>
  </w:num>
  <w:num w:numId="52">
    <w:abstractNumId w:val="31"/>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num>
  <w:num w:numId="57">
    <w:abstractNumId w:val="15"/>
    <w:lvlOverride w:ilvl="0">
      <w:startOverride w:val="1"/>
    </w:lvlOverride>
  </w:num>
  <w:num w:numId="58">
    <w:abstractNumId w:val="15"/>
    <w:lvlOverride w:ilvl="0">
      <w:startOverride w:val="1"/>
    </w:lvlOverride>
  </w:num>
  <w:num w:numId="59">
    <w:abstractNumId w:val="25"/>
  </w:num>
  <w:num w:numId="60">
    <w:abstractNumId w:val="33"/>
  </w:num>
  <w:num w:numId="61">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9"/>
  <w:drawingGridVerticalSpacing w:val="181"/>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71"/>
    <w:rsid w:val="00000F14"/>
    <w:rsid w:val="000056EE"/>
    <w:rsid w:val="00007F8D"/>
    <w:rsid w:val="00011852"/>
    <w:rsid w:val="000131D7"/>
    <w:rsid w:val="00013E3A"/>
    <w:rsid w:val="000142EC"/>
    <w:rsid w:val="000146DF"/>
    <w:rsid w:val="000150D5"/>
    <w:rsid w:val="00016CEF"/>
    <w:rsid w:val="00020C29"/>
    <w:rsid w:val="00021676"/>
    <w:rsid w:val="00024697"/>
    <w:rsid w:val="0002591A"/>
    <w:rsid w:val="00027BBD"/>
    <w:rsid w:val="00027EB9"/>
    <w:rsid w:val="00032756"/>
    <w:rsid w:val="0003498B"/>
    <w:rsid w:val="00040904"/>
    <w:rsid w:val="000413D1"/>
    <w:rsid w:val="00042804"/>
    <w:rsid w:val="0004476C"/>
    <w:rsid w:val="000535CF"/>
    <w:rsid w:val="0005680C"/>
    <w:rsid w:val="00056B4F"/>
    <w:rsid w:val="00062767"/>
    <w:rsid w:val="00063AA8"/>
    <w:rsid w:val="00065ED7"/>
    <w:rsid w:val="00066A56"/>
    <w:rsid w:val="000704D2"/>
    <w:rsid w:val="00070A26"/>
    <w:rsid w:val="000745F7"/>
    <w:rsid w:val="00080C7B"/>
    <w:rsid w:val="000821BA"/>
    <w:rsid w:val="0008345A"/>
    <w:rsid w:val="00084265"/>
    <w:rsid w:val="00085F1D"/>
    <w:rsid w:val="000864D7"/>
    <w:rsid w:val="0009439F"/>
    <w:rsid w:val="00094F1D"/>
    <w:rsid w:val="00096678"/>
    <w:rsid w:val="000A55DA"/>
    <w:rsid w:val="000A705B"/>
    <w:rsid w:val="000A751E"/>
    <w:rsid w:val="000A7AF2"/>
    <w:rsid w:val="000B06A8"/>
    <w:rsid w:val="000B1C17"/>
    <w:rsid w:val="000B2073"/>
    <w:rsid w:val="000B52F3"/>
    <w:rsid w:val="000B5771"/>
    <w:rsid w:val="000B7487"/>
    <w:rsid w:val="000C0E9A"/>
    <w:rsid w:val="000D5777"/>
    <w:rsid w:val="000D7C0C"/>
    <w:rsid w:val="000E0493"/>
    <w:rsid w:val="000E16F3"/>
    <w:rsid w:val="000E28DA"/>
    <w:rsid w:val="000E302C"/>
    <w:rsid w:val="000E4CB3"/>
    <w:rsid w:val="000E6145"/>
    <w:rsid w:val="000E6727"/>
    <w:rsid w:val="000F096A"/>
    <w:rsid w:val="000F1FBA"/>
    <w:rsid w:val="000F22CD"/>
    <w:rsid w:val="001015AD"/>
    <w:rsid w:val="001039D1"/>
    <w:rsid w:val="001079C6"/>
    <w:rsid w:val="00114286"/>
    <w:rsid w:val="001160CE"/>
    <w:rsid w:val="00121494"/>
    <w:rsid w:val="00123AE9"/>
    <w:rsid w:val="001241C9"/>
    <w:rsid w:val="00125A0B"/>
    <w:rsid w:val="00126FCE"/>
    <w:rsid w:val="001312CF"/>
    <w:rsid w:val="0013205D"/>
    <w:rsid w:val="00134976"/>
    <w:rsid w:val="00135B5D"/>
    <w:rsid w:val="00137445"/>
    <w:rsid w:val="00137655"/>
    <w:rsid w:val="00137EA2"/>
    <w:rsid w:val="00137EC3"/>
    <w:rsid w:val="0014056F"/>
    <w:rsid w:val="001410A9"/>
    <w:rsid w:val="001415D1"/>
    <w:rsid w:val="00141B4E"/>
    <w:rsid w:val="00142CB2"/>
    <w:rsid w:val="0014324E"/>
    <w:rsid w:val="00145C33"/>
    <w:rsid w:val="0014660D"/>
    <w:rsid w:val="00147077"/>
    <w:rsid w:val="0015004C"/>
    <w:rsid w:val="00150F5C"/>
    <w:rsid w:val="00154861"/>
    <w:rsid w:val="00156FF5"/>
    <w:rsid w:val="00160DB0"/>
    <w:rsid w:val="00165EF5"/>
    <w:rsid w:val="0017099C"/>
    <w:rsid w:val="001727E6"/>
    <w:rsid w:val="00174BCA"/>
    <w:rsid w:val="001751E9"/>
    <w:rsid w:val="0018321F"/>
    <w:rsid w:val="00183AC8"/>
    <w:rsid w:val="00187008"/>
    <w:rsid w:val="00187B15"/>
    <w:rsid w:val="00190752"/>
    <w:rsid w:val="0019199A"/>
    <w:rsid w:val="00192635"/>
    <w:rsid w:val="001929D9"/>
    <w:rsid w:val="001940B4"/>
    <w:rsid w:val="00195BEC"/>
    <w:rsid w:val="001960B3"/>
    <w:rsid w:val="001A0A13"/>
    <w:rsid w:val="001A1C6D"/>
    <w:rsid w:val="001A2C20"/>
    <w:rsid w:val="001A30DD"/>
    <w:rsid w:val="001A62E7"/>
    <w:rsid w:val="001A6962"/>
    <w:rsid w:val="001B2225"/>
    <w:rsid w:val="001B3854"/>
    <w:rsid w:val="001B4AE0"/>
    <w:rsid w:val="001B503D"/>
    <w:rsid w:val="001B601B"/>
    <w:rsid w:val="001B680B"/>
    <w:rsid w:val="001B7075"/>
    <w:rsid w:val="001B7538"/>
    <w:rsid w:val="001C2238"/>
    <w:rsid w:val="001D09D2"/>
    <w:rsid w:val="001D09D3"/>
    <w:rsid w:val="001D217A"/>
    <w:rsid w:val="001D49E7"/>
    <w:rsid w:val="001D4E25"/>
    <w:rsid w:val="001E03B0"/>
    <w:rsid w:val="001E1A68"/>
    <w:rsid w:val="001E2436"/>
    <w:rsid w:val="001E45EC"/>
    <w:rsid w:val="001F3D4C"/>
    <w:rsid w:val="001F4CBC"/>
    <w:rsid w:val="0020111E"/>
    <w:rsid w:val="002019B4"/>
    <w:rsid w:val="00204409"/>
    <w:rsid w:val="0020443D"/>
    <w:rsid w:val="002055CD"/>
    <w:rsid w:val="0020742E"/>
    <w:rsid w:val="002074AF"/>
    <w:rsid w:val="00210114"/>
    <w:rsid w:val="002108D2"/>
    <w:rsid w:val="00211757"/>
    <w:rsid w:val="00211F14"/>
    <w:rsid w:val="002125DA"/>
    <w:rsid w:val="00213748"/>
    <w:rsid w:val="00213EC8"/>
    <w:rsid w:val="0021465E"/>
    <w:rsid w:val="00215E51"/>
    <w:rsid w:val="0021744D"/>
    <w:rsid w:val="00217C64"/>
    <w:rsid w:val="00220EDA"/>
    <w:rsid w:val="002222E4"/>
    <w:rsid w:val="002224F1"/>
    <w:rsid w:val="00222DA1"/>
    <w:rsid w:val="0022369F"/>
    <w:rsid w:val="00223A7F"/>
    <w:rsid w:val="00224DA4"/>
    <w:rsid w:val="00226EC0"/>
    <w:rsid w:val="00230CCA"/>
    <w:rsid w:val="00234FDE"/>
    <w:rsid w:val="0024167C"/>
    <w:rsid w:val="00245BF9"/>
    <w:rsid w:val="00251437"/>
    <w:rsid w:val="00253675"/>
    <w:rsid w:val="00254B2F"/>
    <w:rsid w:val="00255A8C"/>
    <w:rsid w:val="00256425"/>
    <w:rsid w:val="00260AD2"/>
    <w:rsid w:val="002625BA"/>
    <w:rsid w:val="00263CA6"/>
    <w:rsid w:val="002641B2"/>
    <w:rsid w:val="002648B6"/>
    <w:rsid w:val="00266774"/>
    <w:rsid w:val="002709CA"/>
    <w:rsid w:val="002752B5"/>
    <w:rsid w:val="0027675D"/>
    <w:rsid w:val="00284A2C"/>
    <w:rsid w:val="002929F2"/>
    <w:rsid w:val="002965A1"/>
    <w:rsid w:val="00296B35"/>
    <w:rsid w:val="00296E69"/>
    <w:rsid w:val="002A22F0"/>
    <w:rsid w:val="002A3C1B"/>
    <w:rsid w:val="002A57A4"/>
    <w:rsid w:val="002B0FB1"/>
    <w:rsid w:val="002B1083"/>
    <w:rsid w:val="002B4431"/>
    <w:rsid w:val="002C2F88"/>
    <w:rsid w:val="002C34B3"/>
    <w:rsid w:val="002C3E6A"/>
    <w:rsid w:val="002C4025"/>
    <w:rsid w:val="002C468C"/>
    <w:rsid w:val="002C4F58"/>
    <w:rsid w:val="002C57DA"/>
    <w:rsid w:val="002C60A4"/>
    <w:rsid w:val="002C65B2"/>
    <w:rsid w:val="002C67F6"/>
    <w:rsid w:val="002D0FB3"/>
    <w:rsid w:val="002D24DD"/>
    <w:rsid w:val="002D3EED"/>
    <w:rsid w:val="002D4B65"/>
    <w:rsid w:val="002D68AE"/>
    <w:rsid w:val="002E02D0"/>
    <w:rsid w:val="002E0C9A"/>
    <w:rsid w:val="002E113B"/>
    <w:rsid w:val="002F01EB"/>
    <w:rsid w:val="002F149E"/>
    <w:rsid w:val="002F3E47"/>
    <w:rsid w:val="002F5A8D"/>
    <w:rsid w:val="0030627F"/>
    <w:rsid w:val="00312608"/>
    <w:rsid w:val="00313ACF"/>
    <w:rsid w:val="00321A3F"/>
    <w:rsid w:val="00324994"/>
    <w:rsid w:val="003263DD"/>
    <w:rsid w:val="00331F91"/>
    <w:rsid w:val="0033273E"/>
    <w:rsid w:val="003327E3"/>
    <w:rsid w:val="00333C72"/>
    <w:rsid w:val="00333F8B"/>
    <w:rsid w:val="00342DD9"/>
    <w:rsid w:val="00347278"/>
    <w:rsid w:val="00347ABE"/>
    <w:rsid w:val="00347B8C"/>
    <w:rsid w:val="00350093"/>
    <w:rsid w:val="00350926"/>
    <w:rsid w:val="00352893"/>
    <w:rsid w:val="00352F82"/>
    <w:rsid w:val="003535E0"/>
    <w:rsid w:val="003570F6"/>
    <w:rsid w:val="00360F57"/>
    <w:rsid w:val="0036596D"/>
    <w:rsid w:val="00366209"/>
    <w:rsid w:val="00370D1B"/>
    <w:rsid w:val="00373614"/>
    <w:rsid w:val="00374893"/>
    <w:rsid w:val="00376BEA"/>
    <w:rsid w:val="0038039B"/>
    <w:rsid w:val="00381355"/>
    <w:rsid w:val="00381C1B"/>
    <w:rsid w:val="0038236C"/>
    <w:rsid w:val="00382E4F"/>
    <w:rsid w:val="00382EAF"/>
    <w:rsid w:val="00383571"/>
    <w:rsid w:val="00383D0E"/>
    <w:rsid w:val="00384027"/>
    <w:rsid w:val="003843EC"/>
    <w:rsid w:val="003949F6"/>
    <w:rsid w:val="003963FD"/>
    <w:rsid w:val="00396732"/>
    <w:rsid w:val="003967EF"/>
    <w:rsid w:val="00396FB1"/>
    <w:rsid w:val="0039721D"/>
    <w:rsid w:val="003A2BF9"/>
    <w:rsid w:val="003A3291"/>
    <w:rsid w:val="003A6F49"/>
    <w:rsid w:val="003B1624"/>
    <w:rsid w:val="003B2155"/>
    <w:rsid w:val="003B77B3"/>
    <w:rsid w:val="003C2131"/>
    <w:rsid w:val="003C3C69"/>
    <w:rsid w:val="003C3EB2"/>
    <w:rsid w:val="003C6D3C"/>
    <w:rsid w:val="003C700C"/>
    <w:rsid w:val="003C7D9A"/>
    <w:rsid w:val="003D20DD"/>
    <w:rsid w:val="003D4408"/>
    <w:rsid w:val="003E3E42"/>
    <w:rsid w:val="003E41BD"/>
    <w:rsid w:val="003F16BC"/>
    <w:rsid w:val="003F43C5"/>
    <w:rsid w:val="004018DE"/>
    <w:rsid w:val="00401C5A"/>
    <w:rsid w:val="00403CA6"/>
    <w:rsid w:val="00404516"/>
    <w:rsid w:val="00404663"/>
    <w:rsid w:val="00405625"/>
    <w:rsid w:val="00407E75"/>
    <w:rsid w:val="00411C6B"/>
    <w:rsid w:val="004162D6"/>
    <w:rsid w:val="004174C2"/>
    <w:rsid w:val="00420A7B"/>
    <w:rsid w:val="00426ED5"/>
    <w:rsid w:val="004344B6"/>
    <w:rsid w:val="00435C81"/>
    <w:rsid w:val="0043600E"/>
    <w:rsid w:val="00440BE1"/>
    <w:rsid w:val="00441962"/>
    <w:rsid w:val="00441AC8"/>
    <w:rsid w:val="004459D7"/>
    <w:rsid w:val="00447669"/>
    <w:rsid w:val="00450A89"/>
    <w:rsid w:val="00454D0B"/>
    <w:rsid w:val="00462B59"/>
    <w:rsid w:val="0046344B"/>
    <w:rsid w:val="004648D2"/>
    <w:rsid w:val="00470D73"/>
    <w:rsid w:val="00471C3D"/>
    <w:rsid w:val="00471C7B"/>
    <w:rsid w:val="0047221D"/>
    <w:rsid w:val="00473443"/>
    <w:rsid w:val="00481323"/>
    <w:rsid w:val="00482B0A"/>
    <w:rsid w:val="00482E28"/>
    <w:rsid w:val="00484DBA"/>
    <w:rsid w:val="004853CC"/>
    <w:rsid w:val="00487822"/>
    <w:rsid w:val="0049399F"/>
    <w:rsid w:val="0049507B"/>
    <w:rsid w:val="004A28F1"/>
    <w:rsid w:val="004A4722"/>
    <w:rsid w:val="004B07A0"/>
    <w:rsid w:val="004B09A5"/>
    <w:rsid w:val="004B302E"/>
    <w:rsid w:val="004B609C"/>
    <w:rsid w:val="004B65CE"/>
    <w:rsid w:val="004C087C"/>
    <w:rsid w:val="004C0E42"/>
    <w:rsid w:val="004C26DF"/>
    <w:rsid w:val="004C6131"/>
    <w:rsid w:val="004C6657"/>
    <w:rsid w:val="004C7220"/>
    <w:rsid w:val="004D1A86"/>
    <w:rsid w:val="004D20C5"/>
    <w:rsid w:val="004D2CCB"/>
    <w:rsid w:val="004D379F"/>
    <w:rsid w:val="004D3FFE"/>
    <w:rsid w:val="004D4498"/>
    <w:rsid w:val="004D61E8"/>
    <w:rsid w:val="004D7964"/>
    <w:rsid w:val="004D7BFF"/>
    <w:rsid w:val="004E01BE"/>
    <w:rsid w:val="004E136D"/>
    <w:rsid w:val="004E1A78"/>
    <w:rsid w:val="004E5425"/>
    <w:rsid w:val="004E7E32"/>
    <w:rsid w:val="004F2629"/>
    <w:rsid w:val="004F3A0D"/>
    <w:rsid w:val="004F3BD9"/>
    <w:rsid w:val="004F4139"/>
    <w:rsid w:val="004F4E12"/>
    <w:rsid w:val="004F6457"/>
    <w:rsid w:val="0050017F"/>
    <w:rsid w:val="00501ED7"/>
    <w:rsid w:val="00501EE7"/>
    <w:rsid w:val="00505817"/>
    <w:rsid w:val="005067DA"/>
    <w:rsid w:val="00506927"/>
    <w:rsid w:val="005100E9"/>
    <w:rsid w:val="005102FD"/>
    <w:rsid w:val="0051187D"/>
    <w:rsid w:val="0051449B"/>
    <w:rsid w:val="0051691F"/>
    <w:rsid w:val="00516F09"/>
    <w:rsid w:val="00521EE1"/>
    <w:rsid w:val="0052257B"/>
    <w:rsid w:val="00522E35"/>
    <w:rsid w:val="005238A2"/>
    <w:rsid w:val="0052634E"/>
    <w:rsid w:val="00526A68"/>
    <w:rsid w:val="00527846"/>
    <w:rsid w:val="00530A4B"/>
    <w:rsid w:val="00533AB5"/>
    <w:rsid w:val="00533CCD"/>
    <w:rsid w:val="005406E1"/>
    <w:rsid w:val="00551FD3"/>
    <w:rsid w:val="00552309"/>
    <w:rsid w:val="00553F13"/>
    <w:rsid w:val="00555EB1"/>
    <w:rsid w:val="0055761A"/>
    <w:rsid w:val="00560ADC"/>
    <w:rsid w:val="00561891"/>
    <w:rsid w:val="005633C4"/>
    <w:rsid w:val="00564001"/>
    <w:rsid w:val="00564A57"/>
    <w:rsid w:val="005668A1"/>
    <w:rsid w:val="0057469E"/>
    <w:rsid w:val="0057576A"/>
    <w:rsid w:val="00581977"/>
    <w:rsid w:val="005821A3"/>
    <w:rsid w:val="00584A71"/>
    <w:rsid w:val="00590B66"/>
    <w:rsid w:val="00590B9F"/>
    <w:rsid w:val="00590D2C"/>
    <w:rsid w:val="00592333"/>
    <w:rsid w:val="005944CF"/>
    <w:rsid w:val="00596122"/>
    <w:rsid w:val="0059624F"/>
    <w:rsid w:val="00596A10"/>
    <w:rsid w:val="00596F0D"/>
    <w:rsid w:val="005971A1"/>
    <w:rsid w:val="005A0F53"/>
    <w:rsid w:val="005A2A56"/>
    <w:rsid w:val="005A45DD"/>
    <w:rsid w:val="005A5EF8"/>
    <w:rsid w:val="005A65DC"/>
    <w:rsid w:val="005A720F"/>
    <w:rsid w:val="005B0037"/>
    <w:rsid w:val="005B0D71"/>
    <w:rsid w:val="005B0ED3"/>
    <w:rsid w:val="005B1448"/>
    <w:rsid w:val="005B2971"/>
    <w:rsid w:val="005B5A3F"/>
    <w:rsid w:val="005B5DF5"/>
    <w:rsid w:val="005B6D02"/>
    <w:rsid w:val="005C00F6"/>
    <w:rsid w:val="005C0A01"/>
    <w:rsid w:val="005C3646"/>
    <w:rsid w:val="005C6614"/>
    <w:rsid w:val="005D4B22"/>
    <w:rsid w:val="005D662A"/>
    <w:rsid w:val="005D6F22"/>
    <w:rsid w:val="005D7FE4"/>
    <w:rsid w:val="005E11B5"/>
    <w:rsid w:val="005E5309"/>
    <w:rsid w:val="005E6907"/>
    <w:rsid w:val="005E7B34"/>
    <w:rsid w:val="005F0408"/>
    <w:rsid w:val="005F0786"/>
    <w:rsid w:val="005F29F8"/>
    <w:rsid w:val="005F3571"/>
    <w:rsid w:val="005F5365"/>
    <w:rsid w:val="005F7D2D"/>
    <w:rsid w:val="00612543"/>
    <w:rsid w:val="006133D2"/>
    <w:rsid w:val="006136E1"/>
    <w:rsid w:val="0061472F"/>
    <w:rsid w:val="00615052"/>
    <w:rsid w:val="00616029"/>
    <w:rsid w:val="006165B3"/>
    <w:rsid w:val="00617061"/>
    <w:rsid w:val="006230C9"/>
    <w:rsid w:val="00623919"/>
    <w:rsid w:val="00625B97"/>
    <w:rsid w:val="00625BE7"/>
    <w:rsid w:val="0062619F"/>
    <w:rsid w:val="0063085D"/>
    <w:rsid w:val="00631314"/>
    <w:rsid w:val="00636345"/>
    <w:rsid w:val="00644B8D"/>
    <w:rsid w:val="00645C06"/>
    <w:rsid w:val="00646EA8"/>
    <w:rsid w:val="006503AC"/>
    <w:rsid w:val="00651CCE"/>
    <w:rsid w:val="0065379F"/>
    <w:rsid w:val="006566BE"/>
    <w:rsid w:val="00656B1C"/>
    <w:rsid w:val="00657047"/>
    <w:rsid w:val="00662BA3"/>
    <w:rsid w:val="00663272"/>
    <w:rsid w:val="00666DAE"/>
    <w:rsid w:val="00672003"/>
    <w:rsid w:val="00674F7A"/>
    <w:rsid w:val="006766F2"/>
    <w:rsid w:val="00686231"/>
    <w:rsid w:val="006867E7"/>
    <w:rsid w:val="00686C72"/>
    <w:rsid w:val="00686CE9"/>
    <w:rsid w:val="00687B2C"/>
    <w:rsid w:val="00693D62"/>
    <w:rsid w:val="00696A1C"/>
    <w:rsid w:val="0069766F"/>
    <w:rsid w:val="006A14A9"/>
    <w:rsid w:val="006A3CC1"/>
    <w:rsid w:val="006B28EE"/>
    <w:rsid w:val="006B5E4B"/>
    <w:rsid w:val="006C2F02"/>
    <w:rsid w:val="006C42CE"/>
    <w:rsid w:val="006C4534"/>
    <w:rsid w:val="006C4BED"/>
    <w:rsid w:val="006C53D2"/>
    <w:rsid w:val="006C63DA"/>
    <w:rsid w:val="006C7BFC"/>
    <w:rsid w:val="006D1971"/>
    <w:rsid w:val="006D2977"/>
    <w:rsid w:val="006D3DB7"/>
    <w:rsid w:val="006D41A0"/>
    <w:rsid w:val="006D4B7F"/>
    <w:rsid w:val="006D6872"/>
    <w:rsid w:val="006E06EA"/>
    <w:rsid w:val="006E0D8D"/>
    <w:rsid w:val="006E200A"/>
    <w:rsid w:val="006E3FF3"/>
    <w:rsid w:val="006E4546"/>
    <w:rsid w:val="006E69DC"/>
    <w:rsid w:val="006F1F48"/>
    <w:rsid w:val="006F2782"/>
    <w:rsid w:val="006F3964"/>
    <w:rsid w:val="006F3CB9"/>
    <w:rsid w:val="006F638E"/>
    <w:rsid w:val="00702F80"/>
    <w:rsid w:val="007037DD"/>
    <w:rsid w:val="00703B38"/>
    <w:rsid w:val="00707B9B"/>
    <w:rsid w:val="00710DC7"/>
    <w:rsid w:val="0071348F"/>
    <w:rsid w:val="00717563"/>
    <w:rsid w:val="00720F3B"/>
    <w:rsid w:val="00723202"/>
    <w:rsid w:val="007243AF"/>
    <w:rsid w:val="0072568B"/>
    <w:rsid w:val="0073100B"/>
    <w:rsid w:val="007336A0"/>
    <w:rsid w:val="007351CE"/>
    <w:rsid w:val="00735B24"/>
    <w:rsid w:val="00736671"/>
    <w:rsid w:val="0073682F"/>
    <w:rsid w:val="00736D2B"/>
    <w:rsid w:val="00742BE4"/>
    <w:rsid w:val="007445C1"/>
    <w:rsid w:val="00750F54"/>
    <w:rsid w:val="007546FA"/>
    <w:rsid w:val="0075789A"/>
    <w:rsid w:val="00761759"/>
    <w:rsid w:val="00762D8D"/>
    <w:rsid w:val="00770975"/>
    <w:rsid w:val="00771B1D"/>
    <w:rsid w:val="00771D1D"/>
    <w:rsid w:val="007756C9"/>
    <w:rsid w:val="00782D68"/>
    <w:rsid w:val="007847C2"/>
    <w:rsid w:val="0078580F"/>
    <w:rsid w:val="00787D5F"/>
    <w:rsid w:val="00791433"/>
    <w:rsid w:val="00797B01"/>
    <w:rsid w:val="007A1349"/>
    <w:rsid w:val="007A3567"/>
    <w:rsid w:val="007A56B8"/>
    <w:rsid w:val="007A7D13"/>
    <w:rsid w:val="007B1EA9"/>
    <w:rsid w:val="007B2E9B"/>
    <w:rsid w:val="007C0378"/>
    <w:rsid w:val="007D1903"/>
    <w:rsid w:val="007D2042"/>
    <w:rsid w:val="007D333B"/>
    <w:rsid w:val="007D466B"/>
    <w:rsid w:val="007E05D8"/>
    <w:rsid w:val="007E21C3"/>
    <w:rsid w:val="007E2AB6"/>
    <w:rsid w:val="007E4D6D"/>
    <w:rsid w:val="007E4DC1"/>
    <w:rsid w:val="007E74FF"/>
    <w:rsid w:val="007F3913"/>
    <w:rsid w:val="007F7D6C"/>
    <w:rsid w:val="00800575"/>
    <w:rsid w:val="00801924"/>
    <w:rsid w:val="00802693"/>
    <w:rsid w:val="00802C50"/>
    <w:rsid w:val="0080309D"/>
    <w:rsid w:val="008034AA"/>
    <w:rsid w:val="00804233"/>
    <w:rsid w:val="00806B35"/>
    <w:rsid w:val="008071F7"/>
    <w:rsid w:val="00807CB4"/>
    <w:rsid w:val="008109D9"/>
    <w:rsid w:val="008144A1"/>
    <w:rsid w:val="008200F1"/>
    <w:rsid w:val="00820E6A"/>
    <w:rsid w:val="00821F9F"/>
    <w:rsid w:val="00822EEA"/>
    <w:rsid w:val="00822F35"/>
    <w:rsid w:val="00824660"/>
    <w:rsid w:val="00827C9C"/>
    <w:rsid w:val="00831435"/>
    <w:rsid w:val="008328A1"/>
    <w:rsid w:val="00833F72"/>
    <w:rsid w:val="00836E02"/>
    <w:rsid w:val="008405DC"/>
    <w:rsid w:val="00840C30"/>
    <w:rsid w:val="00844885"/>
    <w:rsid w:val="008452EC"/>
    <w:rsid w:val="00847A24"/>
    <w:rsid w:val="00851BB2"/>
    <w:rsid w:val="00855B7C"/>
    <w:rsid w:val="00856AC8"/>
    <w:rsid w:val="008579B3"/>
    <w:rsid w:val="008621D6"/>
    <w:rsid w:val="008631FF"/>
    <w:rsid w:val="00864AD6"/>
    <w:rsid w:val="00864FA7"/>
    <w:rsid w:val="00870B97"/>
    <w:rsid w:val="00871ED2"/>
    <w:rsid w:val="00880C04"/>
    <w:rsid w:val="00881E8F"/>
    <w:rsid w:val="00890A16"/>
    <w:rsid w:val="00891151"/>
    <w:rsid w:val="00891412"/>
    <w:rsid w:val="00892FB4"/>
    <w:rsid w:val="0089409F"/>
    <w:rsid w:val="008949D1"/>
    <w:rsid w:val="0089629D"/>
    <w:rsid w:val="00896365"/>
    <w:rsid w:val="00896726"/>
    <w:rsid w:val="008A0372"/>
    <w:rsid w:val="008A0D3A"/>
    <w:rsid w:val="008A3A55"/>
    <w:rsid w:val="008A483B"/>
    <w:rsid w:val="008A498A"/>
    <w:rsid w:val="008A5870"/>
    <w:rsid w:val="008B2609"/>
    <w:rsid w:val="008B2776"/>
    <w:rsid w:val="008B2A61"/>
    <w:rsid w:val="008B5FB3"/>
    <w:rsid w:val="008C031D"/>
    <w:rsid w:val="008C0AB9"/>
    <w:rsid w:val="008C1CC6"/>
    <w:rsid w:val="008C3B67"/>
    <w:rsid w:val="008C4695"/>
    <w:rsid w:val="008C4C98"/>
    <w:rsid w:val="008D1DC5"/>
    <w:rsid w:val="008D4C13"/>
    <w:rsid w:val="008D68C0"/>
    <w:rsid w:val="008D7B0A"/>
    <w:rsid w:val="008E02E5"/>
    <w:rsid w:val="008E3156"/>
    <w:rsid w:val="008E32C0"/>
    <w:rsid w:val="008E5537"/>
    <w:rsid w:val="008E56CC"/>
    <w:rsid w:val="008E74ED"/>
    <w:rsid w:val="008E7BB7"/>
    <w:rsid w:val="008F0854"/>
    <w:rsid w:val="008F1D8F"/>
    <w:rsid w:val="008F5EC2"/>
    <w:rsid w:val="00902AC8"/>
    <w:rsid w:val="00902DBC"/>
    <w:rsid w:val="00903B98"/>
    <w:rsid w:val="00905373"/>
    <w:rsid w:val="009070F5"/>
    <w:rsid w:val="00913FCB"/>
    <w:rsid w:val="00914CC9"/>
    <w:rsid w:val="00915444"/>
    <w:rsid w:val="00915B19"/>
    <w:rsid w:val="00915D08"/>
    <w:rsid w:val="00916E87"/>
    <w:rsid w:val="009173DD"/>
    <w:rsid w:val="00917A9A"/>
    <w:rsid w:val="009217D7"/>
    <w:rsid w:val="0093033C"/>
    <w:rsid w:val="00931227"/>
    <w:rsid w:val="00931A90"/>
    <w:rsid w:val="00932384"/>
    <w:rsid w:val="00933963"/>
    <w:rsid w:val="009356C5"/>
    <w:rsid w:val="0094205E"/>
    <w:rsid w:val="0094386F"/>
    <w:rsid w:val="00946B85"/>
    <w:rsid w:val="00947186"/>
    <w:rsid w:val="009524E0"/>
    <w:rsid w:val="009553F5"/>
    <w:rsid w:val="00960F4E"/>
    <w:rsid w:val="00961F20"/>
    <w:rsid w:val="00962521"/>
    <w:rsid w:val="009625BC"/>
    <w:rsid w:val="00962627"/>
    <w:rsid w:val="009660A3"/>
    <w:rsid w:val="0096686E"/>
    <w:rsid w:val="0096767F"/>
    <w:rsid w:val="0096799E"/>
    <w:rsid w:val="0097307E"/>
    <w:rsid w:val="00975321"/>
    <w:rsid w:val="00976059"/>
    <w:rsid w:val="00977116"/>
    <w:rsid w:val="00981198"/>
    <w:rsid w:val="00982253"/>
    <w:rsid w:val="00982FFF"/>
    <w:rsid w:val="009830DC"/>
    <w:rsid w:val="009839BC"/>
    <w:rsid w:val="009870B5"/>
    <w:rsid w:val="009924D3"/>
    <w:rsid w:val="00992710"/>
    <w:rsid w:val="00996318"/>
    <w:rsid w:val="00997313"/>
    <w:rsid w:val="009A0843"/>
    <w:rsid w:val="009A0DED"/>
    <w:rsid w:val="009A1F1E"/>
    <w:rsid w:val="009A43F4"/>
    <w:rsid w:val="009A595E"/>
    <w:rsid w:val="009A5AB5"/>
    <w:rsid w:val="009B3D99"/>
    <w:rsid w:val="009B4663"/>
    <w:rsid w:val="009B68AD"/>
    <w:rsid w:val="009C08EF"/>
    <w:rsid w:val="009C0DE1"/>
    <w:rsid w:val="009C1C01"/>
    <w:rsid w:val="009C27D7"/>
    <w:rsid w:val="009C281D"/>
    <w:rsid w:val="009C72C7"/>
    <w:rsid w:val="009C7B2F"/>
    <w:rsid w:val="009D13E9"/>
    <w:rsid w:val="009D17D3"/>
    <w:rsid w:val="009D23BC"/>
    <w:rsid w:val="009E1FCE"/>
    <w:rsid w:val="009E23A3"/>
    <w:rsid w:val="009E3171"/>
    <w:rsid w:val="009E3CA0"/>
    <w:rsid w:val="009F0464"/>
    <w:rsid w:val="009F47BC"/>
    <w:rsid w:val="009F66FC"/>
    <w:rsid w:val="009F6F06"/>
    <w:rsid w:val="00A00812"/>
    <w:rsid w:val="00A10ECA"/>
    <w:rsid w:val="00A11761"/>
    <w:rsid w:val="00A1281A"/>
    <w:rsid w:val="00A1447D"/>
    <w:rsid w:val="00A16B2F"/>
    <w:rsid w:val="00A203C8"/>
    <w:rsid w:val="00A20779"/>
    <w:rsid w:val="00A208AB"/>
    <w:rsid w:val="00A232BF"/>
    <w:rsid w:val="00A267D1"/>
    <w:rsid w:val="00A30684"/>
    <w:rsid w:val="00A31BE9"/>
    <w:rsid w:val="00A35356"/>
    <w:rsid w:val="00A37E5D"/>
    <w:rsid w:val="00A37F42"/>
    <w:rsid w:val="00A40923"/>
    <w:rsid w:val="00A43835"/>
    <w:rsid w:val="00A453B8"/>
    <w:rsid w:val="00A45D09"/>
    <w:rsid w:val="00A462A3"/>
    <w:rsid w:val="00A532F9"/>
    <w:rsid w:val="00A545BD"/>
    <w:rsid w:val="00A56D1A"/>
    <w:rsid w:val="00A56D99"/>
    <w:rsid w:val="00A57F31"/>
    <w:rsid w:val="00A606BA"/>
    <w:rsid w:val="00A649CF"/>
    <w:rsid w:val="00A64E0D"/>
    <w:rsid w:val="00A64F24"/>
    <w:rsid w:val="00A720CD"/>
    <w:rsid w:val="00A7238F"/>
    <w:rsid w:val="00A72A46"/>
    <w:rsid w:val="00A742C6"/>
    <w:rsid w:val="00A742FE"/>
    <w:rsid w:val="00A74986"/>
    <w:rsid w:val="00A75829"/>
    <w:rsid w:val="00A81B2A"/>
    <w:rsid w:val="00A82761"/>
    <w:rsid w:val="00A82D4B"/>
    <w:rsid w:val="00A83035"/>
    <w:rsid w:val="00A867B2"/>
    <w:rsid w:val="00A87051"/>
    <w:rsid w:val="00A90E94"/>
    <w:rsid w:val="00A9104B"/>
    <w:rsid w:val="00A93472"/>
    <w:rsid w:val="00A93484"/>
    <w:rsid w:val="00A97867"/>
    <w:rsid w:val="00AA2C0E"/>
    <w:rsid w:val="00AA31CC"/>
    <w:rsid w:val="00AA55E5"/>
    <w:rsid w:val="00AA5740"/>
    <w:rsid w:val="00AB07FF"/>
    <w:rsid w:val="00AB26B5"/>
    <w:rsid w:val="00AD2AEE"/>
    <w:rsid w:val="00AD2B32"/>
    <w:rsid w:val="00AD3815"/>
    <w:rsid w:val="00AD39F1"/>
    <w:rsid w:val="00AD4C82"/>
    <w:rsid w:val="00AD6D63"/>
    <w:rsid w:val="00AE2EC0"/>
    <w:rsid w:val="00AE4D15"/>
    <w:rsid w:val="00AE505C"/>
    <w:rsid w:val="00AF15FD"/>
    <w:rsid w:val="00AF5E32"/>
    <w:rsid w:val="00AF75EE"/>
    <w:rsid w:val="00B02301"/>
    <w:rsid w:val="00B03A16"/>
    <w:rsid w:val="00B05985"/>
    <w:rsid w:val="00B05BFB"/>
    <w:rsid w:val="00B07E58"/>
    <w:rsid w:val="00B10F2A"/>
    <w:rsid w:val="00B117D1"/>
    <w:rsid w:val="00B11FF4"/>
    <w:rsid w:val="00B14FBE"/>
    <w:rsid w:val="00B27130"/>
    <w:rsid w:val="00B355A1"/>
    <w:rsid w:val="00B36939"/>
    <w:rsid w:val="00B3789F"/>
    <w:rsid w:val="00B41A08"/>
    <w:rsid w:val="00B41B9F"/>
    <w:rsid w:val="00B4372D"/>
    <w:rsid w:val="00B440EB"/>
    <w:rsid w:val="00B50B2D"/>
    <w:rsid w:val="00B55B62"/>
    <w:rsid w:val="00B564FE"/>
    <w:rsid w:val="00B56C51"/>
    <w:rsid w:val="00B61BD7"/>
    <w:rsid w:val="00B6412F"/>
    <w:rsid w:val="00B64D46"/>
    <w:rsid w:val="00B65355"/>
    <w:rsid w:val="00B65B18"/>
    <w:rsid w:val="00B66E52"/>
    <w:rsid w:val="00B716F3"/>
    <w:rsid w:val="00B719A9"/>
    <w:rsid w:val="00B7226E"/>
    <w:rsid w:val="00B7277B"/>
    <w:rsid w:val="00B73320"/>
    <w:rsid w:val="00B73ED2"/>
    <w:rsid w:val="00B74AE5"/>
    <w:rsid w:val="00B768AD"/>
    <w:rsid w:val="00B8004D"/>
    <w:rsid w:val="00B81DAD"/>
    <w:rsid w:val="00B82491"/>
    <w:rsid w:val="00B82B9D"/>
    <w:rsid w:val="00B82EAA"/>
    <w:rsid w:val="00B84257"/>
    <w:rsid w:val="00B86479"/>
    <w:rsid w:val="00B90889"/>
    <w:rsid w:val="00B912B5"/>
    <w:rsid w:val="00B92DE0"/>
    <w:rsid w:val="00B93121"/>
    <w:rsid w:val="00BA3110"/>
    <w:rsid w:val="00BA3125"/>
    <w:rsid w:val="00BA46A3"/>
    <w:rsid w:val="00BA55FB"/>
    <w:rsid w:val="00BA5A4E"/>
    <w:rsid w:val="00BA5F03"/>
    <w:rsid w:val="00BA61EE"/>
    <w:rsid w:val="00BB1081"/>
    <w:rsid w:val="00BB5353"/>
    <w:rsid w:val="00BB5CE5"/>
    <w:rsid w:val="00BC053C"/>
    <w:rsid w:val="00BC1289"/>
    <w:rsid w:val="00BC6DCA"/>
    <w:rsid w:val="00BC76C3"/>
    <w:rsid w:val="00BD2512"/>
    <w:rsid w:val="00BD46D5"/>
    <w:rsid w:val="00BE2947"/>
    <w:rsid w:val="00BE6504"/>
    <w:rsid w:val="00BE6B05"/>
    <w:rsid w:val="00BF2103"/>
    <w:rsid w:val="00BF21EB"/>
    <w:rsid w:val="00BF25FA"/>
    <w:rsid w:val="00BF3037"/>
    <w:rsid w:val="00BF33D2"/>
    <w:rsid w:val="00BF365C"/>
    <w:rsid w:val="00BF4A82"/>
    <w:rsid w:val="00BF5401"/>
    <w:rsid w:val="00BF7E18"/>
    <w:rsid w:val="00C02DBF"/>
    <w:rsid w:val="00C03332"/>
    <w:rsid w:val="00C058D5"/>
    <w:rsid w:val="00C12766"/>
    <w:rsid w:val="00C1328F"/>
    <w:rsid w:val="00C13A40"/>
    <w:rsid w:val="00C143E8"/>
    <w:rsid w:val="00C144DF"/>
    <w:rsid w:val="00C15633"/>
    <w:rsid w:val="00C15DD0"/>
    <w:rsid w:val="00C16B60"/>
    <w:rsid w:val="00C178E0"/>
    <w:rsid w:val="00C25519"/>
    <w:rsid w:val="00C258AA"/>
    <w:rsid w:val="00C270BF"/>
    <w:rsid w:val="00C335AA"/>
    <w:rsid w:val="00C34856"/>
    <w:rsid w:val="00C354E3"/>
    <w:rsid w:val="00C357D2"/>
    <w:rsid w:val="00C43209"/>
    <w:rsid w:val="00C43A05"/>
    <w:rsid w:val="00C43A98"/>
    <w:rsid w:val="00C459CE"/>
    <w:rsid w:val="00C4697F"/>
    <w:rsid w:val="00C52074"/>
    <w:rsid w:val="00C558D7"/>
    <w:rsid w:val="00C61EDA"/>
    <w:rsid w:val="00C62CF6"/>
    <w:rsid w:val="00C63448"/>
    <w:rsid w:val="00C63DC5"/>
    <w:rsid w:val="00C63F35"/>
    <w:rsid w:val="00C7037E"/>
    <w:rsid w:val="00C71889"/>
    <w:rsid w:val="00C71A74"/>
    <w:rsid w:val="00C71ED8"/>
    <w:rsid w:val="00C7214E"/>
    <w:rsid w:val="00C73541"/>
    <w:rsid w:val="00C75C72"/>
    <w:rsid w:val="00C75D63"/>
    <w:rsid w:val="00C7648E"/>
    <w:rsid w:val="00C77211"/>
    <w:rsid w:val="00C8165C"/>
    <w:rsid w:val="00C82D38"/>
    <w:rsid w:val="00C842F6"/>
    <w:rsid w:val="00C849ED"/>
    <w:rsid w:val="00C85642"/>
    <w:rsid w:val="00C85D0E"/>
    <w:rsid w:val="00C86D30"/>
    <w:rsid w:val="00C903C1"/>
    <w:rsid w:val="00C90770"/>
    <w:rsid w:val="00C92281"/>
    <w:rsid w:val="00C9464A"/>
    <w:rsid w:val="00C9472B"/>
    <w:rsid w:val="00C95A4E"/>
    <w:rsid w:val="00C97166"/>
    <w:rsid w:val="00CA36F0"/>
    <w:rsid w:val="00CA38AF"/>
    <w:rsid w:val="00CA3C89"/>
    <w:rsid w:val="00CB0223"/>
    <w:rsid w:val="00CB202F"/>
    <w:rsid w:val="00CB5EDC"/>
    <w:rsid w:val="00CC03EF"/>
    <w:rsid w:val="00CC05A9"/>
    <w:rsid w:val="00CC066B"/>
    <w:rsid w:val="00CC4EF4"/>
    <w:rsid w:val="00CC6D83"/>
    <w:rsid w:val="00CC7753"/>
    <w:rsid w:val="00CD1B8A"/>
    <w:rsid w:val="00CD6636"/>
    <w:rsid w:val="00CD68E9"/>
    <w:rsid w:val="00CE29D6"/>
    <w:rsid w:val="00CE60F8"/>
    <w:rsid w:val="00CE7757"/>
    <w:rsid w:val="00CF18F6"/>
    <w:rsid w:val="00CF2D20"/>
    <w:rsid w:val="00CF6B79"/>
    <w:rsid w:val="00CF7042"/>
    <w:rsid w:val="00CF755F"/>
    <w:rsid w:val="00D00741"/>
    <w:rsid w:val="00D02CCC"/>
    <w:rsid w:val="00D064C9"/>
    <w:rsid w:val="00D06D4B"/>
    <w:rsid w:val="00D10555"/>
    <w:rsid w:val="00D108FD"/>
    <w:rsid w:val="00D12624"/>
    <w:rsid w:val="00D174F9"/>
    <w:rsid w:val="00D17BEB"/>
    <w:rsid w:val="00D207BF"/>
    <w:rsid w:val="00D22684"/>
    <w:rsid w:val="00D23313"/>
    <w:rsid w:val="00D305D7"/>
    <w:rsid w:val="00D312EA"/>
    <w:rsid w:val="00D31DE0"/>
    <w:rsid w:val="00D32473"/>
    <w:rsid w:val="00D33230"/>
    <w:rsid w:val="00D4054E"/>
    <w:rsid w:val="00D405C2"/>
    <w:rsid w:val="00D4341A"/>
    <w:rsid w:val="00D449AE"/>
    <w:rsid w:val="00D472FE"/>
    <w:rsid w:val="00D5303C"/>
    <w:rsid w:val="00D53047"/>
    <w:rsid w:val="00D558BA"/>
    <w:rsid w:val="00D55BBF"/>
    <w:rsid w:val="00D56006"/>
    <w:rsid w:val="00D5643B"/>
    <w:rsid w:val="00D56FB2"/>
    <w:rsid w:val="00D61A3E"/>
    <w:rsid w:val="00D62BA7"/>
    <w:rsid w:val="00D62C81"/>
    <w:rsid w:val="00D632AF"/>
    <w:rsid w:val="00D675F5"/>
    <w:rsid w:val="00D73212"/>
    <w:rsid w:val="00D771D4"/>
    <w:rsid w:val="00D775B5"/>
    <w:rsid w:val="00D779B3"/>
    <w:rsid w:val="00D817EA"/>
    <w:rsid w:val="00D86301"/>
    <w:rsid w:val="00D90853"/>
    <w:rsid w:val="00D92B91"/>
    <w:rsid w:val="00D9415C"/>
    <w:rsid w:val="00D96401"/>
    <w:rsid w:val="00D96744"/>
    <w:rsid w:val="00D96FAA"/>
    <w:rsid w:val="00D978EA"/>
    <w:rsid w:val="00DA071E"/>
    <w:rsid w:val="00DA0ABD"/>
    <w:rsid w:val="00DA3D31"/>
    <w:rsid w:val="00DA75B2"/>
    <w:rsid w:val="00DB3C97"/>
    <w:rsid w:val="00DB491F"/>
    <w:rsid w:val="00DB4A1B"/>
    <w:rsid w:val="00DB78AA"/>
    <w:rsid w:val="00DC1628"/>
    <w:rsid w:val="00DC413A"/>
    <w:rsid w:val="00DC431A"/>
    <w:rsid w:val="00DC73EC"/>
    <w:rsid w:val="00DC7952"/>
    <w:rsid w:val="00DD0812"/>
    <w:rsid w:val="00DD0D9E"/>
    <w:rsid w:val="00DD3616"/>
    <w:rsid w:val="00DD52B3"/>
    <w:rsid w:val="00DE0007"/>
    <w:rsid w:val="00DE0A50"/>
    <w:rsid w:val="00DE15DB"/>
    <w:rsid w:val="00DE1B63"/>
    <w:rsid w:val="00DE37D8"/>
    <w:rsid w:val="00DE4D4D"/>
    <w:rsid w:val="00DE621E"/>
    <w:rsid w:val="00DE63DA"/>
    <w:rsid w:val="00DF0594"/>
    <w:rsid w:val="00DF475B"/>
    <w:rsid w:val="00DF70EE"/>
    <w:rsid w:val="00E00CF7"/>
    <w:rsid w:val="00E01F26"/>
    <w:rsid w:val="00E02076"/>
    <w:rsid w:val="00E0273C"/>
    <w:rsid w:val="00E07150"/>
    <w:rsid w:val="00E13920"/>
    <w:rsid w:val="00E13D5C"/>
    <w:rsid w:val="00E16CF5"/>
    <w:rsid w:val="00E22729"/>
    <w:rsid w:val="00E2578B"/>
    <w:rsid w:val="00E270E9"/>
    <w:rsid w:val="00E3170E"/>
    <w:rsid w:val="00E371BB"/>
    <w:rsid w:val="00E37500"/>
    <w:rsid w:val="00E37763"/>
    <w:rsid w:val="00E42F6D"/>
    <w:rsid w:val="00E46264"/>
    <w:rsid w:val="00E5413F"/>
    <w:rsid w:val="00E5627E"/>
    <w:rsid w:val="00E56B25"/>
    <w:rsid w:val="00E6181C"/>
    <w:rsid w:val="00E61E47"/>
    <w:rsid w:val="00E623FA"/>
    <w:rsid w:val="00E64329"/>
    <w:rsid w:val="00E654E4"/>
    <w:rsid w:val="00E66A3F"/>
    <w:rsid w:val="00E70F91"/>
    <w:rsid w:val="00E71339"/>
    <w:rsid w:val="00E759B1"/>
    <w:rsid w:val="00E75BB7"/>
    <w:rsid w:val="00E764CE"/>
    <w:rsid w:val="00E76DF9"/>
    <w:rsid w:val="00E77EFF"/>
    <w:rsid w:val="00E80976"/>
    <w:rsid w:val="00E91132"/>
    <w:rsid w:val="00E943E1"/>
    <w:rsid w:val="00E94631"/>
    <w:rsid w:val="00E95278"/>
    <w:rsid w:val="00E9558B"/>
    <w:rsid w:val="00EA3E08"/>
    <w:rsid w:val="00EA521A"/>
    <w:rsid w:val="00EB160C"/>
    <w:rsid w:val="00EB2794"/>
    <w:rsid w:val="00EB3D7C"/>
    <w:rsid w:val="00EB4EA0"/>
    <w:rsid w:val="00EC3E18"/>
    <w:rsid w:val="00EC4274"/>
    <w:rsid w:val="00EC6938"/>
    <w:rsid w:val="00ED07E0"/>
    <w:rsid w:val="00ED2990"/>
    <w:rsid w:val="00ED57F7"/>
    <w:rsid w:val="00ED7763"/>
    <w:rsid w:val="00EE104D"/>
    <w:rsid w:val="00EE2809"/>
    <w:rsid w:val="00EE33D5"/>
    <w:rsid w:val="00EE6572"/>
    <w:rsid w:val="00EE7D30"/>
    <w:rsid w:val="00EE7D3C"/>
    <w:rsid w:val="00EF2177"/>
    <w:rsid w:val="00EF4628"/>
    <w:rsid w:val="00EF46F0"/>
    <w:rsid w:val="00EF5905"/>
    <w:rsid w:val="00EF665F"/>
    <w:rsid w:val="00EF7E40"/>
    <w:rsid w:val="00F04A2C"/>
    <w:rsid w:val="00F078A7"/>
    <w:rsid w:val="00F07C53"/>
    <w:rsid w:val="00F1196E"/>
    <w:rsid w:val="00F130BB"/>
    <w:rsid w:val="00F140F2"/>
    <w:rsid w:val="00F156DC"/>
    <w:rsid w:val="00F201C5"/>
    <w:rsid w:val="00F2258F"/>
    <w:rsid w:val="00F2339A"/>
    <w:rsid w:val="00F253A0"/>
    <w:rsid w:val="00F25838"/>
    <w:rsid w:val="00F27DE9"/>
    <w:rsid w:val="00F3117B"/>
    <w:rsid w:val="00F31EC5"/>
    <w:rsid w:val="00F325AA"/>
    <w:rsid w:val="00F33087"/>
    <w:rsid w:val="00F33834"/>
    <w:rsid w:val="00F35300"/>
    <w:rsid w:val="00F36423"/>
    <w:rsid w:val="00F4252C"/>
    <w:rsid w:val="00F42581"/>
    <w:rsid w:val="00F43A98"/>
    <w:rsid w:val="00F43AFF"/>
    <w:rsid w:val="00F44608"/>
    <w:rsid w:val="00F5305A"/>
    <w:rsid w:val="00F532FC"/>
    <w:rsid w:val="00F54408"/>
    <w:rsid w:val="00F5689B"/>
    <w:rsid w:val="00F60482"/>
    <w:rsid w:val="00F638DF"/>
    <w:rsid w:val="00F63A79"/>
    <w:rsid w:val="00F641E8"/>
    <w:rsid w:val="00F64EC3"/>
    <w:rsid w:val="00F72662"/>
    <w:rsid w:val="00F73A62"/>
    <w:rsid w:val="00F73CA9"/>
    <w:rsid w:val="00F74980"/>
    <w:rsid w:val="00F83120"/>
    <w:rsid w:val="00F83E23"/>
    <w:rsid w:val="00F84B4F"/>
    <w:rsid w:val="00F86AD1"/>
    <w:rsid w:val="00F94EED"/>
    <w:rsid w:val="00F95043"/>
    <w:rsid w:val="00F95C4D"/>
    <w:rsid w:val="00F9658D"/>
    <w:rsid w:val="00F97331"/>
    <w:rsid w:val="00FA108D"/>
    <w:rsid w:val="00FA325E"/>
    <w:rsid w:val="00FB0192"/>
    <w:rsid w:val="00FB228D"/>
    <w:rsid w:val="00FB2A3E"/>
    <w:rsid w:val="00FB3B91"/>
    <w:rsid w:val="00FB515C"/>
    <w:rsid w:val="00FB68C5"/>
    <w:rsid w:val="00FC0224"/>
    <w:rsid w:val="00FC1CF1"/>
    <w:rsid w:val="00FC311A"/>
    <w:rsid w:val="00FC3941"/>
    <w:rsid w:val="00FC7EB7"/>
    <w:rsid w:val="00FD212A"/>
    <w:rsid w:val="00FD42BC"/>
    <w:rsid w:val="00FD4B3A"/>
    <w:rsid w:val="00FD5CB7"/>
    <w:rsid w:val="00FD62CB"/>
    <w:rsid w:val="00FD6BAD"/>
    <w:rsid w:val="00FE19B4"/>
    <w:rsid w:val="00FE3D70"/>
    <w:rsid w:val="00FE3FC6"/>
    <w:rsid w:val="00FE5BAB"/>
    <w:rsid w:val="00FE6EEA"/>
    <w:rsid w:val="00FE7BFE"/>
    <w:rsid w:val="00FF0F88"/>
    <w:rsid w:val="00FF20D1"/>
    <w:rsid w:val="00FF31B4"/>
    <w:rsid w:val="00FF36DB"/>
    <w:rsid w:val="00FF5391"/>
    <w:rsid w:val="00FF7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71E4165"/>
  <w15:docId w15:val="{60B0F765-7A01-47C2-9E58-08E2388E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257"/>
    <w:pPr>
      <w:spacing w:line="260" w:lineRule="atLeast"/>
    </w:pPr>
    <w:rPr>
      <w:rFonts w:eastAsiaTheme="minorHAnsi" w:cstheme="minorBidi"/>
      <w:sz w:val="22"/>
      <w:lang w:eastAsia="en-US"/>
    </w:rPr>
  </w:style>
  <w:style w:type="paragraph" w:styleId="Heading1">
    <w:name w:val="heading 1"/>
    <w:aliases w:val="h1"/>
    <w:basedOn w:val="OPCParaBase"/>
    <w:next w:val="Normal"/>
    <w:qFormat/>
    <w:rsid w:val="00125A0B"/>
    <w:pPr>
      <w:keepNext/>
      <w:keepLines/>
      <w:numPr>
        <w:numId w:val="15"/>
      </w:numPr>
      <w:spacing w:line="240" w:lineRule="auto"/>
      <w:outlineLvl w:val="0"/>
    </w:pPr>
    <w:rPr>
      <w:b/>
      <w:kern w:val="28"/>
      <w:sz w:val="36"/>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qFormat/>
    <w:rsid w:val="008A483B"/>
    <w:pPr>
      <w:keepNext/>
      <w:numPr>
        <w:ilvl w:val="1"/>
        <w:numId w:val="15"/>
      </w:numPr>
      <w:spacing w:before="240" w:after="60"/>
      <w:outlineLvl w:val="1"/>
    </w:pPr>
    <w:rPr>
      <w:rFonts w:ascii="Arial" w:hAnsi="Arial" w:cs="Arial"/>
      <w:b/>
      <w:bCs/>
      <w:i/>
      <w:iCs/>
      <w:sz w:val="28"/>
      <w:szCs w:val="28"/>
    </w:rPr>
  </w:style>
  <w:style w:type="paragraph" w:styleId="Heading3">
    <w:name w:val="heading 3"/>
    <w:basedOn w:val="OPCParaBase"/>
    <w:next w:val="ActHead4"/>
    <w:link w:val="Heading3Char"/>
    <w:qFormat/>
    <w:rsid w:val="00125A0B"/>
    <w:pPr>
      <w:keepNext/>
      <w:keepLines/>
      <w:spacing w:before="240" w:line="240" w:lineRule="auto"/>
      <w:ind w:left="1134" w:hanging="1134"/>
      <w:outlineLvl w:val="2"/>
    </w:pPr>
    <w:rPr>
      <w:b/>
      <w:kern w:val="28"/>
      <w:sz w:val="28"/>
    </w:rPr>
  </w:style>
  <w:style w:type="paragraph" w:styleId="Heading4">
    <w:name w:val="heading 4"/>
    <w:aliases w:val="First Section"/>
    <w:basedOn w:val="Normal"/>
    <w:next w:val="Normal"/>
    <w:qFormat/>
    <w:rsid w:val="008A483B"/>
    <w:pPr>
      <w:keepNext/>
      <w:spacing w:before="240" w:after="60"/>
      <w:outlineLvl w:val="3"/>
    </w:pPr>
    <w:rPr>
      <w:b/>
      <w:bCs/>
      <w:sz w:val="28"/>
      <w:szCs w:val="28"/>
    </w:rPr>
  </w:style>
  <w:style w:type="paragraph" w:styleId="Heading5">
    <w:name w:val="heading 5"/>
    <w:basedOn w:val="OPCParaBase"/>
    <w:next w:val="subsection"/>
    <w:qFormat/>
    <w:rsid w:val="00125A0B"/>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link w:val="Heading9Char"/>
    <w:qFormat/>
    <w:rsid w:val="008A483B"/>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B8425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84257"/>
    <w:rPr>
      <w:rFonts w:eastAsiaTheme="minorHAnsi" w:cstheme="minorBidi"/>
      <w:sz w:val="22"/>
      <w:lang w:eastAsia="en-US"/>
    </w:rPr>
  </w:style>
  <w:style w:type="paragraph" w:styleId="Footer">
    <w:name w:val="footer"/>
    <w:link w:val="FooterChar"/>
    <w:uiPriority w:val="99"/>
    <w:rsid w:val="00B84257"/>
    <w:pPr>
      <w:numPr>
        <w:ilvl w:val="3"/>
        <w:numId w:val="15"/>
      </w:numPr>
      <w:tabs>
        <w:tab w:val="center" w:pos="4153"/>
        <w:tab w:val="right" w:pos="8306"/>
      </w:tabs>
    </w:pPr>
    <w:rPr>
      <w:sz w:val="22"/>
      <w:szCs w:val="24"/>
    </w:rPr>
  </w:style>
  <w:style w:type="paragraph" w:customStyle="1" w:styleId="SOTextNote">
    <w:name w:val="SO TextNote"/>
    <w:aliases w:val="sont"/>
    <w:basedOn w:val="SOText"/>
    <w:qFormat/>
    <w:rsid w:val="00B84257"/>
    <w:pPr>
      <w:numPr>
        <w:ilvl w:val="4"/>
        <w:numId w:val="15"/>
      </w:numPr>
      <w:spacing w:before="122" w:line="198" w:lineRule="exact"/>
    </w:pPr>
    <w:rPr>
      <w:sz w:val="18"/>
    </w:rPr>
  </w:style>
  <w:style w:type="paragraph" w:customStyle="1" w:styleId="SOPara">
    <w:name w:val="SO Para"/>
    <w:aliases w:val="soa"/>
    <w:basedOn w:val="SOText"/>
    <w:link w:val="SOParaChar"/>
    <w:qFormat/>
    <w:rsid w:val="00B84257"/>
    <w:pPr>
      <w:numPr>
        <w:ilvl w:val="5"/>
        <w:numId w:val="15"/>
      </w:numPr>
      <w:tabs>
        <w:tab w:val="right" w:pos="1786"/>
      </w:tabs>
      <w:spacing w:before="40"/>
    </w:pPr>
  </w:style>
  <w:style w:type="character" w:customStyle="1" w:styleId="SOParaChar">
    <w:name w:val="SO Para Char"/>
    <w:aliases w:val="soa Char"/>
    <w:basedOn w:val="DefaultParagraphFont"/>
    <w:link w:val="SOPara"/>
    <w:rsid w:val="00B84257"/>
    <w:rPr>
      <w:rFonts w:eastAsiaTheme="minorHAnsi" w:cstheme="minorBidi"/>
      <w:sz w:val="22"/>
      <w:lang w:eastAsia="en-US"/>
    </w:rPr>
  </w:style>
  <w:style w:type="paragraph" w:customStyle="1" w:styleId="FileName">
    <w:name w:val="FileName"/>
    <w:basedOn w:val="Normal"/>
    <w:rsid w:val="00B84257"/>
  </w:style>
  <w:style w:type="paragraph" w:customStyle="1" w:styleId="SOHeadBold">
    <w:name w:val="SO HeadBold"/>
    <w:aliases w:val="sohb"/>
    <w:basedOn w:val="SOText"/>
    <w:next w:val="SOText"/>
    <w:link w:val="SOHeadBoldChar"/>
    <w:qFormat/>
    <w:rsid w:val="00B84257"/>
    <w:rPr>
      <w:b/>
    </w:rPr>
  </w:style>
  <w:style w:type="character" w:customStyle="1" w:styleId="SOHeadBoldChar">
    <w:name w:val="SO HeadBold Char"/>
    <w:aliases w:val="sohb Char"/>
    <w:basedOn w:val="DefaultParagraphFont"/>
    <w:link w:val="SOHeadBold"/>
    <w:rsid w:val="00B8425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84257"/>
    <w:rPr>
      <w:i/>
    </w:rPr>
  </w:style>
  <w:style w:type="character" w:customStyle="1" w:styleId="SOHeadItalicChar">
    <w:name w:val="SO HeadItalic Char"/>
    <w:aliases w:val="sohi Char"/>
    <w:basedOn w:val="DefaultParagraphFont"/>
    <w:link w:val="SOHeadItalic"/>
    <w:rsid w:val="00B84257"/>
    <w:rPr>
      <w:rFonts w:eastAsiaTheme="minorHAnsi" w:cstheme="minorBidi"/>
      <w:i/>
      <w:sz w:val="22"/>
      <w:lang w:eastAsia="en-US"/>
    </w:rPr>
  </w:style>
  <w:style w:type="paragraph" w:customStyle="1" w:styleId="SOBullet">
    <w:name w:val="SO Bullet"/>
    <w:aliases w:val="sotb"/>
    <w:basedOn w:val="SOText"/>
    <w:link w:val="SOBulletChar"/>
    <w:qFormat/>
    <w:rsid w:val="00B84257"/>
    <w:pPr>
      <w:ind w:left="1559" w:hanging="425"/>
    </w:pPr>
  </w:style>
  <w:style w:type="character" w:customStyle="1" w:styleId="SOBulletChar">
    <w:name w:val="SO Bullet Char"/>
    <w:aliases w:val="sotb Char"/>
    <w:basedOn w:val="DefaultParagraphFont"/>
    <w:link w:val="SOBullet"/>
    <w:rsid w:val="00B84257"/>
    <w:rPr>
      <w:rFonts w:eastAsiaTheme="minorHAnsi" w:cstheme="minorBidi"/>
      <w:sz w:val="22"/>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aliases w:val="Second Section (a)"/>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iPriority w:val="99"/>
    <w:unhideWhenUsed/>
    <w:rsid w:val="00B84257"/>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B84257"/>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8425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B84257"/>
    <w:pPr>
      <w:tabs>
        <w:tab w:val="left" w:pos="1560"/>
      </w:tabs>
      <w:ind w:left="2268" w:hanging="1134"/>
    </w:p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B84257"/>
  </w:style>
  <w:style w:type="character" w:customStyle="1" w:styleId="CharAmSchText">
    <w:name w:val="CharAmSchText"/>
    <w:basedOn w:val="OPCCharBase"/>
    <w:uiPriority w:val="1"/>
    <w:qFormat/>
    <w:rsid w:val="00B84257"/>
  </w:style>
  <w:style w:type="character" w:customStyle="1" w:styleId="CharChapNo">
    <w:name w:val="CharChapNo"/>
    <w:basedOn w:val="OPCCharBase"/>
    <w:qFormat/>
    <w:rsid w:val="00B84257"/>
  </w:style>
  <w:style w:type="character" w:customStyle="1" w:styleId="CharChapText">
    <w:name w:val="CharChapText"/>
    <w:basedOn w:val="OPCCharBase"/>
    <w:qFormat/>
    <w:rsid w:val="00B84257"/>
  </w:style>
  <w:style w:type="character" w:customStyle="1" w:styleId="CharDivNo">
    <w:name w:val="CharDivNo"/>
    <w:basedOn w:val="OPCCharBase"/>
    <w:qFormat/>
    <w:rsid w:val="00B84257"/>
  </w:style>
  <w:style w:type="character" w:customStyle="1" w:styleId="CharDivText">
    <w:name w:val="CharDivText"/>
    <w:basedOn w:val="OPCCharBase"/>
    <w:qFormat/>
    <w:rsid w:val="00B84257"/>
  </w:style>
  <w:style w:type="character" w:customStyle="1" w:styleId="CharPartNo">
    <w:name w:val="CharPartNo"/>
    <w:basedOn w:val="OPCCharBase"/>
    <w:qFormat/>
    <w:rsid w:val="00B84257"/>
  </w:style>
  <w:style w:type="character" w:customStyle="1" w:styleId="CharPartText">
    <w:name w:val="CharPartText"/>
    <w:basedOn w:val="OPCCharBase"/>
    <w:qFormat/>
    <w:rsid w:val="00B84257"/>
  </w:style>
  <w:style w:type="character" w:customStyle="1" w:styleId="OPCCharBase">
    <w:name w:val="OPCCharBase"/>
    <w:uiPriority w:val="1"/>
    <w:qFormat/>
    <w:rsid w:val="00B84257"/>
  </w:style>
  <w:style w:type="paragraph" w:customStyle="1" w:styleId="OPCParaBase">
    <w:name w:val="OPCParaBase"/>
    <w:link w:val="OPCParaBaseChar"/>
    <w:qFormat/>
    <w:rsid w:val="00B84257"/>
    <w:pPr>
      <w:spacing w:line="260" w:lineRule="atLeast"/>
    </w:pPr>
    <w:rPr>
      <w:sz w:val="22"/>
    </w:rPr>
  </w:style>
  <w:style w:type="character" w:customStyle="1" w:styleId="CharSectno">
    <w:name w:val="CharSectno"/>
    <w:basedOn w:val="OPCCharBase"/>
    <w:qFormat/>
    <w:rsid w:val="00B84257"/>
  </w:style>
  <w:style w:type="character" w:customStyle="1" w:styleId="SOBulletNoteChar">
    <w:name w:val="SO BulletNote Char"/>
    <w:aliases w:val="sonb Char"/>
    <w:basedOn w:val="DefaultParagraphFont"/>
    <w:link w:val="SOBulletNote"/>
    <w:rsid w:val="00B84257"/>
    <w:rPr>
      <w:rFonts w:eastAsiaTheme="minorHAnsi" w:cstheme="minorBidi"/>
      <w:sz w:val="18"/>
      <w:lang w:eastAsia="en-US"/>
    </w:rPr>
  </w:style>
  <w:style w:type="table" w:customStyle="1" w:styleId="TableGrid20">
    <w:name w:val="Table Grid2"/>
    <w:basedOn w:val="TableNormal"/>
    <w:next w:val="TableGrid"/>
    <w:uiPriority w:val="59"/>
    <w:rsid w:val="00125A0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25A0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B84257"/>
    <w:pPr>
      <w:spacing w:line="240" w:lineRule="auto"/>
      <w:ind w:left="1134"/>
    </w:pPr>
    <w:rPr>
      <w:sz w:val="20"/>
    </w:rPr>
  </w:style>
  <w:style w:type="paragraph" w:customStyle="1" w:styleId="ShortT">
    <w:name w:val="ShortT"/>
    <w:basedOn w:val="OPCParaBase"/>
    <w:next w:val="Normal"/>
    <w:qFormat/>
    <w:rsid w:val="00B84257"/>
    <w:pPr>
      <w:spacing w:line="240" w:lineRule="auto"/>
    </w:pPr>
    <w:rPr>
      <w:b/>
      <w:sz w:val="40"/>
    </w:rPr>
  </w:style>
  <w:style w:type="paragraph" w:customStyle="1" w:styleId="Penalty">
    <w:name w:val="Penalty"/>
    <w:basedOn w:val="OPCParaBase"/>
    <w:rsid w:val="00B84257"/>
    <w:pPr>
      <w:tabs>
        <w:tab w:val="left" w:pos="2977"/>
      </w:tabs>
      <w:spacing w:before="180" w:line="240" w:lineRule="auto"/>
      <w:ind w:left="1985" w:hanging="851"/>
    </w:pPr>
  </w:style>
  <w:style w:type="paragraph" w:styleId="TOC1">
    <w:name w:val="toc 1"/>
    <w:basedOn w:val="OPCParaBase"/>
    <w:next w:val="Normal"/>
    <w:uiPriority w:val="39"/>
    <w:unhideWhenUsed/>
    <w:qFormat/>
    <w:rsid w:val="002222E4"/>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qFormat/>
    <w:rsid w:val="0038039B"/>
    <w:pPr>
      <w:keepNext/>
      <w:keepLines/>
      <w:tabs>
        <w:tab w:val="right" w:pos="8278"/>
      </w:tabs>
      <w:spacing w:before="120" w:line="240" w:lineRule="auto"/>
      <w:ind w:left="2268" w:right="567" w:hanging="1134"/>
    </w:pPr>
    <w:rPr>
      <w:kern w:val="28"/>
      <w:sz w:val="24"/>
    </w:rPr>
  </w:style>
  <w:style w:type="paragraph" w:styleId="TOC3">
    <w:name w:val="toc 3"/>
    <w:basedOn w:val="OPCParaBase"/>
    <w:next w:val="Normal"/>
    <w:uiPriority w:val="39"/>
    <w:unhideWhenUsed/>
    <w:qFormat/>
    <w:rsid w:val="00B8425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8425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222E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8425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425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8425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84257"/>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B84257"/>
    <w:pPr>
      <w:spacing w:line="240" w:lineRule="auto"/>
    </w:pPr>
    <w:rPr>
      <w:sz w:val="20"/>
    </w:rPr>
  </w:style>
  <w:style w:type="paragraph" w:customStyle="1" w:styleId="ActHead2">
    <w:name w:val="ActHead 2"/>
    <w:aliases w:val="p"/>
    <w:basedOn w:val="OPCParaBase"/>
    <w:next w:val="ActHead3"/>
    <w:link w:val="ActHead2Char"/>
    <w:qFormat/>
    <w:rsid w:val="00B84257"/>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84257"/>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B84257"/>
    <w:pPr>
      <w:spacing w:before="122" w:line="240" w:lineRule="auto"/>
      <w:ind w:left="1985" w:hanging="851"/>
    </w:pPr>
    <w:rPr>
      <w:sz w:val="18"/>
    </w:rPr>
  </w:style>
  <w:style w:type="paragraph" w:customStyle="1" w:styleId="subsection">
    <w:name w:val="subsection"/>
    <w:aliases w:val="ss"/>
    <w:basedOn w:val="OPCParaBase"/>
    <w:link w:val="subsectionChar"/>
    <w:rsid w:val="00B84257"/>
    <w:pPr>
      <w:tabs>
        <w:tab w:val="right" w:pos="1021"/>
      </w:tabs>
      <w:spacing w:before="180" w:line="240" w:lineRule="auto"/>
      <w:ind w:left="1134" w:hanging="1134"/>
    </w:pPr>
  </w:style>
  <w:style w:type="paragraph" w:customStyle="1" w:styleId="paragraph">
    <w:name w:val="paragraph"/>
    <w:aliases w:val="a"/>
    <w:basedOn w:val="OPCParaBase"/>
    <w:rsid w:val="00B84257"/>
    <w:pPr>
      <w:tabs>
        <w:tab w:val="right" w:pos="1531"/>
      </w:tabs>
      <w:spacing w:before="40" w:line="240" w:lineRule="auto"/>
      <w:ind w:left="1644" w:hanging="1644"/>
    </w:pPr>
  </w:style>
  <w:style w:type="character" w:customStyle="1" w:styleId="Heading9Char">
    <w:name w:val="Heading 9 Char"/>
    <w:basedOn w:val="DefaultParagraphFont"/>
    <w:link w:val="Heading9"/>
    <w:rsid w:val="007F7D6C"/>
    <w:rPr>
      <w:rFonts w:ascii="Arial" w:hAnsi="Arial" w:cs="Arial"/>
      <w:sz w:val="22"/>
      <w:szCs w:val="22"/>
      <w:lang w:val="en-AU" w:eastAsia="en-AU" w:bidi="ar-SA"/>
    </w:rPr>
  </w:style>
  <w:style w:type="paragraph" w:customStyle="1" w:styleId="ActHead4">
    <w:name w:val="ActHead 4"/>
    <w:aliases w:val="sd"/>
    <w:basedOn w:val="OPCParaBase"/>
    <w:next w:val="ActHead5"/>
    <w:qFormat/>
    <w:rsid w:val="00B84257"/>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B842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42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42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42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4257"/>
  </w:style>
  <w:style w:type="paragraph" w:customStyle="1" w:styleId="Blocks">
    <w:name w:val="Blocks"/>
    <w:aliases w:val="bb"/>
    <w:basedOn w:val="OPCParaBase"/>
    <w:qFormat/>
    <w:rsid w:val="00B84257"/>
    <w:pPr>
      <w:spacing w:line="240" w:lineRule="auto"/>
    </w:pPr>
    <w:rPr>
      <w:sz w:val="24"/>
    </w:rPr>
  </w:style>
  <w:style w:type="paragraph" w:customStyle="1" w:styleId="BoxText">
    <w:name w:val="BoxText"/>
    <w:aliases w:val="bt"/>
    <w:basedOn w:val="OPCParaBase"/>
    <w:qFormat/>
    <w:rsid w:val="00B842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4257"/>
    <w:rPr>
      <w:b/>
    </w:rPr>
  </w:style>
  <w:style w:type="paragraph" w:customStyle="1" w:styleId="BoxHeadItalic">
    <w:name w:val="BoxHeadItalic"/>
    <w:aliases w:val="bhi"/>
    <w:basedOn w:val="BoxText"/>
    <w:next w:val="BoxStep"/>
    <w:qFormat/>
    <w:rsid w:val="00B84257"/>
    <w:rPr>
      <w:i/>
    </w:rPr>
  </w:style>
  <w:style w:type="paragraph" w:customStyle="1" w:styleId="BoxList">
    <w:name w:val="BoxList"/>
    <w:aliases w:val="bl"/>
    <w:basedOn w:val="BoxText"/>
    <w:qFormat/>
    <w:rsid w:val="00B84257"/>
    <w:pPr>
      <w:ind w:left="1559" w:hanging="425"/>
    </w:pPr>
  </w:style>
  <w:style w:type="paragraph" w:customStyle="1" w:styleId="BoxNote">
    <w:name w:val="BoxNote"/>
    <w:aliases w:val="bn"/>
    <w:basedOn w:val="BoxText"/>
    <w:qFormat/>
    <w:rsid w:val="00B84257"/>
    <w:pPr>
      <w:tabs>
        <w:tab w:val="left" w:pos="1985"/>
      </w:tabs>
      <w:spacing w:before="122" w:line="198" w:lineRule="exact"/>
      <w:ind w:left="2948" w:hanging="1814"/>
    </w:pPr>
    <w:rPr>
      <w:sz w:val="18"/>
    </w:rPr>
  </w:style>
  <w:style w:type="paragraph" w:customStyle="1" w:styleId="BoxPara">
    <w:name w:val="BoxPara"/>
    <w:aliases w:val="bp"/>
    <w:basedOn w:val="BoxText"/>
    <w:qFormat/>
    <w:rsid w:val="00B84257"/>
    <w:pPr>
      <w:tabs>
        <w:tab w:val="right" w:pos="2268"/>
      </w:tabs>
      <w:ind w:left="2552" w:hanging="1418"/>
    </w:pPr>
  </w:style>
  <w:style w:type="paragraph" w:customStyle="1" w:styleId="BoxStep">
    <w:name w:val="BoxStep"/>
    <w:aliases w:val="bs"/>
    <w:basedOn w:val="BoxText"/>
    <w:qFormat/>
    <w:rsid w:val="00B84257"/>
    <w:pPr>
      <w:ind w:left="1985" w:hanging="851"/>
    </w:pPr>
  </w:style>
  <w:style w:type="character" w:customStyle="1" w:styleId="CharAmPartNo">
    <w:name w:val="CharAmPartNo"/>
    <w:basedOn w:val="OPCCharBase"/>
    <w:uiPriority w:val="1"/>
    <w:qFormat/>
    <w:rsid w:val="00B84257"/>
  </w:style>
  <w:style w:type="character" w:customStyle="1" w:styleId="CharAmPartText">
    <w:name w:val="CharAmPartText"/>
    <w:basedOn w:val="OPCCharBase"/>
    <w:uiPriority w:val="1"/>
    <w:qFormat/>
    <w:rsid w:val="00B84257"/>
  </w:style>
  <w:style w:type="character" w:customStyle="1" w:styleId="CharBoldItalic">
    <w:name w:val="CharBoldItalic"/>
    <w:basedOn w:val="OPCCharBase"/>
    <w:uiPriority w:val="1"/>
    <w:qFormat/>
    <w:rsid w:val="00B84257"/>
    <w:rPr>
      <w:b/>
      <w:i/>
    </w:rPr>
  </w:style>
  <w:style w:type="character" w:customStyle="1" w:styleId="CharItalic">
    <w:name w:val="CharItalic"/>
    <w:basedOn w:val="OPCCharBase"/>
    <w:uiPriority w:val="1"/>
    <w:qFormat/>
    <w:rsid w:val="00B84257"/>
    <w:rPr>
      <w:i/>
    </w:rPr>
  </w:style>
  <w:style w:type="character" w:customStyle="1" w:styleId="CharSubdNo">
    <w:name w:val="CharSubdNo"/>
    <w:basedOn w:val="OPCCharBase"/>
    <w:uiPriority w:val="1"/>
    <w:qFormat/>
    <w:rsid w:val="00B84257"/>
  </w:style>
  <w:style w:type="character" w:customStyle="1" w:styleId="CharSubdText">
    <w:name w:val="CharSubdText"/>
    <w:basedOn w:val="OPCCharBase"/>
    <w:uiPriority w:val="1"/>
    <w:qFormat/>
    <w:rsid w:val="00B84257"/>
  </w:style>
  <w:style w:type="paragraph" w:customStyle="1" w:styleId="CTA--">
    <w:name w:val="CTA --"/>
    <w:basedOn w:val="OPCParaBase"/>
    <w:next w:val="Normal"/>
    <w:rsid w:val="00B84257"/>
    <w:pPr>
      <w:spacing w:before="60" w:line="240" w:lineRule="atLeast"/>
      <w:ind w:left="142" w:hanging="142"/>
    </w:pPr>
    <w:rPr>
      <w:sz w:val="20"/>
    </w:rPr>
  </w:style>
  <w:style w:type="paragraph" w:customStyle="1" w:styleId="CTA-">
    <w:name w:val="CTA -"/>
    <w:basedOn w:val="OPCParaBase"/>
    <w:rsid w:val="00B84257"/>
    <w:pPr>
      <w:spacing w:before="60" w:line="240" w:lineRule="atLeast"/>
      <w:ind w:left="85" w:hanging="85"/>
    </w:pPr>
    <w:rPr>
      <w:sz w:val="20"/>
    </w:rPr>
  </w:style>
  <w:style w:type="paragraph" w:customStyle="1" w:styleId="CTA---">
    <w:name w:val="CTA ---"/>
    <w:basedOn w:val="OPCParaBase"/>
    <w:next w:val="Normal"/>
    <w:rsid w:val="00B84257"/>
    <w:pPr>
      <w:spacing w:before="60" w:line="240" w:lineRule="atLeast"/>
      <w:ind w:left="198" w:hanging="198"/>
    </w:pPr>
    <w:rPr>
      <w:sz w:val="20"/>
    </w:rPr>
  </w:style>
  <w:style w:type="paragraph" w:customStyle="1" w:styleId="CTA----">
    <w:name w:val="CTA ----"/>
    <w:basedOn w:val="OPCParaBase"/>
    <w:next w:val="Normal"/>
    <w:rsid w:val="00B84257"/>
    <w:pPr>
      <w:spacing w:before="60" w:line="240" w:lineRule="atLeast"/>
      <w:ind w:left="255" w:hanging="255"/>
    </w:pPr>
    <w:rPr>
      <w:sz w:val="20"/>
    </w:rPr>
  </w:style>
  <w:style w:type="paragraph" w:customStyle="1" w:styleId="CTA1a">
    <w:name w:val="CTA 1(a)"/>
    <w:basedOn w:val="OPCParaBase"/>
    <w:rsid w:val="00B84257"/>
    <w:pPr>
      <w:tabs>
        <w:tab w:val="right" w:pos="414"/>
      </w:tabs>
      <w:spacing w:before="40" w:line="240" w:lineRule="atLeast"/>
      <w:ind w:left="675" w:hanging="675"/>
    </w:pPr>
    <w:rPr>
      <w:sz w:val="20"/>
    </w:rPr>
  </w:style>
  <w:style w:type="paragraph" w:customStyle="1" w:styleId="CTA1ai">
    <w:name w:val="CTA 1(a)(i)"/>
    <w:basedOn w:val="OPCParaBase"/>
    <w:rsid w:val="00B84257"/>
    <w:pPr>
      <w:tabs>
        <w:tab w:val="right" w:pos="1004"/>
      </w:tabs>
      <w:spacing w:before="40" w:line="240" w:lineRule="atLeast"/>
      <w:ind w:left="1253" w:hanging="1253"/>
    </w:pPr>
    <w:rPr>
      <w:sz w:val="20"/>
    </w:rPr>
  </w:style>
  <w:style w:type="paragraph" w:customStyle="1" w:styleId="CTA2a">
    <w:name w:val="CTA 2(a)"/>
    <w:basedOn w:val="OPCParaBase"/>
    <w:rsid w:val="00B84257"/>
    <w:pPr>
      <w:tabs>
        <w:tab w:val="right" w:pos="482"/>
      </w:tabs>
      <w:spacing w:before="40" w:line="240" w:lineRule="atLeast"/>
      <w:ind w:left="748" w:hanging="748"/>
    </w:pPr>
    <w:rPr>
      <w:sz w:val="20"/>
    </w:rPr>
  </w:style>
  <w:style w:type="paragraph" w:customStyle="1" w:styleId="CTA2ai">
    <w:name w:val="CTA 2(a)(i)"/>
    <w:basedOn w:val="OPCParaBase"/>
    <w:rsid w:val="00B84257"/>
    <w:pPr>
      <w:tabs>
        <w:tab w:val="right" w:pos="1089"/>
      </w:tabs>
      <w:spacing w:before="40" w:line="240" w:lineRule="atLeast"/>
      <w:ind w:left="1327" w:hanging="1327"/>
    </w:pPr>
    <w:rPr>
      <w:sz w:val="20"/>
    </w:rPr>
  </w:style>
  <w:style w:type="paragraph" w:customStyle="1" w:styleId="CTA3a">
    <w:name w:val="CTA 3(a)"/>
    <w:basedOn w:val="OPCParaBase"/>
    <w:rsid w:val="00B84257"/>
    <w:pPr>
      <w:tabs>
        <w:tab w:val="right" w:pos="556"/>
      </w:tabs>
      <w:spacing w:before="40" w:line="240" w:lineRule="atLeast"/>
      <w:ind w:left="805" w:hanging="805"/>
    </w:pPr>
    <w:rPr>
      <w:sz w:val="20"/>
    </w:rPr>
  </w:style>
  <w:style w:type="paragraph" w:customStyle="1" w:styleId="CTA3ai">
    <w:name w:val="CTA 3(a)(i)"/>
    <w:basedOn w:val="OPCParaBase"/>
    <w:rsid w:val="00B84257"/>
    <w:pPr>
      <w:tabs>
        <w:tab w:val="right" w:pos="1140"/>
      </w:tabs>
      <w:spacing w:before="40" w:line="240" w:lineRule="atLeast"/>
      <w:ind w:left="1361" w:hanging="1361"/>
    </w:pPr>
    <w:rPr>
      <w:sz w:val="20"/>
    </w:rPr>
  </w:style>
  <w:style w:type="paragraph" w:customStyle="1" w:styleId="CTA4a">
    <w:name w:val="CTA 4(a)"/>
    <w:basedOn w:val="OPCParaBase"/>
    <w:rsid w:val="00B84257"/>
    <w:pPr>
      <w:tabs>
        <w:tab w:val="right" w:pos="624"/>
      </w:tabs>
      <w:spacing w:before="40" w:line="240" w:lineRule="atLeast"/>
      <w:ind w:left="873" w:hanging="873"/>
    </w:pPr>
    <w:rPr>
      <w:sz w:val="20"/>
    </w:rPr>
  </w:style>
  <w:style w:type="paragraph" w:customStyle="1" w:styleId="CTA4ai">
    <w:name w:val="CTA 4(a)(i)"/>
    <w:basedOn w:val="OPCParaBase"/>
    <w:rsid w:val="00B84257"/>
    <w:pPr>
      <w:tabs>
        <w:tab w:val="right" w:pos="1213"/>
      </w:tabs>
      <w:spacing w:before="40" w:line="240" w:lineRule="atLeast"/>
      <w:ind w:left="1452" w:hanging="1452"/>
    </w:pPr>
    <w:rPr>
      <w:sz w:val="20"/>
    </w:rPr>
  </w:style>
  <w:style w:type="paragraph" w:customStyle="1" w:styleId="CTACAPS">
    <w:name w:val="CTA CAPS"/>
    <w:basedOn w:val="OPCParaBase"/>
    <w:rsid w:val="00B84257"/>
    <w:pPr>
      <w:spacing w:before="60" w:line="240" w:lineRule="atLeast"/>
    </w:pPr>
    <w:rPr>
      <w:sz w:val="20"/>
    </w:rPr>
  </w:style>
  <w:style w:type="paragraph" w:customStyle="1" w:styleId="CTAright">
    <w:name w:val="CTA right"/>
    <w:basedOn w:val="OPCParaBase"/>
    <w:rsid w:val="00B84257"/>
    <w:pPr>
      <w:spacing w:before="60" w:line="240" w:lineRule="auto"/>
      <w:jc w:val="right"/>
    </w:pPr>
    <w:rPr>
      <w:sz w:val="20"/>
    </w:rPr>
  </w:style>
  <w:style w:type="paragraph" w:customStyle="1" w:styleId="Definition">
    <w:name w:val="Definition"/>
    <w:aliases w:val="dd"/>
    <w:basedOn w:val="OPCParaBase"/>
    <w:rsid w:val="00B84257"/>
    <w:pPr>
      <w:spacing w:before="180" w:line="240" w:lineRule="auto"/>
      <w:ind w:left="1134"/>
    </w:pPr>
  </w:style>
  <w:style w:type="paragraph" w:customStyle="1" w:styleId="EndNotespara">
    <w:name w:val="EndNotes(para)"/>
    <w:aliases w:val="eta"/>
    <w:basedOn w:val="OPCParaBase"/>
    <w:next w:val="EndNotessubpara"/>
    <w:rsid w:val="00B842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42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42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4257"/>
    <w:pPr>
      <w:tabs>
        <w:tab w:val="right" w:pos="1412"/>
      </w:tabs>
      <w:spacing w:before="60" w:line="240" w:lineRule="auto"/>
      <w:ind w:left="1525" w:hanging="1525"/>
    </w:pPr>
    <w:rPr>
      <w:sz w:val="20"/>
    </w:rPr>
  </w:style>
  <w:style w:type="character" w:customStyle="1" w:styleId="HeaderChar">
    <w:name w:val="Header Char"/>
    <w:basedOn w:val="DefaultParagraphFont"/>
    <w:link w:val="Header"/>
    <w:uiPriority w:val="99"/>
    <w:rsid w:val="00B84257"/>
    <w:rPr>
      <w:sz w:val="16"/>
    </w:rPr>
  </w:style>
  <w:style w:type="paragraph" w:customStyle="1" w:styleId="House">
    <w:name w:val="House"/>
    <w:basedOn w:val="OPCParaBase"/>
    <w:rsid w:val="00B84257"/>
    <w:pPr>
      <w:spacing w:line="240" w:lineRule="auto"/>
    </w:pPr>
    <w:rPr>
      <w:sz w:val="28"/>
    </w:rPr>
  </w:style>
  <w:style w:type="paragraph" w:customStyle="1" w:styleId="Item">
    <w:name w:val="Item"/>
    <w:aliases w:val="i"/>
    <w:basedOn w:val="OPCParaBase"/>
    <w:next w:val="ItemHead"/>
    <w:rsid w:val="00B84257"/>
    <w:pPr>
      <w:keepLines/>
      <w:spacing w:before="80" w:line="240" w:lineRule="auto"/>
      <w:ind w:left="709"/>
    </w:pPr>
  </w:style>
  <w:style w:type="paragraph" w:customStyle="1" w:styleId="ItemHead">
    <w:name w:val="ItemHead"/>
    <w:aliases w:val="ih"/>
    <w:basedOn w:val="OPCParaBase"/>
    <w:next w:val="Item"/>
    <w:rsid w:val="00B842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4257"/>
    <w:pPr>
      <w:spacing w:line="240" w:lineRule="auto"/>
    </w:pPr>
    <w:rPr>
      <w:b/>
      <w:sz w:val="32"/>
    </w:rPr>
  </w:style>
  <w:style w:type="paragraph" w:customStyle="1" w:styleId="notedraft">
    <w:name w:val="note(draft)"/>
    <w:aliases w:val="nd"/>
    <w:basedOn w:val="OPCParaBase"/>
    <w:rsid w:val="00B84257"/>
    <w:pPr>
      <w:spacing w:before="240" w:line="240" w:lineRule="auto"/>
      <w:ind w:left="284" w:hanging="284"/>
    </w:pPr>
    <w:rPr>
      <w:i/>
      <w:sz w:val="24"/>
    </w:rPr>
  </w:style>
  <w:style w:type="paragraph" w:customStyle="1" w:styleId="notemargin">
    <w:name w:val="note(margin)"/>
    <w:aliases w:val="nm"/>
    <w:basedOn w:val="OPCParaBase"/>
    <w:rsid w:val="00B84257"/>
    <w:pPr>
      <w:tabs>
        <w:tab w:val="left" w:pos="709"/>
      </w:tabs>
      <w:spacing w:before="122" w:line="198" w:lineRule="exact"/>
      <w:ind w:left="709" w:hanging="709"/>
    </w:pPr>
    <w:rPr>
      <w:sz w:val="18"/>
    </w:rPr>
  </w:style>
  <w:style w:type="paragraph" w:customStyle="1" w:styleId="noteToPara">
    <w:name w:val="noteToPara"/>
    <w:aliases w:val="ntp"/>
    <w:basedOn w:val="OPCParaBase"/>
    <w:rsid w:val="00B84257"/>
    <w:pPr>
      <w:spacing w:before="122" w:line="198" w:lineRule="exact"/>
      <w:ind w:left="2353" w:hanging="709"/>
    </w:pPr>
    <w:rPr>
      <w:sz w:val="18"/>
    </w:rPr>
  </w:style>
  <w:style w:type="paragraph" w:customStyle="1" w:styleId="noteParlAmend">
    <w:name w:val="note(ParlAmend)"/>
    <w:aliases w:val="npp"/>
    <w:basedOn w:val="OPCParaBase"/>
    <w:next w:val="ParlAmend"/>
    <w:rsid w:val="00B84257"/>
    <w:pPr>
      <w:spacing w:line="240" w:lineRule="auto"/>
      <w:jc w:val="right"/>
    </w:pPr>
    <w:rPr>
      <w:rFonts w:ascii="Arial" w:hAnsi="Arial"/>
      <w:b/>
      <w:i/>
    </w:rPr>
  </w:style>
  <w:style w:type="paragraph" w:customStyle="1" w:styleId="Page1">
    <w:name w:val="Page1"/>
    <w:basedOn w:val="OPCParaBase"/>
    <w:rsid w:val="00B84257"/>
    <w:pPr>
      <w:spacing w:before="5600" w:line="240" w:lineRule="auto"/>
    </w:pPr>
    <w:rPr>
      <w:b/>
      <w:sz w:val="32"/>
    </w:rPr>
  </w:style>
  <w:style w:type="paragraph" w:customStyle="1" w:styleId="paragraphsub">
    <w:name w:val="paragraph(sub)"/>
    <w:aliases w:val="aa"/>
    <w:basedOn w:val="OPCParaBase"/>
    <w:rsid w:val="00B84257"/>
    <w:pPr>
      <w:tabs>
        <w:tab w:val="right" w:pos="1985"/>
      </w:tabs>
      <w:spacing w:before="40" w:line="240" w:lineRule="auto"/>
      <w:ind w:left="2098" w:hanging="2098"/>
    </w:pPr>
  </w:style>
  <w:style w:type="paragraph" w:customStyle="1" w:styleId="paragraphsub-sub">
    <w:name w:val="paragraph(sub-sub)"/>
    <w:aliases w:val="aaa"/>
    <w:basedOn w:val="OPCParaBase"/>
    <w:rsid w:val="00B84257"/>
    <w:pPr>
      <w:tabs>
        <w:tab w:val="right" w:pos="2722"/>
      </w:tabs>
      <w:spacing w:before="40" w:line="240" w:lineRule="auto"/>
      <w:ind w:left="2835" w:hanging="2835"/>
    </w:pPr>
  </w:style>
  <w:style w:type="paragraph" w:customStyle="1" w:styleId="ParlAmend">
    <w:name w:val="ParlAmend"/>
    <w:aliases w:val="pp"/>
    <w:basedOn w:val="OPCParaBase"/>
    <w:rsid w:val="00B84257"/>
    <w:pPr>
      <w:spacing w:before="240" w:line="240" w:lineRule="atLeast"/>
      <w:ind w:hanging="567"/>
    </w:pPr>
    <w:rPr>
      <w:sz w:val="24"/>
    </w:rPr>
  </w:style>
  <w:style w:type="paragraph" w:customStyle="1" w:styleId="Portfolio">
    <w:name w:val="Portfolio"/>
    <w:basedOn w:val="OPCParaBase"/>
    <w:rsid w:val="00B84257"/>
    <w:pPr>
      <w:spacing w:line="240" w:lineRule="auto"/>
    </w:pPr>
    <w:rPr>
      <w:i/>
      <w:sz w:val="20"/>
    </w:rPr>
  </w:style>
  <w:style w:type="paragraph" w:customStyle="1" w:styleId="Preamble">
    <w:name w:val="Preamble"/>
    <w:basedOn w:val="OPCParaBase"/>
    <w:next w:val="Normal"/>
    <w:rsid w:val="00B842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4257"/>
    <w:pPr>
      <w:spacing w:line="240" w:lineRule="auto"/>
    </w:pPr>
    <w:rPr>
      <w:i/>
      <w:sz w:val="20"/>
    </w:rPr>
  </w:style>
  <w:style w:type="paragraph" w:customStyle="1" w:styleId="Session">
    <w:name w:val="Session"/>
    <w:basedOn w:val="OPCParaBase"/>
    <w:rsid w:val="00B84257"/>
    <w:pPr>
      <w:spacing w:line="240" w:lineRule="auto"/>
    </w:pPr>
    <w:rPr>
      <w:sz w:val="28"/>
    </w:rPr>
  </w:style>
  <w:style w:type="paragraph" w:customStyle="1" w:styleId="Sponsor">
    <w:name w:val="Sponsor"/>
    <w:basedOn w:val="OPCParaBase"/>
    <w:rsid w:val="00B84257"/>
    <w:pPr>
      <w:spacing w:line="240" w:lineRule="auto"/>
    </w:pPr>
    <w:rPr>
      <w:i/>
    </w:rPr>
  </w:style>
  <w:style w:type="paragraph" w:customStyle="1" w:styleId="Subitem">
    <w:name w:val="Subitem"/>
    <w:aliases w:val="iss"/>
    <w:basedOn w:val="OPCParaBase"/>
    <w:rsid w:val="00B84257"/>
    <w:pPr>
      <w:spacing w:before="180" w:line="240" w:lineRule="auto"/>
      <w:ind w:left="709" w:hanging="709"/>
    </w:pPr>
  </w:style>
  <w:style w:type="paragraph" w:customStyle="1" w:styleId="SubitemHead">
    <w:name w:val="SubitemHead"/>
    <w:aliases w:val="issh"/>
    <w:basedOn w:val="OPCParaBase"/>
    <w:rsid w:val="00B842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4257"/>
    <w:pPr>
      <w:spacing w:before="40" w:line="240" w:lineRule="auto"/>
      <w:ind w:left="1134"/>
    </w:pPr>
  </w:style>
  <w:style w:type="paragraph" w:customStyle="1" w:styleId="SubsectionHead">
    <w:name w:val="SubsectionHead"/>
    <w:aliases w:val="ssh"/>
    <w:basedOn w:val="OPCParaBase"/>
    <w:next w:val="subsection"/>
    <w:rsid w:val="00B84257"/>
    <w:pPr>
      <w:keepNext/>
      <w:keepLines/>
      <w:spacing w:before="240" w:line="240" w:lineRule="auto"/>
      <w:ind w:left="1134"/>
    </w:pPr>
    <w:rPr>
      <w:i/>
    </w:rPr>
  </w:style>
  <w:style w:type="paragraph" w:customStyle="1" w:styleId="Tablea">
    <w:name w:val="Table(a)"/>
    <w:aliases w:val="ta"/>
    <w:basedOn w:val="OPCParaBase"/>
    <w:rsid w:val="00B84257"/>
    <w:pPr>
      <w:spacing w:before="60" w:line="240" w:lineRule="auto"/>
      <w:ind w:left="284" w:hanging="284"/>
    </w:pPr>
    <w:rPr>
      <w:sz w:val="20"/>
    </w:rPr>
  </w:style>
  <w:style w:type="paragraph" w:customStyle="1" w:styleId="TableAA">
    <w:name w:val="Table(AA)"/>
    <w:aliases w:val="taaa"/>
    <w:basedOn w:val="OPCParaBase"/>
    <w:rsid w:val="00B842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42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4257"/>
    <w:pPr>
      <w:spacing w:before="60" w:line="240" w:lineRule="atLeast"/>
    </w:pPr>
    <w:rPr>
      <w:sz w:val="20"/>
    </w:rPr>
  </w:style>
  <w:style w:type="paragraph" w:customStyle="1" w:styleId="TLPBoxTextnote">
    <w:name w:val="TLPBoxText(note"/>
    <w:aliases w:val="right)"/>
    <w:basedOn w:val="OPCParaBase"/>
    <w:rsid w:val="00B842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425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4257"/>
    <w:pPr>
      <w:spacing w:before="122" w:line="198" w:lineRule="exact"/>
      <w:ind w:left="1985" w:hanging="851"/>
      <w:jc w:val="right"/>
    </w:pPr>
    <w:rPr>
      <w:sz w:val="18"/>
    </w:rPr>
  </w:style>
  <w:style w:type="paragraph" w:customStyle="1" w:styleId="TLPTableBullet">
    <w:name w:val="TLPTableBullet"/>
    <w:aliases w:val="ttb"/>
    <w:basedOn w:val="OPCParaBase"/>
    <w:rsid w:val="00B84257"/>
    <w:pPr>
      <w:spacing w:line="240" w:lineRule="exact"/>
      <w:ind w:left="284" w:hanging="284"/>
    </w:pPr>
    <w:rPr>
      <w:sz w:val="20"/>
    </w:rPr>
  </w:style>
  <w:style w:type="paragraph" w:customStyle="1" w:styleId="TofSectsGroupHeading">
    <w:name w:val="TofSects(GroupHeading)"/>
    <w:basedOn w:val="OPCParaBase"/>
    <w:next w:val="TofSectsSection"/>
    <w:rsid w:val="00B84257"/>
    <w:pPr>
      <w:keepLines/>
      <w:spacing w:before="240" w:after="120" w:line="240" w:lineRule="auto"/>
      <w:ind w:left="794"/>
    </w:pPr>
    <w:rPr>
      <w:b/>
      <w:kern w:val="28"/>
      <w:sz w:val="20"/>
    </w:rPr>
  </w:style>
  <w:style w:type="paragraph" w:customStyle="1" w:styleId="TofSectsHeading">
    <w:name w:val="TofSects(Heading)"/>
    <w:basedOn w:val="OPCParaBase"/>
    <w:rsid w:val="00B84257"/>
    <w:pPr>
      <w:spacing w:before="240" w:after="120" w:line="240" w:lineRule="auto"/>
    </w:pPr>
    <w:rPr>
      <w:b/>
      <w:sz w:val="24"/>
    </w:rPr>
  </w:style>
  <w:style w:type="paragraph" w:customStyle="1" w:styleId="TofSectsSection">
    <w:name w:val="TofSects(Section)"/>
    <w:basedOn w:val="OPCParaBase"/>
    <w:rsid w:val="00B84257"/>
    <w:pPr>
      <w:keepLines/>
      <w:spacing w:before="40" w:line="240" w:lineRule="auto"/>
      <w:ind w:left="1588" w:hanging="794"/>
    </w:pPr>
    <w:rPr>
      <w:kern w:val="28"/>
      <w:sz w:val="18"/>
    </w:rPr>
  </w:style>
  <w:style w:type="paragraph" w:customStyle="1" w:styleId="TofSectsSubdiv">
    <w:name w:val="TofSects(Subdiv)"/>
    <w:basedOn w:val="OPCParaBase"/>
    <w:rsid w:val="00B84257"/>
    <w:pPr>
      <w:keepLines/>
      <w:spacing w:before="80" w:line="240" w:lineRule="auto"/>
      <w:ind w:left="1588" w:hanging="794"/>
    </w:pPr>
    <w:rPr>
      <w:kern w:val="28"/>
    </w:rPr>
  </w:style>
  <w:style w:type="paragraph" w:customStyle="1" w:styleId="WRStyle">
    <w:name w:val="WR Style"/>
    <w:aliases w:val="WR"/>
    <w:basedOn w:val="OPCParaBase"/>
    <w:rsid w:val="00B84257"/>
    <w:pPr>
      <w:spacing w:before="240" w:line="240" w:lineRule="auto"/>
      <w:ind w:left="284" w:hanging="284"/>
    </w:pPr>
    <w:rPr>
      <w:b/>
      <w:i/>
      <w:kern w:val="28"/>
      <w:sz w:val="24"/>
    </w:rPr>
  </w:style>
  <w:style w:type="paragraph" w:customStyle="1" w:styleId="notepara">
    <w:name w:val="note(para)"/>
    <w:aliases w:val="na"/>
    <w:basedOn w:val="OPCParaBase"/>
    <w:rsid w:val="00B84257"/>
    <w:pPr>
      <w:spacing w:before="40" w:line="198" w:lineRule="exact"/>
      <w:ind w:left="2354" w:hanging="369"/>
    </w:pPr>
    <w:rPr>
      <w:sz w:val="18"/>
    </w:rPr>
  </w:style>
  <w:style w:type="character" w:customStyle="1" w:styleId="FooterChar">
    <w:name w:val="Footer Char"/>
    <w:basedOn w:val="DefaultParagraphFont"/>
    <w:link w:val="Footer"/>
    <w:uiPriority w:val="99"/>
    <w:rsid w:val="00B84257"/>
    <w:rPr>
      <w:sz w:val="22"/>
      <w:szCs w:val="24"/>
    </w:rPr>
  </w:style>
  <w:style w:type="table" w:customStyle="1" w:styleId="CFlag">
    <w:name w:val="CFlag"/>
    <w:basedOn w:val="TableNormal"/>
    <w:uiPriority w:val="99"/>
    <w:rsid w:val="00B84257"/>
    <w:tblPr/>
  </w:style>
  <w:style w:type="character" w:customStyle="1" w:styleId="BalloonTextChar">
    <w:name w:val="Balloon Text Char"/>
    <w:basedOn w:val="DefaultParagraphFont"/>
    <w:link w:val="BalloonText"/>
    <w:uiPriority w:val="99"/>
    <w:rsid w:val="00B84257"/>
    <w:rPr>
      <w:rFonts w:ascii="Tahoma" w:eastAsiaTheme="minorHAnsi" w:hAnsi="Tahoma" w:cs="Tahoma"/>
      <w:sz w:val="16"/>
      <w:szCs w:val="16"/>
      <w:lang w:eastAsia="en-US"/>
    </w:rPr>
  </w:style>
  <w:style w:type="paragraph" w:customStyle="1" w:styleId="InstNo">
    <w:name w:val="InstNo"/>
    <w:basedOn w:val="OPCParaBase"/>
    <w:next w:val="Normal"/>
    <w:rsid w:val="00B84257"/>
    <w:rPr>
      <w:b/>
      <w:sz w:val="28"/>
      <w:szCs w:val="32"/>
    </w:rPr>
  </w:style>
  <w:style w:type="paragraph" w:customStyle="1" w:styleId="LegislationMadeUnder">
    <w:name w:val="LegislationMadeUnder"/>
    <w:basedOn w:val="OPCParaBase"/>
    <w:next w:val="Normal"/>
    <w:rsid w:val="00B84257"/>
    <w:rPr>
      <w:i/>
      <w:sz w:val="32"/>
      <w:szCs w:val="32"/>
    </w:rPr>
  </w:style>
  <w:style w:type="paragraph" w:customStyle="1" w:styleId="ActHead10">
    <w:name w:val="ActHead 10"/>
    <w:aliases w:val="sp"/>
    <w:basedOn w:val="OPCParaBase"/>
    <w:next w:val="ActHead3"/>
    <w:rsid w:val="00B84257"/>
    <w:pPr>
      <w:keepNext/>
      <w:spacing w:before="280" w:line="240" w:lineRule="auto"/>
      <w:outlineLvl w:val="1"/>
    </w:pPr>
    <w:rPr>
      <w:b/>
      <w:sz w:val="32"/>
      <w:szCs w:val="30"/>
    </w:rPr>
  </w:style>
  <w:style w:type="paragraph" w:customStyle="1" w:styleId="SignCoverPageEnd">
    <w:name w:val="SignCoverPageEnd"/>
    <w:basedOn w:val="OPCParaBase"/>
    <w:next w:val="Normal"/>
    <w:rsid w:val="00B842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4257"/>
    <w:pPr>
      <w:pBdr>
        <w:top w:val="single" w:sz="4" w:space="1" w:color="auto"/>
      </w:pBdr>
      <w:spacing w:before="360"/>
      <w:ind w:right="397"/>
      <w:jc w:val="both"/>
    </w:pPr>
  </w:style>
  <w:style w:type="paragraph" w:customStyle="1" w:styleId="NotesHeading1">
    <w:name w:val="NotesHeading 1"/>
    <w:basedOn w:val="OPCParaBase"/>
    <w:next w:val="Normal"/>
    <w:rsid w:val="00B84257"/>
    <w:pPr>
      <w:outlineLvl w:val="0"/>
    </w:pPr>
    <w:rPr>
      <w:b/>
      <w:sz w:val="28"/>
      <w:szCs w:val="28"/>
    </w:rPr>
  </w:style>
  <w:style w:type="paragraph" w:customStyle="1" w:styleId="NotesHeading2">
    <w:name w:val="NotesHeading 2"/>
    <w:basedOn w:val="OPCParaBase"/>
    <w:next w:val="Normal"/>
    <w:rsid w:val="00B84257"/>
    <w:rPr>
      <w:b/>
      <w:sz w:val="28"/>
      <w:szCs w:val="28"/>
    </w:rPr>
  </w:style>
  <w:style w:type="paragraph" w:customStyle="1" w:styleId="CompiledActNo">
    <w:name w:val="CompiledActNo"/>
    <w:basedOn w:val="OPCParaBase"/>
    <w:next w:val="Normal"/>
    <w:rsid w:val="00B84257"/>
    <w:rPr>
      <w:b/>
      <w:sz w:val="24"/>
      <w:szCs w:val="24"/>
    </w:rPr>
  </w:style>
  <w:style w:type="paragraph" w:customStyle="1" w:styleId="ENotesText">
    <w:name w:val="ENotesText"/>
    <w:aliases w:val="Ent"/>
    <w:basedOn w:val="OPCParaBase"/>
    <w:next w:val="Normal"/>
    <w:rsid w:val="00B84257"/>
    <w:pPr>
      <w:spacing w:before="120"/>
    </w:pPr>
  </w:style>
  <w:style w:type="paragraph" w:customStyle="1" w:styleId="CompiledMadeUnder">
    <w:name w:val="CompiledMadeUnder"/>
    <w:basedOn w:val="OPCParaBase"/>
    <w:next w:val="Normal"/>
    <w:rsid w:val="00B84257"/>
    <w:rPr>
      <w:i/>
      <w:sz w:val="24"/>
      <w:szCs w:val="24"/>
    </w:rPr>
  </w:style>
  <w:style w:type="paragraph" w:customStyle="1" w:styleId="Paragraphsub-sub-sub">
    <w:name w:val="Paragraph(sub-sub-sub)"/>
    <w:aliases w:val="aaaa"/>
    <w:basedOn w:val="OPCParaBase"/>
    <w:rsid w:val="00B84257"/>
    <w:pPr>
      <w:tabs>
        <w:tab w:val="right" w:pos="3402"/>
      </w:tabs>
      <w:spacing w:before="40" w:line="240" w:lineRule="auto"/>
      <w:ind w:left="3402" w:hanging="3402"/>
    </w:pPr>
  </w:style>
  <w:style w:type="paragraph" w:customStyle="1" w:styleId="TableTextEndNotes">
    <w:name w:val="TableTextEndNotes"/>
    <w:aliases w:val="Tten"/>
    <w:basedOn w:val="Normal"/>
    <w:rsid w:val="00B84257"/>
    <w:pPr>
      <w:spacing w:before="60" w:line="240" w:lineRule="auto"/>
    </w:pPr>
    <w:rPr>
      <w:rFonts w:cs="Arial"/>
      <w:sz w:val="20"/>
      <w:szCs w:val="22"/>
    </w:rPr>
  </w:style>
  <w:style w:type="paragraph" w:customStyle="1" w:styleId="NoteToSubpara">
    <w:name w:val="NoteToSubpara"/>
    <w:aliases w:val="nts"/>
    <w:basedOn w:val="OPCParaBase"/>
    <w:rsid w:val="00B84257"/>
    <w:pPr>
      <w:spacing w:before="40" w:line="198" w:lineRule="exact"/>
      <w:ind w:left="2835" w:hanging="709"/>
    </w:pPr>
    <w:rPr>
      <w:sz w:val="18"/>
    </w:rPr>
  </w:style>
  <w:style w:type="paragraph" w:customStyle="1" w:styleId="ENoteTableHeading">
    <w:name w:val="ENoteTableHeading"/>
    <w:aliases w:val="enth"/>
    <w:basedOn w:val="OPCParaBase"/>
    <w:rsid w:val="00B84257"/>
    <w:pPr>
      <w:keepNext/>
      <w:spacing w:before="60" w:line="240" w:lineRule="atLeast"/>
    </w:pPr>
    <w:rPr>
      <w:rFonts w:ascii="Arial" w:hAnsi="Arial"/>
      <w:b/>
      <w:sz w:val="16"/>
    </w:rPr>
  </w:style>
  <w:style w:type="paragraph" w:customStyle="1" w:styleId="ENoteTableText">
    <w:name w:val="ENoteTableText"/>
    <w:aliases w:val="entt"/>
    <w:basedOn w:val="OPCParaBase"/>
    <w:rsid w:val="00B84257"/>
    <w:pPr>
      <w:spacing w:before="60" w:line="240" w:lineRule="atLeast"/>
    </w:pPr>
    <w:rPr>
      <w:sz w:val="16"/>
    </w:rPr>
  </w:style>
  <w:style w:type="paragraph" w:customStyle="1" w:styleId="ENoteTTi">
    <w:name w:val="ENoteTTi"/>
    <w:aliases w:val="entti"/>
    <w:basedOn w:val="OPCParaBase"/>
    <w:rsid w:val="00B84257"/>
    <w:pPr>
      <w:keepNext/>
      <w:spacing w:before="60" w:line="240" w:lineRule="atLeast"/>
      <w:ind w:left="170"/>
    </w:pPr>
    <w:rPr>
      <w:sz w:val="16"/>
    </w:rPr>
  </w:style>
  <w:style w:type="paragraph" w:customStyle="1" w:styleId="ENoteTTIndentHeading">
    <w:name w:val="ENoteTTIndentHeading"/>
    <w:aliases w:val="enTTHi"/>
    <w:basedOn w:val="OPCParaBase"/>
    <w:rsid w:val="00B8425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84257"/>
    <w:pPr>
      <w:spacing w:before="120"/>
      <w:outlineLvl w:val="1"/>
    </w:pPr>
    <w:rPr>
      <w:b/>
      <w:sz w:val="28"/>
      <w:szCs w:val="28"/>
    </w:rPr>
  </w:style>
  <w:style w:type="paragraph" w:customStyle="1" w:styleId="ENotesHeading2">
    <w:name w:val="ENotesHeading 2"/>
    <w:aliases w:val="Enh2"/>
    <w:basedOn w:val="OPCParaBase"/>
    <w:next w:val="Normal"/>
    <w:rsid w:val="00B84257"/>
    <w:pPr>
      <w:spacing w:before="120" w:after="120"/>
      <w:outlineLvl w:val="2"/>
    </w:pPr>
    <w:rPr>
      <w:b/>
      <w:sz w:val="24"/>
      <w:szCs w:val="28"/>
    </w:rPr>
  </w:style>
  <w:style w:type="paragraph" w:customStyle="1" w:styleId="MadeunderText">
    <w:name w:val="MadeunderText"/>
    <w:basedOn w:val="OPCParaBase"/>
    <w:next w:val="CompiledMadeUnder"/>
    <w:rsid w:val="00B84257"/>
    <w:pPr>
      <w:spacing w:before="240"/>
    </w:pPr>
    <w:rPr>
      <w:sz w:val="24"/>
      <w:szCs w:val="24"/>
    </w:rPr>
  </w:style>
  <w:style w:type="paragraph" w:customStyle="1" w:styleId="ENotesHeading3">
    <w:name w:val="ENotesHeading 3"/>
    <w:aliases w:val="Enh3"/>
    <w:basedOn w:val="OPCParaBase"/>
    <w:next w:val="Normal"/>
    <w:rsid w:val="00B84257"/>
    <w:pPr>
      <w:keepNext/>
      <w:spacing w:before="120" w:line="240" w:lineRule="auto"/>
      <w:outlineLvl w:val="4"/>
    </w:pPr>
    <w:rPr>
      <w:b/>
      <w:szCs w:val="24"/>
    </w:rPr>
  </w:style>
  <w:style w:type="paragraph" w:customStyle="1" w:styleId="SubPartCASA">
    <w:name w:val="SubPart(CASA)"/>
    <w:aliases w:val="csp"/>
    <w:basedOn w:val="OPCParaBase"/>
    <w:next w:val="ActHead3"/>
    <w:rsid w:val="00B84257"/>
    <w:pPr>
      <w:keepNext/>
      <w:keepLines/>
      <w:spacing w:before="280"/>
      <w:outlineLvl w:val="1"/>
    </w:pPr>
    <w:rPr>
      <w:b/>
      <w:kern w:val="28"/>
      <w:sz w:val="32"/>
    </w:rPr>
  </w:style>
  <w:style w:type="character" w:customStyle="1" w:styleId="CharSubPartTextCASA">
    <w:name w:val="CharSubPartText(CASA)"/>
    <w:basedOn w:val="OPCCharBase"/>
    <w:uiPriority w:val="1"/>
    <w:rsid w:val="00B84257"/>
  </w:style>
  <w:style w:type="character" w:customStyle="1" w:styleId="CharSubPartNoCASA">
    <w:name w:val="CharSubPartNo(CASA)"/>
    <w:basedOn w:val="OPCCharBase"/>
    <w:uiPriority w:val="1"/>
    <w:rsid w:val="00B84257"/>
  </w:style>
  <w:style w:type="paragraph" w:customStyle="1" w:styleId="ENoteTTIndentHeadingSub">
    <w:name w:val="ENoteTTIndentHeadingSub"/>
    <w:aliases w:val="enTTHis"/>
    <w:basedOn w:val="OPCParaBase"/>
    <w:rsid w:val="00B84257"/>
    <w:pPr>
      <w:keepNext/>
      <w:spacing w:before="60" w:line="240" w:lineRule="atLeast"/>
      <w:ind w:left="340"/>
    </w:pPr>
    <w:rPr>
      <w:b/>
      <w:sz w:val="16"/>
    </w:rPr>
  </w:style>
  <w:style w:type="paragraph" w:customStyle="1" w:styleId="ENoteTTiSub">
    <w:name w:val="ENoteTTiSub"/>
    <w:aliases w:val="enttis"/>
    <w:basedOn w:val="OPCParaBase"/>
    <w:rsid w:val="00B84257"/>
    <w:pPr>
      <w:keepNext/>
      <w:spacing w:before="60" w:line="240" w:lineRule="atLeast"/>
      <w:ind w:left="340"/>
    </w:pPr>
    <w:rPr>
      <w:sz w:val="16"/>
    </w:rPr>
  </w:style>
  <w:style w:type="paragraph" w:customStyle="1" w:styleId="SubDivisionMigration">
    <w:name w:val="SubDivisionMigration"/>
    <w:aliases w:val="sdm"/>
    <w:basedOn w:val="OPCParaBase"/>
    <w:rsid w:val="00B842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4257"/>
    <w:pPr>
      <w:keepNext/>
      <w:keepLines/>
      <w:spacing w:before="240" w:line="240" w:lineRule="auto"/>
      <w:ind w:left="1134" w:hanging="1134"/>
    </w:pPr>
    <w:rPr>
      <w:b/>
      <w:sz w:val="28"/>
    </w:rPr>
  </w:style>
  <w:style w:type="paragraph" w:customStyle="1" w:styleId="FreeForm">
    <w:name w:val="FreeForm"/>
    <w:rsid w:val="00125A0B"/>
    <w:rPr>
      <w:rFonts w:ascii="Arial" w:eastAsiaTheme="minorHAnsi" w:hAnsi="Arial" w:cstheme="minorBidi"/>
      <w:sz w:val="22"/>
      <w:lang w:eastAsia="en-US"/>
    </w:rPr>
  </w:style>
  <w:style w:type="paragraph" w:customStyle="1" w:styleId="TableHeading">
    <w:name w:val="TableHeading"/>
    <w:aliases w:val="th"/>
    <w:basedOn w:val="OPCParaBase"/>
    <w:next w:val="Tabletext"/>
    <w:rsid w:val="00B84257"/>
    <w:pPr>
      <w:keepNext/>
      <w:spacing w:before="60" w:line="240" w:lineRule="atLeast"/>
    </w:pPr>
    <w:rPr>
      <w:b/>
      <w:sz w:val="20"/>
    </w:rPr>
  </w:style>
  <w:style w:type="paragraph" w:customStyle="1" w:styleId="ActHead1">
    <w:name w:val="ActHead 1"/>
    <w:aliases w:val="c"/>
    <w:basedOn w:val="OPCParaBase"/>
    <w:next w:val="Normal"/>
    <w:qFormat/>
    <w:rsid w:val="00B84257"/>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B84257"/>
    <w:pPr>
      <w:keepNext/>
      <w:keepLines/>
      <w:spacing w:before="240" w:line="240" w:lineRule="auto"/>
      <w:ind w:left="1134" w:hanging="1134"/>
      <w:outlineLvl w:val="2"/>
    </w:pPr>
    <w:rPr>
      <w:b/>
      <w:kern w:val="28"/>
      <w:sz w:val="28"/>
    </w:rPr>
  </w:style>
  <w:style w:type="paragraph" w:customStyle="1" w:styleId="ActHead5">
    <w:name w:val="ActHead 5"/>
    <w:aliases w:val="s"/>
    <w:basedOn w:val="ListParagraph"/>
    <w:next w:val="subsection"/>
    <w:link w:val="ActHead5Char"/>
    <w:qFormat/>
    <w:rsid w:val="00592333"/>
    <w:pPr>
      <w:numPr>
        <w:numId w:val="16"/>
      </w:numPr>
      <w:spacing w:before="280"/>
    </w:pPr>
    <w:rPr>
      <w:b/>
      <w:sz w:val="24"/>
      <w:szCs w:val="24"/>
    </w:rPr>
  </w:style>
  <w:style w:type="character" w:customStyle="1" w:styleId="Heading3Char">
    <w:name w:val="Heading 3 Char"/>
    <w:basedOn w:val="DefaultParagraphFont"/>
    <w:link w:val="Heading3"/>
    <w:rsid w:val="00933963"/>
    <w:rPr>
      <w:b/>
      <w:kern w:val="28"/>
      <w:sz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0F22CD"/>
    <w:rPr>
      <w:rFonts w:ascii="Arial" w:eastAsiaTheme="minorHAnsi" w:hAnsi="Arial" w:cs="Arial"/>
      <w:b/>
      <w:bCs/>
      <w:i/>
      <w:iCs/>
      <w:sz w:val="28"/>
      <w:szCs w:val="28"/>
      <w:lang w:eastAsia="en-US"/>
    </w:rPr>
  </w:style>
  <w:style w:type="paragraph" w:customStyle="1" w:styleId="definition0">
    <w:name w:val="definition"/>
    <w:basedOn w:val="Normal"/>
    <w:rsid w:val="008F0854"/>
    <w:pPr>
      <w:spacing w:before="80" w:line="260" w:lineRule="exact"/>
      <w:ind w:left="964"/>
      <w:jc w:val="both"/>
    </w:pPr>
    <w:rPr>
      <w:rFonts w:eastAsia="Times New Roman" w:cs="Times New Roman"/>
      <w:sz w:val="24"/>
      <w:szCs w:val="24"/>
      <w:lang w:eastAsia="en-AU"/>
    </w:rPr>
  </w:style>
  <w:style w:type="paragraph" w:customStyle="1" w:styleId="P1">
    <w:name w:val="P1"/>
    <w:aliases w:val="(a)"/>
    <w:basedOn w:val="Normal"/>
    <w:rsid w:val="008F0854"/>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Schedulereference">
    <w:name w:val="Schedule reference"/>
    <w:basedOn w:val="Normal"/>
    <w:next w:val="Normal"/>
    <w:rsid w:val="008F0854"/>
    <w:pPr>
      <w:keepNext/>
      <w:keepLines/>
      <w:spacing w:before="60" w:line="200" w:lineRule="exact"/>
      <w:ind w:left="2410"/>
    </w:pPr>
    <w:rPr>
      <w:rFonts w:ascii="Arial" w:eastAsia="Times New Roman" w:hAnsi="Arial" w:cs="Times New Roman"/>
      <w:sz w:val="18"/>
      <w:szCs w:val="24"/>
      <w:lang w:eastAsia="en-AU"/>
    </w:rPr>
  </w:style>
  <w:style w:type="paragraph" w:customStyle="1" w:styleId="ZR1">
    <w:name w:val="ZR1"/>
    <w:basedOn w:val="Normal"/>
    <w:rsid w:val="008F0854"/>
    <w:pPr>
      <w:keepNext/>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HealthLevel1">
    <w:name w:val="Health Level 1"/>
    <w:basedOn w:val="Normal"/>
    <w:link w:val="HealthLevel1Char"/>
    <w:rsid w:val="0096799E"/>
    <w:pPr>
      <w:tabs>
        <w:tab w:val="left" w:pos="851"/>
      </w:tabs>
      <w:autoSpaceDE w:val="0"/>
      <w:autoSpaceDN w:val="0"/>
      <w:spacing w:before="120" w:line="260" w:lineRule="exact"/>
      <w:ind w:left="851"/>
    </w:pPr>
    <w:rPr>
      <w:rFonts w:eastAsia="Times New Roman" w:cs="Times New Roman"/>
      <w:color w:val="000000"/>
      <w:sz w:val="24"/>
      <w:szCs w:val="24"/>
    </w:rPr>
  </w:style>
  <w:style w:type="paragraph" w:customStyle="1" w:styleId="Healthnumlevel2">
    <w:name w:val="Health (num) level 2"/>
    <w:basedOn w:val="Normal"/>
    <w:link w:val="Healthnumlevel2Char"/>
    <w:rsid w:val="0096799E"/>
    <w:pPr>
      <w:tabs>
        <w:tab w:val="num" w:pos="1701"/>
      </w:tabs>
      <w:autoSpaceDE w:val="0"/>
      <w:autoSpaceDN w:val="0"/>
      <w:spacing w:before="60" w:line="240" w:lineRule="auto"/>
      <w:ind w:left="1701" w:hanging="851"/>
    </w:pPr>
    <w:rPr>
      <w:rFonts w:eastAsia="Times New Roman" w:cs="Times New Roman"/>
      <w:color w:val="000000"/>
      <w:sz w:val="24"/>
      <w:szCs w:val="24"/>
    </w:rPr>
  </w:style>
  <w:style w:type="paragraph" w:customStyle="1" w:styleId="HealthnumLevel3">
    <w:name w:val="Health (num) Level 3"/>
    <w:basedOn w:val="Normal"/>
    <w:rsid w:val="0096799E"/>
    <w:pPr>
      <w:tabs>
        <w:tab w:val="num" w:pos="2551"/>
      </w:tabs>
      <w:autoSpaceDE w:val="0"/>
      <w:autoSpaceDN w:val="0"/>
      <w:spacing w:before="60" w:line="260" w:lineRule="exact"/>
      <w:ind w:left="2551" w:hanging="850"/>
      <w:jc w:val="both"/>
    </w:pPr>
    <w:rPr>
      <w:rFonts w:eastAsia="Times New Roman" w:cs="Times New Roman"/>
      <w:color w:val="000000"/>
      <w:sz w:val="24"/>
      <w:szCs w:val="24"/>
    </w:rPr>
  </w:style>
  <w:style w:type="paragraph" w:customStyle="1" w:styleId="HealthnumLevel4">
    <w:name w:val="Health (num) Level 4"/>
    <w:basedOn w:val="Normal"/>
    <w:rsid w:val="0096799E"/>
    <w:pPr>
      <w:tabs>
        <w:tab w:val="num" w:pos="3402"/>
      </w:tabs>
      <w:autoSpaceDE w:val="0"/>
      <w:autoSpaceDN w:val="0"/>
      <w:spacing w:before="60" w:line="260" w:lineRule="exact"/>
      <w:ind w:left="3402" w:hanging="851"/>
    </w:pPr>
    <w:rPr>
      <w:rFonts w:eastAsia="Times New Roman" w:cs="Times New Roman"/>
      <w:sz w:val="24"/>
      <w:szCs w:val="24"/>
    </w:rPr>
  </w:style>
  <w:style w:type="paragraph" w:customStyle="1" w:styleId="HealthnumLevel5">
    <w:name w:val="Health (num) Level 5"/>
    <w:basedOn w:val="Normal"/>
    <w:rsid w:val="0096799E"/>
    <w:pPr>
      <w:tabs>
        <w:tab w:val="num" w:pos="936"/>
      </w:tabs>
      <w:autoSpaceDE w:val="0"/>
      <w:autoSpaceDN w:val="0"/>
      <w:spacing w:before="180" w:line="260" w:lineRule="exact"/>
      <w:ind w:left="936" w:hanging="510"/>
    </w:pPr>
    <w:rPr>
      <w:rFonts w:eastAsia="Times New Roman" w:cs="Times New Roman"/>
      <w:sz w:val="24"/>
      <w:szCs w:val="24"/>
    </w:rPr>
  </w:style>
  <w:style w:type="paragraph" w:customStyle="1" w:styleId="HealthnumLevel6">
    <w:name w:val="Health (num) Level 6"/>
    <w:basedOn w:val="Normal"/>
    <w:rsid w:val="0096799E"/>
    <w:pPr>
      <w:tabs>
        <w:tab w:val="num" w:pos="850"/>
      </w:tabs>
      <w:autoSpaceDE w:val="0"/>
      <w:autoSpaceDN w:val="0"/>
      <w:spacing w:before="180" w:line="260" w:lineRule="exact"/>
      <w:ind w:left="850" w:hanging="510"/>
    </w:pPr>
    <w:rPr>
      <w:rFonts w:eastAsia="Times New Roman" w:cs="Times New Roman"/>
      <w:sz w:val="24"/>
      <w:szCs w:val="24"/>
    </w:rPr>
  </w:style>
  <w:style w:type="character" w:customStyle="1" w:styleId="Healthnumlevel2Char">
    <w:name w:val="Health (num) level 2 Char"/>
    <w:link w:val="Healthnumlevel2"/>
    <w:rsid w:val="0096799E"/>
    <w:rPr>
      <w:color w:val="000000"/>
      <w:sz w:val="24"/>
      <w:szCs w:val="24"/>
      <w:lang w:eastAsia="en-US"/>
    </w:rPr>
  </w:style>
  <w:style w:type="character" w:customStyle="1" w:styleId="HealthLevel1Char">
    <w:name w:val="Health Level 1 Char"/>
    <w:link w:val="HealthLevel1"/>
    <w:rsid w:val="0096799E"/>
    <w:rPr>
      <w:color w:val="000000"/>
      <w:sz w:val="24"/>
      <w:szCs w:val="24"/>
      <w:lang w:eastAsia="en-US"/>
    </w:rPr>
  </w:style>
  <w:style w:type="character" w:customStyle="1" w:styleId="CommentTextChar">
    <w:name w:val="Comment Text Char"/>
    <w:link w:val="CommentText"/>
    <w:rsid w:val="0096799E"/>
    <w:rPr>
      <w:rFonts w:eastAsiaTheme="minorHAnsi" w:cstheme="minorBidi"/>
      <w:lang w:eastAsia="en-US"/>
    </w:rPr>
  </w:style>
  <w:style w:type="paragraph" w:customStyle="1" w:styleId="FooterCitation">
    <w:name w:val="FooterCitation"/>
    <w:basedOn w:val="Footer"/>
    <w:rsid w:val="009C281D"/>
    <w:pPr>
      <w:numPr>
        <w:ilvl w:val="0"/>
        <w:numId w:val="0"/>
      </w:numPr>
      <w:spacing w:before="20" w:line="240" w:lineRule="exact"/>
      <w:jc w:val="center"/>
    </w:pPr>
    <w:rPr>
      <w:rFonts w:ascii="Arial" w:hAnsi="Arial"/>
      <w:i/>
      <w:sz w:val="18"/>
    </w:rPr>
  </w:style>
  <w:style w:type="paragraph" w:customStyle="1" w:styleId="HeaderLiteEven">
    <w:name w:val="HeaderLiteEven"/>
    <w:basedOn w:val="Normal"/>
    <w:rsid w:val="009C281D"/>
    <w:pPr>
      <w:tabs>
        <w:tab w:val="center" w:pos="3969"/>
        <w:tab w:val="right" w:pos="8505"/>
      </w:tabs>
      <w:spacing w:before="60" w:line="240" w:lineRule="auto"/>
    </w:pPr>
    <w:rPr>
      <w:rFonts w:ascii="Arial" w:eastAsia="Times New Roman" w:hAnsi="Arial" w:cs="Times New Roman"/>
      <w:sz w:val="18"/>
      <w:szCs w:val="24"/>
    </w:rPr>
  </w:style>
  <w:style w:type="paragraph" w:customStyle="1" w:styleId="FooterPageOdd">
    <w:name w:val="FooterPageOdd"/>
    <w:basedOn w:val="Footer"/>
    <w:rsid w:val="009C281D"/>
    <w:pPr>
      <w:numPr>
        <w:ilvl w:val="0"/>
        <w:numId w:val="0"/>
      </w:numPr>
      <w:tabs>
        <w:tab w:val="clear" w:pos="4153"/>
        <w:tab w:val="clear" w:pos="8306"/>
        <w:tab w:val="center" w:pos="3600"/>
        <w:tab w:val="right" w:pos="7201"/>
      </w:tabs>
      <w:jc w:val="right"/>
    </w:pPr>
    <w:rPr>
      <w:rFonts w:ascii="Arial" w:hAnsi="Arial"/>
      <w:szCs w:val="18"/>
      <w:lang w:eastAsia="en-US"/>
    </w:rPr>
  </w:style>
  <w:style w:type="paragraph" w:customStyle="1" w:styleId="FooterPageEven">
    <w:name w:val="FooterPageEven"/>
    <w:basedOn w:val="FooterPageOdd"/>
    <w:rsid w:val="009C281D"/>
    <w:pPr>
      <w:jc w:val="left"/>
    </w:pPr>
  </w:style>
  <w:style w:type="paragraph" w:customStyle="1" w:styleId="Footerinfo">
    <w:name w:val="Footerinfo"/>
    <w:basedOn w:val="Footer"/>
    <w:rsid w:val="009C281D"/>
    <w:pPr>
      <w:numPr>
        <w:ilvl w:val="0"/>
        <w:numId w:val="0"/>
      </w:numPr>
      <w:tabs>
        <w:tab w:val="clear" w:pos="4153"/>
        <w:tab w:val="clear" w:pos="8306"/>
        <w:tab w:val="center" w:pos="3600"/>
        <w:tab w:val="right" w:pos="7201"/>
      </w:tabs>
    </w:pPr>
    <w:rPr>
      <w:rFonts w:ascii="Arial" w:hAnsi="Arial"/>
      <w:sz w:val="12"/>
      <w:szCs w:val="18"/>
      <w:lang w:eastAsia="en-US"/>
    </w:rPr>
  </w:style>
  <w:style w:type="paragraph" w:styleId="TOCHeading">
    <w:name w:val="TOC Heading"/>
    <w:basedOn w:val="Heading1"/>
    <w:next w:val="Normal"/>
    <w:uiPriority w:val="39"/>
    <w:semiHidden/>
    <w:unhideWhenUsed/>
    <w:qFormat/>
    <w:rsid w:val="002222E4"/>
    <w:pPr>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ListParagraph">
    <w:name w:val="List Paragraph"/>
    <w:basedOn w:val="Normal"/>
    <w:link w:val="ListParagraphChar"/>
    <w:uiPriority w:val="34"/>
    <w:qFormat/>
    <w:rsid w:val="00AF15FD"/>
    <w:pPr>
      <w:ind w:left="720"/>
      <w:contextualSpacing/>
    </w:pPr>
  </w:style>
  <w:style w:type="paragraph" w:customStyle="1" w:styleId="APRALogoheading">
    <w:name w:val="APRA Logo heading"/>
    <w:rsid w:val="00A11761"/>
    <w:pPr>
      <w:tabs>
        <w:tab w:val="center" w:pos="4513"/>
        <w:tab w:val="right" w:pos="9026"/>
      </w:tabs>
      <w:spacing w:after="120" w:line="288" w:lineRule="auto"/>
    </w:pPr>
    <w:rPr>
      <w:rFonts w:asciiTheme="minorHAnsi" w:eastAsiaTheme="minorHAnsi" w:hAnsiTheme="minorHAnsi"/>
      <w:sz w:val="22"/>
      <w:szCs w:val="22"/>
      <w:lang w:eastAsia="en-US"/>
    </w:rPr>
  </w:style>
  <w:style w:type="paragraph" w:customStyle="1" w:styleId="Style1">
    <w:name w:val="Style1"/>
    <w:basedOn w:val="ActHead2"/>
    <w:link w:val="Style1Char"/>
    <w:qFormat/>
    <w:rsid w:val="00E3170E"/>
    <w:pPr>
      <w:spacing w:before="0" w:after="240"/>
    </w:pPr>
    <w:rPr>
      <w:rFonts w:ascii="Arial" w:hAnsi="Arial" w:cs="Arial"/>
    </w:rPr>
  </w:style>
  <w:style w:type="paragraph" w:customStyle="1" w:styleId="Style2">
    <w:name w:val="Style2"/>
    <w:basedOn w:val="ActHead5"/>
    <w:link w:val="Style2Char"/>
    <w:qFormat/>
    <w:rsid w:val="00AD6D63"/>
    <w:pPr>
      <w:keepNext/>
      <w:spacing w:before="0" w:after="240"/>
      <w:contextualSpacing w:val="0"/>
    </w:pPr>
    <w:rPr>
      <w:rFonts w:ascii="Arial" w:hAnsi="Arial" w:cs="Arial"/>
    </w:rPr>
  </w:style>
  <w:style w:type="character" w:customStyle="1" w:styleId="OPCParaBaseChar">
    <w:name w:val="OPCParaBase Char"/>
    <w:basedOn w:val="DefaultParagraphFont"/>
    <w:link w:val="OPCParaBase"/>
    <w:rsid w:val="00E3170E"/>
    <w:rPr>
      <w:sz w:val="22"/>
    </w:rPr>
  </w:style>
  <w:style w:type="character" w:customStyle="1" w:styleId="ActHead2Char">
    <w:name w:val="ActHead 2 Char"/>
    <w:aliases w:val="p Char"/>
    <w:basedOn w:val="OPCParaBaseChar"/>
    <w:link w:val="ActHead2"/>
    <w:rsid w:val="00E3170E"/>
    <w:rPr>
      <w:b/>
      <w:kern w:val="28"/>
      <w:sz w:val="32"/>
    </w:rPr>
  </w:style>
  <w:style w:type="character" w:customStyle="1" w:styleId="Style1Char">
    <w:name w:val="Style1 Char"/>
    <w:basedOn w:val="ActHead2Char"/>
    <w:link w:val="Style1"/>
    <w:rsid w:val="00E3170E"/>
    <w:rPr>
      <w:rFonts w:ascii="Arial" w:hAnsi="Arial" w:cs="Arial"/>
      <w:b/>
      <w:kern w:val="28"/>
      <w:sz w:val="32"/>
    </w:rPr>
  </w:style>
  <w:style w:type="paragraph" w:customStyle="1" w:styleId="Style3">
    <w:name w:val="Style3"/>
    <w:basedOn w:val="subsection"/>
    <w:link w:val="Style3Char"/>
    <w:qFormat/>
    <w:rsid w:val="00381C1B"/>
    <w:pPr>
      <w:spacing w:before="0" w:after="240"/>
      <w:ind w:left="567" w:hanging="567"/>
    </w:pPr>
  </w:style>
  <w:style w:type="character" w:customStyle="1" w:styleId="ListParagraphChar">
    <w:name w:val="List Paragraph Char"/>
    <w:basedOn w:val="DefaultParagraphFont"/>
    <w:link w:val="ListParagraph"/>
    <w:uiPriority w:val="34"/>
    <w:rsid w:val="00E3170E"/>
    <w:rPr>
      <w:rFonts w:eastAsiaTheme="minorHAnsi" w:cstheme="minorBidi"/>
      <w:sz w:val="22"/>
      <w:lang w:eastAsia="en-US"/>
    </w:rPr>
  </w:style>
  <w:style w:type="character" w:customStyle="1" w:styleId="ActHead5Char">
    <w:name w:val="ActHead 5 Char"/>
    <w:aliases w:val="s Char"/>
    <w:basedOn w:val="ListParagraphChar"/>
    <w:link w:val="ActHead5"/>
    <w:rsid w:val="00E3170E"/>
    <w:rPr>
      <w:rFonts w:eastAsiaTheme="minorHAnsi" w:cstheme="minorBidi"/>
      <w:b/>
      <w:sz w:val="24"/>
      <w:szCs w:val="24"/>
      <w:lang w:eastAsia="en-US"/>
    </w:rPr>
  </w:style>
  <w:style w:type="character" w:customStyle="1" w:styleId="Style2Char">
    <w:name w:val="Style2 Char"/>
    <w:basedOn w:val="ActHead5Char"/>
    <w:link w:val="Style2"/>
    <w:rsid w:val="00AD6D63"/>
    <w:rPr>
      <w:rFonts w:ascii="Arial" w:eastAsiaTheme="minorHAnsi" w:hAnsi="Arial" w:cs="Arial"/>
      <w:b/>
      <w:sz w:val="24"/>
      <w:szCs w:val="24"/>
      <w:lang w:eastAsia="en-US"/>
    </w:rPr>
  </w:style>
  <w:style w:type="paragraph" w:customStyle="1" w:styleId="Style4">
    <w:name w:val="Style4"/>
    <w:basedOn w:val="ListParagraph"/>
    <w:link w:val="Style4Char"/>
    <w:qFormat/>
    <w:rsid w:val="00381C1B"/>
    <w:pPr>
      <w:numPr>
        <w:numId w:val="17"/>
      </w:numPr>
      <w:spacing w:after="240"/>
      <w:contextualSpacing w:val="0"/>
    </w:pPr>
  </w:style>
  <w:style w:type="character" w:customStyle="1" w:styleId="subsectionChar">
    <w:name w:val="subsection Char"/>
    <w:aliases w:val="ss Char"/>
    <w:basedOn w:val="OPCParaBaseChar"/>
    <w:link w:val="subsection"/>
    <w:rsid w:val="00E3170E"/>
    <w:rPr>
      <w:sz w:val="22"/>
    </w:rPr>
  </w:style>
  <w:style w:type="character" w:customStyle="1" w:styleId="Style3Char">
    <w:name w:val="Style3 Char"/>
    <w:basedOn w:val="subsectionChar"/>
    <w:link w:val="Style3"/>
    <w:rsid w:val="00381C1B"/>
    <w:rPr>
      <w:sz w:val="22"/>
    </w:rPr>
  </w:style>
  <w:style w:type="paragraph" w:customStyle="1" w:styleId="Style5">
    <w:name w:val="Style5"/>
    <w:basedOn w:val="ListParagraph"/>
    <w:link w:val="Style5Char"/>
    <w:qFormat/>
    <w:rsid w:val="00A83035"/>
    <w:pPr>
      <w:numPr>
        <w:numId w:val="25"/>
      </w:numPr>
      <w:spacing w:after="240"/>
      <w:ind w:left="720"/>
      <w:contextualSpacing w:val="0"/>
    </w:pPr>
  </w:style>
  <w:style w:type="character" w:customStyle="1" w:styleId="Style4Char">
    <w:name w:val="Style4 Char"/>
    <w:basedOn w:val="ListParagraphChar"/>
    <w:link w:val="Style4"/>
    <w:rsid w:val="00381C1B"/>
    <w:rPr>
      <w:rFonts w:eastAsiaTheme="minorHAnsi" w:cstheme="minorBidi"/>
      <w:sz w:val="22"/>
      <w:lang w:eastAsia="en-US"/>
    </w:rPr>
  </w:style>
  <w:style w:type="paragraph" w:customStyle="1" w:styleId="Style6">
    <w:name w:val="Style6"/>
    <w:basedOn w:val="Style5"/>
    <w:link w:val="Style6Char"/>
    <w:qFormat/>
    <w:rsid w:val="00A83035"/>
    <w:pPr>
      <w:numPr>
        <w:ilvl w:val="1"/>
        <w:numId w:val="19"/>
      </w:numPr>
      <w:ind w:left="1701" w:hanging="567"/>
    </w:pPr>
  </w:style>
  <w:style w:type="character" w:customStyle="1" w:styleId="Style5Char">
    <w:name w:val="Style5 Char"/>
    <w:basedOn w:val="ListParagraphChar"/>
    <w:link w:val="Style5"/>
    <w:rsid w:val="00A83035"/>
    <w:rPr>
      <w:rFonts w:eastAsiaTheme="minorHAnsi" w:cstheme="minorBidi"/>
      <w:sz w:val="22"/>
      <w:lang w:eastAsia="en-US"/>
    </w:rPr>
  </w:style>
  <w:style w:type="paragraph" w:customStyle="1" w:styleId="Style7">
    <w:name w:val="Style7"/>
    <w:basedOn w:val="Style6"/>
    <w:link w:val="Style7Char"/>
    <w:qFormat/>
    <w:rsid w:val="00801924"/>
    <w:pPr>
      <w:numPr>
        <w:ilvl w:val="2"/>
      </w:numPr>
      <w:ind w:left="2268" w:hanging="567"/>
    </w:pPr>
  </w:style>
  <w:style w:type="character" w:customStyle="1" w:styleId="Style6Char">
    <w:name w:val="Style6 Char"/>
    <w:basedOn w:val="Style5Char"/>
    <w:link w:val="Style6"/>
    <w:rsid w:val="00A83035"/>
    <w:rPr>
      <w:rFonts w:eastAsiaTheme="minorHAnsi" w:cstheme="minorBidi"/>
      <w:sz w:val="22"/>
      <w:lang w:eastAsia="en-US"/>
    </w:rPr>
  </w:style>
  <w:style w:type="paragraph" w:customStyle="1" w:styleId="Style8">
    <w:name w:val="Style8"/>
    <w:basedOn w:val="Style5"/>
    <w:link w:val="Style8Char"/>
    <w:qFormat/>
    <w:rsid w:val="00F43AFF"/>
    <w:pPr>
      <w:numPr>
        <w:ilvl w:val="3"/>
        <w:numId w:val="24"/>
      </w:numPr>
      <w:ind w:left="2835" w:hanging="567"/>
    </w:pPr>
  </w:style>
  <w:style w:type="character" w:customStyle="1" w:styleId="Style7Char">
    <w:name w:val="Style7 Char"/>
    <w:basedOn w:val="Style6Char"/>
    <w:link w:val="Style7"/>
    <w:rsid w:val="00801924"/>
    <w:rPr>
      <w:rFonts w:eastAsiaTheme="minorHAnsi" w:cstheme="minorBidi"/>
      <w:sz w:val="22"/>
      <w:lang w:eastAsia="en-US"/>
    </w:rPr>
  </w:style>
  <w:style w:type="character" w:customStyle="1" w:styleId="Style8Char">
    <w:name w:val="Style8 Char"/>
    <w:basedOn w:val="Style5Char"/>
    <w:link w:val="Style8"/>
    <w:rsid w:val="00F43AFF"/>
    <w:rPr>
      <w:rFonts w:eastAsiaTheme="minorHAnsi" w:cstheme="minorBidi"/>
      <w:sz w:val="22"/>
      <w:lang w:eastAsia="en-US"/>
    </w:rPr>
  </w:style>
  <w:style w:type="paragraph" w:customStyle="1" w:styleId="Style9">
    <w:name w:val="Style9"/>
    <w:basedOn w:val="subsection"/>
    <w:link w:val="Style9Char"/>
    <w:qFormat/>
    <w:rsid w:val="00AD6D63"/>
    <w:pPr>
      <w:keepNext/>
      <w:numPr>
        <w:ilvl w:val="5"/>
        <w:numId w:val="16"/>
      </w:numPr>
      <w:spacing w:before="0" w:after="240"/>
    </w:pPr>
    <w:rPr>
      <w:sz w:val="24"/>
    </w:rPr>
  </w:style>
  <w:style w:type="paragraph" w:customStyle="1" w:styleId="Style10">
    <w:name w:val="Style10"/>
    <w:basedOn w:val="ListParagraph"/>
    <w:link w:val="Style10Char"/>
    <w:qFormat/>
    <w:rsid w:val="009A1F1E"/>
    <w:pPr>
      <w:numPr>
        <w:numId w:val="28"/>
      </w:numPr>
      <w:spacing w:after="240"/>
      <w:ind w:left="1701" w:hanging="567"/>
      <w:contextualSpacing w:val="0"/>
    </w:pPr>
    <w:rPr>
      <w:sz w:val="24"/>
    </w:rPr>
  </w:style>
  <w:style w:type="character" w:customStyle="1" w:styleId="Style9Char">
    <w:name w:val="Style9 Char"/>
    <w:basedOn w:val="subsectionChar"/>
    <w:link w:val="Style9"/>
    <w:rsid w:val="00AD6D63"/>
    <w:rPr>
      <w:sz w:val="24"/>
    </w:rPr>
  </w:style>
  <w:style w:type="paragraph" w:customStyle="1" w:styleId="Style11">
    <w:name w:val="Style11"/>
    <w:basedOn w:val="ListParagraph"/>
    <w:link w:val="Style11Char"/>
    <w:qFormat/>
    <w:rsid w:val="0024167C"/>
    <w:pPr>
      <w:numPr>
        <w:numId w:val="50"/>
      </w:numPr>
      <w:spacing w:after="240" w:line="240" w:lineRule="auto"/>
      <w:ind w:left="2268" w:hanging="567"/>
      <w:contextualSpacing w:val="0"/>
    </w:pPr>
    <w:rPr>
      <w:sz w:val="24"/>
      <w:szCs w:val="24"/>
    </w:rPr>
  </w:style>
  <w:style w:type="character" w:customStyle="1" w:styleId="Style10Char">
    <w:name w:val="Style10 Char"/>
    <w:basedOn w:val="ListParagraphChar"/>
    <w:link w:val="Style10"/>
    <w:rsid w:val="009A1F1E"/>
    <w:rPr>
      <w:rFonts w:eastAsiaTheme="minorHAnsi" w:cstheme="minorBidi"/>
      <w:sz w:val="24"/>
      <w:lang w:eastAsia="en-US"/>
    </w:rPr>
  </w:style>
  <w:style w:type="paragraph" w:customStyle="1" w:styleId="Style12">
    <w:name w:val="Style12"/>
    <w:basedOn w:val="Style4"/>
    <w:link w:val="Style12Char"/>
    <w:qFormat/>
    <w:rsid w:val="006F638E"/>
    <w:pPr>
      <w:spacing w:line="240" w:lineRule="auto"/>
      <w:ind w:left="1134" w:hanging="567"/>
    </w:pPr>
  </w:style>
  <w:style w:type="character" w:customStyle="1" w:styleId="Style11Char">
    <w:name w:val="Style11 Char"/>
    <w:basedOn w:val="ListParagraphChar"/>
    <w:link w:val="Style11"/>
    <w:rsid w:val="0024167C"/>
    <w:rPr>
      <w:rFonts w:eastAsiaTheme="minorHAnsi" w:cstheme="minorBidi"/>
      <w:sz w:val="24"/>
      <w:szCs w:val="24"/>
      <w:lang w:eastAsia="en-US"/>
    </w:rPr>
  </w:style>
  <w:style w:type="character" w:customStyle="1" w:styleId="Style12Char">
    <w:name w:val="Style12 Char"/>
    <w:basedOn w:val="Style4Char"/>
    <w:link w:val="Style12"/>
    <w:rsid w:val="006F638E"/>
    <w:rPr>
      <w:rFonts w:eastAsiaTheme="minorHAnsi" w:cstheme="minorBidi"/>
      <w:sz w:val="22"/>
      <w:lang w:eastAsia="en-US"/>
    </w:rPr>
  </w:style>
  <w:style w:type="paragraph" w:customStyle="1" w:styleId="TableColHead">
    <w:name w:val="TableColHead"/>
    <w:basedOn w:val="Normal"/>
    <w:rsid w:val="00D31DE0"/>
    <w:pPr>
      <w:keepNext/>
      <w:spacing w:before="120" w:after="60" w:line="200" w:lineRule="exact"/>
    </w:pPr>
    <w:rPr>
      <w:rFonts w:ascii="Arial" w:eastAsia="Times New Roman" w:hAnsi="Arial" w:cs="Times New Roman"/>
      <w:b/>
      <w:sz w:val="18"/>
      <w:szCs w:val="24"/>
    </w:rPr>
  </w:style>
  <w:style w:type="paragraph" w:customStyle="1" w:styleId="TableOfStatRules">
    <w:name w:val="TableOfStatRules"/>
    <w:basedOn w:val="Normal"/>
    <w:rsid w:val="00D31DE0"/>
    <w:pPr>
      <w:spacing w:before="60" w:line="200" w:lineRule="exact"/>
    </w:pPr>
    <w:rPr>
      <w:rFonts w:ascii="Arial" w:eastAsia="Times New Roman" w:hAnsi="Arial" w:cs="Times New Roman"/>
      <w:sz w:val="18"/>
      <w:szCs w:val="24"/>
      <w:lang w:eastAsia="en-AU"/>
    </w:rPr>
  </w:style>
  <w:style w:type="paragraph" w:styleId="Revision">
    <w:name w:val="Revision"/>
    <w:hidden/>
    <w:uiPriority w:val="99"/>
    <w:semiHidden/>
    <w:rsid w:val="005F3571"/>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1394">
      <w:bodyDiv w:val="1"/>
      <w:marLeft w:val="0"/>
      <w:marRight w:val="0"/>
      <w:marTop w:val="0"/>
      <w:marBottom w:val="0"/>
      <w:divBdr>
        <w:top w:val="none" w:sz="0" w:space="0" w:color="auto"/>
        <w:left w:val="none" w:sz="0" w:space="0" w:color="auto"/>
        <w:bottom w:val="none" w:sz="0" w:space="0" w:color="auto"/>
        <w:right w:val="none" w:sz="0" w:space="0" w:color="auto"/>
      </w:divBdr>
    </w:div>
    <w:div w:id="570769351">
      <w:bodyDiv w:val="1"/>
      <w:marLeft w:val="0"/>
      <w:marRight w:val="0"/>
      <w:marTop w:val="0"/>
      <w:marBottom w:val="0"/>
      <w:divBdr>
        <w:top w:val="none" w:sz="0" w:space="0" w:color="auto"/>
        <w:left w:val="none" w:sz="0" w:space="0" w:color="auto"/>
        <w:bottom w:val="none" w:sz="0" w:space="0" w:color="auto"/>
        <w:right w:val="none" w:sz="0" w:space="0" w:color="auto"/>
      </w:divBdr>
    </w:div>
    <w:div w:id="814958312">
      <w:bodyDiv w:val="1"/>
      <w:marLeft w:val="0"/>
      <w:marRight w:val="0"/>
      <w:marTop w:val="0"/>
      <w:marBottom w:val="0"/>
      <w:divBdr>
        <w:top w:val="none" w:sz="0" w:space="0" w:color="auto"/>
        <w:left w:val="none" w:sz="0" w:space="0" w:color="auto"/>
        <w:bottom w:val="none" w:sz="0" w:space="0" w:color="auto"/>
        <w:right w:val="none" w:sz="0" w:space="0" w:color="auto"/>
      </w:divBdr>
    </w:div>
    <w:div w:id="107636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41b7053a-464c-4365-956c-51e026f23676</TermId>
        </TermInfo>
      </Terms>
    </h67caa35a4114acd8e15fe89b3f29f9e>
    <APRAApprovalDate xmlns="814d62cb-2db6-4c25-ab62-b9075facbc11" xsi:nil="true"/>
    <_dlc_DocId xmlns="814d62cb-2db6-4c25-ab62-b9075facbc11">5JENXJJSCC7A-445999044-10737</_dlc_DocId>
    <TaxCatchAll xmlns="814d62cb-2db6-4c25-ab62-b9075facbc11">
      <Value>83</Value>
      <Value>134</Value>
      <Value>228</Value>
      <Value>93</Value>
      <Value>26</Value>
      <Value>8</Value>
      <Value>24</Value>
      <Value>158</Value>
      <Value>4</Value>
      <Value>767</Value>
      <Value>19</Value>
    </TaxCatchAll>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Word version for lodgement on the Register of Legislation</APRADescription>
    <APRAActivityID xmlns="814d62cb-2db6-4c25-ab62-b9075facbc11" xsi:nil="true"/>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Keywords xmlns="814d62cb-2db6-4c25-ab62-b9075facbc11" xsi:nil="true"/>
    <APRAMeetingDate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b42a91f5-fceb-4fbb-955b-19409a9e4079</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https://im/teams/LEGAL/_layouts/15/DocIdRedir.aspx?ID=5JENXJJSCC7A-445999044-10737</Url>
      <Description>5JENXJJSCC7A-445999044-10737</Description>
    </_dlc_DocIdUrl>
    <j724204a644741eb9f777fcb03fe8840 xmlns="814d62cb-2db6-4c25-ab62-b9075facbc11">
      <Terms xmlns="http://schemas.microsoft.com/office/infopath/2007/PartnerControls"/>
    </j724204a644741eb9f777fcb03fe8840>
    <aa36a5a650d54f768f171f4d17b8b238 xmlns="814d62cb-2db6-4c25-ab62-b9075facbc11">
      <Terms xmlns="http://schemas.microsoft.com/office/infopath/2007/PartnerControls"/>
    </aa36a5a650d54f768f171f4d17b8b238>
    <APRADate xmlns="814d62cb-2db6-4c25-ab62-b9075facbc11" xsi:nil="tru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9761-FC06-4D42-BDD0-0D1E2BA2513B}">
  <ds:schemaRefs>
    <ds:schemaRef ds:uri="Microsoft.SharePoint.Taxonomy.ContentTypeSync"/>
  </ds:schemaRefs>
</ds:datastoreItem>
</file>

<file path=customXml/itemProps2.xml><?xml version="1.0" encoding="utf-8"?>
<ds:datastoreItem xmlns:ds="http://schemas.openxmlformats.org/officeDocument/2006/customXml" ds:itemID="{F471F99F-ECFC-4E5F-80A0-A291BD0BC4AA}">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0034438-A54C-490C-9725-765EA3F1D74B}">
  <ds:schemaRefs>
    <ds:schemaRef ds:uri="http://schemas.microsoft.com/sharepoint/v3/contenttype/forms"/>
  </ds:schemaRefs>
</ds:datastoreItem>
</file>

<file path=customXml/itemProps4.xml><?xml version="1.0" encoding="utf-8"?>
<ds:datastoreItem xmlns:ds="http://schemas.openxmlformats.org/officeDocument/2006/customXml" ds:itemID="{5ACBE331-C635-455A-A6D2-911A80CC3154}">
  <ds:schemaRefs>
    <ds:schemaRef ds:uri="http://schemas.microsoft.com/sharepoint/events"/>
  </ds:schemaRefs>
</ds:datastoreItem>
</file>

<file path=customXml/itemProps5.xml><?xml version="1.0" encoding="utf-8"?>
<ds:datastoreItem xmlns:ds="http://schemas.openxmlformats.org/officeDocument/2006/customXml" ds:itemID="{842D2EDC-8A47-4A5D-9CBB-61ABD5FB8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F20614-CE87-4B1F-915E-444B22D9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1</TotalTime>
  <Pages>29</Pages>
  <Words>7943</Words>
  <Characters>39955</Characters>
  <Application>Microsoft Office Word</Application>
  <DocSecurity>0</DocSecurity>
  <PresentationFormat/>
  <Lines>850</Lines>
  <Paragraphs>498</Paragraphs>
  <ScaleCrop>false</ScaleCrop>
  <HeadingPairs>
    <vt:vector size="2" baseType="variant">
      <vt:variant>
        <vt:lpstr>Title</vt:lpstr>
      </vt:variant>
      <vt:variant>
        <vt:i4>1</vt:i4>
      </vt:variant>
    </vt:vector>
  </HeadingPairs>
  <TitlesOfParts>
    <vt:vector size="1" baseType="lpstr">
      <vt:lpstr>Private Health Insurance (Prudential Supervision) Rules 2019</vt:lpstr>
    </vt:vector>
  </TitlesOfParts>
  <Company>APRA</Company>
  <LinksUpToDate>false</LinksUpToDate>
  <CharactersWithSpaces>47400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(Prudential Supervision) Rules 2019</dc:title>
  <dc:subject/>
  <dc:creator>Pu, Rebecca</dc:creator>
  <cp:keywords>[SEC=UNOFFICIAL]</cp:keywords>
  <dc:description/>
  <cp:lastModifiedBy>Chen, Alice</cp:lastModifiedBy>
  <cp:revision>2</cp:revision>
  <cp:lastPrinted>2019-03-12T04:46:00Z</cp:lastPrinted>
  <dcterms:created xsi:type="dcterms:W3CDTF">2019-03-22T04:15:00Z</dcterms:created>
  <dcterms:modified xsi:type="dcterms:W3CDTF">2019-03-22T04:15:00Z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Private Health Insurance (Health Benefits Fund Administration) Rules 2007</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ActNo">
    <vt:lpwstr/>
  </property>
  <property fmtid="{D5CDD505-2E9C-101B-9397-08002B2CF9AE}" pid="10" name="Header">
    <vt:lpwstr>Rule</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PM_Hash_Salt_Prev">
    <vt:lpwstr>A779481F15132EEF32B5A1A083BF9955</vt:lpwstr>
  </property>
  <property fmtid="{D5CDD505-2E9C-101B-9397-08002B2CF9AE}" pid="18" name="PM_DisplayValueSecClassificationWithQualifier">
    <vt:lpwstr>Personal</vt:lpwstr>
  </property>
  <property fmtid="{D5CDD505-2E9C-101B-9397-08002B2CF9AE}" pid="19" name="PM_SecurityClassification">
    <vt:lpwstr>UNOFFICIAL</vt:lpwstr>
  </property>
  <property fmtid="{D5CDD505-2E9C-101B-9397-08002B2CF9AE}" pid="20" name="PM_Qualifier">
    <vt:lpwstr/>
  </property>
  <property fmtid="{D5CDD505-2E9C-101B-9397-08002B2CF9AE}" pid="21" name="PM_InsertionValue">
    <vt:lpwstr>Personal</vt:lpwstr>
  </property>
  <property fmtid="{D5CDD505-2E9C-101B-9397-08002B2CF9AE}" pid="22" name="PM_Originator_Hash_SHA1">
    <vt:lpwstr>444F01160448A97DEE1911854EE3A69FDCCD1A76</vt:lpwstr>
  </property>
  <property fmtid="{D5CDD505-2E9C-101B-9397-08002B2CF9AE}" pid="23" name="PM_Hash_Version">
    <vt:lpwstr>2014.2</vt:lpwstr>
  </property>
  <property fmtid="{D5CDD505-2E9C-101B-9397-08002B2CF9AE}" pid="24" name="PM_Hash_Salt">
    <vt:lpwstr>170BE4F0BFCDD65A4A8AF96EFF6488E5</vt:lpwstr>
  </property>
  <property fmtid="{D5CDD505-2E9C-101B-9397-08002B2CF9AE}" pid="25" name="PM_Hash_SHA1">
    <vt:lpwstr>B652AF1E6E02216F05273F211A448C74707CD00D</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UNOFFICIAL</vt:lpwstr>
  </property>
  <property fmtid="{D5CDD505-2E9C-101B-9397-08002B2CF9AE}" pid="29" name="ContentTypeId">
    <vt:lpwstr>0x0101008CA7A4F8331B45C7B0D3158B4994D0CA0200577EC0F5A1FBFC498F9A8436B963F8A6</vt:lpwstr>
  </property>
  <property fmtid="{D5CDD505-2E9C-101B-9397-08002B2CF9AE}" pid="30" name="_dlc_DocIdItemGuid">
    <vt:lpwstr>72d1b564-e68b-4a95-b399-8c37f9df3300</vt:lpwstr>
  </property>
  <property fmtid="{D5CDD505-2E9C-101B-9397-08002B2CF9AE}" pid="31" name="IsLocked">
    <vt:lpwstr>Yes</vt:lpwstr>
  </property>
  <property fmtid="{D5CDD505-2E9C-101B-9397-08002B2CF9AE}" pid="32"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DocumentType">
    <vt:lpwstr>767;#Legislation|41b7053a-464c-4365-956c-51e026f23676</vt:lpwstr>
  </property>
  <property fmtid="{D5CDD505-2E9C-101B-9397-08002B2CF9AE}" pid="36" name="APRAStatus">
    <vt:lpwstr>19;#Final|84d6b2d0-8498-4d62-bf46-bab38babbe9e</vt:lpwstr>
  </property>
  <property fmtid="{D5CDD505-2E9C-101B-9397-08002B2CF9AE}" pid="37" name="APRAPRSG">
    <vt:lpwstr/>
  </property>
  <property fmtid="{D5CDD505-2E9C-101B-9397-08002B2CF9AE}" pid="38" name="APRAActivity">
    <vt:lpwstr>8;#Legal|b42a91f5-fceb-4fbb-955b-19409a9e4079</vt:lpwstr>
  </property>
  <property fmtid="{D5CDD505-2E9C-101B-9397-08002B2CF9AE}" pid="39" name="APRAEntityAdviceSupport">
    <vt:lpwstr/>
  </property>
  <property fmtid="{D5CDD505-2E9C-101B-9397-08002B2CF9AE}" pid="40" name="APRAIndustry">
    <vt:lpwstr/>
  </property>
  <property fmtid="{D5CDD505-2E9C-101B-9397-08002B2CF9AE}" pid="41" name="APRALegislation">
    <vt:lpwstr/>
  </property>
  <property fmtid="{D5CDD505-2E9C-101B-9397-08002B2CF9AE}" pid="42" name="APRAYear">
    <vt:lpwstr>228;#2019|7f488d12-1aa7-4fe3-8821-bfe8262e80d0</vt:lpwstr>
  </property>
  <property fmtid="{D5CDD505-2E9C-101B-9397-08002B2CF9AE}" pid="43" name="APRAExternalOrganisation">
    <vt:lpwstr/>
  </property>
  <property fmtid="{D5CDD505-2E9C-101B-9397-08002B2CF9AE}" pid="44" name="APRAIRTR">
    <vt:lpwstr/>
  </property>
  <property fmtid="{D5CDD505-2E9C-101B-9397-08002B2CF9AE}" pid="45" name="APRAPeriod">
    <vt:lpwstr/>
  </property>
  <property fmtid="{D5CDD505-2E9C-101B-9397-08002B2CF9AE}" pid="46" name="RecordPoint_WorkflowType">
    <vt:lpwstr>ActiveSubmitStub</vt:lpwstr>
  </property>
  <property fmtid="{D5CDD505-2E9C-101B-9397-08002B2CF9AE}" pid="47" name="RecordPoint_ActiveItemSiteId">
    <vt:lpwstr>{88691c01-5bbb-4215-adc0-66cb7065b0af}</vt:lpwstr>
  </property>
  <property fmtid="{D5CDD505-2E9C-101B-9397-08002B2CF9AE}" pid="48" name="RecordPoint_ActiveItemListId">
    <vt:lpwstr>{0e59e171-09d8-4401-800a-327154450cb3}</vt:lpwstr>
  </property>
  <property fmtid="{D5CDD505-2E9C-101B-9397-08002B2CF9AE}" pid="49" name="RecordPoint_ActiveItemUniqueId">
    <vt:lpwstr>{72d1b564-e68b-4a95-b399-8c37f9df3300}</vt:lpwstr>
  </property>
  <property fmtid="{D5CDD505-2E9C-101B-9397-08002B2CF9AE}" pid="50" name="RecordPoint_ActiveItemWebId">
    <vt:lpwstr>{75a71c27-8d66-4282-ae60-1bfc22a83be1}</vt:lpwstr>
  </property>
  <property fmtid="{D5CDD505-2E9C-101B-9397-08002B2CF9AE}" pid="51" name="RecordPoint_RecordNumberSubmitted">
    <vt:lpwstr>R0000671241</vt:lpwstr>
  </property>
  <property fmtid="{D5CDD505-2E9C-101B-9397-08002B2CF9AE}" pid="52" name="RecordPoint_SubmissionCompleted">
    <vt:lpwstr>2019-03-22T15:21:25.8419719+11:00</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ies>
</file>